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广州市净水有限公司环城北净水厂环境影响报告书编制项目（第二次）</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r>
        <w:rPr>
          <w:rFonts w:ascii="仿宋_GB2312" w:eastAsia="仿宋_GB2312"/>
          <w:color w:val="auto"/>
          <w:sz w:val="32"/>
          <w:szCs w:val="32"/>
          <w:highlight w:val="none"/>
        </w:rPr>
        <w:br w:type="textWrapping"/>
      </w: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19609"/>
      <w:bookmarkStart w:id="5" w:name="_Toc17801"/>
      <w:bookmarkStart w:id="6" w:name="_Toc31938"/>
      <w:bookmarkStart w:id="7" w:name="_Toc11322"/>
      <w:bookmarkStart w:id="8" w:name="_Toc1669"/>
      <w:bookmarkStart w:id="9" w:name="_Toc7519"/>
      <w:bookmarkStart w:id="10" w:name="_Toc4275"/>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广州市净水有限公司环城北净水厂环境影响报告书编制项目（第二次）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广州市净水有限公司环城北净水厂环境影响报告书编制项目（第二次）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XJ-20220928-2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69.87万元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上述项目编制环境影响评价报告并配合建设单位取得生态环境主管部门的批复。根据现行最新的环评技术导则要求开展环评工作，具体工作包括控规调整环境影响篇章、环境质量现状监测、公众参与公示及公参说明编制、环评报告书的编制修改报批及打印装订、专家评审会务安排及邻避效应的答疑回访等。</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通过相关行政主管部门或单位的评审和审批。</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hAnsi="仿宋" w:eastAsia="仿宋_GB2312" w:cs="仿宋"/>
          <w:color w:val="auto"/>
          <w:sz w:val="28"/>
          <w:szCs w:val="28"/>
          <w:highlight w:val="none"/>
          <w:u w:val="none"/>
          <w:lang w:val="en-US" w:eastAsia="zh-CN"/>
        </w:rPr>
        <w:t>污水厂（含水质净化厂）环境影响报告书编制</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环评批复复印件</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仿宋" w:eastAsia="仿宋_GB2312" w:cs="仿宋"/>
          <w:color w:val="auto"/>
          <w:sz w:val="28"/>
          <w:szCs w:val="28"/>
          <w:highlight w:val="none"/>
          <w:u w:val="none"/>
        </w:rPr>
        <w:t>高级工程师</w:t>
      </w:r>
      <w:r>
        <w:rPr>
          <w:rFonts w:hint="eastAsia" w:ascii="仿宋_GB2312" w:hAnsi="仿宋" w:eastAsia="仿宋_GB2312" w:cs="仿宋"/>
          <w:color w:val="auto"/>
          <w:sz w:val="28"/>
          <w:szCs w:val="28"/>
          <w:highlight w:val="none"/>
          <w:u w:val="none"/>
          <w:lang w:val="en-US" w:eastAsia="zh-CN"/>
        </w:rPr>
        <w:t>职称</w:t>
      </w:r>
      <w:r>
        <w:rPr>
          <w:rFonts w:hint="eastAsia" w:ascii="仿宋_GB2312" w:hAnsi="仿宋" w:eastAsia="仿宋_GB2312" w:cs="仿宋"/>
          <w:color w:val="auto"/>
          <w:sz w:val="28"/>
          <w:szCs w:val="28"/>
          <w:highlight w:val="none"/>
          <w:u w:val="none"/>
        </w:rPr>
        <w:t>，</w:t>
      </w:r>
      <w:r>
        <w:rPr>
          <w:rFonts w:hint="eastAsia" w:ascii="仿宋_GB2312" w:hAnsi="仿宋" w:eastAsia="仿宋_GB2312" w:cs="仿宋"/>
          <w:color w:val="auto"/>
          <w:sz w:val="28"/>
          <w:szCs w:val="28"/>
          <w:highlight w:val="none"/>
          <w:u w:val="none"/>
          <w:lang w:val="en-US" w:eastAsia="zh-CN"/>
        </w:rPr>
        <w:t>同时</w:t>
      </w:r>
      <w:r>
        <w:rPr>
          <w:rFonts w:hint="eastAsia" w:ascii="仿宋_GB2312" w:hAnsi="仿宋" w:eastAsia="仿宋_GB2312" w:cs="仿宋"/>
          <w:color w:val="auto"/>
          <w:sz w:val="28"/>
          <w:szCs w:val="28"/>
          <w:highlight w:val="none"/>
          <w:u w:val="none"/>
        </w:rPr>
        <w:t>具有环境影响评价工程师资格证书</w:t>
      </w:r>
      <w:r>
        <w:rPr>
          <w:rFonts w:hint="eastAsia" w:ascii="仿宋_GB2312" w:hAnsi="仿宋" w:eastAsia="仿宋_GB2312" w:cs="仿宋"/>
          <w:color w:val="auto"/>
          <w:sz w:val="28"/>
          <w:szCs w:val="28"/>
          <w:highlight w:val="none"/>
          <w:u w:val="none"/>
          <w:lang w:eastAsia="zh-CN"/>
        </w:rPr>
        <w:t>，</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报价单位近半年内</w:t>
      </w:r>
      <w:r>
        <w:rPr>
          <w:rFonts w:hint="eastAsia" w:ascii="仿宋_GB2312" w:eastAsia="仿宋_GB2312"/>
          <w:color w:val="auto"/>
          <w:sz w:val="28"/>
          <w:szCs w:val="28"/>
          <w:highlight w:val="none"/>
          <w:u w:val="none"/>
          <w:lang w:eastAsia="zh-CN"/>
        </w:rPr>
        <w:t>（202</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年</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lang w:eastAsia="zh-CN"/>
        </w:rPr>
        <w:t>月1日至</w:t>
      </w:r>
      <w:r>
        <w:rPr>
          <w:rFonts w:hint="eastAsia" w:ascii="仿宋_GB2312" w:eastAsia="仿宋_GB2312"/>
          <w:color w:val="auto"/>
          <w:sz w:val="28"/>
          <w:szCs w:val="28"/>
          <w:highlight w:val="none"/>
          <w:u w:val="none"/>
          <w:lang w:val="en-US" w:eastAsia="zh-CN"/>
        </w:rPr>
        <w:t>递交响应文件</w:t>
      </w:r>
      <w:r>
        <w:rPr>
          <w:rFonts w:hint="eastAsia" w:ascii="仿宋_GB2312" w:eastAsia="仿宋_GB2312"/>
          <w:color w:val="auto"/>
          <w:sz w:val="28"/>
          <w:szCs w:val="28"/>
          <w:highlight w:val="none"/>
          <w:u w:val="none"/>
          <w:lang w:eastAsia="zh-CN"/>
        </w:rPr>
        <w:t>截止时间止）</w:t>
      </w:r>
      <w:r>
        <w:rPr>
          <w:rFonts w:hint="eastAsia" w:ascii="仿宋_GB2312" w:eastAsia="仿宋_GB2312"/>
          <w:color w:val="auto"/>
          <w:sz w:val="28"/>
          <w:szCs w:val="28"/>
          <w:highlight w:val="none"/>
          <w:u w:val="none"/>
        </w:rPr>
        <w:t>未在中华人民共和国生态环境部的环境影响评价信用平台“编制单位诚信档案”中存在失信行为，出具相关证明材料</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3.3本次项目不接受联合体参加采购活动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广州市天河区临江大道501号广</w:t>
      </w:r>
      <w:r>
        <w:rPr>
          <w:rFonts w:hint="eastAsia" w:ascii="仿宋_GB2312" w:eastAsia="仿宋_GB2312"/>
          <w:color w:val="auto"/>
          <w:sz w:val="28"/>
          <w:szCs w:val="28"/>
          <w:highlight w:val="none"/>
          <w:u w:val="single"/>
          <w:lang w:val="en-US" w:eastAsia="zh-CN"/>
        </w:rPr>
        <w:t>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19295"/>
      <w:bookmarkStart w:id="16" w:name="_Toc25603"/>
      <w:bookmarkStart w:id="17" w:name="_Toc2331"/>
      <w:bookmarkStart w:id="18" w:name="_Toc16557"/>
      <w:bookmarkStart w:id="19" w:name="_Toc16705"/>
      <w:bookmarkStart w:id="20" w:name="_Toc23749"/>
      <w:bookmarkStart w:id="21" w:name="_Toc32588"/>
      <w:bookmarkStart w:id="22" w:name="_Toc9448"/>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utoSpaceDE w:val="0"/>
        <w:autoSpaceDN w:val="0"/>
        <w:rPr>
          <w:rFonts w:hint="eastAsia" w:ascii="仿宋_GB2312" w:hAnsi="仿宋_GB2312" w:eastAsia="仿宋_GB2312" w:cs="仿宋_GB2312"/>
          <w:color w:val="auto"/>
          <w:sz w:val="28"/>
          <w:szCs w:val="28"/>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2332355</wp:posOffset>
                </wp:positionH>
                <wp:positionV relativeFrom="paragraph">
                  <wp:posOffset>682625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65pt;margin-top:53.75pt;height:0pt;width:75.5pt;z-index:251661312;mso-width-relative:page;mso-height-relative:page;" filled="f" stroked="t" coordsize="21600,21600" o:gfxdata="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MuGzzlzYOnC&#10;f3769uvj57svP+6+f2WLrNAQsKbAjbuJpx2Gm5jpHtpo85+IsENR9XhWVR0SE3T4YrFcLkhvce+q&#10;HvJCxPRKecuy0XBMEXTXp413jq7Ox1kRFfavMVFlSrxPyEWNY0OGny8IHGgUWxoBMm0gOui6kove&#10;aHmtjckZGLvdxkS2hzwO5cv8CPevsFxkC9iPccU1DkqvQL50kqVjIKEcvQ+eW7BKcmYUPadsESDU&#10;CbS5JJJKG0cdZIlHUbO18/JYtC7ndPWlx9OY5tn6c1+yH5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YWQ2AAAAAsBAAAPAAAAAAAAAAEAIAAAACIAAABkcnMvZG93bnJldi54bWxQSwECFAAU&#10;AAAACACHTuJAtG2KtfEBAADiAwAADgAAAAAAAAABACAAAAAn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14552"/>
      <w:bookmarkStart w:id="36" w:name="_Toc3156"/>
      <w:bookmarkStart w:id="37" w:name="_Toc23581"/>
      <w:bookmarkStart w:id="38" w:name="_Toc20594"/>
      <w:bookmarkStart w:id="39" w:name="_Toc10930"/>
      <w:bookmarkStart w:id="40" w:name="_Toc19050"/>
      <w:bookmarkStart w:id="41" w:name="_Toc7437"/>
      <w:bookmarkStart w:id="42" w:name="_Toc14870"/>
      <w:bookmarkStart w:id="43" w:name="_Toc19759"/>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7616378"/>
      <w:bookmarkStart w:id="46" w:name="_Toc29345"/>
      <w:bookmarkStart w:id="47" w:name="_Toc88209941"/>
      <w:bookmarkStart w:id="48" w:name="_Toc7831"/>
      <w:bookmarkStart w:id="49" w:name="_Toc30530"/>
      <w:bookmarkStart w:id="50" w:name="_Toc13898"/>
      <w:bookmarkStart w:id="51" w:name="_Toc12177"/>
      <w:bookmarkStart w:id="52" w:name="_Toc21079"/>
      <w:bookmarkStart w:id="53" w:name="_Toc6308"/>
      <w:bookmarkStart w:id="54" w:name="_Toc22212"/>
      <w:bookmarkStart w:id="55" w:name="_Toc21840"/>
      <w:bookmarkStart w:id="56" w:name="_Toc29484"/>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lang w:val="en-US" w:eastAsia="zh-CN"/>
        </w:rPr>
        <w:t>环城北</w:t>
      </w:r>
      <w:r>
        <w:rPr>
          <w:rFonts w:hint="eastAsia" w:ascii="仿宋_GB2312" w:hAnsi="仿宋" w:eastAsia="仿宋_GB2312" w:cs="仿宋"/>
          <w:color w:val="auto"/>
          <w:sz w:val="28"/>
          <w:szCs w:val="28"/>
          <w:highlight w:val="none"/>
          <w:u w:val="none"/>
        </w:rPr>
        <w:t>净水厂，建设规模：新建10万吨/日污水处理厂。工程估算总投资</w:t>
      </w:r>
      <w:r>
        <w:rPr>
          <w:rFonts w:hint="eastAsia" w:ascii="仿宋_GB2312" w:hAnsi="仿宋" w:eastAsia="仿宋_GB2312" w:cs="仿宋"/>
          <w:color w:val="auto"/>
          <w:sz w:val="28"/>
          <w:szCs w:val="28"/>
          <w:highlight w:val="none"/>
          <w:u w:val="none"/>
          <w:lang w:val="en-US" w:eastAsia="zh-CN"/>
        </w:rPr>
        <w:t>约13.5亿元</w:t>
      </w:r>
      <w:r>
        <w:rPr>
          <w:rFonts w:hint="eastAsia" w:ascii="仿宋_GB2312" w:hAnsi="仿宋" w:eastAsia="仿宋_GB2312" w:cs="仿宋"/>
          <w:color w:val="auto"/>
          <w:sz w:val="28"/>
          <w:szCs w:val="28"/>
          <w:highlight w:val="none"/>
          <w:u w:val="none"/>
        </w:rPr>
        <w:t>。</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autoSpaceDE w:val="0"/>
        <w:autoSpaceDN w:val="0"/>
        <w:ind w:firstLine="560" w:firstLineChars="200"/>
        <w:rPr>
          <w:rFonts w:ascii="仿宋_GB2312" w:hAnsi="仿宋" w:eastAsia="仿宋_GB2312" w:cs="仿宋"/>
          <w:color w:val="auto"/>
          <w:sz w:val="28"/>
          <w:szCs w:val="28"/>
          <w:highlight w:val="none"/>
          <w:u w:val="single"/>
        </w:rPr>
      </w:pPr>
      <w:r>
        <w:rPr>
          <w:rFonts w:hint="eastAsia" w:ascii="仿宋_GB2312" w:hAnsi="仿宋" w:eastAsia="仿宋_GB2312" w:cs="仿宋"/>
          <w:color w:val="auto"/>
          <w:sz w:val="28"/>
          <w:szCs w:val="28"/>
          <w:highlight w:val="none"/>
          <w:u w:val="none"/>
        </w:rPr>
        <w:t>对上述项目编制环境影响评价报告并配合建设单位取得生态环境主管部门的批复。根据现行最新的环评技术导则要求开展环评工作，具体工作包括控规调整环境影响篇章、环境质量现状监测、公众参与公示及公参说明编制、环评报告书的编制修改报批及打印装订、专家评审会务安排及邻避效应的答疑回访等。</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根据《中华人民共和国环境保护法》、《国家计委、国家环境保护总局关于规范环境影响咨询收费有关问题的通知》（计价格［2002］125号）、《建设项目环境影响评价分类管理名录（2021年版）》（生态环境部令 第16号）等相关法规文件，编制符合质量要求的环境影响评价报告。</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对于公众参与、环评报告编制等相关难题有丰富经验，能对建设单位给予指导和帮助，顺利取得环评批复。</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在环评报告编制过程中，能够积极主动的配合、指导建设单位，解决可能出现的其他问题 。</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2.质量要求：通过相关行政主管部门或单位的评审和审批。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ind w:firstLine="560" w:firstLineChars="200"/>
        <w:rPr>
          <w:rFonts w:hint="default" w:eastAsia="仿宋"/>
          <w:color w:val="auto"/>
          <w:highlight w:val="none"/>
          <w:lang w:val="en-US" w:eastAsia="zh-CN"/>
        </w:rPr>
      </w:pPr>
      <w:r>
        <w:rPr>
          <w:rFonts w:hint="eastAsia" w:ascii="仿宋_GB2312" w:hAnsi="仿宋_GB2312" w:eastAsia="仿宋_GB2312" w:cs="仿宋_GB2312"/>
          <w:color w:val="auto"/>
          <w:sz w:val="28"/>
          <w:szCs w:val="28"/>
          <w:highlight w:val="none"/>
        </w:rPr>
        <w:t>合同采用包干价，包括完成本合同项下的所有工作内容所需要的直接和间接的一切费用，不因人工、材料、设备的变化而作调整。具体</w:t>
      </w:r>
      <w:r>
        <w:rPr>
          <w:rFonts w:hint="eastAsia" w:ascii="仿宋_GB2312" w:hAnsi="仿宋_GB2312" w:eastAsia="仿宋_GB2312" w:cs="仿宋_GB2312"/>
          <w:color w:val="auto"/>
          <w:sz w:val="28"/>
          <w:szCs w:val="28"/>
          <w:highlight w:val="none"/>
          <w:lang w:val="en-US" w:eastAsia="zh-CN"/>
        </w:rPr>
        <w:t>工作</w:t>
      </w:r>
      <w:r>
        <w:rPr>
          <w:rFonts w:hint="eastAsia" w:ascii="仿宋_GB2312" w:hAnsi="仿宋" w:eastAsia="仿宋_GB2312" w:cs="仿宋"/>
          <w:color w:val="auto"/>
          <w:sz w:val="28"/>
          <w:szCs w:val="28"/>
          <w:highlight w:val="none"/>
          <w:u w:val="none"/>
        </w:rPr>
        <w:t>包括控规调整环境影响篇章、环境质量现状监测、公众参与公示及公参说明编制、环评报告书的编制修改报批及打印装订、专家评审会务安排及邻避效应的答疑回访等。</w:t>
      </w:r>
    </w:p>
    <w:p>
      <w:pPr>
        <w:pStyle w:val="2"/>
        <w:rPr>
          <w:rFonts w:hint="eastAsia"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2135"/>
      <w:bookmarkStart w:id="62" w:name="_Toc1284"/>
      <w:bookmarkStart w:id="63" w:name="_Toc23330"/>
      <w:bookmarkStart w:id="64" w:name="_Toc537"/>
      <w:bookmarkStart w:id="65" w:name="_Toc4680"/>
      <w:bookmarkStart w:id="66" w:name="_Toc25925"/>
      <w:bookmarkStart w:id="67" w:name="_Toc18538"/>
      <w:bookmarkStart w:id="68" w:name="_Toc15570"/>
      <w:bookmarkStart w:id="69" w:name="_Toc23353"/>
      <w:bookmarkStart w:id="70" w:name="_Toc29835"/>
      <w:bookmarkStart w:id="71" w:name="_Toc1496"/>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2312035</wp:posOffset>
                </wp:positionH>
                <wp:positionV relativeFrom="paragraph">
                  <wp:posOffset>66675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05pt;margin-top:5.25pt;height:0pt;width:75.5pt;z-index:251664384;mso-width-relative:page;mso-height-relative:page;" filled="f" stroked="t" coordsize="21600,21600" o:gfxdata="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eOQzt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2312670</wp:posOffset>
                </wp:positionH>
                <wp:positionV relativeFrom="paragraph">
                  <wp:posOffset>488315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1pt;margin-top:38.45pt;height:0pt;width:75.5pt;z-index:251665408;mso-width-relative:page;mso-height-relative:page;" filled="f" stroked="t" coordsize="21600,21600" o:gfxdata="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mUn2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4"/>
        <w:rPr>
          <w:color w:val="auto"/>
          <w:highlight w:val="none"/>
        </w:rPr>
      </w:pPr>
      <w:bookmarkStart w:id="72" w:name="_Toc22797"/>
      <w:bookmarkStart w:id="73" w:name="_Toc12968"/>
      <w:bookmarkStart w:id="74" w:name="_Toc19686"/>
      <w:bookmarkStart w:id="75" w:name="_Toc1375"/>
      <w:bookmarkStart w:id="76" w:name="_Toc19088"/>
      <w:bookmarkStart w:id="77" w:name="_Toc12980"/>
      <w:bookmarkStart w:id="78" w:name="_Toc8183"/>
      <w:bookmarkStart w:id="79" w:name="_Toc323"/>
      <w:bookmarkStart w:id="80" w:name="_Toc22501"/>
      <w:bookmarkStart w:id="81" w:name="_Toc88209949"/>
      <w:bookmarkStart w:id="82" w:name="_Toc13309"/>
      <w:bookmarkStart w:id="83" w:name="_Toc87616386"/>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6" w:type="first"/>
          <w:footerReference r:id="rId5" w:type="default"/>
          <w:pgSz w:w="11906" w:h="16838"/>
          <w:pgMar w:top="2098" w:right="1474" w:bottom="1985" w:left="1588" w:header="851" w:footer="992" w:gutter="0"/>
          <w:pgNumType w:fmt="decimal"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合同文件</w:t>
      </w:r>
    </w:p>
    <w:p>
      <w:pPr>
        <w:rPr>
          <w:rFonts w:ascii="宋体" w:hAnsi="宋体" w:cs="宋体"/>
          <w:color w:val="auto"/>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甲方（发包人） ：</w:t>
      </w:r>
      <w:r>
        <w:rPr>
          <w:rFonts w:hint="eastAsia" w:ascii="宋体" w:hAnsi="宋体" w:cs="宋体"/>
          <w:color w:val="auto"/>
          <w:sz w:val="24"/>
          <w:highlight w:val="none"/>
          <w:u w:val="single"/>
        </w:rPr>
        <w:t xml:space="preserve"> 广州市净水有限公司 </w:t>
      </w:r>
    </w:p>
    <w:p>
      <w:pPr>
        <w:ind w:firstLine="600" w:firstLineChars="250"/>
        <w:rPr>
          <w:rFonts w:ascii="宋体" w:hAnsi="宋体" w:cs="宋体"/>
          <w:color w:val="auto"/>
          <w:sz w:val="24"/>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乙方（承包人） ：</w:t>
      </w:r>
      <w:r>
        <w:rPr>
          <w:rFonts w:hint="eastAsia" w:ascii="宋体" w:hAnsi="宋体" w:cs="宋体"/>
          <w:color w:val="auto"/>
          <w:sz w:val="24"/>
          <w:highlight w:val="none"/>
          <w:u w:val="single"/>
        </w:rPr>
        <w:t xml:space="preserve">                      </w:t>
      </w:r>
    </w:p>
    <w:p>
      <w:pPr>
        <w:ind w:firstLine="600" w:firstLineChars="250"/>
        <w:rPr>
          <w:rFonts w:ascii="宋体" w:hAnsi="宋体" w:cs="宋体"/>
          <w:color w:val="auto"/>
          <w:sz w:val="24"/>
          <w:highlight w:val="none"/>
          <w:u w:val="single"/>
        </w:rPr>
      </w:pP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甲方就</w:t>
      </w:r>
      <w:r>
        <w:rPr>
          <w:rFonts w:hint="eastAsia" w:hAnsi="宋体" w:cs="宋体"/>
          <w:color w:val="auto"/>
          <w:sz w:val="24"/>
          <w:szCs w:val="24"/>
          <w:highlight w:val="none"/>
          <w:u w:val="single"/>
          <w:lang w:val="en-US" w:eastAsia="zh-CN"/>
        </w:rPr>
        <w:t>环城北净水厂</w:t>
      </w:r>
      <w:r>
        <w:rPr>
          <w:rFonts w:hint="eastAsia" w:hAnsi="宋体" w:cs="宋体"/>
          <w:color w:val="auto"/>
          <w:sz w:val="24"/>
          <w:szCs w:val="24"/>
          <w:highlight w:val="none"/>
          <w:u w:val="single"/>
        </w:rPr>
        <w:t>环境影响报告书编制</w:t>
      </w:r>
      <w:r>
        <w:rPr>
          <w:rFonts w:hint="eastAsia" w:hAnsi="宋体" w:cs="宋体"/>
          <w:color w:val="auto"/>
          <w:sz w:val="24"/>
          <w:szCs w:val="24"/>
          <w:highlight w:val="none"/>
        </w:rPr>
        <w:t>委托乙方提供相应工作成果。经双方协商一致，签订本合同。</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第一条  签订依据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1.1《中华人民共和国合同法》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1.2《中华人民共和国环境保护法》、《国家计委、国家环境保护总局关于规范环境影响咨询收费有关问题的通知》（计价格〔2002〕125号）、《建设项目环境影响评价分类管理名录（2021年版）》（生态环境部令 第16号）。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1.3建设工程批准文件等。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第二条  编制依据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szCs w:val="24"/>
          <w:highlight w:val="none"/>
        </w:rPr>
        <w:t>甲方给乙方的发包通知书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2.2甲方提交的基础资料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乙方采用的主要技术标准包括但不限于：（1）《中华人民共和国环境保护法》(2014年4月24日修订)；（2）《中华人民共和国水污染防治法》(2017年6月27日修订)；（3）《中华人民共和国水法》（2016年7月修订）；（4）《中华人民共和国大气污染防治法》(2018年10月26日修正)；（5）《中华人民共和国环境噪声污染防治法》(2018年12月29日修正)；（6）《中华人民共和国固体废物污染环境防治法》(2016年11月7日修改)；（7）《中华人民共和国环境影响评价法》(2018年12月29日</w:t>
      </w:r>
      <w:r>
        <w:rPr>
          <w:rFonts w:hint="eastAsia" w:ascii="宋体" w:hAnsi="宋体" w:cs="宋体"/>
          <w:color w:val="auto"/>
          <w:kern w:val="0"/>
          <w:sz w:val="24"/>
          <w:szCs w:val="24"/>
          <w:highlight w:val="none"/>
        </w:rPr>
        <w:t>修正</w:t>
      </w:r>
      <w:r>
        <w:rPr>
          <w:rFonts w:hint="eastAsia" w:ascii="宋体" w:hAnsi="宋体" w:cs="宋体"/>
          <w:color w:val="auto"/>
          <w:sz w:val="24"/>
          <w:highlight w:val="none"/>
        </w:rPr>
        <w:t>)；（8）《中华人民共和国清洁生产促进法》(2002年6月颁布)；（9）《建设项目环境保护管理条例》（2017年7月16日修订）；（10）《国务院关于环境保护若干问题的决定》（国发〔1996〕31号）； （11）《国务院关于加强城市供水节水和水污染防治工作的通知》（国务院国发〔2000〕36号）；（12）《关于印发&lt;城市污水处理及污染防治技术政策&gt;的通知》（国家建设部、环境环保总局、国家科技部  建城〔2000〕124号）；（13）《关于印发推进城市污水、垃圾处理产业化发展意见的通知》（计投资〔2002〕1591号）；（14）《建设项目环境影响评价分类管理名录（2021年版）》（生态环境部令 第16号）；（15）《关于核定建设项目主要污染物排放总量控制指标有关问题的通知》（环办〔2003〕25号 2003年3月）；（16）《关于贯彻落实清洁生产促进法的若干意见》（环发〔2003〕60号）；（17）《建设项目环境影响评价文件分级审批规定》（中华人民共和国环境保护部令 第5号，2008年12月11日修订，自2009年3月1日起施行）；（18）关于发布《环境保护部直接审批环境影响评价文件的建设项目目录》及《环境保护部委托省级环境保护部门审批环境影响评价文件的建设项目目录》的公告（环境保护部公告2009年第7号）；（19）《广东省环境保护条例》（2018年11月29日修正）；（20）《广东省建设项目环境保护管理条例》（2012年7月26日修正）；（21）《广东省建设项目环境保护管理规范》（粤环监〔2000〕8号）；（22）《广东省固体废物污染环境防治条例》（2018年11月29日修订）；（23）《广东省珠江三角洲水质保护条例》（2010年7月23日修改）；（24）《广东省地表水环境功能区划》（粤环〔2011〕14号）；（25）《广东省碧水工程计划》，（粤府办〔1997〕29号）；（26）《广东省政府关于加强水污染防治工作的通知》（粤府函〔1999〕74号）；（27）《广东省环境保护“十三五”规划》（2016年）；（28）《广东省珠江综合整治实施方案》（2002年）；（29）《广东省城市绿化条例》(2004年7月29日修正)；（30）珠江三角洲环境保护规划纲要（2004～2020）》；（31）《广东省环境保护规划》（2006年）；（32）《广东省主体功能区产业发展指导目录(2014年本)》；（33）《广东省饮用水源水质保护条例》（2018年11月29日修正）；（34）《广东省环境保护“十三五”规划》（2016）；（35） 《广东省环境保护规划纲要(2006－2020年)》（省十届人大常委会第21次会议审议通过，2006年4月）；（36）《珠江三角洲环境保护规划纲要（2004-2020年）》（2005）；（37）《广州市饮用水源污染防治条例》(穗府人大[1997]59号)；（38）《广州市饮用水源保护区区划》（粤府函〔2011〕162号）；（39）《广州市水环境功能区区划》(穗府〔93〕第59号)；（40）《广州市(城市区域环境噪声标准)适用区域划分》 (穗府〔1995〕58号)；（41）《广州城市总体规划》；（42）《广州市市区污水治理总体规划》（1988）；(43)《广州市城市污水处理专项规划》（1994）；(44)《大坦沙、猎德、沥滘、西朗4个污水处理系统分区规划》（2001）；(45)《广州市污水治理总体规划修编规划纲要》(2005.11)；（46）《广州市总体发展战略规划》(1995-2010年) ；(47)《广州市城市环境保护总体规划（2014-2030年）》；(48)《广州市环境保护第十三个五年规划》（穗府办[2016]26号）；（49）《建设项目环境影响评价技术导则 总纲》（HJ2.1-2016）；(50)《环境影响评价技术导则 大气环境》（HJ2.2-2018）；（51）《环境影响评价技术导则 地表水环境》（HJ2.3－2018）；（52）《环境影响评价技术导则 声环境》（HJ2.4－2009）；（53）《环境影响评价技术导则 生态影响》（HJ19-2011）；(54)《建设项目环境风险评价技术导则》（HJ169－2018）；(55)《开发建设项目水土保持技术规范》（GB50434－2008）；（56）《环境影响评价公众参与办法》（2019年1月1日施行）；（57）《城市污水处理及污染防治技术政策》（建城〔2000〕124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上述规范如有更新的，以最新版本为准。</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第三条  合同文件的优先次序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3.2发包通知书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3.3甲方的要求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3.4技术规范</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第四条  工程概况</w:t>
      </w:r>
    </w:p>
    <w:p>
      <w:pPr>
        <w:spacing w:line="360" w:lineRule="auto"/>
        <w:ind w:left="1106" w:leftChars="342" w:hanging="388" w:hangingChars="162"/>
        <w:rPr>
          <w:rFonts w:ascii="宋体" w:hAnsi="宋体" w:cs="宋体"/>
          <w:color w:val="auto"/>
          <w:sz w:val="24"/>
          <w:szCs w:val="24"/>
          <w:highlight w:val="none"/>
        </w:rPr>
      </w:pPr>
      <w:r>
        <w:rPr>
          <w:rFonts w:hint="eastAsia" w:ascii="宋体" w:hAnsi="宋体" w:cs="宋体"/>
          <w:color w:val="auto"/>
          <w:sz w:val="24"/>
          <w:szCs w:val="24"/>
          <w:highlight w:val="none"/>
        </w:rPr>
        <w:t>工程名称：</w:t>
      </w:r>
      <w:r>
        <w:rPr>
          <w:rFonts w:hint="eastAsia" w:ascii="宋体" w:hAnsi="宋体" w:cs="宋体"/>
          <w:color w:val="auto"/>
          <w:sz w:val="24"/>
          <w:szCs w:val="21"/>
          <w:highlight w:val="none"/>
        </w:rPr>
        <w:t xml:space="preserve">   净水厂</w:t>
      </w:r>
      <w:r>
        <w:rPr>
          <w:rFonts w:hint="eastAsia" w:ascii="宋体" w:hAnsi="宋体" w:cs="宋体"/>
          <w:color w:val="auto"/>
          <w:sz w:val="24"/>
          <w:szCs w:val="24"/>
          <w:highlight w:val="none"/>
        </w:rPr>
        <w:t>，建设规模:新建   万吨/日污水处理厂。投资估算： 万元。</w:t>
      </w:r>
    </w:p>
    <w:p>
      <w:pPr>
        <w:spacing w:line="360" w:lineRule="auto"/>
        <w:ind w:firstLine="568" w:firstLineChars="237"/>
        <w:rPr>
          <w:rFonts w:ascii="宋体" w:hAnsi="宋体" w:cs="宋体"/>
          <w:color w:val="auto"/>
          <w:sz w:val="24"/>
          <w:highlight w:val="none"/>
        </w:rPr>
      </w:pPr>
      <w:r>
        <w:rPr>
          <w:rFonts w:hint="eastAsia" w:ascii="宋体" w:hAnsi="宋体" w:cs="宋体"/>
          <w:color w:val="auto"/>
          <w:sz w:val="24"/>
          <w:highlight w:val="none"/>
        </w:rPr>
        <w:t>环境影响报告中应针对建设项目对环境可能造成影响进行分析、预测和评估并对建设项目环境保护措施及其技术、经济对比论证。报告编制单位根据相关环评要求配套完成环城北净水厂控规调整环境影响篇章、环境质量现状监测、环评报告书</w:t>
      </w:r>
      <w:r>
        <w:rPr>
          <w:rFonts w:hint="eastAsia" w:ascii="宋体" w:hAnsi="宋体" w:cs="宋体"/>
          <w:color w:val="auto"/>
          <w:sz w:val="24"/>
          <w:highlight w:val="none"/>
          <w:lang w:val="en-US" w:eastAsia="zh-CN"/>
        </w:rPr>
        <w:t>编制及</w:t>
      </w:r>
      <w:r>
        <w:rPr>
          <w:rFonts w:hint="eastAsia" w:ascii="宋体" w:hAnsi="宋体" w:cs="宋体"/>
          <w:color w:val="auto"/>
          <w:sz w:val="24"/>
          <w:highlight w:val="none"/>
        </w:rPr>
        <w:t>专家评审工作，并协助甲方完成公众参与工作。</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第五条 乙方向甲方交付资料及文件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5.1本合同签订后，乙方应在3个工作日内提交编制计划及参编人员名单，报经甲方批准。乙方如需更换编制人员的，需征得甲方书面同意</w:t>
      </w:r>
      <w:r>
        <w:rPr>
          <w:rFonts w:ascii="宋体" w:hAnsi="宋体" w:eastAsia="宋体" w:cs="宋体"/>
          <w:color w:val="auto"/>
          <w:sz w:val="24"/>
          <w:szCs w:val="24"/>
          <w:highlight w:val="none"/>
        </w:rPr>
        <w:t>，如有违反，甲方有权解除合同并要求乙方支付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r>
        <w:rPr>
          <w:rFonts w:hint="eastAsia" w:ascii="宋体" w:hAnsi="宋体" w:cs="宋体"/>
          <w:color w:val="auto"/>
          <w:sz w:val="24"/>
          <w:highlight w:val="none"/>
        </w:rPr>
        <w:t>环境影响报告</w:t>
      </w:r>
      <w:r>
        <w:rPr>
          <w:rFonts w:hint="eastAsia" w:ascii="宋体" w:hAnsi="宋体" w:cs="宋体"/>
          <w:color w:val="auto"/>
          <w:sz w:val="24"/>
          <w:szCs w:val="24"/>
          <w:highlight w:val="none"/>
        </w:rPr>
        <w:t>应按编制计划所列时间提交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5.2环境影响报告初稿经有关部门评审确认后</w:t>
      </w:r>
      <w:r>
        <w:rPr>
          <w:rFonts w:hint="eastAsia" w:ascii="宋体" w:hAnsi="宋体" w:cs="宋体"/>
          <w:color w:val="auto"/>
          <w:sz w:val="24"/>
          <w:szCs w:val="24"/>
          <w:highlight w:val="none"/>
          <w:u w:val="single"/>
        </w:rPr>
        <w:t>10个</w:t>
      </w:r>
      <w:r>
        <w:rPr>
          <w:rFonts w:hint="eastAsia" w:ascii="宋体" w:hAnsi="宋体" w:cs="宋体"/>
          <w:color w:val="auto"/>
          <w:sz w:val="24"/>
          <w:highlight w:val="none"/>
        </w:rPr>
        <w:t>工作日内，乙方向甲方交付正式的环境影响报告，环境影响报告一式十二份，电子光盘2份（未加密且可编辑格式）。</w:t>
      </w:r>
    </w:p>
    <w:p>
      <w:pPr>
        <w:spacing w:line="360" w:lineRule="auto"/>
        <w:ind w:firstLine="480" w:firstLineChars="200"/>
        <w:rPr>
          <w:rFonts w:ascii="宋体" w:hAnsi="宋体" w:cs="宋体"/>
          <w:strike/>
          <w:color w:val="auto"/>
          <w:sz w:val="24"/>
          <w:highlight w:val="none"/>
        </w:rPr>
      </w:pPr>
      <w:r>
        <w:rPr>
          <w:rFonts w:hint="eastAsia" w:ascii="宋体" w:hAnsi="宋体" w:cs="宋体"/>
          <w:color w:val="auto"/>
          <w:sz w:val="24"/>
          <w:highlight w:val="none"/>
        </w:rPr>
        <w:t>5.3乙方应配合甲方开展结算工作并提交结算的相关资料,若乙方逾期超过30天未提交完整的结算资料和结算报告等，甲方有权单方自行结算，由此产生的一切责任由乙方承担。</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第六条 费用 </w:t>
      </w:r>
    </w:p>
    <w:p>
      <w:pPr>
        <w:spacing w:line="360" w:lineRule="auto"/>
        <w:ind w:firstLine="568" w:firstLineChars="237"/>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本合同暂定总价为人民币</w:t>
      </w:r>
      <w:r>
        <w:rPr>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万元</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bCs/>
          <w:color w:val="auto"/>
          <w:sz w:val="24"/>
          <w:highlight w:val="none"/>
          <w:u w:val="single"/>
        </w:rPr>
        <w:t xml:space="preserve">   元</w:t>
      </w:r>
      <w:r>
        <w:rPr>
          <w:rFonts w:hint="eastAsia" w:ascii="宋体" w:hAnsi="宋体" w:cs="宋体"/>
          <w:color w:val="auto"/>
          <w:sz w:val="24"/>
          <w:highlight w:val="none"/>
        </w:rPr>
        <w:t>），含税率   。</w:t>
      </w:r>
      <w:r>
        <w:rPr>
          <w:rFonts w:hint="eastAsia" w:ascii="宋体" w:hAnsi="宋体" w:cs="宋体"/>
          <w:color w:val="auto"/>
          <w:sz w:val="24"/>
          <w:highlight w:val="none"/>
          <w:lang w:val="en-US" w:eastAsia="zh-CN"/>
        </w:rPr>
        <w:t>其中组成分为：</w:t>
      </w:r>
    </w:p>
    <w:p>
      <w:pPr>
        <w:spacing w:line="360" w:lineRule="auto"/>
        <w:ind w:firstLine="568" w:firstLineChars="237"/>
        <w:rPr>
          <w:rFonts w:hint="eastAsia" w:ascii="宋体" w:hAnsi="宋体" w:cs="宋体"/>
          <w:b w:val="0"/>
          <w:bCs/>
          <w:i w:val="0"/>
          <w:iCs w:val="0"/>
          <w:color w:val="auto"/>
          <w:sz w:val="24"/>
          <w:highlight w:val="none"/>
          <w:lang w:val="en-US" w:eastAsia="zh-CN"/>
        </w:rPr>
      </w:pPr>
      <w:r>
        <w:rPr>
          <w:rFonts w:hint="eastAsia" w:ascii="宋体" w:hAnsi="宋体" w:cs="宋体"/>
          <w:color w:val="auto"/>
          <w:sz w:val="24"/>
          <w:highlight w:val="none"/>
          <w:lang w:val="en-US" w:eastAsia="zh-CN"/>
        </w:rPr>
        <w:t>6.1费用一：本合同项下的环境质量监测费用以综合单价包干形式（费用明细详见附件5），暂定为人民币</w:t>
      </w:r>
      <w:r>
        <w:rPr>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万元</w:t>
      </w:r>
      <w:r>
        <w:rPr>
          <w:rFonts w:hint="eastAsia" w:ascii="宋体" w:hAnsi="宋体" w:cs="宋体"/>
          <w:b w:val="0"/>
          <w:bCs/>
          <w:i w:val="0"/>
          <w:iCs w:val="0"/>
          <w:color w:val="auto"/>
          <w:sz w:val="24"/>
          <w:highlight w:val="none"/>
          <w:lang w:val="en-US" w:eastAsia="zh-CN"/>
        </w:rPr>
        <w:t>，最终按实际监测报告结算。</w:t>
      </w:r>
    </w:p>
    <w:p>
      <w:pPr>
        <w:spacing w:line="360" w:lineRule="auto"/>
        <w:ind w:firstLine="568" w:firstLineChars="237"/>
        <w:rPr>
          <w:rFonts w:hint="eastAsia" w:ascii="宋体" w:hAnsi="宋体" w:cs="宋体"/>
          <w:b/>
          <w:color w:val="auto"/>
          <w:sz w:val="24"/>
          <w:highlight w:val="none"/>
          <w:lang w:val="en-US" w:eastAsia="zh-CN"/>
        </w:rPr>
      </w:pPr>
      <w:r>
        <w:rPr>
          <w:rFonts w:hint="eastAsia" w:ascii="宋体" w:hAnsi="宋体" w:cs="宋体"/>
          <w:color w:val="auto"/>
          <w:sz w:val="24"/>
          <w:highlight w:val="none"/>
          <w:lang w:val="en-US" w:eastAsia="zh-CN"/>
        </w:rPr>
        <w:t>6.2.1费用二：</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项下的环评报告书编制、环境影响篇章编制、气象数据购买、水环境预测数学模型和数值计算等采用</w:t>
      </w:r>
      <w:r>
        <w:rPr>
          <w:rFonts w:hint="eastAsia" w:ascii="宋体" w:hAnsi="宋体" w:cs="宋体"/>
          <w:b w:val="0"/>
          <w:bCs w:val="0"/>
          <w:color w:val="auto"/>
          <w:sz w:val="24"/>
          <w:highlight w:val="none"/>
        </w:rPr>
        <w:t>总价包干</w:t>
      </w:r>
      <w:r>
        <w:rPr>
          <w:rFonts w:hint="eastAsia" w:ascii="宋体" w:hAnsi="宋体" w:cs="宋体"/>
          <w:b w:val="0"/>
          <w:bCs w:val="0"/>
          <w:color w:val="auto"/>
          <w:sz w:val="24"/>
          <w:highlight w:val="none"/>
          <w:lang w:val="en-US" w:eastAsia="zh-CN"/>
        </w:rPr>
        <w:t>形式</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暂定</w:t>
      </w:r>
      <w:r>
        <w:rPr>
          <w:rFonts w:hint="eastAsia" w:ascii="宋体" w:hAnsi="宋体" w:cs="宋体"/>
          <w:b w:val="0"/>
          <w:bCs w:val="0"/>
          <w:color w:val="auto"/>
          <w:sz w:val="24"/>
          <w:highlight w:val="none"/>
        </w:rPr>
        <w:t>为</w:t>
      </w:r>
      <w:r>
        <w:rPr>
          <w:rFonts w:hint="eastAsia" w:ascii="宋体" w:hAnsi="宋体" w:cs="宋体"/>
          <w:color w:val="auto"/>
          <w:sz w:val="24"/>
          <w:highlight w:val="none"/>
        </w:rPr>
        <w:t>人民币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color w:val="auto"/>
          <w:sz w:val="24"/>
          <w:highlight w:val="none"/>
        </w:rPr>
        <w:t>万</w:t>
      </w:r>
      <w:r>
        <w:rPr>
          <w:rFonts w:hint="eastAsia" w:ascii="宋体" w:hAnsi="宋体" w:cs="宋体"/>
          <w:b/>
          <w:color w:val="auto"/>
          <w:sz w:val="24"/>
          <w:highlight w:val="none"/>
          <w:lang w:val="en-US" w:eastAsia="zh-CN"/>
        </w:rPr>
        <w:t>元。</w:t>
      </w:r>
    </w:p>
    <w:p>
      <w:pPr>
        <w:spacing w:line="360" w:lineRule="auto"/>
        <w:ind w:firstLine="568" w:firstLineChars="237"/>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总价包干部分费用</w:t>
      </w:r>
      <w:r>
        <w:rPr>
          <w:rFonts w:hint="eastAsia" w:ascii="宋体" w:hAnsi="宋体" w:cs="宋体"/>
          <w:color w:val="auto"/>
          <w:sz w:val="24"/>
          <w:highlight w:val="none"/>
        </w:rPr>
        <w:t>，包括完成本合同</w:t>
      </w:r>
      <w:r>
        <w:rPr>
          <w:rFonts w:hint="eastAsia" w:ascii="宋体" w:hAnsi="宋体" w:cs="宋体"/>
          <w:color w:val="auto"/>
          <w:sz w:val="24"/>
          <w:highlight w:val="none"/>
          <w:lang w:val="en-US" w:eastAsia="zh-CN"/>
        </w:rPr>
        <w:t>总价包干</w:t>
      </w:r>
      <w:r>
        <w:rPr>
          <w:rFonts w:hint="eastAsia" w:ascii="宋体" w:hAnsi="宋体" w:cs="宋体"/>
          <w:color w:val="auto"/>
          <w:sz w:val="24"/>
          <w:highlight w:val="none"/>
        </w:rPr>
        <w:t>项下的所有工作内容所需要的直接和间接的一切费用，不因人工、材料、设备的变化而作调整。</w:t>
      </w:r>
      <w:bookmarkStart w:id="85" w:name="_Hlk111541707"/>
      <w:r>
        <w:rPr>
          <w:rFonts w:hint="eastAsia" w:ascii="宋体" w:hAnsi="宋体" w:cs="宋体"/>
          <w:color w:val="auto"/>
          <w:sz w:val="24"/>
          <w:highlight w:val="none"/>
        </w:rPr>
        <w:t>具体工作包括控规调整环境影响篇章</w:t>
      </w:r>
      <w:r>
        <w:rPr>
          <w:rFonts w:hint="eastAsia" w:ascii="宋体" w:hAnsi="宋体" w:cs="宋体"/>
          <w:color w:val="auto"/>
          <w:sz w:val="24"/>
          <w:highlight w:val="none"/>
          <w:lang w:val="en-US" w:eastAsia="zh-CN"/>
        </w:rPr>
        <w:t>编写</w:t>
      </w:r>
      <w:r>
        <w:rPr>
          <w:rFonts w:hint="eastAsia" w:ascii="宋体" w:hAnsi="宋体" w:cs="宋体"/>
          <w:color w:val="auto"/>
          <w:sz w:val="24"/>
          <w:highlight w:val="none"/>
        </w:rPr>
        <w:t>、公众参与公示及公参说明编制、环评报告书的编制修改报批及打印装订、专家评审会务安排及邻避效应的答疑回访等。</w:t>
      </w:r>
      <w:bookmarkEnd w:id="85"/>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第七条 支付方式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7.1.1支付办法：本合同生效后，甲方按照</w:t>
      </w:r>
      <w:r>
        <w:rPr>
          <w:rFonts w:hint="eastAsia" w:ascii="宋体" w:hAnsi="宋体" w:cs="宋体"/>
          <w:color w:val="auto"/>
          <w:sz w:val="24"/>
          <w:szCs w:val="24"/>
          <w:highlight w:val="none"/>
          <w:u w:val="single"/>
        </w:rPr>
        <w:t>《广州市净水有限公司资金集中支付管理办法》</w:t>
      </w:r>
      <w:r>
        <w:rPr>
          <w:rFonts w:hint="eastAsia" w:ascii="宋体" w:hAnsi="宋体" w:cs="宋体"/>
          <w:color w:val="auto"/>
          <w:sz w:val="24"/>
          <w:highlight w:val="none"/>
        </w:rPr>
        <w:t>操作程序，向乙方支付编制费。</w:t>
      </w:r>
    </w:p>
    <w:p>
      <w:pPr>
        <w:pStyle w:val="46"/>
        <w:ind w:firstLine="480" w:firstLineChars="200"/>
        <w:rPr>
          <w:rFonts w:hAnsi="宋体" w:eastAsia="宋体"/>
          <w:color w:val="auto"/>
          <w:highlight w:val="none"/>
        </w:rPr>
      </w:pPr>
      <w:r>
        <w:rPr>
          <w:rFonts w:hint="eastAsia" w:hAnsi="宋体"/>
          <w:color w:val="auto"/>
          <w:highlight w:val="none"/>
        </w:rPr>
        <w:t xml:space="preserve">7.1.2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46"/>
        <w:ind w:firstLine="960" w:firstLineChars="400"/>
        <w:rPr>
          <w:rFonts w:hAnsi="宋体" w:eastAsia="宋体"/>
          <w:color w:val="auto"/>
          <w:highlight w:val="none"/>
        </w:rPr>
      </w:pPr>
      <w:r>
        <w:rPr>
          <w:rFonts w:hint="eastAsia" w:hAnsi="宋体" w:eastAsia="宋体"/>
          <w:color w:val="auto"/>
          <w:highlight w:val="none"/>
        </w:rPr>
        <w:t>地址：</w:t>
      </w:r>
      <w:r>
        <w:rPr>
          <w:rFonts w:hint="eastAsia" w:hAnsi="宋体" w:eastAsia="宋体"/>
          <w:color w:val="auto"/>
          <w:highlight w:val="none"/>
          <w:u w:val="single"/>
        </w:rPr>
        <w:t xml:space="preserve">                                </w:t>
      </w:r>
      <w:r>
        <w:rPr>
          <w:rFonts w:hint="eastAsia" w:hAnsi="宋体" w:eastAsia="宋体"/>
          <w:color w:val="auto"/>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7.1.3付款方式：</w:t>
      </w:r>
      <w:r>
        <w:rPr>
          <w:rFonts w:hint="eastAsia" w:ascii="宋体" w:hAnsi="宋体" w:cs="宋体"/>
          <w:color w:val="auto"/>
          <w:sz w:val="24"/>
          <w:highlight w:val="none"/>
        </w:rPr>
        <w:sym w:font="Wingdings" w:char="00FE"/>
      </w:r>
      <w:r>
        <w:rPr>
          <w:rFonts w:hint="eastAsia" w:ascii="宋体" w:hAnsi="宋体" w:cs="宋体"/>
          <w:color w:val="auto"/>
          <w:sz w:val="24"/>
          <w:highlight w:val="none"/>
        </w:rPr>
        <w:t>网银支付；</w:t>
      </w:r>
      <w:r>
        <w:rPr>
          <w:rFonts w:hint="eastAsia" w:ascii="宋体" w:hAnsi="宋体" w:cs="宋体"/>
          <w:color w:val="auto"/>
          <w:sz w:val="24"/>
          <w:highlight w:val="none"/>
        </w:rPr>
        <w:sym w:font="Wingdings" w:char="00A8"/>
      </w:r>
      <w:r>
        <w:rPr>
          <w:rFonts w:hint="eastAsia" w:ascii="宋体" w:hAnsi="宋体" w:cs="宋体"/>
          <w:color w:val="auto"/>
          <w:sz w:val="24"/>
          <w:highlight w:val="none"/>
        </w:rPr>
        <w:t>支票；</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本合同生效后，乙方向甲方提出定金支付申请，甲方向乙方支付</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highlight w:val="none"/>
        </w:rPr>
        <w:t>的</w:t>
      </w:r>
      <w:r>
        <w:rPr>
          <w:rFonts w:hint="eastAsia" w:ascii="宋体" w:hAnsi="宋体" w:cs="宋体"/>
          <w:b/>
          <w:bCs/>
          <w:color w:val="auto"/>
          <w:sz w:val="24"/>
          <w:highlight w:val="none"/>
        </w:rPr>
        <w:t>20％</w:t>
      </w:r>
      <w:r>
        <w:rPr>
          <w:rFonts w:hint="eastAsia" w:ascii="宋体" w:hAnsi="宋体" w:cs="宋体"/>
          <w:color w:val="auto"/>
          <w:sz w:val="24"/>
          <w:highlight w:val="none"/>
        </w:rPr>
        <w:t>作为定金，计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7.3</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w:t>
      </w:r>
      <w:r>
        <w:rPr>
          <w:rFonts w:ascii="宋体" w:hAnsi="宋体" w:cs="宋体"/>
          <w:color w:val="auto"/>
          <w:kern w:val="0"/>
          <w:sz w:val="24"/>
          <w:szCs w:val="24"/>
          <w:highlight w:val="none"/>
          <w:lang w:bidi="ar"/>
        </w:rPr>
        <w:t>乙方将环境影响报告</w:t>
      </w:r>
      <w:r>
        <w:rPr>
          <w:rFonts w:hint="eastAsia" w:ascii="宋体" w:hAnsi="宋体" w:cs="宋体"/>
          <w:color w:val="auto"/>
          <w:kern w:val="0"/>
          <w:sz w:val="24"/>
          <w:szCs w:val="24"/>
          <w:highlight w:val="none"/>
          <w:lang w:bidi="ar"/>
        </w:rPr>
        <w:t>送审稿</w:t>
      </w:r>
      <w:r>
        <w:rPr>
          <w:rFonts w:ascii="宋体" w:hAnsi="宋体" w:cs="宋体"/>
          <w:color w:val="auto"/>
          <w:kern w:val="0"/>
          <w:sz w:val="24"/>
          <w:szCs w:val="24"/>
          <w:highlight w:val="none"/>
          <w:lang w:bidi="ar"/>
        </w:rPr>
        <w:t>提交给甲方，</w:t>
      </w:r>
      <w:r>
        <w:rPr>
          <w:rFonts w:hint="eastAsia" w:ascii="宋体" w:hAnsi="宋体" w:cs="宋体"/>
          <w:color w:val="auto"/>
          <w:kern w:val="0"/>
          <w:sz w:val="24"/>
          <w:szCs w:val="24"/>
          <w:highlight w:val="none"/>
          <w:lang w:bidi="ar"/>
        </w:rPr>
        <w:t>经甲方确认后，</w:t>
      </w:r>
      <w:r>
        <w:rPr>
          <w:rFonts w:ascii="宋体" w:hAnsi="宋体" w:cs="宋体"/>
          <w:color w:val="auto"/>
          <w:kern w:val="0"/>
          <w:sz w:val="24"/>
          <w:szCs w:val="24"/>
          <w:highlight w:val="none"/>
          <w:lang w:bidi="ar"/>
        </w:rPr>
        <w:t>甲方向乙方支付</w:t>
      </w:r>
      <w:r>
        <w:rPr>
          <w:rFonts w:hint="eastAsia" w:ascii="宋体" w:hAnsi="宋体" w:cs="宋体"/>
          <w:color w:val="auto"/>
          <w:kern w:val="0"/>
          <w:sz w:val="24"/>
          <w:szCs w:val="24"/>
          <w:highlight w:val="none"/>
          <w:lang w:val="en-US" w:eastAsia="zh-CN" w:bidi="ar"/>
        </w:rPr>
        <w:t>合同费用二</w:t>
      </w:r>
      <w:r>
        <w:rPr>
          <w:rFonts w:ascii="宋体" w:hAnsi="宋体" w:cs="宋体"/>
          <w:color w:val="auto"/>
          <w:kern w:val="0"/>
          <w:sz w:val="24"/>
          <w:szCs w:val="24"/>
          <w:highlight w:val="none"/>
          <w:lang w:bidi="ar"/>
        </w:rPr>
        <w:t>至</w:t>
      </w:r>
      <w:r>
        <w:rPr>
          <w:rFonts w:hint="eastAsia" w:ascii="宋体" w:hAnsi="宋体" w:cs="宋体"/>
          <w:color w:val="auto"/>
          <w:kern w:val="0"/>
          <w:sz w:val="24"/>
          <w:szCs w:val="24"/>
          <w:highlight w:val="none"/>
          <w:lang w:val="en-US" w:eastAsia="zh-CN" w:bidi="ar"/>
        </w:rPr>
        <w:t>合同包干价</w:t>
      </w:r>
      <w:r>
        <w:rPr>
          <w:rFonts w:ascii="宋体" w:hAnsi="宋体" w:cs="宋体"/>
          <w:color w:val="auto"/>
          <w:kern w:val="0"/>
          <w:sz w:val="24"/>
          <w:szCs w:val="24"/>
          <w:highlight w:val="none"/>
          <w:lang w:bidi="ar"/>
        </w:rPr>
        <w:t>60%（含定金）</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费用一至实际工作量60%</w:t>
      </w:r>
      <w:r>
        <w:rPr>
          <w:rFonts w:ascii="宋体" w:hAnsi="宋体" w:cs="宋体"/>
          <w:color w:val="auto"/>
          <w:kern w:val="0"/>
          <w:sz w:val="24"/>
          <w:szCs w:val="24"/>
          <w:highlight w:val="none"/>
          <w:lang w:bidi="ar"/>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3.2</w:t>
      </w:r>
      <w:r>
        <w:rPr>
          <w:rFonts w:hint="eastAsia" w:ascii="宋体" w:hAnsi="宋体" w:cs="宋体"/>
          <w:color w:val="auto"/>
          <w:sz w:val="24"/>
          <w:szCs w:val="24"/>
          <w:highlight w:val="none"/>
        </w:rPr>
        <w:t>环境影响报告经有关单位评审并按评审意见修改完善获得行政批复后，乙方应于当月20日前将工程支付申请书一式四份报送给甲方，甲方向乙方支付至合同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szCs w:val="24"/>
          <w:highlight w:val="none"/>
        </w:rPr>
        <w:t>包干价的80%（含定金）。</w:t>
      </w:r>
    </w:p>
    <w:p>
      <w:pPr>
        <w:spacing w:line="360" w:lineRule="auto"/>
        <w:ind w:firstLine="480" w:firstLineChars="200"/>
        <w:rPr>
          <w:rFonts w:ascii="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3.3</w:t>
      </w:r>
      <w:r>
        <w:rPr>
          <w:rFonts w:hint="eastAsia" w:ascii="宋体" w:hAnsi="宋体" w:cs="宋体"/>
          <w:color w:val="auto"/>
          <w:sz w:val="24"/>
          <w:highlight w:val="none"/>
        </w:rPr>
        <w:t>待相关部门终审结算后，按结算价支付至</w:t>
      </w:r>
      <w:r>
        <w:rPr>
          <w:rFonts w:ascii="宋体" w:hAnsi="宋体" w:cs="宋体"/>
          <w:color w:val="auto"/>
          <w:sz w:val="24"/>
          <w:highlight w:val="none"/>
        </w:rPr>
        <w:t>100%</w:t>
      </w:r>
      <w:r>
        <w:rPr>
          <w:rFonts w:hint="eastAsia" w:ascii="宋体" w:hAnsi="宋体" w:cs="宋体"/>
          <w:color w:val="auto"/>
          <w:sz w:val="24"/>
          <w:highlight w:val="none"/>
        </w:rPr>
        <w:t>。如甲方实际支付的费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超过结算价的，乙方应当在结算完毕之日起</w:t>
      </w:r>
      <w:r>
        <w:rPr>
          <w:rFonts w:ascii="宋体" w:hAnsi="宋体" w:cs="宋体"/>
          <w:color w:val="auto"/>
          <w:sz w:val="24"/>
          <w:highlight w:val="none"/>
        </w:rPr>
        <w:t>30</w:t>
      </w:r>
      <w:r>
        <w:rPr>
          <w:rFonts w:hint="eastAsia" w:ascii="宋体" w:hAnsi="宋体" w:cs="宋体"/>
          <w:color w:val="auto"/>
          <w:sz w:val="24"/>
          <w:highlight w:val="none"/>
        </w:rPr>
        <w:t>日内向甲方退还超支费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。乙方迟延退还的，每逾期一天按超支费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的三倍银行同期储蓄利率向甲方支付利息。</w:t>
      </w:r>
    </w:p>
    <w:p>
      <w:pPr>
        <w:pStyle w:val="3"/>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.4在合同履行期间，甲方要求终止或解除合同，由双方协商支付费用，费用</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最高支付至60%，费用</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按实际发生费用支付。</w:t>
      </w:r>
    </w:p>
    <w:p>
      <w:pPr>
        <w:adjustRightInd w:val="0"/>
        <w:spacing w:line="360" w:lineRule="auto"/>
        <w:ind w:firstLine="480" w:firstLineChars="200"/>
        <w:jc w:val="left"/>
        <w:textAlignment w:val="baseline"/>
        <w:rPr>
          <w:color w:val="auto"/>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w:t>
      </w:r>
      <w:r>
        <w:rPr>
          <w:rFonts w:hint="eastAsia" w:ascii="宋体" w:hAnsi="宋体"/>
          <w:color w:val="auto"/>
          <w:sz w:val="24"/>
          <w:szCs w:val="24"/>
          <w:highlight w:val="none"/>
        </w:rPr>
        <w:t>在收取每一笔合同费用前，需向甲方提供等额有效的增值税专用发票。</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第八条 双方责任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8.1甲方责任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8.1.1合同生效后，非乙方原因，甲方要求终止或解除合同，乙方未开始编制工作的，不退还甲方已付的定金。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8.1.2在合同履行期间，已开始编制工作，非乙方原因，甲方要求终止或解除合同，甲方根据乙方已进行的实际工作量按实进行结算。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8.1.3甲方要求乙方比合同规定时间提前交付编制文件时，需征得乙方同意，不得严重背离合理编制周期。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8.2.1乙方应在商定的时间内向甲方提交有关技术文件，乙方保证具备相应的资质并对提交的文件、报告及所出的结论负责。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8.2.2因文件质量低劣引起返工，除由乙方继续完善外，并视造成损失大小，减收直至免收编制费。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.2.3乙方应协助配合甲方做好建设项目环境影响报告的报批工作，并取得相关批文。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.2.4乙方应协助配合甲方做好环境影响报告的公众参与意见调查。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.2.5</w:t>
      </w:r>
      <w:r>
        <w:rPr>
          <w:rFonts w:hint="eastAsia" w:ascii="宋体" w:hAnsi="宋体" w:cs="宋体"/>
          <w:color w:val="auto"/>
          <w:sz w:val="24"/>
          <w:highlight w:val="none"/>
        </w:rPr>
        <w:t>乙方有责任对甲方提供的资料保密，未经许可，不得提供给与本工程无关的单位和人员使用。乙方未尽保密义务，给甲方造成损失的，应该承担赔偿责任，并向甲方一次性支付合同价款1%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8.2.6若标准或计划变更，经甲方同意，乙方可顺延期。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8.2.7非甲方原因乙方要求解除合同的，应双倍退还定金，定金不足以弥补乙方违约造成的损失的，甲方可要求赔偿超过定金数额的损失。</w:t>
      </w:r>
    </w:p>
    <w:p>
      <w:pPr>
        <w:pStyle w:val="22"/>
        <w:spacing w:line="360" w:lineRule="auto"/>
        <w:rPr>
          <w:color w:val="auto"/>
          <w:highlight w:val="none"/>
        </w:rPr>
      </w:pPr>
      <w:r>
        <w:rPr>
          <w:rFonts w:hint="eastAsia" w:ascii="宋体" w:hAnsi="宋体" w:cs="宋体"/>
          <w:color w:val="auto"/>
          <w:sz w:val="24"/>
          <w:szCs w:val="24"/>
          <w:highlight w:val="none"/>
        </w:rPr>
        <w:t>8.2.8在合同有效期内，若乙方发生不诚信行为情形的，乙方自愿接受甲方按《广州市净水有限公司经营建设项目参建企业不诚信行为管理办法》处理，具体处理标准详见附件4。</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第九条  知识产权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第十条  仲裁、起诉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本合同履行过程中发生争议，由双方当事人协商解决。协商不成的依法向甲方所在地的人民法院起诉。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第十一条  合同生效及其他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11.1合同生效的条件：合同签订盖章。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11.2甲方委托乙方承担本合同内容以外的工作服务，需另行签订协议并支付费用。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11.3当项目的建设业主变更时，甲方应书面通知乙方并协商合同终止或变更事宜。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11.4由于不可抗力因素致使合同无法履行时，双方应及时协商解决。</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11.5本合同正本一式</w:t>
      </w:r>
      <w:r>
        <w:rPr>
          <w:rFonts w:hint="eastAsia" w:ascii="宋体" w:hAnsi="宋体" w:cs="宋体"/>
          <w:color w:val="auto"/>
          <w:sz w:val="24"/>
          <w:highlight w:val="none"/>
          <w:u w:val="single"/>
        </w:rPr>
        <w:t>贰</w:t>
      </w:r>
      <w:r>
        <w:rPr>
          <w:rFonts w:hint="eastAsia" w:ascii="宋体" w:hAnsi="宋体" w:cs="宋体"/>
          <w:color w:val="auto"/>
          <w:sz w:val="24"/>
          <w:highlight w:val="none"/>
        </w:rPr>
        <w:t>份，甲方执</w:t>
      </w:r>
      <w:r>
        <w:rPr>
          <w:rFonts w:hint="eastAsia" w:ascii="宋体" w:hAnsi="宋体" w:cs="宋体"/>
          <w:color w:val="auto"/>
          <w:sz w:val="24"/>
          <w:highlight w:val="none"/>
          <w:u w:val="single"/>
        </w:rPr>
        <w:t>壹</w:t>
      </w:r>
      <w:r>
        <w:rPr>
          <w:rFonts w:hint="eastAsia" w:ascii="宋体" w:hAnsi="宋体" w:cs="宋体"/>
          <w:color w:val="auto"/>
          <w:sz w:val="24"/>
          <w:highlight w:val="none"/>
        </w:rPr>
        <w:t>份，乙方执</w:t>
      </w:r>
      <w:r>
        <w:rPr>
          <w:rFonts w:hint="eastAsia" w:ascii="宋体" w:hAnsi="宋体" w:cs="宋体"/>
          <w:color w:val="auto"/>
          <w:sz w:val="24"/>
          <w:highlight w:val="none"/>
          <w:u w:val="single"/>
        </w:rPr>
        <w:t>壹</w:t>
      </w:r>
      <w:r>
        <w:rPr>
          <w:rFonts w:hint="eastAsia" w:ascii="宋体" w:hAnsi="宋体" w:cs="宋体"/>
          <w:color w:val="auto"/>
          <w:sz w:val="24"/>
          <w:highlight w:val="none"/>
        </w:rPr>
        <w:t>份；副本一式</w:t>
      </w:r>
      <w:r>
        <w:rPr>
          <w:rFonts w:hint="eastAsia" w:ascii="宋体" w:hAnsi="宋体" w:cs="宋体"/>
          <w:color w:val="auto"/>
          <w:sz w:val="24"/>
          <w:highlight w:val="none"/>
          <w:u w:val="single"/>
        </w:rPr>
        <w:t>捌</w:t>
      </w:r>
      <w:r>
        <w:rPr>
          <w:rFonts w:hint="eastAsia" w:ascii="宋体" w:hAnsi="宋体" w:cs="宋体"/>
          <w:color w:val="auto"/>
          <w:sz w:val="24"/>
          <w:highlight w:val="none"/>
        </w:rPr>
        <w:t>份，甲方执</w:t>
      </w:r>
      <w:r>
        <w:rPr>
          <w:rFonts w:hint="eastAsia" w:ascii="宋体" w:hAnsi="宋体" w:cs="宋体"/>
          <w:color w:val="auto"/>
          <w:sz w:val="24"/>
          <w:highlight w:val="none"/>
          <w:u w:val="single"/>
        </w:rPr>
        <w:t>伍</w:t>
      </w:r>
      <w:r>
        <w:rPr>
          <w:rFonts w:hint="eastAsia" w:ascii="宋体" w:hAnsi="宋体" w:cs="宋体"/>
          <w:color w:val="auto"/>
          <w:sz w:val="24"/>
          <w:highlight w:val="none"/>
        </w:rPr>
        <w:t>份，乙方执</w:t>
      </w:r>
      <w:r>
        <w:rPr>
          <w:rFonts w:hint="eastAsia" w:ascii="宋体" w:hAnsi="宋体" w:cs="宋体"/>
          <w:color w:val="auto"/>
          <w:sz w:val="24"/>
          <w:highlight w:val="none"/>
          <w:u w:val="single"/>
        </w:rPr>
        <w:t>叁</w:t>
      </w:r>
      <w:r>
        <w:rPr>
          <w:rFonts w:hint="eastAsia" w:ascii="宋体" w:hAnsi="宋体" w:cs="宋体"/>
          <w:color w:val="auto"/>
          <w:sz w:val="24"/>
          <w:highlight w:val="none"/>
        </w:rPr>
        <w:t>份，双方所执合同具同等法律效力（若正本与副本有差异，以正本为准。）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11.6双方履行完合同规定的义务后，本合同即行终止。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11.7双方认可的来往传真、会议纪要等，均为合同的组成部分，与本合同具有同等法律效力。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11.8未尽事宜，双方协商一致，可签订补充协议，补充协议与本合同具有同等效力。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11.9本合同附件是合同不可分割的一部分，具有相同的法律效力，具体附件如下：</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附件1：</w:t>
      </w:r>
      <w:r>
        <w:rPr>
          <w:rFonts w:hint="eastAsia" w:ascii="宋体" w:hAnsi="宋体" w:eastAsia="宋体" w:cs="宋体"/>
          <w:color w:val="auto"/>
          <w:sz w:val="24"/>
          <w:szCs w:val="24"/>
          <w:highlight w:val="none"/>
        </w:rPr>
        <w:t xml:space="preserve">发包通知书 </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附件2：廉洁协议 </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附件3：安全协议书</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附件4：不诚信行为的情形及相应被暂停参与投标活动的处理标准 </w:t>
      </w:r>
    </w:p>
    <w:p>
      <w:pPr>
        <w:pStyle w:val="15"/>
        <w:spacing w:line="360" w:lineRule="auto"/>
        <w:ind w:left="0" w:leftChars="0"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附件5：</w:t>
      </w:r>
      <w:r>
        <w:rPr>
          <w:rFonts w:hint="eastAsia" w:ascii="宋体" w:hAnsi="宋体" w:cs="宋体"/>
          <w:color w:val="auto"/>
          <w:sz w:val="24"/>
          <w:highlight w:val="none"/>
          <w:lang w:val="en-US" w:eastAsia="zh-CN"/>
        </w:rPr>
        <w:t>环境质量监测费用明细表</w:t>
      </w:r>
    </w:p>
    <w:p>
      <w:pPr>
        <w:pStyle w:val="15"/>
        <w:spacing w:line="360" w:lineRule="auto"/>
        <w:ind w:left="0" w:leftChars="0"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highlight w:val="none"/>
        </w:rPr>
      </w:pPr>
    </w:p>
    <w:p>
      <w:pPr>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pStyle w:val="46"/>
        <w:rPr>
          <w:rFonts w:hint="eastAsia" w:ascii="宋体" w:hAnsi="宋体" w:cs="宋体"/>
          <w:color w:val="auto"/>
          <w:sz w:val="24"/>
          <w:szCs w:val="24"/>
          <w:highlight w:val="none"/>
        </w:rPr>
      </w:pPr>
    </w:p>
    <w:p>
      <w:pPr>
        <w:jc w:val="center"/>
        <w:outlineLvl w:val="0"/>
        <w:rPr>
          <w:rFonts w:ascii="宋体" w:hAnsi="宋体" w:cs="宋体"/>
          <w:color w:val="auto"/>
          <w:sz w:val="24"/>
          <w:szCs w:val="24"/>
          <w:highlight w:val="none"/>
        </w:rPr>
      </w:pPr>
    </w:p>
    <w:tbl>
      <w:tblPr>
        <w:tblStyle w:val="23"/>
        <w:tblW w:w="0" w:type="auto"/>
        <w:jc w:val="center"/>
        <w:tblLayout w:type="fixed"/>
        <w:tblCellMar>
          <w:top w:w="0" w:type="dxa"/>
          <w:left w:w="28" w:type="dxa"/>
          <w:bottom w:w="0" w:type="dxa"/>
          <w:right w:w="28" w:type="dxa"/>
        </w:tblCellMar>
      </w:tblPr>
      <w:tblGrid>
        <w:gridCol w:w="4134"/>
        <w:gridCol w:w="5033"/>
      </w:tblGrid>
      <w:tr>
        <w:tblPrEx>
          <w:tblCellMar>
            <w:top w:w="0" w:type="dxa"/>
            <w:left w:w="28" w:type="dxa"/>
            <w:bottom w:w="0" w:type="dxa"/>
            <w:right w:w="28" w:type="dxa"/>
          </w:tblCellMar>
        </w:tblPrEx>
        <w:trPr>
          <w:trHeight w:val="310" w:hRule="atLeast"/>
          <w:jc w:val="center"/>
        </w:trPr>
        <w:tc>
          <w:tcPr>
            <w:tcW w:w="413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甲方：</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tc>
      </w:tr>
      <w:tr>
        <w:tblPrEx>
          <w:tblCellMar>
            <w:top w:w="0" w:type="dxa"/>
            <w:left w:w="28" w:type="dxa"/>
            <w:bottom w:w="0" w:type="dxa"/>
            <w:right w:w="28" w:type="dxa"/>
          </w:tblCellMar>
        </w:tblPrEx>
        <w:trPr>
          <w:trHeight w:val="62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r>
      <w:tr>
        <w:tblPrEx>
          <w:tblCellMar>
            <w:top w:w="0" w:type="dxa"/>
            <w:left w:w="28" w:type="dxa"/>
            <w:bottom w:w="0" w:type="dxa"/>
            <w:right w:w="28" w:type="dxa"/>
          </w:tblCellMar>
        </w:tblPrEx>
        <w:trPr>
          <w:trHeight w:val="93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开户行：</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CellMar>
            <w:top w:w="0" w:type="dxa"/>
            <w:left w:w="28" w:type="dxa"/>
            <w:bottom w:w="0" w:type="dxa"/>
            <w:right w:w="28" w:type="dxa"/>
          </w:tblCellMar>
        </w:tblPrEx>
        <w:trPr>
          <w:trHeight w:val="414"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r>
    </w:tbl>
    <w:p>
      <w:pPr>
        <w:ind w:right="-512" w:rightChars="-244"/>
        <w:rPr>
          <w:color w:val="auto"/>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发包通知书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  廉洁协议</w:t>
      </w:r>
    </w:p>
    <w:p>
      <w:pPr>
        <w:pStyle w:val="46"/>
        <w:rPr>
          <w:color w:val="auto"/>
          <w:highlight w:val="none"/>
        </w:rPr>
      </w:pPr>
    </w:p>
    <w:p>
      <w:pPr>
        <w:spacing w:line="52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合同（穗净水合[2022]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第七条本协议一式</w:t>
      </w:r>
      <w:r>
        <w:rPr>
          <w:rFonts w:hint="eastAsia" w:ascii="仿宋" w:hAnsi="仿宋" w:eastAsia="仿宋" w:cs="仿宋"/>
          <w:bCs/>
          <w:color w:val="auto"/>
          <w:sz w:val="28"/>
          <w:szCs w:val="28"/>
          <w:highlight w:val="none"/>
          <w:u w:val="single"/>
        </w:rPr>
        <w:t>拾</w:t>
      </w:r>
      <w:r>
        <w:rPr>
          <w:rFonts w:hint="eastAsia" w:ascii="仿宋" w:hAnsi="仿宋" w:eastAsia="仿宋" w:cs="仿宋"/>
          <w:bCs/>
          <w:color w:val="auto"/>
          <w:sz w:val="28"/>
          <w:szCs w:val="28"/>
          <w:highlight w:val="none"/>
        </w:rPr>
        <w:t>份，甲方</w:t>
      </w:r>
      <w:r>
        <w:rPr>
          <w:rFonts w:hint="eastAsia" w:ascii="仿宋" w:hAnsi="仿宋" w:eastAsia="仿宋" w:cs="仿宋"/>
          <w:bCs/>
          <w:color w:val="auto"/>
          <w:sz w:val="28"/>
          <w:szCs w:val="28"/>
          <w:highlight w:val="none"/>
          <w:u w:val="single"/>
        </w:rPr>
        <w:t>陆</w:t>
      </w:r>
      <w:r>
        <w:rPr>
          <w:rFonts w:hint="eastAsia" w:ascii="仿宋" w:hAnsi="仿宋" w:eastAsia="仿宋" w:cs="仿宋"/>
          <w:bCs/>
          <w:color w:val="auto"/>
          <w:sz w:val="28"/>
          <w:szCs w:val="28"/>
          <w:highlight w:val="none"/>
        </w:rPr>
        <w:t>份，乙方</w:t>
      </w:r>
      <w:r>
        <w:rPr>
          <w:rFonts w:hint="eastAsia" w:ascii="仿宋" w:hAnsi="仿宋" w:eastAsia="仿宋" w:cs="仿宋"/>
          <w:bCs/>
          <w:color w:val="auto"/>
          <w:sz w:val="28"/>
          <w:szCs w:val="28"/>
          <w:highlight w:val="none"/>
          <w:u w:val="single"/>
        </w:rPr>
        <w:t>肆</w:t>
      </w:r>
      <w:r>
        <w:rPr>
          <w:rFonts w:hint="eastAsia" w:ascii="仿宋" w:hAnsi="仿宋" w:eastAsia="仿宋" w:cs="仿宋"/>
          <w:bCs/>
          <w:color w:val="auto"/>
          <w:sz w:val="28"/>
          <w:szCs w:val="28"/>
          <w:highlight w:val="none"/>
        </w:rPr>
        <w:t>份。</w:t>
      </w:r>
    </w:p>
    <w:p>
      <w:pPr>
        <w:spacing w:line="520" w:lineRule="exact"/>
        <w:ind w:firstLine="560" w:firstLineChars="200"/>
        <w:rPr>
          <w:rFonts w:ascii="仿宋" w:hAnsi="仿宋" w:eastAsia="仿宋" w:cs="仿宋"/>
          <w:bCs/>
          <w:color w:val="auto"/>
          <w:sz w:val="28"/>
          <w:szCs w:val="28"/>
          <w:highlight w:val="none"/>
        </w:rPr>
      </w:pPr>
    </w:p>
    <w:p>
      <w:pPr>
        <w:spacing w:line="520" w:lineRule="exact"/>
        <w:rPr>
          <w:rFonts w:ascii="仿宋" w:hAnsi="仿宋" w:eastAsia="仿宋" w:cs="仿宋"/>
          <w:bCs/>
          <w:color w:val="auto"/>
          <w:sz w:val="28"/>
          <w:szCs w:val="28"/>
          <w:highlight w:val="none"/>
        </w:rPr>
      </w:pPr>
    </w:p>
    <w:p>
      <w:pPr>
        <w:pStyle w:val="2"/>
        <w:rPr>
          <w:color w:val="auto"/>
          <w:highlight w:val="none"/>
        </w:rPr>
      </w:pPr>
    </w:p>
    <w:p>
      <w:pPr>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3"/>
        <w:tabs>
          <w:tab w:val="left" w:pos="5100"/>
        </w:tabs>
        <w:spacing w:line="520" w:lineRule="exact"/>
        <w:ind w:left="7200" w:firstLine="0" w:firstLineChars="0"/>
        <w:jc w:val="left"/>
        <w:rPr>
          <w:rFonts w:ascii="仿宋" w:hAnsi="仿宋" w:eastAsia="仿宋" w:cs="仿宋"/>
          <w:bCs/>
          <w:color w:val="auto"/>
          <w:sz w:val="28"/>
          <w:szCs w:val="28"/>
          <w:highlight w:val="none"/>
        </w:rPr>
      </w:pPr>
    </w:p>
    <w:p>
      <w:pPr>
        <w:tabs>
          <w:tab w:val="left" w:pos="5100"/>
        </w:tabs>
        <w:spacing w:line="520" w:lineRule="exact"/>
        <w:ind w:left="8400" w:hanging="8400" w:hangingChars="30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日期:2022年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日期：2022年  月  日</w:t>
      </w:r>
    </w:p>
    <w:p>
      <w:pPr>
        <w:pStyle w:val="46"/>
        <w:rPr>
          <w:color w:val="auto"/>
          <w:highlight w:val="none"/>
        </w:rPr>
        <w:sectPr>
          <w:pgSz w:w="11906" w:h="16838"/>
          <w:pgMar w:top="1440" w:right="1800" w:bottom="1440" w:left="1800" w:header="851" w:footer="992" w:gutter="0"/>
          <w:pgNumType w:fmt="decimal"/>
          <w:cols w:space="425" w:num="1"/>
          <w:docGrid w:type="lines" w:linePitch="312" w:charSpace="0"/>
        </w:sectPr>
      </w:pPr>
    </w:p>
    <w:p>
      <w:pPr>
        <w:spacing w:line="560" w:lineRule="exact"/>
        <w:jc w:val="left"/>
        <w:rPr>
          <w:rFonts w:ascii="宋体" w:hAnsi="宋体" w:cs="宋体"/>
          <w:b/>
          <w:bCs/>
          <w:color w:val="auto"/>
          <w:szCs w:val="21"/>
          <w:highlight w:val="none"/>
        </w:rPr>
      </w:pPr>
      <w:r>
        <w:rPr>
          <w:rFonts w:hint="eastAsia" w:ascii="宋体" w:hAnsi="宋体" w:eastAsia="宋体" w:cs="宋体"/>
          <w:b/>
          <w:bCs/>
          <w:color w:val="auto"/>
          <w:szCs w:val="21"/>
          <w:highlight w:val="none"/>
        </w:rPr>
        <w:t>附件3</w:t>
      </w:r>
      <w:r>
        <w:rPr>
          <w:rFonts w:hint="eastAsia" w:ascii="宋体" w:hAnsi="宋体" w:cs="宋体"/>
          <w:b/>
          <w:bCs/>
          <w:color w:val="auto"/>
          <w:szCs w:val="21"/>
          <w:highlight w:val="none"/>
        </w:rPr>
        <w:t xml:space="preserve"> 安全协议书</w:t>
      </w:r>
    </w:p>
    <w:p>
      <w:pPr>
        <w:spacing w:line="360" w:lineRule="auto"/>
        <w:rPr>
          <w:rFonts w:ascii="宋体" w:hAnsi="宋体"/>
          <w:color w:val="auto"/>
          <w:szCs w:val="21"/>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 xml:space="preserve">  </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宋体"/>
          <w:color w:val="auto"/>
          <w:sz w:val="24"/>
          <w:highlight w:val="none"/>
        </w:rPr>
        <w:t xml:space="preserve">    </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本协议作为</w:t>
      </w:r>
      <w:r>
        <w:rPr>
          <w:rFonts w:hint="eastAsia" w:ascii="宋体" w:hAnsi="宋体"/>
          <w:color w:val="auto"/>
          <w:sz w:val="24"/>
          <w:highlight w:val="none"/>
          <w:u w:val="single"/>
        </w:rPr>
        <w:t xml:space="preserve">                    </w:t>
      </w:r>
      <w:r>
        <w:rPr>
          <w:rFonts w:hint="eastAsia" w:ascii="宋体" w:hAnsi="宋体"/>
          <w:color w:val="auto"/>
          <w:sz w:val="24"/>
          <w:highlight w:val="none"/>
        </w:rPr>
        <w:t>合同的组成部分，与主合同具有同等法律。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6"/>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无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auto"/>
          <w:sz w:val="24"/>
          <w:highlight w:val="none"/>
        </w:rPr>
      </w:pPr>
    </w:p>
    <w:tbl>
      <w:tblPr>
        <w:tblStyle w:val="23"/>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甲方： </w:t>
            </w:r>
          </w:p>
          <w:p>
            <w:pPr>
              <w:adjustRightInd w:val="0"/>
              <w:snapToGrid w:val="0"/>
              <w:spacing w:line="560" w:lineRule="exact"/>
              <w:rPr>
                <w:rFonts w:ascii="宋体" w:hAnsi="宋体"/>
                <w:color w:val="auto"/>
                <w:sz w:val="24"/>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联系电话： </w:t>
            </w:r>
          </w:p>
          <w:p>
            <w:pPr>
              <w:adjustRightInd w:val="0"/>
              <w:snapToGrid w:val="0"/>
              <w:spacing w:line="560" w:lineRule="exact"/>
              <w:ind w:firstLine="240" w:firstLineChars="100"/>
              <w:jc w:val="right"/>
              <w:rPr>
                <w:rFonts w:ascii="宋体" w:hAnsi="宋体"/>
                <w:color w:val="auto"/>
                <w:sz w:val="24"/>
                <w:highlight w:val="none"/>
              </w:rPr>
            </w:pPr>
            <w:r>
              <w:rPr>
                <w:rFonts w:hint="eastAsia" w:ascii="宋体" w:hAnsi="宋体"/>
                <w:color w:val="auto"/>
                <w:sz w:val="24"/>
                <w:highlight w:val="none"/>
              </w:rPr>
              <w:t>2022年  月  日</w:t>
            </w:r>
          </w:p>
        </w:tc>
        <w:tc>
          <w:tcPr>
            <w:tcW w:w="4474"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乙方： </w:t>
            </w:r>
          </w:p>
          <w:p>
            <w:pPr>
              <w:pStyle w:val="2"/>
              <w:rPr>
                <w:color w:val="auto"/>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jc w:val="right"/>
              <w:rPr>
                <w:rFonts w:ascii="宋体" w:hAnsi="宋体"/>
                <w:color w:val="auto"/>
                <w:sz w:val="24"/>
                <w:highlight w:val="none"/>
              </w:rPr>
            </w:pPr>
            <w:r>
              <w:rPr>
                <w:rFonts w:hint="eastAsia" w:ascii="宋体" w:hAnsi="宋体"/>
                <w:color w:val="auto"/>
                <w:sz w:val="24"/>
                <w:highlight w:val="none"/>
              </w:rPr>
              <w:t>2022年  月  日</w:t>
            </w:r>
          </w:p>
        </w:tc>
      </w:tr>
    </w:tbl>
    <w:p>
      <w:pPr>
        <w:pStyle w:val="2"/>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46"/>
        <w:rPr>
          <w:rFonts w:hAnsi="宋体"/>
          <w:color w:val="auto"/>
          <w:szCs w:val="21"/>
          <w:highlight w:val="none"/>
        </w:rPr>
      </w:pPr>
      <w:r>
        <w:rPr>
          <w:rFonts w:hint="eastAsia" w:hAnsi="宋体" w:eastAsia="宋体"/>
          <w:b/>
          <w:bCs/>
          <w:color w:val="auto"/>
          <w:sz w:val="21"/>
          <w:szCs w:val="21"/>
          <w:highlight w:val="none"/>
        </w:rPr>
        <w:t>附件4：</w:t>
      </w:r>
    </w:p>
    <w:p>
      <w:pPr>
        <w:pStyle w:val="46"/>
        <w:rPr>
          <w:rFonts w:hAnsi="宋体"/>
          <w:color w:val="auto"/>
          <w:szCs w:val="21"/>
          <w:highlight w:val="none"/>
        </w:rPr>
      </w:pPr>
    </w:p>
    <w:p>
      <w:pPr>
        <w:adjustRightInd w:val="0"/>
        <w:snapToGrid w:val="0"/>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highlight w:val="none"/>
              </w:rPr>
            </w:pPr>
          </w:p>
        </w:tc>
      </w:tr>
    </w:tbl>
    <w:p>
      <w:pPr>
        <w:pStyle w:val="46"/>
        <w:rPr>
          <w:rFonts w:hint="eastAsia" w:ascii="仿宋_GB2312" w:hAnsi="仿宋_GB2312" w:cs="仿宋_GB2312"/>
          <w:color w:val="auto"/>
          <w:highlight w:val="none"/>
        </w:rPr>
      </w:pPr>
      <w:r>
        <w:rPr>
          <w:rFonts w:hint="eastAsia" w:ascii="仿宋_GB2312" w:hAnsi="仿宋_GB2312" w:cs="仿宋_GB2312"/>
          <w:color w:val="auto"/>
          <w:highlight w:val="none"/>
        </w:rPr>
        <w:t>备注：本处理标准出自《广州市净水有限公司经营建设项目参建企业不诚信行为管理办法》。</w:t>
      </w:r>
    </w:p>
    <w:p>
      <w:pPr>
        <w:pStyle w:val="46"/>
        <w:rPr>
          <w:rFonts w:hint="eastAsia" w:ascii="仿宋_GB2312" w:hAnsi="仿宋_GB2312" w:cs="仿宋_GB2312"/>
          <w:color w:val="auto"/>
          <w:highlight w:val="none"/>
        </w:rPr>
      </w:pPr>
    </w:p>
    <w:p>
      <w:pPr>
        <w:pStyle w:val="46"/>
        <w:rPr>
          <w:rFonts w:hint="eastAsia" w:ascii="仿宋_GB2312" w:hAnsi="仿宋_GB2312" w:cs="仿宋_GB2312"/>
          <w:color w:val="auto"/>
          <w:highlight w:val="none"/>
        </w:rPr>
        <w:sectPr>
          <w:pgSz w:w="11906" w:h="16838"/>
          <w:pgMar w:top="2098" w:right="1474" w:bottom="1985" w:left="1588" w:header="851" w:footer="992" w:gutter="0"/>
          <w:pgNumType w:fmt="decimal"/>
          <w:cols w:space="425" w:num="1"/>
          <w:titlePg/>
          <w:docGrid w:type="lines" w:linePitch="312" w:charSpace="0"/>
        </w:sectPr>
      </w:pPr>
    </w:p>
    <w:p>
      <w:pPr>
        <w:spacing w:line="560" w:lineRule="exact"/>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附件5  环境质量监测费用明细表</w:t>
      </w:r>
    </w:p>
    <w:p>
      <w:pPr>
        <w:pStyle w:val="46"/>
        <w:rPr>
          <w:rFonts w:hint="eastAsia" w:ascii="仿宋_GB2312" w:hAnsi="仿宋_GB2312" w:cs="仿宋_GB2312"/>
          <w:color w:val="auto"/>
          <w:highlight w:val="none"/>
          <w:lang w:val="en-US" w:eastAsia="zh-CN"/>
        </w:rPr>
      </w:pPr>
    </w:p>
    <w:tbl>
      <w:tblPr>
        <w:tblStyle w:val="2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425"/>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A.样品测试费用</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类别</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检测项目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单次监测测试费</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监测点位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监测频次(每天）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监测天数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审核小计</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（单次*点位*频次*天数）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地表水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DO</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高锰酸指数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CODcr</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粪大肠菌群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地表水小计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大气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臭气浓度（标准为瞬间采样，无小时浓度值）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auto"/>
                <w:sz w:val="18"/>
                <w:szCs w:val="18"/>
                <w:highlight w:val="none"/>
                <w:u w:val="none"/>
              </w:rPr>
            </w:pPr>
          </w:p>
        </w:tc>
        <w:tc>
          <w:tcPr>
            <w:tcW w:w="5115"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环境空气小计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噪声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噪声小计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地下水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铬（六价）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溶解性总固体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挥发性酚类（以苯酚计）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总大肠菌群数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地下水小计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机械组成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阳离子交换量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干物质和水分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土粒密度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总石油烃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土壤小计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B.现场勘察及差旅费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总计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bl>
    <w:p>
      <w:pPr>
        <w:pStyle w:val="46"/>
        <w:rPr>
          <w:rFonts w:hint="eastAsia" w:ascii="仿宋_GB2312" w:hAnsi="仿宋_GB2312" w:cs="仿宋_GB2312"/>
          <w:color w:val="auto"/>
          <w:highlight w:val="none"/>
        </w:rPr>
        <w:sectPr>
          <w:pgSz w:w="11906" w:h="16838"/>
          <w:pgMar w:top="2098" w:right="1474" w:bottom="1985" w:left="1588" w:header="851" w:footer="992" w:gutter="0"/>
          <w:pgNumType w:fmt="decimal"/>
          <w:cols w:space="425" w:num="1"/>
          <w:titlePg/>
          <w:docGrid w:type="lines" w:linePitch="312" w:charSpace="0"/>
        </w:sect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86" w:name="_Toc12169"/>
      <w:bookmarkStart w:id="87" w:name="_Toc3723"/>
      <w:bookmarkStart w:id="88" w:name="_Toc1563"/>
      <w:bookmarkStart w:id="89" w:name="_Toc5129"/>
      <w:bookmarkStart w:id="90" w:name="_Toc23515"/>
      <w:bookmarkStart w:id="91" w:name="_Toc21847"/>
      <w:bookmarkStart w:id="92" w:name="_Toc30824"/>
      <w:bookmarkStart w:id="93" w:name="_Toc16552"/>
      <w:bookmarkStart w:id="94" w:name="_Toc6230"/>
      <w:bookmarkStart w:id="95" w:name="_Toc28358"/>
      <w:bookmarkStart w:id="96"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6"/>
        <w:rPr>
          <w:color w:val="auto"/>
          <w:highlight w:val="none"/>
        </w:rPr>
      </w:pPr>
    </w:p>
    <w:p>
      <w:pPr>
        <w:pStyle w:val="4"/>
        <w:rPr>
          <w:color w:val="auto"/>
          <w:highlight w:val="none"/>
        </w:rPr>
      </w:pPr>
      <w:bookmarkStart w:id="97" w:name="_Toc17119"/>
      <w:bookmarkStart w:id="98" w:name="_Toc10840"/>
      <w:bookmarkStart w:id="99" w:name="_Toc12610"/>
      <w:bookmarkStart w:id="100" w:name="_Toc88209951"/>
      <w:bookmarkStart w:id="101" w:name="_Toc87616388"/>
      <w:bookmarkStart w:id="102" w:name="_Toc24490"/>
      <w:bookmarkStart w:id="103" w:name="_Toc30157"/>
      <w:bookmarkStart w:id="104" w:name="_Toc5342"/>
      <w:bookmarkStart w:id="105" w:name="_Toc31564"/>
      <w:bookmarkStart w:id="106" w:name="_Toc24815"/>
      <w:bookmarkStart w:id="107" w:name="_Toc22764"/>
      <w:bookmarkStart w:id="108" w:name="_Toc21675"/>
      <w:bookmarkStart w:id="109" w:name="_Toc12769"/>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（广州市净水有限公司环城北净水厂环境影响报告书编制</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lang w:val="en-US" w:eastAsia="zh-CN"/>
        </w:rPr>
        <w:t>第二次</w:t>
      </w:r>
      <w:r>
        <w:rPr>
          <w:rFonts w:hint="eastAsia" w:ascii="方正小标宋简体" w:eastAsia="方正小标宋简体"/>
          <w:color w:val="auto"/>
          <w:sz w:val="44"/>
          <w:szCs w:val="44"/>
          <w:highlight w:val="none"/>
          <w:u w:val="single"/>
          <w:lang w:eastAsia="zh-CN"/>
        </w:rPr>
        <w:t>）</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16" w:name="_Toc88209957"/>
      <w:bookmarkStart w:id="117" w:name="_Toc6313"/>
      <w:bookmarkStart w:id="118" w:name="_Toc87616394"/>
      <w:bookmarkStart w:id="119" w:name="_Toc12665"/>
      <w:bookmarkStart w:id="120" w:name="_Toc2861964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88209958"/>
      <w:bookmarkStart w:id="122" w:name="_Toc29833"/>
      <w:bookmarkStart w:id="123" w:name="_Toc87616395"/>
      <w:bookmarkStart w:id="12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086"/>
      <w:bookmarkStart w:id="126" w:name="_Toc19830"/>
      <w:bookmarkStart w:id="127" w:name="_Toc88209963"/>
      <w:bookmarkStart w:id="12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广州市净水有限公司环城北净水厂环境影响报告书编制（</w:t>
      </w:r>
      <w:r>
        <w:rPr>
          <w:rFonts w:hint="eastAsia" w:ascii="宋体" w:hAnsi="宋体" w:cs="宋体"/>
          <w:color w:val="auto"/>
          <w:kern w:val="2"/>
          <w:sz w:val="24"/>
          <w:szCs w:val="24"/>
          <w:highlight w:val="none"/>
          <w:lang w:val="en-US" w:eastAsia="zh-CN"/>
        </w:rPr>
        <w:t>第二次</w:t>
      </w:r>
      <w:bookmarkStart w:id="136" w:name="_GoBack"/>
      <w:bookmarkEnd w:id="136"/>
      <w:r>
        <w:rPr>
          <w:rFonts w:hint="eastAsia" w:ascii="宋体" w:hAnsi="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4"/>
        </w:numPr>
        <w:rPr>
          <w:rFonts w:hint="eastAsia" w:asciiTheme="minorEastAsia" w:hAnsiTheme="minorEastAsia" w:eastAsiaTheme="minorEastAsia"/>
          <w:color w:val="auto"/>
          <w:sz w:val="28"/>
          <w:szCs w:val="28"/>
          <w:highlight w:val="none"/>
        </w:rPr>
      </w:pPr>
      <w:bookmarkStart w:id="130" w:name="_Toc32430"/>
      <w:bookmarkStart w:id="131" w:name="_Toc19423"/>
      <w:r>
        <w:rPr>
          <w:rFonts w:hint="eastAsia" w:asciiTheme="minorEastAsia" w:hAnsiTheme="minorEastAsia" w:eastAsiaTheme="minorEastAsia"/>
          <w:color w:val="auto"/>
          <w:sz w:val="28"/>
          <w:szCs w:val="28"/>
          <w:highlight w:val="none"/>
        </w:rPr>
        <w:t>报价表</w:t>
      </w:r>
      <w:bookmarkEnd w:id="130"/>
      <w:bookmarkEnd w:id="131"/>
    </w:p>
    <w:p>
      <w:pPr>
        <w:rPr>
          <w:rFonts w:hint="default" w:eastAsiaTheme="minorEastAsia"/>
          <w:color w:val="auto"/>
          <w:highlight w:val="none"/>
          <w:lang w:val="en-US" w:eastAsia="zh-CN"/>
        </w:rPr>
      </w:pP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color w:val="auto"/>
          <w:sz w:val="32"/>
          <w:szCs w:val="32"/>
          <w:highlight w:val="none"/>
          <w:lang w:val="en-US" w:eastAsia="zh-CN"/>
        </w:rPr>
        <w:t xml:space="preserve"> 环境质量监测费用</w:t>
      </w:r>
    </w:p>
    <w:tbl>
      <w:tblPr>
        <w:tblStyle w:val="2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425"/>
        <w:gridCol w:w="1230"/>
        <w:gridCol w:w="1230"/>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A.样品测试费用</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类别</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检测项目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单次监测测试费</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监测点位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监测频次(每天）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监测天数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审核小计</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（元）</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（单次*点位*频次*天数）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地表水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DO</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高锰酸指数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CODcr</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粪大肠菌群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地表水小计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大气</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臭气浓度（标准为瞬间采样，无小时浓度值）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auto"/>
                <w:sz w:val="18"/>
                <w:szCs w:val="18"/>
                <w:highlight w:val="none"/>
                <w:u w:val="none"/>
              </w:rPr>
            </w:pPr>
          </w:p>
        </w:tc>
        <w:tc>
          <w:tcPr>
            <w:tcW w:w="5115"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环境空气小计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噪声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噪声（夜）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噪声小计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地下水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铬（六价）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溶解性总固体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挥发性酚类（以苯酚计）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总大肠菌群数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地下水小计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土壤</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机械组成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半挥发性有机物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阳离子交换量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干物质和水分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土粒密度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总石油烃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 xml:space="preserve">  土壤小计</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B.现场勘察及差旅费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总计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p>
        </w:tc>
      </w:tr>
    </w:tbl>
    <w:p>
      <w:pPr>
        <w:rPr>
          <w:rFonts w:hint="eastAsia"/>
          <w:color w:val="auto"/>
          <w:highlight w:val="none"/>
        </w:rPr>
      </w:pPr>
    </w:p>
    <w:p>
      <w:pPr>
        <w:pStyle w:val="46"/>
        <w:rPr>
          <w:rFonts w:hint="eastAsia"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备注：</w:t>
      </w:r>
      <w:r>
        <w:rPr>
          <w:rFonts w:hint="eastAsia" w:ascii="仿宋_GB2312" w:hAnsi="仿宋_GB2312" w:cs="仿宋_GB2312"/>
          <w:color w:val="auto"/>
          <w:sz w:val="21"/>
          <w:szCs w:val="21"/>
          <w:highlight w:val="none"/>
          <w:lang w:val="en-US" w:eastAsia="zh-CN"/>
        </w:rPr>
        <w:t>监测点位、频次和天数为暂定值，最终按实际监测报告结算</w:t>
      </w:r>
      <w:r>
        <w:rPr>
          <w:rFonts w:hint="eastAsia" w:ascii="仿宋_GB2312" w:hAnsi="仿宋_GB2312" w:cs="仿宋_GB2312"/>
          <w:color w:val="auto"/>
          <w:sz w:val="21"/>
          <w:szCs w:val="21"/>
          <w:highlight w:val="none"/>
        </w:rPr>
        <w:t>。</w:t>
      </w:r>
    </w:p>
    <w:p>
      <w:pPr>
        <w:pStyle w:val="46"/>
        <w:rPr>
          <w:rFonts w:hint="eastAsia" w:ascii="仿宋_GB2312" w:hAnsi="仿宋_GB2312" w:cs="仿宋_GB2312"/>
          <w:color w:val="auto"/>
          <w:sz w:val="21"/>
          <w:szCs w:val="21"/>
          <w:highlight w:val="none"/>
        </w:rPr>
      </w:pPr>
    </w:p>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2" w:name="_Toc88209965"/>
      <w:bookmarkStart w:id="133" w:name="_Toc16386"/>
      <w:bookmarkStart w:id="134" w:name="_Toc6058"/>
      <w:bookmarkStart w:id="13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3008C15"/>
    <w:multiLevelType w:val="singleLevel"/>
    <w:tmpl w:val="13008C15"/>
    <w:lvl w:ilvl="0" w:tentative="0">
      <w:start w:val="5"/>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A023E"/>
    <w:rsid w:val="03DC3EBA"/>
    <w:rsid w:val="03F9794D"/>
    <w:rsid w:val="04163792"/>
    <w:rsid w:val="046A2461"/>
    <w:rsid w:val="051C2970"/>
    <w:rsid w:val="060C3611"/>
    <w:rsid w:val="06C64829"/>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4974DD"/>
    <w:rsid w:val="108C3B91"/>
    <w:rsid w:val="10C96CBC"/>
    <w:rsid w:val="111703D2"/>
    <w:rsid w:val="112B101A"/>
    <w:rsid w:val="119B53FC"/>
    <w:rsid w:val="11B50367"/>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695E3D"/>
    <w:rsid w:val="1F94592D"/>
    <w:rsid w:val="1FB860DE"/>
    <w:rsid w:val="202B52AE"/>
    <w:rsid w:val="203C5A02"/>
    <w:rsid w:val="209D4C94"/>
    <w:rsid w:val="20B44FCD"/>
    <w:rsid w:val="20E84705"/>
    <w:rsid w:val="218400BA"/>
    <w:rsid w:val="21AB1E2F"/>
    <w:rsid w:val="21D40498"/>
    <w:rsid w:val="22493963"/>
    <w:rsid w:val="22767047"/>
    <w:rsid w:val="23A05588"/>
    <w:rsid w:val="240476A1"/>
    <w:rsid w:val="240D5638"/>
    <w:rsid w:val="247C0C4C"/>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AF3945"/>
    <w:rsid w:val="27EB149D"/>
    <w:rsid w:val="27FD3E52"/>
    <w:rsid w:val="28E11370"/>
    <w:rsid w:val="294A756A"/>
    <w:rsid w:val="29722B26"/>
    <w:rsid w:val="29781BF8"/>
    <w:rsid w:val="297939E2"/>
    <w:rsid w:val="29C33ED0"/>
    <w:rsid w:val="29D5322D"/>
    <w:rsid w:val="29FD2068"/>
    <w:rsid w:val="2A025DD9"/>
    <w:rsid w:val="2A2619CB"/>
    <w:rsid w:val="2A7317D3"/>
    <w:rsid w:val="2A7C2231"/>
    <w:rsid w:val="2A920E4F"/>
    <w:rsid w:val="2ABB753D"/>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F2ACF"/>
    <w:rsid w:val="2FF93D20"/>
    <w:rsid w:val="30540211"/>
    <w:rsid w:val="30E45100"/>
    <w:rsid w:val="31112A0D"/>
    <w:rsid w:val="3118711F"/>
    <w:rsid w:val="311F4B20"/>
    <w:rsid w:val="312D7741"/>
    <w:rsid w:val="316F137F"/>
    <w:rsid w:val="31DF525F"/>
    <w:rsid w:val="31EC162B"/>
    <w:rsid w:val="32324C2E"/>
    <w:rsid w:val="327171DF"/>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0B6F34"/>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C52AAE"/>
    <w:rsid w:val="4DE24E21"/>
    <w:rsid w:val="4E1B19A3"/>
    <w:rsid w:val="4E48787F"/>
    <w:rsid w:val="4EF0709E"/>
    <w:rsid w:val="4F0469A4"/>
    <w:rsid w:val="500E56F4"/>
    <w:rsid w:val="50540C73"/>
    <w:rsid w:val="50752AF8"/>
    <w:rsid w:val="51164CA0"/>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EC3BB9"/>
    <w:rsid w:val="59FC7994"/>
    <w:rsid w:val="5A006DFE"/>
    <w:rsid w:val="5AE83A50"/>
    <w:rsid w:val="5B353193"/>
    <w:rsid w:val="5B724FEB"/>
    <w:rsid w:val="5BAB2917"/>
    <w:rsid w:val="5BFC33FA"/>
    <w:rsid w:val="5C032798"/>
    <w:rsid w:val="5C3107A4"/>
    <w:rsid w:val="5C3B1B93"/>
    <w:rsid w:val="5C9220DF"/>
    <w:rsid w:val="5D4A15F3"/>
    <w:rsid w:val="5D69542A"/>
    <w:rsid w:val="5D783B72"/>
    <w:rsid w:val="5E0930EF"/>
    <w:rsid w:val="5E3D4D53"/>
    <w:rsid w:val="5E4717E6"/>
    <w:rsid w:val="5E55774C"/>
    <w:rsid w:val="5E873E9A"/>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6D67DA"/>
    <w:rsid w:val="67CB09D8"/>
    <w:rsid w:val="67EE3B0F"/>
    <w:rsid w:val="680A5986"/>
    <w:rsid w:val="680D5F4B"/>
    <w:rsid w:val="68113F51"/>
    <w:rsid w:val="6828259E"/>
    <w:rsid w:val="68691A4F"/>
    <w:rsid w:val="68C10EF1"/>
    <w:rsid w:val="68E94770"/>
    <w:rsid w:val="68EC1CEF"/>
    <w:rsid w:val="68F949C9"/>
    <w:rsid w:val="695A4290"/>
    <w:rsid w:val="696F3649"/>
    <w:rsid w:val="69883869"/>
    <w:rsid w:val="699E5B68"/>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A25E44"/>
    <w:rsid w:val="741F68CF"/>
    <w:rsid w:val="75252DF3"/>
    <w:rsid w:val="75621536"/>
    <w:rsid w:val="75BF3154"/>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B65604"/>
    <w:rsid w:val="7AE15A5C"/>
    <w:rsid w:val="7AF37579"/>
    <w:rsid w:val="7AF87F64"/>
    <w:rsid w:val="7B1C0C84"/>
    <w:rsid w:val="7B28444C"/>
    <w:rsid w:val="7B305ECD"/>
    <w:rsid w:val="7B5A62DF"/>
    <w:rsid w:val="7B7A04A8"/>
    <w:rsid w:val="7C0C3F6D"/>
    <w:rsid w:val="7C22163C"/>
    <w:rsid w:val="7C457B4B"/>
    <w:rsid w:val="7C595075"/>
    <w:rsid w:val="7C6B07B2"/>
    <w:rsid w:val="7D133243"/>
    <w:rsid w:val="7D945420"/>
    <w:rsid w:val="7D997857"/>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jc w:val="left"/>
    </w:pPr>
    <w:rPr>
      <w:rFonts w:cs="Times New Roman"/>
      <w:kern w:val="0"/>
      <w:sz w:val="24"/>
    </w:rPr>
  </w:style>
  <w:style w:type="paragraph" w:styleId="22">
    <w:name w:val="Body Text First Indent"/>
    <w:basedOn w:val="9"/>
    <w:unhideWhenUsed/>
    <w:qFormat/>
    <w:uiPriority w:val="99"/>
    <w:pPr>
      <w:spacing w:after="120"/>
      <w:ind w:firstLine="420"/>
    </w:pPr>
    <w:rPr>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b/>
      <w:bCs/>
      <w:color w:val="000000"/>
      <w:sz w:val="18"/>
      <w:szCs w:val="18"/>
      <w:u w:val="none"/>
    </w:rPr>
  </w:style>
  <w:style w:type="character" w:customStyle="1" w:styleId="48">
    <w:name w:val="font1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18566</Words>
  <Characters>19613</Characters>
  <Lines>300</Lines>
  <Paragraphs>84</Paragraphs>
  <TotalTime>7</TotalTime>
  <ScaleCrop>false</ScaleCrop>
  <LinksUpToDate>false</LinksUpToDate>
  <CharactersWithSpaces>21373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2022-08-18T09:03:00Z</cp:lastPrinted>
  <dcterms:modified xsi:type="dcterms:W3CDTF">2022-09-28T08:22:03Z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7FAE17E0CDD5400183643E6BA5358757</vt:lpwstr>
  </property>
</Properties>
</file>