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51" w:name="_GoBack"/>
      <w:bookmarkEnd w:id="151"/>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rPr>
        <w:t>广州市净水有限公司202</w:t>
      </w:r>
      <w:r>
        <w:rPr>
          <w:rFonts w:hint="eastAsia" w:ascii="方正小标宋简体" w:hAnsi="方正小标宋简体" w:eastAsia="方正小标宋简体" w:cs="方正小标宋简体"/>
          <w:b/>
          <w:bCs/>
          <w:color w:val="auto"/>
          <w:sz w:val="52"/>
          <w:szCs w:val="52"/>
          <w:highlight w:val="none"/>
          <w:lang w:val="en-US" w:eastAsia="zh-CN"/>
        </w:rPr>
        <w:t>2</w:t>
      </w:r>
      <w:r>
        <w:rPr>
          <w:rFonts w:hint="eastAsia" w:ascii="方正小标宋简体" w:hAnsi="方正小标宋简体" w:eastAsia="方正小标宋简体" w:cs="方正小标宋简体"/>
          <w:b/>
          <w:bCs/>
          <w:color w:val="auto"/>
          <w:sz w:val="52"/>
          <w:szCs w:val="52"/>
          <w:highlight w:val="none"/>
        </w:rPr>
        <w:t>-202</w:t>
      </w:r>
      <w:r>
        <w:rPr>
          <w:rFonts w:hint="eastAsia" w:ascii="方正小标宋简体" w:hAnsi="方正小标宋简体" w:eastAsia="方正小标宋简体" w:cs="方正小标宋简体"/>
          <w:b/>
          <w:bCs/>
          <w:color w:val="auto"/>
          <w:sz w:val="52"/>
          <w:szCs w:val="52"/>
          <w:highlight w:val="none"/>
          <w:lang w:val="en-US" w:eastAsia="zh-CN"/>
        </w:rPr>
        <w:t>3</w:t>
      </w:r>
      <w:r>
        <w:rPr>
          <w:rFonts w:hint="eastAsia" w:ascii="方正小标宋简体" w:hAnsi="方正小标宋简体" w:eastAsia="方正小标宋简体" w:cs="方正小标宋简体"/>
          <w:b/>
          <w:bCs/>
          <w:color w:val="auto"/>
          <w:sz w:val="52"/>
          <w:szCs w:val="52"/>
          <w:highlight w:val="none"/>
        </w:rPr>
        <w:t>年污泥干化处理服务项目污泥泥质检测</w:t>
      </w:r>
      <w:r>
        <w:rPr>
          <w:rFonts w:hint="eastAsia" w:ascii="方正小标宋简体" w:hAnsi="方正小标宋简体" w:eastAsia="方正小标宋简体" w:cs="方正小标宋简体"/>
          <w:b/>
          <w:bCs/>
          <w:color w:val="auto"/>
          <w:sz w:val="52"/>
          <w:szCs w:val="52"/>
          <w:highlight w:val="none"/>
          <w:lang w:val="en-US" w:eastAsia="zh-CN"/>
        </w:rPr>
        <w:t>项目</w:t>
      </w:r>
    </w:p>
    <w:p>
      <w:pPr>
        <w:pStyle w:val="2"/>
        <w:rPr>
          <w:rFonts w:hint="eastAsia" w:ascii="宋体" w:hAnsi="Times New Roman" w:eastAsia="仿宋_GB2312" w:cs="宋体"/>
          <w:b w:val="0"/>
          <w:bCs w:val="0"/>
          <w:color w:val="auto"/>
          <w:sz w:val="24"/>
          <w:szCs w:val="24"/>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bookmarkEnd w:id="0"/>
    <w:bookmarkEnd w:id="1"/>
    <w:bookmarkEnd w:id="2"/>
    <w:bookmarkEnd w:id="3"/>
    <w:p>
      <w:pPr>
        <w:pStyle w:val="3"/>
        <w:rPr>
          <w:color w:val="auto"/>
          <w:highlight w:val="none"/>
        </w:rPr>
      </w:pPr>
      <w:bookmarkStart w:id="4" w:name="_Toc17801"/>
      <w:bookmarkStart w:id="5" w:name="_Toc1669"/>
      <w:bookmarkStart w:id="6" w:name="_Toc7519"/>
      <w:bookmarkStart w:id="7" w:name="_Toc4275"/>
      <w:bookmarkStart w:id="8" w:name="_Toc19609"/>
      <w:bookmarkStart w:id="9" w:name="_Toc31938"/>
      <w:bookmarkStart w:id="10" w:name="_Toc11322"/>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2473960</wp:posOffset>
                </wp:positionH>
                <wp:positionV relativeFrom="paragraph">
                  <wp:posOffset>16510</wp:posOffset>
                </wp:positionV>
                <wp:extent cx="958850"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8pt;margin-top:1.3pt;height:0pt;width:75.5pt;z-index:251664384;mso-width-relative:page;mso-height-relative:page;" filled="f" stroked="t" coordsize="21600,21600" o:gfxdata="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1lPXVAAAABwEAAA8AAAAAAAAAAQAgAAAAIgAAAGRycy9kb3ducmV2&#10;LnhtbFBLAQIUABQAAAAIAIdO4kCSro5y/wEAAPsDAAAOAAAAAAAAAAEAIAAAACQBAABkcnMvZTJv&#10;RG9jLnhtbFBLBQYAAAAABgAGAFkBAACV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2466340</wp:posOffset>
                </wp:positionH>
                <wp:positionV relativeFrom="paragraph">
                  <wp:posOffset>654050</wp:posOffset>
                </wp:positionV>
                <wp:extent cx="95885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2pt;margin-top:51.5pt;height:0pt;width:75.5pt;z-index:251665408;mso-width-relative:page;mso-height-relative:page;" filled="f" stroked="t" coordsize="21600,21600" o:gfxdata="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cXW3XAAAACwEAAA8AAAAAAAAAAQAgAAAAIgAAAGRycy9kb3du&#10;cmV2LnhtbFBLAQIUABQAAAAIAIdO4kAmWViEAAIAAPsDAAAOAAAAAAAAAAEAIAAAACYBAABkcnMv&#10;ZTJvRG9jLnhtbFBLBQYAAAAABgAGAFkBAACYBQAAAAA=&#10;">
                <v:fill on="f" focussize="0,0"/>
                <v:stroke color="#000000" joinstyle="round"/>
                <v:imagedata o:title=""/>
                <o:lock v:ext="edit" aspectratio="f"/>
              </v:shape>
            </w:pict>
          </mc:Fallback>
        </mc:AlternateContent>
      </w:r>
      <w:r>
        <w:rPr>
          <w:rFonts w:hint="eastAsia"/>
          <w:color w:val="auto"/>
          <w:highlight w:val="none"/>
        </w:rPr>
        <w:t>第一章</w:t>
      </w:r>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bookmarkStart w:id="11" w:name="_Toc30989"/>
      <w:bookmarkStart w:id="12" w:name="_Toc14238"/>
      <w:bookmarkStart w:id="13" w:name="_Toc2659"/>
      <w:bookmarkStart w:id="14" w:name="_Toc26363"/>
      <w:bookmarkStart w:id="15" w:name="_Toc28995"/>
      <w:bookmarkStart w:id="16" w:name="_Toc999"/>
      <w:bookmarkStart w:id="17" w:name="_Toc5230"/>
      <w:bookmarkStart w:id="18" w:name="_Toc15709"/>
      <w:bookmarkStart w:id="19" w:name="_Toc88209924"/>
      <w:bookmarkStart w:id="20" w:name="_Toc30131"/>
      <w:bookmarkStart w:id="21" w:name="_Toc10122"/>
      <w:bookmarkStart w:id="22" w:name="_Toc820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360" w:lineRule="auto"/>
        <w:ind w:firstLine="420"/>
        <w:textAlignment w:val="baseline"/>
        <w:rPr>
          <w:rFonts w:ascii="方正小标宋简体" w:hAnsi="宋体" w:eastAsia="方正小标宋简体" w:cs="Times New Roman"/>
          <w:color w:val="auto"/>
          <w:kern w:val="0"/>
          <w:sz w:val="44"/>
          <w:szCs w:val="44"/>
          <w:highlight w:val="none"/>
        </w:rPr>
      </w:pPr>
    </w:p>
    <w:p>
      <w:pPr>
        <w:pStyle w:val="22"/>
        <w:ind w:firstLine="0"/>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21373"/>
      <w:bookmarkStart w:id="24" w:name="_Toc9680"/>
      <w:r>
        <w:rPr>
          <w:rFonts w:hint="eastAsia" w:ascii="宋体" w:hAnsi="宋体" w:eastAsia="宋体" w:cs="宋体"/>
          <w:b/>
          <w:bCs w:val="0"/>
          <w:color w:val="auto"/>
          <w:sz w:val="36"/>
          <w:szCs w:val="32"/>
          <w:highlight w:val="none"/>
          <w:u w:val="none"/>
        </w:rPr>
        <w:t>广州市净水有限公司202</w:t>
      </w:r>
      <w:r>
        <w:rPr>
          <w:rFonts w:hint="eastAsia" w:ascii="宋体" w:hAnsi="宋体" w:eastAsia="宋体" w:cs="宋体"/>
          <w:b/>
          <w:bCs w:val="0"/>
          <w:color w:val="auto"/>
          <w:sz w:val="36"/>
          <w:szCs w:val="32"/>
          <w:highlight w:val="none"/>
          <w:u w:val="none"/>
          <w:lang w:val="en-US" w:eastAsia="zh-CN"/>
        </w:rPr>
        <w:t>2</w:t>
      </w:r>
      <w:r>
        <w:rPr>
          <w:rFonts w:hint="eastAsia" w:ascii="宋体" w:hAnsi="宋体" w:eastAsia="宋体" w:cs="宋体"/>
          <w:b/>
          <w:bCs w:val="0"/>
          <w:color w:val="auto"/>
          <w:sz w:val="36"/>
          <w:szCs w:val="32"/>
          <w:highlight w:val="none"/>
          <w:u w:val="none"/>
        </w:rPr>
        <w:t>-202</w:t>
      </w:r>
      <w:r>
        <w:rPr>
          <w:rFonts w:hint="eastAsia" w:ascii="宋体" w:hAnsi="宋体" w:eastAsia="宋体" w:cs="宋体"/>
          <w:b/>
          <w:bCs w:val="0"/>
          <w:color w:val="auto"/>
          <w:sz w:val="36"/>
          <w:szCs w:val="32"/>
          <w:highlight w:val="none"/>
          <w:u w:val="none"/>
          <w:lang w:val="en-US" w:eastAsia="zh-CN"/>
        </w:rPr>
        <w:t>3</w:t>
      </w:r>
      <w:r>
        <w:rPr>
          <w:rFonts w:hint="eastAsia" w:ascii="宋体" w:hAnsi="宋体" w:eastAsia="宋体" w:cs="宋体"/>
          <w:b/>
          <w:bCs w:val="0"/>
          <w:color w:val="auto"/>
          <w:sz w:val="36"/>
          <w:szCs w:val="32"/>
          <w:highlight w:val="none"/>
          <w:u w:val="none"/>
        </w:rPr>
        <w:t>年污泥干化处理服务项目污泥泥质检测</w:t>
      </w:r>
      <w:r>
        <w:rPr>
          <w:rFonts w:hint="eastAsia" w:ascii="宋体" w:hAnsi="宋体" w:eastAsia="宋体" w:cs="宋体"/>
          <w:b/>
          <w:bCs w:val="0"/>
          <w:color w:val="auto"/>
          <w:highlight w:val="none"/>
          <w:u w:val="none"/>
          <w:lang w:val="en-US" w:eastAsia="zh-CN"/>
        </w:rPr>
        <w:t>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b w:val="0"/>
          <w:bCs w:val="0"/>
          <w:i w:val="0"/>
          <w:iCs w:val="0"/>
          <w:color w:val="auto"/>
          <w:sz w:val="28"/>
          <w:szCs w:val="28"/>
          <w:highlight w:val="none"/>
          <w:u w:val="single"/>
        </w:rPr>
        <w:t>广州市净水有限公司202</w:t>
      </w:r>
      <w:r>
        <w:rPr>
          <w:rFonts w:hint="eastAsia" w:ascii="仿宋" w:hAnsi="仿宋" w:eastAsia="仿宋" w:cs="仿宋"/>
          <w:b w:val="0"/>
          <w:bCs w:val="0"/>
          <w:i w:val="0"/>
          <w:iCs w:val="0"/>
          <w:color w:val="auto"/>
          <w:sz w:val="28"/>
          <w:szCs w:val="28"/>
          <w:highlight w:val="none"/>
          <w:u w:val="single"/>
          <w:lang w:val="en-US" w:eastAsia="zh-CN"/>
        </w:rPr>
        <w:t>2</w:t>
      </w:r>
      <w:r>
        <w:rPr>
          <w:rFonts w:hint="eastAsia" w:ascii="仿宋" w:hAnsi="仿宋" w:eastAsia="仿宋" w:cs="仿宋"/>
          <w:b w:val="0"/>
          <w:bCs w:val="0"/>
          <w:i w:val="0"/>
          <w:iCs w:val="0"/>
          <w:color w:val="auto"/>
          <w:sz w:val="28"/>
          <w:szCs w:val="28"/>
          <w:highlight w:val="none"/>
          <w:u w:val="single"/>
        </w:rPr>
        <w:t>-202</w:t>
      </w:r>
      <w:r>
        <w:rPr>
          <w:rFonts w:hint="eastAsia" w:ascii="仿宋" w:hAnsi="仿宋" w:eastAsia="仿宋" w:cs="仿宋"/>
          <w:b w:val="0"/>
          <w:bCs w:val="0"/>
          <w:i w:val="0"/>
          <w:iCs w:val="0"/>
          <w:color w:val="auto"/>
          <w:sz w:val="28"/>
          <w:szCs w:val="28"/>
          <w:highlight w:val="none"/>
          <w:u w:val="single"/>
          <w:lang w:val="en-US" w:eastAsia="zh-CN"/>
        </w:rPr>
        <w:t>3</w:t>
      </w:r>
      <w:r>
        <w:rPr>
          <w:rFonts w:hint="eastAsia" w:ascii="仿宋" w:hAnsi="仿宋" w:eastAsia="仿宋" w:cs="仿宋"/>
          <w:b w:val="0"/>
          <w:bCs w:val="0"/>
          <w:i w:val="0"/>
          <w:iCs w:val="0"/>
          <w:color w:val="auto"/>
          <w:sz w:val="28"/>
          <w:szCs w:val="28"/>
          <w:highlight w:val="none"/>
          <w:u w:val="single"/>
        </w:rPr>
        <w:t>年污泥干化处理服务项目污泥泥质检测</w:t>
      </w:r>
      <w:r>
        <w:rPr>
          <w:rFonts w:hint="eastAsia" w:ascii="仿宋" w:hAnsi="仿宋" w:eastAsia="仿宋" w:cs="仿宋"/>
          <w:b w:val="0"/>
          <w:bCs w:val="0"/>
          <w:i w:val="0"/>
          <w:iCs w:val="0"/>
          <w:color w:val="auto"/>
          <w:sz w:val="28"/>
          <w:szCs w:val="28"/>
          <w:highlight w:val="none"/>
          <w:u w:val="single"/>
          <w:lang w:val="en-US" w:eastAsia="zh-CN"/>
        </w:rPr>
        <w:t>项目</w:t>
      </w:r>
      <w:r>
        <w:rPr>
          <w:rFonts w:hint="eastAsia" w:ascii="仿宋" w:hAnsi="仿宋" w:eastAsia="仿宋" w:cs="仿宋"/>
          <w:color w:val="auto"/>
          <w:sz w:val="28"/>
          <w:szCs w:val="28"/>
          <w:highlight w:val="none"/>
        </w:rPr>
        <w:t xml:space="preserve">已具备采购条件，现对该□施工  □货物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服务项目实施公开采购活动，采用</w:t>
      </w:r>
      <w:r>
        <w:rPr>
          <w:rFonts w:hint="eastAsia" w:ascii="仿宋" w:hAnsi="仿宋" w:eastAsia="仿宋" w:cs="仿宋"/>
          <w:color w:val="auto"/>
          <w:sz w:val="28"/>
          <w:szCs w:val="28"/>
          <w:highlight w:val="none"/>
          <w:u w:val="single"/>
        </w:rPr>
        <w:t>询比采购</w:t>
      </w:r>
      <w:r>
        <w:rPr>
          <w:rFonts w:hint="eastAsia" w:ascii="仿宋" w:hAnsi="仿宋" w:eastAsia="仿宋" w:cs="仿宋"/>
          <w:color w:val="auto"/>
          <w:sz w:val="28"/>
          <w:szCs w:val="28"/>
          <w:highlight w:val="none"/>
        </w:rPr>
        <w:t>方式公开邀请合格供应商参加本项目采购竞争。</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b w:val="0"/>
          <w:bCs w:val="0"/>
          <w:color w:val="auto"/>
          <w:sz w:val="28"/>
          <w:szCs w:val="28"/>
          <w:highlight w:val="none"/>
          <w:u w:val="single"/>
        </w:rPr>
        <w:t>广州市净水有限公司202</w:t>
      </w:r>
      <w:r>
        <w:rPr>
          <w:rFonts w:hint="eastAsia" w:ascii="仿宋" w:hAnsi="仿宋" w:eastAsia="仿宋" w:cs="仿宋"/>
          <w:b w:val="0"/>
          <w:bCs w:val="0"/>
          <w:color w:val="auto"/>
          <w:sz w:val="28"/>
          <w:szCs w:val="28"/>
          <w:highlight w:val="none"/>
          <w:u w:val="single"/>
          <w:lang w:val="en-US" w:eastAsia="zh-CN"/>
        </w:rPr>
        <w:t>2</w:t>
      </w:r>
      <w:r>
        <w:rPr>
          <w:rFonts w:hint="eastAsia" w:ascii="仿宋" w:hAnsi="仿宋" w:eastAsia="仿宋" w:cs="仿宋"/>
          <w:b w:val="0"/>
          <w:bCs w:val="0"/>
          <w:color w:val="auto"/>
          <w:sz w:val="28"/>
          <w:szCs w:val="28"/>
          <w:highlight w:val="none"/>
          <w:u w:val="single"/>
        </w:rPr>
        <w:t>-202</w:t>
      </w:r>
      <w:r>
        <w:rPr>
          <w:rFonts w:hint="eastAsia" w:ascii="仿宋" w:hAnsi="仿宋" w:eastAsia="仿宋" w:cs="仿宋"/>
          <w:b w:val="0"/>
          <w:bCs w:val="0"/>
          <w:color w:val="auto"/>
          <w:sz w:val="28"/>
          <w:szCs w:val="28"/>
          <w:highlight w:val="none"/>
          <w:u w:val="single"/>
          <w:lang w:val="en-US" w:eastAsia="zh-CN"/>
        </w:rPr>
        <w:t>3</w:t>
      </w:r>
      <w:r>
        <w:rPr>
          <w:rFonts w:hint="eastAsia" w:ascii="仿宋" w:hAnsi="仿宋" w:eastAsia="仿宋" w:cs="仿宋"/>
          <w:b w:val="0"/>
          <w:bCs w:val="0"/>
          <w:color w:val="auto"/>
          <w:sz w:val="28"/>
          <w:szCs w:val="28"/>
          <w:highlight w:val="none"/>
          <w:u w:val="single"/>
        </w:rPr>
        <w:t>年污泥干化处理服务项目污泥泥质检测</w:t>
      </w:r>
      <w:r>
        <w:rPr>
          <w:rFonts w:hint="eastAsia" w:ascii="仿宋" w:hAnsi="仿宋" w:eastAsia="仿宋" w:cs="仿宋"/>
          <w:b w:val="0"/>
          <w:bCs w:val="0"/>
          <w:color w:val="auto"/>
          <w:sz w:val="28"/>
          <w:szCs w:val="28"/>
          <w:highlight w:val="none"/>
          <w:u w:val="single"/>
          <w:lang w:val="en-US" w:eastAsia="zh-CN"/>
        </w:rPr>
        <w:t>项目</w:t>
      </w:r>
    </w:p>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XJ-20220922-4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1.3资金来源：</w:t>
      </w:r>
      <w:r>
        <w:rPr>
          <w:rFonts w:hint="eastAsia" w:ascii="仿宋" w:hAnsi="仿宋" w:eastAsia="仿宋" w:cs="仿宋"/>
          <w:color w:val="auto"/>
          <w:sz w:val="28"/>
          <w:szCs w:val="28"/>
          <w:highlight w:val="none"/>
          <w:u w:val="single"/>
        </w:rPr>
        <w:t xml:space="preserve">自有资金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1.4最高限价（元）：</w:t>
      </w:r>
      <w:r>
        <w:rPr>
          <w:rFonts w:hint="eastAsia" w:ascii="仿宋" w:hAnsi="仿宋" w:eastAsia="仿宋" w:cs="仿宋"/>
          <w:color w:val="auto"/>
          <w:sz w:val="28"/>
          <w:szCs w:val="28"/>
          <w:highlight w:val="none"/>
          <w:u w:val="single"/>
          <w:lang w:val="en-US" w:eastAsia="zh-CN"/>
        </w:rPr>
        <w:t>52</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 xml:space="preserve">万元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1.5标段划分：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default" w:ascii="Times New Roman" w:hAnsi="Times New Roman" w:eastAsia="仿宋_GB2312" w:cs="Times New Roman"/>
          <w:b w:val="0"/>
          <w:bCs/>
          <w:color w:val="auto"/>
          <w:sz w:val="28"/>
          <w:szCs w:val="28"/>
          <w:highlight w:val="none"/>
          <w:lang w:val="zh-CN"/>
        </w:rPr>
        <w:t>根据各净水厂辖下污泥干化服务项目（大沙地分公司、石井分公司一期和二期、石井净水分公司一期、龙归分公司、竹料分公司、大观分公司）运营合同和EPC项目（猎德分公司、大坦沙分公司、沥滘分公司和西朗公司）</w:t>
      </w:r>
      <w:r>
        <w:rPr>
          <w:rFonts w:hint="default" w:ascii="Times New Roman" w:hAnsi="Times New Roman" w:eastAsia="仿宋_GB2312" w:cs="Times New Roman"/>
          <w:bCs/>
          <w:snapToGrid/>
          <w:color w:val="auto"/>
          <w:kern w:val="2"/>
          <w:sz w:val="28"/>
          <w:szCs w:val="28"/>
          <w:highlight w:val="none"/>
          <w:lang w:val="zh-CN"/>
        </w:rPr>
        <w:t>服务采购</w:t>
      </w:r>
      <w:r>
        <w:rPr>
          <w:rFonts w:hint="default" w:ascii="Times New Roman" w:hAnsi="Times New Roman" w:eastAsia="仿宋_GB2312" w:cs="Times New Roman"/>
          <w:b w:val="0"/>
          <w:bCs/>
          <w:color w:val="auto"/>
          <w:sz w:val="28"/>
          <w:szCs w:val="28"/>
          <w:highlight w:val="none"/>
          <w:lang w:val="zh-CN"/>
        </w:rPr>
        <w:t>合同的约定条款，委托具有CMA资质的第三方检测单位对出泥泥质、</w:t>
      </w:r>
      <w:r>
        <w:rPr>
          <w:rFonts w:hint="eastAsia" w:ascii="仿宋" w:hAnsi="仿宋" w:eastAsia="仿宋" w:cs="仿宋"/>
          <w:color w:val="auto"/>
          <w:sz w:val="28"/>
          <w:szCs w:val="28"/>
          <w:highlight w:val="none"/>
          <w:u w:val="none"/>
          <w:lang w:val="en-US" w:eastAsia="zh-CN"/>
        </w:rPr>
        <w:t>废气、粉尘、噪声、废水、固体废物等污染物</w:t>
      </w:r>
      <w:r>
        <w:rPr>
          <w:rFonts w:hint="default" w:ascii="Times New Roman" w:hAnsi="Times New Roman" w:eastAsia="仿宋_GB2312" w:cs="Times New Roman"/>
          <w:b w:val="0"/>
          <w:bCs/>
          <w:color w:val="auto"/>
          <w:sz w:val="28"/>
          <w:szCs w:val="28"/>
          <w:highlight w:val="none"/>
          <w:lang w:val="zh-CN"/>
        </w:rPr>
        <w:t>的相关指标开展检测工作</w:t>
      </w:r>
      <w:r>
        <w:rPr>
          <w:rFonts w:hint="eastAsia" w:ascii="Times New Roman" w:hAnsi="Times New Roman" w:eastAsia="仿宋_GB2312" w:cs="Times New Roman"/>
          <w:b w:val="0"/>
          <w:bCs/>
          <w:color w:val="auto"/>
          <w:sz w:val="28"/>
          <w:szCs w:val="28"/>
          <w:highlight w:val="none"/>
          <w:lang w:val="zh-CN"/>
        </w:rPr>
        <w:t>，</w:t>
      </w:r>
      <w:r>
        <w:rPr>
          <w:rFonts w:hint="eastAsia" w:ascii="仿宋" w:hAnsi="仿宋" w:eastAsia="仿宋" w:cs="仿宋"/>
          <w:color w:val="auto"/>
          <w:sz w:val="28"/>
          <w:szCs w:val="28"/>
          <w:highlight w:val="none"/>
          <w:u w:val="single"/>
        </w:rPr>
        <w:t>并出具相关报告。</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rPr>
        <w:t xml:space="preserve"> 自合同签订之日起至2023年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月3</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 xml:space="preserve">日止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default" w:ascii="Times New Roman" w:hAnsi="Times New Roman" w:eastAsia="仿宋_GB2312" w:cs="Times New Roman"/>
          <w:b w:val="0"/>
          <w:bCs/>
          <w:color w:val="auto"/>
          <w:sz w:val="28"/>
          <w:szCs w:val="28"/>
          <w:highlight w:val="none"/>
          <w:lang w:val="zh-CN"/>
        </w:rPr>
        <w:t>大沙地分公司、石井分公司一期和二期、石井净水分公司一期、龙归分公司、竹料分公司、大观分公司</w:t>
      </w:r>
      <w:r>
        <w:rPr>
          <w:rFonts w:hint="eastAsia" w:ascii="Times New Roman" w:hAnsi="Times New Roman" w:eastAsia="仿宋_GB2312" w:cs="Times New Roman"/>
          <w:b w:val="0"/>
          <w:bCs/>
          <w:color w:val="auto"/>
          <w:sz w:val="28"/>
          <w:szCs w:val="28"/>
          <w:highlight w:val="none"/>
          <w:lang w:val="zh-CN"/>
        </w:rPr>
        <w:t>、</w:t>
      </w:r>
      <w:r>
        <w:rPr>
          <w:rFonts w:hint="default" w:ascii="Times New Roman" w:hAnsi="Times New Roman" w:eastAsia="仿宋_GB2312" w:cs="Times New Roman"/>
          <w:b w:val="0"/>
          <w:bCs/>
          <w:color w:val="auto"/>
          <w:sz w:val="28"/>
          <w:szCs w:val="28"/>
          <w:highlight w:val="none"/>
          <w:lang w:val="zh-CN"/>
        </w:rPr>
        <w:t>猎德分公司、大坦沙分公司、沥滘分公司和西朗公司</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详见合同附件  </w:t>
      </w:r>
    </w:p>
    <w:p>
      <w:pPr>
        <w:adjustRightInd w:val="0"/>
        <w:snapToGrid w:val="0"/>
        <w:spacing w:line="600" w:lineRule="exact"/>
        <w:ind w:left="420" w:right="-370" w:rightChars="-176" w:hanging="420" w:hangingChars="15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详见合同附件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3.供应商资格要求（须提供复印件并加盖单位公章）</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（2）供应商应当具备质量技术监督管理部门颁发的计量认证资质（CMA），所认证的检测能力必须包括污泥（含水率、有机质含量、氰化物、锌、铜、铅、镍、铬、镉、砷、氮、磷）检测项目方法</w:t>
      </w:r>
      <w:r>
        <w:rPr>
          <w:rFonts w:hint="eastAsia" w:ascii="仿宋" w:hAnsi="仿宋" w:eastAsia="仿宋" w:cs="仿宋"/>
          <w:color w:val="auto"/>
          <w:sz w:val="28"/>
          <w:szCs w:val="28"/>
          <w:highlight w:val="none"/>
          <w:lang w:eastAsia="zh-CN"/>
        </w:rPr>
        <w:t>。</w:t>
      </w:r>
    </w:p>
    <w:p>
      <w:pPr>
        <w:pStyle w:val="2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注：提供有效期内CMA复印件并标注上述所有检测项目，不标注则视为不响应。</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（3） 2019 年1月1日至今，供应商最少具有一项</w:t>
      </w:r>
      <w:r>
        <w:rPr>
          <w:rFonts w:hint="eastAsia" w:ascii="仿宋" w:hAnsi="仿宋" w:eastAsia="仿宋" w:cs="仿宋"/>
          <w:color w:val="auto"/>
          <w:sz w:val="28"/>
          <w:szCs w:val="28"/>
          <w:highlight w:val="none"/>
          <w:u w:val="single"/>
          <w:lang w:val="en-US" w:eastAsia="zh-CN"/>
        </w:rPr>
        <w:t>污泥泥质</w:t>
      </w:r>
      <w:r>
        <w:rPr>
          <w:rFonts w:hint="eastAsia" w:ascii="仿宋" w:hAnsi="仿宋" w:eastAsia="仿宋" w:cs="仿宋"/>
          <w:color w:val="auto"/>
          <w:sz w:val="28"/>
          <w:szCs w:val="28"/>
          <w:highlight w:val="none"/>
        </w:rPr>
        <w:t>检测服务项目的业绩（提供合同复印件证明，包括但不限于项目名称、金额及实施内容、合同盖章、</w:t>
      </w:r>
      <w:r>
        <w:rPr>
          <w:rFonts w:hint="eastAsia" w:ascii="仿宋" w:hAnsi="仿宋" w:eastAsia="仿宋" w:cs="仿宋"/>
          <w:color w:val="auto"/>
          <w:sz w:val="28"/>
          <w:szCs w:val="28"/>
          <w:highlight w:val="none"/>
          <w:lang w:val="en-US" w:eastAsia="zh-CN"/>
        </w:rPr>
        <w:t>发票证明、</w:t>
      </w:r>
      <w:r>
        <w:rPr>
          <w:rFonts w:hint="eastAsia" w:ascii="仿宋" w:hAnsi="仿宋" w:eastAsia="仿宋" w:cs="仿宋"/>
          <w:color w:val="auto"/>
          <w:sz w:val="28"/>
          <w:szCs w:val="28"/>
          <w:highlight w:val="none"/>
        </w:rPr>
        <w:t>签订日期，加盖单位公章）。</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踏勘现场</w:t>
      </w:r>
    </w:p>
    <w:p>
      <w:pPr>
        <w:adjustRightInd w:val="0"/>
        <w:snapToGrid w:val="0"/>
        <w:spacing w:line="6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color w:val="auto"/>
          <w:sz w:val="28"/>
          <w:szCs w:val="28"/>
          <w:highlight w:val="none"/>
        </w:rPr>
        <w:t>踏勘集中地点：</w:t>
      </w:r>
    </w:p>
    <w:p>
      <w:pPr>
        <w:numPr>
          <w:ilvl w:val="0"/>
          <w:numId w:val="2"/>
        </w:num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6.1递交响应文件截止时间：</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分前（北京时间）。</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6.2递交及快递地址：广州市天河区临江大道501号广州市净水有限公司6楼招标部。</w:t>
      </w:r>
    </w:p>
    <w:p>
      <w:pPr>
        <w:spacing w:line="600" w:lineRule="exact"/>
        <w:ind w:firstLine="0" w:firstLineChars="0"/>
        <w:rPr>
          <w:rFonts w:hint="default" w:eastAsia="仿宋_GB2312"/>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 w:hAnsi="仿宋" w:eastAsia="仿宋" w:cs="仿宋"/>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7.其他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7.1发布公告的其他媒介</w:t>
      </w:r>
    </w:p>
    <w:p>
      <w:pPr>
        <w:adjustRightInd w:val="0"/>
        <w:snapToGrid w:val="0"/>
        <w:spacing w:line="600" w:lineRule="exact"/>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7.2响应文件递交注意事项</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38890841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848"/>
        <w:gridCol w:w="4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snapToGrid/>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序号</w:t>
            </w:r>
          </w:p>
        </w:tc>
        <w:tc>
          <w:tcPr>
            <w:tcW w:w="3848" w:type="dxa"/>
          </w:tcPr>
          <w:p>
            <w:pPr>
              <w:adjustRightInd/>
              <w:snapToGrid/>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单位名称</w:t>
            </w:r>
          </w:p>
        </w:tc>
        <w:tc>
          <w:tcPr>
            <w:tcW w:w="4275" w:type="dxa"/>
          </w:tcPr>
          <w:p>
            <w:pPr>
              <w:adjustRightInd/>
              <w:snapToGrid/>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84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27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384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27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84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szCs w:val="24"/>
                <w:highlight w:val="none"/>
              </w:rPr>
              <w:t>广州市自来水工程有限公司</w:t>
            </w:r>
          </w:p>
        </w:tc>
        <w:tc>
          <w:tcPr>
            <w:tcW w:w="427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2022年1月1至2022年12月31日</w:t>
            </w:r>
          </w:p>
        </w:tc>
      </w:tr>
    </w:tbl>
    <w:p>
      <w:pPr>
        <w:adjustRightInd w:val="0"/>
        <w:snapToGrid w:val="0"/>
        <w:spacing w:beforeLines="50" w:afterLines="50"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w:t>
            </w:r>
          </w:p>
        </w:tc>
      </w:tr>
    </w:tbl>
    <w:p>
      <w:pPr>
        <w:pStyle w:val="22"/>
        <w:rPr>
          <w:rFonts w:ascii="仿宋_GB2312" w:eastAsia="仿宋_GB2312" w:hAnsiTheme="majorEastAsia"/>
          <w:color w:val="auto"/>
          <w:sz w:val="28"/>
          <w:szCs w:val="28"/>
          <w:highlight w:val="none"/>
        </w:rPr>
        <w:sectPr>
          <w:pgSz w:w="11906" w:h="16838"/>
          <w:pgMar w:top="1089" w:right="1469" w:bottom="1089" w:left="1077" w:header="851" w:footer="992" w:gutter="0"/>
          <w:pgBorders>
            <w:top w:val="none" w:sz="0" w:space="0"/>
            <w:left w:val="none" w:sz="0" w:space="0"/>
            <w:bottom w:val="none" w:sz="0" w:space="0"/>
            <w:right w:val="none" w:sz="0" w:space="0"/>
          </w:pgBorders>
          <w:pgNumType w:start="0"/>
          <w:cols w:space="720" w:num="1"/>
          <w:docGrid w:linePitch="312" w:charSpace="0"/>
        </w:sectPr>
      </w:pPr>
    </w:p>
    <w:p>
      <w:pPr>
        <w:adjustRightInd w:val="0"/>
        <w:snapToGrid w:val="0"/>
        <w:spacing w:beforeLines="50" w:afterLines="50" w:line="600" w:lineRule="exact"/>
        <w:jc w:val="left"/>
        <w:rPr>
          <w:rFonts w:asciiTheme="minorEastAsia" w:hAnsiTheme="minorEastAsia"/>
          <w:color w:val="auto"/>
          <w:sz w:val="24"/>
          <w:szCs w:val="24"/>
          <w:highlight w:val="none"/>
        </w:rPr>
      </w:pPr>
      <w:bookmarkStart w:id="25" w:name="_Toc10891"/>
      <w:r>
        <w:rPr>
          <w:rFonts w:hint="eastAsia" w:asciiTheme="minorEastAsia" w:hAnsiTheme="minorEastAsia"/>
          <w:color w:val="auto"/>
          <w:sz w:val="24"/>
          <w:szCs w:val="24"/>
          <w:highlight w:val="none"/>
        </w:rPr>
        <w:t>适用于纸质评审的采购项目</w:t>
      </w: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2492375</wp:posOffset>
                </wp:positionH>
                <wp:positionV relativeFrom="paragraph">
                  <wp:posOffset>1159510</wp:posOffset>
                </wp:positionV>
                <wp:extent cx="958850" cy="0"/>
                <wp:effectExtent l="0" t="0" r="0" b="0"/>
                <wp:wrapNone/>
                <wp:docPr id="30" name="直接箭头连接符 3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25pt;margin-top:91.3pt;height:0pt;width:75.5pt;z-index:251666432;mso-width-relative:page;mso-height-relative:page;" filled="f" stroked="t" coordsize="21600,21600" o:gfxdata="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Tc5c1QAAAAcBAAAPAAAAAAAAAAEAIAAAACIAAABkcnMvZG93bnJl&#10;di54bWxQSwECFAAUAAAACACHTuJAFiobJQACAAD7AwAADgAAAAAAAAABACAAAAAkAQAAZHJzL2Uy&#10;b0RvYy54bWxQSwUGAAAAAAYABgBZAQAAlgUAAAAA&#10;">
                <v:fill on="f" focussize="0,0"/>
                <v:stroke color="#000000" joinstyle="round"/>
                <v:imagedata o:title=""/>
                <o:lock v:ext="edit" aspectratio="f"/>
              </v:shape>
            </w:pict>
          </mc:Fallback>
        </mc:AlternateContent>
      </w:r>
    </w:p>
    <w:bookmarkEnd w:id="25"/>
    <w:p>
      <w:pPr>
        <w:pStyle w:val="3"/>
        <w:rPr>
          <w:color w:val="auto"/>
          <w:highlight w:val="none"/>
        </w:rPr>
      </w:pPr>
      <w:bookmarkStart w:id="26" w:name="_Toc16705"/>
      <w:bookmarkStart w:id="27" w:name="_Toc25603"/>
      <w:bookmarkStart w:id="28" w:name="_Toc19295"/>
      <w:bookmarkStart w:id="29" w:name="_Toc32588"/>
      <w:bookmarkStart w:id="30" w:name="_Toc23749"/>
      <w:bookmarkStart w:id="31" w:name="_Toc7340"/>
      <w:bookmarkStart w:id="32" w:name="_Toc9448"/>
      <w:bookmarkStart w:id="33" w:name="_Toc16557"/>
      <w:bookmarkStart w:id="34" w:name="_Toc2331"/>
      <w:bookmarkStart w:id="35" w:name="_Toc23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2484755</wp:posOffset>
                </wp:positionH>
                <wp:positionV relativeFrom="paragraph">
                  <wp:posOffset>443230</wp:posOffset>
                </wp:positionV>
                <wp:extent cx="958850" cy="0"/>
                <wp:effectExtent l="0" t="0" r="0" b="0"/>
                <wp:wrapNone/>
                <wp:docPr id="31" name="直接箭头连接符 3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5.65pt;margin-top:34.9pt;height:0pt;width:75.5pt;z-index:251667456;mso-width-relative:page;mso-height-relative:page;" filled="f" stroked="t" coordsize="21600,21600" o:gfxdata="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yggCfXAAAACwEAAA8AAAAAAAAAAQAgAAAAIgAAAGRycy9kb3du&#10;cmV2LnhtbFBLAQIUABQAAAAIAIdO4kCi3c3TAAIAAPsDAAAOAAAAAAAAAAEAIAAAACYBAABkcnMv&#10;ZTJvRG9jLnhtbFBLBQYAAAAABgAGAFkBAACYBQAAAAA=&#10;">
                <v:fill on="f" focussize="0,0"/>
                <v:stroke color="#000000" joinstyle="round"/>
                <v:imagedata o:title=""/>
                <o:lock v:ext="edit" aspectratio="f"/>
              </v:shape>
            </w:pict>
          </mc:Fallback>
        </mc:AlternateConten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p>
    <w:p>
      <w:pPr>
        <w:pStyle w:val="4"/>
        <w:rPr>
          <w:color w:val="auto"/>
          <w:highlight w:val="none"/>
        </w:rPr>
      </w:pPr>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adjustRightInd w:val="0"/>
        <w:snapToGrid w:val="0"/>
        <w:spacing w:line="360" w:lineRule="auto"/>
        <w:ind w:firstLine="420"/>
        <w:textAlignment w:val="baseline"/>
        <w:rPr>
          <w:rFonts w:eastAsia="等线" w:cs="Times New Roman" w:asciiTheme="minorEastAsia" w:hAnsiTheme="minorEastAsia"/>
          <w:b/>
          <w:color w:val="auto"/>
          <w:kern w:val="0"/>
          <w:sz w:val="32"/>
          <w:szCs w:val="32"/>
          <w:highlight w:val="none"/>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开启时间：年月日时分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      记录人</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请将上述问题的澄清于年月日时前递交至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成交金额，大写：，小写：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360" w:lineRule="auto"/>
        <w:ind w:firstLine="420"/>
        <w:textAlignment w:val="baseline"/>
        <w:rPr>
          <w:rFonts w:ascii="仿宋_GB2312" w:hAnsi="宋体" w:eastAsia="仿宋_GB2312" w:cs="Times New Roman"/>
          <w:color w:val="auto"/>
          <w:kern w:val="0"/>
          <w:sz w:val="28"/>
          <w:szCs w:val="28"/>
          <w:highlight w:val="none"/>
        </w:rPr>
      </w:pPr>
      <w:bookmarkStart w:id="38" w:name="_Toc24895"/>
      <w:bookmarkStart w:id="39" w:name="_Toc3789"/>
    </w:p>
    <w:p>
      <w:pPr>
        <w:adjustRightInd w:val="0"/>
        <w:snapToGrid w:val="0"/>
        <w:spacing w:line="360" w:lineRule="auto"/>
        <w:ind w:firstLine="420"/>
        <w:textAlignment w:val="baseline"/>
        <w:rPr>
          <w:rFonts w:ascii="仿宋_GB2312" w:hAnsi="宋体" w:eastAsia="仿宋_GB2312" w:cs="Times New Roman"/>
          <w:color w:val="auto"/>
          <w:kern w:val="0"/>
          <w:sz w:val="28"/>
          <w:szCs w:val="28"/>
          <w:highlight w:val="none"/>
        </w:rPr>
      </w:pPr>
    </w:p>
    <w:p>
      <w:pPr>
        <w:adjustRightInd w:val="0"/>
        <w:snapToGrid w:val="0"/>
        <w:spacing w:line="360" w:lineRule="auto"/>
        <w:ind w:firstLine="420"/>
        <w:textAlignment w:val="baseline"/>
        <w:rPr>
          <w:rFonts w:ascii="仿宋_GB2312" w:hAnsi="宋体" w:eastAsia="仿宋_GB2312" w:cs="Times New Roman"/>
          <w:color w:val="auto"/>
          <w:kern w:val="0"/>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40" w:name="_Toc2867"/>
      <w:bookmarkStart w:id="41"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8480" behindDoc="0" locked="0" layoutInCell="1" allowOverlap="1">
                <wp:simplePos x="0" y="0"/>
                <wp:positionH relativeFrom="column">
                  <wp:posOffset>2451100</wp:posOffset>
                </wp:positionH>
                <wp:positionV relativeFrom="paragraph">
                  <wp:posOffset>160655</wp:posOffset>
                </wp:positionV>
                <wp:extent cx="958850" cy="0"/>
                <wp:effectExtent l="0" t="0" r="0" b="0"/>
                <wp:wrapNone/>
                <wp:docPr id="37" name="直接箭头连接符 3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pt;margin-top:12.65pt;height:0pt;width:75.5pt;z-index:251668480;mso-width-relative:page;mso-height-relative:page;" filled="f" stroked="t" coordsize="21600,21600" o:gfxdata="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vqTn1wAAAAkBAAAPAAAAAAAAAAEAIAAAACIAAABkcnMvZG93&#10;bnJldi54bWxQSwECFAAUAAAACACHTuJA2eaoiAECAAD7AwAADgAAAAAAAAABACAAAAAmAQAAZHJz&#10;L2Uyb0RvYy54bWxQSwUGAAAAAAYABgBZAQAAmQU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9504" behindDoc="0" locked="0" layoutInCell="1" allowOverlap="1">
                <wp:simplePos x="0" y="0"/>
                <wp:positionH relativeFrom="column">
                  <wp:posOffset>2444115</wp:posOffset>
                </wp:positionH>
                <wp:positionV relativeFrom="paragraph">
                  <wp:posOffset>610235</wp:posOffset>
                </wp:positionV>
                <wp:extent cx="958850" cy="0"/>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2.45pt;margin-top:48.05pt;height:0pt;width:75.5pt;z-index:251669504;mso-width-relative:page;mso-height-relative:page;" filled="f" stroked="t" coordsize="21600,21600" o:gfxdata="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iA2g1wAAAAkBAAAPAAAAAAAAAAEAIAAAACIAAABkcnMvZG93&#10;bnJldi54bWxQSwECFAAUAAAACACHTuJAbRF+fgECAAD7AwAADgAAAAAAAAABACAAAAAmAQAAZHJz&#10;L2Uyb0RvYy54bWxQSwUGAAAAAAYABgBZAQAAmQ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40"/>
      <w:bookmarkEnd w:id="41"/>
    </w:p>
    <w:p>
      <w:pPr>
        <w:pStyle w:val="37"/>
        <w:rPr>
          <w:color w:val="auto"/>
          <w:highlight w:val="none"/>
        </w:rPr>
      </w:pPr>
    </w:p>
    <w:p>
      <w:pPr>
        <w:pStyle w:val="4"/>
        <w:rPr>
          <w:color w:val="auto"/>
          <w:highlight w:val="none"/>
        </w:rPr>
      </w:pPr>
      <w:bookmarkStart w:id="42" w:name="_Toc88209934"/>
      <w:bookmarkStart w:id="43" w:name="_Toc7303"/>
      <w:bookmarkStart w:id="44" w:name="_Toc87616371"/>
      <w:bookmarkStart w:id="45" w:name="_Toc7040"/>
      <w:r>
        <w:rPr>
          <w:rFonts w:hint="eastAsia"/>
          <w:color w:val="auto"/>
          <w:highlight w:val="none"/>
        </w:rPr>
        <w:t>采购方法</w:t>
      </w:r>
      <w:bookmarkEnd w:id="42"/>
      <w:bookmarkEnd w:id="43"/>
      <w:bookmarkEnd w:id="44"/>
      <w:bookmarkEnd w:id="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360" w:lineRule="auto"/>
        <w:ind w:firstLine="420"/>
        <w:textAlignment w:val="baseline"/>
        <w:rPr>
          <w:rFonts w:ascii="方正小标宋简体" w:hAnsi="宋体" w:eastAsia="方正小标宋简体" w:cs="Times New Roman"/>
          <w:color w:val="auto"/>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cs="Times New Roman"/>
          <w:color w:val="auto"/>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cs="Times New Roman"/>
          <w:color w:val="auto"/>
          <w:kern w:val="0"/>
          <w:sz w:val="44"/>
          <w:szCs w:val="44"/>
          <w:highlight w:val="none"/>
        </w:rPr>
      </w:pPr>
    </w:p>
    <w:p>
      <w:pPr>
        <w:pStyle w:val="4"/>
        <w:rPr>
          <w:color w:val="auto"/>
          <w:highlight w:val="none"/>
        </w:rPr>
      </w:pPr>
    </w:p>
    <w:p>
      <w:pPr>
        <w:pStyle w:val="4"/>
        <w:rPr>
          <w:color w:val="auto"/>
          <w:highlight w:val="none"/>
        </w:rPr>
      </w:pPr>
      <w:r>
        <w:rPr>
          <w:rFonts w:hint="eastAsia"/>
          <w:color w:val="auto"/>
          <w:highlight w:val="none"/>
        </w:rPr>
        <w:t>询比采购</w:t>
      </w:r>
      <w:bookmarkEnd w:id="38"/>
      <w:bookmarkEnd w:id="3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bookmarkStart w:id="46" w:name="_Toc23033"/>
      <w:bookmarkStart w:id="47" w:name="_Toc26826"/>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8" w:name="_Toc19759"/>
      <w:bookmarkStart w:id="49" w:name="_Toc3156"/>
      <w:bookmarkStart w:id="50" w:name="_Toc10930"/>
      <w:bookmarkStart w:id="51" w:name="_Toc4952"/>
      <w:bookmarkStart w:id="52" w:name="_Toc14870"/>
      <w:bookmarkStart w:id="53" w:name="_Toc19050"/>
      <w:bookmarkStart w:id="54" w:name="_Toc20594"/>
      <w:bookmarkStart w:id="55" w:name="_Toc14552"/>
      <w:bookmarkStart w:id="56" w:name="_Toc7437"/>
      <w:bookmarkStart w:id="57" w:name="_Toc23581"/>
      <w:bookmarkStart w:id="58" w:name="_Toc7118"/>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720090</wp:posOffset>
                </wp:positionV>
                <wp:extent cx="958850" cy="0"/>
                <wp:effectExtent l="0" t="0" r="0" b="0"/>
                <wp:wrapNone/>
                <wp:docPr id="38" name="直接箭头连接符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2.4pt;margin-top:56.7pt;height:0pt;width:75.5pt;z-index:251671552;mso-width-relative:page;mso-height-relative:page;" filled="f" stroked="t" coordsize="21600,21600" o:gfxdata="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wuSbXAAAACwEAAA8AAAAAAAAAAQAgAAAAIgAAAGRycy9kb3du&#10;cmV2LnhtbFBLAQIUABQAAAAIAIdO4kCyjmj+AAIAAPsDAAAOAAAAAAAAAAEAIAAAACYBAABkcnMv&#10;ZTJvRG9jLnhtbFBLBQYAAAAABgAGAFkBAACY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2462530</wp:posOffset>
                </wp:positionH>
                <wp:positionV relativeFrom="paragraph">
                  <wp:posOffset>270510</wp:posOffset>
                </wp:positionV>
                <wp:extent cx="958850" cy="0"/>
                <wp:effectExtent l="0" t="0" r="0" b="0"/>
                <wp:wrapNone/>
                <wp:docPr id="39" name="直接箭头连接符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9pt;margin-top:21.3pt;height:0pt;width:75.5pt;z-index:251670528;mso-width-relative:page;mso-height-relative:page;" filled="f" stroked="t" coordsize="21600,21600" o:gfxdata="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VRcu1wAAAAkBAAAPAAAAAAAAAAEAIAAAACIAAABkcnMvZG93&#10;bnJldi54bWxQSwECFAAUAAAACACHTuJABnm+CAECAAD7AwAADgAAAAAAAAABACAAAAAmAQAAZHJz&#10;L2Uyb0RvYy54bWxQSwUGAAAAAAYABgBZAQAAmQUAAAAA&#10;">
                <v:fill on="f" focussize="0,0"/>
                <v:stroke color="#000000" joinstyle="round"/>
                <v:imagedata o:title=""/>
                <o:lock v:ext="edit" aspectratio="f"/>
              </v:shape>
            </w:pict>
          </mc:Fallback>
        </mc:AlternateContent>
      </w:r>
      <w:r>
        <w:rPr>
          <w:rFonts w:hint="eastAsia"/>
          <w:color w:val="auto"/>
          <w:highlight w:val="none"/>
        </w:rPr>
        <w:t>第四章</w:t>
      </w:r>
      <w:bookmarkEnd w:id="48"/>
      <w:bookmarkEnd w:id="49"/>
      <w:bookmarkEnd w:id="50"/>
      <w:bookmarkEnd w:id="51"/>
      <w:bookmarkEnd w:id="52"/>
      <w:bookmarkEnd w:id="53"/>
      <w:bookmarkEnd w:id="54"/>
      <w:bookmarkEnd w:id="55"/>
      <w:bookmarkEnd w:id="56"/>
      <w:bookmarkEnd w:id="57"/>
      <w:bookmarkEnd w:id="58"/>
    </w:p>
    <w:p>
      <w:pPr>
        <w:pStyle w:val="37"/>
        <w:rPr>
          <w:color w:val="auto"/>
          <w:highlight w:val="none"/>
        </w:rPr>
      </w:pPr>
    </w:p>
    <w:p>
      <w:pPr>
        <w:pStyle w:val="3"/>
        <w:rPr>
          <w:color w:val="auto"/>
          <w:highlight w:val="none"/>
        </w:rPr>
      </w:pPr>
      <w:bookmarkStart w:id="59" w:name="_Toc7831"/>
      <w:bookmarkStart w:id="60" w:name="_Toc12177"/>
      <w:bookmarkStart w:id="61" w:name="_Toc29345"/>
      <w:bookmarkStart w:id="62" w:name="_Toc30530"/>
      <w:bookmarkStart w:id="63" w:name="_Toc29484"/>
      <w:bookmarkStart w:id="64" w:name="_Toc88209941"/>
      <w:bookmarkStart w:id="65" w:name="_Toc21840"/>
      <w:bookmarkStart w:id="66" w:name="_Toc87616378"/>
      <w:bookmarkStart w:id="67" w:name="_Toc13898"/>
      <w:bookmarkStart w:id="68" w:name="_Toc22212"/>
      <w:bookmarkStart w:id="69" w:name="_Toc32607"/>
      <w:bookmarkStart w:id="70" w:name="_Toc6308"/>
      <w:bookmarkStart w:id="71" w:name="_Toc21079"/>
      <w:r>
        <w:rPr>
          <w:rFonts w:hint="eastAsia"/>
          <w:color w:val="auto"/>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jc w:val="both"/>
        <w:rPr>
          <w:color w:val="auto"/>
          <w:highlight w:val="none"/>
        </w:rPr>
      </w:pPr>
    </w:p>
    <w:p>
      <w:pPr>
        <w:pStyle w:val="4"/>
        <w:rPr>
          <w:color w:val="auto"/>
          <w:highlight w:val="none"/>
        </w:rPr>
      </w:pPr>
    </w:p>
    <w:p>
      <w:pPr>
        <w:pStyle w:val="4"/>
        <w:rPr>
          <w:color w:val="auto"/>
          <w:highlight w:val="none"/>
        </w:rPr>
      </w:pPr>
      <w:r>
        <w:rPr>
          <w:rFonts w:hint="eastAsia"/>
          <w:color w:val="auto"/>
          <w:highlight w:val="none"/>
        </w:rPr>
        <w:t>经评审的最低价法</w:t>
      </w:r>
      <w:bookmarkEnd w:id="46"/>
      <w:bookmarkEnd w:id="47"/>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ind w:firstLine="280" w:firstLineChars="100"/>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3"/>
        <w:ind w:firstLine="3960" w:firstLineChars="900"/>
        <w:jc w:val="both"/>
        <w:rPr>
          <w:color w:val="auto"/>
          <w:highlight w:val="none"/>
        </w:rPr>
      </w:pPr>
      <w:bookmarkStart w:id="72" w:name="_Toc88209947"/>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2496820</wp:posOffset>
                </wp:positionH>
                <wp:positionV relativeFrom="paragraph">
                  <wp:posOffset>107950</wp:posOffset>
                </wp:positionV>
                <wp:extent cx="958850" cy="0"/>
                <wp:effectExtent l="0" t="0" r="0" b="0"/>
                <wp:wrapNone/>
                <wp:docPr id="41" name="直接箭头连接符 4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6pt;margin-top:8.5pt;height:0pt;width:75.5pt;z-index:251672576;mso-width-relative:page;mso-height-relative:page;" filled="f" stroked="t" coordsize="21600,21600" o:gfxdata="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P30DXAAAACQEAAA8AAAAAAAAAAQAgAAAAIgAAAGRycy9kb3du&#10;cmV2LnhtbFBLAQIUABQAAAAIAIdO4kBPsbvYAAIAAPsDAAAOAAAAAAAAAAEAIAAAACYBAABkcnMv&#10;ZTJvRG9jLnhtbFBLBQYAAAAABgAGAFkBAACY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2489200</wp:posOffset>
                </wp:positionH>
                <wp:positionV relativeFrom="paragraph">
                  <wp:posOffset>745490</wp:posOffset>
                </wp:positionV>
                <wp:extent cx="958850" cy="0"/>
                <wp:effectExtent l="0" t="0" r="0" b="0"/>
                <wp:wrapNone/>
                <wp:docPr id="40" name="直接箭头连接符 4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pt;margin-top:58.7pt;height:0pt;width:75.5pt;z-index:251673600;mso-width-relative:page;mso-height-relative:page;" filled="f" stroked="t" coordsize="21600,21600" o:gfxdata="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nDD2AAAAAsBAAAPAAAAAAAAAAEAIAAAACIAAABkcnMvZG93&#10;bnJldi54bWxQSwECFAAUAAAACACHTuJA+0ZtLgACAAD7AwAADgAAAAAAAAABACAAAAAnAQAAZHJz&#10;L2Uyb0RvYy54bWxQSwUGAAAAAAYABgBZAQAAmQUAAAAA&#10;">
                <v:fill on="f" focussize="0,0"/>
                <v:stroke color="#000000" joinstyle="round"/>
                <v:imagedata o:title=""/>
                <o:lock v:ext="edit" aspectratio="f"/>
              </v:shape>
            </w:pict>
          </mc:Fallback>
        </mc:AlternateConten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p>
      <w:pPr>
        <w:pStyle w:val="4"/>
        <w:rPr>
          <w:color w:val="auto"/>
          <w:szCs w:val="44"/>
          <w:highlight w:val="none"/>
        </w:rPr>
      </w:pPr>
    </w:p>
    <w:bookmarkEnd w:id="72"/>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360" w:lineRule="auto"/>
        <w:ind w:firstLine="562" w:firstLineChars="200"/>
        <w:rPr>
          <w:rFonts w:ascii="仿宋" w:hAnsi="仿宋" w:eastAsia="仿宋" w:cs="仿宋"/>
          <w:b/>
          <w:bCs/>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pPr>
        <w:pStyle w:val="13"/>
        <w:spacing w:line="60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b w:val="0"/>
          <w:bCs w:val="0"/>
          <w:color w:val="auto"/>
          <w:kern w:val="2"/>
          <w:sz w:val="28"/>
          <w:szCs w:val="28"/>
          <w:highlight w:val="none"/>
          <w:lang w:val="en-US"/>
        </w:rPr>
        <w:t>根据各净水厂辖下污泥干化服务项目（大沙地分公司、石井分公司一期和二期、石井净水分公司一期、龙归分公司、竹料分公司、大观分公司）运营合同和EPC项目（猎德分公司、大坦沙分公司、沥滘分公司和西朗公司）</w:t>
      </w:r>
      <w:r>
        <w:rPr>
          <w:rFonts w:hint="eastAsia" w:ascii="仿宋" w:hAnsi="仿宋" w:eastAsia="仿宋" w:cs="仿宋"/>
          <w:bCs w:val="0"/>
          <w:snapToGrid/>
          <w:color w:val="auto"/>
          <w:kern w:val="2"/>
          <w:sz w:val="28"/>
          <w:szCs w:val="28"/>
          <w:highlight w:val="none"/>
          <w:lang w:val="en-US"/>
        </w:rPr>
        <w:t>服务采购</w:t>
      </w:r>
      <w:r>
        <w:rPr>
          <w:rFonts w:hint="eastAsia" w:ascii="仿宋" w:hAnsi="仿宋" w:eastAsia="仿宋" w:cs="仿宋"/>
          <w:b w:val="0"/>
          <w:bCs w:val="0"/>
          <w:color w:val="auto"/>
          <w:kern w:val="2"/>
          <w:sz w:val="28"/>
          <w:szCs w:val="28"/>
          <w:highlight w:val="none"/>
          <w:lang w:val="en-US"/>
        </w:rPr>
        <w:t>合同的约定条款，需委托具有CMA资质的第三方检测单位对出泥泥质、污染物排放的相关指标开展检测工作</w:t>
      </w:r>
      <w:r>
        <w:rPr>
          <w:rFonts w:hint="eastAsia" w:ascii="仿宋" w:hAnsi="仿宋" w:eastAsia="仿宋" w:cs="仿宋"/>
          <w:b w:val="0"/>
          <w:bCs w:val="0"/>
          <w:color w:val="auto"/>
          <w:kern w:val="2"/>
          <w:sz w:val="28"/>
          <w:szCs w:val="28"/>
          <w:highlight w:val="none"/>
          <w:lang w:val="en-US" w:eastAsia="zh-CN"/>
        </w:rPr>
        <w:t>，</w:t>
      </w:r>
      <w:r>
        <w:rPr>
          <w:rFonts w:hint="eastAsia" w:ascii="仿宋" w:hAnsi="仿宋" w:eastAsia="仿宋" w:cs="仿宋"/>
          <w:color w:val="auto"/>
          <w:kern w:val="2"/>
          <w:sz w:val="28"/>
          <w:szCs w:val="28"/>
          <w:highlight w:val="none"/>
        </w:rPr>
        <w:t>并出具相关报告。</w:t>
      </w:r>
    </w:p>
    <w:p>
      <w:pPr>
        <w:pStyle w:val="12"/>
        <w:adjustRightInd w:val="0"/>
        <w:snapToGrid w:val="0"/>
        <w:spacing w:line="300" w:lineRule="auto"/>
        <w:ind w:firstLine="562" w:firstLineChars="200"/>
        <w:rPr>
          <w:rFonts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二、项目技术要求</w:t>
      </w:r>
    </w:p>
    <w:p>
      <w:pPr>
        <w:pStyle w:val="13"/>
        <w:spacing w:line="60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zh-CN"/>
        </w:rPr>
        <w:t>完成出泥泥</w:t>
      </w:r>
      <w:r>
        <w:rPr>
          <w:rFonts w:hint="eastAsia" w:ascii="仿宋" w:hAnsi="仿宋" w:eastAsia="仿宋" w:cs="仿宋"/>
          <w:color w:val="auto"/>
          <w:sz w:val="28"/>
          <w:szCs w:val="28"/>
          <w:highlight w:val="none"/>
          <w:lang w:val="en-US" w:eastAsia="zh-CN"/>
        </w:rPr>
        <w:t>质</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u w:val="none"/>
          <w:lang w:val="en-US" w:eastAsia="zh-CN"/>
        </w:rPr>
        <w:t>废气、粉尘、噪声、废水、固体废物等污染物的</w:t>
      </w:r>
      <w:r>
        <w:rPr>
          <w:rFonts w:hint="eastAsia" w:ascii="仿宋" w:hAnsi="仿宋" w:eastAsia="仿宋" w:cs="仿宋"/>
          <w:color w:val="auto"/>
          <w:sz w:val="28"/>
          <w:szCs w:val="28"/>
          <w:highlight w:val="none"/>
          <w:lang w:val="zh-CN"/>
        </w:rPr>
        <w:t>采集、登记、运送、检测等工作（取样时需有</w:t>
      </w:r>
      <w:r>
        <w:rPr>
          <w:rFonts w:hint="eastAsia" w:ascii="仿宋" w:hAnsi="仿宋" w:eastAsia="仿宋" w:cs="仿宋"/>
          <w:color w:val="auto"/>
          <w:sz w:val="28"/>
          <w:szCs w:val="28"/>
          <w:highlight w:val="none"/>
          <w:lang w:val="en-US" w:eastAsia="zh-CN"/>
        </w:rPr>
        <w:t>我方</w:t>
      </w:r>
      <w:r>
        <w:rPr>
          <w:rFonts w:hint="eastAsia" w:ascii="仿宋" w:hAnsi="仿宋" w:eastAsia="仿宋" w:cs="仿宋"/>
          <w:color w:val="auto"/>
          <w:sz w:val="28"/>
          <w:szCs w:val="28"/>
          <w:highlight w:val="none"/>
          <w:lang w:val="zh-CN"/>
        </w:rPr>
        <w:t>人员在场），</w:t>
      </w:r>
      <w:r>
        <w:rPr>
          <w:rFonts w:hint="eastAsia" w:ascii="仿宋" w:hAnsi="仿宋" w:eastAsia="仿宋" w:cs="仿宋"/>
          <w:color w:val="auto"/>
          <w:sz w:val="28"/>
          <w:szCs w:val="28"/>
          <w:highlight w:val="none"/>
          <w:u w:val="none"/>
          <w:lang w:val="en-US" w:eastAsia="zh-CN"/>
        </w:rPr>
        <w:t>检测完成后，于次</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内</w:t>
      </w:r>
      <w:r>
        <w:rPr>
          <w:rFonts w:hint="eastAsia" w:ascii="仿宋" w:hAnsi="仿宋" w:eastAsia="仿宋" w:cs="仿宋"/>
          <w:color w:val="auto"/>
          <w:sz w:val="28"/>
          <w:szCs w:val="28"/>
          <w:highlight w:val="none"/>
          <w:u w:val="none"/>
        </w:rPr>
        <w:t>向各分公司出具</w:t>
      </w:r>
      <w:r>
        <w:rPr>
          <w:rFonts w:hint="eastAsia" w:ascii="仿宋" w:hAnsi="仿宋" w:eastAsia="仿宋" w:cs="仿宋"/>
          <w:color w:val="auto"/>
          <w:sz w:val="28"/>
          <w:szCs w:val="28"/>
          <w:highlight w:val="none"/>
          <w:u w:val="none"/>
          <w:lang w:val="en-US" w:eastAsia="zh-CN"/>
        </w:rPr>
        <w:t>CMA</w:t>
      </w:r>
      <w:r>
        <w:rPr>
          <w:rFonts w:hint="eastAsia" w:ascii="仿宋" w:hAnsi="仿宋" w:eastAsia="仿宋" w:cs="仿宋"/>
          <w:color w:val="auto"/>
          <w:sz w:val="28"/>
          <w:szCs w:val="28"/>
          <w:highlight w:val="none"/>
          <w:u w:val="none"/>
        </w:rPr>
        <w:t>检测报告（一式两份）</w:t>
      </w:r>
      <w:r>
        <w:rPr>
          <w:rFonts w:hint="eastAsia" w:ascii="仿宋" w:hAnsi="仿宋" w:eastAsia="仿宋" w:cs="仿宋"/>
          <w:color w:val="auto"/>
          <w:kern w:val="2"/>
          <w:sz w:val="28"/>
          <w:szCs w:val="28"/>
          <w:highlight w:val="none"/>
        </w:rPr>
        <w:t>。</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val="zh-CN"/>
        </w:rPr>
        <w:t>.检测机构资质和报告要求</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zh-CN"/>
        </w:rPr>
        <w:t>具有实验室计量认证资质（CMA）。依据《城市污水处理厂污泥检验方法》</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CJ/T221-2005</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、《固体生物质燃料发热量测定方法》</w:t>
      </w:r>
      <w:r>
        <w:rPr>
          <w:rFonts w:hint="eastAsia" w:ascii="仿宋" w:hAnsi="仿宋" w:eastAsia="仿宋" w:cs="仿宋"/>
          <w:color w:val="auto"/>
          <w:kern w:val="2"/>
          <w:sz w:val="28"/>
          <w:szCs w:val="28"/>
          <w:highlight w:val="none"/>
        </w:rPr>
        <w:t>(GB/T30727-2014)</w:t>
      </w:r>
      <w:r>
        <w:rPr>
          <w:rFonts w:hint="eastAsia" w:ascii="仿宋" w:hAnsi="仿宋" w:eastAsia="仿宋" w:cs="仿宋"/>
          <w:color w:val="auto"/>
          <w:kern w:val="2"/>
          <w:sz w:val="28"/>
          <w:szCs w:val="28"/>
          <w:highlight w:val="none"/>
          <w:lang w:val="zh-CN"/>
        </w:rPr>
        <w:t>、《固体生物质燃料工业分析方法》</w:t>
      </w:r>
      <w:r>
        <w:rPr>
          <w:rFonts w:hint="eastAsia" w:ascii="仿宋" w:hAnsi="仿宋" w:eastAsia="仿宋" w:cs="仿宋"/>
          <w:color w:val="auto"/>
          <w:kern w:val="2"/>
          <w:sz w:val="28"/>
          <w:szCs w:val="28"/>
          <w:highlight w:val="none"/>
        </w:rPr>
        <w:t>(GB/T28731-2012)</w:t>
      </w:r>
      <w:r>
        <w:rPr>
          <w:rFonts w:hint="eastAsia" w:ascii="仿宋" w:hAnsi="仿宋" w:eastAsia="仿宋" w:cs="仿宋"/>
          <w:color w:val="auto"/>
          <w:kern w:val="2"/>
          <w:sz w:val="28"/>
          <w:szCs w:val="28"/>
          <w:highlight w:val="none"/>
          <w:lang w:val="zh-CN"/>
        </w:rPr>
        <w:t>、《</w:t>
      </w:r>
      <w:r>
        <w:rPr>
          <w:rFonts w:hint="eastAsia" w:ascii="仿宋" w:hAnsi="仿宋" w:eastAsia="仿宋" w:cs="仿宋"/>
          <w:color w:val="auto"/>
          <w:kern w:val="2"/>
          <w:sz w:val="28"/>
          <w:szCs w:val="28"/>
          <w:highlight w:val="none"/>
        </w:rPr>
        <w:t>危险废物鉴别标准 浸出毒性鉴别</w:t>
      </w:r>
      <w:r>
        <w:rPr>
          <w:rFonts w:hint="eastAsia" w:ascii="仿宋" w:hAnsi="仿宋" w:eastAsia="仿宋" w:cs="仿宋"/>
          <w:color w:val="auto"/>
          <w:kern w:val="2"/>
          <w:sz w:val="28"/>
          <w:szCs w:val="28"/>
          <w:highlight w:val="none"/>
          <w:lang w:val="zh-CN"/>
        </w:rPr>
        <w:t>》</w:t>
      </w:r>
      <w:r>
        <w:rPr>
          <w:rFonts w:hint="eastAsia" w:ascii="仿宋" w:hAnsi="仿宋" w:eastAsia="仿宋" w:cs="仿宋"/>
          <w:color w:val="auto"/>
          <w:kern w:val="2"/>
          <w:sz w:val="28"/>
          <w:szCs w:val="28"/>
          <w:highlight w:val="none"/>
        </w:rPr>
        <w:t>(GB5085.3-2007)</w:t>
      </w:r>
      <w:r>
        <w:rPr>
          <w:rFonts w:hint="eastAsia" w:ascii="仿宋" w:hAnsi="仿宋" w:eastAsia="仿宋" w:cs="仿宋"/>
          <w:color w:val="auto"/>
          <w:kern w:val="2"/>
          <w:sz w:val="28"/>
          <w:szCs w:val="28"/>
          <w:highlight w:val="none"/>
          <w:lang w:val="zh-CN"/>
        </w:rPr>
        <w:t>，必须包括污泥（含水率、有机质含量、氰化物、锌、铜、铅、镍、铬、镉、砷、氮、磷）</w:t>
      </w:r>
      <w:r>
        <w:rPr>
          <w:rFonts w:hint="eastAsia" w:ascii="仿宋" w:hAnsi="仿宋" w:eastAsia="仿宋" w:cs="仿宋"/>
          <w:color w:val="auto"/>
          <w:kern w:val="2"/>
          <w:sz w:val="28"/>
          <w:szCs w:val="28"/>
          <w:highlight w:val="none"/>
        </w:rPr>
        <w:t>检测项目方法，</w:t>
      </w:r>
      <w:r>
        <w:rPr>
          <w:rFonts w:hint="eastAsia" w:ascii="仿宋" w:hAnsi="仿宋" w:eastAsia="仿宋" w:cs="仿宋"/>
          <w:color w:val="auto"/>
          <w:sz w:val="28"/>
          <w:szCs w:val="28"/>
          <w:highlight w:val="none"/>
        </w:rPr>
        <w:t>其余项目允许分包</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kern w:val="2"/>
          <w:sz w:val="28"/>
          <w:szCs w:val="28"/>
          <w:highlight w:val="none"/>
        </w:rPr>
        <w:t>并能出具CMA检测报告。</w:t>
      </w:r>
    </w:p>
    <w:p>
      <w:pPr>
        <w:pStyle w:val="14"/>
        <w:ind w:firstLine="560" w:firstLineChars="200"/>
        <w:rPr>
          <w:rFonts w:hint="eastAsia" w:eastAsiaTheme="minorEastAsia"/>
          <w:color w:val="auto"/>
          <w:highlight w:val="none"/>
          <w:lang w:eastAsia="zh-CN"/>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8"/>
          <w:szCs w:val="28"/>
          <w:highlight w:val="none"/>
          <w:u w:val="none"/>
          <w:lang w:val="en-US" w:eastAsia="zh-CN"/>
        </w:rPr>
        <w:t>2.检测项目、标准和频次详见下表</w:t>
      </w:r>
      <w:r>
        <w:rPr>
          <w:rFonts w:hint="eastAsia"/>
          <w:color w:val="auto"/>
          <w:highlight w:val="none"/>
          <w:lang w:eastAsia="zh-CN"/>
        </w:rPr>
        <w:t>。</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4"/>
        <w:gridCol w:w="1050"/>
        <w:gridCol w:w="1011"/>
        <w:gridCol w:w="1981"/>
        <w:gridCol w:w="2316"/>
        <w:gridCol w:w="788"/>
        <w:gridCol w:w="1112"/>
        <w:gridCol w:w="1422"/>
        <w:gridCol w:w="1522"/>
        <w:gridCol w:w="1112"/>
        <w:gridCol w:w="1112"/>
        <w:gridCol w:w="1112"/>
        <w:gridCol w:w="1107"/>
        <w:gridCol w:w="1283"/>
        <w:gridCol w:w="1283"/>
        <w:gridCol w:w="1283"/>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污泥干化处理服务项目检测方案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样品类型</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监测类型</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45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测试项目</w:t>
            </w:r>
          </w:p>
        </w:tc>
        <w:tc>
          <w:tcPr>
            <w:tcW w:w="50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检测标准</w:t>
            </w:r>
          </w:p>
        </w:tc>
        <w:tc>
          <w:tcPr>
            <w:tcW w:w="1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监测点位数量</w:t>
            </w:r>
          </w:p>
        </w:tc>
        <w:tc>
          <w:tcPr>
            <w:tcW w:w="3144"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监测频次及费用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1"/>
                <w:szCs w:val="21"/>
                <w:highlight w:val="none"/>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1"/>
                <w:szCs w:val="21"/>
                <w:highlight w:val="none"/>
                <w:u w:val="none"/>
              </w:rPr>
            </w:pPr>
          </w:p>
        </w:tc>
        <w:tc>
          <w:tcPr>
            <w:tcW w:w="1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大沙地</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石井一期干化</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石井二期干化</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石井净一期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龙归</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竹料</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大观</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猎德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西朗</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沥滘</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大坦沙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污泥</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无组织排放《恶臭污染物排放标准》（GB14554-1993）《城镇污水处理厂污染物排放标准》（GB18918-2002）城镇污水处理厂废气的排放标准值二级标准并取两者较严值</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有组织排放执行《恶臭污染物排放标准》（GB14554-1993）及此较严标准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笨乙烯</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粉尘浓度</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《工作场所有害因素职业接触限值 第1部分：化学有害因素》（GBZ2.1-2007）</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其他粉尘</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室内空气质量标准《室内空气质量标准》（GB-T18883-2002）、《工业企业设计卫生标准》（GBZ1-2010）、《工作场所有害化因素职业接触限值》（GBZ2.1-2007）</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矽尘（总尘）</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矽尘（呼尘）</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臭氧</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一氧化碳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二氧化碳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甲醛</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噪声</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边界噪声</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《工业企业厂界环境噪声排放标准》（GB12348-2008）2类标准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废水</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化学需氧量</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各厂进水标准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总氮</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氨氮</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悬浮物</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固体废物</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检查各项目现场非污泥的固体废弃物是否符合《广东省固体废物污染环境防治条例》及《中华人民共和国固体废弃物环境污染防治法》的要求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r>
    </w:tbl>
    <w:p>
      <w:pPr>
        <w:pStyle w:val="14"/>
        <w:rPr>
          <w:color w:val="auto"/>
          <w:highlight w:val="none"/>
        </w:rPr>
      </w:pPr>
    </w:p>
    <w:p>
      <w:pPr>
        <w:pStyle w:val="13"/>
        <w:spacing w:line="600" w:lineRule="exact"/>
        <w:ind w:firstLine="560" w:firstLineChars="200"/>
        <w:jc w:val="both"/>
        <w:rPr>
          <w:rFonts w:ascii="仿宋" w:hAnsi="仿宋" w:eastAsia="仿宋" w:cs="仿宋"/>
          <w:color w:val="auto"/>
          <w:kern w:val="2"/>
          <w:sz w:val="28"/>
          <w:szCs w:val="28"/>
          <w:highlight w:val="none"/>
        </w:rPr>
      </w:pPr>
    </w:p>
    <w:p>
      <w:pPr>
        <w:pStyle w:val="13"/>
        <w:spacing w:line="600" w:lineRule="exact"/>
        <w:ind w:firstLine="560" w:firstLineChars="200"/>
        <w:jc w:val="both"/>
        <w:rPr>
          <w:rFonts w:hint="eastAsia" w:ascii="仿宋" w:hAnsi="仿宋" w:eastAsia="仿宋" w:cs="仿宋"/>
          <w:color w:val="auto"/>
          <w:kern w:val="2"/>
          <w:sz w:val="28"/>
          <w:szCs w:val="28"/>
          <w:highlight w:val="none"/>
        </w:rPr>
        <w:sectPr>
          <w:pgSz w:w="23811" w:h="16838" w:orient="landscape"/>
          <w:pgMar w:top="1077" w:right="1089" w:bottom="1469" w:left="1089"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三、项目商务要求</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kern w:val="2"/>
          <w:sz w:val="28"/>
          <w:szCs w:val="28"/>
          <w:highlight w:val="none"/>
          <w:lang w:val="zh-CN"/>
        </w:rPr>
        <w:t>工期：</w:t>
      </w:r>
      <w:r>
        <w:rPr>
          <w:rFonts w:hint="eastAsia" w:ascii="仿宋" w:hAnsi="仿宋" w:eastAsia="仿宋" w:cs="仿宋"/>
          <w:color w:val="auto"/>
          <w:sz w:val="28"/>
          <w:szCs w:val="28"/>
          <w:highlight w:val="none"/>
          <w:lang w:val="en-US" w:eastAsia="zh-CN"/>
        </w:rPr>
        <w:t>合同签订之日起</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kern w:val="2"/>
          <w:sz w:val="28"/>
          <w:szCs w:val="28"/>
          <w:highlight w:val="none"/>
          <w:lang w:val="zh-CN"/>
        </w:rPr>
        <w:t>。</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在合同规定的时间内，</w:t>
      </w:r>
      <w:r>
        <w:rPr>
          <w:rFonts w:hint="eastAsia" w:ascii="仿宋" w:hAnsi="仿宋" w:eastAsia="仿宋" w:cs="仿宋"/>
          <w:color w:val="auto"/>
          <w:kern w:val="2"/>
          <w:sz w:val="28"/>
          <w:szCs w:val="28"/>
          <w:highlight w:val="none"/>
          <w:lang w:val="zh-CN" w:eastAsia="zh-CN"/>
        </w:rPr>
        <w:t>检测</w:t>
      </w:r>
      <w:r>
        <w:rPr>
          <w:rFonts w:hint="eastAsia" w:ascii="仿宋" w:hAnsi="仿宋" w:eastAsia="仿宋" w:cs="仿宋"/>
          <w:color w:val="auto"/>
          <w:kern w:val="2"/>
          <w:sz w:val="28"/>
          <w:szCs w:val="28"/>
          <w:highlight w:val="none"/>
          <w:lang w:val="zh-CN"/>
        </w:rPr>
        <w:t>本项目涉及的泥质、粉尘、噪声、废水、固体废物等污染物</w:t>
      </w:r>
      <w:r>
        <w:rPr>
          <w:rFonts w:hint="eastAsia" w:ascii="仿宋" w:hAnsi="仿宋" w:eastAsia="仿宋" w:cs="仿宋"/>
          <w:color w:val="auto"/>
          <w:kern w:val="2"/>
          <w:sz w:val="28"/>
          <w:szCs w:val="28"/>
          <w:highlight w:val="none"/>
          <w:lang w:val="zh-CN"/>
        </w:rPr>
        <w:t>，按照约定的各检测指标相应的检测频率在检测周期内完成日常监测工作；检测工作完成后的</w:t>
      </w:r>
      <w:r>
        <w:rPr>
          <w:rFonts w:hint="eastAsia" w:ascii="仿宋" w:hAnsi="仿宋" w:eastAsia="仿宋" w:cs="仿宋"/>
          <w:color w:val="auto"/>
          <w:kern w:val="2"/>
          <w:sz w:val="28"/>
          <w:szCs w:val="28"/>
          <w:highlight w:val="none"/>
          <w:lang w:val="zh-CN"/>
        </w:rPr>
        <w:t>次月</w:t>
      </w:r>
      <w:r>
        <w:rPr>
          <w:rFonts w:hint="eastAsia" w:ascii="仿宋" w:hAnsi="仿宋" w:eastAsia="仿宋" w:cs="仿宋"/>
          <w:color w:val="auto"/>
          <w:kern w:val="2"/>
          <w:sz w:val="28"/>
          <w:szCs w:val="28"/>
          <w:highlight w:val="none"/>
          <w:lang w:val="zh-CN" w:eastAsia="zh-CN"/>
        </w:rPr>
        <w:t>10</w:t>
      </w:r>
      <w:r>
        <w:rPr>
          <w:rFonts w:hint="eastAsia" w:ascii="仿宋" w:hAnsi="仿宋" w:eastAsia="仿宋" w:cs="仿宋"/>
          <w:color w:val="auto"/>
          <w:kern w:val="2"/>
          <w:sz w:val="28"/>
          <w:szCs w:val="28"/>
          <w:highlight w:val="none"/>
          <w:lang w:val="zh-CN"/>
        </w:rPr>
        <w:t>日</w:t>
      </w:r>
      <w:r>
        <w:rPr>
          <w:rFonts w:hint="eastAsia" w:ascii="仿宋" w:hAnsi="仿宋" w:eastAsia="仿宋" w:cs="仿宋"/>
          <w:color w:val="auto"/>
          <w:kern w:val="2"/>
          <w:sz w:val="28"/>
          <w:szCs w:val="28"/>
          <w:highlight w:val="none"/>
          <w:lang w:val="zh-CN" w:eastAsia="zh-CN"/>
        </w:rPr>
        <w:t>内</w:t>
      </w:r>
      <w:r>
        <w:rPr>
          <w:rFonts w:hint="eastAsia" w:ascii="仿宋" w:hAnsi="仿宋" w:eastAsia="仿宋" w:cs="仿宋"/>
          <w:color w:val="auto"/>
          <w:kern w:val="2"/>
          <w:sz w:val="28"/>
          <w:szCs w:val="28"/>
          <w:highlight w:val="none"/>
          <w:lang w:val="zh-CN"/>
        </w:rPr>
        <w:t>，向甲方提交CMA认证检测报告（一式两份）。</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2、</w:t>
      </w:r>
      <w:r>
        <w:rPr>
          <w:rFonts w:hint="eastAsia" w:ascii="仿宋" w:hAnsi="仿宋" w:eastAsia="仿宋" w:cs="仿宋"/>
          <w:color w:val="auto"/>
          <w:kern w:val="2"/>
          <w:sz w:val="28"/>
          <w:szCs w:val="28"/>
          <w:highlight w:val="none"/>
          <w:lang w:val="zh-CN"/>
        </w:rPr>
        <w:t>乙方须遵守符合双方约定检测指标的国家和地方相关检测标准、技术规范及相关法律法规的要求。</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3、</w:t>
      </w:r>
      <w:r>
        <w:rPr>
          <w:rFonts w:hint="eastAsia" w:ascii="仿宋" w:hAnsi="仿宋" w:eastAsia="仿宋" w:cs="仿宋"/>
          <w:color w:val="auto"/>
          <w:kern w:val="2"/>
          <w:sz w:val="28"/>
          <w:szCs w:val="28"/>
          <w:highlight w:val="none"/>
          <w:lang w:val="zh-CN"/>
        </w:rPr>
        <w:t>检测机构须具所在地环保主管部门关于双方约定的</w:t>
      </w:r>
      <w:r>
        <w:rPr>
          <w:rFonts w:hint="eastAsia" w:ascii="仿宋" w:hAnsi="仿宋" w:eastAsia="仿宋" w:cs="仿宋"/>
          <w:color w:val="auto"/>
          <w:kern w:val="2"/>
          <w:sz w:val="28"/>
          <w:szCs w:val="28"/>
          <w:highlight w:val="none"/>
          <w:lang w:val="en-US" w:eastAsia="zh-CN"/>
        </w:rPr>
        <w:t>项目</w:t>
      </w:r>
      <w:r>
        <w:rPr>
          <w:rFonts w:hint="eastAsia" w:ascii="仿宋" w:hAnsi="仿宋" w:eastAsia="仿宋" w:cs="仿宋"/>
          <w:color w:val="auto"/>
          <w:kern w:val="2"/>
          <w:sz w:val="28"/>
          <w:szCs w:val="28"/>
          <w:highlight w:val="none"/>
          <w:lang w:val="zh-CN"/>
        </w:rPr>
        <w:t>指标检测资质的行政批复，若并不满足具备双方约定</w:t>
      </w:r>
      <w:r>
        <w:rPr>
          <w:rFonts w:hint="eastAsia" w:ascii="仿宋" w:hAnsi="仿宋" w:eastAsia="仿宋" w:cs="仿宋"/>
          <w:color w:val="auto"/>
          <w:kern w:val="2"/>
          <w:sz w:val="28"/>
          <w:szCs w:val="28"/>
          <w:highlight w:val="none"/>
          <w:lang w:val="en-US" w:eastAsia="zh-CN"/>
        </w:rPr>
        <w:t>的</w:t>
      </w:r>
      <w:r>
        <w:rPr>
          <w:rFonts w:hint="eastAsia" w:ascii="仿宋" w:hAnsi="仿宋" w:eastAsia="仿宋" w:cs="仿宋"/>
          <w:color w:val="auto"/>
          <w:kern w:val="2"/>
          <w:sz w:val="28"/>
          <w:szCs w:val="28"/>
          <w:highlight w:val="none"/>
          <w:lang w:val="zh-CN"/>
        </w:rPr>
        <w:t>所有检测指标测定资质，则乙方不具备的检测指标测定资质，可由乙方自行委托其他检测单位合作满足所需</w:t>
      </w:r>
      <w:r>
        <w:rPr>
          <w:rFonts w:hint="eastAsia" w:ascii="仿宋" w:hAnsi="仿宋" w:eastAsia="仿宋" w:cs="仿宋"/>
          <w:color w:val="auto"/>
          <w:kern w:val="2"/>
          <w:sz w:val="28"/>
          <w:szCs w:val="28"/>
          <w:highlight w:val="none"/>
          <w:lang w:val="en-US" w:eastAsia="zh-CN"/>
        </w:rPr>
        <w:t>的</w:t>
      </w:r>
      <w:r>
        <w:rPr>
          <w:rFonts w:hint="eastAsia" w:ascii="仿宋" w:hAnsi="仿宋" w:eastAsia="仿宋" w:cs="仿宋"/>
          <w:color w:val="auto"/>
          <w:kern w:val="2"/>
          <w:sz w:val="28"/>
          <w:szCs w:val="28"/>
          <w:highlight w:val="none"/>
          <w:lang w:val="zh-CN"/>
        </w:rPr>
        <w:t>所有</w:t>
      </w:r>
      <w:r>
        <w:rPr>
          <w:rFonts w:hint="eastAsia" w:ascii="仿宋" w:hAnsi="仿宋" w:eastAsia="仿宋" w:cs="仿宋"/>
          <w:color w:val="auto"/>
          <w:kern w:val="2"/>
          <w:sz w:val="28"/>
          <w:szCs w:val="28"/>
          <w:highlight w:val="none"/>
          <w:lang w:val="en-US" w:eastAsia="zh-CN"/>
        </w:rPr>
        <w:t>项目</w:t>
      </w:r>
      <w:r>
        <w:rPr>
          <w:rFonts w:hint="eastAsia" w:ascii="仿宋" w:hAnsi="仿宋" w:eastAsia="仿宋" w:cs="仿宋"/>
          <w:color w:val="auto"/>
          <w:kern w:val="2"/>
          <w:sz w:val="28"/>
          <w:szCs w:val="28"/>
          <w:highlight w:val="none"/>
          <w:lang w:val="zh-CN"/>
        </w:rPr>
        <w:t>检测指标测定资质（污泥</w:t>
      </w:r>
      <w:r>
        <w:rPr>
          <w:rFonts w:hint="eastAsia" w:ascii="仿宋" w:hAnsi="仿宋" w:eastAsia="仿宋" w:cs="仿宋"/>
          <w:color w:val="auto"/>
          <w:kern w:val="2"/>
          <w:sz w:val="28"/>
          <w:szCs w:val="28"/>
          <w:highlight w:val="none"/>
          <w:lang w:val="en-US" w:eastAsia="zh-CN"/>
        </w:rPr>
        <w:t>中的</w:t>
      </w:r>
      <w:r>
        <w:rPr>
          <w:rFonts w:hint="eastAsia" w:ascii="仿宋" w:hAnsi="仿宋" w:eastAsia="仿宋" w:cs="仿宋"/>
          <w:color w:val="auto"/>
          <w:kern w:val="2"/>
          <w:sz w:val="28"/>
          <w:szCs w:val="28"/>
          <w:highlight w:val="none"/>
          <w:lang w:val="zh-CN"/>
        </w:rPr>
        <w:t>含水率、有机质含量、氰化物、锌、铜、铅、镍、铬、镉、砷、氮、磷</w:t>
      </w:r>
      <w:r>
        <w:rPr>
          <w:rFonts w:hint="eastAsia" w:ascii="仿宋" w:hAnsi="仿宋" w:eastAsia="仿宋" w:cs="仿宋"/>
          <w:color w:val="auto"/>
          <w:kern w:val="2"/>
          <w:sz w:val="28"/>
          <w:szCs w:val="28"/>
          <w:highlight w:val="none"/>
          <w:lang w:val="en-US" w:eastAsia="zh-CN"/>
        </w:rPr>
        <w:t>等</w:t>
      </w:r>
      <w:r>
        <w:rPr>
          <w:rFonts w:hint="eastAsia" w:ascii="仿宋" w:hAnsi="仿宋" w:eastAsia="仿宋" w:cs="仿宋"/>
          <w:color w:val="auto"/>
          <w:kern w:val="2"/>
          <w:sz w:val="28"/>
          <w:szCs w:val="28"/>
          <w:highlight w:val="none"/>
        </w:rPr>
        <w:t>检测项目</w:t>
      </w:r>
      <w:r>
        <w:rPr>
          <w:rFonts w:hint="eastAsia" w:ascii="仿宋" w:hAnsi="仿宋" w:eastAsia="仿宋" w:cs="仿宋"/>
          <w:color w:val="auto"/>
          <w:kern w:val="2"/>
          <w:sz w:val="28"/>
          <w:szCs w:val="28"/>
          <w:highlight w:val="none"/>
          <w:lang w:val="en-US" w:eastAsia="zh-CN"/>
        </w:rPr>
        <w:t>除外，上述项目乙方不得外委</w:t>
      </w:r>
      <w:r>
        <w:rPr>
          <w:rFonts w:hint="eastAsia" w:ascii="仿宋" w:hAnsi="仿宋" w:eastAsia="仿宋" w:cs="仿宋"/>
          <w:color w:val="auto"/>
          <w:kern w:val="2"/>
          <w:sz w:val="28"/>
          <w:szCs w:val="28"/>
          <w:highlight w:val="none"/>
          <w:lang w:val="zh-CN"/>
        </w:rPr>
        <w:t>其他检测单位），乙方具备的检测指标测定资质不得委托其他检测单位进行合作。乙方委托的其他检测单位出具的检测报告需经过乙方进行盖章和签字确认。</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4、</w:t>
      </w:r>
      <w:r>
        <w:rPr>
          <w:rFonts w:hint="eastAsia" w:ascii="仿宋" w:hAnsi="仿宋" w:eastAsia="仿宋" w:cs="仿宋"/>
          <w:color w:val="auto"/>
          <w:kern w:val="2"/>
          <w:sz w:val="28"/>
          <w:szCs w:val="28"/>
          <w:highlight w:val="none"/>
          <w:lang w:val="zh-CN"/>
        </w:rPr>
        <w:t>乙方须保证在自行委托其他检测单位进行检测的情况下，同批次</w:t>
      </w:r>
      <w:r>
        <w:rPr>
          <w:rFonts w:hint="eastAsia" w:ascii="仿宋" w:hAnsi="仿宋" w:eastAsia="仿宋" w:cs="仿宋"/>
          <w:color w:val="auto"/>
          <w:kern w:val="2"/>
          <w:sz w:val="28"/>
          <w:szCs w:val="28"/>
          <w:highlight w:val="none"/>
          <w:lang w:val="en-US" w:eastAsia="zh-CN"/>
        </w:rPr>
        <w:t>样品</w:t>
      </w:r>
      <w:r>
        <w:rPr>
          <w:rFonts w:hint="eastAsia" w:ascii="仿宋" w:hAnsi="仿宋" w:eastAsia="仿宋" w:cs="仿宋"/>
          <w:color w:val="auto"/>
          <w:kern w:val="2"/>
          <w:sz w:val="28"/>
          <w:szCs w:val="28"/>
          <w:highlight w:val="none"/>
          <w:lang w:val="zh-CN"/>
        </w:rPr>
        <w:t>检测日期保持一致，且报价人须出具同一批次</w:t>
      </w:r>
      <w:r>
        <w:rPr>
          <w:rFonts w:hint="eastAsia" w:ascii="仿宋" w:hAnsi="仿宋" w:eastAsia="仿宋" w:cs="仿宋"/>
          <w:color w:val="auto"/>
          <w:kern w:val="2"/>
          <w:sz w:val="28"/>
          <w:szCs w:val="28"/>
          <w:highlight w:val="none"/>
          <w:lang w:val="en-US" w:eastAsia="zh-CN"/>
        </w:rPr>
        <w:t>样品</w:t>
      </w:r>
      <w:r>
        <w:rPr>
          <w:rFonts w:hint="eastAsia" w:ascii="仿宋" w:hAnsi="仿宋" w:eastAsia="仿宋" w:cs="仿宋"/>
          <w:color w:val="auto"/>
          <w:kern w:val="2"/>
          <w:sz w:val="28"/>
          <w:szCs w:val="28"/>
          <w:highlight w:val="none"/>
          <w:lang w:val="zh-CN"/>
        </w:rPr>
        <w:t>所有检测结果汇总报告。</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5、</w:t>
      </w:r>
      <w:r>
        <w:rPr>
          <w:rFonts w:hint="eastAsia" w:ascii="仿宋" w:hAnsi="仿宋" w:eastAsia="仿宋" w:cs="仿宋"/>
          <w:color w:val="auto"/>
          <w:kern w:val="2"/>
          <w:sz w:val="28"/>
          <w:szCs w:val="28"/>
          <w:highlight w:val="none"/>
          <w:lang w:val="zh-CN"/>
        </w:rPr>
        <w:t>必须严格遵守双方约定的各种检测指标相应检测频率要求，进行</w:t>
      </w:r>
      <w:r>
        <w:rPr>
          <w:rFonts w:hint="eastAsia" w:ascii="仿宋" w:hAnsi="仿宋" w:eastAsia="仿宋" w:cs="仿宋"/>
          <w:color w:val="auto"/>
          <w:kern w:val="2"/>
          <w:sz w:val="28"/>
          <w:szCs w:val="28"/>
          <w:highlight w:val="none"/>
          <w:lang w:val="en-US" w:eastAsia="zh-CN"/>
        </w:rPr>
        <w:t>样品</w:t>
      </w:r>
      <w:r>
        <w:rPr>
          <w:rFonts w:hint="eastAsia" w:ascii="仿宋" w:hAnsi="仿宋" w:eastAsia="仿宋" w:cs="仿宋"/>
          <w:color w:val="auto"/>
          <w:kern w:val="2"/>
          <w:sz w:val="28"/>
          <w:szCs w:val="28"/>
          <w:highlight w:val="none"/>
          <w:lang w:val="zh-CN"/>
        </w:rPr>
        <w:t>检测，非询价人生产条件改变，不得有检测频次的缺失，不得有某个检测频次下个别检测质指标数据遗漏。</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6、</w:t>
      </w:r>
      <w:r>
        <w:rPr>
          <w:rFonts w:hint="eastAsia" w:ascii="仿宋" w:hAnsi="仿宋" w:eastAsia="仿宋" w:cs="仿宋"/>
          <w:color w:val="auto"/>
          <w:kern w:val="2"/>
          <w:sz w:val="28"/>
          <w:szCs w:val="28"/>
          <w:highlight w:val="none"/>
          <w:lang w:val="zh-CN"/>
        </w:rPr>
        <w:t>乙方须遵守双方约定检测频率，按时前往各分公司取泥样，具体取样工作由甲方人员配合完成。</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7、</w:t>
      </w:r>
      <w:r>
        <w:rPr>
          <w:rFonts w:hint="eastAsia" w:ascii="仿宋" w:hAnsi="仿宋" w:eastAsia="仿宋" w:cs="仿宋"/>
          <w:color w:val="auto"/>
          <w:kern w:val="2"/>
          <w:sz w:val="28"/>
          <w:szCs w:val="28"/>
          <w:highlight w:val="none"/>
          <w:lang w:val="zh-CN"/>
        </w:rPr>
        <w:t>乙方须每月提供检测报告，并于指定时间内提交，作为计量支付材料交由甲方进行审核，且乙方必须严格遵守双方约定的检测报告递交时间要求，不得延误。</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8、</w:t>
      </w:r>
      <w:r>
        <w:rPr>
          <w:rFonts w:hint="eastAsia" w:ascii="仿宋" w:hAnsi="仿宋" w:eastAsia="仿宋" w:cs="仿宋"/>
          <w:color w:val="auto"/>
          <w:kern w:val="2"/>
          <w:sz w:val="28"/>
          <w:szCs w:val="28"/>
          <w:highlight w:val="none"/>
          <w:lang w:val="zh-CN"/>
        </w:rPr>
        <w:t>乙方所提供的泥质检测报告须包括但不限于：</w:t>
      </w:r>
      <w:r>
        <w:rPr>
          <w:rFonts w:hint="eastAsia" w:ascii="仿宋" w:hAnsi="仿宋" w:eastAsia="仿宋" w:cs="仿宋"/>
          <w:color w:val="auto"/>
          <w:kern w:val="2"/>
          <w:sz w:val="28"/>
          <w:szCs w:val="28"/>
          <w:highlight w:val="none"/>
          <w:lang w:val="en-US" w:eastAsia="zh-CN"/>
        </w:rPr>
        <w:t>样品</w:t>
      </w:r>
      <w:r>
        <w:rPr>
          <w:rFonts w:hint="eastAsia" w:ascii="仿宋" w:hAnsi="仿宋" w:eastAsia="仿宋" w:cs="仿宋"/>
          <w:color w:val="auto"/>
          <w:kern w:val="2"/>
          <w:sz w:val="28"/>
          <w:szCs w:val="28"/>
          <w:highlight w:val="none"/>
          <w:lang w:val="zh-CN"/>
        </w:rPr>
        <w:t>来源、样本编号、采样日期、检测日期、检测环境、检测项目、检测指标以及检测结果等</w:t>
      </w:r>
      <w:r>
        <w:rPr>
          <w:rFonts w:hint="eastAsia" w:ascii="仿宋" w:hAnsi="仿宋" w:eastAsia="仿宋" w:cs="仿宋"/>
          <w:color w:val="auto"/>
          <w:kern w:val="2"/>
          <w:sz w:val="28"/>
          <w:szCs w:val="28"/>
          <w:highlight w:val="none"/>
          <w:lang w:val="zh-CN"/>
        </w:rPr>
        <w:t>。</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9、</w:t>
      </w:r>
      <w:r>
        <w:rPr>
          <w:rFonts w:hint="eastAsia" w:ascii="仿宋" w:hAnsi="仿宋" w:eastAsia="仿宋" w:cs="仿宋"/>
          <w:color w:val="auto"/>
          <w:kern w:val="2"/>
          <w:sz w:val="28"/>
          <w:szCs w:val="28"/>
          <w:highlight w:val="none"/>
          <w:lang w:val="zh-CN"/>
        </w:rPr>
        <w:t>质量要求：详见合同附件</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10、</w:t>
      </w:r>
      <w:r>
        <w:rPr>
          <w:rFonts w:hint="eastAsia" w:ascii="仿宋" w:hAnsi="仿宋" w:eastAsia="仿宋" w:cs="仿宋"/>
          <w:color w:val="auto"/>
          <w:kern w:val="2"/>
          <w:sz w:val="28"/>
          <w:szCs w:val="28"/>
          <w:highlight w:val="none"/>
          <w:lang w:val="zh-CN"/>
        </w:rPr>
        <w:t>安全文明施工要求：详见合同附件</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11、</w:t>
      </w:r>
      <w:r>
        <w:rPr>
          <w:rFonts w:hint="eastAsia" w:ascii="仿宋" w:hAnsi="仿宋" w:eastAsia="仿宋" w:cs="仿宋"/>
          <w:color w:val="auto"/>
          <w:kern w:val="2"/>
          <w:sz w:val="28"/>
          <w:szCs w:val="28"/>
          <w:highlight w:val="none"/>
          <w:lang w:val="zh-CN"/>
        </w:rPr>
        <w:t>总包及分包规定：允许分包</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12、</w:t>
      </w:r>
      <w:r>
        <w:rPr>
          <w:rFonts w:hint="eastAsia" w:ascii="仿宋" w:hAnsi="仿宋" w:eastAsia="仿宋" w:cs="仿宋"/>
          <w:color w:val="auto"/>
          <w:kern w:val="2"/>
          <w:sz w:val="28"/>
          <w:szCs w:val="28"/>
          <w:highlight w:val="none"/>
          <w:lang w:val="zh-CN"/>
        </w:rPr>
        <w:t>付款方式：详见合同范本</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13、</w:t>
      </w:r>
      <w:r>
        <w:rPr>
          <w:rFonts w:hint="eastAsia" w:ascii="仿宋" w:hAnsi="仿宋" w:eastAsia="仿宋" w:cs="仿宋"/>
          <w:color w:val="auto"/>
          <w:kern w:val="2"/>
          <w:sz w:val="28"/>
          <w:szCs w:val="28"/>
          <w:highlight w:val="none"/>
          <w:lang w:val="zh-CN"/>
        </w:rPr>
        <w:t>承包方式：</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固定单价：询价响应文件包含总价及综合单价时，综合单价为合同单价。合同单价在询价文件及合同约定的风险范围之内不可调整，合同结算金额根据合同单价及承包人检测服务工作量据实结算。</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14、</w:t>
      </w:r>
      <w:r>
        <w:rPr>
          <w:rFonts w:hint="eastAsia" w:ascii="仿宋" w:hAnsi="仿宋" w:eastAsia="仿宋" w:cs="仿宋"/>
          <w:color w:val="auto"/>
          <w:kern w:val="2"/>
          <w:sz w:val="28"/>
          <w:szCs w:val="28"/>
          <w:highlight w:val="none"/>
          <w:lang w:val="zh-CN"/>
        </w:rPr>
        <w:t>验收要求、验收标准及方法如下：</w:t>
      </w:r>
    </w:p>
    <w:p>
      <w:pPr>
        <w:pStyle w:val="13"/>
        <w:spacing w:line="600" w:lineRule="exact"/>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服务期满后，甲方将根据承包人检测服务工作完成情况（包括但不限于取样检测频率和次数、样品和数据数量、出具报告及时性），审定承包人服务工作量，进行验收和结算审核。</w:t>
      </w:r>
    </w:p>
    <w:p>
      <w:pPr>
        <w:spacing w:line="360" w:lineRule="auto"/>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四、其他要求</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1.报价单位遵守国家法律、行政法规，具有良好的信誉；须符合并承认履行本次公开竞价需求中的各项规定，具有履行合同能力和良好的履行合同的记录，在过往竞价项目中没有欺骗、欺诈的行为。</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2.报价单位须具有履行合同所必须的设备、专业技术能力；有依法缴纳税收和社会保障资金的良好记录以及其它相关条件。</w:t>
      </w:r>
    </w:p>
    <w:p>
      <w:pPr>
        <w:pStyle w:val="8"/>
        <w:rPr>
          <w:rFonts w:eastAsia="仿宋_GB2312"/>
          <w:color w:val="auto"/>
          <w:highlight w:val="none"/>
        </w:rPr>
      </w:pPr>
      <w:r>
        <w:rPr>
          <w:rFonts w:hint="eastAsia" w:ascii="仿宋" w:hAnsi="仿宋" w:eastAsia="仿宋" w:cs="仿宋"/>
          <w:color w:val="auto"/>
          <w:sz w:val="28"/>
          <w:szCs w:val="28"/>
          <w:highlight w:val="none"/>
        </w:rPr>
        <w:t xml:space="preserve">    </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firstLine="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firstLine="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73" w:name="_Toc29835"/>
      <w:bookmarkStart w:id="74" w:name="_Toc23330"/>
      <w:bookmarkStart w:id="75" w:name="_Toc537"/>
      <w:bookmarkStart w:id="76" w:name="_Toc25925"/>
      <w:bookmarkStart w:id="77" w:name="_Toc1496"/>
      <w:bookmarkStart w:id="78" w:name="_Toc18538"/>
      <w:bookmarkStart w:id="79" w:name="_Toc15570"/>
      <w:bookmarkStart w:id="80" w:name="_Toc1284"/>
      <w:bookmarkStart w:id="81" w:name="_Toc23353"/>
      <w:bookmarkStart w:id="82" w:name="_Toc4680"/>
      <w:bookmarkStart w:id="83" w:name="_Toc12135"/>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2473960</wp:posOffset>
                </wp:positionH>
                <wp:positionV relativeFrom="paragraph">
                  <wp:posOffset>270510</wp:posOffset>
                </wp:positionV>
                <wp:extent cx="958850" cy="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8pt;margin-top:21.3pt;height:0pt;width:75.5pt;z-index:251674624;mso-width-relative:page;mso-height-relative:page;" filled="f" stroked="t" coordsize="21600,21600" o:gfxdata="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x7W61wAAAAkBAAAPAAAAAAAAAAEAIAAAACIAAABkcnMvZG93&#10;bnJldi54bWxQSwECFAAUAAAACACHTuJAqZTUQwECAAD7AwAADgAAAAAAAAABACAAAAAmAQAAZHJz&#10;L2Uyb0RvYy54bWxQSwUGAAAAAAYABgBZAQAAm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2454910</wp:posOffset>
                </wp:positionH>
                <wp:positionV relativeFrom="paragraph">
                  <wp:posOffset>720090</wp:posOffset>
                </wp:positionV>
                <wp:extent cx="958850" cy="0"/>
                <wp:effectExtent l="0" t="0" r="0" b="0"/>
                <wp:wrapNone/>
                <wp:docPr id="45" name="直接箭头连接符 4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3pt;margin-top:56.7pt;height:0pt;width:75.5pt;z-index:251675648;mso-width-relative:page;mso-height-relative:page;" filled="f" stroked="t" coordsize="21600,21600" o:gfxdata="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fT2p2AAAAAsBAAAPAAAAAAAAAAEAIAAAACIAAABkcnMvZG93&#10;bnJldi54bWxQSwECFAAUAAAACACHTuJAHWMCtQACAAD7AwAADgAAAAAAAAABACAAAAAnAQAAZHJz&#10;L2Uyb0RvYy54bWxQSwUGAAAAAAYABgBZAQAAmQU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color w:val="auto"/>
          <w:highlight w:val="none"/>
        </w:rPr>
      </w:pPr>
    </w:p>
    <w:p>
      <w:pPr>
        <w:pStyle w:val="3"/>
        <w:rPr>
          <w:color w:val="auto"/>
          <w:highlight w:val="none"/>
        </w:rPr>
      </w:pPr>
      <w:bookmarkStart w:id="84" w:name="_Toc22797"/>
      <w:bookmarkStart w:id="85" w:name="_Toc88209949"/>
      <w:bookmarkStart w:id="86" w:name="_Toc22501"/>
      <w:bookmarkStart w:id="87" w:name="_Toc12721"/>
      <w:bookmarkStart w:id="88" w:name="_Toc323"/>
      <w:bookmarkStart w:id="89" w:name="_Toc19088"/>
      <w:bookmarkStart w:id="90" w:name="_Toc13309"/>
      <w:bookmarkStart w:id="91" w:name="_Toc12980"/>
      <w:bookmarkStart w:id="92" w:name="_Toc8183"/>
      <w:bookmarkStart w:id="93" w:name="_Toc19686"/>
      <w:bookmarkStart w:id="94" w:name="_Toc12968"/>
      <w:bookmarkStart w:id="95" w:name="_Toc87616386"/>
      <w:bookmarkStart w:id="96" w:name="_Toc1375"/>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5"/>
        <w:rPr>
          <w:color w:val="auto"/>
          <w:highlight w:val="none"/>
        </w:rPr>
      </w:pPr>
    </w:p>
    <w:p>
      <w:pPr>
        <w:pStyle w:val="5"/>
        <w:jc w:val="center"/>
        <w:rPr>
          <w:color w:val="auto"/>
          <w:highlight w:val="none"/>
        </w:rPr>
      </w:pPr>
      <w:r>
        <w:rPr>
          <w:rFonts w:hint="eastAsia"/>
          <w:color w:val="auto"/>
          <w:highlight w:val="none"/>
        </w:rPr>
        <w:t>广州市净水有限公司服务项目合同</w:t>
      </w:r>
    </w:p>
    <w:p>
      <w:pPr>
        <w:spacing w:line="400" w:lineRule="atLeast"/>
        <w:rPr>
          <w:rFonts w:ascii="宋体" w:hAnsi="宋体"/>
          <w:b/>
          <w:color w:val="auto"/>
          <w:sz w:val="30"/>
          <w:szCs w:val="30"/>
          <w:highlight w:val="none"/>
        </w:rPr>
      </w:pPr>
      <w:r>
        <w:rPr>
          <w:rFonts w:hint="eastAsia" w:ascii="宋体" w:hAnsi="宋体" w:cs="宋体"/>
          <w:b/>
          <w:color w:val="auto"/>
          <w:sz w:val="30"/>
          <w:szCs w:val="30"/>
          <w:highlight w:val="none"/>
        </w:rPr>
        <w:t>项目名称:</w:t>
      </w:r>
      <w:r>
        <w:rPr>
          <w:rFonts w:hint="eastAsia" w:ascii="宋体" w:hAnsi="宋体" w:cs="宋体" w:eastAsiaTheme="minorEastAsia"/>
          <w:b/>
          <w:bCs w:val="0"/>
          <w:color w:val="auto"/>
          <w:sz w:val="30"/>
          <w:szCs w:val="30"/>
          <w:highlight w:val="none"/>
          <w:u w:val="none"/>
        </w:rPr>
        <w:t>广州市净水有限公司202</w:t>
      </w:r>
      <w:r>
        <w:rPr>
          <w:rFonts w:hint="eastAsia" w:ascii="宋体" w:hAnsi="宋体" w:cs="宋体" w:eastAsiaTheme="minorEastAsia"/>
          <w:b/>
          <w:bCs w:val="0"/>
          <w:color w:val="auto"/>
          <w:sz w:val="30"/>
          <w:szCs w:val="30"/>
          <w:highlight w:val="none"/>
          <w:u w:val="none"/>
          <w:lang w:val="en-US" w:eastAsia="zh-CN"/>
        </w:rPr>
        <w:t>2</w:t>
      </w:r>
      <w:r>
        <w:rPr>
          <w:rFonts w:hint="eastAsia" w:ascii="宋体" w:hAnsi="宋体" w:cs="宋体" w:eastAsiaTheme="minorEastAsia"/>
          <w:b/>
          <w:bCs w:val="0"/>
          <w:color w:val="auto"/>
          <w:sz w:val="30"/>
          <w:szCs w:val="30"/>
          <w:highlight w:val="none"/>
          <w:u w:val="none"/>
        </w:rPr>
        <w:t>-202</w:t>
      </w:r>
      <w:r>
        <w:rPr>
          <w:rFonts w:hint="eastAsia" w:ascii="宋体" w:hAnsi="宋体" w:cs="宋体" w:eastAsiaTheme="minorEastAsia"/>
          <w:b/>
          <w:bCs w:val="0"/>
          <w:color w:val="auto"/>
          <w:sz w:val="30"/>
          <w:szCs w:val="30"/>
          <w:highlight w:val="none"/>
          <w:u w:val="none"/>
          <w:lang w:val="en-US" w:eastAsia="zh-CN"/>
        </w:rPr>
        <w:t>3</w:t>
      </w:r>
      <w:r>
        <w:rPr>
          <w:rFonts w:hint="eastAsia" w:ascii="宋体" w:hAnsi="宋体" w:cs="宋体" w:eastAsiaTheme="minorEastAsia"/>
          <w:b/>
          <w:bCs w:val="0"/>
          <w:color w:val="auto"/>
          <w:sz w:val="30"/>
          <w:szCs w:val="30"/>
          <w:highlight w:val="none"/>
          <w:u w:val="none"/>
        </w:rPr>
        <w:t>年污泥干化处理服务项目污泥泥质检测</w:t>
      </w:r>
      <w:r>
        <w:rPr>
          <w:rFonts w:hint="eastAsia" w:ascii="宋体" w:hAnsi="宋体" w:cs="宋体" w:eastAsiaTheme="minorEastAsia"/>
          <w:b/>
          <w:bCs w:val="0"/>
          <w:color w:val="auto"/>
          <w:sz w:val="30"/>
          <w:szCs w:val="30"/>
          <w:highlight w:val="none"/>
          <w:u w:val="none"/>
          <w:lang w:val="en-US" w:eastAsia="zh-CN"/>
        </w:rPr>
        <w:t>项目</w:t>
      </w:r>
    </w:p>
    <w:p>
      <w:pPr>
        <w:spacing w:line="400" w:lineRule="atLeast"/>
        <w:rPr>
          <w:rFonts w:ascii="宋体" w:hAnsi="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pStyle w:val="13"/>
        <w:rPr>
          <w:color w:val="auto"/>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穗净水合[2022]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rPr>
          <w:color w:val="auto"/>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p>
    <w:p>
      <w:pPr>
        <w:spacing w:line="400" w:lineRule="atLeast"/>
        <w:rPr>
          <w:rFonts w:ascii="宋体" w:hAnsi="宋体" w:cs="宋体"/>
          <w:color w:val="auto"/>
          <w:sz w:val="24"/>
          <w:highlight w:val="none"/>
        </w:rPr>
      </w:pPr>
      <w:r>
        <w:rPr>
          <w:rFonts w:hint="eastAsia" w:ascii="宋体" w:hAnsi="宋体" w:cs="宋体"/>
          <w:b/>
          <w:color w:val="auto"/>
          <w:sz w:val="30"/>
          <w:highlight w:val="none"/>
        </w:rPr>
        <w:t>签约地点：广州市</w:t>
      </w:r>
    </w:p>
    <w:p>
      <w:pPr>
        <w:ind w:firstLine="228" w:firstLineChars="95"/>
        <w:rPr>
          <w:rFonts w:ascii="宋体" w:hAnsi="宋体"/>
          <w:color w:val="auto"/>
          <w:sz w:val="24"/>
          <w:highlight w:val="none"/>
        </w:rPr>
      </w:pPr>
    </w:p>
    <w:p>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highlight w:val="none"/>
        </w:rPr>
        <w:t>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（以下简称“乙方”）就</w:t>
      </w:r>
      <w:r>
        <w:rPr>
          <w:rFonts w:hint="eastAsia" w:ascii="宋体" w:hAnsi="宋体" w:cs="宋体" w:eastAsiaTheme="minorEastAsia"/>
          <w:b w:val="0"/>
          <w:bCs w:val="0"/>
          <w:color w:val="auto"/>
          <w:sz w:val="24"/>
          <w:szCs w:val="22"/>
          <w:highlight w:val="none"/>
          <w:u w:val="single"/>
        </w:rPr>
        <w:t>广州市净水有限公司202</w:t>
      </w:r>
      <w:r>
        <w:rPr>
          <w:rFonts w:hint="eastAsia" w:ascii="宋体" w:hAnsi="宋体" w:cs="宋体" w:eastAsiaTheme="minorEastAsia"/>
          <w:b w:val="0"/>
          <w:bCs w:val="0"/>
          <w:color w:val="auto"/>
          <w:sz w:val="24"/>
          <w:szCs w:val="22"/>
          <w:highlight w:val="none"/>
          <w:u w:val="single"/>
          <w:lang w:val="en-US" w:eastAsia="zh-CN"/>
        </w:rPr>
        <w:t>2</w:t>
      </w:r>
      <w:r>
        <w:rPr>
          <w:rFonts w:hint="eastAsia" w:ascii="宋体" w:hAnsi="宋体" w:cs="宋体" w:eastAsiaTheme="minorEastAsia"/>
          <w:b w:val="0"/>
          <w:bCs w:val="0"/>
          <w:color w:val="auto"/>
          <w:sz w:val="24"/>
          <w:szCs w:val="22"/>
          <w:highlight w:val="none"/>
          <w:u w:val="single"/>
        </w:rPr>
        <w:t>-202</w:t>
      </w:r>
      <w:r>
        <w:rPr>
          <w:rFonts w:hint="eastAsia" w:ascii="宋体" w:hAnsi="宋体" w:cs="宋体" w:eastAsiaTheme="minorEastAsia"/>
          <w:b w:val="0"/>
          <w:bCs w:val="0"/>
          <w:color w:val="auto"/>
          <w:sz w:val="24"/>
          <w:szCs w:val="22"/>
          <w:highlight w:val="none"/>
          <w:u w:val="single"/>
          <w:lang w:val="en-US" w:eastAsia="zh-CN"/>
        </w:rPr>
        <w:t>3</w:t>
      </w:r>
      <w:r>
        <w:rPr>
          <w:rFonts w:hint="eastAsia" w:ascii="宋体" w:hAnsi="宋体" w:cs="宋体" w:eastAsiaTheme="minorEastAsia"/>
          <w:b w:val="0"/>
          <w:bCs w:val="0"/>
          <w:color w:val="auto"/>
          <w:sz w:val="24"/>
          <w:szCs w:val="22"/>
          <w:highlight w:val="none"/>
          <w:u w:val="single"/>
        </w:rPr>
        <w:t>年污泥干化处理服务项目污泥泥质检测</w:t>
      </w:r>
      <w:r>
        <w:rPr>
          <w:rFonts w:hint="eastAsia" w:ascii="宋体" w:hAnsi="宋体" w:cs="宋体" w:eastAsiaTheme="minorEastAsia"/>
          <w:b w:val="0"/>
          <w:bCs w:val="0"/>
          <w:color w:val="auto"/>
          <w:sz w:val="24"/>
          <w:szCs w:val="22"/>
          <w:highlight w:val="none"/>
          <w:u w:val="single"/>
          <w:lang w:val="en-US" w:eastAsia="zh-CN"/>
        </w:rPr>
        <w:t>项目</w:t>
      </w:r>
      <w:r>
        <w:rPr>
          <w:rFonts w:hint="eastAsia" w:ascii="宋体" w:hAnsi="宋体" w:cs="宋体"/>
          <w:color w:val="auto"/>
          <w:sz w:val="24"/>
          <w:highlight w:val="none"/>
        </w:rPr>
        <w:t>承接工作事宜，遵循平等、自愿、公平和诚实信用的原则，双方协商一致，订立本合同。</w:t>
      </w:r>
    </w:p>
    <w:p>
      <w:pPr>
        <w:spacing w:beforeLines="30" w:line="360" w:lineRule="auto"/>
        <w:ind w:firstLine="482" w:firstLineChars="200"/>
        <w:rPr>
          <w:rFonts w:ascii="Times New Roman" w:hAnsi="Times New Roman" w:cs="Times New Roman"/>
          <w:color w:val="auto"/>
          <w:highlight w:val="none"/>
        </w:rPr>
      </w:pPr>
      <w:r>
        <w:rPr>
          <w:rFonts w:ascii="Times New Roman" w:hAnsi="Times New Roman" w:cs="Times New Roman"/>
          <w:b/>
          <w:color w:val="auto"/>
          <w:sz w:val="24"/>
          <w:highlight w:val="none"/>
        </w:rPr>
        <w:t>第一条 组成合同的文件及优先顺序</w:t>
      </w:r>
    </w:p>
    <w:p>
      <w:pPr>
        <w:spacing w:line="360"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⑴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⑵ 本合同书；</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 发包通知书/委托函；</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7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⑺</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工程量清单/</w:t>
      </w:r>
      <w:r>
        <w:rPr>
          <w:rFonts w:hint="eastAsia" w:ascii="宋体" w:hAnsi="宋体" w:eastAsia="宋体" w:cs="宋体"/>
          <w:color w:val="auto"/>
          <w:sz w:val="24"/>
          <w:highlight w:val="none"/>
        </w:rPr>
        <w:t>工程报价单或预算书；</w:t>
      </w:r>
    </w:p>
    <w:p>
      <w:pPr>
        <w:spacing w:line="360" w:lineRule="auto"/>
        <w:ind w:firstLine="482"/>
        <w:rPr>
          <w:rFonts w:ascii="宋体" w:hAnsi="宋体" w:eastAsia="宋体" w:cs="宋体"/>
          <w:b/>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8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⑻</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本合同其他附件；</w:t>
      </w:r>
    </w:p>
    <w:p>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项目概况、项目承包范围及要求</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1.项目名称：</w:t>
      </w:r>
      <w:r>
        <w:rPr>
          <w:rFonts w:hint="eastAsia" w:ascii="宋体" w:hAnsi="宋体" w:cs="宋体" w:eastAsiaTheme="minorEastAsia"/>
          <w:b w:val="0"/>
          <w:bCs w:val="0"/>
          <w:color w:val="auto"/>
          <w:sz w:val="24"/>
          <w:szCs w:val="22"/>
          <w:highlight w:val="none"/>
          <w:u w:val="single"/>
        </w:rPr>
        <w:t>广州市净水有限公司202</w:t>
      </w:r>
      <w:r>
        <w:rPr>
          <w:rFonts w:hint="eastAsia" w:ascii="宋体" w:hAnsi="宋体" w:cs="宋体" w:eastAsiaTheme="minorEastAsia"/>
          <w:b w:val="0"/>
          <w:bCs w:val="0"/>
          <w:color w:val="auto"/>
          <w:sz w:val="24"/>
          <w:szCs w:val="22"/>
          <w:highlight w:val="none"/>
          <w:u w:val="single"/>
          <w:lang w:val="en-US" w:eastAsia="zh-CN"/>
        </w:rPr>
        <w:t>2</w:t>
      </w:r>
      <w:r>
        <w:rPr>
          <w:rFonts w:hint="eastAsia" w:ascii="宋体" w:hAnsi="宋体" w:cs="宋体" w:eastAsiaTheme="minorEastAsia"/>
          <w:b w:val="0"/>
          <w:bCs w:val="0"/>
          <w:color w:val="auto"/>
          <w:sz w:val="24"/>
          <w:szCs w:val="22"/>
          <w:highlight w:val="none"/>
          <w:u w:val="single"/>
        </w:rPr>
        <w:t>-202</w:t>
      </w:r>
      <w:r>
        <w:rPr>
          <w:rFonts w:hint="eastAsia" w:ascii="宋体" w:hAnsi="宋体" w:cs="宋体" w:eastAsiaTheme="minorEastAsia"/>
          <w:b w:val="0"/>
          <w:bCs w:val="0"/>
          <w:color w:val="auto"/>
          <w:sz w:val="24"/>
          <w:szCs w:val="22"/>
          <w:highlight w:val="none"/>
          <w:u w:val="single"/>
          <w:lang w:val="en-US" w:eastAsia="zh-CN"/>
        </w:rPr>
        <w:t>3</w:t>
      </w:r>
      <w:r>
        <w:rPr>
          <w:rFonts w:hint="eastAsia" w:ascii="宋体" w:hAnsi="宋体" w:cs="宋体" w:eastAsiaTheme="minorEastAsia"/>
          <w:b w:val="0"/>
          <w:bCs w:val="0"/>
          <w:color w:val="auto"/>
          <w:sz w:val="24"/>
          <w:szCs w:val="22"/>
          <w:highlight w:val="none"/>
          <w:u w:val="single"/>
        </w:rPr>
        <w:t>年污泥干化处理服务项目污泥泥质检测</w:t>
      </w:r>
      <w:r>
        <w:rPr>
          <w:rFonts w:hint="eastAsia" w:ascii="宋体" w:hAnsi="宋体" w:cs="宋体" w:eastAsiaTheme="minorEastAsia"/>
          <w:b w:val="0"/>
          <w:bCs w:val="0"/>
          <w:color w:val="auto"/>
          <w:sz w:val="24"/>
          <w:szCs w:val="22"/>
          <w:highlight w:val="none"/>
          <w:u w:val="single"/>
          <w:lang w:val="en-US" w:eastAsia="zh-CN"/>
        </w:rPr>
        <w:t>项目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2.检测内容</w:t>
      </w:r>
    </w:p>
    <w:p>
      <w:pPr>
        <w:pStyle w:val="8"/>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2.1</w:t>
      </w:r>
      <w:r>
        <w:rPr>
          <w:rFonts w:hint="eastAsia" w:ascii="宋体" w:hAnsi="宋体" w:eastAsia="宋体" w:cs="Times New Roman"/>
          <w:color w:val="auto"/>
          <w:kern w:val="0"/>
          <w:sz w:val="24"/>
          <w:szCs w:val="24"/>
          <w:highlight w:val="none"/>
        </w:rPr>
        <w:t>检测服务范围：大沙地分公司、石井分公司一期和二期、石井净水分公司一期、龙归分公司、竹料分公司、大观分公司厂内污泥干化处理服务项目</w:t>
      </w:r>
      <w:r>
        <w:rPr>
          <w:rFonts w:hint="eastAsia" w:ascii="宋体" w:hAnsi="宋体" w:eastAsia="宋体" w:cs="Times New Roman"/>
          <w:color w:val="auto"/>
          <w:kern w:val="0"/>
          <w:sz w:val="24"/>
          <w:szCs w:val="24"/>
          <w:highlight w:val="none"/>
          <w:lang w:val="en-US" w:eastAsia="zh-CN"/>
        </w:rPr>
        <w:t>和</w:t>
      </w:r>
      <w:r>
        <w:rPr>
          <w:rFonts w:hint="eastAsia" w:ascii="宋体" w:hAnsi="宋体" w:eastAsia="宋体" w:cs="Times New Roman"/>
          <w:snapToGrid/>
          <w:color w:val="auto"/>
          <w:kern w:val="0"/>
          <w:sz w:val="24"/>
          <w:szCs w:val="24"/>
          <w:highlight w:val="none"/>
        </w:rPr>
        <w:t>猎德分公司、大坦沙分公司、沥滘分公司</w:t>
      </w:r>
      <w:r>
        <w:rPr>
          <w:rFonts w:hint="eastAsia" w:ascii="宋体" w:hAnsi="宋体" w:eastAsia="宋体" w:cs="Times New Roman"/>
          <w:snapToGrid/>
          <w:color w:val="auto"/>
          <w:kern w:val="0"/>
          <w:sz w:val="24"/>
          <w:szCs w:val="24"/>
          <w:highlight w:val="none"/>
          <w:lang w:eastAsia="zh-CN"/>
        </w:rPr>
        <w:t>、</w:t>
      </w:r>
      <w:r>
        <w:rPr>
          <w:rFonts w:hint="eastAsia" w:ascii="宋体" w:hAnsi="宋体" w:eastAsia="宋体" w:cs="Times New Roman"/>
          <w:snapToGrid/>
          <w:color w:val="auto"/>
          <w:kern w:val="0"/>
          <w:sz w:val="24"/>
          <w:szCs w:val="24"/>
          <w:highlight w:val="none"/>
        </w:rPr>
        <w:t>西朗公司EPC项目</w:t>
      </w:r>
      <w:r>
        <w:rPr>
          <w:rFonts w:hint="eastAsia" w:ascii="宋体" w:hAnsi="宋体" w:eastAsia="宋体" w:cs="Times New Roman"/>
          <w:color w:val="auto"/>
          <w:kern w:val="0"/>
          <w:sz w:val="24"/>
          <w:szCs w:val="24"/>
          <w:highlight w:val="none"/>
        </w:rPr>
        <w:t>的出泥泥质、污染物排放等指标</w:t>
      </w:r>
    </w:p>
    <w:p>
      <w:pPr>
        <w:pStyle w:val="8"/>
        <w:spacing w:line="360" w:lineRule="auto"/>
        <w:ind w:firstLine="480" w:firstLineChars="200"/>
        <w:rPr>
          <w:color w:val="auto"/>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.1检测</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w:t>
      </w:r>
      <w:r>
        <w:rPr>
          <w:rFonts w:hint="eastAsia"/>
          <w:color w:val="auto"/>
          <w:sz w:val="24"/>
          <w:szCs w:val="24"/>
          <w:highlight w:val="none"/>
        </w:rPr>
        <w:t>检测指标和检测频率详见附件1。</w:t>
      </w:r>
    </w:p>
    <w:p>
      <w:pPr>
        <w:widowControl/>
        <w:spacing w:line="360" w:lineRule="auto"/>
        <w:ind w:firstLine="480" w:firstLineChars="200"/>
        <w:jc w:val="left"/>
        <w:rPr>
          <w:rFonts w:ascii="Times New Roman" w:hAnsi="Times New Roman" w:cs="Times New Roman"/>
          <w:color w:val="auto"/>
          <w:sz w:val="24"/>
          <w:highlight w:val="none"/>
        </w:rPr>
      </w:pPr>
      <w:r>
        <w:rPr>
          <w:rFonts w:hint="eastAsia" w:ascii="宋体" w:hAnsi="宋体" w:eastAsia="宋体" w:cs="宋体"/>
          <w:color w:val="auto"/>
          <w:sz w:val="24"/>
          <w:highlight w:val="none"/>
        </w:rPr>
        <w:t>2.2</w:t>
      </w:r>
      <w:r>
        <w:rPr>
          <w:rFonts w:hint="eastAsia" w:ascii="Times New Roman" w:hAnsi="Times New Roman" w:cs="Times New Roman"/>
          <w:color w:val="auto"/>
          <w:sz w:val="24"/>
          <w:highlight w:val="none"/>
        </w:rPr>
        <w:t>检测报告</w:t>
      </w:r>
      <w:r>
        <w:rPr>
          <w:rFonts w:ascii="Times New Roman" w:hAnsi="Times New Roman" w:cs="Times New Roman"/>
          <w:color w:val="auto"/>
          <w:sz w:val="24"/>
          <w:highlight w:val="none"/>
        </w:rPr>
        <w:t>要求</w:t>
      </w:r>
    </w:p>
    <w:p>
      <w:pPr>
        <w:widowControl/>
        <w:numPr>
          <w:ilvl w:val="0"/>
          <w:numId w:val="4"/>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必须具备中国计量认证(简称CMA)资质。如部分检测项目需委托外单位进行检测的，乙方须事先将分包方的CMA资质及相关采样、检测、分析人员等相关资质证书交甲方进行审查，经甲方同意后，方可进行分包。若发生检测问题和事故，相关责任由乙方承担。</w:t>
      </w:r>
    </w:p>
    <w:p>
      <w:pPr>
        <w:widowControl/>
        <w:numPr>
          <w:ilvl w:val="0"/>
          <w:numId w:val="4"/>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乙方完成服务工作的形式:</w:t>
      </w:r>
      <w:r>
        <w:rPr>
          <w:rFonts w:hint="eastAsia" w:ascii="宋体" w:hAnsi="宋体" w:eastAsia="宋体" w:cs="宋体"/>
          <w:color w:val="auto"/>
          <w:sz w:val="24"/>
          <w:szCs w:val="24"/>
          <w:highlight w:val="none"/>
        </w:rPr>
        <w:t>检测工作完成后的次月</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w:t>
      </w:r>
      <w:r>
        <w:rPr>
          <w:rFonts w:hint="eastAsia" w:ascii="宋体" w:hAnsi="宋体" w:eastAsia="宋体" w:cs="Times New Roman"/>
          <w:color w:val="auto"/>
          <w:kern w:val="0"/>
          <w:sz w:val="24"/>
          <w:szCs w:val="24"/>
          <w:highlight w:val="none"/>
        </w:rPr>
        <w:t>向</w:t>
      </w:r>
      <w:r>
        <w:rPr>
          <w:rFonts w:hint="eastAsia" w:ascii="宋体" w:hAnsi="宋体" w:eastAsia="宋体" w:cs="宋体"/>
          <w:snapToGrid w:val="0"/>
          <w:color w:val="auto"/>
          <w:kern w:val="0"/>
          <w:sz w:val="24"/>
          <w:highlight w:val="none"/>
        </w:rPr>
        <w:t>甲方辖下</w:t>
      </w:r>
      <w:r>
        <w:rPr>
          <w:rFonts w:hint="eastAsia" w:ascii="宋体" w:hAnsi="宋体" w:eastAsia="宋体" w:cs="宋体"/>
          <w:snapToGrid w:val="0"/>
          <w:color w:val="auto"/>
          <w:kern w:val="0"/>
          <w:sz w:val="24"/>
          <w:highlight w:val="none"/>
          <w:lang w:val="en-US" w:eastAsia="zh-CN"/>
        </w:rPr>
        <w:t>各</w:t>
      </w:r>
      <w:r>
        <w:rPr>
          <w:rFonts w:hint="eastAsia" w:ascii="宋体" w:hAnsi="宋体" w:eastAsia="宋体" w:cs="宋体"/>
          <w:snapToGrid w:val="0"/>
          <w:color w:val="auto"/>
          <w:kern w:val="0"/>
          <w:sz w:val="24"/>
          <w:highlight w:val="none"/>
        </w:rPr>
        <w:t>分公司</w:t>
      </w:r>
      <w:r>
        <w:rPr>
          <w:rFonts w:hint="eastAsia" w:ascii="宋体" w:hAnsi="宋体" w:eastAsia="宋体" w:cs="宋体"/>
          <w:color w:val="auto"/>
          <w:sz w:val="24"/>
          <w:szCs w:val="24"/>
          <w:highlight w:val="none"/>
        </w:rPr>
        <w:t>提交CMA认证</w:t>
      </w:r>
      <w:r>
        <w:rPr>
          <w:rFonts w:hint="eastAsia" w:ascii="宋体" w:hAnsi="宋体" w:eastAsia="宋体" w:cs="Times New Roman"/>
          <w:color w:val="auto"/>
          <w:kern w:val="0"/>
          <w:sz w:val="24"/>
          <w:szCs w:val="24"/>
          <w:highlight w:val="none"/>
        </w:rPr>
        <w:t>检测报告（一式两份），包括该水厂涉及的泥</w:t>
      </w:r>
      <w:r>
        <w:rPr>
          <w:rFonts w:hint="eastAsia" w:ascii="宋体" w:hAnsi="宋体" w:eastAsia="宋体" w:cs="Times New Roman"/>
          <w:color w:val="auto"/>
          <w:kern w:val="0"/>
          <w:sz w:val="24"/>
          <w:szCs w:val="24"/>
          <w:highlight w:val="none"/>
          <w:lang w:val="en-US"/>
        </w:rPr>
        <w:t>质</w:t>
      </w:r>
      <w:r>
        <w:rPr>
          <w:rFonts w:hint="eastAsia" w:ascii="宋体" w:hAnsi="宋体" w:eastAsia="宋体" w:cs="Times New Roman"/>
          <w:color w:val="auto"/>
          <w:kern w:val="0"/>
          <w:sz w:val="24"/>
          <w:szCs w:val="24"/>
          <w:highlight w:val="none"/>
        </w:rPr>
        <w:t>、粉尘、噪声、废水、固体废物等所有检测结果。</w:t>
      </w:r>
    </w:p>
    <w:p>
      <w:pPr>
        <w:widowControl/>
        <w:spacing w:line="360" w:lineRule="auto"/>
        <w:ind w:firstLine="480" w:firstLineChars="200"/>
        <w:jc w:val="left"/>
        <w:rPr>
          <w:rFonts w:ascii="宋体" w:hAnsi="宋体" w:eastAsia="宋体" w:cs="Times New Roman"/>
          <w:color w:val="auto"/>
          <w:kern w:val="0"/>
          <w:sz w:val="24"/>
          <w:szCs w:val="24"/>
          <w:highlight w:val="none"/>
        </w:rPr>
      </w:pPr>
      <w:r>
        <w:rPr>
          <w:rFonts w:hint="eastAsia" w:ascii="Times New Roman" w:hAnsi="Times New Roman" w:cs="Times New Roman"/>
          <w:bCs/>
          <w:color w:val="auto"/>
          <w:sz w:val="24"/>
          <w:highlight w:val="none"/>
        </w:rPr>
        <w:t>（</w:t>
      </w:r>
      <w:r>
        <w:rPr>
          <w:rFonts w:hint="eastAsia" w:ascii="Times New Roman" w:hAnsi="Times New Roman" w:cs="Times New Roman"/>
          <w:bCs/>
          <w:color w:val="auto"/>
          <w:sz w:val="24"/>
          <w:highlight w:val="none"/>
          <w:lang w:val="en-US" w:eastAsia="zh-CN"/>
        </w:rPr>
        <w:t>3</w:t>
      </w:r>
      <w:r>
        <w:rPr>
          <w:rFonts w:hint="eastAsia" w:ascii="Times New Roman" w:hAnsi="Times New Roman" w:cs="Times New Roman"/>
          <w:bCs/>
          <w:color w:val="auto"/>
          <w:sz w:val="24"/>
          <w:highlight w:val="none"/>
        </w:rPr>
        <w:t>）</w:t>
      </w:r>
      <w:r>
        <w:rPr>
          <w:rFonts w:ascii="宋体" w:hAnsi="宋体" w:eastAsia="宋体" w:cs="Times New Roman"/>
          <w:color w:val="auto"/>
          <w:kern w:val="0"/>
          <w:sz w:val="24"/>
          <w:szCs w:val="24"/>
          <w:highlight w:val="none"/>
        </w:rPr>
        <w:t>检测报告中检测数据单位换算需统一。</w:t>
      </w:r>
    </w:p>
    <w:p>
      <w:pPr>
        <w:pStyle w:val="8"/>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2.3 服务要求：</w:t>
      </w:r>
    </w:p>
    <w:p>
      <w:pPr>
        <w:pStyle w:val="8"/>
        <w:numPr>
          <w:ilvl w:val="0"/>
          <w:numId w:val="5"/>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双方签订《安全管理协议书》，自觉遵守甲方管理单位安全生产相关的管理制度，承担安全主体责任。</w:t>
      </w:r>
    </w:p>
    <w:p>
      <w:pPr>
        <w:pStyle w:val="8"/>
        <w:numPr>
          <w:ilvl w:val="0"/>
          <w:numId w:val="5"/>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乙方每月</w:t>
      </w:r>
      <w:r>
        <w:rPr>
          <w:rFonts w:hint="eastAsia" w:ascii="宋体" w:hAnsi="宋体" w:eastAsia="宋体" w:cs="Times New Roman"/>
          <w:color w:val="auto"/>
          <w:kern w:val="0"/>
          <w:sz w:val="24"/>
          <w:szCs w:val="24"/>
          <w:highlight w:val="none"/>
          <w:lang w:val="en-US" w:eastAsia="zh-CN"/>
        </w:rPr>
        <w:t>结束前5个工作日内须</w:t>
      </w:r>
      <w:r>
        <w:rPr>
          <w:rFonts w:hint="eastAsia" w:ascii="宋体" w:hAnsi="宋体" w:eastAsia="宋体" w:cs="Times New Roman"/>
          <w:color w:val="auto"/>
          <w:kern w:val="0"/>
          <w:sz w:val="24"/>
          <w:szCs w:val="24"/>
          <w:highlight w:val="none"/>
        </w:rPr>
        <w:t>将</w:t>
      </w:r>
      <w:r>
        <w:rPr>
          <w:rFonts w:hint="eastAsia" w:ascii="宋体" w:hAnsi="宋体" w:eastAsia="宋体" w:cs="Times New Roman"/>
          <w:color w:val="auto"/>
          <w:kern w:val="0"/>
          <w:sz w:val="24"/>
          <w:szCs w:val="24"/>
          <w:highlight w:val="none"/>
          <w:lang w:val="en-US" w:eastAsia="zh-CN"/>
        </w:rPr>
        <w:t>次月</w:t>
      </w:r>
      <w:r>
        <w:rPr>
          <w:rFonts w:hint="eastAsia" w:ascii="宋体" w:hAnsi="宋体" w:eastAsia="宋体" w:cs="Times New Roman"/>
          <w:color w:val="auto"/>
          <w:kern w:val="0"/>
          <w:sz w:val="24"/>
          <w:szCs w:val="24"/>
          <w:highlight w:val="none"/>
        </w:rPr>
        <w:t>取样检测计划报告甲方，经甲方审核同意后开展服务工作。</w:t>
      </w:r>
    </w:p>
    <w:p>
      <w:pPr>
        <w:pStyle w:val="8"/>
        <w:numPr>
          <w:ilvl w:val="0"/>
          <w:numId w:val="5"/>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乙方取样工作须在甲方陪同下进入所辖各污水处理厂，且严格遵守厂区内各项管理规定。</w:t>
      </w:r>
    </w:p>
    <w:p>
      <w:pPr>
        <w:pStyle w:val="8"/>
        <w:numPr>
          <w:ilvl w:val="0"/>
          <w:numId w:val="5"/>
        </w:numPr>
        <w:spacing w:line="360" w:lineRule="auto"/>
        <w:ind w:firstLine="480" w:firstLineChars="200"/>
        <w:rPr>
          <w:rFonts w:eastAsia="宋体"/>
          <w:color w:val="auto"/>
          <w:sz w:val="24"/>
          <w:szCs w:val="24"/>
          <w:highlight w:val="none"/>
        </w:rPr>
      </w:pPr>
      <w:r>
        <w:rPr>
          <w:rFonts w:hint="eastAsia" w:ascii="宋体" w:hAnsi="宋体" w:eastAsia="宋体" w:cs="Times New Roman"/>
          <w:color w:val="auto"/>
          <w:kern w:val="0"/>
          <w:sz w:val="24"/>
          <w:szCs w:val="24"/>
          <w:highlight w:val="none"/>
        </w:rPr>
        <w:t>本合同工作范围应包括提供所有需要的材料、人力以及其他采样、检测设备，双方完成合同文件里规定的工作和检测服务，并达到预期的目标。</w:t>
      </w:r>
    </w:p>
    <w:p>
      <w:pPr>
        <w:pStyle w:val="8"/>
        <w:numPr>
          <w:ilvl w:val="0"/>
          <w:numId w:val="5"/>
        </w:numPr>
        <w:spacing w:line="360" w:lineRule="auto"/>
        <w:ind w:firstLine="480" w:firstLineChars="200"/>
        <w:rPr>
          <w:rFonts w:eastAsia="宋体"/>
          <w:color w:val="auto"/>
          <w:sz w:val="24"/>
          <w:szCs w:val="24"/>
          <w:highlight w:val="none"/>
        </w:rPr>
      </w:pPr>
      <w:r>
        <w:rPr>
          <w:rFonts w:hint="eastAsia" w:ascii="宋体" w:hAnsi="宋体" w:eastAsia="宋体" w:cs="Times New Roman"/>
          <w:color w:val="auto"/>
          <w:kern w:val="0"/>
          <w:sz w:val="24"/>
          <w:szCs w:val="24"/>
          <w:highlight w:val="none"/>
        </w:rPr>
        <w:t>对于甲方提出的临时调整的检测范围、指标和频率，乙方须积极配合完成。</w:t>
      </w:r>
    </w:p>
    <w:p>
      <w:pPr>
        <w:pStyle w:val="8"/>
        <w:numPr>
          <w:ilvl w:val="0"/>
          <w:numId w:val="5"/>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检测结果必须公平公正，不受外界影响；遵守相关保密条约；检测结果提供符合相关标准的纸质版检测报告和提供纸质版检测报告扫描件。</w:t>
      </w:r>
    </w:p>
    <w:p>
      <w:pPr>
        <w:pStyle w:val="8"/>
        <w:numPr>
          <w:ilvl w:val="0"/>
          <w:numId w:val="5"/>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乙方须对检测数据、甲方（其所属各单位）提供的所有资料以及双方履行本项目所交往的资料负有保密义务。未经甲方（其所属各单位）书面同意，乙方不得将上述资料向第三方转让或复制或另作他用</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如发生上述情况，甲方有权要求乙方支付本合同暂定总额的20%作为违约金并承担因此造成的法律责任和损失。在乙方服务期间，所有甲方和乙方双方签署确认的文件（包括会议纪要、补充协议、往来信函）即成为本项目的有效组成部分。</w:t>
      </w:r>
    </w:p>
    <w:p>
      <w:pPr>
        <w:pStyle w:val="8"/>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2.4质量保证：</w:t>
      </w:r>
    </w:p>
    <w:p>
      <w:pPr>
        <w:pStyle w:val="8"/>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乙方必须严格按照所采用的标准、规范及本技术协议制定取样和检测计划，并按月度报告甲方（其所属各单位）。取样和检测人员须具有检测/监测相关资格证书，取样检测所需车辆、工具、仪器、物料等符合检测规范要求。</w:t>
      </w:r>
    </w:p>
    <w:p>
      <w:pPr>
        <w:pStyle w:val="8"/>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）取样检测服务要求：按照广州市净水有限公司安全生产管理规定施工，签订安全生产管理协议书。取样检测服务期间必须做好防护措施，施工人员需具备相关工作上岗证。</w:t>
      </w:r>
    </w:p>
    <w:p>
      <w:pPr>
        <w:pStyle w:val="8"/>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乙方须安排具有从事相应专业知识和专业技能的技术人员跟踪负责项目的取样、检测、数据审核、报告出具等流程工作，并与甲方（其所属各单位）做好对接工作。乙方技术人员对取样检测、结果评价过程中出现的问题情况，应及时与甲方（其所属各单位）联系，并就甲方（其所属各单位）反映的取样检测、数据审核、报告出具等环节中问题及时作出回应，及时安排取样复测或给出解决办法。</w:t>
      </w:r>
    </w:p>
    <w:p>
      <w:pPr>
        <w:widowControl/>
        <w:numPr>
          <w:ilvl w:val="255"/>
          <w:numId w:val="0"/>
        </w:numPr>
        <w:spacing w:line="360" w:lineRule="auto"/>
        <w:ind w:firstLine="482"/>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第三条 合同金额</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1.合同暂定含税总价为</w:t>
      </w:r>
      <w:r>
        <w:rPr>
          <w:rFonts w:hint="eastAsia" w:ascii="宋体" w:hAnsi="宋体" w:eastAsia="宋体" w:cs="Times New Roman"/>
          <w:color w:val="auto"/>
          <w:kern w:val="0"/>
          <w:sz w:val="24"/>
          <w:szCs w:val="24"/>
          <w:highlight w:val="none"/>
          <w:lang w:val="en-US" w:eastAsia="zh-CN"/>
        </w:rPr>
        <w:t xml:space="preserve">        </w:t>
      </w:r>
      <w:r>
        <w:rPr>
          <w:rFonts w:hint="eastAsia" w:ascii="宋体" w:hAnsi="宋体"/>
          <w:color w:val="auto"/>
          <w:sz w:val="24"/>
          <w:szCs w:val="24"/>
          <w:highlight w:val="none"/>
        </w:rPr>
        <w:t>元</w:t>
      </w:r>
      <w:r>
        <w:rPr>
          <w:rFonts w:hint="eastAsia" w:ascii="宋体" w:hAnsi="宋体" w:eastAsia="宋体" w:cs="Times New Roman"/>
          <w:color w:val="auto"/>
          <w:kern w:val="0"/>
          <w:sz w:val="24"/>
          <w:szCs w:val="24"/>
          <w:highlight w:val="none"/>
        </w:rPr>
        <w:t>（大写：</w:t>
      </w:r>
      <w:r>
        <w:rPr>
          <w:rFonts w:hint="eastAsia" w:ascii="宋体" w:hAnsi="宋体" w:eastAsia="宋体" w:cs="Times New Roman"/>
          <w:color w:val="auto"/>
          <w:kern w:val="0"/>
          <w:sz w:val="24"/>
          <w:szCs w:val="24"/>
          <w:highlight w:val="none"/>
          <w:lang w:val="en-US" w:eastAsia="zh-CN"/>
        </w:rPr>
        <w:t xml:space="preserve">             </w:t>
      </w:r>
      <w:r>
        <w:rPr>
          <w:rFonts w:hint="eastAsia" w:ascii="宋体" w:hAnsi="宋体" w:eastAsia="宋体" w:cs="Times New Roman"/>
          <w:color w:val="auto"/>
          <w:kern w:val="0"/>
          <w:sz w:val="24"/>
          <w:szCs w:val="24"/>
          <w:highlight w:val="none"/>
        </w:rPr>
        <w:t>），最终按实际检测工作量结算，具体清单报价详见附件。</w:t>
      </w:r>
    </w:p>
    <w:p>
      <w:pPr>
        <w:widowControl/>
        <w:numPr>
          <w:ilvl w:val="255"/>
          <w:numId w:val="0"/>
        </w:numPr>
        <w:spacing w:line="360" w:lineRule="auto"/>
        <w:ind w:firstLine="480" w:firstLineChars="200"/>
        <w:jc w:val="left"/>
        <w:rPr>
          <w:rFonts w:ascii="宋体" w:hAnsi="宋体" w:eastAsia="宋体" w:cs="Times New Roman"/>
          <w:b/>
          <w:color w:val="auto"/>
          <w:kern w:val="0"/>
          <w:sz w:val="24"/>
          <w:szCs w:val="24"/>
          <w:highlight w:val="none"/>
          <w:u w:val="single"/>
        </w:rPr>
      </w:pPr>
      <w:r>
        <w:rPr>
          <w:rFonts w:hint="eastAsia" w:ascii="宋体" w:hAnsi="宋体" w:eastAsia="宋体" w:cs="Times New Roman"/>
          <w:color w:val="auto"/>
          <w:kern w:val="0"/>
          <w:sz w:val="24"/>
          <w:szCs w:val="24"/>
          <w:highlight w:val="none"/>
        </w:rPr>
        <w:t>本合同约定的价格为含税价（税率</w:t>
      </w:r>
      <w:r>
        <w:rPr>
          <w:rFonts w:hint="eastAsia" w:ascii="宋体" w:hAnsi="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%），合同单价在合同有效期内为不变价，乙方已经充分考虑本合同履行期间的市场风险和国家政</w:t>
      </w:r>
      <w:r>
        <w:rPr>
          <w:rFonts w:hint="eastAsia"/>
          <w:color w:val="auto"/>
          <w:sz w:val="24"/>
          <w:szCs w:val="24"/>
          <w:highlight w:val="none"/>
        </w:rPr>
        <w:t>策性调整风险系数，并已计入报价，因此合同单价今后不因任何因素而作调整。</w:t>
      </w:r>
      <w:r>
        <w:rPr>
          <w:rFonts w:hint="eastAsia" w:ascii="宋体" w:hAnsi="宋体" w:eastAsia="宋体" w:cs="Times New Roman"/>
          <w:color w:val="auto"/>
          <w:kern w:val="0"/>
          <w:sz w:val="24"/>
          <w:szCs w:val="24"/>
          <w:highlight w:val="none"/>
        </w:rPr>
        <w:t>合同履行期间国家税率调整或乙方开票的实际税率与前述税率不一致的，价税合计按实际税率相应调整，以开具发票时间为准。</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2.所有的服务价格包括了取样和检测所需车辆、人员、工具、仪器、物料、运输保存、化验检测和复测、报告出具、税费（含税率6%）等的全部费用。</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3.乙方向甲方开具中华人民共和国增值税专用发票。</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4.服务期满后，甲方将根按乙方检测服务工作完成情况（包括但不限于取样检测频率和次数、样品和数据数量、出具报告及时性），审定乙方服务工作量，进行验收和结算审核。</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第四条 合同期限</w:t>
      </w:r>
    </w:p>
    <w:p>
      <w:pPr>
        <w:pStyle w:val="8"/>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宋体"/>
          <w:color w:val="auto"/>
          <w:sz w:val="24"/>
          <w:highlight w:val="none"/>
          <w:lang w:val="en-US" w:eastAsia="zh-CN"/>
        </w:rPr>
        <w:t>合同签订之日</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r>
        <w:rPr>
          <w:rFonts w:hint="eastAsia" w:ascii="宋体" w:hAnsi="宋体" w:cs="Times New Roman"/>
          <w:bCs/>
          <w:color w:val="auto"/>
          <w:kern w:val="0"/>
          <w:sz w:val="24"/>
          <w:szCs w:val="24"/>
          <w:highlight w:val="none"/>
        </w:rPr>
        <w:t>。</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第五条 支付方式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1、乙方根据甲方</w:t>
      </w:r>
      <w:r>
        <w:rPr>
          <w:rFonts w:hint="eastAsia" w:ascii="宋体" w:hAnsi="宋体" w:eastAsia="宋体" w:cs="宋体"/>
          <w:color w:val="auto"/>
          <w:sz w:val="24"/>
          <w:highlight w:val="none"/>
        </w:rPr>
        <w:t>辖下分公司开展检测服务的情况，</w:t>
      </w:r>
      <w:r>
        <w:rPr>
          <w:rFonts w:hint="eastAsia" w:ascii="宋体" w:hAnsi="宋体" w:eastAsia="宋体" w:cs="宋体"/>
          <w:color w:val="auto"/>
          <w:sz w:val="24"/>
          <w:highlight w:val="none"/>
          <w:lang w:val="en-US" w:eastAsia="zh-CN"/>
        </w:rPr>
        <w:t>并于次月10日前</w:t>
      </w:r>
      <w:r>
        <w:rPr>
          <w:rFonts w:hint="eastAsia" w:ascii="宋体" w:hAnsi="宋体" w:eastAsia="宋体" w:cs="宋体"/>
          <w:color w:val="auto"/>
          <w:sz w:val="24"/>
          <w:highlight w:val="none"/>
        </w:rPr>
        <w:t>提交所属月份检测报告，经甲方审核通过后，按月按实进行结算。</w:t>
      </w:r>
    </w:p>
    <w:p>
      <w:pPr>
        <w:adjustRightInd w:val="0"/>
        <w:snapToGrid w:val="0"/>
        <w:spacing w:line="336"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 由甲方</w:t>
      </w:r>
      <w:r>
        <w:rPr>
          <w:rFonts w:hint="eastAsia" w:ascii="宋体" w:hAnsi="宋体" w:eastAsia="宋体" w:cs="宋体"/>
          <w:color w:val="auto"/>
          <w:sz w:val="24"/>
          <w:highlight w:val="none"/>
        </w:rPr>
        <w:t>辖下分公司在收到乙方申请后，</w:t>
      </w:r>
      <w:r>
        <w:rPr>
          <w:rFonts w:hint="eastAsia" w:ascii="宋体" w:hAnsi="宋体" w:eastAsia="宋体" w:cs="宋体"/>
          <w:snapToGrid w:val="0"/>
          <w:color w:val="auto"/>
          <w:kern w:val="0"/>
          <w:sz w:val="24"/>
          <w:highlight w:val="none"/>
        </w:rPr>
        <w:t>25个工作日内支付上月度检测费用。</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3、本合同费用支付按广州市净水有限公司支付程序执行。</w:t>
      </w:r>
    </w:p>
    <w:p>
      <w:pPr>
        <w:pStyle w:val="47"/>
        <w:spacing w:line="360" w:lineRule="auto"/>
        <w:ind w:firstLine="480" w:firstLineChars="200"/>
        <w:rPr>
          <w:rFonts w:hint="eastAsia" w:ascii="宋体" w:hAnsi="宋体" w:eastAsia="宋体" w:cs="宋体"/>
          <w:bCs w:val="0"/>
          <w:color w:val="auto"/>
          <w:spacing w:val="0"/>
          <w:kern w:val="2"/>
          <w:sz w:val="24"/>
          <w:szCs w:val="22"/>
          <w:highlight w:val="none"/>
          <w:lang w:val="en-US" w:eastAsia="zh-CN" w:bidi="ar-SA"/>
        </w:rPr>
      </w:pPr>
      <w:r>
        <w:rPr>
          <w:rFonts w:hint="eastAsia" w:ascii="宋体" w:hAnsi="宋体" w:eastAsia="宋体" w:cs="宋体"/>
          <w:bCs w:val="0"/>
          <w:color w:val="auto"/>
          <w:spacing w:val="0"/>
          <w:kern w:val="2"/>
          <w:sz w:val="24"/>
          <w:szCs w:val="22"/>
          <w:highlight w:val="none"/>
          <w:lang w:val="en-US" w:eastAsia="zh-CN" w:bidi="ar-SA"/>
        </w:rPr>
        <w:t>4、付款资料：</w:t>
      </w:r>
    </w:p>
    <w:p>
      <w:pPr>
        <w:pStyle w:val="47"/>
        <w:spacing w:line="360" w:lineRule="auto"/>
        <w:ind w:firstLine="520" w:firstLineChars="200"/>
        <w:rPr>
          <w:color w:val="auto"/>
          <w:szCs w:val="24"/>
          <w:highlight w:val="none"/>
        </w:rPr>
      </w:pPr>
      <w:r>
        <w:rPr>
          <w:rFonts w:hint="eastAsia"/>
          <w:color w:val="auto"/>
          <w:szCs w:val="24"/>
          <w:highlight w:val="none"/>
        </w:rPr>
        <w:t>乙方确认每</w:t>
      </w:r>
      <w:r>
        <w:rPr>
          <w:rFonts w:hint="eastAsia"/>
          <w:color w:val="auto"/>
          <w:szCs w:val="24"/>
          <w:highlight w:val="none"/>
          <w:lang w:val="en-US" w:eastAsia="zh-CN"/>
        </w:rPr>
        <w:t>月</w:t>
      </w:r>
      <w:r>
        <w:rPr>
          <w:rFonts w:hint="eastAsia"/>
          <w:color w:val="auto"/>
          <w:szCs w:val="24"/>
          <w:highlight w:val="none"/>
        </w:rPr>
        <w:t>工作量与结算金额后，向甲方</w:t>
      </w:r>
      <w:r>
        <w:rPr>
          <w:rFonts w:hint="eastAsia" w:ascii="宋体" w:hAnsi="宋体" w:eastAsia="宋体" w:cs="宋体"/>
          <w:snapToGrid w:val="0"/>
          <w:color w:val="auto"/>
          <w:kern w:val="0"/>
          <w:sz w:val="24"/>
          <w:highlight w:val="none"/>
        </w:rPr>
        <w:t>辖下</w:t>
      </w:r>
      <w:r>
        <w:rPr>
          <w:rFonts w:hint="eastAsia" w:ascii="宋体" w:hAnsi="宋体" w:eastAsia="宋体" w:cs="宋体"/>
          <w:snapToGrid w:val="0"/>
          <w:color w:val="auto"/>
          <w:kern w:val="0"/>
          <w:sz w:val="24"/>
          <w:highlight w:val="none"/>
          <w:lang w:val="en-US" w:eastAsia="zh-CN"/>
        </w:rPr>
        <w:t>各</w:t>
      </w:r>
      <w:r>
        <w:rPr>
          <w:rFonts w:hint="eastAsia" w:ascii="宋体" w:hAnsi="宋体" w:eastAsia="宋体" w:cs="宋体"/>
          <w:snapToGrid w:val="0"/>
          <w:color w:val="auto"/>
          <w:kern w:val="0"/>
          <w:sz w:val="24"/>
          <w:highlight w:val="none"/>
        </w:rPr>
        <w:t>分公司</w:t>
      </w:r>
      <w:r>
        <w:rPr>
          <w:rFonts w:hint="eastAsia"/>
          <w:color w:val="auto"/>
          <w:szCs w:val="24"/>
          <w:highlight w:val="none"/>
        </w:rPr>
        <w:t>出具请款报告、发票等资料至甲方</w:t>
      </w:r>
      <w:r>
        <w:rPr>
          <w:rFonts w:hint="eastAsia" w:ascii="宋体" w:hAnsi="宋体" w:eastAsia="宋体" w:cs="宋体"/>
          <w:snapToGrid w:val="0"/>
          <w:color w:val="auto"/>
          <w:kern w:val="0"/>
          <w:sz w:val="24"/>
          <w:highlight w:val="none"/>
        </w:rPr>
        <w:t>辖下</w:t>
      </w:r>
      <w:r>
        <w:rPr>
          <w:rFonts w:hint="eastAsia" w:ascii="宋体" w:hAnsi="宋体" w:eastAsia="宋体" w:cs="宋体"/>
          <w:snapToGrid w:val="0"/>
          <w:color w:val="auto"/>
          <w:kern w:val="0"/>
          <w:sz w:val="24"/>
          <w:highlight w:val="none"/>
          <w:lang w:val="en-US" w:eastAsia="zh-CN"/>
        </w:rPr>
        <w:t>各</w:t>
      </w:r>
      <w:r>
        <w:rPr>
          <w:rFonts w:hint="eastAsia" w:ascii="宋体" w:hAnsi="宋体" w:eastAsia="宋体" w:cs="宋体"/>
          <w:snapToGrid w:val="0"/>
          <w:color w:val="auto"/>
          <w:kern w:val="0"/>
          <w:sz w:val="24"/>
          <w:highlight w:val="none"/>
        </w:rPr>
        <w:t>分公司</w:t>
      </w:r>
      <w:r>
        <w:rPr>
          <w:rFonts w:hint="eastAsia"/>
          <w:color w:val="auto"/>
          <w:szCs w:val="24"/>
          <w:highlight w:val="none"/>
        </w:rPr>
        <w:t>作为付款资料。甲方</w:t>
      </w:r>
      <w:r>
        <w:rPr>
          <w:rFonts w:hint="eastAsia" w:ascii="宋体" w:hAnsi="宋体" w:eastAsia="宋体" w:cs="宋体"/>
          <w:snapToGrid w:val="0"/>
          <w:color w:val="auto"/>
          <w:kern w:val="0"/>
          <w:sz w:val="24"/>
          <w:highlight w:val="none"/>
        </w:rPr>
        <w:t>辖下</w:t>
      </w:r>
      <w:r>
        <w:rPr>
          <w:rFonts w:hint="eastAsia" w:ascii="宋体" w:hAnsi="宋体" w:eastAsia="宋体" w:cs="宋体"/>
          <w:snapToGrid w:val="0"/>
          <w:color w:val="auto"/>
          <w:kern w:val="0"/>
          <w:sz w:val="24"/>
          <w:highlight w:val="none"/>
          <w:lang w:val="en-US" w:eastAsia="zh-CN"/>
        </w:rPr>
        <w:t>各</w:t>
      </w:r>
      <w:r>
        <w:rPr>
          <w:rFonts w:hint="eastAsia" w:ascii="宋体" w:hAnsi="宋体" w:eastAsia="宋体" w:cs="宋体"/>
          <w:snapToGrid w:val="0"/>
          <w:color w:val="auto"/>
          <w:kern w:val="0"/>
          <w:sz w:val="24"/>
          <w:highlight w:val="none"/>
        </w:rPr>
        <w:t>分公司</w:t>
      </w:r>
      <w:r>
        <w:rPr>
          <w:rFonts w:hint="eastAsia"/>
          <w:color w:val="auto"/>
          <w:szCs w:val="24"/>
          <w:highlight w:val="none"/>
        </w:rPr>
        <w:t>确认工作量和结算金额无误后，向乙方支付服务费。</w:t>
      </w:r>
    </w:p>
    <w:p>
      <w:pPr>
        <w:pStyle w:val="47"/>
        <w:spacing w:line="360" w:lineRule="auto"/>
        <w:ind w:firstLine="520" w:firstLineChars="200"/>
        <w:rPr>
          <w:color w:val="auto"/>
          <w:szCs w:val="24"/>
          <w:highlight w:val="none"/>
        </w:rPr>
      </w:pPr>
      <w:r>
        <w:rPr>
          <w:rFonts w:hint="eastAsia" w:ascii="Times New Roman" w:hAnsi="Times New Roman" w:cs="Times New Roman"/>
          <w:color w:val="auto"/>
          <w:szCs w:val="24"/>
          <w:highlight w:val="none"/>
          <w:lang w:val="en-US" w:eastAsia="zh-CN"/>
        </w:rPr>
        <w:t>5</w:t>
      </w:r>
      <w:r>
        <w:rPr>
          <w:rFonts w:hint="eastAsia"/>
          <w:color w:val="auto"/>
          <w:szCs w:val="24"/>
          <w:highlight w:val="none"/>
        </w:rPr>
        <w:t>、</w:t>
      </w:r>
      <w:r>
        <w:rPr>
          <w:rFonts w:hint="eastAsia" w:ascii="宋体" w:hAnsi="宋体" w:cs="Times New Roman"/>
          <w:color w:val="auto"/>
          <w:szCs w:val="24"/>
          <w:highlight w:val="none"/>
        </w:rPr>
        <w:t>乙方在收款前需</w:t>
      </w:r>
      <w:r>
        <w:rPr>
          <w:rFonts w:ascii="宋体" w:hAnsi="宋体" w:eastAsia="宋体" w:cs="Times New Roman"/>
          <w:color w:val="auto"/>
          <w:szCs w:val="24"/>
          <w:highlight w:val="none"/>
        </w:rPr>
        <w:t>开具</w:t>
      </w:r>
      <w:r>
        <w:rPr>
          <w:rFonts w:hint="eastAsia" w:ascii="宋体" w:hAnsi="宋体" w:cs="Times New Roman"/>
          <w:color w:val="auto"/>
          <w:szCs w:val="24"/>
          <w:highlight w:val="none"/>
        </w:rPr>
        <w:t>等额</w:t>
      </w:r>
      <w:r>
        <w:rPr>
          <w:rFonts w:hint="eastAsia" w:ascii="宋体" w:hAnsi="宋体" w:eastAsia="宋体" w:cs="Times New Roman"/>
          <w:color w:val="auto"/>
          <w:szCs w:val="24"/>
          <w:highlight w:val="none"/>
        </w:rPr>
        <w:t>增值税专用发票</w:t>
      </w:r>
      <w:r>
        <w:rPr>
          <w:rFonts w:ascii="宋体" w:hAnsi="宋体" w:eastAsia="宋体" w:cs="Times New Roman"/>
          <w:color w:val="auto"/>
          <w:szCs w:val="24"/>
          <w:highlight w:val="none"/>
        </w:rPr>
        <w:t>。</w:t>
      </w:r>
    </w:p>
    <w:p>
      <w:pPr>
        <w:spacing w:line="360" w:lineRule="auto"/>
        <w:ind w:firstLine="480" w:firstLineChars="200"/>
        <w:rPr>
          <w:color w:val="auto"/>
          <w:sz w:val="24"/>
          <w:szCs w:val="24"/>
          <w:highlight w:val="none"/>
        </w:rPr>
      </w:pPr>
      <w:r>
        <w:rPr>
          <w:color w:val="auto"/>
          <w:sz w:val="24"/>
          <w:szCs w:val="24"/>
          <w:highlight w:val="none"/>
        </w:rPr>
        <w:t>付款方式：</w:t>
      </w:r>
      <w:r>
        <w:rPr>
          <w:rFonts w:hint="eastAsia"/>
          <w:color w:val="auto"/>
          <w:sz w:val="24"/>
          <w:szCs w:val="24"/>
          <w:highlight w:val="none"/>
        </w:rPr>
        <w:t>网银转账</w:t>
      </w:r>
      <w:r>
        <w:rPr>
          <w:color w:val="auto"/>
          <w:sz w:val="24"/>
          <w:szCs w:val="24"/>
          <w:highlight w:val="none"/>
        </w:rPr>
        <w:t>。</w:t>
      </w:r>
    </w:p>
    <w:p>
      <w:pPr>
        <w:snapToGrid w:val="0"/>
        <w:spacing w:line="360" w:lineRule="auto"/>
        <w:ind w:firstLine="480" w:firstLineChars="200"/>
        <w:rPr>
          <w:color w:val="auto"/>
          <w:sz w:val="24"/>
          <w:szCs w:val="24"/>
          <w:highlight w:val="none"/>
        </w:rPr>
      </w:pPr>
      <w:r>
        <w:rPr>
          <w:rFonts w:hint="eastAsia"/>
          <w:color w:val="auto"/>
          <w:sz w:val="24"/>
          <w:szCs w:val="24"/>
          <w:highlight w:val="none"/>
        </w:rPr>
        <w:t>付款单位：广州市净水有限公司</w:t>
      </w:r>
    </w:p>
    <w:p>
      <w:pPr>
        <w:pStyle w:val="47"/>
        <w:spacing w:line="360" w:lineRule="auto"/>
        <w:ind w:firstLine="520" w:firstLineChars="200"/>
        <w:rPr>
          <w:color w:val="auto"/>
          <w:szCs w:val="24"/>
          <w:highlight w:val="none"/>
        </w:rPr>
      </w:pPr>
      <w:r>
        <w:rPr>
          <w:rFonts w:hint="eastAsia"/>
          <w:color w:val="auto"/>
          <w:szCs w:val="24"/>
          <w:highlight w:val="none"/>
        </w:rPr>
        <w:t>乙方在收款前需提交相应的增值税专用发票给甲方</w:t>
      </w:r>
      <w:r>
        <w:rPr>
          <w:rFonts w:hint="eastAsia" w:ascii="宋体" w:hAnsi="宋体" w:eastAsia="宋体" w:cs="宋体"/>
          <w:snapToGrid w:val="0"/>
          <w:color w:val="auto"/>
          <w:kern w:val="0"/>
          <w:sz w:val="24"/>
          <w:highlight w:val="none"/>
        </w:rPr>
        <w:t>辖下</w:t>
      </w:r>
      <w:r>
        <w:rPr>
          <w:rFonts w:hint="eastAsia" w:ascii="宋体" w:hAnsi="宋体" w:eastAsia="宋体" w:cs="宋体"/>
          <w:snapToGrid w:val="0"/>
          <w:color w:val="auto"/>
          <w:kern w:val="0"/>
          <w:sz w:val="24"/>
          <w:highlight w:val="none"/>
          <w:lang w:val="en-US" w:eastAsia="zh-CN"/>
        </w:rPr>
        <w:t>各</w:t>
      </w:r>
      <w:r>
        <w:rPr>
          <w:rFonts w:hint="eastAsia" w:ascii="宋体" w:hAnsi="宋体" w:eastAsia="宋体" w:cs="宋体"/>
          <w:snapToGrid w:val="0"/>
          <w:color w:val="auto"/>
          <w:kern w:val="0"/>
          <w:sz w:val="24"/>
          <w:highlight w:val="none"/>
        </w:rPr>
        <w:t>分公司</w:t>
      </w:r>
      <w:r>
        <w:rPr>
          <w:rFonts w:hint="eastAsia"/>
          <w:color w:val="auto"/>
          <w:szCs w:val="24"/>
          <w:highlight w:val="none"/>
        </w:rPr>
        <w:t>。</w:t>
      </w:r>
    </w:p>
    <w:p>
      <w:pPr>
        <w:snapToGrid w:val="0"/>
        <w:spacing w:line="360" w:lineRule="auto"/>
        <w:ind w:firstLine="480" w:firstLineChars="200"/>
        <w:rPr>
          <w:color w:val="auto"/>
          <w:sz w:val="24"/>
          <w:szCs w:val="24"/>
          <w:highlight w:val="none"/>
        </w:rPr>
      </w:pPr>
      <w:r>
        <w:rPr>
          <w:rFonts w:hint="eastAsia"/>
          <w:color w:val="auto"/>
          <w:sz w:val="24"/>
          <w:szCs w:val="24"/>
          <w:highlight w:val="none"/>
        </w:rPr>
        <w:t>甲方开票资料</w:t>
      </w:r>
    </w:p>
    <w:p>
      <w:pPr>
        <w:snapToGrid w:val="0"/>
        <w:spacing w:line="360" w:lineRule="auto"/>
        <w:ind w:firstLine="480" w:firstLineChars="200"/>
        <w:jc w:val="left"/>
        <w:rPr>
          <w:rFonts w:ascii="宋体" w:hAnsi="宋体" w:cs="宋体"/>
          <w:color w:val="auto"/>
          <w:sz w:val="24"/>
          <w:szCs w:val="24"/>
          <w:highlight w:val="none"/>
        </w:rPr>
      </w:pPr>
      <w:r>
        <w:rPr>
          <w:rFonts w:hint="eastAsia"/>
          <w:color w:val="auto"/>
          <w:sz w:val="24"/>
          <w:szCs w:val="24"/>
          <w:highlight w:val="none"/>
        </w:rPr>
        <w:t>单位名称</w:t>
      </w:r>
      <w:r>
        <w:rPr>
          <w:rFonts w:hint="eastAsia" w:ascii="宋体" w:hAnsi="宋体" w:cs="宋体"/>
          <w:color w:val="auto"/>
          <w:sz w:val="24"/>
          <w:szCs w:val="24"/>
          <w:highlight w:val="none"/>
        </w:rPr>
        <w:t>：广州市净水有限公司</w:t>
      </w:r>
    </w:p>
    <w:p>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91440101755584729Q</w:t>
      </w: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广州市天河区临江大道501号 020-38890283</w:t>
      </w:r>
      <w:r>
        <w:rPr>
          <w:rFonts w:hint="eastAsia" w:ascii="宋体" w:hAnsi="宋体" w:eastAsia="宋体" w:cs="宋体"/>
          <w:color w:val="auto"/>
          <w:sz w:val="24"/>
          <w:szCs w:val="24"/>
          <w:highlight w:val="none"/>
        </w:rPr>
        <w:t>；</w:t>
      </w:r>
    </w:p>
    <w:p>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民生银行广州分行0301014140006932</w:t>
      </w:r>
      <w:r>
        <w:rPr>
          <w:rFonts w:hint="eastAsia" w:ascii="宋体" w:hAnsi="宋体" w:eastAsia="宋体" w:cs="宋体"/>
          <w:color w:val="auto"/>
          <w:sz w:val="24"/>
          <w:szCs w:val="24"/>
          <w:highlight w:val="none"/>
        </w:rPr>
        <w:t>。</w:t>
      </w:r>
    </w:p>
    <w:p>
      <w:pPr>
        <w:widowControl/>
        <w:snapToGrid w:val="0"/>
        <w:spacing w:line="360" w:lineRule="auto"/>
        <w:ind w:firstLine="480" w:firstLineChars="200"/>
        <w:jc w:val="left"/>
        <w:rPr>
          <w:rFonts w:ascii="宋体" w:hAnsi="宋体" w:eastAsia="宋体"/>
          <w:color w:val="auto"/>
          <w:kern w:val="0"/>
          <w:sz w:val="24"/>
          <w:szCs w:val="24"/>
          <w:highlight w:val="none"/>
        </w:rPr>
      </w:pPr>
      <w:r>
        <w:rPr>
          <w:rFonts w:hint="eastAsia" w:ascii="宋体" w:hAnsi="宋体"/>
          <w:color w:val="auto"/>
          <w:kern w:val="0"/>
          <w:sz w:val="24"/>
          <w:szCs w:val="24"/>
          <w:highlight w:val="none"/>
        </w:rPr>
        <w:t>乙方开户银行名称和帐号</w:t>
      </w:r>
    </w:p>
    <w:p>
      <w:pPr>
        <w:snapToGrid w:val="0"/>
        <w:spacing w:line="360" w:lineRule="auto"/>
        <w:ind w:firstLine="480" w:firstLineChars="200"/>
        <w:jc w:val="left"/>
        <w:rPr>
          <w:rFonts w:hint="default" w:ascii="宋体" w:hAnsi="宋体" w:eastAsia="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widowControl/>
        <w:snapToGrid w:val="0"/>
        <w:spacing w:line="360" w:lineRule="auto"/>
        <w:ind w:firstLine="480" w:firstLineChars="200"/>
        <w:jc w:val="left"/>
        <w:rPr>
          <w:rFonts w:hint="default" w:ascii="宋体" w:hAnsi="宋体" w:eastAsiaTheme="minorEastAsia"/>
          <w:color w:val="auto"/>
          <w:kern w:val="0"/>
          <w:sz w:val="24"/>
          <w:szCs w:val="24"/>
          <w:highlight w:val="none"/>
          <w:u w:val="single"/>
          <w:lang w:val="en-US" w:eastAsia="zh-CN"/>
        </w:rPr>
      </w:pPr>
      <w:r>
        <w:rPr>
          <w:rFonts w:hint="eastAsia" w:ascii="宋体" w:hAnsi="宋体"/>
          <w:color w:val="auto"/>
          <w:kern w:val="0"/>
          <w:sz w:val="24"/>
          <w:szCs w:val="24"/>
          <w:highlight w:val="none"/>
        </w:rPr>
        <w:t>单位纳税人识别号：</w:t>
      </w:r>
      <w:r>
        <w:rPr>
          <w:rFonts w:hint="eastAsia" w:ascii="宋体" w:hAnsi="宋体"/>
          <w:color w:val="auto"/>
          <w:kern w:val="0"/>
          <w:sz w:val="24"/>
          <w:szCs w:val="24"/>
          <w:highlight w:val="none"/>
          <w:u w:val="single"/>
          <w:lang w:val="en-US" w:eastAsia="zh-CN"/>
        </w:rPr>
        <w:t xml:space="preserve">                              </w:t>
      </w:r>
    </w:p>
    <w:p>
      <w:pPr>
        <w:widowControl/>
        <w:snapToGrid w:val="0"/>
        <w:spacing w:line="360" w:lineRule="auto"/>
        <w:ind w:firstLine="480" w:firstLineChars="200"/>
        <w:jc w:val="left"/>
        <w:rPr>
          <w:rFonts w:hint="default" w:ascii="宋体" w:hAnsi="宋体" w:eastAsiaTheme="minorEastAsia"/>
          <w:color w:val="auto"/>
          <w:kern w:val="0"/>
          <w:sz w:val="24"/>
          <w:szCs w:val="24"/>
          <w:highlight w:val="none"/>
          <w:u w:val="single"/>
          <w:lang w:val="en-US" w:eastAsia="zh-CN"/>
        </w:rPr>
      </w:pPr>
      <w:r>
        <w:rPr>
          <w:rFonts w:hint="eastAsia" w:ascii="宋体" w:hAnsi="宋体"/>
          <w:color w:val="auto"/>
          <w:kern w:val="0"/>
          <w:sz w:val="24"/>
          <w:szCs w:val="24"/>
          <w:highlight w:val="none"/>
        </w:rPr>
        <w:t>单位开户行：</w:t>
      </w:r>
      <w:r>
        <w:rPr>
          <w:rFonts w:hint="eastAsia" w:ascii="宋体" w:hAnsi="宋体"/>
          <w:color w:val="auto"/>
          <w:kern w:val="0"/>
          <w:sz w:val="24"/>
          <w:szCs w:val="24"/>
          <w:highlight w:val="none"/>
          <w:u w:val="single"/>
          <w:lang w:val="en-US" w:eastAsia="zh-CN"/>
        </w:rPr>
        <w:t xml:space="preserve">                                    </w:t>
      </w:r>
    </w:p>
    <w:p>
      <w:pPr>
        <w:widowControl/>
        <w:snapToGrid w:val="0"/>
        <w:spacing w:line="360" w:lineRule="auto"/>
        <w:ind w:firstLine="480" w:firstLineChars="200"/>
        <w:rPr>
          <w:rFonts w:hint="default" w:ascii="宋体" w:hAnsi="宋体" w:cs="Times New Roman" w:eastAsiaTheme="minorEastAsia"/>
          <w:b/>
          <w:color w:val="auto"/>
          <w:kern w:val="0"/>
          <w:sz w:val="24"/>
          <w:szCs w:val="24"/>
          <w:highlight w:val="none"/>
          <w:u w:val="single"/>
          <w:lang w:val="en-US" w:eastAsia="zh-CN"/>
        </w:rPr>
      </w:pPr>
      <w:r>
        <w:rPr>
          <w:rFonts w:hint="eastAsia" w:ascii="宋体" w:hAnsi="宋体"/>
          <w:color w:val="auto"/>
          <w:kern w:val="0"/>
          <w:sz w:val="24"/>
          <w:szCs w:val="24"/>
          <w:highlight w:val="none"/>
        </w:rPr>
        <w:t>单位帐号：</w:t>
      </w:r>
      <w:bookmarkStart w:id="97" w:name="_Toc474245229"/>
      <w:bookmarkStart w:id="98" w:name="_Toc518993003"/>
      <w:bookmarkStart w:id="99" w:name="_Toc520190043"/>
      <w:r>
        <w:rPr>
          <w:rFonts w:hint="eastAsia" w:ascii="宋体" w:hAnsi="宋体"/>
          <w:color w:val="auto"/>
          <w:kern w:val="0"/>
          <w:sz w:val="24"/>
          <w:szCs w:val="24"/>
          <w:highlight w:val="none"/>
          <w:u w:val="single"/>
          <w:lang w:val="en-US" w:eastAsia="zh-CN"/>
        </w:rPr>
        <w:t xml:space="preserve">                                      </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第六条 保密条款</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1.保密内容:乙方未经甲方同意不得将甲方提供的资料以及向甲方提供的其他资料向任何第三方提供、不得用于乙方本单位盈利性开发利用。</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2.涉密人员范围:乙方能接触到资料的所有人员。</w:t>
      </w:r>
    </w:p>
    <w:p>
      <w:pPr>
        <w:widowControl/>
        <w:spacing w:line="360" w:lineRule="auto"/>
        <w:ind w:firstLine="480"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Cs/>
          <w:color w:val="auto"/>
          <w:kern w:val="0"/>
          <w:sz w:val="24"/>
          <w:szCs w:val="24"/>
          <w:highlight w:val="none"/>
        </w:rPr>
        <w:t>3.泄密责任:因乙方原因给甲方、第三方造成损失的，其各项行政责任、法律责任及经济损失，或导致任何第三方对甲方提出索赔和追责，其法律和行政责任、经济损失和费用均由乙方承担。</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第七条 违约责任</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widowControl/>
        <w:numPr>
          <w:ilvl w:val="255"/>
          <w:numId w:val="0"/>
        </w:numPr>
        <w:spacing w:line="360" w:lineRule="auto"/>
        <w:ind w:firstLine="480" w:firstLineChars="200"/>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2.若违反本合同的约定，违约方应当按照当时生效的《中华人民共和国民法典》及相关法律法规，承担违约责任。</w:t>
      </w:r>
    </w:p>
    <w:p>
      <w:pPr>
        <w:widowControl/>
        <w:spacing w:line="360" w:lineRule="auto"/>
        <w:ind w:firstLine="480" w:firstLineChars="200"/>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3.在合同有效期内，若乙方发生不诚信行为情形的，乙方自愿接受甲方按《广州市净水有限公司经营建设项目参建企业不诚信行为管理办法》处理。具体处理标准详见附件4。</w:t>
      </w:r>
    </w:p>
    <w:p>
      <w:pPr>
        <w:widowControl/>
        <w:spacing w:line="360" w:lineRule="auto"/>
        <w:ind w:firstLine="480" w:firstLineChars="200"/>
        <w:outlineLvl w:val="0"/>
        <w:rPr>
          <w:color w:val="auto"/>
          <w:highlight w:val="none"/>
        </w:rPr>
      </w:pPr>
      <w:r>
        <w:rPr>
          <w:rFonts w:hint="eastAsia" w:ascii="宋体" w:hAnsi="宋体" w:eastAsia="宋体" w:cs="Times New Roman"/>
          <w:bCs/>
          <w:color w:val="auto"/>
          <w:kern w:val="0"/>
          <w:sz w:val="24"/>
          <w:szCs w:val="24"/>
          <w:highlight w:val="none"/>
        </w:rPr>
        <w:t>4.若乙方未按合同要求进行检测且没有事先与甲方沟通，造成甲方损失的，应由乙方赔偿甲方损失。如果原样品在有效期内且甲方明确要求重检，乙方免费安排重新检测。</w:t>
      </w:r>
    </w:p>
    <w:p>
      <w:pPr>
        <w:pStyle w:val="8"/>
        <w:numPr>
          <w:ilvl w:val="255"/>
          <w:numId w:val="0"/>
        </w:num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5.乙方应自觉维护甲方利益，对本项目咨询内容及所检测数据信息严格保密，未经甲方同意不得向任何单位或个人泄露。如因乙方泄密造成甲方损失，由乙方承担赔偿责任。</w:t>
      </w:r>
    </w:p>
    <w:p>
      <w:pPr>
        <w:pStyle w:val="8"/>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6.非乙方原因造成违反合同条款或不能按时向甲方提交服务材料的，乙方需提前以信息或书面形式告知甲方项目联系人，甲方核实情况后可免除扣罚。</w:t>
      </w:r>
    </w:p>
    <w:p>
      <w:pPr>
        <w:pStyle w:val="8"/>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7.除本合同约定的违约责任外，因乙方原因给甲方、第三方造成损失的，其各项行政责任、法律责任及经济损失，或导致任何第三方对甲方提出索赔和追责，其法律和行政责任、经济损失和费用均由乙方承担。</w:t>
      </w:r>
    </w:p>
    <w:p>
      <w:pPr>
        <w:pStyle w:val="8"/>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8.甲方有权从</w:t>
      </w:r>
      <w:r>
        <w:rPr>
          <w:rFonts w:hint="eastAsia" w:ascii="宋体" w:hAnsi="宋体" w:eastAsia="宋体" w:cs="Times New Roman"/>
          <w:bCs/>
          <w:color w:val="auto"/>
          <w:kern w:val="0"/>
          <w:sz w:val="24"/>
          <w:szCs w:val="24"/>
          <w:highlight w:val="none"/>
          <w:lang w:val="en-US" w:eastAsia="zh-CN"/>
        </w:rPr>
        <w:t>应付</w:t>
      </w:r>
      <w:r>
        <w:rPr>
          <w:rFonts w:hint="eastAsia" w:ascii="宋体" w:hAnsi="宋体" w:eastAsia="宋体" w:cs="Times New Roman"/>
          <w:bCs/>
          <w:color w:val="auto"/>
          <w:kern w:val="0"/>
          <w:sz w:val="24"/>
          <w:szCs w:val="24"/>
          <w:highlight w:val="none"/>
        </w:rPr>
        <w:t>乙方的</w:t>
      </w:r>
      <w:r>
        <w:rPr>
          <w:rFonts w:hint="eastAsia" w:ascii="宋体" w:hAnsi="宋体" w:eastAsia="宋体" w:cs="Times New Roman"/>
          <w:bCs/>
          <w:color w:val="auto"/>
          <w:kern w:val="0"/>
          <w:sz w:val="24"/>
          <w:szCs w:val="24"/>
          <w:highlight w:val="none"/>
          <w:lang w:val="en-US" w:eastAsia="zh-CN"/>
        </w:rPr>
        <w:t>检测</w:t>
      </w:r>
      <w:r>
        <w:rPr>
          <w:rFonts w:hint="eastAsia" w:ascii="宋体" w:hAnsi="宋体" w:eastAsia="宋体" w:cs="Times New Roman"/>
          <w:bCs/>
          <w:color w:val="auto"/>
          <w:kern w:val="0"/>
          <w:sz w:val="24"/>
          <w:szCs w:val="24"/>
          <w:highlight w:val="none"/>
        </w:rPr>
        <w:t>费用中优先扣除本合同所涉及的乙方应支付的违约金和赔偿金。</w:t>
      </w:r>
    </w:p>
    <w:p>
      <w:pPr>
        <w:pStyle w:val="8"/>
        <w:numPr>
          <w:ilvl w:val="255"/>
          <w:numId w:val="0"/>
        </w:num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snapToGrid/>
          <w:color w:val="auto"/>
          <w:kern w:val="0"/>
          <w:sz w:val="24"/>
          <w:szCs w:val="24"/>
          <w:highlight w:val="none"/>
          <w:lang w:val="en-US" w:eastAsia="zh-CN"/>
        </w:rPr>
        <w:t>9、</w:t>
      </w:r>
      <w:r>
        <w:rPr>
          <w:rFonts w:hint="eastAsia" w:ascii="宋体" w:hAnsi="宋体" w:eastAsia="宋体" w:cs="Times New Roman"/>
          <w:bCs/>
          <w:snapToGrid/>
          <w:color w:val="auto"/>
          <w:kern w:val="0"/>
          <w:sz w:val="24"/>
          <w:szCs w:val="24"/>
          <w:highlight w:val="none"/>
        </w:rPr>
        <w:t>乙方未能按时向甲方辖下分公司提交检测报告的，每逾期一天，扣罚100元/天，从应付检测费用中进行抵扣；逾期达到</w:t>
      </w:r>
      <w:r>
        <w:rPr>
          <w:rFonts w:hint="eastAsia" w:ascii="宋体" w:hAnsi="宋体" w:eastAsia="宋体" w:cs="Times New Roman"/>
          <w:bCs/>
          <w:snapToGrid/>
          <w:color w:val="auto"/>
          <w:kern w:val="0"/>
          <w:sz w:val="24"/>
          <w:szCs w:val="24"/>
          <w:highlight w:val="none"/>
          <w:lang w:val="en-US" w:eastAsia="zh-CN"/>
        </w:rPr>
        <w:t>10</w:t>
      </w:r>
      <w:r>
        <w:rPr>
          <w:rFonts w:hint="eastAsia" w:ascii="宋体" w:hAnsi="宋体" w:eastAsia="宋体" w:cs="Times New Roman"/>
          <w:bCs/>
          <w:snapToGrid/>
          <w:color w:val="auto"/>
          <w:kern w:val="0"/>
          <w:sz w:val="24"/>
          <w:szCs w:val="24"/>
          <w:highlight w:val="none"/>
        </w:rPr>
        <w:t>天以上或累计逾期达到</w:t>
      </w:r>
      <w:r>
        <w:rPr>
          <w:rFonts w:hint="eastAsia" w:ascii="宋体" w:hAnsi="宋体" w:eastAsia="宋体" w:cs="Times New Roman"/>
          <w:bCs/>
          <w:snapToGrid/>
          <w:color w:val="auto"/>
          <w:kern w:val="0"/>
          <w:sz w:val="24"/>
          <w:szCs w:val="24"/>
          <w:highlight w:val="none"/>
          <w:lang w:val="en-US" w:eastAsia="zh-CN"/>
        </w:rPr>
        <w:t>10</w:t>
      </w:r>
      <w:r>
        <w:rPr>
          <w:rFonts w:hint="eastAsia" w:ascii="宋体" w:hAnsi="宋体" w:eastAsia="宋体" w:cs="Times New Roman"/>
          <w:bCs/>
          <w:snapToGrid/>
          <w:color w:val="auto"/>
          <w:kern w:val="0"/>
          <w:sz w:val="24"/>
          <w:szCs w:val="24"/>
          <w:highlight w:val="none"/>
        </w:rPr>
        <w:t>次及以上的，甲方有权解除合同，并扣除全部履约保证金</w:t>
      </w:r>
      <w:r>
        <w:rPr>
          <w:rFonts w:hint="eastAsia" w:ascii="宋体" w:hAnsi="宋体" w:eastAsia="宋体" w:cs="Times New Roman"/>
          <w:bCs/>
          <w:color w:val="auto"/>
          <w:kern w:val="0"/>
          <w:sz w:val="24"/>
          <w:szCs w:val="24"/>
          <w:highlight w:val="none"/>
        </w:rPr>
        <w:t>。</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第八条</w:t>
      </w:r>
      <w:r>
        <w:rPr>
          <w:rFonts w:ascii="宋体" w:hAnsi="宋体"/>
          <w:b/>
          <w:color w:val="auto"/>
          <w:sz w:val="24"/>
          <w:highlight w:val="none"/>
        </w:rPr>
        <w:t xml:space="preserve"> 合同</w:t>
      </w:r>
      <w:r>
        <w:rPr>
          <w:rFonts w:hint="eastAsia" w:ascii="宋体" w:hAnsi="宋体"/>
          <w:b/>
          <w:color w:val="auto"/>
          <w:sz w:val="24"/>
          <w:highlight w:val="none"/>
        </w:rPr>
        <w:t>的解除</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甲方解除合同</w:t>
      </w:r>
    </w:p>
    <w:p>
      <w:pPr>
        <w:spacing w:line="360" w:lineRule="auto"/>
        <w:ind w:firstLine="482"/>
        <w:rPr>
          <w:rFonts w:ascii="宋体" w:hAnsi="宋体"/>
          <w:bCs/>
          <w:color w:val="auto"/>
          <w:sz w:val="24"/>
          <w:highlight w:val="none"/>
        </w:rPr>
      </w:pPr>
      <w:r>
        <w:rPr>
          <w:rFonts w:ascii="宋体" w:hAnsi="宋体"/>
          <w:bCs/>
          <w:color w:val="auto"/>
          <w:sz w:val="24"/>
          <w:highlight w:val="none"/>
        </w:rPr>
        <w:t>如乙方存在下述情况</w:t>
      </w:r>
      <w:r>
        <w:rPr>
          <w:rFonts w:hint="eastAsia" w:ascii="宋体" w:hAnsi="宋体"/>
          <w:bCs/>
          <w:color w:val="auto"/>
          <w:sz w:val="24"/>
          <w:highlight w:val="none"/>
        </w:rPr>
        <w:t>之一</w:t>
      </w:r>
      <w:r>
        <w:rPr>
          <w:rFonts w:ascii="宋体" w:hAnsi="宋体"/>
          <w:bCs/>
          <w:color w:val="auto"/>
          <w:sz w:val="24"/>
          <w:highlight w:val="none"/>
        </w:rPr>
        <w:t>，甲方有权向乙方发出书面通知，全部或部分解除本合同：</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1.1</w:t>
      </w:r>
      <w:r>
        <w:rPr>
          <w:rFonts w:ascii="宋体" w:hAnsi="宋体"/>
          <w:bCs/>
          <w:color w:val="auto"/>
          <w:sz w:val="24"/>
          <w:highlight w:val="none"/>
        </w:rPr>
        <w:t>乙方未能在本合同约定或甲方另行指定的期限内提供部分或全部</w:t>
      </w:r>
      <w:r>
        <w:rPr>
          <w:rFonts w:hint="eastAsia" w:ascii="宋体" w:hAnsi="宋体"/>
          <w:bCs/>
          <w:color w:val="auto"/>
          <w:sz w:val="24"/>
          <w:highlight w:val="none"/>
        </w:rPr>
        <w:t>服务，</w:t>
      </w:r>
      <w:r>
        <w:rPr>
          <w:rFonts w:ascii="宋体" w:hAnsi="宋体"/>
          <w:bCs/>
          <w:color w:val="auto"/>
          <w:sz w:val="24"/>
          <w:highlight w:val="none"/>
        </w:rPr>
        <w:t>并经甲方催告后在合理期限内仍未</w:t>
      </w:r>
      <w:r>
        <w:rPr>
          <w:rFonts w:hint="eastAsia" w:ascii="宋体" w:hAnsi="宋体"/>
          <w:bCs/>
          <w:color w:val="auto"/>
          <w:sz w:val="24"/>
          <w:highlight w:val="none"/>
        </w:rPr>
        <w:t>提供</w:t>
      </w:r>
      <w:r>
        <w:rPr>
          <w:rFonts w:ascii="宋体" w:hAnsi="宋体"/>
          <w:bCs/>
          <w:color w:val="auto"/>
          <w:sz w:val="24"/>
          <w:highlight w:val="none"/>
        </w:rPr>
        <w:t>；</w:t>
      </w:r>
    </w:p>
    <w:p>
      <w:pPr>
        <w:spacing w:line="360" w:lineRule="auto"/>
        <w:ind w:firstLine="482"/>
        <w:rPr>
          <w:rFonts w:ascii="宋体" w:hAnsi="宋体"/>
          <w:bCs/>
          <w:color w:val="auto"/>
          <w:sz w:val="24"/>
          <w:highlight w:val="none"/>
        </w:rPr>
      </w:pPr>
      <w:r>
        <w:rPr>
          <w:rFonts w:ascii="宋体" w:hAnsi="宋体"/>
          <w:bCs/>
          <w:color w:val="auto"/>
          <w:sz w:val="24"/>
          <w:highlight w:val="none"/>
        </w:rPr>
        <w:t>1.2 乙方</w:t>
      </w:r>
      <w:r>
        <w:rPr>
          <w:rFonts w:hint="eastAsia" w:ascii="宋体" w:hAnsi="宋体"/>
          <w:bCs/>
          <w:color w:val="auto"/>
          <w:sz w:val="24"/>
          <w:highlight w:val="none"/>
        </w:rPr>
        <w:t>提供服务</w:t>
      </w:r>
      <w:r>
        <w:rPr>
          <w:rFonts w:ascii="宋体" w:hAnsi="宋体"/>
          <w:bCs/>
          <w:color w:val="auto"/>
          <w:sz w:val="24"/>
          <w:highlight w:val="none"/>
        </w:rPr>
        <w:t>存在严重的质量问题，导致本合同目的不能实现；</w:t>
      </w:r>
    </w:p>
    <w:p>
      <w:pPr>
        <w:spacing w:line="360" w:lineRule="auto"/>
        <w:ind w:firstLine="482"/>
        <w:rPr>
          <w:rFonts w:ascii="宋体" w:hAnsi="宋体"/>
          <w:bCs/>
          <w:color w:val="auto"/>
          <w:sz w:val="24"/>
          <w:highlight w:val="none"/>
        </w:rPr>
      </w:pPr>
      <w:r>
        <w:rPr>
          <w:rFonts w:ascii="宋体" w:hAnsi="宋体"/>
          <w:bCs/>
          <w:color w:val="auto"/>
          <w:sz w:val="24"/>
          <w:highlight w:val="none"/>
        </w:rPr>
        <w:t>1.3 乙方存在违反合同义务的其他情形；</w:t>
      </w:r>
    </w:p>
    <w:p>
      <w:pPr>
        <w:spacing w:line="360" w:lineRule="auto"/>
        <w:ind w:firstLine="482"/>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w:t>
      </w:r>
      <w:r>
        <w:rPr>
          <w:rFonts w:ascii="宋体" w:hAnsi="宋体"/>
          <w:bCs/>
          <w:color w:val="auto"/>
          <w:sz w:val="24"/>
          <w:highlight w:val="none"/>
        </w:rPr>
        <w:t>乙方解除合同</w:t>
      </w:r>
    </w:p>
    <w:p>
      <w:pPr>
        <w:spacing w:line="360" w:lineRule="auto"/>
        <w:ind w:firstLine="482"/>
        <w:rPr>
          <w:rFonts w:ascii="宋体" w:hAnsi="宋体"/>
          <w:bCs/>
          <w:color w:val="auto"/>
          <w:sz w:val="24"/>
          <w:highlight w:val="none"/>
        </w:rPr>
      </w:pPr>
      <w:r>
        <w:rPr>
          <w:rFonts w:ascii="宋体" w:hAnsi="宋体"/>
          <w:bCs/>
          <w:color w:val="auto"/>
          <w:sz w:val="24"/>
          <w:highlight w:val="none"/>
        </w:rPr>
        <w:t>如甲方</w:t>
      </w:r>
      <w:r>
        <w:rPr>
          <w:rFonts w:hint="eastAsia" w:ascii="宋体" w:hAnsi="宋体"/>
          <w:bCs/>
          <w:color w:val="auto"/>
          <w:sz w:val="24"/>
          <w:highlight w:val="none"/>
        </w:rPr>
        <w:t>无正当理由</w:t>
      </w:r>
      <w:r>
        <w:rPr>
          <w:rFonts w:ascii="宋体" w:hAnsi="宋体"/>
          <w:bCs/>
          <w:color w:val="auto"/>
          <w:sz w:val="24"/>
          <w:highlight w:val="none"/>
        </w:rPr>
        <w:t>未能按本合同约定期限向乙方支付合同款，并经乙方催告后在合理期限内仍未支付，乙方有权以书面通知解除本合同。</w:t>
      </w:r>
    </w:p>
    <w:p>
      <w:pPr>
        <w:spacing w:line="360" w:lineRule="auto"/>
        <w:ind w:firstLine="482"/>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w:t>
      </w:r>
      <w:r>
        <w:rPr>
          <w:rFonts w:ascii="宋体" w:hAnsi="宋体"/>
          <w:bCs/>
          <w:color w:val="auto"/>
          <w:sz w:val="24"/>
          <w:highlight w:val="none"/>
        </w:rPr>
        <w:t xml:space="preserve">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auto"/>
          <w:sz w:val="24"/>
          <w:highlight w:val="none"/>
        </w:rPr>
        <w:t>支付违约金、</w:t>
      </w:r>
      <w:r>
        <w:rPr>
          <w:rFonts w:ascii="宋体" w:hAnsi="宋体"/>
          <w:bCs/>
          <w:color w:val="auto"/>
          <w:sz w:val="24"/>
          <w:highlight w:val="none"/>
        </w:rPr>
        <w:t>赔偿</w:t>
      </w:r>
      <w:r>
        <w:rPr>
          <w:rFonts w:hint="eastAsia" w:ascii="宋体" w:hAnsi="宋体"/>
          <w:bCs/>
          <w:color w:val="auto"/>
          <w:sz w:val="24"/>
          <w:highlight w:val="none"/>
        </w:rPr>
        <w:t>守约方</w:t>
      </w:r>
      <w:r>
        <w:rPr>
          <w:rFonts w:ascii="宋体" w:hAnsi="宋体"/>
          <w:bCs/>
          <w:color w:val="auto"/>
          <w:sz w:val="24"/>
          <w:highlight w:val="none"/>
        </w:rPr>
        <w:t>因执行本合同而发生的一切支出</w:t>
      </w:r>
      <w:r>
        <w:rPr>
          <w:rFonts w:hint="eastAsia" w:ascii="宋体" w:hAnsi="宋体"/>
          <w:bCs/>
          <w:color w:val="auto"/>
          <w:sz w:val="24"/>
          <w:highlight w:val="none"/>
        </w:rPr>
        <w:t>费用及由此造成的</w:t>
      </w:r>
      <w:r>
        <w:rPr>
          <w:rFonts w:ascii="宋体" w:hAnsi="宋体"/>
          <w:bCs/>
          <w:color w:val="auto"/>
          <w:sz w:val="24"/>
          <w:highlight w:val="none"/>
        </w:rPr>
        <w:t>一切损失。</w:t>
      </w:r>
    </w:p>
    <w:p>
      <w:pPr>
        <w:spacing w:line="360" w:lineRule="auto"/>
        <w:ind w:firstLine="482" w:firstLineChars="200"/>
        <w:rPr>
          <w:rFonts w:hint="eastAsia" w:ascii="宋体" w:hAnsi="宋体" w:eastAsiaTheme="minorEastAsia" w:cstheme="minorBidi"/>
          <w:b/>
          <w:snapToGrid/>
          <w:color w:val="auto"/>
          <w:kern w:val="2"/>
          <w:sz w:val="24"/>
          <w:highlight w:val="none"/>
        </w:rPr>
      </w:pPr>
      <w:r>
        <w:rPr>
          <w:rFonts w:hint="eastAsia" w:ascii="宋体" w:hAnsi="宋体" w:eastAsiaTheme="minorEastAsia" w:cstheme="minorBidi"/>
          <w:b/>
          <w:bCs w:val="0"/>
          <w:snapToGrid/>
          <w:color w:val="auto"/>
          <w:kern w:val="2"/>
          <w:sz w:val="24"/>
          <w:highlight w:val="none"/>
        </w:rPr>
        <w:t xml:space="preserve">第九条  </w:t>
      </w:r>
      <w:r>
        <w:rPr>
          <w:rFonts w:hint="eastAsia" w:ascii="宋体" w:hAnsi="宋体" w:eastAsiaTheme="minorEastAsia" w:cstheme="minorBidi"/>
          <w:b/>
          <w:snapToGrid/>
          <w:color w:val="auto"/>
          <w:kern w:val="2"/>
          <w:sz w:val="24"/>
          <w:highlight w:val="none"/>
        </w:rPr>
        <w:t>履约担保</w:t>
      </w:r>
    </w:p>
    <w:p>
      <w:pPr>
        <w:spacing w:line="360" w:lineRule="auto"/>
        <w:ind w:firstLine="482" w:firstLineChars="0"/>
        <w:outlineLvl w:val="9"/>
        <w:rPr>
          <w:rFonts w:hint="default" w:ascii="宋体" w:hAnsi="宋体" w:eastAsiaTheme="minorEastAsia" w:cstheme="minorBidi"/>
          <w:bCs/>
          <w:color w:val="auto"/>
          <w:sz w:val="24"/>
          <w:highlight w:val="none"/>
          <w:u w:val="none"/>
        </w:rPr>
      </w:pPr>
      <w:r>
        <w:rPr>
          <w:rFonts w:hint="default" w:ascii="宋体" w:hAnsi="宋体" w:eastAsiaTheme="minorEastAsia" w:cstheme="minorBidi"/>
          <w:bCs/>
          <w:color w:val="auto"/>
          <w:sz w:val="24"/>
          <w:highlight w:val="none"/>
        </w:rPr>
        <w:t>（一）履约担保：本合同签订后30</w:t>
      </w:r>
      <w:r>
        <w:rPr>
          <w:rFonts w:hint="default" w:ascii="宋体" w:hAnsi="宋体" w:eastAsiaTheme="minorEastAsia" w:cstheme="minorBidi"/>
          <w:bCs/>
          <w:color w:val="auto"/>
          <w:sz w:val="24"/>
          <w:highlight w:val="none"/>
          <w:lang w:val="en-US" w:eastAsia="zh-CN"/>
        </w:rPr>
        <w:t>个工作日</w:t>
      </w:r>
      <w:r>
        <w:rPr>
          <w:rFonts w:hint="default" w:ascii="宋体" w:hAnsi="宋体" w:eastAsiaTheme="minorEastAsia" w:cstheme="minorBidi"/>
          <w:bCs/>
          <w:color w:val="auto"/>
          <w:sz w:val="24"/>
          <w:highlight w:val="none"/>
        </w:rPr>
        <w:t>内向甲方提交金额为：</w:t>
      </w:r>
      <w:r>
        <w:rPr>
          <w:rFonts w:hint="eastAsia" w:ascii="宋体" w:hAnsi="宋体" w:cstheme="minorBidi"/>
          <w:bCs/>
          <w:color w:val="auto"/>
          <w:sz w:val="24"/>
          <w:highlight w:val="none"/>
          <w:lang w:val="en-US" w:eastAsia="zh-CN"/>
        </w:rPr>
        <w:t>5</w:t>
      </w:r>
      <w:r>
        <w:rPr>
          <w:rFonts w:hint="default" w:ascii="宋体" w:hAnsi="宋体" w:eastAsiaTheme="minorEastAsia" w:cstheme="minorBidi"/>
          <w:bCs/>
          <w:color w:val="auto"/>
          <w:sz w:val="24"/>
          <w:highlight w:val="none"/>
        </w:rPr>
        <w:t>0000元</w:t>
      </w:r>
      <w:r>
        <w:rPr>
          <w:rFonts w:hint="default" w:ascii="宋体" w:hAnsi="宋体" w:eastAsiaTheme="minorEastAsia" w:cstheme="minorBidi"/>
          <w:bCs/>
          <w:color w:val="auto"/>
          <w:sz w:val="24"/>
          <w:highlight w:val="none"/>
          <w:u w:val="none"/>
        </w:rPr>
        <w:t>（大写人民币：</w:t>
      </w:r>
      <w:r>
        <w:rPr>
          <w:rFonts w:hint="eastAsia" w:ascii="宋体" w:hAnsi="宋体" w:cstheme="minorBidi"/>
          <w:bCs/>
          <w:color w:val="auto"/>
          <w:sz w:val="24"/>
          <w:highlight w:val="none"/>
          <w:u w:val="none"/>
          <w:lang w:val="en-US" w:eastAsia="zh-CN"/>
        </w:rPr>
        <w:t>伍</w:t>
      </w:r>
      <w:r>
        <w:rPr>
          <w:rFonts w:hint="default" w:ascii="宋体" w:hAnsi="宋体" w:eastAsiaTheme="minorEastAsia" w:cstheme="minorBidi"/>
          <w:bCs/>
          <w:color w:val="auto"/>
          <w:sz w:val="24"/>
          <w:highlight w:val="none"/>
          <w:u w:val="none"/>
        </w:rPr>
        <w:t>万元整）作为履约保证金。</w:t>
      </w:r>
    </w:p>
    <w:p>
      <w:pPr>
        <w:spacing w:before="0" w:beforeAutospacing="0" w:after="0" w:afterAutospacing="0" w:line="360" w:lineRule="auto"/>
        <w:ind w:firstLine="480" w:firstLineChars="200"/>
        <w:rPr>
          <w:rFonts w:hint="default" w:ascii="宋体" w:hAnsi="宋体" w:eastAsiaTheme="minorEastAsia" w:cstheme="minorBidi"/>
          <w:bCs/>
          <w:color w:val="auto"/>
          <w:sz w:val="24"/>
          <w:highlight w:val="none"/>
          <w:u w:val="none"/>
        </w:rPr>
      </w:pPr>
      <w:r>
        <w:rPr>
          <w:rFonts w:hint="default" w:ascii="宋体" w:hAnsi="宋体" w:eastAsiaTheme="minorEastAsia" w:cstheme="minorBidi"/>
          <w:bCs/>
          <w:color w:val="auto"/>
          <w:sz w:val="24"/>
          <w:highlight w:val="none"/>
          <w:u w:val="none"/>
        </w:rPr>
        <w:t>（二）履约担保形式：见索即付、独立履约银行保函或现金转账至委托人指定账号形式提交履约保证金。</w:t>
      </w:r>
    </w:p>
    <w:p>
      <w:pPr>
        <w:spacing w:line="360" w:lineRule="auto"/>
        <w:ind w:firstLine="482" w:firstLineChars="0"/>
        <w:outlineLvl w:val="9"/>
        <w:rPr>
          <w:rFonts w:hint="default" w:ascii="宋体" w:hAnsi="宋体" w:eastAsiaTheme="minorEastAsia" w:cstheme="minorBidi"/>
          <w:bCs/>
          <w:color w:val="auto"/>
          <w:sz w:val="24"/>
          <w:highlight w:val="none"/>
        </w:rPr>
      </w:pPr>
      <w:r>
        <w:rPr>
          <w:rFonts w:hint="default" w:ascii="宋体" w:hAnsi="宋体" w:eastAsiaTheme="minorEastAsia" w:cstheme="minorBidi"/>
          <w:bCs/>
          <w:color w:val="auto"/>
          <w:sz w:val="24"/>
          <w:highlight w:val="none"/>
        </w:rPr>
        <w:t>（三）履约担保的担保期限和返还</w:t>
      </w:r>
    </w:p>
    <w:p>
      <w:pPr>
        <w:spacing w:line="360" w:lineRule="auto"/>
        <w:ind w:firstLine="482"/>
        <w:outlineLvl w:val="9"/>
        <w:rPr>
          <w:rFonts w:hint="default" w:ascii="宋体" w:hAnsi="宋体" w:eastAsiaTheme="minorEastAsia" w:cstheme="minorBidi"/>
          <w:bCs/>
          <w:color w:val="auto"/>
          <w:sz w:val="24"/>
          <w:highlight w:val="none"/>
        </w:rPr>
      </w:pPr>
      <w:r>
        <w:rPr>
          <w:rFonts w:hint="default" w:ascii="宋体" w:hAnsi="宋体" w:eastAsiaTheme="minorEastAsia" w:cstheme="minorBidi"/>
          <w:bCs/>
          <w:color w:val="auto"/>
          <w:sz w:val="24"/>
          <w:highlight w:val="none"/>
        </w:rPr>
        <w:t xml:space="preserve"> 1.履约银行保函（现金履约保证金）的担保期限：履约银行担保的担保期限是从提供履约担保之日起至合同履行完成。</w:t>
      </w:r>
    </w:p>
    <w:p>
      <w:pPr>
        <w:spacing w:line="360" w:lineRule="auto"/>
        <w:ind w:firstLine="482" w:firstLineChars="0"/>
        <w:rPr>
          <w:rFonts w:hint="default" w:ascii="宋体" w:hAnsi="宋体" w:eastAsiaTheme="minorEastAsia" w:cstheme="minorBidi"/>
          <w:bCs/>
          <w:color w:val="auto"/>
          <w:sz w:val="24"/>
          <w:highlight w:val="none"/>
        </w:rPr>
      </w:pPr>
      <w:r>
        <w:rPr>
          <w:rFonts w:hint="default" w:ascii="宋体" w:hAnsi="宋体" w:eastAsiaTheme="minorEastAsia" w:cstheme="minorBidi"/>
          <w:bCs/>
          <w:color w:val="auto"/>
          <w:sz w:val="24"/>
          <w:highlight w:val="none"/>
        </w:rPr>
        <w:t xml:space="preserve">2.履约银行保函在合同履行完成后的10个工作日内返还，不支付利息： </w:t>
      </w:r>
    </w:p>
    <w:p>
      <w:pPr>
        <w:spacing w:line="360" w:lineRule="auto"/>
        <w:ind w:firstLine="482" w:firstLineChars="0"/>
        <w:outlineLvl w:val="9"/>
        <w:rPr>
          <w:rFonts w:hint="default" w:ascii="宋体" w:hAnsi="宋体" w:eastAsiaTheme="minorEastAsia" w:cstheme="minorBidi"/>
          <w:bCs/>
          <w:color w:val="auto"/>
          <w:sz w:val="24"/>
          <w:highlight w:val="none"/>
        </w:rPr>
      </w:pPr>
      <w:r>
        <w:rPr>
          <w:rFonts w:hint="default" w:ascii="宋体" w:hAnsi="宋体" w:eastAsiaTheme="minorEastAsia" w:cstheme="minorBidi"/>
          <w:bCs/>
          <w:color w:val="auto"/>
          <w:sz w:val="24"/>
          <w:highlight w:val="none"/>
        </w:rPr>
        <w:t>3.延长担保期限。乙方以履约银行保函形式提交履约保证金的，在银行保函到期前，乙方应提前7天向</w:t>
      </w:r>
      <w:r>
        <w:rPr>
          <w:rFonts w:hint="default" w:ascii="宋体" w:hAnsi="宋体" w:eastAsiaTheme="minorEastAsia" w:cstheme="minorBidi"/>
          <w:bCs/>
          <w:color w:val="auto"/>
          <w:sz w:val="24"/>
          <w:highlight w:val="none"/>
          <w:lang w:val="en-US" w:eastAsia="zh-CN"/>
        </w:rPr>
        <w:t>甲方</w:t>
      </w:r>
      <w:r>
        <w:rPr>
          <w:rFonts w:hint="default" w:ascii="宋体" w:hAnsi="宋体" w:eastAsiaTheme="minorEastAsia" w:cstheme="minorBidi"/>
          <w:bCs/>
          <w:color w:val="auto"/>
          <w:sz w:val="24"/>
          <w:highlight w:val="none"/>
        </w:rPr>
        <w:t>提交新的保函以替换即将到期的保函。如乙方未及时提交的，甲方有权直接要求担保银行支付其担保的全部金额</w:t>
      </w:r>
      <w:r>
        <w:rPr>
          <w:rFonts w:hint="default" w:ascii="宋体" w:hAnsi="宋体" w:eastAsiaTheme="minorEastAsia" w:cstheme="minorBidi"/>
          <w:bCs/>
          <w:color w:val="auto"/>
          <w:sz w:val="24"/>
          <w:highlight w:val="none"/>
          <w:lang w:eastAsia="zh-CN"/>
        </w:rPr>
        <w:t>，</w:t>
      </w:r>
      <w:r>
        <w:rPr>
          <w:rFonts w:hint="default" w:ascii="宋体" w:hAnsi="宋体" w:eastAsiaTheme="minorEastAsia" w:cstheme="minorBidi"/>
          <w:bCs/>
          <w:color w:val="auto"/>
          <w:sz w:val="24"/>
          <w:highlight w:val="none"/>
          <w:lang w:val="en-US" w:eastAsia="zh-CN"/>
        </w:rPr>
        <w:t>并解除合同</w:t>
      </w:r>
      <w:r>
        <w:rPr>
          <w:rFonts w:hint="default" w:ascii="宋体" w:hAnsi="宋体" w:eastAsiaTheme="minorEastAsia" w:cstheme="minorBidi"/>
          <w:bCs/>
          <w:color w:val="auto"/>
          <w:sz w:val="24"/>
          <w:highlight w:val="none"/>
        </w:rPr>
        <w:t>。</w:t>
      </w:r>
    </w:p>
    <w:p>
      <w:pPr>
        <w:spacing w:before="0" w:beforeAutospacing="0" w:after="0" w:afterAutospacing="0" w:line="360" w:lineRule="auto"/>
        <w:ind w:firstLine="482"/>
        <w:rPr>
          <w:rFonts w:hint="default" w:ascii="宋体" w:hAnsi="宋体" w:eastAsiaTheme="minorEastAsia" w:cstheme="minorBidi"/>
          <w:bCs/>
          <w:color w:val="auto"/>
          <w:sz w:val="24"/>
          <w:highlight w:val="none"/>
          <w:u w:val="none"/>
        </w:rPr>
      </w:pPr>
      <w:r>
        <w:rPr>
          <w:rFonts w:hint="default" w:ascii="宋体" w:hAnsi="宋体" w:eastAsiaTheme="minorEastAsia" w:cstheme="minorBidi"/>
          <w:bCs/>
          <w:color w:val="auto"/>
          <w:sz w:val="24"/>
          <w:highlight w:val="none"/>
        </w:rPr>
        <w:t>4</w:t>
      </w:r>
      <w:r>
        <w:rPr>
          <w:rFonts w:hint="default" w:ascii="宋体" w:hAnsi="宋体" w:eastAsiaTheme="minorEastAsia" w:cstheme="minorBidi"/>
          <w:bCs/>
          <w:color w:val="auto"/>
          <w:sz w:val="24"/>
          <w:highlight w:val="none"/>
          <w:u w:val="none"/>
        </w:rPr>
        <w:t>.现金转账形式：合同履行完成后，由乙方提出申请，甲方在10个工作日内将剩余保证金（无息）返还。</w:t>
      </w:r>
    </w:p>
    <w:p>
      <w:pPr>
        <w:spacing w:line="360" w:lineRule="auto"/>
        <w:ind w:firstLine="482" w:firstLineChars="0"/>
        <w:rPr>
          <w:rFonts w:hint="default" w:ascii="宋体" w:hAnsi="宋体" w:eastAsiaTheme="minorEastAsia" w:cstheme="minorBidi"/>
          <w:bCs/>
          <w:color w:val="auto"/>
          <w:sz w:val="24"/>
          <w:highlight w:val="none"/>
        </w:rPr>
      </w:pPr>
      <w:r>
        <w:rPr>
          <w:rFonts w:hint="default" w:ascii="宋体" w:hAnsi="宋体" w:eastAsiaTheme="minorEastAsia" w:cstheme="minorBidi"/>
          <w:bCs/>
          <w:color w:val="auto"/>
          <w:sz w:val="24"/>
          <w:highlight w:val="none"/>
        </w:rPr>
        <w:t>（四）甲方按本合同规定提取履约保证金后，乙方应在收到甲方通知后</w:t>
      </w:r>
      <w:r>
        <w:rPr>
          <w:rFonts w:hint="default" w:ascii="宋体" w:hAnsi="宋体" w:eastAsiaTheme="minorEastAsia" w:cstheme="minorBidi"/>
          <w:bCs/>
          <w:color w:val="auto"/>
          <w:sz w:val="24"/>
          <w:highlight w:val="none"/>
          <w:u w:val="none"/>
        </w:rPr>
        <w:t xml:space="preserve"> </w:t>
      </w:r>
      <w:r>
        <w:rPr>
          <w:rFonts w:hint="default" w:ascii="宋体" w:hAnsi="宋体" w:eastAsiaTheme="minorEastAsia" w:cstheme="minorBidi"/>
          <w:bCs/>
          <w:color w:val="auto"/>
          <w:sz w:val="24"/>
          <w:highlight w:val="none"/>
          <w:u w:val="none"/>
          <w:lang w:val="en-US" w:eastAsia="zh-CN"/>
        </w:rPr>
        <w:t>10</w:t>
      </w:r>
      <w:r>
        <w:rPr>
          <w:rFonts w:hint="default" w:ascii="宋体" w:hAnsi="宋体" w:eastAsiaTheme="minorEastAsia" w:cstheme="minorBidi"/>
          <w:bCs/>
          <w:color w:val="auto"/>
          <w:sz w:val="24"/>
          <w:highlight w:val="none"/>
          <w:u w:val="none"/>
        </w:rPr>
        <w:t xml:space="preserve"> </w:t>
      </w:r>
      <w:r>
        <w:rPr>
          <w:rFonts w:hint="default" w:ascii="宋体" w:hAnsi="宋体" w:eastAsiaTheme="minorEastAsia" w:cstheme="minorBidi"/>
          <w:bCs/>
          <w:color w:val="auto"/>
          <w:sz w:val="24"/>
          <w:highlight w:val="none"/>
        </w:rPr>
        <w:t>日内补足数额，逾期甲方有权从检测费扣除，或提取保证金的全部余额，并有权解除合同。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十</w:t>
      </w:r>
      <w:r>
        <w:rPr>
          <w:rFonts w:hint="eastAsia" w:ascii="宋体" w:hAnsi="宋体"/>
          <w:b/>
          <w:color w:val="auto"/>
          <w:sz w:val="24"/>
          <w:highlight w:val="none"/>
        </w:rPr>
        <w:t>条</w:t>
      </w:r>
      <w:r>
        <w:rPr>
          <w:rFonts w:ascii="宋体" w:hAnsi="宋体"/>
          <w:b/>
          <w:color w:val="auto"/>
          <w:sz w:val="24"/>
          <w:highlight w:val="none"/>
        </w:rPr>
        <w:t xml:space="preserve"> 不可抗力</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在本合同履行期间，</w:t>
      </w:r>
      <w:r>
        <w:rPr>
          <w:rFonts w:hint="eastAsia" w:ascii="宋体" w:hAnsi="宋体"/>
          <w:bCs/>
          <w:color w:val="auto"/>
          <w:sz w:val="24"/>
          <w:highlight w:val="none"/>
        </w:rPr>
        <w:t>甲乙</w:t>
      </w:r>
      <w:r>
        <w:rPr>
          <w:rFonts w:ascii="宋体" w:hAnsi="宋体"/>
          <w:bCs/>
          <w:color w:val="auto"/>
          <w:sz w:val="24"/>
          <w:highlight w:val="none"/>
        </w:rPr>
        <w:t>任何一方因不可抗力事件，致使该方不能全部或部分履行其合同义务或延迟履行合同义务，免除该方的违约责任。</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受不可抗力事件影响的一方应在</w:t>
      </w:r>
      <w:r>
        <w:rPr>
          <w:rFonts w:hint="eastAsia" w:ascii="宋体" w:hAnsi="宋体"/>
          <w:bCs/>
          <w:color w:val="auto"/>
          <w:sz w:val="24"/>
          <w:highlight w:val="none"/>
        </w:rPr>
        <w:t>其后</w:t>
      </w:r>
      <w:r>
        <w:rPr>
          <w:rFonts w:ascii="宋体" w:hAnsi="宋体"/>
          <w:bCs/>
          <w:color w:val="auto"/>
          <w:sz w:val="24"/>
          <w:highlight w:val="none"/>
        </w:rPr>
        <w:t xml:space="preserve">5日内的时间内用传真或电子邮件通知另一方，说明事件发生的详情和对合同履行的影响程度； </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受不可抗力影响的一方应尽量设法缩小不可抗力事件对合同履行的影响。</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一</w:t>
      </w:r>
      <w:r>
        <w:rPr>
          <w:rFonts w:hint="eastAsia" w:ascii="宋体" w:hAnsi="宋体"/>
          <w:b/>
          <w:color w:val="auto"/>
          <w:sz w:val="24"/>
          <w:highlight w:val="none"/>
        </w:rPr>
        <w:t xml:space="preserve">条 </w:t>
      </w:r>
      <w:r>
        <w:rPr>
          <w:rFonts w:ascii="宋体" w:hAnsi="宋体"/>
          <w:b/>
          <w:color w:val="auto"/>
          <w:sz w:val="24"/>
          <w:highlight w:val="none"/>
        </w:rPr>
        <w:t>争议解决</w:t>
      </w:r>
    </w:p>
    <w:p>
      <w:pPr>
        <w:pStyle w:val="8"/>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1.甲、乙</w:t>
      </w:r>
      <w:r>
        <w:rPr>
          <w:rFonts w:ascii="宋体" w:hAnsi="宋体"/>
          <w:bCs/>
          <w:color w:val="auto"/>
          <w:sz w:val="24"/>
          <w:highlight w:val="none"/>
        </w:rPr>
        <w:t>双方应通过友好协商，解决在执行本合同所发生的或与本合同有关的一切争议。如协商不能解决争议，任何一方均可</w:t>
      </w:r>
      <w:r>
        <w:rPr>
          <w:rFonts w:hint="eastAsia" w:ascii="宋体" w:hAnsi="宋体"/>
          <w:bCs/>
          <w:color w:val="auto"/>
          <w:sz w:val="24"/>
          <w:highlight w:val="none"/>
        </w:rPr>
        <w:t>甲方所在人民法院起诉。</w:t>
      </w:r>
    </w:p>
    <w:p>
      <w:pPr>
        <w:pStyle w:val="8"/>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2.在进行法院审理期间，除提交法院审理的事项外，合同其他部分仍应继续履行。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二</w:t>
      </w:r>
      <w:r>
        <w:rPr>
          <w:rFonts w:hint="eastAsia" w:ascii="宋体" w:hAnsi="宋体"/>
          <w:b/>
          <w:color w:val="auto"/>
          <w:sz w:val="24"/>
          <w:highlight w:val="none"/>
        </w:rPr>
        <w:t xml:space="preserve">条 </w:t>
      </w:r>
      <w:r>
        <w:rPr>
          <w:rFonts w:ascii="宋体" w:hAnsi="宋体"/>
          <w:b/>
          <w:color w:val="auto"/>
          <w:sz w:val="24"/>
          <w:highlight w:val="none"/>
        </w:rPr>
        <w:t>合同生效及其他</w:t>
      </w:r>
    </w:p>
    <w:p>
      <w:pPr>
        <w:spacing w:line="360" w:lineRule="auto"/>
        <w:ind w:firstLine="480"/>
        <w:rPr>
          <w:rFonts w:ascii="宋体" w:hAnsi="宋体"/>
          <w:color w:val="auto"/>
          <w:sz w:val="24"/>
          <w:highlight w:val="none"/>
        </w:rPr>
      </w:pPr>
      <w:r>
        <w:rPr>
          <w:rFonts w:hint="eastAsia" w:ascii="宋体" w:hAnsi="宋体"/>
          <w:color w:val="auto"/>
          <w:sz w:val="24"/>
          <w:highlight w:val="none"/>
        </w:rPr>
        <w:t>本合同经甲、乙双方法定代表人或授权代表签字并加盖章后生效。</w:t>
      </w:r>
    </w:p>
    <w:p>
      <w:pPr>
        <w:widowControl/>
        <w:spacing w:line="360" w:lineRule="auto"/>
        <w:ind w:firstLine="480"/>
        <w:jc w:val="left"/>
        <w:rPr>
          <w:rFonts w:ascii="宋体" w:hAnsi="宋体" w:eastAsia="宋体" w:cs="Times New Roman"/>
          <w:b/>
          <w:bCs/>
          <w:color w:val="auto"/>
          <w:kern w:val="0"/>
          <w:sz w:val="24"/>
          <w:szCs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三</w:t>
      </w:r>
      <w:r>
        <w:rPr>
          <w:rFonts w:hint="eastAsia" w:ascii="宋体" w:hAnsi="宋体"/>
          <w:b/>
          <w:color w:val="auto"/>
          <w:sz w:val="24"/>
          <w:highlight w:val="none"/>
        </w:rPr>
        <w:t>条</w:t>
      </w:r>
      <w:r>
        <w:rPr>
          <w:rFonts w:hint="eastAsia" w:ascii="宋体" w:hAnsi="宋体" w:eastAsia="宋体" w:cs="Times New Roman"/>
          <w:b/>
          <w:bCs/>
          <w:color w:val="auto"/>
          <w:kern w:val="0"/>
          <w:sz w:val="24"/>
          <w:szCs w:val="24"/>
          <w:highlight w:val="none"/>
        </w:rPr>
        <w:t>其它</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1.本合同之所有附件均为合同的有效组成部分，与本合同具有同样法律效力。</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2.执行本合同的过程中，所有经甲乙双方签署确认的文件（包括会议纪要、补充协议、往来信函）即成为本合同的有效组成部分。</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3.除甲方事先书面同意外，乙方不得将部分或全部转让其应履行的合同项下的义务。</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w:t>
      </w:r>
      <w:r>
        <w:rPr>
          <w:rFonts w:hint="eastAsia" w:ascii="宋体" w:hAnsi="宋体" w:eastAsia="宋体" w:cs="宋体"/>
          <w:snapToGrid w:val="0"/>
          <w:color w:val="auto"/>
          <w:kern w:val="0"/>
          <w:sz w:val="24"/>
          <w:highlight w:val="none"/>
        </w:rPr>
        <w:t>本合同正本一式</w:t>
      </w:r>
      <w:r>
        <w:rPr>
          <w:rFonts w:hint="eastAsia" w:ascii="宋体" w:hAnsi="宋体" w:eastAsia="宋体" w:cs="宋体"/>
          <w:snapToGrid w:val="0"/>
          <w:color w:val="auto"/>
          <w:kern w:val="0"/>
          <w:sz w:val="24"/>
          <w:highlight w:val="none"/>
          <w:u w:val="single"/>
        </w:rPr>
        <w:t xml:space="preserve"> 6</w:t>
      </w:r>
      <w:r>
        <w:rPr>
          <w:rFonts w:hint="eastAsia" w:ascii="宋体" w:hAnsi="宋体" w:eastAsia="宋体" w:cs="宋体"/>
          <w:snapToGrid w:val="0"/>
          <w:color w:val="auto"/>
          <w:kern w:val="0"/>
          <w:sz w:val="24"/>
          <w:highlight w:val="none"/>
        </w:rPr>
        <w:t>份，甲方执</w:t>
      </w:r>
      <w:r>
        <w:rPr>
          <w:rFonts w:hint="eastAsia" w:ascii="宋体" w:hAnsi="宋体" w:eastAsia="宋体" w:cs="宋体"/>
          <w:snapToGrid w:val="0"/>
          <w:color w:val="auto"/>
          <w:kern w:val="0"/>
          <w:sz w:val="24"/>
          <w:highlight w:val="none"/>
          <w:u w:val="single"/>
        </w:rPr>
        <w:t xml:space="preserve">  3 </w:t>
      </w:r>
      <w:r>
        <w:rPr>
          <w:rFonts w:hint="eastAsia" w:ascii="宋体" w:hAnsi="宋体" w:eastAsia="宋体" w:cs="宋体"/>
          <w:snapToGrid w:val="0"/>
          <w:color w:val="auto"/>
          <w:kern w:val="0"/>
          <w:sz w:val="24"/>
          <w:highlight w:val="none"/>
        </w:rPr>
        <w:t>份，乙方执</w:t>
      </w:r>
      <w:r>
        <w:rPr>
          <w:rFonts w:hint="eastAsia" w:ascii="宋体" w:hAnsi="宋体" w:eastAsia="宋体" w:cs="宋体"/>
          <w:snapToGrid w:val="0"/>
          <w:color w:val="auto"/>
          <w:kern w:val="0"/>
          <w:sz w:val="24"/>
          <w:highlight w:val="none"/>
          <w:u w:val="single"/>
        </w:rPr>
        <w:t xml:space="preserve"> 3 </w:t>
      </w:r>
      <w:r>
        <w:rPr>
          <w:rFonts w:hint="eastAsia" w:ascii="宋体" w:hAnsi="宋体" w:eastAsia="宋体" w:cs="宋体"/>
          <w:snapToGrid w:val="0"/>
          <w:color w:val="auto"/>
          <w:kern w:val="0"/>
          <w:sz w:val="24"/>
          <w:highlight w:val="none"/>
        </w:rPr>
        <w:t>份</w:t>
      </w:r>
    </w:p>
    <w:p>
      <w:pPr>
        <w:widowControl/>
        <w:spacing w:line="360" w:lineRule="auto"/>
        <w:ind w:firstLine="480"/>
        <w:jc w:val="left"/>
        <w:rPr>
          <w:rFonts w:ascii="宋体" w:hAnsi="宋体" w:eastAsia="宋体" w:cs="Times New Roman"/>
          <w:color w:val="auto"/>
          <w:kern w:val="0"/>
          <w:sz w:val="24"/>
          <w:szCs w:val="24"/>
          <w:highlight w:val="none"/>
        </w:rPr>
      </w:pPr>
    </w:p>
    <w:p>
      <w:pPr>
        <w:widowControl/>
        <w:spacing w:line="360" w:lineRule="auto"/>
        <w:ind w:firstLine="480" w:firstLineChars="200"/>
        <w:jc w:val="left"/>
        <w:rPr>
          <w:rFonts w:ascii="Times New Roman" w:hAnsi="Times New Roman" w:cs="Times New Roman"/>
          <w:b/>
          <w:color w:val="auto"/>
          <w:sz w:val="24"/>
          <w:highlight w:val="none"/>
        </w:rPr>
      </w:pP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.附件：</w:t>
      </w:r>
    </w:p>
    <w:bookmarkEnd w:id="97"/>
    <w:bookmarkEnd w:id="98"/>
    <w:bookmarkEnd w:id="99"/>
    <w:p>
      <w:pPr>
        <w:pStyle w:val="15"/>
        <w:spacing w:line="360" w:lineRule="auto"/>
        <w:ind w:left="584" w:leftChars="278" w:firstLine="120" w:firstLineChars="50"/>
        <w:rPr>
          <w:rFonts w:hint="eastAsia" w:ascii="宋体" w:hAnsi="宋体" w:cs="宋体"/>
          <w:b/>
          <w:bCs/>
          <w:color w:val="auto"/>
          <w:szCs w:val="21"/>
          <w:highlight w:val="none"/>
          <w:lang w:val="en-US" w:eastAsia="zh-CN"/>
        </w:rPr>
      </w:pPr>
      <w:r>
        <w:rPr>
          <w:rFonts w:hint="eastAsia" w:ascii="宋体" w:hAnsi="宋体" w:cs="宋体"/>
          <w:color w:val="auto"/>
          <w:sz w:val="24"/>
          <w:szCs w:val="24"/>
          <w:highlight w:val="none"/>
        </w:rPr>
        <w:t>附件1：</w:t>
      </w:r>
      <w:r>
        <w:rPr>
          <w:rFonts w:hint="eastAsia" w:ascii="宋体" w:hAnsi="宋体" w:cs="宋体"/>
          <w:b/>
          <w:bCs/>
          <w:color w:val="auto"/>
          <w:szCs w:val="21"/>
          <w:highlight w:val="none"/>
        </w:rPr>
        <w:t>检测</w:t>
      </w:r>
      <w:r>
        <w:rPr>
          <w:rFonts w:hint="eastAsia" w:ascii="宋体" w:hAnsi="宋体" w:cs="宋体"/>
          <w:b/>
          <w:bCs/>
          <w:color w:val="auto"/>
          <w:szCs w:val="21"/>
          <w:highlight w:val="none"/>
          <w:lang w:val="en-US" w:eastAsia="zh-CN"/>
        </w:rPr>
        <w:t>方案</w:t>
      </w:r>
    </w:p>
    <w:p>
      <w:pPr>
        <w:pStyle w:val="15"/>
        <w:spacing w:line="360" w:lineRule="auto"/>
        <w:ind w:left="584" w:leftChars="278" w:firstLine="120" w:firstLineChars="50"/>
        <w:rPr>
          <w:rFonts w:hint="default" w:ascii="宋体" w:hAnsi="宋体" w:cs="宋体" w:eastAsiaTheme="minorEastAsia"/>
          <w:b/>
          <w:bCs/>
          <w:color w:val="auto"/>
          <w:szCs w:val="21"/>
          <w:highlight w:val="none"/>
          <w:lang w:val="en-US" w:eastAsia="zh-CN"/>
        </w:rPr>
      </w:pPr>
      <w:r>
        <w:rPr>
          <w:rFonts w:hint="eastAsia" w:ascii="宋体" w:hAnsi="宋体" w:cs="宋体"/>
          <w:b w:val="0"/>
          <w:bCs w:val="0"/>
          <w:color w:val="auto"/>
          <w:sz w:val="24"/>
          <w:szCs w:val="24"/>
          <w:highlight w:val="none"/>
          <w:lang w:val="en-US" w:eastAsia="zh-CN"/>
        </w:rPr>
        <w:t>附件2：</w:t>
      </w:r>
      <w:r>
        <w:rPr>
          <w:rFonts w:hint="eastAsia" w:ascii="宋体" w:hAnsi="宋体" w:cs="宋体"/>
          <w:b/>
          <w:bCs/>
          <w:color w:val="auto"/>
          <w:szCs w:val="21"/>
          <w:highlight w:val="none"/>
          <w:lang w:val="en-US" w:eastAsia="zh-CN"/>
        </w:rPr>
        <w:t>报价清单</w:t>
      </w:r>
    </w:p>
    <w:p>
      <w:pPr>
        <w:pStyle w:val="15"/>
        <w:spacing w:line="360" w:lineRule="auto"/>
        <w:ind w:left="584" w:leftChars="278" w:firstLine="120" w:firstLineChars="50"/>
        <w:rPr>
          <w:rFonts w:ascii="宋体" w:hAnsi="宋体" w:cs="宋体"/>
          <w:b/>
          <w:bCs/>
          <w:color w:val="auto"/>
          <w:szCs w:val="21"/>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b/>
          <w:bCs/>
          <w:color w:val="auto"/>
          <w:szCs w:val="21"/>
          <w:highlight w:val="none"/>
        </w:rPr>
        <w:t>廉洁协议</w:t>
      </w:r>
    </w:p>
    <w:p>
      <w:pPr>
        <w:pStyle w:val="15"/>
        <w:spacing w:line="360" w:lineRule="auto"/>
        <w:ind w:left="584" w:leftChars="278" w:firstLine="105" w:firstLineChars="50"/>
        <w:rPr>
          <w:rFonts w:ascii="宋体" w:hAnsi="宋体" w:cs="宋体"/>
          <w:b/>
          <w:bCs/>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w:t>
      </w:r>
      <w:r>
        <w:rPr>
          <w:rFonts w:hint="eastAsia" w:ascii="宋体" w:hAnsi="宋体" w:cs="宋体"/>
          <w:b/>
          <w:bCs/>
          <w:color w:val="auto"/>
          <w:szCs w:val="21"/>
          <w:highlight w:val="none"/>
        </w:rPr>
        <w:t>安全管理协议书</w:t>
      </w:r>
    </w:p>
    <w:p>
      <w:pPr>
        <w:pStyle w:val="15"/>
        <w:spacing w:line="360" w:lineRule="auto"/>
        <w:ind w:left="584" w:leftChars="278" w:firstLine="105" w:firstLineChars="50"/>
        <w:rPr>
          <w:rFonts w:ascii="宋体" w:hAnsi="宋体" w:cs="宋体"/>
          <w:b/>
          <w:bCs/>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b/>
          <w:bCs/>
          <w:color w:val="auto"/>
          <w:szCs w:val="21"/>
          <w:highlight w:val="none"/>
        </w:rPr>
        <w:t>不诚信行为的情形及相应被暂停参与投标活动的处理标准</w:t>
      </w:r>
    </w:p>
    <w:p>
      <w:pPr>
        <w:pStyle w:val="15"/>
        <w:spacing w:line="360" w:lineRule="auto"/>
        <w:ind w:left="584" w:leftChars="278" w:firstLine="105" w:firstLineChars="50"/>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：发包通知书</w:t>
      </w:r>
    </w:p>
    <w:p>
      <w:pPr>
        <w:pStyle w:val="15"/>
        <w:spacing w:line="360" w:lineRule="auto"/>
        <w:ind w:left="584" w:leftChars="278"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15"/>
        <w:spacing w:line="360" w:lineRule="auto"/>
        <w:ind w:left="584" w:leftChars="278" w:firstLine="120" w:firstLineChars="50"/>
        <w:rPr>
          <w:rFonts w:ascii="宋体" w:hAnsi="宋体" w:cs="宋体"/>
          <w:color w:val="auto"/>
          <w:sz w:val="24"/>
          <w:szCs w:val="24"/>
          <w:highlight w:val="none"/>
        </w:rPr>
      </w:pPr>
    </w:p>
    <w:p>
      <w:pPr>
        <w:pStyle w:val="15"/>
        <w:spacing w:line="360" w:lineRule="auto"/>
        <w:ind w:left="0" w:leftChars="0"/>
        <w:rPr>
          <w:rFonts w:ascii="宋体" w:hAnsi="宋体" w:cs="宋体"/>
          <w:color w:val="auto"/>
          <w:sz w:val="24"/>
          <w:szCs w:val="24"/>
          <w:highlight w:val="none"/>
        </w:rPr>
      </w:pPr>
    </w:p>
    <w:tbl>
      <w:tblPr>
        <w:tblStyle w:val="23"/>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ind w:right="-19" w:rightChars="-9"/>
              <w:rPr>
                <w:rFonts w:ascii="宋体" w:hAnsi="宋体" w:cs="宋体"/>
                <w:color w:val="auto"/>
                <w:sz w:val="24"/>
                <w:szCs w:val="24"/>
                <w:highlight w:val="none"/>
              </w:rPr>
            </w:pPr>
            <w:r>
              <w:rPr>
                <w:rFonts w:hint="eastAsia" w:ascii="宋体" w:hAnsi="宋体" w:cs="宋体"/>
                <w:color w:val="auto"/>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地址：广州市天河区临江大道501号</w:t>
            </w: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邮政编码：510655</w:t>
            </w:r>
            <w:r>
              <w:rPr>
                <w:rFonts w:hint="eastAsia" w:ascii="宋体" w:hAnsi="宋体" w:cs="宋体"/>
                <w:color w:val="auto"/>
                <w:sz w:val="24"/>
                <w:szCs w:val="24"/>
                <w:highlight w:val="none"/>
              </w:rPr>
              <w:tab/>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 月 日</w:t>
            </w:r>
          </w:p>
        </w:tc>
        <w:tc>
          <w:tcPr>
            <w:tcW w:w="562" w:type="dxa"/>
            <w:vAlign w:val="center"/>
          </w:tcPr>
          <w:p>
            <w:pPr>
              <w:rPr>
                <w:rFonts w:ascii="宋体" w:hAnsi="宋体" w:cs="宋体"/>
                <w:color w:val="auto"/>
                <w:sz w:val="24"/>
                <w:szCs w:val="24"/>
                <w:highlight w:val="none"/>
              </w:rPr>
            </w:pPr>
          </w:p>
        </w:tc>
        <w:tc>
          <w:tcPr>
            <w:tcW w:w="400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年月日</w:t>
            </w:r>
          </w:p>
        </w:tc>
      </w:tr>
    </w:tbl>
    <w:p>
      <w:pPr>
        <w:spacing w:line="360" w:lineRule="auto"/>
        <w:rPr>
          <w:rFonts w:ascii="宋体" w:hAnsi="宋体" w:cs="宋体"/>
          <w:b/>
          <w:bCs/>
          <w:color w:val="auto"/>
          <w:szCs w:val="21"/>
          <w:highlight w:val="none"/>
        </w:rPr>
      </w:pPr>
    </w:p>
    <w:p>
      <w:pPr>
        <w:pStyle w:val="2"/>
        <w:rPr>
          <w:rFonts w:hAnsi="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widowControl/>
        <w:jc w:val="left"/>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rPr>
          <w:rFonts w:ascii="宋体" w:hAnsi="宋体" w:cs="宋体"/>
          <w:b/>
          <w:bCs/>
          <w:color w:val="auto"/>
          <w:szCs w:val="21"/>
          <w:highlight w:val="none"/>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附件1：检测</w:t>
      </w:r>
      <w:r>
        <w:rPr>
          <w:rFonts w:hint="eastAsia" w:ascii="宋体" w:hAnsi="宋体" w:cs="宋体"/>
          <w:b/>
          <w:bCs/>
          <w:color w:val="auto"/>
          <w:szCs w:val="21"/>
          <w:highlight w:val="none"/>
          <w:lang w:val="en-US" w:eastAsia="zh-CN"/>
        </w:rPr>
        <w:t>方案</w:t>
      </w:r>
    </w:p>
    <w:p>
      <w:pPr>
        <w:spacing w:line="360" w:lineRule="auto"/>
        <w:ind w:firstLine="480" w:firstLineChars="200"/>
        <w:rPr>
          <w:rFonts w:ascii="宋体" w:hAnsi="宋体" w:eastAsia="宋体" w:cs="宋体"/>
          <w:color w:val="auto"/>
          <w:kern w:val="28"/>
          <w:sz w:val="24"/>
          <w:szCs w:val="24"/>
          <w:highlight w:val="none"/>
        </w:rPr>
      </w:pPr>
      <w:r>
        <w:rPr>
          <w:rFonts w:hint="eastAsia" w:ascii="宋体" w:hAnsi="宋体" w:eastAsia="宋体" w:cs="宋体"/>
          <w:color w:val="auto"/>
          <w:sz w:val="24"/>
          <w:szCs w:val="22"/>
          <w:highlight w:val="none"/>
          <w:lang w:val="en-US" w:eastAsia="zh-CN"/>
        </w:rPr>
        <w:t>检测内容为</w:t>
      </w:r>
      <w:r>
        <w:rPr>
          <w:rFonts w:hint="eastAsia" w:ascii="宋体" w:hAnsi="宋体" w:eastAsia="宋体" w:cs="宋体"/>
          <w:color w:val="auto"/>
          <w:sz w:val="24"/>
          <w:szCs w:val="22"/>
          <w:highlight w:val="none"/>
        </w:rPr>
        <w:t>大沙地分公司、石井分公司一期和二期、石井净水分公司一期、龙归分公司、竹料分公司、大观分公司厂内污泥干化处理服务项目</w:t>
      </w:r>
      <w:r>
        <w:rPr>
          <w:rFonts w:hint="eastAsia" w:ascii="宋体" w:hAnsi="宋体" w:eastAsia="宋体" w:cs="宋体"/>
          <w:color w:val="auto"/>
          <w:sz w:val="24"/>
          <w:szCs w:val="22"/>
          <w:highlight w:val="none"/>
          <w:lang w:val="en-US" w:eastAsia="zh-CN"/>
        </w:rPr>
        <w:t>和</w:t>
      </w:r>
      <w:r>
        <w:rPr>
          <w:rFonts w:hint="eastAsia" w:ascii="宋体" w:hAnsi="宋体" w:eastAsia="宋体" w:cs="宋体"/>
          <w:snapToGrid w:val="0"/>
          <w:color w:val="auto"/>
          <w:kern w:val="0"/>
          <w:sz w:val="24"/>
          <w:highlight w:val="none"/>
        </w:rPr>
        <w:t>猎德分公司、大坦沙分公司、沥滘分公司</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西朗公司EPC项</w:t>
      </w:r>
      <w:r>
        <w:rPr>
          <w:rFonts w:hint="eastAsia" w:ascii="宋体" w:hAnsi="宋体" w:eastAsia="宋体" w:cs="宋体"/>
          <w:snapToGrid/>
          <w:color w:val="auto"/>
          <w:kern w:val="2"/>
          <w:sz w:val="24"/>
          <w:highlight w:val="none"/>
        </w:rPr>
        <w:t>目</w:t>
      </w:r>
      <w:r>
        <w:rPr>
          <w:rFonts w:hint="eastAsia" w:ascii="宋体" w:hAnsi="宋体" w:eastAsia="宋体" w:cs="宋体"/>
          <w:color w:val="auto"/>
          <w:sz w:val="24"/>
          <w:szCs w:val="22"/>
          <w:highlight w:val="none"/>
          <w:lang w:val="en-US" w:eastAsia="zh-CN"/>
        </w:rPr>
        <w:t>产生的出泥泥质、废气、粉尘、噪声、废水、固体废物等污染物</w:t>
      </w:r>
      <w:r>
        <w:rPr>
          <w:rFonts w:hint="eastAsia" w:ascii="宋体" w:hAnsi="宋体" w:eastAsia="宋体" w:cs="宋体"/>
          <w:color w:val="auto"/>
          <w:kern w:val="28"/>
          <w:sz w:val="24"/>
          <w:szCs w:val="24"/>
          <w:highlight w:val="none"/>
        </w:rPr>
        <w:t>。详情如下表：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4"/>
        <w:gridCol w:w="1050"/>
        <w:gridCol w:w="1011"/>
        <w:gridCol w:w="1981"/>
        <w:gridCol w:w="2316"/>
        <w:gridCol w:w="788"/>
        <w:gridCol w:w="1112"/>
        <w:gridCol w:w="1422"/>
        <w:gridCol w:w="1522"/>
        <w:gridCol w:w="1112"/>
        <w:gridCol w:w="1112"/>
        <w:gridCol w:w="1112"/>
        <w:gridCol w:w="1107"/>
        <w:gridCol w:w="1283"/>
        <w:gridCol w:w="1283"/>
        <w:gridCol w:w="1283"/>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污泥干化处理服务项目检测方案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样品类型</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监测类型</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45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测试项目</w:t>
            </w:r>
          </w:p>
        </w:tc>
        <w:tc>
          <w:tcPr>
            <w:tcW w:w="50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检测标准</w:t>
            </w:r>
          </w:p>
        </w:tc>
        <w:tc>
          <w:tcPr>
            <w:tcW w:w="1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监测点位数量</w:t>
            </w:r>
          </w:p>
        </w:tc>
        <w:tc>
          <w:tcPr>
            <w:tcW w:w="3144"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监测频次及费用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1"/>
                <w:szCs w:val="21"/>
                <w:highlight w:val="none"/>
                <w:u w:val="none"/>
              </w:rPr>
            </w:pPr>
          </w:p>
        </w:tc>
        <w:tc>
          <w:tcPr>
            <w:tcW w:w="50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1"/>
                <w:szCs w:val="21"/>
                <w:highlight w:val="none"/>
                <w:u w:val="none"/>
              </w:rPr>
            </w:pPr>
          </w:p>
        </w:tc>
        <w:tc>
          <w:tcPr>
            <w:tcW w:w="1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大沙地</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石井一期干化</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石井二期干化</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石井净一期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龙归</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竹料</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大观</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猎德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西朗</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沥滘</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大坦沙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污泥</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每月二次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无组织排放《恶臭污染物排放标准》（GB14554-1993）《城镇污水处理厂污染物排放标准》（GB18918-2002）城镇污水处理厂废气的排放标准值二级标准并取两者较严值</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有组织排放执行《恶臭污染物排放标准》（GB14554-1993）及此较严标准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笨乙烯</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粉尘浓度</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《工作场所有害因素职业接触限值 第1部分：化学有害因素》（GBZ2.1-2007）</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其他粉尘</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室内空气质量标准《室内空气质量标准》（GB-T18883-2002）、《工业企业设计卫生标准》（GBZ1-2010）、《工作场所有害化因素职业接触限值》（GBZ2.1-2007）</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矽尘（总尘）</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矽尘（呼尘）</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臭氧</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一氧化碳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二氧化碳</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甲醛</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噪声</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边界噪声</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《工业企业厂界环境噪声排放标准》（GB12348-2008）2类标准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废水</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化学需氧量</w:t>
            </w:r>
          </w:p>
        </w:tc>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各厂进水标准</w:t>
            </w: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总氮</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总磷</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氨氮</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悬浮物</w:t>
            </w:r>
          </w:p>
        </w:tc>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固体废物</w:t>
            </w:r>
          </w:p>
        </w:tc>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1"/>
                <w:szCs w:val="21"/>
                <w:highlight w:val="none"/>
                <w:u w:val="none"/>
              </w:rPr>
            </w:pP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检查各项目现场非污泥的固体废弃物是否符合《广东省固体废物污染环境防治条例》及《中华人民共和国固体废弃物环境污染防治法》的要求</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auto"/>
                <w:sz w:val="21"/>
                <w:szCs w:val="21"/>
                <w:highlight w:val="none"/>
                <w:u w:val="none"/>
              </w:rPr>
            </w:pPr>
          </w:p>
        </w:tc>
        <w:tc>
          <w:tcPr>
            <w:tcW w:w="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合同期内3次</w:t>
            </w:r>
          </w:p>
        </w:tc>
      </w:tr>
    </w:tbl>
    <w:p>
      <w:pPr>
        <w:numPr>
          <w:ilvl w:val="255"/>
          <w:numId w:val="0"/>
        </w:numPr>
        <w:rPr>
          <w:rFonts w:ascii="宋体" w:hAnsi="宋体" w:eastAsia="宋体" w:cs="宋体"/>
          <w:b/>
          <w:color w:val="auto"/>
          <w:sz w:val="24"/>
          <w:szCs w:val="24"/>
          <w:highlight w:val="none"/>
        </w:rPr>
      </w:pPr>
    </w:p>
    <w:p>
      <w:pPr>
        <w:rPr>
          <w:rFonts w:hint="eastAsia" w:ascii="宋体" w:hAnsi="宋体" w:eastAsia="宋体" w:cs="宋体"/>
          <w:b/>
          <w:color w:val="auto"/>
          <w:szCs w:val="21"/>
          <w:highlight w:val="none"/>
        </w:rPr>
        <w:sectPr>
          <w:pgSz w:w="23811" w:h="16838" w:orient="landscape"/>
          <w:pgMar w:top="1077" w:right="1089" w:bottom="1469" w:left="1089"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b/>
          <w:color w:val="auto"/>
          <w:szCs w:val="21"/>
          <w:highlight w:val="none"/>
        </w:rPr>
        <w:br w:type="page"/>
      </w:r>
    </w:p>
    <w:p>
      <w:pPr>
        <w:rPr>
          <w:rFonts w:hint="eastAsia" w:eastAsiaTheme="minorEastAsia"/>
          <w:color w:val="auto"/>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2</w:t>
      </w:r>
    </w:p>
    <w:p>
      <w:pPr>
        <w:rPr>
          <w:color w:val="auto"/>
          <w:highlight w:val="none"/>
        </w:rPr>
      </w:pPr>
    </w:p>
    <w:p>
      <w:pPr>
        <w:tabs>
          <w:tab w:val="left" w:pos="1598"/>
        </w:tabs>
        <w:jc w:val="left"/>
        <w:rPr>
          <w:rFonts w:hint="default" w:eastAsiaTheme="minorEastAsia"/>
          <w:color w:val="auto"/>
          <w:highlight w:val="none"/>
          <w:lang w:val="en-US" w:eastAsia="zh-CN"/>
        </w:rPr>
      </w:pPr>
      <w:r>
        <w:rPr>
          <w:rFonts w:hint="eastAsia"/>
          <w:color w:val="auto"/>
          <w:highlight w:val="none"/>
          <w:lang w:val="en-US" w:eastAsia="zh-CN"/>
        </w:rPr>
        <w:t>报价清单</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644"/>
        <w:gridCol w:w="613"/>
        <w:gridCol w:w="1545"/>
        <w:gridCol w:w="2436"/>
        <w:gridCol w:w="912"/>
        <w:gridCol w:w="757"/>
        <w:gridCol w:w="1146"/>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污泥干化处理服务项目检测报价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样品类型</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监测类型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测试项目</w:t>
            </w:r>
          </w:p>
        </w:tc>
        <w:tc>
          <w:tcPr>
            <w:tcW w:w="1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检测标准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监测点位数量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次数</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单价(元）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污泥</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无组织排放《恶臭污染物排放标准》（GB14554-1993）《城镇污水处理厂污染物排放标准》（GB18918-2002）城镇污水处理厂废气的排放标准值二级标准并取两者较严值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有组织排放执行《恶臭污染物排放标准》（GB14554-1993）及此较严标准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笨乙烯</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粉尘浓度</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《工作场所有害因素职业接触限值 第1部分：化学有害因素》（GBZ2.1-2007）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其他粉尘</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室内空气质量标准《室内空气质量标准》（GB-T18883-2002）、《工业企业设计卫生标准》（GBZ1-2010）、《工作场所有害化因素职业接触限值》（GBZ2.1-2007）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矽尘（总尘）</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矽尘（呼尘）</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臭氧</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一氧化碳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二氧化碳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甲醛</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噪声</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边界噪声</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《工业企业厂界环境噪声排放标准》（GB12348-2008）2类标准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废水</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化学需氧量</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各厂进水标准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总氮</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氨氮</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悬浮物</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固体废物</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检查各项目现场非污泥的固体废弃物是否符合《广东省固体废物污染环境防治条例》及《中华人民共和国固体废弃物环境污染防治法》的要求</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3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bl>
    <w:p>
      <w:pPr>
        <w:tabs>
          <w:tab w:val="left" w:pos="1598"/>
        </w:tabs>
        <w:jc w:val="left"/>
        <w:rPr>
          <w:rFonts w:hint="default" w:eastAsiaTheme="minorEastAsia"/>
          <w:color w:val="auto"/>
          <w:highlight w:val="none"/>
          <w:lang w:val="en-US" w:eastAsia="zh-CN"/>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numPr>
          <w:ilvl w:val="255"/>
          <w:numId w:val="0"/>
        </w:numPr>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pStyle w:val="2"/>
        <w:rPr>
          <w:color w:val="auto"/>
          <w:highlight w:val="none"/>
        </w:rPr>
      </w:pPr>
    </w:p>
    <w:p>
      <w:pPr>
        <w:spacing w:line="52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广州市净水有限公司</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（二）严格执行合同（以下简称：主合同），自觉履行合同约定的相关义务。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（合同名称）+（合同编号）</w:t>
      </w:r>
      <w:r>
        <w:rPr>
          <w:rFonts w:hint="eastAsia" w:ascii="仿宋" w:hAnsi="仿宋" w:eastAsia="仿宋" w:cs="仿宋"/>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第七条本协议一式</w:t>
      </w:r>
      <w:r>
        <w:rPr>
          <w:rFonts w:hint="eastAsia" w:ascii="仿宋" w:hAnsi="仿宋" w:eastAsia="仿宋" w:cs="仿宋"/>
          <w:bCs/>
          <w:color w:val="auto"/>
          <w:sz w:val="28"/>
          <w:szCs w:val="28"/>
          <w:highlight w:val="none"/>
          <w:u w:val="single"/>
          <w:lang w:val="en-US" w:eastAsia="zh-CN"/>
        </w:rPr>
        <w:t>陆</w:t>
      </w:r>
      <w:r>
        <w:rPr>
          <w:rFonts w:hint="eastAsia" w:ascii="仿宋" w:hAnsi="仿宋" w:eastAsia="仿宋" w:cs="仿宋"/>
          <w:bCs/>
          <w:color w:val="auto"/>
          <w:sz w:val="28"/>
          <w:szCs w:val="28"/>
          <w:highlight w:val="none"/>
        </w:rPr>
        <w:t>份，甲方</w:t>
      </w:r>
      <w:r>
        <w:rPr>
          <w:rFonts w:hint="eastAsia" w:ascii="仿宋" w:hAnsi="仿宋" w:eastAsia="仿宋" w:cs="仿宋"/>
          <w:bCs/>
          <w:color w:val="auto"/>
          <w:sz w:val="28"/>
          <w:szCs w:val="28"/>
          <w:highlight w:val="none"/>
          <w:u w:val="single"/>
          <w:lang w:val="en-US" w:eastAsia="zh-CN"/>
        </w:rPr>
        <w:t>叁</w:t>
      </w:r>
      <w:r>
        <w:rPr>
          <w:rFonts w:hint="eastAsia" w:ascii="仿宋" w:hAnsi="仿宋" w:eastAsia="仿宋" w:cs="仿宋"/>
          <w:bCs/>
          <w:color w:val="auto"/>
          <w:sz w:val="28"/>
          <w:szCs w:val="28"/>
          <w:highlight w:val="none"/>
        </w:rPr>
        <w:t>份，乙方</w:t>
      </w:r>
      <w:r>
        <w:rPr>
          <w:rFonts w:hint="eastAsia" w:ascii="仿宋" w:hAnsi="仿宋" w:eastAsia="仿宋" w:cs="仿宋"/>
          <w:bCs/>
          <w:color w:val="auto"/>
          <w:sz w:val="28"/>
          <w:szCs w:val="28"/>
          <w:highlight w:val="none"/>
          <w:u w:val="single"/>
          <w:lang w:val="en-US" w:eastAsia="zh-CN"/>
        </w:rPr>
        <w:t>叁</w:t>
      </w:r>
      <w:r>
        <w:rPr>
          <w:rFonts w:hint="eastAsia" w:ascii="仿宋" w:hAnsi="仿宋" w:eastAsia="仿宋" w:cs="仿宋"/>
          <w:bCs/>
          <w:color w:val="auto"/>
          <w:sz w:val="28"/>
          <w:szCs w:val="28"/>
          <w:highlight w:val="none"/>
        </w:rPr>
        <w:t>份。</w:t>
      </w:r>
    </w:p>
    <w:p>
      <w:pPr>
        <w:spacing w:line="520" w:lineRule="exact"/>
        <w:ind w:firstLine="560" w:firstLineChars="200"/>
        <w:rPr>
          <w:rFonts w:ascii="仿宋" w:hAnsi="仿宋" w:eastAsia="仿宋" w:cs="仿宋"/>
          <w:bCs/>
          <w:color w:val="auto"/>
          <w:sz w:val="28"/>
          <w:szCs w:val="28"/>
          <w:highlight w:val="none"/>
        </w:rPr>
      </w:pPr>
    </w:p>
    <w:p>
      <w:pPr>
        <w:spacing w:line="520" w:lineRule="exact"/>
        <w:rPr>
          <w:rFonts w:hint="eastAsia" w:ascii="仿宋" w:hAnsi="仿宋" w:eastAsia="仿宋" w:cs="仿宋"/>
          <w:bCs/>
          <w:color w:val="auto"/>
          <w:sz w:val="28"/>
          <w:szCs w:val="28"/>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2"/>
        <w:rPr>
          <w:rFonts w:hint="eastAsia"/>
          <w:color w:val="auto"/>
          <w:highlight w:val="none"/>
          <w:lang w:eastAsia="zh-CN"/>
        </w:rPr>
      </w:pPr>
    </w:p>
    <w:p>
      <w:pPr>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甲方（盖章）：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乙方（盖章）：</w:t>
      </w:r>
    </w:p>
    <w:p>
      <w:pPr>
        <w:pStyle w:val="34"/>
        <w:tabs>
          <w:tab w:val="left" w:pos="5100"/>
        </w:tabs>
        <w:spacing w:line="520" w:lineRule="exact"/>
        <w:ind w:left="7200" w:firstLine="0" w:firstLineChars="0"/>
        <w:jc w:val="left"/>
        <w:rPr>
          <w:rFonts w:ascii="仿宋" w:hAnsi="仿宋" w:eastAsia="仿宋" w:cs="仿宋"/>
          <w:bCs/>
          <w:color w:val="auto"/>
          <w:sz w:val="28"/>
          <w:szCs w:val="28"/>
          <w:highlight w:val="none"/>
        </w:rPr>
      </w:pPr>
    </w:p>
    <w:p>
      <w:pPr>
        <w:tabs>
          <w:tab w:val="left" w:pos="5100"/>
        </w:tabs>
        <w:spacing w:line="520" w:lineRule="exact"/>
        <w:ind w:left="8400" w:hanging="8400" w:hangingChars="30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 w:hAnsi="仿宋" w:eastAsia="仿宋" w:cs="仿宋"/>
          <w:bCs/>
          <w:color w:val="auto"/>
          <w:sz w:val="28"/>
          <w:szCs w:val="28"/>
          <w:highlight w:val="none"/>
        </w:rPr>
        <w:t>日期:    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日期：  年  月  日</w:t>
      </w:r>
    </w:p>
    <w:p>
      <w:pPr>
        <w:widowControl/>
        <w:jc w:val="left"/>
        <w:rPr>
          <w:rFonts w:ascii="黑体" w:hAnsi="Batang" w:eastAsia="黑体" w:cs="Batang"/>
          <w:bCs/>
          <w:color w:val="auto"/>
          <w:kern w:val="0"/>
          <w:sz w:val="44"/>
          <w:szCs w:val="44"/>
          <w:highlight w:val="none"/>
        </w:rPr>
      </w:pPr>
      <w:r>
        <w:rPr>
          <w:rFonts w:ascii="黑体" w:hAnsi="Batang" w:eastAsia="黑体" w:cs="Batang"/>
          <w:bCs/>
          <w:color w:val="auto"/>
          <w:kern w:val="0"/>
          <w:sz w:val="44"/>
          <w:szCs w:val="44"/>
          <w:highlight w:val="none"/>
        </w:rPr>
        <w:br w:type="page"/>
      </w:r>
    </w:p>
    <w:p>
      <w:pPr>
        <w:rPr>
          <w:rFonts w:ascii="Times New Roman" w:hAnsi="Times New Roman" w:eastAsia="宋体" w:cs="Times New Roman"/>
          <w:b/>
          <w:color w:val="auto"/>
          <w:sz w:val="44"/>
          <w:szCs w:val="44"/>
          <w:highlight w:val="none"/>
        </w:rPr>
      </w:pPr>
      <w:r>
        <w:rPr>
          <w:rFonts w:hint="eastAsia"/>
          <w:b/>
          <w:color w:val="auto"/>
          <w:sz w:val="28"/>
          <w:szCs w:val="28"/>
          <w:highlight w:val="none"/>
        </w:rPr>
        <w:t>附件</w:t>
      </w:r>
      <w:r>
        <w:rPr>
          <w:rFonts w:hint="eastAsia"/>
          <w:b/>
          <w:color w:val="auto"/>
          <w:sz w:val="28"/>
          <w:szCs w:val="28"/>
          <w:highlight w:val="none"/>
          <w:lang w:val="en-US" w:eastAsia="zh-CN"/>
        </w:rPr>
        <w:t>4</w:t>
      </w:r>
      <w:r>
        <w:rPr>
          <w:rFonts w:hint="eastAsia"/>
          <w:b/>
          <w:color w:val="auto"/>
          <w:sz w:val="28"/>
          <w:szCs w:val="28"/>
          <w:highlight w:val="none"/>
        </w:rPr>
        <w:t>：</w:t>
      </w: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26"/>
          <w:rFonts w:ascii="宋体" w:hAnsi="宋体" w:cs="宋体"/>
          <w:b w:val="0"/>
          <w:color w:val="auto"/>
          <w:sz w:val="21"/>
          <w:szCs w:val="21"/>
          <w:highlight w:val="none"/>
          <w:u w:val="single"/>
        </w:rPr>
      </w:pPr>
      <w:r>
        <w:rPr>
          <w:rFonts w:hint="eastAsia" w:ascii="宋体" w:hAnsi="宋体" w:cs="宋体"/>
          <w:color w:val="auto"/>
          <w:szCs w:val="21"/>
          <w:highlight w:val="none"/>
        </w:rPr>
        <w:t>承包人</w:t>
      </w:r>
      <w:bookmarkStart w:id="100" w:name="_Toc21391"/>
      <w:r>
        <w:rPr>
          <w:rFonts w:hint="eastAsia" w:ascii="宋体" w:hAnsi="宋体" w:cs="宋体"/>
          <w:color w:val="auto"/>
          <w:szCs w:val="21"/>
          <w:highlight w:val="none"/>
        </w:rPr>
        <w:t xml:space="preserve">: </w:t>
      </w:r>
    </w:p>
    <w:bookmarkEnd w:id="100"/>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本协议作为的组成部分，与主合同具有同等法律。</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四、事故责任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auto"/>
          <w:szCs w:val="21"/>
          <w:highlight w:val="none"/>
        </w:rPr>
      </w:pPr>
    </w:p>
    <w:p>
      <w:pPr>
        <w:pStyle w:val="37"/>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本协议与主合同同时签订、同时终止、同时生效，具有相同的法律效力，自发包人、承包人双方签字、盖章生效，发包人、承包人双方各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发包人代表（章）：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承包人代表（章）：                                                           　　              　　　　　　　</w:t>
      </w:r>
    </w:p>
    <w:p>
      <w:pPr>
        <w:rPr>
          <w:rFonts w:ascii="仿宋_GB2312" w:hAnsi="仿宋_GB2312" w:eastAsia="仿宋_GB2312" w:cs="仿宋_GB2312"/>
          <w:b/>
          <w:color w:val="auto"/>
          <w:sz w:val="28"/>
          <w:szCs w:val="28"/>
          <w:highlight w:val="none"/>
        </w:rPr>
      </w:pPr>
      <w:r>
        <w:rPr>
          <w:rFonts w:hint="eastAsia" w:ascii="宋体" w:hAnsi="宋体" w:cs="宋体"/>
          <w:color w:val="auto"/>
          <w:szCs w:val="21"/>
          <w:highlight w:val="none"/>
        </w:rPr>
        <w:t xml:space="preserve">      年 　月　  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   月  　日</w:t>
      </w:r>
    </w:p>
    <w:p>
      <w:pPr>
        <w:rPr>
          <w:b/>
          <w:color w:val="auto"/>
          <w:sz w:val="28"/>
          <w:szCs w:val="28"/>
          <w:highlight w:val="none"/>
        </w:rPr>
      </w:pPr>
      <w:r>
        <w:rPr>
          <w:rFonts w:hint="eastAsia"/>
          <w:b/>
          <w:color w:val="auto"/>
          <w:sz w:val="28"/>
          <w:szCs w:val="28"/>
          <w:highlight w:val="none"/>
        </w:rPr>
        <w:br w:type="page"/>
      </w:r>
    </w:p>
    <w:p>
      <w:pPr>
        <w:rPr>
          <w:rFonts w:hAnsi="宋体"/>
          <w:color w:val="auto"/>
          <w:szCs w:val="21"/>
          <w:highlight w:val="none"/>
        </w:rPr>
      </w:pPr>
      <w:r>
        <w:rPr>
          <w:rFonts w:hint="eastAsia"/>
          <w:b/>
          <w:color w:val="auto"/>
          <w:sz w:val="28"/>
          <w:szCs w:val="28"/>
          <w:highlight w:val="none"/>
        </w:rPr>
        <w:t>附件</w:t>
      </w:r>
      <w:r>
        <w:rPr>
          <w:rFonts w:hint="eastAsia"/>
          <w:b/>
          <w:color w:val="auto"/>
          <w:sz w:val="28"/>
          <w:szCs w:val="28"/>
          <w:highlight w:val="none"/>
          <w:lang w:val="en-US" w:eastAsia="zh-CN"/>
        </w:rPr>
        <w:t>5</w:t>
      </w:r>
      <w:r>
        <w:rPr>
          <w:rFonts w:hint="eastAsia"/>
          <w:b/>
          <w:color w:val="auto"/>
          <w:sz w:val="28"/>
          <w:szCs w:val="28"/>
          <w:highlight w:val="none"/>
        </w:rPr>
        <w:t>：</w:t>
      </w:r>
    </w:p>
    <w:p>
      <w:pPr>
        <w:adjustRightInd w:val="0"/>
        <w:snapToGrid w:val="0"/>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contextualSpacing/>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备注：本处理标准出自《广州市净水有限公司经营建设项目参建企业不诚信行为管理办法》。</w:t>
      </w:r>
    </w:p>
    <w:p>
      <w:pPr>
        <w:pStyle w:val="9"/>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2"/>
        <w:ind w:firstLine="0"/>
        <w:rPr>
          <w:rFonts w:ascii="仿宋_GB2312" w:eastAsia="仿宋_GB2312"/>
          <w:color w:val="auto"/>
          <w:sz w:val="28"/>
          <w:szCs w:val="28"/>
          <w:highlight w:val="none"/>
        </w:rPr>
      </w:pPr>
    </w:p>
    <w:p>
      <w:pPr>
        <w:pStyle w:val="3"/>
        <w:rPr>
          <w:color w:val="auto"/>
          <w:highlight w:val="none"/>
        </w:rPr>
      </w:pPr>
      <w:bookmarkStart w:id="101" w:name="_Toc8147"/>
      <w:bookmarkStart w:id="102" w:name="_Toc21847"/>
      <w:bookmarkStart w:id="103" w:name="_Toc30824"/>
      <w:bookmarkStart w:id="104" w:name="_Toc5129"/>
      <w:bookmarkStart w:id="105" w:name="_Toc1563"/>
      <w:bookmarkStart w:id="106" w:name="_Toc6230"/>
      <w:bookmarkStart w:id="107" w:name="_Toc12169"/>
      <w:bookmarkStart w:id="108" w:name="_Toc3723"/>
      <w:bookmarkStart w:id="109" w:name="_Toc28358"/>
      <w:bookmarkStart w:id="110" w:name="_Toc16552"/>
      <w:bookmarkStart w:id="111" w:name="_Toc23515"/>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KtjZv9wEAAPE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2na3dg6cJ/&#10;fvr26+Pnuy8/7r5/ZbNZlmgIWFPkxt3Ek4fhJma+hzba/Ccm7FBkPZ5lVYfEBG2+WCyXCxJc3B9V&#10;f/JCxPRKecuy0XBMEXTXp413ju7Ox1lRFfavMVFlSrxPyEWNY0OGny8IHGgWW5oBMm0gPui6kove&#10;aHmtjckZGLvdxkS2hzwP5cv8CPevsFxkC9iPceVonJRegXzpJEvHQEo5eiA8t2CV5Mwoek/ZIkCo&#10;E2hzSSSVNi4nqDKtJ55Z8FHibO28PBblq+zRJJSOT1ObR+2hT/bDl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CKtjZv9wEAAPEDAAAOAAAAAAAAAAEAIAAAACY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028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LLkswj2AQAA8QMAAA4AAAAAAAAAAQAgAAAAJg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第七章</w:t>
      </w:r>
      <w:bookmarkEnd w:id="101"/>
      <w:bookmarkEnd w:id="102"/>
      <w:bookmarkEnd w:id="103"/>
      <w:bookmarkEnd w:id="104"/>
      <w:bookmarkEnd w:id="105"/>
      <w:bookmarkEnd w:id="106"/>
      <w:bookmarkEnd w:id="107"/>
      <w:bookmarkEnd w:id="108"/>
      <w:bookmarkEnd w:id="109"/>
      <w:bookmarkEnd w:id="110"/>
      <w:bookmarkEnd w:id="111"/>
    </w:p>
    <w:p>
      <w:pPr>
        <w:pStyle w:val="37"/>
        <w:rPr>
          <w:color w:val="auto"/>
          <w:highlight w:val="none"/>
        </w:rPr>
      </w:pPr>
    </w:p>
    <w:p>
      <w:pPr>
        <w:pStyle w:val="3"/>
        <w:rPr>
          <w:color w:val="auto"/>
          <w:highlight w:val="none"/>
        </w:rPr>
      </w:pPr>
      <w:bookmarkStart w:id="112" w:name="_Toc22764"/>
      <w:bookmarkStart w:id="113" w:name="_Toc31564"/>
      <w:bookmarkStart w:id="114" w:name="_Toc88209951"/>
      <w:bookmarkStart w:id="115" w:name="_Toc10840"/>
      <w:bookmarkStart w:id="116" w:name="_Toc21675"/>
      <w:bookmarkStart w:id="117" w:name="_Toc12769"/>
      <w:bookmarkStart w:id="118" w:name="_Toc24815"/>
      <w:bookmarkStart w:id="119" w:name="_Toc87616388"/>
      <w:bookmarkStart w:id="120" w:name="_Toc30157"/>
      <w:bookmarkStart w:id="121" w:name="_Toc12610"/>
      <w:bookmarkStart w:id="122" w:name="_Toc17119"/>
      <w:bookmarkStart w:id="123" w:name="_Toc24490"/>
      <w:bookmarkStart w:id="124" w:name="_Toc5342"/>
      <w:r>
        <w:rPr>
          <w:rFonts w:hint="eastAsia"/>
          <w:color w:val="auto"/>
          <w:highlight w:val="none"/>
        </w:rPr>
        <w:t>响应文件格式要求</w:t>
      </w:r>
      <w:bookmarkEnd w:id="112"/>
      <w:bookmarkEnd w:id="113"/>
      <w:bookmarkEnd w:id="114"/>
      <w:bookmarkEnd w:id="115"/>
      <w:bookmarkEnd w:id="116"/>
      <w:bookmarkEnd w:id="117"/>
      <w:bookmarkEnd w:id="118"/>
      <w:bookmarkEnd w:id="119"/>
      <w:bookmarkEnd w:id="120"/>
      <w:bookmarkEnd w:id="121"/>
      <w:bookmarkEnd w:id="122"/>
      <w:bookmarkEnd w:id="123"/>
      <w:bookmarkEnd w:id="12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宋体" w:hAnsi="宋体" w:eastAsia="宋体" w:cs="宋体"/>
          <w:b/>
          <w:bCs/>
          <w:color w:val="auto"/>
          <w:sz w:val="44"/>
          <w:szCs w:val="44"/>
          <w:highlight w:val="none"/>
          <w:u w:val="single"/>
        </w:rPr>
        <w:t>（广州市净水有限公司202</w:t>
      </w:r>
      <w:r>
        <w:rPr>
          <w:rFonts w:hint="eastAsia" w:ascii="宋体" w:hAnsi="宋体" w:eastAsia="宋体" w:cs="宋体"/>
          <w:b/>
          <w:bCs/>
          <w:color w:val="auto"/>
          <w:sz w:val="44"/>
          <w:szCs w:val="44"/>
          <w:highlight w:val="none"/>
          <w:u w:val="single"/>
          <w:lang w:val="en-US" w:eastAsia="zh-CN"/>
        </w:rPr>
        <w:t>2</w:t>
      </w:r>
      <w:r>
        <w:rPr>
          <w:rFonts w:hint="eastAsia" w:ascii="宋体" w:hAnsi="宋体" w:eastAsia="宋体" w:cs="宋体"/>
          <w:b/>
          <w:bCs/>
          <w:color w:val="auto"/>
          <w:sz w:val="44"/>
          <w:szCs w:val="44"/>
          <w:highlight w:val="none"/>
          <w:u w:val="single"/>
        </w:rPr>
        <w:t>-202</w:t>
      </w:r>
      <w:r>
        <w:rPr>
          <w:rFonts w:hint="eastAsia" w:ascii="宋体" w:hAnsi="宋体" w:eastAsia="宋体" w:cs="宋体"/>
          <w:b/>
          <w:bCs/>
          <w:color w:val="auto"/>
          <w:sz w:val="44"/>
          <w:szCs w:val="44"/>
          <w:highlight w:val="none"/>
          <w:u w:val="single"/>
          <w:lang w:val="en-US" w:eastAsia="zh-CN"/>
        </w:rPr>
        <w:t>3</w:t>
      </w:r>
      <w:r>
        <w:rPr>
          <w:rFonts w:hint="eastAsia" w:ascii="宋体" w:hAnsi="宋体" w:eastAsia="宋体" w:cs="宋体"/>
          <w:b/>
          <w:bCs/>
          <w:color w:val="auto"/>
          <w:sz w:val="44"/>
          <w:szCs w:val="44"/>
          <w:highlight w:val="none"/>
          <w:u w:val="single"/>
        </w:rPr>
        <w:t>年污泥干化处理服务项目污泥泥质检测</w:t>
      </w:r>
      <w:r>
        <w:rPr>
          <w:rFonts w:hint="eastAsia" w:ascii="宋体" w:hAnsi="宋体" w:eastAsia="宋体" w:cs="宋体"/>
          <w:b/>
          <w:bCs/>
          <w:color w:val="auto"/>
          <w:sz w:val="44"/>
          <w:szCs w:val="44"/>
          <w:highlight w:val="none"/>
          <w:u w:val="single"/>
          <w:lang w:val="en-US" w:eastAsia="zh-CN"/>
        </w:rPr>
        <w:t>项目</w:t>
      </w:r>
      <w:r>
        <w:rPr>
          <w:rFonts w:hint="eastAsia" w:ascii="宋体" w:hAnsi="宋体" w:eastAsia="宋体" w:cs="宋体"/>
          <w:b/>
          <w:bCs/>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（项目编号：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5" w:name="_Toc87616389"/>
      <w:bookmarkStart w:id="126" w:name="_Toc88209952"/>
      <w:r>
        <w:rPr>
          <w:rFonts w:hint="eastAsia" w:ascii="仿宋_GB2312" w:eastAsia="仿宋_GB2312"/>
          <w:color w:val="auto"/>
          <w:sz w:val="28"/>
          <w:szCs w:val="28"/>
          <w:highlight w:val="none"/>
        </w:rPr>
        <w:t>1.响应函</w:t>
      </w:r>
      <w:bookmarkEnd w:id="125"/>
      <w:bookmarkEnd w:id="126"/>
    </w:p>
    <w:p>
      <w:pPr>
        <w:spacing w:line="600" w:lineRule="exact"/>
        <w:rPr>
          <w:rFonts w:ascii="仿宋_GB2312" w:eastAsia="仿宋_GB2312"/>
          <w:color w:val="auto"/>
          <w:sz w:val="28"/>
          <w:szCs w:val="28"/>
          <w:highlight w:val="none"/>
        </w:rPr>
      </w:pPr>
      <w:bookmarkStart w:id="127" w:name="_Toc87616390"/>
      <w:bookmarkStart w:id="128" w:name="_Toc88209953"/>
      <w:r>
        <w:rPr>
          <w:rFonts w:hint="eastAsia" w:ascii="仿宋_GB2312" w:eastAsia="仿宋_GB2312"/>
          <w:color w:val="auto"/>
          <w:sz w:val="28"/>
          <w:szCs w:val="28"/>
          <w:highlight w:val="none"/>
        </w:rPr>
        <w:t>2.法定代表人证明或授权委托书</w:t>
      </w:r>
      <w:bookmarkEnd w:id="127"/>
      <w:bookmarkEnd w:id="128"/>
      <w:bookmarkStart w:id="129" w:name="_Toc87616393"/>
      <w:bookmarkStart w:id="13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29"/>
      <w:bookmarkEnd w:id="13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rPr>
          <w:rFonts w:ascii="方正小标宋简体" w:eastAsia="方正小标宋简体"/>
          <w:color w:val="auto"/>
          <w:sz w:val="44"/>
          <w:szCs w:val="44"/>
          <w:highlight w:val="none"/>
        </w:rPr>
      </w:pPr>
    </w:p>
    <w:p>
      <w:pPr>
        <w:adjustRightInd w:val="0"/>
        <w:snapToGrid w:val="0"/>
        <w:spacing w:beforeLines="50" w:afterLines="50" w:line="600" w:lineRule="exact"/>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31" w:name="_Toc88209957"/>
      <w:bookmarkStart w:id="132" w:name="_Toc28619645"/>
      <w:bookmarkStart w:id="133" w:name="_Toc6313"/>
      <w:bookmarkStart w:id="134" w:name="_Toc87616394"/>
      <w:bookmarkStart w:id="135" w:name="_Toc12665"/>
      <w:r>
        <w:rPr>
          <w:rFonts w:hint="eastAsia" w:asciiTheme="minorEastAsia" w:hAnsiTheme="minorEastAsia" w:eastAsiaTheme="minorEastAsia"/>
          <w:color w:val="auto"/>
          <w:sz w:val="28"/>
          <w:szCs w:val="28"/>
          <w:highlight w:val="none"/>
        </w:rPr>
        <w:t>1.响应函</w:t>
      </w:r>
      <w:bookmarkEnd w:id="131"/>
      <w:bookmarkEnd w:id="132"/>
      <w:bookmarkEnd w:id="133"/>
      <w:bookmarkEnd w:id="134"/>
      <w:bookmarkEnd w:id="13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）的报价（其中，不含税价为；增值税为）完成/提供本项目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p>
      <w:pPr>
        <w:spacing w:line="600" w:lineRule="exact"/>
        <w:ind w:left="0" w:firstLine="3920" w:firstLineChars="1400"/>
        <w:jc w:val="both"/>
        <w:rPr>
          <w:rFonts w:asciiTheme="minorEastAsia" w:hAnsiTheme="minorEastAsia"/>
          <w:color w:val="auto"/>
          <w:sz w:val="28"/>
          <w:szCs w:val="28"/>
          <w:highlight w:val="none"/>
        </w:rPr>
      </w:pP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日</w:t>
      </w:r>
      <w:bookmarkStart w:id="136" w:name="_Toc88209958"/>
      <w:bookmarkStart w:id="137" w:name="_Toc29833"/>
      <w:bookmarkStart w:id="138" w:name="_Toc22527"/>
      <w:bookmarkStart w:id="139" w:name="_Toc87616395"/>
    </w:p>
    <w:p>
      <w:pPr>
        <w:pStyle w:val="5"/>
        <w:rPr>
          <w:rFonts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6"/>
      <w:bookmarkEnd w:id="137"/>
      <w:bookmarkEnd w:id="138"/>
      <w:bookmarkEnd w:id="13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供应商名称：</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身份证号码：</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center"/>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406400</wp:posOffset>
                </wp:positionH>
                <wp:positionV relativeFrom="paragraph">
                  <wp:posOffset>187960</wp:posOffset>
                </wp:positionV>
                <wp:extent cx="3771900" cy="898525"/>
                <wp:effectExtent l="5080" t="5080" r="13970" b="1079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89852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70.75pt;width:297pt;mso-wrap-distance-bottom:0pt;mso-wrap-distance-left:9pt;mso-wrap-distance-right:9pt;mso-wrap-distance-top:0pt;z-index:251662336;mso-width-relative:page;mso-height-relative:page;" fillcolor="#FFFFFF" filled="t" stroked="t" coordsize="21600,21600" o:gfxdata="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cBe5dgAAAAJAQAADwAAAAAAAAABACAAAAAi&#10;AAAAZHJzL2Rvd25yZXYueG1sUEsBAhQAFAAAAAgAh07iQNOirGdDAgAAlQQAAA4AAAAAAAAAAQAg&#10;AAAAJwEAAGRycy9lMm9Eb2MueG1sUEsFBgAAAAAGAAYAWQEAANw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200025</wp:posOffset>
                </wp:positionV>
                <wp:extent cx="3771900" cy="1658620"/>
                <wp:effectExtent l="4445" t="5080" r="14605" b="1270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65862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30.6pt;width:297pt;mso-wrap-distance-bottom:0pt;mso-wrap-distance-left:9pt;mso-wrap-distance-right:9pt;mso-wrap-distance-top:0pt;z-index:251663360;mso-width-relative:page;mso-height-relative:page;" fillcolor="#FFFFFF" filled="t" stroked="t" coordsize="21600,21600" o:gfxdata="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mqVSLZAAAACQEAAA8AAAAAAAAA&#10;AQAgAAAAIgAAAGRycy9kb3ducmV2LnhtbFBLAQIUABQAAAAIAIdO4kCsLjcv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2"/>
        <w:rPr>
          <w:color w:val="auto"/>
          <w:highlight w:val="none"/>
        </w:rPr>
      </w:pPr>
    </w:p>
    <w:p>
      <w:pPr>
        <w:pStyle w:val="5"/>
        <w:spacing w:before="0" w:after="0" w:line="240" w:lineRule="auto"/>
        <w:rPr>
          <w:rFonts w:asciiTheme="minorEastAsia" w:hAnsiTheme="minorEastAsia" w:eastAsiaTheme="minorEastAsia"/>
          <w:color w:val="auto"/>
          <w:sz w:val="28"/>
          <w:szCs w:val="28"/>
          <w:highlight w:val="none"/>
        </w:rPr>
      </w:pPr>
      <w:bookmarkStart w:id="140" w:name="_Toc87616400"/>
      <w:bookmarkStart w:id="141" w:name="_Toc88209963"/>
      <w:bookmarkStart w:id="142" w:name="_Toc19830"/>
      <w:bookmarkStart w:id="143"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40"/>
      <w:bookmarkEnd w:id="141"/>
      <w:bookmarkEnd w:id="142"/>
      <w:bookmarkEnd w:id="143"/>
    </w:p>
    <w:p>
      <w:pPr>
        <w:spacing w:line="24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144" w:name="_Hlk59025866"/>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4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仿宋" w:hAnsi="仿宋" w:eastAsia="仿宋" w:cs="仿宋"/>
          <w:b w:val="0"/>
          <w:bCs w:val="0"/>
          <w:i w:val="0"/>
          <w:iCs w:val="0"/>
          <w:color w:val="auto"/>
          <w:sz w:val="28"/>
          <w:szCs w:val="28"/>
          <w:highlight w:val="none"/>
          <w:u w:val="single"/>
        </w:rPr>
        <w:t>广州市净水有限公司202</w:t>
      </w:r>
      <w:r>
        <w:rPr>
          <w:rFonts w:hint="eastAsia" w:ascii="仿宋" w:hAnsi="仿宋" w:eastAsia="仿宋" w:cs="仿宋"/>
          <w:b w:val="0"/>
          <w:bCs w:val="0"/>
          <w:i w:val="0"/>
          <w:iCs w:val="0"/>
          <w:color w:val="auto"/>
          <w:sz w:val="28"/>
          <w:szCs w:val="28"/>
          <w:highlight w:val="none"/>
          <w:u w:val="single"/>
          <w:lang w:val="en-US" w:eastAsia="zh-CN"/>
        </w:rPr>
        <w:t>2</w:t>
      </w:r>
      <w:r>
        <w:rPr>
          <w:rFonts w:hint="eastAsia" w:ascii="仿宋" w:hAnsi="仿宋" w:eastAsia="仿宋" w:cs="仿宋"/>
          <w:b w:val="0"/>
          <w:bCs w:val="0"/>
          <w:i w:val="0"/>
          <w:iCs w:val="0"/>
          <w:color w:val="auto"/>
          <w:sz w:val="28"/>
          <w:szCs w:val="28"/>
          <w:highlight w:val="none"/>
          <w:u w:val="single"/>
        </w:rPr>
        <w:t>-202</w:t>
      </w:r>
      <w:r>
        <w:rPr>
          <w:rFonts w:hint="eastAsia" w:ascii="仿宋" w:hAnsi="仿宋" w:eastAsia="仿宋" w:cs="仿宋"/>
          <w:b w:val="0"/>
          <w:bCs w:val="0"/>
          <w:i w:val="0"/>
          <w:iCs w:val="0"/>
          <w:color w:val="auto"/>
          <w:sz w:val="28"/>
          <w:szCs w:val="28"/>
          <w:highlight w:val="none"/>
          <w:u w:val="single"/>
          <w:lang w:val="en-US" w:eastAsia="zh-CN"/>
        </w:rPr>
        <w:t>3</w:t>
      </w:r>
      <w:r>
        <w:rPr>
          <w:rFonts w:hint="eastAsia" w:ascii="仿宋" w:hAnsi="仿宋" w:eastAsia="仿宋" w:cs="仿宋"/>
          <w:b w:val="0"/>
          <w:bCs w:val="0"/>
          <w:i w:val="0"/>
          <w:iCs w:val="0"/>
          <w:color w:val="auto"/>
          <w:sz w:val="28"/>
          <w:szCs w:val="28"/>
          <w:highlight w:val="none"/>
          <w:u w:val="single"/>
        </w:rPr>
        <w:t>年污泥干化处理服务项目污泥泥质检测</w:t>
      </w:r>
      <w:r>
        <w:rPr>
          <w:rFonts w:hint="eastAsia" w:ascii="仿宋" w:hAnsi="仿宋" w:eastAsia="仿宋" w:cs="仿宋"/>
          <w:b w:val="0"/>
          <w:bCs w:val="0"/>
          <w:i w:val="0"/>
          <w:iCs w:val="0"/>
          <w:color w:val="auto"/>
          <w:sz w:val="28"/>
          <w:szCs w:val="28"/>
          <w:highlight w:val="none"/>
          <w:u w:val="single"/>
          <w:lang w:val="en-US" w:eastAsia="zh-CN"/>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tcPr>
          <w:p>
            <w:pPr>
              <w:jc w:val="center"/>
              <w:rPr>
                <w:rFonts w:ascii="仿宋" w:hAnsi="仿宋" w:eastAsia="仿宋" w:cs="仿宋_GB2312"/>
                <w:b/>
                <w:color w:val="auto"/>
                <w:sz w:val="28"/>
                <w:szCs w:val="28"/>
                <w:highlight w:val="none"/>
              </w:rPr>
            </w:pPr>
          </w:p>
        </w:tc>
        <w:tc>
          <w:tcPr>
            <w:tcW w:w="161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pStyle w:val="5"/>
        <w:spacing w:before="0" w:after="0" w:line="240" w:lineRule="auto"/>
        <w:rPr>
          <w:rFonts w:asciiTheme="minorEastAsia" w:hAnsiTheme="minorEastAsia" w:eastAsiaTheme="minorEastAsia"/>
          <w:color w:val="auto"/>
          <w:sz w:val="28"/>
          <w:szCs w:val="28"/>
          <w:highlight w:val="none"/>
        </w:rPr>
      </w:pPr>
      <w:bookmarkStart w:id="145" w:name="_Toc32430"/>
      <w:bookmarkStart w:id="146"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45"/>
      <w:bookmarkEnd w:id="146"/>
    </w:p>
    <w:p>
      <w:pPr>
        <w:adjustRightInd w:val="0"/>
        <w:snapToGrid w:val="0"/>
        <w:spacing w:line="240" w:lineRule="auto"/>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609"/>
        <w:gridCol w:w="580"/>
        <w:gridCol w:w="1462"/>
        <w:gridCol w:w="2305"/>
        <w:gridCol w:w="863"/>
        <w:gridCol w:w="716"/>
        <w:gridCol w:w="1084"/>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污泥干化处理服务项目检测报价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样品类型</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监测类型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测试项目</w:t>
            </w:r>
          </w:p>
        </w:tc>
        <w:tc>
          <w:tcPr>
            <w:tcW w:w="1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检测标准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监测点位数量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次数</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单价(元）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污泥</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含水率</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《城镇污水处理厂污泥厂内干化减量技术标准》（DB4401T 75-2020）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颗粒度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氯离子</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铬</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汞</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镍</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铅</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铜</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锌</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镉</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无组织排放《恶臭污染物排放标准》（GB14554-1993）《城镇污水处理厂污染物排放标准》（GB18918-2002）城镇污水处理厂废气的排放标准值二级标准并取两者较严值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废气类</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不定期检测</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有组织排放执行《恶臭污染物排放标准》（GB14554-1993）及此较严标准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甲硫醇</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二甲二硫醚</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二硫化碳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三甲胺</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笨乙烯</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粉尘浓度</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《工作场所有害因素职业接触限值 第1部分：化学有害因素》（GBZ2.1-2007）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其他粉尘</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室内空气质量标准《室内空气质量标准》（GB-T18883-2002）、《工业企业设计卫生标准》（GBZ1-2010）、《工作场所有害化因素职业接触限值》（GBZ2.1-2007）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矽尘（总尘）</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矽尘（呼尘）</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硫化氢</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臭气浓度</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臭氧</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一氧化碳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二氧化碳</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甲醛</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氯</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噪声</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边界噪声</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《工业企业厂界环境噪声排放标准》（GB12348-2008）2类标准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废水</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化学需氧量</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各厂进水标准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总氮</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总磷</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氨氮</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PH</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悬浮物</w:t>
            </w: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固体废物</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检查各项目现场非污泥的固体废弃物是否符合《广东省固体废物污染环境防治条例》及《中华人民共和国固体废弃物环境污染防治法》的要求</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21"/>
                <w:szCs w:val="21"/>
                <w:highlight w:val="none"/>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3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r>
    </w:tbl>
    <w:p>
      <w:pPr>
        <w:pStyle w:val="2"/>
        <w:rPr>
          <w:rFonts w:hint="eastAsia" w:ascii="仿宋_GB2312" w:eastAsia="仿宋_GB2312" w:hAnsiTheme="minorEastAsia"/>
          <w:color w:val="auto"/>
          <w:sz w:val="28"/>
          <w:szCs w:val="28"/>
          <w:highlight w:val="none"/>
        </w:rPr>
      </w:pP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注：若分项费用的计算依据、过程和公式不便在表中表述，可单独另附表格或描述进行说明。</w:t>
      </w:r>
    </w:p>
    <w:p>
      <w:pPr>
        <w:numPr>
          <w:ilvl w:val="255"/>
          <w:numId w:val="0"/>
        </w:numPr>
        <w:snapToGrid w:val="0"/>
        <w:spacing w:line="300" w:lineRule="auto"/>
        <w:ind w:firstLine="5600" w:firstLineChars="2000"/>
        <w:jc w:val="right"/>
        <w:rPr>
          <w:rFonts w:ascii="仿宋" w:hAnsi="仿宋" w:eastAsia="仿宋" w:cs="仿宋_GB2312"/>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GB"/>
        </w:rPr>
        <w:t xml:space="preserve"> 日</w:t>
      </w:r>
    </w:p>
    <w:p>
      <w:pPr>
        <w:pStyle w:val="2"/>
        <w:jc w:val="both"/>
        <w:rPr>
          <w:rFonts w:ascii="仿宋_GB2312" w:hAnsi="仿宋_GB2312" w:cs="仿宋_GB2312"/>
          <w:b/>
          <w:bCs/>
          <w:color w:val="auto"/>
          <w:sz w:val="28"/>
          <w:szCs w:val="28"/>
          <w:highlight w:val="none"/>
        </w:rPr>
      </w:pPr>
      <w:bookmarkStart w:id="147" w:name="_Toc88209965"/>
      <w:bookmarkStart w:id="148" w:name="_Toc16386"/>
      <w:bookmarkStart w:id="149" w:name="_Toc6058"/>
      <w:bookmarkStart w:id="150" w:name="_Toc87616402"/>
    </w:p>
    <w:p>
      <w:pPr>
        <w:pStyle w:val="2"/>
        <w:jc w:val="both"/>
        <w:rPr>
          <w:rFonts w:ascii="仿宋_GB2312" w:hAnsi="仿宋_GB2312" w:cs="仿宋_GB2312"/>
          <w:b/>
          <w:bCs/>
          <w:color w:val="auto"/>
          <w:sz w:val="28"/>
          <w:szCs w:val="28"/>
          <w:highlight w:val="none"/>
        </w:rPr>
      </w:pPr>
    </w:p>
    <w:p>
      <w:pPr>
        <w:pStyle w:val="2"/>
        <w:jc w:val="both"/>
        <w:rPr>
          <w:rFonts w:ascii="仿宋_GB2312" w:hAnsi="仿宋_GB2312" w:cs="仿宋_GB2312"/>
          <w:b/>
          <w:bCs/>
          <w:color w:val="auto"/>
          <w:sz w:val="28"/>
          <w:szCs w:val="28"/>
          <w:highlight w:val="none"/>
        </w:rPr>
      </w:pPr>
    </w:p>
    <w:p>
      <w:pPr>
        <w:pStyle w:val="2"/>
        <w:jc w:val="both"/>
        <w:rPr>
          <w:rFonts w:ascii="仿宋_GB2312" w:hAnsi="仿宋_GB2312" w:cs="仿宋_GB2312"/>
          <w:b/>
          <w:bCs/>
          <w:color w:val="auto"/>
          <w:sz w:val="28"/>
          <w:szCs w:val="28"/>
          <w:highlight w:val="none"/>
        </w:rPr>
      </w:pPr>
    </w:p>
    <w:p>
      <w:pPr>
        <w:pStyle w:val="2"/>
        <w:jc w:val="both"/>
        <w:rPr>
          <w:rFonts w:ascii="仿宋_GB2312" w:hAnsi="仿宋_GB2312" w:cs="仿宋_GB2312"/>
          <w:b/>
          <w:bCs/>
          <w:color w:val="auto"/>
          <w:sz w:val="28"/>
          <w:szCs w:val="28"/>
          <w:highlight w:val="none"/>
        </w:rPr>
      </w:pPr>
    </w:p>
    <w:p>
      <w:pPr>
        <w:pStyle w:val="2"/>
        <w:jc w:val="both"/>
        <w:rPr>
          <w:rFonts w:ascii="仿宋_GB2312" w:hAnsi="仿宋_GB2312" w:cs="仿宋_GB2312"/>
          <w:b/>
          <w:bCs/>
          <w:color w:val="auto"/>
          <w:sz w:val="28"/>
          <w:szCs w:val="28"/>
          <w:highlight w:val="none"/>
        </w:rPr>
      </w:pPr>
    </w:p>
    <w:p>
      <w:pPr>
        <w:pStyle w:val="2"/>
        <w:jc w:val="both"/>
        <w:rPr>
          <w:rFonts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5.其他资料</w:t>
      </w:r>
      <w:bookmarkEnd w:id="147"/>
      <w:bookmarkEnd w:id="148"/>
      <w:bookmarkEnd w:id="149"/>
      <w:bookmarkEnd w:id="150"/>
    </w:p>
    <w:p>
      <w:pPr>
        <w:rPr>
          <w:color w:val="auto"/>
          <w:highlight w:val="none"/>
        </w:rPr>
      </w:pPr>
    </w:p>
    <w:sectPr>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Th+c0BAACo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ETh+c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5C79A"/>
    <w:multiLevelType w:val="singleLevel"/>
    <w:tmpl w:val="C1E5C79A"/>
    <w:lvl w:ilvl="0" w:tentative="0">
      <w:start w:val="1"/>
      <w:numFmt w:val="decimal"/>
      <w:suff w:val="nothing"/>
      <w:lvlText w:val="（%1）"/>
      <w:lvlJc w:val="left"/>
      <w:rPr>
        <w:rFonts w:hint="default" w:ascii="Times New Roman" w:hAnsi="Times New Roman" w:cs="Times New Roman"/>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E55B1F8"/>
    <w:multiLevelType w:val="singleLevel"/>
    <w:tmpl w:val="FE55B1F8"/>
    <w:lvl w:ilvl="0" w:tentative="0">
      <w:start w:val="1"/>
      <w:numFmt w:val="decimal"/>
      <w:suff w:val="nothing"/>
      <w:lvlText w:val="（%1）"/>
      <w:lvlJc w:val="left"/>
      <w:rPr>
        <w:rFonts w:hint="default" w:ascii="Times New Roman" w:hAnsi="Times New Roman" w:cs="Times New Roman"/>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20CC"/>
    <w:rsid w:val="0004215E"/>
    <w:rsid w:val="000B10F5"/>
    <w:rsid w:val="00136D98"/>
    <w:rsid w:val="0025445E"/>
    <w:rsid w:val="00260D5D"/>
    <w:rsid w:val="0026594C"/>
    <w:rsid w:val="002C10EC"/>
    <w:rsid w:val="002C71C3"/>
    <w:rsid w:val="00327EC7"/>
    <w:rsid w:val="0033335C"/>
    <w:rsid w:val="00353181"/>
    <w:rsid w:val="00381020"/>
    <w:rsid w:val="003C5B97"/>
    <w:rsid w:val="003D60BA"/>
    <w:rsid w:val="003E42E5"/>
    <w:rsid w:val="003E6D22"/>
    <w:rsid w:val="00411689"/>
    <w:rsid w:val="00526C18"/>
    <w:rsid w:val="005545EE"/>
    <w:rsid w:val="005C5D95"/>
    <w:rsid w:val="005D618A"/>
    <w:rsid w:val="006112CA"/>
    <w:rsid w:val="00624873"/>
    <w:rsid w:val="0066312A"/>
    <w:rsid w:val="007C26AE"/>
    <w:rsid w:val="007F5C0F"/>
    <w:rsid w:val="00890559"/>
    <w:rsid w:val="00911ECD"/>
    <w:rsid w:val="009178BF"/>
    <w:rsid w:val="00992BEC"/>
    <w:rsid w:val="009A7E51"/>
    <w:rsid w:val="009B0023"/>
    <w:rsid w:val="009B139D"/>
    <w:rsid w:val="00A042E0"/>
    <w:rsid w:val="00B26BB1"/>
    <w:rsid w:val="00B26E21"/>
    <w:rsid w:val="00B6167D"/>
    <w:rsid w:val="00B93B6B"/>
    <w:rsid w:val="00CA6813"/>
    <w:rsid w:val="00D52C84"/>
    <w:rsid w:val="00D57B99"/>
    <w:rsid w:val="00D92789"/>
    <w:rsid w:val="00E864EC"/>
    <w:rsid w:val="00E86FC3"/>
    <w:rsid w:val="00EB5939"/>
    <w:rsid w:val="00F74C49"/>
    <w:rsid w:val="00F83B64"/>
    <w:rsid w:val="00F94CF3"/>
    <w:rsid w:val="00F9588C"/>
    <w:rsid w:val="02090C75"/>
    <w:rsid w:val="025C0815"/>
    <w:rsid w:val="028D2F0A"/>
    <w:rsid w:val="029317CE"/>
    <w:rsid w:val="02A23A3C"/>
    <w:rsid w:val="02EF7F4B"/>
    <w:rsid w:val="03AC246A"/>
    <w:rsid w:val="03B23056"/>
    <w:rsid w:val="03DC3EBA"/>
    <w:rsid w:val="03F9794D"/>
    <w:rsid w:val="046A2461"/>
    <w:rsid w:val="04D103D0"/>
    <w:rsid w:val="06C64829"/>
    <w:rsid w:val="077D16D2"/>
    <w:rsid w:val="08675FC8"/>
    <w:rsid w:val="08973F4D"/>
    <w:rsid w:val="08A62E80"/>
    <w:rsid w:val="08AD2D42"/>
    <w:rsid w:val="09AA53A6"/>
    <w:rsid w:val="09B713FD"/>
    <w:rsid w:val="09E51F11"/>
    <w:rsid w:val="09EF6ACC"/>
    <w:rsid w:val="0A315056"/>
    <w:rsid w:val="0AC31848"/>
    <w:rsid w:val="0AFB45AD"/>
    <w:rsid w:val="0B351E9B"/>
    <w:rsid w:val="0B4B0655"/>
    <w:rsid w:val="0B4C50D3"/>
    <w:rsid w:val="0B602BA5"/>
    <w:rsid w:val="0B806B92"/>
    <w:rsid w:val="0B827E94"/>
    <w:rsid w:val="0BD070E1"/>
    <w:rsid w:val="0C247926"/>
    <w:rsid w:val="0C3479A0"/>
    <w:rsid w:val="0C8555C0"/>
    <w:rsid w:val="0CF90255"/>
    <w:rsid w:val="0D285EA7"/>
    <w:rsid w:val="0D794204"/>
    <w:rsid w:val="0E2125D1"/>
    <w:rsid w:val="0E214211"/>
    <w:rsid w:val="0E42096E"/>
    <w:rsid w:val="0E5F2769"/>
    <w:rsid w:val="0E673BBE"/>
    <w:rsid w:val="0EA040A4"/>
    <w:rsid w:val="0EC05C09"/>
    <w:rsid w:val="0F015689"/>
    <w:rsid w:val="0F4D75A3"/>
    <w:rsid w:val="0F5B2DCA"/>
    <w:rsid w:val="0FED051E"/>
    <w:rsid w:val="0FEE4C29"/>
    <w:rsid w:val="10046082"/>
    <w:rsid w:val="10E207DB"/>
    <w:rsid w:val="10FB1275"/>
    <w:rsid w:val="111A11E6"/>
    <w:rsid w:val="112B101A"/>
    <w:rsid w:val="119B53FC"/>
    <w:rsid w:val="11CB59CA"/>
    <w:rsid w:val="12424CDC"/>
    <w:rsid w:val="12725761"/>
    <w:rsid w:val="1281290B"/>
    <w:rsid w:val="129A2738"/>
    <w:rsid w:val="12B56BF1"/>
    <w:rsid w:val="12CB1A89"/>
    <w:rsid w:val="131840FB"/>
    <w:rsid w:val="13467417"/>
    <w:rsid w:val="136E76CF"/>
    <w:rsid w:val="13B978EF"/>
    <w:rsid w:val="15360C44"/>
    <w:rsid w:val="15395C20"/>
    <w:rsid w:val="1599103B"/>
    <w:rsid w:val="15BC6B3C"/>
    <w:rsid w:val="16360323"/>
    <w:rsid w:val="16545370"/>
    <w:rsid w:val="1694429A"/>
    <w:rsid w:val="17635326"/>
    <w:rsid w:val="18236EFD"/>
    <w:rsid w:val="184E2006"/>
    <w:rsid w:val="188B0664"/>
    <w:rsid w:val="189D5B1F"/>
    <w:rsid w:val="18A34CD0"/>
    <w:rsid w:val="19085434"/>
    <w:rsid w:val="19955C05"/>
    <w:rsid w:val="19B64DBC"/>
    <w:rsid w:val="19DB5B07"/>
    <w:rsid w:val="1A373ACF"/>
    <w:rsid w:val="1A895341"/>
    <w:rsid w:val="1ACC3590"/>
    <w:rsid w:val="1B0D071F"/>
    <w:rsid w:val="1B1F0BD1"/>
    <w:rsid w:val="1B4568CE"/>
    <w:rsid w:val="1B4E4243"/>
    <w:rsid w:val="1B754A9E"/>
    <w:rsid w:val="1B7C06B6"/>
    <w:rsid w:val="1B9015B7"/>
    <w:rsid w:val="1B911F03"/>
    <w:rsid w:val="1CF7390C"/>
    <w:rsid w:val="1D5A79EE"/>
    <w:rsid w:val="1E0E2CD0"/>
    <w:rsid w:val="1E3217FE"/>
    <w:rsid w:val="1E664CC0"/>
    <w:rsid w:val="1E831280"/>
    <w:rsid w:val="1EBC4704"/>
    <w:rsid w:val="1F172EB5"/>
    <w:rsid w:val="1F1C21C7"/>
    <w:rsid w:val="1F894521"/>
    <w:rsid w:val="1F94592D"/>
    <w:rsid w:val="1FB860DE"/>
    <w:rsid w:val="200C01F2"/>
    <w:rsid w:val="203C5A02"/>
    <w:rsid w:val="209D4C94"/>
    <w:rsid w:val="20E84705"/>
    <w:rsid w:val="216C12A0"/>
    <w:rsid w:val="218400BA"/>
    <w:rsid w:val="21AB1E2F"/>
    <w:rsid w:val="21D40498"/>
    <w:rsid w:val="21DB304A"/>
    <w:rsid w:val="21E16DF7"/>
    <w:rsid w:val="22435F75"/>
    <w:rsid w:val="22767047"/>
    <w:rsid w:val="2399765C"/>
    <w:rsid w:val="23A05588"/>
    <w:rsid w:val="24171B1F"/>
    <w:rsid w:val="24740219"/>
    <w:rsid w:val="250D3FD7"/>
    <w:rsid w:val="25431AEB"/>
    <w:rsid w:val="25BF43FD"/>
    <w:rsid w:val="25F86BCD"/>
    <w:rsid w:val="269E416A"/>
    <w:rsid w:val="26F4722E"/>
    <w:rsid w:val="272100D3"/>
    <w:rsid w:val="272C72FC"/>
    <w:rsid w:val="27E5430E"/>
    <w:rsid w:val="27EB149D"/>
    <w:rsid w:val="27FD3E52"/>
    <w:rsid w:val="281227E7"/>
    <w:rsid w:val="289E29C9"/>
    <w:rsid w:val="28B6189B"/>
    <w:rsid w:val="28E11370"/>
    <w:rsid w:val="294A756A"/>
    <w:rsid w:val="29D5322D"/>
    <w:rsid w:val="2A025DD9"/>
    <w:rsid w:val="2A7C2231"/>
    <w:rsid w:val="2ABB753D"/>
    <w:rsid w:val="2B067FE7"/>
    <w:rsid w:val="2B2349EC"/>
    <w:rsid w:val="2B7A49FA"/>
    <w:rsid w:val="2C2C44DC"/>
    <w:rsid w:val="2C615D26"/>
    <w:rsid w:val="2CB679ED"/>
    <w:rsid w:val="2CC41DC4"/>
    <w:rsid w:val="2D003D18"/>
    <w:rsid w:val="2D173C07"/>
    <w:rsid w:val="2D424A86"/>
    <w:rsid w:val="2D4840FA"/>
    <w:rsid w:val="2D4D6841"/>
    <w:rsid w:val="2DA018F8"/>
    <w:rsid w:val="2E7B52DB"/>
    <w:rsid w:val="2EE711F4"/>
    <w:rsid w:val="2F324CFE"/>
    <w:rsid w:val="2F6F1970"/>
    <w:rsid w:val="2FBA09F1"/>
    <w:rsid w:val="2FEF2ACF"/>
    <w:rsid w:val="30540211"/>
    <w:rsid w:val="30D56933"/>
    <w:rsid w:val="312D7741"/>
    <w:rsid w:val="316C70D9"/>
    <w:rsid w:val="316F137F"/>
    <w:rsid w:val="31DF525F"/>
    <w:rsid w:val="32324C2E"/>
    <w:rsid w:val="3253472A"/>
    <w:rsid w:val="325662EC"/>
    <w:rsid w:val="327171DF"/>
    <w:rsid w:val="32C679B3"/>
    <w:rsid w:val="33083EC9"/>
    <w:rsid w:val="331623E5"/>
    <w:rsid w:val="341E3434"/>
    <w:rsid w:val="356078CC"/>
    <w:rsid w:val="356A6155"/>
    <w:rsid w:val="36042147"/>
    <w:rsid w:val="360B7EBA"/>
    <w:rsid w:val="369C32FD"/>
    <w:rsid w:val="36EA51C2"/>
    <w:rsid w:val="37666E72"/>
    <w:rsid w:val="38167A04"/>
    <w:rsid w:val="38A20D1B"/>
    <w:rsid w:val="38AC4572"/>
    <w:rsid w:val="39135C34"/>
    <w:rsid w:val="394B167A"/>
    <w:rsid w:val="399C4F4F"/>
    <w:rsid w:val="3A4E4336"/>
    <w:rsid w:val="3A6007FE"/>
    <w:rsid w:val="3AD52EC9"/>
    <w:rsid w:val="3AD64C3E"/>
    <w:rsid w:val="3B7C2CE4"/>
    <w:rsid w:val="3BD61660"/>
    <w:rsid w:val="3C0B5355"/>
    <w:rsid w:val="3CD4176B"/>
    <w:rsid w:val="3D1F44D9"/>
    <w:rsid w:val="3D5C38CD"/>
    <w:rsid w:val="3E5070F1"/>
    <w:rsid w:val="3EC87949"/>
    <w:rsid w:val="3F2D72BA"/>
    <w:rsid w:val="3F6C3589"/>
    <w:rsid w:val="3F6D2A59"/>
    <w:rsid w:val="3F850180"/>
    <w:rsid w:val="3F9004D6"/>
    <w:rsid w:val="400E4D5E"/>
    <w:rsid w:val="405948ED"/>
    <w:rsid w:val="40E1138C"/>
    <w:rsid w:val="413814BA"/>
    <w:rsid w:val="41872511"/>
    <w:rsid w:val="42031BED"/>
    <w:rsid w:val="42466655"/>
    <w:rsid w:val="42AF7651"/>
    <w:rsid w:val="42C82F57"/>
    <w:rsid w:val="42E24C14"/>
    <w:rsid w:val="43107AF6"/>
    <w:rsid w:val="433F2681"/>
    <w:rsid w:val="43C76AF7"/>
    <w:rsid w:val="446828F0"/>
    <w:rsid w:val="44A35016"/>
    <w:rsid w:val="44ED09AB"/>
    <w:rsid w:val="456F1252"/>
    <w:rsid w:val="45C13B4D"/>
    <w:rsid w:val="46054BCA"/>
    <w:rsid w:val="464C6AFC"/>
    <w:rsid w:val="468B0091"/>
    <w:rsid w:val="46A107C3"/>
    <w:rsid w:val="46B15CE2"/>
    <w:rsid w:val="46BE113D"/>
    <w:rsid w:val="46E44B13"/>
    <w:rsid w:val="4703508A"/>
    <w:rsid w:val="4708419D"/>
    <w:rsid w:val="4723076D"/>
    <w:rsid w:val="472C0368"/>
    <w:rsid w:val="475023F8"/>
    <w:rsid w:val="479D361E"/>
    <w:rsid w:val="47B74789"/>
    <w:rsid w:val="480F2B9D"/>
    <w:rsid w:val="48282920"/>
    <w:rsid w:val="485321E0"/>
    <w:rsid w:val="48546AD3"/>
    <w:rsid w:val="48CA4868"/>
    <w:rsid w:val="48F005D3"/>
    <w:rsid w:val="496C6FEF"/>
    <w:rsid w:val="498F4AF1"/>
    <w:rsid w:val="499D647F"/>
    <w:rsid w:val="49C05787"/>
    <w:rsid w:val="49CF518D"/>
    <w:rsid w:val="4ADA1F63"/>
    <w:rsid w:val="4AE23D89"/>
    <w:rsid w:val="4B2038D0"/>
    <w:rsid w:val="4B296E7D"/>
    <w:rsid w:val="4B752FDA"/>
    <w:rsid w:val="4B877F28"/>
    <w:rsid w:val="4C490FDD"/>
    <w:rsid w:val="4C946DB1"/>
    <w:rsid w:val="4D916BA6"/>
    <w:rsid w:val="4DC44169"/>
    <w:rsid w:val="4E8B4C76"/>
    <w:rsid w:val="4EF0709E"/>
    <w:rsid w:val="4F235FD6"/>
    <w:rsid w:val="4FF05EC6"/>
    <w:rsid w:val="512567E1"/>
    <w:rsid w:val="513C6A7B"/>
    <w:rsid w:val="515824DB"/>
    <w:rsid w:val="518B6458"/>
    <w:rsid w:val="522B1D49"/>
    <w:rsid w:val="525C33C2"/>
    <w:rsid w:val="53121110"/>
    <w:rsid w:val="5333545B"/>
    <w:rsid w:val="5450213C"/>
    <w:rsid w:val="54B45683"/>
    <w:rsid w:val="54D24048"/>
    <w:rsid w:val="54D64CD5"/>
    <w:rsid w:val="54D8144A"/>
    <w:rsid w:val="54F90661"/>
    <w:rsid w:val="55686663"/>
    <w:rsid w:val="55887D69"/>
    <w:rsid w:val="55DC1078"/>
    <w:rsid w:val="561A0928"/>
    <w:rsid w:val="56423872"/>
    <w:rsid w:val="56B279F0"/>
    <w:rsid w:val="579D710E"/>
    <w:rsid w:val="57A82048"/>
    <w:rsid w:val="581F22F6"/>
    <w:rsid w:val="586E1E17"/>
    <w:rsid w:val="58862C35"/>
    <w:rsid w:val="58A3497C"/>
    <w:rsid w:val="58C14957"/>
    <w:rsid w:val="5AB86A9A"/>
    <w:rsid w:val="5AE83A50"/>
    <w:rsid w:val="5BA92BDA"/>
    <w:rsid w:val="5BAB2917"/>
    <w:rsid w:val="5BE63D7F"/>
    <w:rsid w:val="5BFC33FA"/>
    <w:rsid w:val="5C3107A4"/>
    <w:rsid w:val="5C3B1B93"/>
    <w:rsid w:val="5C9220DF"/>
    <w:rsid w:val="5C9E704B"/>
    <w:rsid w:val="5CBF5943"/>
    <w:rsid w:val="5D066393"/>
    <w:rsid w:val="5D4A15F3"/>
    <w:rsid w:val="5D595860"/>
    <w:rsid w:val="5D69542A"/>
    <w:rsid w:val="5E0930EF"/>
    <w:rsid w:val="5E15492B"/>
    <w:rsid w:val="5E3D4D53"/>
    <w:rsid w:val="5E4717E6"/>
    <w:rsid w:val="5E55774C"/>
    <w:rsid w:val="5E9F0F96"/>
    <w:rsid w:val="5F5F02A1"/>
    <w:rsid w:val="5FB37CD1"/>
    <w:rsid w:val="60104DDC"/>
    <w:rsid w:val="605C0804"/>
    <w:rsid w:val="607E0AFA"/>
    <w:rsid w:val="60D05C4C"/>
    <w:rsid w:val="6189617B"/>
    <w:rsid w:val="61B52BB6"/>
    <w:rsid w:val="61B749C2"/>
    <w:rsid w:val="62280D20"/>
    <w:rsid w:val="62CA2457"/>
    <w:rsid w:val="6318356B"/>
    <w:rsid w:val="638240A1"/>
    <w:rsid w:val="63A5257B"/>
    <w:rsid w:val="63BD3DCC"/>
    <w:rsid w:val="63C56605"/>
    <w:rsid w:val="63C61741"/>
    <w:rsid w:val="63FA6365"/>
    <w:rsid w:val="6452167D"/>
    <w:rsid w:val="64560967"/>
    <w:rsid w:val="64865E99"/>
    <w:rsid w:val="653C68F4"/>
    <w:rsid w:val="656B1D10"/>
    <w:rsid w:val="66022B28"/>
    <w:rsid w:val="66581E87"/>
    <w:rsid w:val="66FA11D5"/>
    <w:rsid w:val="674302C7"/>
    <w:rsid w:val="67B11F87"/>
    <w:rsid w:val="67B41A91"/>
    <w:rsid w:val="680A5986"/>
    <w:rsid w:val="680D5F4B"/>
    <w:rsid w:val="68113F51"/>
    <w:rsid w:val="688D5C0C"/>
    <w:rsid w:val="68E94770"/>
    <w:rsid w:val="68F949C9"/>
    <w:rsid w:val="69352C1B"/>
    <w:rsid w:val="69474182"/>
    <w:rsid w:val="695A4290"/>
    <w:rsid w:val="69805989"/>
    <w:rsid w:val="6A334932"/>
    <w:rsid w:val="6A3353FF"/>
    <w:rsid w:val="6A5D63E6"/>
    <w:rsid w:val="6A5F24D1"/>
    <w:rsid w:val="6AE347EB"/>
    <w:rsid w:val="6B434AF0"/>
    <w:rsid w:val="6B57675A"/>
    <w:rsid w:val="6BDD1170"/>
    <w:rsid w:val="6BDD7B4D"/>
    <w:rsid w:val="6BF43468"/>
    <w:rsid w:val="6C72227A"/>
    <w:rsid w:val="6DDA6675"/>
    <w:rsid w:val="6E046996"/>
    <w:rsid w:val="6E4520A4"/>
    <w:rsid w:val="6EBC0B3A"/>
    <w:rsid w:val="6EF51C7D"/>
    <w:rsid w:val="6F1212B7"/>
    <w:rsid w:val="6F8363E5"/>
    <w:rsid w:val="6FC746F5"/>
    <w:rsid w:val="6FE17F6F"/>
    <w:rsid w:val="70317AC6"/>
    <w:rsid w:val="70863262"/>
    <w:rsid w:val="70A76ED3"/>
    <w:rsid w:val="717B4387"/>
    <w:rsid w:val="71860B17"/>
    <w:rsid w:val="723B27CC"/>
    <w:rsid w:val="72687227"/>
    <w:rsid w:val="72A03FD9"/>
    <w:rsid w:val="73145551"/>
    <w:rsid w:val="73180CD7"/>
    <w:rsid w:val="733C1078"/>
    <w:rsid w:val="73406CFF"/>
    <w:rsid w:val="7383028C"/>
    <w:rsid w:val="73A25E44"/>
    <w:rsid w:val="741F68CF"/>
    <w:rsid w:val="748C5CBD"/>
    <w:rsid w:val="75252DF3"/>
    <w:rsid w:val="75621536"/>
    <w:rsid w:val="75BF3154"/>
    <w:rsid w:val="764A07CF"/>
    <w:rsid w:val="764F6B3D"/>
    <w:rsid w:val="769377B6"/>
    <w:rsid w:val="76CD2B7B"/>
    <w:rsid w:val="76D80645"/>
    <w:rsid w:val="76E03371"/>
    <w:rsid w:val="776A27F1"/>
    <w:rsid w:val="780E5898"/>
    <w:rsid w:val="782642CC"/>
    <w:rsid w:val="78561DF5"/>
    <w:rsid w:val="7894095E"/>
    <w:rsid w:val="78F55E4D"/>
    <w:rsid w:val="79000679"/>
    <w:rsid w:val="79A416F0"/>
    <w:rsid w:val="79B03EB6"/>
    <w:rsid w:val="79B63A30"/>
    <w:rsid w:val="7A155AD2"/>
    <w:rsid w:val="7A161E3A"/>
    <w:rsid w:val="7AF37579"/>
    <w:rsid w:val="7AF87F64"/>
    <w:rsid w:val="7B1C0C84"/>
    <w:rsid w:val="7B5A62DF"/>
    <w:rsid w:val="7B7A04A8"/>
    <w:rsid w:val="7BCC36FE"/>
    <w:rsid w:val="7C05186B"/>
    <w:rsid w:val="7C0C3F6D"/>
    <w:rsid w:val="7C22163C"/>
    <w:rsid w:val="7C595075"/>
    <w:rsid w:val="7C6B07B2"/>
    <w:rsid w:val="7D133243"/>
    <w:rsid w:val="7E394207"/>
    <w:rsid w:val="7E4007A2"/>
    <w:rsid w:val="7E6253E3"/>
    <w:rsid w:val="7E791CAD"/>
    <w:rsid w:val="7EA50DFB"/>
    <w:rsid w:val="7EC86878"/>
    <w:rsid w:val="7EE1539B"/>
    <w:rsid w:val="7F1059EE"/>
    <w:rsid w:val="7F16390D"/>
    <w:rsid w:val="7F752917"/>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Char"/>
    <w:basedOn w:val="1"/>
    <w:qFormat/>
    <w:uiPriority w:val="0"/>
    <w:pPr>
      <w:spacing w:line="480" w:lineRule="exact"/>
    </w:pPr>
    <w:rPr>
      <w:sz w:val="24"/>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表格文字"/>
    <w:basedOn w:val="1"/>
    <w:next w:val="8"/>
    <w:qFormat/>
    <w:uiPriority w:val="0"/>
    <w:pPr>
      <w:jc w:val="left"/>
    </w:pPr>
    <w:rPr>
      <w:bCs/>
      <w:spacing w:val="10"/>
      <w:kern w:val="0"/>
      <w:sz w:val="24"/>
      <w:szCs w:val="20"/>
    </w:rPr>
  </w:style>
  <w:style w:type="character" w:customStyle="1" w:styleId="48">
    <w:name w:val="font41"/>
    <w:basedOn w:val="25"/>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28495</Words>
  <Characters>30284</Characters>
  <Lines>193</Lines>
  <Paragraphs>54</Paragraphs>
  <TotalTime>1</TotalTime>
  <ScaleCrop>false</ScaleCrop>
  <LinksUpToDate>false</LinksUpToDate>
  <CharactersWithSpaces>31367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2022-06-30T01:05:00Z</dcterms:created>
  <dc:creator>陈义春</dc:creator>
  <cp:lastModifiedBy>刘琳</cp:lastModifiedBy>
  <cp:lastPrinted>2022-09-13T03:44:00Z</cp:lastPrinted>
  <dcterms:modified xsi:type="dcterms:W3CDTF">2022-09-22T02:25:24Z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611D24170ACB414D891FA11C3A2CC218</vt:lpwstr>
  </property>
</Properties>
</file>