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广州市净水有限公司江高分公司非统筹流量计校准项目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询价</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玖</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4275"/>
      <w:bookmarkStart w:id="5" w:name="_Toc19609"/>
      <w:bookmarkStart w:id="6" w:name="_Toc1669"/>
      <w:bookmarkStart w:id="7" w:name="_Toc31938"/>
      <w:bookmarkStart w:id="8" w:name="_Toc11322"/>
      <w:bookmarkStart w:id="9" w:name="_Toc17801"/>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江高分公司非统筹流量计校准项目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江高分公司非统筹流量计校准项目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47124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32个流量计校准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合同签订至2023年12月31日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广州州市白云区江高镇南岗村南贤路1号江高分公司 </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服务质量要求或服务标准如下：所有的服务价格包括了校准所需车辆、人员、工具、仪器、物料、运输保存、校准、证书出具、下厂费、外包单位下厂费等的全部费用</w:t>
      </w:r>
      <w:r>
        <w:rPr>
          <w:rFonts w:hint="eastAsia" w:ascii="仿宋_GB2312" w:eastAsia="仿宋_GB2312"/>
          <w:color w:val="auto"/>
          <w:sz w:val="28"/>
          <w:szCs w:val="28"/>
          <w:highlight w:val="none"/>
          <w:u w:val="single"/>
          <w:lang w:eastAsia="zh-CN"/>
        </w:rPr>
        <w:t>；依据国家相关技术规程，运用专业技术知识、技术经验对甲方指定计量器具进行校准，出具校准证书；</w:t>
      </w:r>
      <w:r>
        <w:rPr>
          <w:rFonts w:hint="eastAsia" w:ascii="仿宋_GB2312" w:eastAsia="仿宋_GB2312"/>
          <w:color w:val="auto"/>
          <w:sz w:val="28"/>
          <w:szCs w:val="28"/>
          <w:highlight w:val="none"/>
          <w:u w:val="single"/>
        </w:rPr>
        <w:t xml:space="preserve">若因现场条件无法满足校准工作的，不出具任何形式的证书和说明，不收取相关费用。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乙方自觉遵守甲方管理单位安全生产相关的管理制度，承担安全主体责任。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实验室计量校准认证资质（CNAS）所认证的校准能力必须包含本项目中所要求的校准项目的</w:t>
      </w:r>
      <w:r>
        <w:rPr>
          <w:rFonts w:hint="eastAsia" w:ascii="仿宋_GB2312" w:eastAsia="仿宋_GB2312"/>
          <w:color w:val="auto"/>
          <w:sz w:val="28"/>
          <w:szCs w:val="28"/>
          <w:highlight w:val="none"/>
          <w:u w:val="single"/>
          <w:lang w:val="en-US" w:eastAsia="zh-CN"/>
        </w:rPr>
        <w:t>流量计</w:t>
      </w:r>
      <w:r>
        <w:rPr>
          <w:rFonts w:hint="eastAsia" w:ascii="仿宋_GB2312" w:eastAsia="仿宋_GB2312"/>
          <w:color w:val="auto"/>
          <w:sz w:val="28"/>
          <w:szCs w:val="28"/>
          <w:highlight w:val="none"/>
          <w:u w:val="single"/>
        </w:rPr>
        <w:t>且在有效期内，并能出具CNAS校准证书</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相关校准</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w:t>
      </w:r>
      <w:bookmarkStart w:id="160" w:name="_GoBack"/>
      <w:bookmarkEnd w:id="160"/>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rPr>
        <w:t>供应商可</w:t>
      </w:r>
      <w:r>
        <w:rPr>
          <w:rFonts w:hint="eastAsia" w:ascii="仿宋_GB2312" w:hAnsi="仿宋" w:eastAsia="仿宋_GB2312" w:cs="仿宋_GB2312"/>
          <w:color w:val="000000" w:themeColor="text1"/>
          <w:sz w:val="28"/>
          <w:szCs w:val="28"/>
          <w:lang w:val="zh-CN"/>
        </w:rPr>
        <w:t>自行</w:t>
      </w:r>
      <w:r>
        <w:rPr>
          <w:rFonts w:hint="eastAsia" w:ascii="仿宋_GB2312" w:hAnsi="仿宋" w:eastAsia="仿宋_GB2312" w:cs="仿宋_GB2312"/>
          <w:color w:val="000000" w:themeColor="text1"/>
          <w:sz w:val="28"/>
          <w:szCs w:val="28"/>
          <w:lang w:val="en-US" w:eastAsia="zh-CN"/>
        </w:rPr>
        <w:t>选择是否前往现场踏勘</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lang w:val="zh-CN"/>
        </w:rPr>
        <w:t>。</w:t>
      </w:r>
    </w:p>
    <w:p>
      <w:pPr>
        <w:adjustRightInd w:val="0"/>
        <w:snapToGrid w:val="0"/>
        <w:spacing w:line="360" w:lineRule="auto"/>
        <w:rPr>
          <w:rFonts w:hint="eastAsia"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防疫要求：基于疫情防控形势，授权委托人须通过“广州净水公司”微信公众号当天（提前）预约，填写访客预约信息。</w:t>
      </w:r>
    </w:p>
    <w:p>
      <w:pPr>
        <w:pStyle w:val="21"/>
        <w:spacing w:line="360" w:lineRule="auto"/>
        <w:ind w:firstLine="0"/>
        <w:rPr>
          <w:rFonts w:hint="default" w:ascii="仿宋_GB2312" w:eastAsia="仿宋_GB2312" w:hAnsiTheme="minorHAnsi" w:cstheme="minorBidi"/>
          <w:color w:val="auto"/>
          <w:kern w:val="2"/>
          <w:sz w:val="28"/>
          <w:szCs w:val="28"/>
          <w:highlight w:val="none"/>
          <w:u w:val="singl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r>
        <w:rPr>
          <w:rFonts w:hint="eastAsia" w:ascii="仿宋_GB2312" w:eastAsia="仿宋_GB2312" w:hAnsiTheme="minorHAnsi" w:cstheme="minorBidi"/>
          <w:color w:val="auto"/>
          <w:kern w:val="2"/>
          <w:sz w:val="28"/>
          <w:szCs w:val="28"/>
          <w:highlight w:val="none"/>
          <w:u w:val="single"/>
          <w:lang w:val="en-US"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hAnsiTheme="minorHAnsi"/>
          <w:color w:val="auto"/>
          <w:sz w:val="28"/>
          <w:szCs w:val="28"/>
          <w:highlight w:val="none"/>
          <w:u w:val="single"/>
        </w:rPr>
        <w:t xml:space="preserve"> </w:t>
      </w:r>
      <w:r>
        <w:rPr>
          <w:rFonts w:hint="eastAsia" w:ascii="仿宋_GB2312" w:eastAsia="仿宋_GB2312" w:hAnsiTheme="minorHAnsi"/>
          <w:color w:val="auto"/>
          <w:sz w:val="28"/>
          <w:szCs w:val="28"/>
          <w:highlight w:val="none"/>
          <w:u w:val="none"/>
        </w:rPr>
        <w:t xml:space="preserve">   </w:t>
      </w:r>
    </w:p>
    <w:p>
      <w:pPr>
        <w:pStyle w:val="21"/>
        <w:adjustRightInd w:val="0"/>
        <w:snapToGrid w:val="0"/>
        <w:spacing w:line="360" w:lineRule="auto"/>
        <w:ind w:firstLine="0" w:firstLineChars="0"/>
        <w:rPr>
          <w:rFonts w:hint="default" w:ascii="仿宋_GB2312" w:eastAsia="仿宋_GB2312" w:hAnsiTheme="minorHAnsi"/>
          <w:color w:val="auto"/>
          <w:sz w:val="28"/>
          <w:szCs w:val="28"/>
          <w:highlight w:val="none"/>
          <w:u w:val="singl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hAnsiTheme="minorHAnsi"/>
          <w:color w:val="auto"/>
          <w:sz w:val="28"/>
          <w:szCs w:val="28"/>
          <w:highlight w:val="none"/>
          <w:u w:val="single"/>
        </w:rPr>
        <w:t xml:space="preserve"> </w:t>
      </w:r>
      <w:r>
        <w:rPr>
          <w:rFonts w:hint="eastAsia" w:ascii="仿宋_GB2312" w:eastAsia="仿宋_GB2312" w:hAnsiTheme="minorHAnsi"/>
          <w:color w:val="auto"/>
          <w:sz w:val="28"/>
          <w:szCs w:val="28"/>
          <w:highlight w:val="none"/>
          <w:u w:val="none"/>
        </w:rPr>
        <w:t xml:space="preserve">   </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hAnsiTheme="minorHAnsi"/>
          <w:color w:val="auto"/>
          <w:sz w:val="28"/>
          <w:szCs w:val="28"/>
          <w:highlight w:val="none"/>
          <w:u w:val="single"/>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14时30分至</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广州州市白云区江高镇南岗村南贤路1号江高分公司</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48小时内的核酸检测证明）。待被访部室审核员审批通过后，凭访客手机生成的“通行访客码”通行。于门岗处测温并扫码填写调查问卷，手机显示问卷“提交成功”后方可进入厂区。</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响应文件递交预约信息填写（踏勘现场除外）：</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（2）“组织”选择“江高分公司”，“部门”选择“生产部”。</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（3）“被访人员”写“林泽帆”，“手机号”写“13794355939”。</w:t>
      </w:r>
    </w:p>
    <w:p>
      <w:pPr>
        <w:pStyle w:val="21"/>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（4）“详细描述”一定要写清楚找哪位同事，例如：找李XX，开会。    或：找黄XX，进行“某某某某项目询价”。</w:t>
      </w:r>
    </w:p>
    <w:p>
      <w:pPr>
        <w:pStyle w:val="21"/>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广州州市白云区江高镇南岗村南贤路1号江高分公司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林泽帆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13794355939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31"/>
      <w:bookmarkStart w:id="15" w:name="_Toc25603"/>
      <w:bookmarkStart w:id="16" w:name="_Toc23749"/>
      <w:bookmarkStart w:id="17" w:name="_Toc2324"/>
      <w:bookmarkStart w:id="18" w:name="_Toc19295"/>
      <w:bookmarkStart w:id="19" w:name="_Toc7340"/>
      <w:bookmarkStart w:id="20" w:name="_Toc16557"/>
      <w:bookmarkStart w:id="21" w:name="_Toc16705"/>
      <w:bookmarkStart w:id="22" w:name="_Toc9448"/>
      <w:bookmarkStart w:id="23" w:name="_Toc32588"/>
    </w:p>
    <w:p>
      <w:pPr>
        <w:pStyle w:val="3"/>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8209934"/>
      <w:bookmarkStart w:id="29" w:name="_Toc7040"/>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广州市白云区江高镇南岗村南贤路1号江高南方公司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cyan"/>
              </w:rPr>
            </w:pPr>
            <w:r>
              <w:rPr>
                <w:rFonts w:hint="eastAsia" w:ascii="仿宋_GB2312" w:eastAsia="仿宋_GB2312" w:hAnsiTheme="minorEastAsia"/>
                <w:color w:val="auto"/>
                <w:sz w:val="24"/>
                <w:szCs w:val="24"/>
                <w:highlight w:val="cyan"/>
              </w:rPr>
              <w:sym w:font="Wingdings 2" w:char="0052"/>
            </w:r>
            <w:r>
              <w:rPr>
                <w:rFonts w:hint="eastAsia" w:ascii="仿宋_GB2312" w:eastAsia="仿宋_GB2312" w:hAnsiTheme="minorEastAsia"/>
                <w:color w:val="auto"/>
                <w:sz w:val="24"/>
                <w:szCs w:val="24"/>
                <w:highlight w:val="cyan"/>
              </w:rPr>
              <w:t>采购人确定满足采购文件</w:t>
            </w:r>
            <w:r>
              <w:rPr>
                <w:rFonts w:hint="eastAsia" w:ascii="仿宋_GB2312" w:eastAsia="仿宋_GB2312" w:hAnsiTheme="minorEastAsia"/>
                <w:color w:val="auto"/>
                <w:sz w:val="24"/>
                <w:szCs w:val="24"/>
                <w:highlight w:val="cyan"/>
                <w:lang w:val="en-US" w:eastAsia="zh-CN"/>
              </w:rPr>
              <w:t>资格性、响应性</w:t>
            </w:r>
            <w:r>
              <w:rPr>
                <w:rFonts w:hint="eastAsia" w:ascii="仿宋_GB2312" w:eastAsia="仿宋_GB2312" w:hAnsiTheme="minorEastAsia"/>
                <w:color w:val="auto"/>
                <w:sz w:val="24"/>
                <w:szCs w:val="24"/>
                <w:highlight w:val="cyan"/>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cyan"/>
              </w:rPr>
              <w:sym w:font="Wingdings 2" w:char="00A3"/>
            </w:r>
            <w:r>
              <w:rPr>
                <w:rFonts w:hint="eastAsia" w:ascii="仿宋_GB2312" w:eastAsia="仿宋_GB2312" w:hAnsiTheme="minorEastAsia"/>
                <w:color w:val="auto"/>
                <w:sz w:val="24"/>
                <w:szCs w:val="24"/>
                <w:highlight w:val="cyan"/>
              </w:rPr>
              <w:t>评审小组按照采购文件确定的标准排序，采购人确定排名第一的供应商为成交供应商</w:t>
            </w:r>
            <w:r>
              <w:rPr>
                <w:rFonts w:hint="eastAsia" w:ascii="仿宋_GB2312" w:eastAsia="仿宋_GB2312" w:hAnsiTheme="minorEastAsia"/>
                <w:color w:val="auto"/>
                <w:sz w:val="24"/>
                <w:szCs w:val="24"/>
                <w:highlight w:val="cyan"/>
                <w:lang w:eastAsia="zh-CN"/>
              </w:rPr>
              <w:t>。</w:t>
            </w:r>
            <w:r>
              <w:rPr>
                <w:rFonts w:hint="eastAsia" w:ascii="仿宋_GB2312" w:eastAsia="仿宋_GB2312" w:hAnsiTheme="minorEastAsia"/>
                <w:color w:val="auto"/>
                <w:sz w:val="24"/>
                <w:szCs w:val="24"/>
                <w:highlight w:val="cyan"/>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23581"/>
      <w:bookmarkStart w:id="35" w:name="_Toc19759"/>
      <w:bookmarkStart w:id="36" w:name="_Toc19050"/>
      <w:bookmarkStart w:id="37" w:name="_Toc20594"/>
      <w:bookmarkStart w:id="38" w:name="_Toc7437"/>
      <w:bookmarkStart w:id="39" w:name="_Toc14870"/>
      <w:bookmarkStart w:id="40" w:name="_Toc3156"/>
      <w:bookmarkStart w:id="41" w:name="_Toc14552"/>
      <w:bookmarkStart w:id="42" w:name="_Toc10930"/>
      <w:bookmarkStart w:id="43" w:name="_Toc4952"/>
      <w:bookmarkStart w:id="44" w:name="_Toc7118"/>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6308"/>
      <w:bookmarkStart w:id="46" w:name="_Toc29484"/>
      <w:bookmarkStart w:id="47" w:name="_Toc87616378"/>
      <w:bookmarkStart w:id="48" w:name="_Toc12177"/>
      <w:bookmarkStart w:id="49" w:name="_Toc32607"/>
      <w:bookmarkStart w:id="50" w:name="_Toc30530"/>
      <w:bookmarkStart w:id="51" w:name="_Toc13898"/>
      <w:bookmarkStart w:id="52" w:name="_Toc22212"/>
      <w:bookmarkStart w:id="53" w:name="_Toc29345"/>
      <w:bookmarkStart w:id="54" w:name="_Toc21079"/>
      <w:bookmarkStart w:id="55" w:name="_Toc88209941"/>
      <w:bookmarkStart w:id="56" w:name="_Toc21840"/>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cyan"/>
        </w:rPr>
      </w:pPr>
      <w:bookmarkStart w:id="58" w:name="_Toc23033"/>
      <w:bookmarkStart w:id="59" w:name="_Toc26826"/>
      <w:r>
        <w:rPr>
          <w:rFonts w:hint="eastAsia"/>
          <w:color w:val="auto"/>
          <w:highlight w:val="none"/>
        </w:rPr>
        <w:sym w:font="Wingdings 2" w:char="0052"/>
      </w:r>
      <w:r>
        <w:rPr>
          <w:rFonts w:hint="eastAsia"/>
          <w:color w:val="auto"/>
          <w:highlight w:val="cyan"/>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spacing w:line="276" w:lineRule="auto"/>
        <w:ind w:firstLine="482"/>
        <w:rPr>
          <w:rFonts w:hint="eastAsia"/>
          <w:bCs/>
          <w:sz w:val="24"/>
        </w:rPr>
      </w:pPr>
      <w:r>
        <w:rPr>
          <w:rFonts w:hint="eastAsia" w:ascii="仿宋_GB2312" w:eastAsia="仿宋_GB2312" w:hAnsiTheme="minorEastAsia"/>
          <w:b w:val="0"/>
          <w:color w:val="auto"/>
          <w:sz w:val="28"/>
          <w:szCs w:val="28"/>
          <w:highlight w:val="none"/>
          <w:lang w:val="en-US" w:eastAsia="zh-CN"/>
        </w:rPr>
        <w:t>1、</w:t>
      </w:r>
      <w:r>
        <w:rPr>
          <w:rFonts w:hint="eastAsia"/>
          <w:b/>
          <w:sz w:val="24"/>
        </w:rPr>
        <w:t>服务范围</w:t>
      </w:r>
    </w:p>
    <w:p>
      <w:pPr>
        <w:widowControl/>
        <w:spacing w:after="160" w:line="276" w:lineRule="auto"/>
        <w:ind w:firstLine="482"/>
        <w:jc w:val="left"/>
        <w:rPr>
          <w:rFonts w:hint="eastAsia"/>
          <w:bCs/>
          <w:sz w:val="24"/>
        </w:rPr>
      </w:pPr>
      <w:r>
        <w:rPr>
          <w:rFonts w:hint="eastAsia" w:ascii="仿宋_GB2312" w:eastAsia="仿宋_GB2312" w:hAnsiTheme="minorEastAsia"/>
          <w:bCs w:val="0"/>
          <w:color w:val="auto"/>
          <w:sz w:val="28"/>
          <w:szCs w:val="28"/>
          <w:highlight w:val="none"/>
          <w:lang w:eastAsia="zh-CN"/>
        </w:rPr>
        <w:t>（</w:t>
      </w:r>
      <w:r>
        <w:rPr>
          <w:rFonts w:hint="eastAsia" w:ascii="仿宋_GB2312" w:eastAsia="仿宋_GB2312" w:hAnsiTheme="minorEastAsia"/>
          <w:bCs w:val="0"/>
          <w:color w:val="auto"/>
          <w:sz w:val="28"/>
          <w:szCs w:val="28"/>
          <w:highlight w:val="none"/>
          <w:lang w:val="en-US" w:eastAsia="zh-CN"/>
        </w:rPr>
        <w:t>1</w:t>
      </w:r>
      <w:r>
        <w:rPr>
          <w:rFonts w:hint="eastAsia" w:ascii="仿宋_GB2312" w:eastAsia="仿宋_GB2312" w:hAnsiTheme="minorEastAsia"/>
          <w:bCs w:val="0"/>
          <w:color w:val="auto"/>
          <w:sz w:val="28"/>
          <w:szCs w:val="28"/>
          <w:highlight w:val="none"/>
          <w:lang w:eastAsia="zh-CN"/>
        </w:rPr>
        <w:t>）</w:t>
      </w:r>
      <w:r>
        <w:rPr>
          <w:rFonts w:hint="eastAsia"/>
          <w:bCs/>
          <w:sz w:val="24"/>
        </w:rPr>
        <w:t>根据甲方对</w:t>
      </w:r>
      <w:r>
        <w:rPr>
          <w:rFonts w:hint="eastAsia"/>
          <w:bCs/>
          <w:sz w:val="24"/>
          <w:lang w:val="en-US" w:eastAsia="zh-CN"/>
        </w:rPr>
        <w:t>流量计</w:t>
      </w:r>
      <w:r>
        <w:rPr>
          <w:rFonts w:hint="eastAsia"/>
          <w:bCs/>
          <w:sz w:val="24"/>
        </w:rPr>
        <w:t>校准要求，乙方受甲方委托负责江高分公司2022年非统筹流量计年度校准项目校准服务，并出具校准证书。服务内容如下：</w:t>
      </w:r>
    </w:p>
    <w:tbl>
      <w:tblPr>
        <w:tblStyle w:val="22"/>
        <w:tblpPr w:leftFromText="180" w:rightFromText="180" w:vertAnchor="text" w:horzAnchor="page" w:tblpXSpec="center" w:tblpY="242"/>
        <w:tblOverlap w:val="never"/>
        <w:tblW w:w="7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491"/>
        <w:gridCol w:w="2464"/>
        <w:gridCol w:w="866"/>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序号</w:t>
            </w:r>
          </w:p>
        </w:tc>
        <w:tc>
          <w:tcPr>
            <w:tcW w:w="2491"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计量器具名称</w:t>
            </w:r>
          </w:p>
        </w:tc>
        <w:tc>
          <w:tcPr>
            <w:tcW w:w="2464"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型号规格</w:t>
            </w:r>
          </w:p>
        </w:tc>
        <w:tc>
          <w:tcPr>
            <w:tcW w:w="866"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数量</w:t>
            </w:r>
          </w:p>
        </w:tc>
        <w:tc>
          <w:tcPr>
            <w:tcW w:w="867"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color w:val="000000"/>
                <w:sz w:val="20"/>
                <w:szCs w:val="20"/>
              </w:rPr>
            </w:pPr>
            <w:r>
              <w:rPr>
                <w:rFonts w:hint="eastAsia"/>
                <w:color w:val="000000"/>
                <w:kern w:val="0"/>
                <w:sz w:val="20"/>
                <w:szCs w:val="20"/>
                <w:lang w:bidi="ar"/>
              </w:rPr>
              <w:t>1</w:t>
            </w:r>
          </w:p>
        </w:tc>
        <w:tc>
          <w:tcPr>
            <w:tcW w:w="2491"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膜池 产水流量计</w:t>
            </w:r>
          </w:p>
        </w:tc>
        <w:tc>
          <w:tcPr>
            <w:tcW w:w="246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西门子MAG6000  DN300</w:t>
            </w:r>
          </w:p>
        </w:tc>
        <w:tc>
          <w:tcPr>
            <w:tcW w:w="866" w:type="dxa"/>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24</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color w:val="000000"/>
                <w:sz w:val="20"/>
                <w:szCs w:val="20"/>
              </w:rPr>
            </w:pPr>
            <w:r>
              <w:rPr>
                <w:rFonts w:hint="eastAsia"/>
                <w:color w:val="000000"/>
                <w:kern w:val="0"/>
                <w:sz w:val="20"/>
                <w:szCs w:val="20"/>
                <w:lang w:bidi="ar"/>
              </w:rPr>
              <w:t>2</w:t>
            </w:r>
          </w:p>
        </w:tc>
        <w:tc>
          <w:tcPr>
            <w:tcW w:w="2491"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中水电磁流量计（干化循环）</w:t>
            </w:r>
          </w:p>
        </w:tc>
        <w:tc>
          <w:tcPr>
            <w:tcW w:w="2464" w:type="dxa"/>
            <w:noWrap/>
            <w:vAlign w:val="center"/>
          </w:tcPr>
          <w:p>
            <w:pPr>
              <w:widowControl/>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西门子MAG5000  DN300</w:t>
            </w:r>
          </w:p>
        </w:tc>
        <w:tc>
          <w:tcPr>
            <w:tcW w:w="866" w:type="dxa"/>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3</w:t>
            </w:r>
          </w:p>
        </w:tc>
        <w:tc>
          <w:tcPr>
            <w:tcW w:w="2491"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中水电磁流量计（绿化）</w:t>
            </w:r>
          </w:p>
        </w:tc>
        <w:tc>
          <w:tcPr>
            <w:tcW w:w="2464" w:type="dxa"/>
            <w:noWrap/>
            <w:vAlign w:val="center"/>
          </w:tcPr>
          <w:p>
            <w:pPr>
              <w:widowControl/>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西门子MAG5000  DN300</w:t>
            </w:r>
          </w:p>
        </w:tc>
        <w:tc>
          <w:tcPr>
            <w:tcW w:w="866" w:type="dxa"/>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4</w:t>
            </w:r>
          </w:p>
        </w:tc>
        <w:tc>
          <w:tcPr>
            <w:tcW w:w="2491"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干化进泥泵流量计</w:t>
            </w:r>
          </w:p>
        </w:tc>
        <w:tc>
          <w:tcPr>
            <w:tcW w:w="2464" w:type="dxa"/>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TK1100FT1FSC101CT01K00</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DN125</w:t>
            </w:r>
          </w:p>
        </w:tc>
        <w:tc>
          <w:tcPr>
            <w:tcW w:w="866"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5</w:t>
            </w:r>
          </w:p>
        </w:tc>
        <w:tc>
          <w:tcPr>
            <w:tcW w:w="2491"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干化PAC流量计</w:t>
            </w:r>
          </w:p>
        </w:tc>
        <w:tc>
          <w:tcPr>
            <w:tcW w:w="2464" w:type="dxa"/>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TK1100FT25SC101CT01K00</w:t>
            </w:r>
            <w:r>
              <w:rPr>
                <w:rFonts w:hint="eastAsia" w:ascii="宋体" w:hAnsi="宋体" w:eastAsia="宋体" w:cs="宋体"/>
                <w:color w:val="000000"/>
                <w:kern w:val="0"/>
                <w:sz w:val="20"/>
                <w:szCs w:val="20"/>
                <w:lang w:val="en-US" w:eastAsia="zh-CN" w:bidi="ar"/>
              </w:rPr>
              <w:t xml:space="preserve"> DN25</w:t>
            </w:r>
          </w:p>
        </w:tc>
        <w:tc>
          <w:tcPr>
            <w:tcW w:w="866" w:type="dxa"/>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867"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color w:val="000000"/>
                <w:sz w:val="20"/>
                <w:szCs w:val="20"/>
                <w:lang w:val="en-US" w:eastAsia="zh-CN"/>
              </w:rPr>
            </w:pPr>
            <w:r>
              <w:rPr>
                <w:rFonts w:hint="eastAsia"/>
                <w:color w:val="000000"/>
                <w:sz w:val="20"/>
                <w:szCs w:val="20"/>
                <w:lang w:val="en-US" w:eastAsia="zh-CN"/>
              </w:rPr>
              <w:t>6</w:t>
            </w:r>
          </w:p>
        </w:tc>
        <w:tc>
          <w:tcPr>
            <w:tcW w:w="2491" w:type="dxa"/>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加药间硫酸铝流量计</w:t>
            </w:r>
          </w:p>
        </w:tc>
        <w:tc>
          <w:tcPr>
            <w:tcW w:w="2464"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MAG5000</w:t>
            </w:r>
          </w:p>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DN32</w:t>
            </w:r>
          </w:p>
        </w:tc>
        <w:tc>
          <w:tcPr>
            <w:tcW w:w="866" w:type="dxa"/>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867" w:type="dxa"/>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台</w:t>
            </w:r>
          </w:p>
        </w:tc>
      </w:tr>
    </w:tbl>
    <w:p>
      <w:pPr>
        <w:widowControl/>
        <w:spacing w:line="276" w:lineRule="auto"/>
        <w:ind w:firstLine="482"/>
        <w:jc w:val="left"/>
        <w:rPr>
          <w:rFonts w:hint="eastAsia" w:ascii="仿宋_GB2312" w:eastAsia="仿宋_GB2312" w:hAnsiTheme="minorEastAsia"/>
          <w:bCs w:val="0"/>
          <w:color w:val="auto"/>
          <w:sz w:val="28"/>
          <w:szCs w:val="28"/>
          <w:highlight w:val="none"/>
          <w:lang w:eastAsia="zh-CN"/>
        </w:rPr>
      </w:pPr>
    </w:p>
    <w:p>
      <w:pPr>
        <w:widowControl/>
        <w:spacing w:line="276" w:lineRule="auto"/>
        <w:ind w:firstLine="482"/>
        <w:jc w:val="left"/>
        <w:rPr>
          <w:rFonts w:hint="eastAsia"/>
          <w:bCs/>
          <w:sz w:val="24"/>
        </w:rPr>
      </w:pPr>
      <w:r>
        <w:rPr>
          <w:rFonts w:hint="eastAsia"/>
          <w:bCs/>
          <w:sz w:val="24"/>
          <w:lang w:eastAsia="zh-CN"/>
        </w:rPr>
        <w:t>（</w:t>
      </w:r>
      <w:r>
        <w:rPr>
          <w:rFonts w:hint="eastAsia"/>
          <w:bCs/>
          <w:sz w:val="24"/>
          <w:lang w:val="en-US" w:eastAsia="zh-CN"/>
        </w:rPr>
        <w:t>2</w:t>
      </w:r>
      <w:r>
        <w:rPr>
          <w:rFonts w:hint="eastAsia"/>
          <w:bCs/>
          <w:sz w:val="24"/>
          <w:lang w:eastAsia="zh-CN"/>
        </w:rPr>
        <w:t>）</w:t>
      </w:r>
      <w:r>
        <w:rPr>
          <w:rFonts w:hint="eastAsia"/>
          <w:bCs/>
          <w:sz w:val="24"/>
        </w:rPr>
        <w:t>服务工期及检测报告</w:t>
      </w:r>
    </w:p>
    <w:p>
      <w:pPr>
        <w:widowControl/>
        <w:spacing w:line="276" w:lineRule="auto"/>
        <w:ind w:firstLine="482"/>
        <w:jc w:val="left"/>
        <w:rPr>
          <w:rFonts w:hint="eastAsia"/>
          <w:bCs/>
          <w:sz w:val="24"/>
        </w:rPr>
      </w:pPr>
      <w:r>
        <w:rPr>
          <w:rFonts w:hint="eastAsia"/>
          <w:bCs/>
          <w:sz w:val="24"/>
        </w:rPr>
        <w:t>服务工期：合同签订之日起至202</w:t>
      </w:r>
      <w:r>
        <w:rPr>
          <w:rFonts w:hint="eastAsia"/>
          <w:bCs/>
          <w:sz w:val="24"/>
          <w:lang w:val="en-US" w:eastAsia="zh-CN"/>
        </w:rPr>
        <w:t>3</w:t>
      </w:r>
      <w:r>
        <w:rPr>
          <w:rFonts w:hint="eastAsia"/>
          <w:bCs/>
          <w:sz w:val="24"/>
        </w:rPr>
        <w:t>年12月31日。</w:t>
      </w:r>
    </w:p>
    <w:p>
      <w:pPr>
        <w:widowControl/>
        <w:spacing w:line="276" w:lineRule="auto"/>
        <w:ind w:firstLine="482"/>
        <w:jc w:val="left"/>
        <w:rPr>
          <w:bCs/>
          <w:sz w:val="24"/>
        </w:rPr>
      </w:pPr>
      <w:r>
        <w:rPr>
          <w:rFonts w:hint="eastAsia"/>
          <w:sz w:val="24"/>
        </w:rPr>
        <w:t>入厂校准时间：由双方另行商定。</w:t>
      </w:r>
    </w:p>
    <w:p>
      <w:pPr>
        <w:spacing w:after="156" w:afterLines="50" w:line="440" w:lineRule="exact"/>
        <w:ind w:firstLine="560" w:firstLineChars="200"/>
        <w:rPr>
          <w:rFonts w:hint="eastAsia"/>
          <w:b/>
          <w:sz w:val="24"/>
        </w:rPr>
      </w:pPr>
      <w:r>
        <w:rPr>
          <w:rFonts w:hint="eastAsia" w:ascii="仿宋_GB2312" w:eastAsia="仿宋_GB2312" w:hAnsiTheme="minorEastAsia"/>
          <w:b w:val="0"/>
          <w:color w:val="auto"/>
          <w:sz w:val="28"/>
          <w:szCs w:val="28"/>
          <w:highlight w:val="none"/>
          <w:lang w:eastAsia="zh-CN"/>
        </w:rPr>
        <w:t>2、</w:t>
      </w:r>
      <w:r>
        <w:rPr>
          <w:rFonts w:hint="eastAsia"/>
          <w:b/>
          <w:sz w:val="24"/>
        </w:rPr>
        <w:t>服务要求</w:t>
      </w:r>
    </w:p>
    <w:p>
      <w:pPr>
        <w:widowControl/>
        <w:spacing w:after="160" w:line="276" w:lineRule="auto"/>
        <w:ind w:firstLine="482"/>
        <w:jc w:val="left"/>
        <w:rPr>
          <w:rFonts w:hint="eastAsia" w:ascii="Times New Roman" w:hAnsi="Times New Roman" w:eastAsia="宋体" w:cs="Times New Roman"/>
          <w:bCs/>
          <w:sz w:val="24"/>
        </w:rPr>
      </w:pPr>
      <w:r>
        <w:rPr>
          <w:rFonts w:hint="eastAsia" w:ascii="仿宋_GB2312" w:eastAsia="仿宋_GB2312" w:hAnsiTheme="minorEastAsia"/>
          <w:bCs w:val="0"/>
          <w:color w:val="auto"/>
          <w:sz w:val="28"/>
          <w:szCs w:val="28"/>
          <w:highlight w:val="none"/>
          <w:lang w:eastAsia="zh-CN"/>
        </w:rPr>
        <w:t>（</w:t>
      </w:r>
      <w:r>
        <w:rPr>
          <w:rFonts w:hint="eastAsia" w:ascii="仿宋_GB2312" w:eastAsia="仿宋_GB2312" w:hAnsiTheme="minorEastAsia"/>
          <w:bCs w:val="0"/>
          <w:color w:val="auto"/>
          <w:sz w:val="28"/>
          <w:szCs w:val="28"/>
          <w:highlight w:val="none"/>
          <w:lang w:val="en-US" w:eastAsia="zh-CN"/>
        </w:rPr>
        <w:t>1</w:t>
      </w:r>
      <w:r>
        <w:rPr>
          <w:rFonts w:hint="eastAsia" w:ascii="仿宋_GB2312" w:eastAsia="仿宋_GB2312" w:hAnsiTheme="minorEastAsia"/>
          <w:bCs w:val="0"/>
          <w:color w:val="auto"/>
          <w:sz w:val="28"/>
          <w:szCs w:val="28"/>
          <w:highlight w:val="none"/>
          <w:lang w:eastAsia="zh-CN"/>
        </w:rPr>
        <w:t>）</w:t>
      </w:r>
      <w:r>
        <w:rPr>
          <w:rFonts w:hint="eastAsia"/>
          <w:bCs/>
          <w:sz w:val="24"/>
        </w:rPr>
        <w:t>所有的服务价格包括了校准所需车辆、人员、工具、仪器、物料、运输保存、校准、证书出具、下厂费、外包单位下厂费等的全部费用。4.1</w:t>
      </w:r>
      <w:r>
        <w:rPr>
          <w:rFonts w:hint="eastAsia" w:ascii="Times New Roman" w:hAnsi="Times New Roman" w:eastAsia="宋体" w:cs="Times New Roman"/>
          <w:bCs/>
          <w:sz w:val="24"/>
        </w:rPr>
        <w:t>.</w:t>
      </w:r>
      <w:r>
        <w:rPr>
          <w:rFonts w:hint="eastAsia" w:ascii="Times New Roman" w:hAnsi="Times New Roman" w:eastAsia="宋体" w:cs="Times New Roman"/>
          <w:bCs/>
          <w:sz w:val="24"/>
          <w:lang w:val="en-US" w:eastAsia="zh-CN"/>
        </w:rPr>
        <w:t>乙方</w:t>
      </w:r>
      <w:r>
        <w:rPr>
          <w:rFonts w:hint="eastAsia" w:ascii="Times New Roman" w:hAnsi="Times New Roman" w:eastAsia="宋体" w:cs="Times New Roman"/>
          <w:bCs/>
          <w:sz w:val="24"/>
        </w:rPr>
        <w:t>自觉遵守甲方管理单位安全生产相关的管理制度，承担安全主体责任。</w:t>
      </w:r>
    </w:p>
    <w:p>
      <w:pPr>
        <w:widowControl/>
        <w:spacing w:after="160" w:line="276" w:lineRule="auto"/>
        <w:ind w:firstLine="482"/>
        <w:jc w:val="left"/>
        <w:rPr>
          <w:bCs/>
          <w:sz w:val="24"/>
        </w:rPr>
      </w:pPr>
      <w:r>
        <w:rPr>
          <w:rFonts w:hint="eastAsia" w:ascii="仿宋_GB2312" w:eastAsia="仿宋_GB2312" w:hAnsiTheme="minorEastAsia"/>
          <w:bCs w:val="0"/>
          <w:color w:val="auto"/>
          <w:sz w:val="28"/>
          <w:szCs w:val="28"/>
          <w:highlight w:val="none"/>
          <w:lang w:eastAsia="zh-CN"/>
        </w:rPr>
        <w:t>（</w:t>
      </w:r>
      <w:r>
        <w:rPr>
          <w:rFonts w:hint="eastAsia" w:ascii="仿宋_GB2312" w:eastAsia="仿宋_GB2312" w:hAnsiTheme="minorEastAsia"/>
          <w:bCs w:val="0"/>
          <w:color w:val="auto"/>
          <w:sz w:val="28"/>
          <w:szCs w:val="28"/>
          <w:highlight w:val="none"/>
          <w:lang w:val="en-US" w:eastAsia="zh-CN"/>
        </w:rPr>
        <w:t>2</w:t>
      </w:r>
      <w:r>
        <w:rPr>
          <w:rFonts w:hint="eastAsia" w:ascii="仿宋_GB2312" w:eastAsia="仿宋_GB2312" w:hAnsiTheme="minorEastAsia"/>
          <w:bCs w:val="0"/>
          <w:color w:val="auto"/>
          <w:sz w:val="28"/>
          <w:szCs w:val="28"/>
          <w:highlight w:val="none"/>
          <w:lang w:eastAsia="zh-CN"/>
        </w:rPr>
        <w:t>）</w:t>
      </w:r>
      <w:r>
        <w:rPr>
          <w:rFonts w:hint="eastAsia"/>
          <w:bCs/>
          <w:sz w:val="24"/>
        </w:rPr>
        <w:t>承包方式为单价包干，按实结算。本合同约定的价格为含税价价格（税率6%），合同单价在合同有效期内为不变价。乙方已经充分考虑本合同履行期间的市场风险和国家政策性调整风险系数，并已计入报价，因此合同单价今后不因任何因素而作调整</w:t>
      </w:r>
      <w:r>
        <w:rPr>
          <w:bCs/>
          <w:sz w:val="24"/>
        </w:rPr>
        <w:t>。</w:t>
      </w:r>
    </w:p>
    <w:p>
      <w:pPr>
        <w:pStyle w:val="2"/>
      </w:pPr>
    </w:p>
    <w:p>
      <w:pPr>
        <w:widowControl/>
        <w:spacing w:after="160" w:line="276" w:lineRule="auto"/>
        <w:ind w:firstLine="482"/>
        <w:jc w:val="left"/>
        <w:rPr>
          <w:rFonts w:hint="eastAsia" w:ascii="仿宋_GB2312" w:eastAsia="仿宋_GB2312" w:hAnsiTheme="minorEastAsia" w:cstheme="minorBidi"/>
          <w:bCs w:val="0"/>
          <w:color w:val="auto"/>
          <w:sz w:val="28"/>
          <w:szCs w:val="28"/>
          <w:highlight w:val="none"/>
        </w:rPr>
      </w:pPr>
      <w:r>
        <w:rPr>
          <w:rFonts w:hint="eastAsia" w:ascii="Times New Roman" w:hAnsi="Times New Roman" w:eastAsia="宋体" w:cs="Times New Roman"/>
          <w:bCs/>
          <w:sz w:val="24"/>
        </w:rPr>
        <w:t>.乙方将校准计划报告甲方，经甲方审核同意后开展服务工作。</w:t>
      </w:r>
    </w:p>
    <w:p>
      <w:pPr>
        <w:widowControl/>
        <w:spacing w:after="160" w:line="276" w:lineRule="auto"/>
        <w:ind w:firstLine="482"/>
        <w:jc w:val="left"/>
        <w:rPr>
          <w:rFonts w:hint="default" w:ascii="Times New Roman" w:hAnsi="Times New Roman" w:eastAsia="宋体" w:cs="Times New Roman"/>
          <w:bCs/>
          <w:sz w:val="24"/>
        </w:rPr>
      </w:pPr>
      <w:r>
        <w:rPr>
          <w:rFonts w:hint="eastAsia" w:ascii="仿宋_GB2312" w:eastAsia="仿宋_GB2312" w:hAnsiTheme="minorEastAsia" w:cstheme="minorBidi"/>
          <w:bCs w:val="0"/>
          <w:color w:val="auto"/>
          <w:sz w:val="28"/>
          <w:szCs w:val="28"/>
          <w:highlight w:val="none"/>
          <w:lang w:val="en-US" w:eastAsia="zh-CN"/>
        </w:rPr>
        <w:t>3、技术需求</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（1）</w:t>
      </w:r>
      <w:r>
        <w:rPr>
          <w:rFonts w:hint="eastAsia" w:ascii="Times New Roman" w:hAnsi="Times New Roman" w:eastAsia="宋体" w:cs="Times New Roman"/>
          <w:bCs/>
          <w:sz w:val="24"/>
        </w:rPr>
        <w:t>依据国家相关技术规程，运用专业技术知识、技术经验对甲方指定计量器具进行校准，出具校准证书</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（2）</w:t>
      </w:r>
      <w:r>
        <w:rPr>
          <w:rFonts w:hint="eastAsia" w:ascii="Times New Roman" w:hAnsi="Times New Roman" w:eastAsia="宋体" w:cs="Times New Roman"/>
          <w:bCs/>
          <w:sz w:val="24"/>
        </w:rPr>
        <w:t>乙方为甲方提供技术咨询服务，在更好保证仪表计量准确可靠的前提下，现场对仪表安装、使用、设季等影响计量性能的因素提出合</w:t>
      </w:r>
      <w:r>
        <w:rPr>
          <w:rFonts w:hint="eastAsia" w:ascii="Times New Roman" w:hAnsi="Times New Roman" w:eastAsia="宋体" w:cs="Times New Roman"/>
          <w:bCs/>
          <w:sz w:val="24"/>
          <w:lang w:val="en-US" w:eastAsia="zh-CN"/>
        </w:rPr>
        <w:t>理</w:t>
      </w:r>
      <w:r>
        <w:rPr>
          <w:rFonts w:hint="eastAsia" w:ascii="Times New Roman" w:hAnsi="Times New Roman" w:eastAsia="宋体" w:cs="Times New Roman"/>
          <w:bCs/>
          <w:sz w:val="24"/>
        </w:rPr>
        <w:t>的改正措施或可行性建议。乙方为甲方提供证书、发票寄送服务，快捷办理相关手续。</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（3）</w:t>
      </w:r>
      <w:r>
        <w:rPr>
          <w:rFonts w:hint="eastAsia" w:ascii="Times New Roman" w:hAnsi="Times New Roman" w:eastAsia="宋体" w:cs="Times New Roman"/>
          <w:bCs/>
          <w:sz w:val="24"/>
        </w:rPr>
        <w:t>若因现场条件无法</w:t>
      </w:r>
      <w:r>
        <w:rPr>
          <w:rFonts w:hint="eastAsia" w:ascii="Times New Roman" w:hAnsi="Times New Roman" w:eastAsia="宋体" w:cs="Times New Roman"/>
          <w:bCs/>
          <w:sz w:val="24"/>
          <w:lang w:val="en-US" w:eastAsia="zh-CN"/>
        </w:rPr>
        <w:t>满</w:t>
      </w:r>
      <w:r>
        <w:rPr>
          <w:rFonts w:hint="eastAsia" w:ascii="Times New Roman" w:hAnsi="Times New Roman" w:eastAsia="宋体" w:cs="Times New Roman"/>
          <w:bCs/>
          <w:sz w:val="24"/>
        </w:rPr>
        <w:t>足校准工作的，不出具任何形式的证书和说明，不收取相关费用。</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lang w:val="en-US" w:eastAsia="zh-CN"/>
        </w:rPr>
        <w:t>4</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rPr>
        <w:t>本次校准为甲方自愿委托乙方对其计量器具进行准</w:t>
      </w:r>
      <w:r>
        <w:rPr>
          <w:rFonts w:hint="eastAsia" w:ascii="Times New Roman" w:hAnsi="Times New Roman" w:eastAsia="宋体" w:cs="Times New Roman"/>
          <w:bCs/>
          <w:sz w:val="24"/>
          <w:lang w:val="en-US" w:eastAsia="zh-CN"/>
        </w:rPr>
        <w:t>确</w:t>
      </w:r>
      <w:r>
        <w:rPr>
          <w:rFonts w:hint="eastAsia" w:ascii="Times New Roman" w:hAnsi="Times New Roman" w:eastAsia="宋体" w:cs="Times New Roman"/>
          <w:bCs/>
          <w:sz w:val="24"/>
        </w:rPr>
        <w:t>度内部自查,不能代替强制检定。</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3"/>
        <w:rPr>
          <w:color w:val="auto"/>
          <w:highlight w:val="none"/>
        </w:rPr>
      </w:pPr>
      <w:bookmarkStart w:id="61" w:name="_Toc25925"/>
      <w:bookmarkStart w:id="62" w:name="_Toc18538"/>
      <w:bookmarkStart w:id="63" w:name="_Toc4680"/>
      <w:bookmarkStart w:id="64" w:name="_Toc29835"/>
      <w:bookmarkStart w:id="65" w:name="_Toc23353"/>
      <w:bookmarkStart w:id="66" w:name="_Toc537"/>
      <w:bookmarkStart w:id="67" w:name="_Toc1284"/>
      <w:bookmarkStart w:id="68" w:name="_Toc15570"/>
      <w:bookmarkStart w:id="69" w:name="_Toc12135"/>
      <w:bookmarkStart w:id="70" w:name="_Toc23330"/>
      <w:bookmarkStart w:id="71" w:name="_Toc1496"/>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jc w:val="center"/>
        <w:rPr>
          <w:b/>
          <w:sz w:val="52"/>
          <w:szCs w:val="84"/>
        </w:rPr>
      </w:pPr>
      <w:bookmarkStart w:id="72" w:name="_Toc12968"/>
      <w:bookmarkStart w:id="73" w:name="_Toc12721"/>
      <w:bookmarkStart w:id="74" w:name="_Toc1375"/>
      <w:bookmarkStart w:id="75" w:name="_Toc19686"/>
      <w:bookmarkStart w:id="76" w:name="_Toc88209949"/>
      <w:bookmarkStart w:id="77" w:name="_Toc12980"/>
      <w:bookmarkStart w:id="78" w:name="_Toc8183"/>
      <w:bookmarkStart w:id="79" w:name="_Toc323"/>
      <w:bookmarkStart w:id="80" w:name="_Toc19088"/>
      <w:bookmarkStart w:id="81" w:name="_Toc22501"/>
      <w:bookmarkStart w:id="82" w:name="_Toc22797"/>
      <w:bookmarkStart w:id="83" w:name="_Toc87616386"/>
      <w:bookmarkStart w:id="84" w:name="_Toc13309"/>
      <w:r>
        <w:rPr>
          <w:b/>
          <w:sz w:val="52"/>
          <w:szCs w:val="84"/>
        </w:rPr>
        <w:t>检测服务合同</w:t>
      </w:r>
    </w:p>
    <w:p>
      <w:pPr>
        <w:jc w:val="center"/>
        <w:rPr>
          <w:sz w:val="30"/>
        </w:rPr>
      </w:pPr>
    </w:p>
    <w:p>
      <w:pPr>
        <w:rPr>
          <w:sz w:val="30"/>
        </w:rPr>
      </w:pPr>
    </w:p>
    <w:p>
      <w:pPr>
        <w:rPr>
          <w:rFonts w:hint="eastAsia" w:eastAsia="宋体"/>
          <w:sz w:val="30"/>
          <w:lang w:eastAsia="zh-CN"/>
        </w:rPr>
      </w:pPr>
      <w:r>
        <w:rPr>
          <w:sz w:val="30"/>
        </w:rPr>
        <w:t>项目名称：</w:t>
      </w:r>
      <w:r>
        <w:rPr>
          <w:rFonts w:hint="eastAsia"/>
          <w:sz w:val="30"/>
          <w:lang w:eastAsia="zh-CN"/>
        </w:rPr>
        <w:t>江高分公司非统筹流量计年度校准项目</w:t>
      </w:r>
    </w:p>
    <w:p>
      <w:pPr>
        <w:rPr>
          <w:b/>
          <w:bCs/>
          <w:color w:val="000000"/>
          <w:sz w:val="30"/>
          <w:szCs w:val="30"/>
        </w:rPr>
      </w:pPr>
      <w:r>
        <w:rPr>
          <w:sz w:val="30"/>
        </w:rPr>
        <w:t>合同编号：</w:t>
      </w:r>
      <w:r>
        <w:rPr>
          <w:b/>
          <w:bCs/>
          <w:color w:val="000000"/>
          <w:sz w:val="30"/>
          <w:szCs w:val="30"/>
        </w:rPr>
        <w:t>穗净水合[     ]    号</w:t>
      </w:r>
    </w:p>
    <w:p>
      <w:pPr>
        <w:pStyle w:val="46"/>
        <w:rPr>
          <w:rFonts w:ascii="Times New Roman" w:cs="Times New Roman"/>
          <w:b/>
          <w:bCs/>
          <w:sz w:val="30"/>
          <w:szCs w:val="30"/>
        </w:rPr>
      </w:pPr>
    </w:p>
    <w:p>
      <w:pPr>
        <w:rPr>
          <w:sz w:val="30"/>
          <w:szCs w:val="30"/>
        </w:rPr>
      </w:pPr>
      <w:r>
        <w:rPr>
          <w:rFonts w:hint="eastAsia"/>
          <w:sz w:val="30"/>
          <w:szCs w:val="30"/>
        </w:rPr>
        <w:t>项目编号：</w:t>
      </w:r>
    </w:p>
    <w:p>
      <w:pPr>
        <w:jc w:val="center"/>
        <w:rPr>
          <w:sz w:val="30"/>
          <w:szCs w:val="30"/>
        </w:rPr>
      </w:pPr>
    </w:p>
    <w:p>
      <w:pPr>
        <w:rPr>
          <w:sz w:val="30"/>
          <w:szCs w:val="30"/>
        </w:rPr>
      </w:pPr>
    </w:p>
    <w:p>
      <w:pPr>
        <w:rPr>
          <w:sz w:val="30"/>
          <w:u w:val="single"/>
        </w:rPr>
      </w:pPr>
      <w:r>
        <w:rPr>
          <w:sz w:val="30"/>
        </w:rPr>
        <w:t>甲方：</w:t>
      </w:r>
      <w:r>
        <w:rPr>
          <w:sz w:val="30"/>
          <w:u w:val="single"/>
        </w:rPr>
        <w:t>广州市净水有限公司</w:t>
      </w:r>
    </w:p>
    <w:p>
      <w:pPr>
        <w:pStyle w:val="46"/>
      </w:pPr>
    </w:p>
    <w:p>
      <w:pPr>
        <w:rPr>
          <w:rFonts w:hint="default"/>
          <w:sz w:val="30"/>
          <w:lang w:val="en-US"/>
        </w:rPr>
      </w:pPr>
      <w:r>
        <w:rPr>
          <w:sz w:val="30"/>
        </w:rPr>
        <w:t>乙方：</w:t>
      </w:r>
      <w:r>
        <w:rPr>
          <w:rFonts w:hint="eastAsia" w:eastAsia="宋体"/>
          <w:sz w:val="30"/>
          <w:u w:val="single"/>
          <w:lang w:val="en-US" w:eastAsia="zh-CN"/>
        </w:rPr>
        <w:t xml:space="preserve">                 </w:t>
      </w:r>
      <w:r>
        <w:rPr>
          <w:rFonts w:hint="eastAsia" w:eastAsia="宋体"/>
          <w:sz w:val="30"/>
          <w:lang w:val="en-US" w:eastAsia="zh-CN"/>
        </w:rPr>
        <w:t xml:space="preserve"> </w:t>
      </w:r>
    </w:p>
    <w:p>
      <w:pPr>
        <w:rPr>
          <w:sz w:val="30"/>
        </w:rPr>
      </w:pPr>
      <w:r>
        <w:rPr>
          <w:sz w:val="30"/>
        </w:rPr>
        <w:t>签订日期：           年       月     日</w:t>
      </w:r>
    </w:p>
    <w:p>
      <w:pPr>
        <w:pStyle w:val="46"/>
        <w:rPr>
          <w:rFonts w:ascii="Times New Roman" w:eastAsia="宋体" w:cs="Times New Roman"/>
          <w:color w:val="auto"/>
          <w:kern w:val="2"/>
          <w:sz w:val="30"/>
        </w:rPr>
        <w:sectPr>
          <w:headerReference r:id="rId3" w:type="default"/>
          <w:footerReference r:id="rId4" w:type="default"/>
          <w:pgSz w:w="11907" w:h="16840"/>
          <w:pgMar w:top="1418" w:right="1418" w:bottom="1418" w:left="1418" w:header="851" w:footer="992" w:gutter="0"/>
          <w:cols w:space="720" w:num="1"/>
          <w:docGrid w:type="linesAndChars" w:linePitch="381" w:charSpace="0"/>
        </w:sectPr>
      </w:pPr>
      <w:r>
        <w:rPr>
          <w:rFonts w:ascii="Times New Roman" w:eastAsia="宋体" w:cs="Times New Roman"/>
          <w:color w:val="auto"/>
          <w:kern w:val="2"/>
          <w:sz w:val="30"/>
        </w:rPr>
        <w:t>签约地点：广州市</w:t>
      </w:r>
    </w:p>
    <w:p>
      <w:pPr>
        <w:spacing w:line="264" w:lineRule="auto"/>
        <w:ind w:firstLine="720" w:firstLineChars="300"/>
        <w:rPr>
          <w:color w:val="000000"/>
          <w:sz w:val="24"/>
        </w:rPr>
      </w:pPr>
      <w:bookmarkStart w:id="85" w:name="_Toc520190025"/>
      <w:bookmarkStart w:id="86" w:name="_Toc183666512"/>
      <w:bookmarkStart w:id="87" w:name="_Toc474245209"/>
      <w:bookmarkStart w:id="88" w:name="_Toc518992985"/>
      <w:bookmarkStart w:id="89" w:name="_Toc10888"/>
      <w:r>
        <w:rPr>
          <w:color w:val="000000"/>
          <w:sz w:val="24"/>
        </w:rPr>
        <w:t>根据《中华人民共和国</w:t>
      </w:r>
      <w:r>
        <w:rPr>
          <w:rFonts w:hint="eastAsia"/>
          <w:color w:val="000000"/>
          <w:sz w:val="24"/>
        </w:rPr>
        <w:t>民法典</w:t>
      </w:r>
      <w:r>
        <w:rPr>
          <w:color w:val="000000"/>
          <w:sz w:val="24"/>
        </w:rPr>
        <w:t>》及其他有关法律、行政法规，</w:t>
      </w:r>
      <w:r>
        <w:rPr>
          <w:color w:val="000000"/>
          <w:sz w:val="24"/>
          <w:u w:val="single"/>
        </w:rPr>
        <w:t>广州市净水有限公司</w:t>
      </w:r>
      <w:r>
        <w:rPr>
          <w:color w:val="000000"/>
          <w:sz w:val="24"/>
        </w:rPr>
        <w:t xml:space="preserve"> （以下简称“甲方”）与</w:t>
      </w:r>
      <w:r>
        <w:rPr>
          <w:rFonts w:hint="eastAsia"/>
          <w:color w:val="000000"/>
          <w:sz w:val="24"/>
          <w:u w:val="single"/>
          <w:lang w:val="en-US" w:eastAsia="zh-CN"/>
        </w:rPr>
        <w:t xml:space="preserve">                 </w:t>
      </w:r>
      <w:r>
        <w:rPr>
          <w:color w:val="000000"/>
          <w:sz w:val="24"/>
        </w:rPr>
        <w:t xml:space="preserve"> （以下简称“乙方”）就 </w:t>
      </w:r>
      <w:r>
        <w:rPr>
          <w:color w:val="000000"/>
          <w:sz w:val="24"/>
          <w:u w:val="single"/>
        </w:rPr>
        <w:t xml:space="preserve"> </w:t>
      </w:r>
      <w:r>
        <w:rPr>
          <w:bCs/>
          <w:sz w:val="24"/>
          <w:u w:val="single"/>
        </w:rPr>
        <w:t>广州市净水有限公</w:t>
      </w:r>
      <w:r>
        <w:rPr>
          <w:rFonts w:hint="eastAsia"/>
          <w:bCs/>
          <w:sz w:val="24"/>
          <w:u w:val="single"/>
        </w:rPr>
        <w:t>司</w:t>
      </w:r>
      <w:r>
        <w:rPr>
          <w:rFonts w:hint="eastAsia"/>
          <w:bCs/>
          <w:sz w:val="24"/>
          <w:u w:val="single"/>
          <w:lang w:eastAsia="zh-CN"/>
        </w:rPr>
        <w:t>江高分公司非统筹流量计年度校准项目</w:t>
      </w:r>
      <w:r>
        <w:rPr>
          <w:color w:val="000000"/>
          <w:sz w:val="28"/>
          <w:szCs w:val="28"/>
          <w:u w:val="single"/>
        </w:rPr>
        <w:t xml:space="preserve"> </w:t>
      </w:r>
      <w:r>
        <w:rPr>
          <w:rFonts w:hint="eastAsia"/>
          <w:color w:val="000000"/>
          <w:sz w:val="24"/>
        </w:rPr>
        <w:t>项目</w:t>
      </w:r>
      <w:r>
        <w:rPr>
          <w:color w:val="000000"/>
          <w:sz w:val="24"/>
        </w:rPr>
        <w:t>承接工作事宜，遵循平等、自愿、公平和诚实信用的原则，双方协商一致，订立本合同。</w:t>
      </w:r>
    </w:p>
    <w:bookmarkEnd w:id="85"/>
    <w:bookmarkEnd w:id="86"/>
    <w:bookmarkEnd w:id="87"/>
    <w:bookmarkEnd w:id="88"/>
    <w:bookmarkEnd w:id="89"/>
    <w:p>
      <w:pPr>
        <w:spacing w:line="264" w:lineRule="auto"/>
        <w:ind w:firstLine="540"/>
        <w:rPr>
          <w:b/>
          <w:bCs/>
          <w:color w:val="000000"/>
          <w:sz w:val="24"/>
        </w:rPr>
      </w:pPr>
      <w:r>
        <w:rPr>
          <w:b/>
          <w:bCs/>
          <w:color w:val="000000"/>
          <w:sz w:val="24"/>
        </w:rPr>
        <w:t>第一条 组成合同的文件及优先顺序</w:t>
      </w:r>
    </w:p>
    <w:p>
      <w:pPr>
        <w:spacing w:line="264" w:lineRule="auto"/>
        <w:ind w:firstLine="480" w:firstLineChars="200"/>
        <w:rPr>
          <w:color w:val="000000"/>
          <w:sz w:val="24"/>
        </w:rPr>
      </w:pPr>
      <w:r>
        <w:rPr>
          <w:bCs/>
          <w:color w:val="000000"/>
          <w:sz w:val="24"/>
        </w:rPr>
        <w:t>下列文件（如有）均为本合同的组成部分，可视为能相互说明和补充的，如果合同文件存在歧义或相矛盾的地方，则根据以下次序判断：</w:t>
      </w:r>
    </w:p>
    <w:p>
      <w:pPr>
        <w:spacing w:line="440" w:lineRule="exact"/>
        <w:ind w:firstLine="482"/>
        <w:rPr>
          <w:color w:val="000000"/>
          <w:sz w:val="24"/>
        </w:rPr>
      </w:pPr>
      <w:r>
        <w:rPr>
          <w:color w:val="000000"/>
          <w:sz w:val="24"/>
        </w:rPr>
        <w:t>⑴ 在本合同实施过程双方签署的补充与修正文件；</w:t>
      </w:r>
    </w:p>
    <w:p>
      <w:pPr>
        <w:spacing w:line="320" w:lineRule="exact"/>
        <w:ind w:firstLine="482"/>
        <w:rPr>
          <w:color w:val="000000"/>
          <w:sz w:val="24"/>
        </w:rPr>
      </w:pPr>
      <w:r>
        <w:rPr>
          <w:color w:val="000000"/>
          <w:sz w:val="24"/>
        </w:rPr>
        <w:t>⑵ 本合同书；</w:t>
      </w:r>
    </w:p>
    <w:p>
      <w:pPr>
        <w:spacing w:line="320" w:lineRule="exact"/>
        <w:ind w:firstLine="482"/>
        <w:rPr>
          <w:bCs/>
          <w:color w:val="000000"/>
          <w:sz w:val="24"/>
        </w:rPr>
      </w:pPr>
      <w:r>
        <w:rPr>
          <w:bCs/>
          <w:color w:val="000000"/>
          <w:sz w:val="24"/>
        </w:rPr>
        <w:t>⑶ 发包通知书；</w:t>
      </w:r>
    </w:p>
    <w:p>
      <w:pPr>
        <w:spacing w:line="320" w:lineRule="exact"/>
        <w:ind w:firstLine="482"/>
        <w:rPr>
          <w:bCs/>
          <w:color w:val="000000"/>
          <w:sz w:val="24"/>
        </w:rPr>
      </w:pPr>
      <w:r>
        <w:rPr>
          <w:bCs/>
          <w:color w:val="000000"/>
          <w:sz w:val="24"/>
        </w:rPr>
        <w:t>⑷ 询价文件；</w:t>
      </w:r>
    </w:p>
    <w:p>
      <w:pPr>
        <w:spacing w:line="320" w:lineRule="exact"/>
        <w:ind w:firstLine="482"/>
        <w:rPr>
          <w:bCs/>
          <w:color w:val="000000"/>
          <w:sz w:val="24"/>
        </w:rPr>
      </w:pPr>
      <w:r>
        <w:rPr>
          <w:bCs/>
          <w:color w:val="000000"/>
          <w:sz w:val="24"/>
        </w:rPr>
        <w:t>⑸ 响应文件；</w:t>
      </w:r>
    </w:p>
    <w:p>
      <w:pPr>
        <w:spacing w:line="320" w:lineRule="exact"/>
        <w:ind w:firstLine="482"/>
        <w:rPr>
          <w:bCs/>
          <w:color w:val="000000"/>
          <w:sz w:val="24"/>
        </w:rPr>
      </w:pPr>
      <w:r>
        <w:rPr>
          <w:bCs/>
          <w:color w:val="000000"/>
          <w:sz w:val="24"/>
        </w:rPr>
        <w:t>⑹ 标准、规范及有关技术性文件；</w:t>
      </w:r>
    </w:p>
    <w:p>
      <w:pPr>
        <w:spacing w:line="320" w:lineRule="exact"/>
        <w:ind w:firstLine="482"/>
        <w:rPr>
          <w:bCs/>
          <w:color w:val="000000"/>
          <w:sz w:val="24"/>
        </w:rPr>
      </w:pPr>
      <w:r>
        <w:rPr>
          <w:bCs/>
          <w:color w:val="000000"/>
          <w:sz w:val="24"/>
        </w:rPr>
        <w:t xml:space="preserve">⑺ </w:t>
      </w:r>
      <w:r>
        <w:rPr>
          <w:color w:val="000000"/>
          <w:sz w:val="24"/>
        </w:rPr>
        <w:t>工程报价单</w:t>
      </w:r>
      <w:r>
        <w:rPr>
          <w:bCs/>
          <w:color w:val="000000"/>
          <w:sz w:val="24"/>
        </w:rPr>
        <w:t>；</w:t>
      </w:r>
    </w:p>
    <w:p>
      <w:pPr>
        <w:spacing w:line="320" w:lineRule="exact"/>
        <w:ind w:firstLine="482"/>
        <w:rPr>
          <w:bCs/>
          <w:color w:val="000000"/>
          <w:sz w:val="24"/>
        </w:rPr>
      </w:pPr>
      <w:r>
        <w:rPr>
          <w:bCs/>
          <w:color w:val="000000"/>
          <w:sz w:val="24"/>
        </w:rPr>
        <w:t>⑻ 本合同其他附件；</w:t>
      </w:r>
    </w:p>
    <w:p>
      <w:pPr>
        <w:spacing w:line="276" w:lineRule="auto"/>
        <w:ind w:firstLine="482"/>
        <w:rPr>
          <w:bCs/>
          <w:sz w:val="24"/>
        </w:rPr>
      </w:pPr>
      <w:r>
        <w:rPr>
          <w:b/>
          <w:sz w:val="24"/>
        </w:rPr>
        <w:t>第二条 服务范围</w:t>
      </w:r>
    </w:p>
    <w:p>
      <w:pPr>
        <w:widowControl/>
        <w:spacing w:after="160" w:line="276" w:lineRule="auto"/>
        <w:ind w:firstLine="482"/>
        <w:jc w:val="left"/>
        <w:rPr>
          <w:bCs/>
          <w:sz w:val="24"/>
        </w:rPr>
      </w:pPr>
      <w:r>
        <w:rPr>
          <w:bCs/>
          <w:sz w:val="24"/>
        </w:rPr>
        <w:t>2.1根据甲方对</w:t>
      </w:r>
      <w:r>
        <w:rPr>
          <w:rFonts w:hint="eastAsia"/>
          <w:bCs/>
          <w:sz w:val="24"/>
          <w:lang w:val="en-US" w:eastAsia="zh-CN"/>
        </w:rPr>
        <w:t>流量计</w:t>
      </w:r>
      <w:r>
        <w:rPr>
          <w:bCs/>
          <w:sz w:val="24"/>
        </w:rPr>
        <w:t>校准要求，乙方受甲方委托负责</w:t>
      </w:r>
      <w:r>
        <w:rPr>
          <w:rFonts w:hint="eastAsia"/>
          <w:bCs/>
          <w:sz w:val="24"/>
          <w:lang w:eastAsia="zh-CN"/>
        </w:rPr>
        <w:t>江高分公司非统筹流量计年度校准项目</w:t>
      </w:r>
      <w:r>
        <w:rPr>
          <w:bCs/>
          <w:sz w:val="24"/>
        </w:rPr>
        <w:t>校准服务，并出具校准证书。服务内容如下：</w:t>
      </w:r>
    </w:p>
    <w:tbl>
      <w:tblPr>
        <w:tblStyle w:val="22"/>
        <w:tblpPr w:leftFromText="180" w:rightFromText="180" w:vertAnchor="text" w:horzAnchor="page" w:tblpXSpec="center" w:tblpY="242"/>
        <w:tblOverlap w:val="never"/>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491"/>
        <w:gridCol w:w="2464"/>
        <w:gridCol w:w="866"/>
        <w:gridCol w:w="867"/>
        <w:gridCol w:w="1301"/>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序号</w:t>
            </w:r>
          </w:p>
        </w:tc>
        <w:tc>
          <w:tcPr>
            <w:tcW w:w="2491"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计量器具名称</w:t>
            </w:r>
          </w:p>
        </w:tc>
        <w:tc>
          <w:tcPr>
            <w:tcW w:w="2464"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型号规格</w:t>
            </w:r>
          </w:p>
        </w:tc>
        <w:tc>
          <w:tcPr>
            <w:tcW w:w="866"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数量</w:t>
            </w:r>
          </w:p>
        </w:tc>
        <w:tc>
          <w:tcPr>
            <w:tcW w:w="867"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单位</w:t>
            </w:r>
          </w:p>
        </w:tc>
        <w:tc>
          <w:tcPr>
            <w:tcW w:w="1301" w:type="dxa"/>
            <w:noWrap w:val="0"/>
            <w:vAlign w:val="top"/>
          </w:tcPr>
          <w:p>
            <w:pPr>
              <w:widowControl/>
              <w:jc w:val="center"/>
              <w:textAlignment w:val="bottom"/>
              <w:rPr>
                <w:rFonts w:hint="eastAsia" w:ascii="宋体" w:hAnsi="宋体" w:cs="宋体"/>
                <w:color w:val="000000"/>
                <w:kern w:val="0"/>
                <w:sz w:val="24"/>
                <w:lang w:bidi="ar"/>
              </w:rPr>
            </w:pPr>
            <w:r>
              <w:rPr>
                <w:rFonts w:hint="eastAsia" w:ascii="宋体" w:hAnsi="宋体" w:cs="宋体"/>
                <w:color w:val="000000"/>
                <w:kern w:val="0"/>
                <w:sz w:val="24"/>
                <w:lang w:bidi="ar"/>
              </w:rPr>
              <w:t>单</w:t>
            </w:r>
            <w:r>
              <w:rPr>
                <w:rFonts w:ascii="宋体" w:hAnsi="宋体" w:cs="宋体"/>
                <w:color w:val="000000"/>
                <w:kern w:val="0"/>
                <w:sz w:val="24"/>
                <w:lang w:bidi="ar"/>
              </w:rPr>
              <w:t>价（</w:t>
            </w:r>
            <w:r>
              <w:rPr>
                <w:rFonts w:hint="eastAsia" w:ascii="宋体" w:hAnsi="宋体" w:cs="宋体"/>
                <w:color w:val="000000"/>
                <w:kern w:val="0"/>
                <w:sz w:val="24"/>
                <w:lang w:bidi="ar"/>
              </w:rPr>
              <w:t>元</w:t>
            </w:r>
            <w:r>
              <w:rPr>
                <w:rFonts w:ascii="宋体" w:hAnsi="宋体" w:cs="宋体"/>
                <w:color w:val="000000"/>
                <w:kern w:val="0"/>
                <w:sz w:val="24"/>
                <w:lang w:bidi="ar"/>
              </w:rPr>
              <w:t>）</w:t>
            </w:r>
          </w:p>
        </w:tc>
        <w:tc>
          <w:tcPr>
            <w:tcW w:w="1382" w:type="dxa"/>
            <w:noWrap w:val="0"/>
            <w:vAlign w:val="top"/>
          </w:tcPr>
          <w:p>
            <w:pPr>
              <w:widowControl/>
              <w:jc w:val="center"/>
              <w:textAlignment w:val="bottom"/>
              <w:rPr>
                <w:rFonts w:hint="eastAsia" w:ascii="宋体" w:hAnsi="宋体" w:cs="宋体"/>
                <w:color w:val="000000"/>
                <w:kern w:val="0"/>
                <w:sz w:val="24"/>
                <w:lang w:bidi="ar"/>
              </w:rPr>
            </w:pPr>
            <w:r>
              <w:rPr>
                <w:rFonts w:hint="eastAsia" w:ascii="宋体" w:hAnsi="宋体" w:cs="宋体"/>
                <w:color w:val="000000"/>
                <w:kern w:val="0"/>
                <w:sz w:val="24"/>
                <w:lang w:bidi="ar"/>
              </w:rPr>
              <w:t>小</w:t>
            </w:r>
            <w:r>
              <w:rPr>
                <w:rFonts w:ascii="宋体" w:hAnsi="宋体" w:cs="宋体"/>
                <w:color w:val="000000"/>
                <w:kern w:val="0"/>
                <w:sz w:val="24"/>
                <w:lang w:bidi="ar"/>
              </w:rPr>
              <w:t>计（</w:t>
            </w:r>
            <w:r>
              <w:rPr>
                <w:rFonts w:hint="eastAsia" w:ascii="宋体" w:hAnsi="宋体" w:cs="宋体"/>
                <w:color w:val="000000"/>
                <w:kern w:val="0"/>
                <w:sz w:val="24"/>
                <w:lang w:bidi="ar"/>
              </w:rPr>
              <w:t>元</w:t>
            </w:r>
            <w:r>
              <w:rPr>
                <w:rFonts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color w:val="000000"/>
                <w:sz w:val="20"/>
                <w:szCs w:val="20"/>
              </w:rPr>
            </w:pPr>
            <w:r>
              <w:rPr>
                <w:color w:val="000000"/>
                <w:kern w:val="0"/>
                <w:sz w:val="20"/>
                <w:szCs w:val="20"/>
                <w:lang w:bidi="ar"/>
              </w:rPr>
              <w:t>1</w:t>
            </w:r>
          </w:p>
        </w:tc>
        <w:tc>
          <w:tcPr>
            <w:tcW w:w="2491"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膜池 产水流量计</w:t>
            </w:r>
          </w:p>
        </w:tc>
        <w:tc>
          <w:tcPr>
            <w:tcW w:w="2464"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西门子MAG6000  DN300</w:t>
            </w:r>
          </w:p>
        </w:tc>
        <w:tc>
          <w:tcPr>
            <w:tcW w:w="866" w:type="dxa"/>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24</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301" w:type="dxa"/>
            <w:noWrap w:val="0"/>
            <w:vAlign w:val="center"/>
          </w:tcPr>
          <w:p>
            <w:pPr>
              <w:widowControl/>
              <w:jc w:val="center"/>
              <w:rPr>
                <w:rFonts w:hint="default" w:eastAsia="宋体"/>
                <w:kern w:val="0"/>
                <w:sz w:val="20"/>
                <w:szCs w:val="20"/>
                <w:lang w:val="en-US" w:eastAsia="zh-CN"/>
              </w:rPr>
            </w:pPr>
          </w:p>
        </w:tc>
        <w:tc>
          <w:tcPr>
            <w:tcW w:w="1382" w:type="dxa"/>
            <w:noWrap w:val="0"/>
            <w:vAlign w:val="center"/>
          </w:tcPr>
          <w:p>
            <w:pPr>
              <w:widowControl/>
              <w:jc w:val="center"/>
              <w:rPr>
                <w:rFonts w:hint="default" w:eastAsia="宋体"/>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color w:val="000000"/>
                <w:sz w:val="20"/>
                <w:szCs w:val="20"/>
              </w:rPr>
            </w:pPr>
            <w:r>
              <w:rPr>
                <w:color w:val="000000"/>
                <w:kern w:val="0"/>
                <w:sz w:val="20"/>
                <w:szCs w:val="20"/>
                <w:lang w:bidi="ar"/>
              </w:rPr>
              <w:t>2</w:t>
            </w:r>
          </w:p>
        </w:tc>
        <w:tc>
          <w:tcPr>
            <w:tcW w:w="2491"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中水电磁流量计（干化循环）</w:t>
            </w:r>
          </w:p>
        </w:tc>
        <w:tc>
          <w:tcPr>
            <w:tcW w:w="2464" w:type="dxa"/>
            <w:noWrap/>
            <w:vAlign w:val="center"/>
          </w:tcPr>
          <w:p>
            <w:pPr>
              <w:widowControl/>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西门子MAG5000  DN300</w:t>
            </w:r>
          </w:p>
        </w:tc>
        <w:tc>
          <w:tcPr>
            <w:tcW w:w="866" w:type="dxa"/>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301" w:type="dxa"/>
            <w:noWrap w:val="0"/>
            <w:vAlign w:val="center"/>
          </w:tcPr>
          <w:p>
            <w:pPr>
              <w:jc w:val="center"/>
              <w:rPr>
                <w:rFonts w:hint="default" w:eastAsia="宋体"/>
                <w:sz w:val="20"/>
                <w:szCs w:val="20"/>
                <w:lang w:val="en-US" w:eastAsia="zh-CN"/>
              </w:rPr>
            </w:pPr>
          </w:p>
        </w:tc>
        <w:tc>
          <w:tcPr>
            <w:tcW w:w="1382" w:type="dxa"/>
            <w:noWrap w:val="0"/>
            <w:vAlign w:val="center"/>
          </w:tcPr>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3</w:t>
            </w:r>
          </w:p>
        </w:tc>
        <w:tc>
          <w:tcPr>
            <w:tcW w:w="2491"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中水电磁流量计（绿化）</w:t>
            </w:r>
          </w:p>
        </w:tc>
        <w:tc>
          <w:tcPr>
            <w:tcW w:w="2464" w:type="dxa"/>
            <w:noWrap/>
            <w:vAlign w:val="center"/>
          </w:tcPr>
          <w:p>
            <w:pPr>
              <w:widowControl/>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西门子MAG5000  DN300</w:t>
            </w:r>
          </w:p>
        </w:tc>
        <w:tc>
          <w:tcPr>
            <w:tcW w:w="866" w:type="dxa"/>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301" w:type="dxa"/>
            <w:noWrap w:val="0"/>
            <w:vAlign w:val="center"/>
          </w:tcPr>
          <w:p>
            <w:pPr>
              <w:jc w:val="center"/>
              <w:rPr>
                <w:rFonts w:hint="default" w:eastAsia="宋体"/>
                <w:sz w:val="20"/>
                <w:szCs w:val="20"/>
                <w:lang w:val="en-US" w:eastAsia="zh-CN"/>
              </w:rPr>
            </w:pPr>
          </w:p>
        </w:tc>
        <w:tc>
          <w:tcPr>
            <w:tcW w:w="1382" w:type="dxa"/>
            <w:noWrap w:val="0"/>
            <w:vAlign w:val="center"/>
          </w:tcPr>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4</w:t>
            </w:r>
          </w:p>
        </w:tc>
        <w:tc>
          <w:tcPr>
            <w:tcW w:w="2491"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干化进泥泵流量计</w:t>
            </w:r>
          </w:p>
        </w:tc>
        <w:tc>
          <w:tcPr>
            <w:tcW w:w="2464" w:type="dxa"/>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bidi="ar"/>
              </w:rPr>
              <w:t>TK1100FT1FSC101CT01K00</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DN125</w:t>
            </w:r>
            <w:r>
              <w:rPr>
                <w:rFonts w:hint="eastAsia" w:ascii="宋体" w:hAnsi="宋体" w:cs="宋体"/>
                <w:color w:val="000000"/>
                <w:kern w:val="0"/>
                <w:sz w:val="20"/>
                <w:szCs w:val="20"/>
                <w:lang w:val="en-US" w:eastAsia="zh-CN" w:bidi="ar"/>
              </w:rPr>
              <w:t xml:space="preserve">   </w:t>
            </w:r>
          </w:p>
        </w:tc>
        <w:tc>
          <w:tcPr>
            <w:tcW w:w="866"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67"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1301" w:type="dxa"/>
            <w:noWrap w:val="0"/>
            <w:vAlign w:val="center"/>
          </w:tcPr>
          <w:p>
            <w:pPr>
              <w:jc w:val="center"/>
              <w:rPr>
                <w:rFonts w:hint="default" w:eastAsia="宋体"/>
                <w:sz w:val="20"/>
                <w:szCs w:val="20"/>
                <w:lang w:val="en-US" w:eastAsia="zh-CN"/>
              </w:rPr>
            </w:pPr>
          </w:p>
        </w:tc>
        <w:tc>
          <w:tcPr>
            <w:tcW w:w="1382" w:type="dxa"/>
            <w:noWrap w:val="0"/>
            <w:vAlign w:val="center"/>
          </w:tcPr>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5</w:t>
            </w:r>
          </w:p>
        </w:tc>
        <w:tc>
          <w:tcPr>
            <w:tcW w:w="2491"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干化PAC流量计</w:t>
            </w:r>
          </w:p>
        </w:tc>
        <w:tc>
          <w:tcPr>
            <w:tcW w:w="2464"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TK1100FT25SC101CT01K00</w:t>
            </w:r>
            <w:r>
              <w:rPr>
                <w:rFonts w:hint="eastAsia" w:ascii="宋体" w:hAnsi="宋体" w:eastAsia="宋体" w:cs="宋体"/>
                <w:color w:val="000000"/>
                <w:kern w:val="0"/>
                <w:sz w:val="20"/>
                <w:szCs w:val="20"/>
                <w:lang w:val="en-US" w:eastAsia="zh-CN" w:bidi="ar"/>
              </w:rPr>
              <w:t xml:space="preserve"> DN25</w:t>
            </w:r>
          </w:p>
        </w:tc>
        <w:tc>
          <w:tcPr>
            <w:tcW w:w="866"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867"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1301" w:type="dxa"/>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382" w:type="dxa"/>
            <w:noWrap w:val="0"/>
            <w:vAlign w:val="center"/>
          </w:tcPr>
          <w:p>
            <w:pPr>
              <w:jc w:val="center"/>
              <w:rPr>
                <w:rFonts w:hint="default" w:eastAsia="宋体"/>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5" w:type="dxa"/>
            <w:noWrap/>
            <w:vAlign w:val="center"/>
          </w:tcPr>
          <w:p>
            <w:pPr>
              <w:widowControl/>
              <w:jc w:val="center"/>
              <w:textAlignment w:val="center"/>
              <w:rPr>
                <w:rFonts w:hint="default"/>
                <w:color w:val="000000"/>
                <w:sz w:val="20"/>
                <w:szCs w:val="20"/>
                <w:lang w:val="en-US" w:eastAsia="zh-CN"/>
              </w:rPr>
            </w:pPr>
            <w:r>
              <w:rPr>
                <w:rFonts w:hint="eastAsia"/>
                <w:color w:val="000000"/>
                <w:sz w:val="20"/>
                <w:szCs w:val="20"/>
                <w:lang w:val="en-US" w:eastAsia="zh-CN"/>
              </w:rPr>
              <w:t>6</w:t>
            </w:r>
          </w:p>
        </w:tc>
        <w:tc>
          <w:tcPr>
            <w:tcW w:w="2491"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加药间硫酸铝流量计</w:t>
            </w:r>
          </w:p>
        </w:tc>
        <w:tc>
          <w:tcPr>
            <w:tcW w:w="2464"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MAG5000</w:t>
            </w:r>
          </w:p>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DN32</w:t>
            </w:r>
          </w:p>
        </w:tc>
        <w:tc>
          <w:tcPr>
            <w:tcW w:w="866"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867"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台</w:t>
            </w:r>
          </w:p>
        </w:tc>
        <w:tc>
          <w:tcPr>
            <w:tcW w:w="1301" w:type="dxa"/>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382" w:type="dxa"/>
            <w:noWrap w:val="0"/>
            <w:vAlign w:val="center"/>
          </w:tcPr>
          <w:p>
            <w:pPr>
              <w:jc w:val="cente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794" w:type="dxa"/>
            <w:gridSpan w:val="6"/>
            <w:noWrap/>
            <w:vAlign w:val="center"/>
          </w:tcPr>
          <w:p>
            <w:pPr>
              <w:jc w:val="center"/>
              <w:rPr>
                <w:rFonts w:hint="eastAsia"/>
                <w:b/>
                <w:sz w:val="20"/>
                <w:szCs w:val="20"/>
              </w:rPr>
            </w:pPr>
            <w:r>
              <w:rPr>
                <w:rFonts w:hint="eastAsia"/>
                <w:b/>
                <w:sz w:val="20"/>
                <w:szCs w:val="20"/>
              </w:rPr>
              <w:t>合计</w:t>
            </w:r>
          </w:p>
        </w:tc>
        <w:tc>
          <w:tcPr>
            <w:tcW w:w="1382" w:type="dxa"/>
            <w:noWrap w:val="0"/>
            <w:vAlign w:val="center"/>
          </w:tcPr>
          <w:p>
            <w:pPr>
              <w:jc w:val="center"/>
              <w:rPr>
                <w:rFonts w:hint="default" w:eastAsia="宋体"/>
                <w:b/>
                <w:sz w:val="20"/>
                <w:szCs w:val="20"/>
                <w:lang w:val="en-US" w:eastAsia="zh-CN"/>
              </w:rPr>
            </w:pPr>
          </w:p>
        </w:tc>
      </w:tr>
    </w:tbl>
    <w:p>
      <w:pPr>
        <w:widowControl/>
        <w:spacing w:line="276" w:lineRule="auto"/>
        <w:jc w:val="left"/>
        <w:rPr>
          <w:bCs/>
          <w:sz w:val="24"/>
        </w:rPr>
      </w:pPr>
    </w:p>
    <w:p>
      <w:pPr>
        <w:pStyle w:val="46"/>
      </w:pPr>
    </w:p>
    <w:p>
      <w:pPr>
        <w:widowControl/>
        <w:spacing w:line="276" w:lineRule="auto"/>
        <w:ind w:firstLine="482"/>
        <w:jc w:val="left"/>
        <w:rPr>
          <w:bCs/>
          <w:sz w:val="24"/>
        </w:rPr>
      </w:pPr>
      <w:r>
        <w:rPr>
          <w:bCs/>
          <w:sz w:val="24"/>
        </w:rPr>
        <w:t>2.2服务工期及检测报告</w:t>
      </w:r>
    </w:p>
    <w:p>
      <w:pPr>
        <w:widowControl/>
        <w:spacing w:line="276" w:lineRule="auto"/>
        <w:ind w:firstLine="482"/>
        <w:jc w:val="left"/>
        <w:rPr>
          <w:bCs/>
          <w:sz w:val="24"/>
        </w:rPr>
      </w:pPr>
      <w:r>
        <w:rPr>
          <w:bCs/>
          <w:sz w:val="24"/>
        </w:rPr>
        <w:t>服务工期：合同签订之日起至202</w:t>
      </w:r>
      <w:r>
        <w:rPr>
          <w:rFonts w:hint="eastAsia"/>
          <w:bCs/>
          <w:sz w:val="24"/>
          <w:lang w:val="en-US" w:eastAsia="zh-CN"/>
        </w:rPr>
        <w:t>3</w:t>
      </w:r>
      <w:r>
        <w:rPr>
          <w:bCs/>
          <w:sz w:val="24"/>
        </w:rPr>
        <w:t>年12月31日。</w:t>
      </w:r>
    </w:p>
    <w:p>
      <w:pPr>
        <w:widowControl/>
        <w:spacing w:line="276" w:lineRule="auto"/>
        <w:ind w:firstLine="482"/>
        <w:jc w:val="left"/>
        <w:rPr>
          <w:bCs/>
          <w:sz w:val="24"/>
        </w:rPr>
      </w:pPr>
      <w:r>
        <w:rPr>
          <w:rFonts w:hint="eastAsia"/>
          <w:sz w:val="24"/>
        </w:rPr>
        <w:t>入厂校准时间：由双方另行商定。</w:t>
      </w:r>
    </w:p>
    <w:p>
      <w:pPr>
        <w:widowControl/>
        <w:spacing w:after="160" w:line="276" w:lineRule="auto"/>
        <w:ind w:firstLine="482"/>
        <w:jc w:val="left"/>
        <w:rPr>
          <w:b/>
          <w:bCs/>
          <w:sz w:val="24"/>
        </w:rPr>
      </w:pPr>
      <w:r>
        <w:rPr>
          <w:b/>
          <w:bCs/>
          <w:sz w:val="24"/>
        </w:rPr>
        <w:t>第三条</w:t>
      </w:r>
      <w:bookmarkStart w:id="90" w:name="_Toc183666514"/>
      <w:bookmarkStart w:id="91" w:name="_Toc107446842"/>
      <w:bookmarkStart w:id="92" w:name="_Toc26357"/>
      <w:bookmarkStart w:id="93" w:name="_Toc107447235"/>
      <w:r>
        <w:rPr>
          <w:b/>
          <w:bCs/>
          <w:sz w:val="24"/>
        </w:rPr>
        <w:t xml:space="preserve"> 合同价格</w:t>
      </w:r>
      <w:bookmarkEnd w:id="90"/>
      <w:bookmarkEnd w:id="91"/>
      <w:bookmarkEnd w:id="92"/>
      <w:bookmarkEnd w:id="93"/>
    </w:p>
    <w:p>
      <w:pPr>
        <w:widowControl/>
        <w:spacing w:after="160" w:line="276" w:lineRule="auto"/>
        <w:ind w:firstLine="482"/>
        <w:jc w:val="left"/>
        <w:rPr>
          <w:bCs/>
          <w:sz w:val="24"/>
        </w:rPr>
      </w:pPr>
      <w:r>
        <w:rPr>
          <w:bCs/>
          <w:sz w:val="24"/>
        </w:rPr>
        <w:t>3.1本合同</w:t>
      </w:r>
      <w:r>
        <w:rPr>
          <w:rFonts w:hint="eastAsia"/>
          <w:bCs/>
          <w:sz w:val="24"/>
        </w:rPr>
        <w:t>暂定</w:t>
      </w:r>
      <w:r>
        <w:rPr>
          <w:bCs/>
          <w:sz w:val="24"/>
        </w:rPr>
        <w:t>总价为</w:t>
      </w:r>
      <w:r>
        <w:rPr>
          <w:rFonts w:hint="eastAsia"/>
          <w:bCs/>
          <w:sz w:val="24"/>
          <w:u w:val="single"/>
          <w:lang w:val="en-US" w:eastAsia="zh-CN"/>
        </w:rPr>
        <w:t xml:space="preserve">      </w:t>
      </w:r>
      <w:r>
        <w:rPr>
          <w:bCs/>
          <w:sz w:val="24"/>
          <w:u w:val="single"/>
        </w:rPr>
        <w:t xml:space="preserve"> </w:t>
      </w:r>
      <w:r>
        <w:rPr>
          <w:bCs/>
          <w:sz w:val="24"/>
        </w:rPr>
        <w:t>万元</w:t>
      </w:r>
      <w:r>
        <w:rPr>
          <w:rFonts w:hint="eastAsia"/>
          <w:bCs/>
          <w:sz w:val="24"/>
        </w:rPr>
        <w:t>，</w:t>
      </w:r>
      <w:r>
        <w:rPr>
          <w:bCs/>
          <w:sz w:val="24"/>
        </w:rPr>
        <w:t>（人民币）大</w:t>
      </w:r>
      <w:r>
        <w:rPr>
          <w:rFonts w:hint="eastAsia"/>
          <w:bCs/>
          <w:sz w:val="24"/>
        </w:rPr>
        <w:t>写：</w:t>
      </w:r>
      <w:r>
        <w:rPr>
          <w:rFonts w:hint="eastAsia"/>
          <w:bCs/>
          <w:sz w:val="24"/>
          <w:u w:val="single"/>
          <w:lang w:val="en-US" w:eastAsia="zh-CN"/>
        </w:rPr>
        <w:t xml:space="preserve">                      </w:t>
      </w:r>
      <w:r>
        <w:rPr>
          <w:bCs/>
          <w:sz w:val="24"/>
          <w:u w:val="single"/>
        </w:rPr>
        <w:t>。</w:t>
      </w:r>
    </w:p>
    <w:p>
      <w:pPr>
        <w:widowControl/>
        <w:spacing w:after="160" w:line="276" w:lineRule="auto"/>
        <w:ind w:firstLine="482"/>
        <w:jc w:val="left"/>
        <w:rPr>
          <w:bCs/>
          <w:sz w:val="24"/>
        </w:rPr>
      </w:pPr>
      <w:r>
        <w:rPr>
          <w:bCs/>
          <w:sz w:val="24"/>
        </w:rPr>
        <w:t>3.2所有的服务价格包括了校准所需车辆、人员、工具、仪器、物料、运输保存、校准、证书出具</w:t>
      </w:r>
      <w:r>
        <w:rPr>
          <w:rFonts w:hint="eastAsia"/>
          <w:bCs/>
          <w:sz w:val="24"/>
        </w:rPr>
        <w:t>、下厂费、外包单位下厂费</w:t>
      </w:r>
      <w:r>
        <w:rPr>
          <w:bCs/>
          <w:sz w:val="24"/>
        </w:rPr>
        <w:t>等的全部费用。</w:t>
      </w:r>
    </w:p>
    <w:p>
      <w:pPr>
        <w:widowControl/>
        <w:spacing w:after="160" w:line="276" w:lineRule="auto"/>
        <w:ind w:firstLine="482"/>
        <w:jc w:val="left"/>
        <w:rPr>
          <w:bCs/>
          <w:sz w:val="24"/>
        </w:rPr>
      </w:pPr>
      <w:r>
        <w:rPr>
          <w:bCs/>
          <w:sz w:val="24"/>
        </w:rPr>
        <w:t>3.3承包方式为单价包干，按实结算。</w:t>
      </w:r>
      <w:r>
        <w:rPr>
          <w:rFonts w:hint="eastAsia"/>
          <w:bCs/>
          <w:sz w:val="24"/>
        </w:rPr>
        <w:t>本</w:t>
      </w:r>
      <w:r>
        <w:rPr>
          <w:bCs/>
          <w:sz w:val="24"/>
        </w:rPr>
        <w:t>合同约定的价格为含税价价格（税率</w:t>
      </w:r>
      <w:r>
        <w:rPr>
          <w:rFonts w:hint="eastAsia"/>
          <w:bCs/>
          <w:sz w:val="24"/>
        </w:rPr>
        <w:t>6%），</w:t>
      </w:r>
      <w:r>
        <w:rPr>
          <w:bCs/>
          <w:sz w:val="24"/>
        </w:rPr>
        <w:t>合同单价在合同有效期内为不变价。乙方已经充分考虑本合同履行期间的市场风险和国家政策性调整风险系数，并已计入报价，因此合同单价今后不因任何因素而作调整。</w:t>
      </w:r>
    </w:p>
    <w:p>
      <w:pPr>
        <w:spacing w:after="156" w:afterLines="50" w:line="440" w:lineRule="exact"/>
        <w:ind w:firstLine="482" w:firstLineChars="200"/>
        <w:rPr>
          <w:b/>
          <w:sz w:val="24"/>
        </w:rPr>
      </w:pPr>
      <w:r>
        <w:rPr>
          <w:b/>
          <w:sz w:val="24"/>
        </w:rPr>
        <w:t>第四条 服务要求</w:t>
      </w:r>
    </w:p>
    <w:p>
      <w:pPr>
        <w:widowControl/>
        <w:spacing w:after="160" w:line="276" w:lineRule="auto"/>
        <w:ind w:firstLine="482"/>
        <w:jc w:val="left"/>
        <w:rPr>
          <w:rFonts w:ascii="Times New Roman" w:hAnsi="Times New Roman" w:eastAsia="宋体" w:cs="Times New Roman"/>
          <w:bCs/>
          <w:sz w:val="24"/>
        </w:rPr>
      </w:pPr>
      <w:r>
        <w:rPr>
          <w:bCs/>
          <w:sz w:val="24"/>
        </w:rPr>
        <w:t>4.1</w:t>
      </w:r>
      <w:r>
        <w:rPr>
          <w:rFonts w:ascii="Times New Roman" w:hAnsi="Times New Roman" w:eastAsia="宋体" w:cs="Times New Roman"/>
          <w:bCs/>
          <w:sz w:val="24"/>
        </w:rPr>
        <w:t>.</w:t>
      </w:r>
      <w:r>
        <w:rPr>
          <w:rFonts w:hint="eastAsia" w:ascii="Times New Roman" w:hAnsi="Times New Roman" w:eastAsia="宋体" w:cs="Times New Roman"/>
          <w:bCs/>
          <w:sz w:val="24"/>
          <w:lang w:val="en-US" w:eastAsia="zh-CN"/>
        </w:rPr>
        <w:t>乙方</w:t>
      </w:r>
      <w:r>
        <w:rPr>
          <w:rFonts w:ascii="Times New Roman" w:hAnsi="Times New Roman" w:eastAsia="宋体" w:cs="Times New Roman"/>
          <w:bCs/>
          <w:sz w:val="24"/>
        </w:rPr>
        <w:t>自觉遵守甲方管理单位安全生产相关的管理制度，承担安全主体责任。</w:t>
      </w:r>
    </w:p>
    <w:p>
      <w:pPr>
        <w:widowControl/>
        <w:spacing w:after="160" w:line="276" w:lineRule="auto"/>
        <w:ind w:firstLine="482"/>
        <w:jc w:val="left"/>
        <w:rPr>
          <w:rFonts w:ascii="Times New Roman" w:hAnsi="Times New Roman" w:eastAsia="宋体" w:cs="Times New Roman"/>
          <w:bCs/>
          <w:sz w:val="24"/>
        </w:rPr>
      </w:pPr>
      <w:r>
        <w:rPr>
          <w:rFonts w:ascii="Times New Roman" w:hAnsi="Times New Roman" w:eastAsia="宋体" w:cs="Times New Roman"/>
          <w:bCs/>
          <w:sz w:val="24"/>
        </w:rPr>
        <w:t>4.2.</w:t>
      </w:r>
      <w:r>
        <w:rPr>
          <w:rFonts w:hint="eastAsia" w:ascii="Times New Roman" w:hAnsi="Times New Roman" w:eastAsia="宋体" w:cs="Times New Roman"/>
          <w:bCs/>
          <w:sz w:val="24"/>
        </w:rPr>
        <w:t>乙方将校准计划报告甲方，</w:t>
      </w:r>
      <w:r>
        <w:rPr>
          <w:rFonts w:ascii="Times New Roman" w:hAnsi="Times New Roman" w:eastAsia="宋体" w:cs="Times New Roman"/>
          <w:bCs/>
          <w:sz w:val="24"/>
        </w:rPr>
        <w:t>经甲方审核同意后开展服务工作。</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4.3</w:t>
      </w:r>
      <w:r>
        <w:rPr>
          <w:rFonts w:hint="eastAsia" w:ascii="Times New Roman" w:hAnsi="Times New Roman" w:eastAsia="宋体" w:cs="Times New Roman"/>
          <w:bCs/>
          <w:sz w:val="24"/>
        </w:rPr>
        <w:t>依据国家相关技术规程，运用专业技术知识、技术经验对甲方指定计量器具进行校准，出具校准证书</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4.4</w:t>
      </w:r>
      <w:r>
        <w:rPr>
          <w:rFonts w:hint="eastAsia" w:ascii="Times New Roman" w:hAnsi="Times New Roman" w:eastAsia="宋体" w:cs="Times New Roman"/>
          <w:bCs/>
          <w:sz w:val="24"/>
        </w:rPr>
        <w:t>乙方为甲方提供技术咨询服务，在更好保证仪表计量准确可靠的前提下，现场对仪表安装、使用、设季等影响计量性能的因素提出合</w:t>
      </w:r>
      <w:r>
        <w:rPr>
          <w:rFonts w:hint="eastAsia" w:ascii="Times New Roman" w:hAnsi="Times New Roman" w:eastAsia="宋体" w:cs="Times New Roman"/>
          <w:bCs/>
          <w:sz w:val="24"/>
          <w:lang w:val="en-US" w:eastAsia="zh-CN"/>
        </w:rPr>
        <w:t>理</w:t>
      </w:r>
      <w:r>
        <w:rPr>
          <w:rFonts w:hint="eastAsia" w:ascii="Times New Roman" w:hAnsi="Times New Roman" w:eastAsia="宋体" w:cs="Times New Roman"/>
          <w:bCs/>
          <w:sz w:val="24"/>
        </w:rPr>
        <w:t>的改正措施或可行性建议。乙方为甲方提供证书、发票寄送服务，快捷办理相关手续。</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4.5</w:t>
      </w:r>
      <w:r>
        <w:rPr>
          <w:rFonts w:hint="eastAsia" w:ascii="Times New Roman" w:hAnsi="Times New Roman" w:eastAsia="宋体" w:cs="Times New Roman"/>
          <w:bCs/>
          <w:sz w:val="24"/>
        </w:rPr>
        <w:t>若因现场条件无法</w:t>
      </w:r>
      <w:r>
        <w:rPr>
          <w:rFonts w:hint="eastAsia" w:ascii="Times New Roman" w:hAnsi="Times New Roman" w:eastAsia="宋体" w:cs="Times New Roman"/>
          <w:bCs/>
          <w:sz w:val="24"/>
          <w:lang w:val="en-US" w:eastAsia="zh-CN"/>
        </w:rPr>
        <w:t>满</w:t>
      </w:r>
      <w:r>
        <w:rPr>
          <w:rFonts w:hint="eastAsia" w:ascii="Times New Roman" w:hAnsi="Times New Roman" w:eastAsia="宋体" w:cs="Times New Roman"/>
          <w:bCs/>
          <w:sz w:val="24"/>
        </w:rPr>
        <w:t>足校准工作的，不出具任何形式的证书和说明，不收取相关费用。</w:t>
      </w:r>
    </w:p>
    <w:p>
      <w:pPr>
        <w:widowControl/>
        <w:spacing w:after="160" w:line="276" w:lineRule="auto"/>
        <w:ind w:firstLine="482"/>
        <w:jc w:val="left"/>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4.6</w:t>
      </w:r>
      <w:r>
        <w:rPr>
          <w:rFonts w:hint="eastAsia" w:ascii="Times New Roman" w:hAnsi="Times New Roman" w:eastAsia="宋体" w:cs="Times New Roman"/>
          <w:bCs/>
          <w:sz w:val="24"/>
        </w:rPr>
        <w:t>本次校准为甲方自愿委托乙方对其计量器具进行准</w:t>
      </w:r>
      <w:r>
        <w:rPr>
          <w:rFonts w:hint="eastAsia" w:ascii="Times New Roman" w:hAnsi="Times New Roman" w:eastAsia="宋体" w:cs="Times New Roman"/>
          <w:bCs/>
          <w:sz w:val="24"/>
          <w:lang w:val="en-US" w:eastAsia="zh-CN"/>
        </w:rPr>
        <w:t>确</w:t>
      </w:r>
      <w:r>
        <w:rPr>
          <w:rFonts w:hint="eastAsia" w:ascii="Times New Roman" w:hAnsi="Times New Roman" w:eastAsia="宋体" w:cs="Times New Roman"/>
          <w:bCs/>
          <w:sz w:val="24"/>
        </w:rPr>
        <w:t>度内部自查,不能代替强制检定。</w:t>
      </w:r>
    </w:p>
    <w:p>
      <w:pPr>
        <w:widowControl/>
        <w:spacing w:after="160" w:line="276" w:lineRule="auto"/>
        <w:ind w:firstLine="482"/>
        <w:jc w:val="left"/>
        <w:rPr>
          <w:rFonts w:hint="eastAsia"/>
          <w:bCs/>
          <w:sz w:val="24"/>
        </w:rPr>
      </w:pPr>
      <w:r>
        <w:rPr>
          <w:rFonts w:hint="eastAsia" w:ascii="Times New Roman" w:hAnsi="Times New Roman" w:eastAsia="宋体" w:cs="Times New Roman"/>
          <w:bCs/>
          <w:sz w:val="24"/>
          <w:lang w:val="en-US" w:eastAsia="zh-CN"/>
        </w:rPr>
        <w:t>4.7</w:t>
      </w:r>
      <w:r>
        <w:rPr>
          <w:rFonts w:hint="eastAsia" w:ascii="Times New Roman" w:hAnsi="Times New Roman" w:eastAsia="宋体" w:cs="Times New Roman"/>
          <w:bCs/>
          <w:sz w:val="24"/>
        </w:rPr>
        <w:t>现场实际受检仪器的类型、口径和数量发生变化，合同费用计取发生变化时，双方另行签订补充协议。</w:t>
      </w:r>
    </w:p>
    <w:p>
      <w:pPr>
        <w:spacing w:after="156" w:afterLines="50" w:line="440" w:lineRule="exact"/>
        <w:ind w:firstLine="482" w:firstLineChars="200"/>
        <w:rPr>
          <w:rFonts w:hint="eastAsia"/>
          <w:b/>
          <w:sz w:val="24"/>
        </w:rPr>
      </w:pPr>
      <w:r>
        <w:rPr>
          <w:b/>
          <w:sz w:val="24"/>
        </w:rPr>
        <w:t xml:space="preserve">第五条 </w:t>
      </w:r>
      <w:r>
        <w:rPr>
          <w:rFonts w:hint="eastAsia"/>
          <w:b/>
          <w:sz w:val="24"/>
        </w:rPr>
        <w:t>支付方式</w:t>
      </w:r>
    </w:p>
    <w:p>
      <w:pPr>
        <w:spacing w:after="156" w:afterLines="50" w:line="440" w:lineRule="exact"/>
        <w:ind w:firstLine="480" w:firstLineChars="200"/>
        <w:rPr>
          <w:rFonts w:hint="eastAsia"/>
          <w:bCs/>
          <w:sz w:val="24"/>
        </w:rPr>
      </w:pPr>
      <w:r>
        <w:rPr>
          <w:rFonts w:hint="eastAsia"/>
          <w:bCs/>
          <w:sz w:val="24"/>
          <w:lang w:val="en-US" w:eastAsia="zh-CN"/>
        </w:rPr>
        <w:t>5</w:t>
      </w:r>
      <w:r>
        <w:rPr>
          <w:rFonts w:hint="eastAsia"/>
          <w:bCs/>
          <w:sz w:val="24"/>
        </w:rPr>
        <w:t>、费用结算:</w:t>
      </w:r>
    </w:p>
    <w:p>
      <w:pPr>
        <w:spacing w:after="156" w:afterLines="50" w:line="440" w:lineRule="exact"/>
        <w:ind w:firstLine="480" w:firstLineChars="200"/>
        <w:rPr>
          <w:rFonts w:hint="eastAsia"/>
          <w:bCs/>
          <w:sz w:val="24"/>
        </w:rPr>
      </w:pPr>
      <w:r>
        <w:rPr>
          <w:rFonts w:hint="eastAsia"/>
          <w:bCs/>
          <w:sz w:val="24"/>
          <w:lang w:val="en-US" w:eastAsia="zh-CN"/>
        </w:rPr>
        <w:t>5</w:t>
      </w:r>
      <w:r>
        <w:rPr>
          <w:rFonts w:hint="eastAsia"/>
          <w:bCs/>
          <w:sz w:val="24"/>
        </w:rPr>
        <w:t>.1校准费用按实际发生费用计取。甲方应对现场受检仪器的类型、口径和数量符合性负责。</w:t>
      </w:r>
    </w:p>
    <w:p>
      <w:pPr>
        <w:spacing w:after="156" w:afterLines="50" w:line="440" w:lineRule="exact"/>
        <w:ind w:firstLine="480" w:firstLineChars="200"/>
        <w:rPr>
          <w:rFonts w:hint="eastAsia"/>
          <w:bCs/>
          <w:sz w:val="24"/>
        </w:rPr>
      </w:pPr>
      <w:r>
        <w:rPr>
          <w:rFonts w:hint="eastAsia"/>
          <w:bCs/>
          <w:sz w:val="24"/>
          <w:lang w:val="en-US" w:eastAsia="zh-CN"/>
        </w:rPr>
        <w:t>5</w:t>
      </w:r>
      <w:r>
        <w:rPr>
          <w:rFonts w:hint="eastAsia"/>
          <w:bCs/>
          <w:sz w:val="24"/>
        </w:rPr>
        <w:t>.2校准工作完成后，</w:t>
      </w:r>
      <w:r>
        <w:rPr>
          <w:rFonts w:hint="eastAsia"/>
          <w:bCs/>
          <w:sz w:val="24"/>
          <w:lang w:val="en-US" w:eastAsia="zh-CN"/>
        </w:rPr>
        <w:t>乙</w:t>
      </w:r>
      <w:r>
        <w:rPr>
          <w:rFonts w:hint="eastAsia"/>
          <w:bCs/>
          <w:sz w:val="24"/>
        </w:rPr>
        <w:t>方提供相应增值税专用发票至甲方下属单位</w:t>
      </w:r>
      <w:r>
        <w:rPr>
          <w:rFonts w:hint="eastAsia"/>
          <w:bCs/>
          <w:sz w:val="24"/>
          <w:lang w:val="en-US" w:eastAsia="zh-CN"/>
        </w:rPr>
        <w:t>江高</w:t>
      </w:r>
      <w:r>
        <w:rPr>
          <w:rFonts w:hint="eastAsia"/>
          <w:bCs/>
          <w:sz w:val="24"/>
        </w:rPr>
        <w:t>分公司，乙方确认费用到账后，五个工作日内提供校准证书。</w:t>
      </w:r>
    </w:p>
    <w:p>
      <w:pPr>
        <w:spacing w:line="500" w:lineRule="exact"/>
        <w:ind w:firstLine="480" w:firstLineChars="200"/>
        <w:rPr>
          <w:sz w:val="24"/>
        </w:rPr>
      </w:pPr>
      <w:r>
        <w:rPr>
          <w:sz w:val="24"/>
        </w:rPr>
        <w:t>5.</w:t>
      </w:r>
      <w:r>
        <w:rPr>
          <w:rFonts w:hint="eastAsia"/>
          <w:sz w:val="24"/>
          <w:lang w:val="en-US" w:eastAsia="zh-CN"/>
        </w:rPr>
        <w:t>3</w:t>
      </w:r>
      <w:r>
        <w:rPr>
          <w:sz w:val="24"/>
        </w:rPr>
        <w:t>乙方收款账户：</w:t>
      </w:r>
      <w:r>
        <w:rPr>
          <w:rFonts w:hint="eastAsia" w:ascii="宋体" w:hAnsi="宋体" w:cs="宋体"/>
          <w:sz w:val="24"/>
        </w:rPr>
        <w:t>；</w:t>
      </w:r>
    </w:p>
    <w:p>
      <w:pPr>
        <w:spacing w:line="500" w:lineRule="exact"/>
        <w:ind w:firstLine="1200" w:firstLineChars="500"/>
        <w:rPr>
          <w:sz w:val="24"/>
        </w:rPr>
      </w:pPr>
      <w:r>
        <w:rPr>
          <w:sz w:val="24"/>
        </w:rPr>
        <w:t>收款账号：；</w:t>
      </w:r>
    </w:p>
    <w:p>
      <w:pPr>
        <w:spacing w:line="500" w:lineRule="exact"/>
        <w:ind w:firstLine="1200" w:firstLineChars="500"/>
        <w:rPr>
          <w:sz w:val="24"/>
        </w:rPr>
      </w:pPr>
      <w:r>
        <w:rPr>
          <w:sz w:val="24"/>
        </w:rPr>
        <w:t>开户行：</w:t>
      </w:r>
      <w:r>
        <w:rPr>
          <w:rFonts w:hint="eastAsia" w:ascii="宋体" w:hAnsi="宋体" w:cs="宋体"/>
          <w:sz w:val="24"/>
        </w:rPr>
        <w:t>；</w:t>
      </w:r>
    </w:p>
    <w:p>
      <w:pPr>
        <w:spacing w:line="500" w:lineRule="exact"/>
        <w:ind w:firstLine="480" w:firstLineChars="200"/>
        <w:rPr>
          <w:sz w:val="24"/>
        </w:rPr>
      </w:pPr>
      <w:r>
        <w:rPr>
          <w:sz w:val="24"/>
        </w:rPr>
        <w:t>5.</w:t>
      </w:r>
      <w:r>
        <w:rPr>
          <w:rFonts w:hint="eastAsia"/>
          <w:sz w:val="24"/>
          <w:lang w:val="en-US" w:eastAsia="zh-CN"/>
        </w:rPr>
        <w:t>4</w:t>
      </w:r>
      <w:r>
        <w:rPr>
          <w:sz w:val="24"/>
        </w:rPr>
        <w:t>乙方在收款前需提交相应金额增值税专用发票给甲方。</w:t>
      </w:r>
    </w:p>
    <w:p>
      <w:pPr>
        <w:spacing w:line="500" w:lineRule="exact"/>
        <w:ind w:firstLine="480" w:firstLineChars="200"/>
        <w:rPr>
          <w:sz w:val="24"/>
        </w:rPr>
      </w:pPr>
      <w:r>
        <w:rPr>
          <w:sz w:val="24"/>
        </w:rPr>
        <w:t>增值税专用发票信息：</w:t>
      </w:r>
    </w:p>
    <w:p>
      <w:pPr>
        <w:spacing w:line="500" w:lineRule="exact"/>
        <w:ind w:firstLine="480" w:firstLineChars="200"/>
        <w:rPr>
          <w:sz w:val="24"/>
        </w:rPr>
      </w:pPr>
      <w:r>
        <w:rPr>
          <w:sz w:val="24"/>
        </w:rPr>
        <w:t>名称：广州市净水有限公司</w:t>
      </w:r>
    </w:p>
    <w:p>
      <w:pPr>
        <w:spacing w:line="500" w:lineRule="exact"/>
        <w:ind w:firstLine="480" w:firstLineChars="200"/>
        <w:rPr>
          <w:sz w:val="24"/>
        </w:rPr>
      </w:pPr>
      <w:r>
        <w:rPr>
          <w:sz w:val="24"/>
        </w:rPr>
        <w:t>税号：</w:t>
      </w:r>
      <w:r>
        <w:rPr>
          <w:sz w:val="24"/>
          <w:u w:val="single"/>
        </w:rPr>
        <w:t xml:space="preserve"> 91440101755584729Q</w:t>
      </w:r>
      <w:r>
        <w:rPr>
          <w:sz w:val="24"/>
        </w:rPr>
        <w:t xml:space="preserve"> ；  </w:t>
      </w:r>
    </w:p>
    <w:p>
      <w:pPr>
        <w:spacing w:line="500" w:lineRule="exact"/>
        <w:ind w:firstLine="480" w:firstLineChars="200"/>
        <w:rPr>
          <w:sz w:val="24"/>
        </w:rPr>
      </w:pPr>
      <w:r>
        <w:rPr>
          <w:sz w:val="24"/>
        </w:rPr>
        <w:t>地址：</w:t>
      </w:r>
      <w:r>
        <w:rPr>
          <w:sz w:val="24"/>
          <w:u w:val="single"/>
        </w:rPr>
        <w:t xml:space="preserve"> 广州市天河区临江大道501号 </w:t>
      </w:r>
      <w:r>
        <w:rPr>
          <w:sz w:val="24"/>
        </w:rPr>
        <w:t>；</w:t>
      </w:r>
    </w:p>
    <w:p>
      <w:pPr>
        <w:spacing w:line="360" w:lineRule="auto"/>
        <w:ind w:firstLine="480"/>
        <w:outlineLvl w:val="0"/>
        <w:rPr>
          <w:sz w:val="24"/>
        </w:rPr>
      </w:pPr>
      <w:r>
        <w:rPr>
          <w:sz w:val="24"/>
        </w:rPr>
        <w:t>5.3</w:t>
      </w:r>
      <w:r>
        <w:rPr>
          <w:rFonts w:hint="eastAsia"/>
          <w:sz w:val="24"/>
        </w:rPr>
        <w:t>付款方式</w:t>
      </w:r>
      <w:r>
        <w:rPr>
          <w:rFonts w:hint="eastAsia" w:ascii="宋体" w:hAnsi="宋体" w:cs="宋体"/>
          <w:color w:val="000000"/>
          <w:sz w:val="24"/>
        </w:rPr>
        <w:t>：</w:t>
      </w:r>
      <w:r>
        <w:rPr>
          <w:rFonts w:ascii="宋体" w:hAnsi="宋体" w:cs="宋体"/>
          <w:color w:val="000000"/>
          <w:sz w:val="24"/>
        </w:rPr>
        <w:t xml:space="preserve"> </w:t>
      </w:r>
      <w:r>
        <w:rPr>
          <w:rFonts w:ascii="宋体" w:hAnsi="宋体" w:cs="宋体"/>
          <w:color w:val="000000"/>
          <w:sz w:val="24"/>
        </w:rPr>
        <w:sym w:font="Wingdings" w:char="00FE"/>
      </w:r>
      <w:r>
        <w:rPr>
          <w:rFonts w:hint="eastAsia" w:ascii="宋体" w:hAnsi="宋体" w:cs="宋体"/>
          <w:color w:val="000000"/>
          <w:sz w:val="24"/>
        </w:rPr>
        <w:t>网银支付；</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支票；</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其他：</w:t>
      </w:r>
      <w:r>
        <w:rPr>
          <w:rFonts w:ascii="宋体" w:hAnsi="宋体" w:cs="宋体"/>
          <w:color w:val="000000"/>
          <w:sz w:val="24"/>
        </w:rPr>
        <w:t xml:space="preserve">       </w:t>
      </w:r>
    </w:p>
    <w:p>
      <w:pPr>
        <w:autoSpaceDE w:val="0"/>
        <w:autoSpaceDN w:val="0"/>
        <w:adjustRightInd w:val="0"/>
        <w:spacing w:line="360" w:lineRule="auto"/>
        <w:ind w:firstLine="482" w:firstLineChars="200"/>
        <w:rPr>
          <w:rFonts w:ascii="宋体" w:hAnsi="宋体" w:cs="宋体"/>
          <w:bCs/>
          <w:color w:val="000000"/>
          <w:sz w:val="24"/>
        </w:rPr>
      </w:pPr>
      <w:r>
        <w:rPr>
          <w:rFonts w:hint="eastAsia" w:ascii="宋体" w:hAnsi="宋体" w:cs="宋体"/>
          <w:b/>
          <w:color w:val="000000"/>
          <w:sz w:val="24"/>
        </w:rPr>
        <w:t>第六条</w:t>
      </w:r>
      <w:r>
        <w:rPr>
          <w:rFonts w:ascii="宋体" w:hAnsi="宋体" w:cs="宋体"/>
          <w:b/>
          <w:color w:val="000000"/>
          <w:sz w:val="24"/>
        </w:rPr>
        <w:t xml:space="preserve"> </w:t>
      </w:r>
      <w:r>
        <w:rPr>
          <w:rFonts w:hint="eastAsia" w:ascii="宋体" w:hAnsi="宋体" w:cs="宋体"/>
          <w:b/>
          <w:color w:val="000000"/>
          <w:sz w:val="24"/>
        </w:rPr>
        <w:t>履约担保</w:t>
      </w:r>
    </w:p>
    <w:p>
      <w:pPr>
        <w:spacing w:line="360" w:lineRule="auto"/>
        <w:ind w:firstLine="480"/>
        <w:outlineLvl w:val="0"/>
        <w:rPr>
          <w:sz w:val="24"/>
          <w:u w:val="single"/>
        </w:rPr>
      </w:pPr>
      <w:r>
        <w:rPr>
          <w:sz w:val="24"/>
        </w:rPr>
        <w:t>6.1履约担保：</w:t>
      </w:r>
      <w:r>
        <w:rPr>
          <w:sz w:val="24"/>
        </w:rPr>
        <w:sym w:font="Wingdings 2" w:char="0052"/>
      </w:r>
      <w:r>
        <w:rPr>
          <w:bCs/>
          <w:sz w:val="24"/>
        </w:rPr>
        <w:t xml:space="preserve">无；     </w:t>
      </w:r>
      <w:r>
        <w:rPr>
          <w:bCs/>
          <w:sz w:val="24"/>
          <w:bdr w:val="single" w:color="auto" w:sz="4" w:space="0"/>
        </w:rPr>
        <w:t xml:space="preserve">  </w:t>
      </w:r>
      <w:r>
        <w:rPr>
          <w:sz w:val="24"/>
        </w:rPr>
        <w:t>本合同签订后10天内</w:t>
      </w:r>
      <w:r>
        <w:rPr>
          <w:sz w:val="24"/>
          <w:u w:val="single"/>
        </w:rPr>
        <w:t>以合同价的10%作为履约保证金，</w:t>
      </w:r>
      <w:r>
        <w:rPr>
          <w:sz w:val="24"/>
        </w:rPr>
        <w:t>金额为：</w:t>
      </w:r>
      <w:r>
        <w:rPr>
          <w:sz w:val="24"/>
          <w:u w:val="single"/>
        </w:rPr>
        <w:t xml:space="preserve">    （大写人民币：            ）。</w:t>
      </w:r>
    </w:p>
    <w:p>
      <w:pPr>
        <w:pStyle w:val="20"/>
        <w:spacing w:before="0" w:beforeAutospacing="0" w:after="0" w:afterAutospacing="0" w:line="360" w:lineRule="auto"/>
        <w:ind w:firstLine="480"/>
        <w:rPr>
          <w:rFonts w:ascii="Times New Roman" w:hAnsi="Times New Roman"/>
        </w:rPr>
      </w:pPr>
      <w:bookmarkStart w:id="94" w:name="_Toc520190030"/>
      <w:bookmarkStart w:id="95" w:name="_Toc518992990"/>
      <w:bookmarkStart w:id="96" w:name="_Toc474245215"/>
      <w:r>
        <w:rPr>
          <w:rFonts w:ascii="Times New Roman" w:hAnsi="Times New Roman"/>
        </w:rPr>
        <w:t>6.2履约担保按以下任一种形式提供：</w:t>
      </w:r>
    </w:p>
    <w:p>
      <w:pPr>
        <w:pStyle w:val="20"/>
        <w:spacing w:before="0" w:beforeAutospacing="0" w:after="0" w:afterAutospacing="0" w:line="360" w:lineRule="auto"/>
        <w:ind w:firstLine="480"/>
        <w:rPr>
          <w:rFonts w:ascii="Times New Roman" w:hAnsi="Times New Roman"/>
        </w:rPr>
      </w:pPr>
      <w:r>
        <w:rPr>
          <w:rFonts w:ascii="Times New Roman" w:hAnsi="Times New Roman"/>
        </w:rPr>
        <w:t>1、符合甲方要求（详见附件6保函格式）的银行独立保函，</w:t>
      </w:r>
    </w:p>
    <w:p>
      <w:pPr>
        <w:pStyle w:val="20"/>
        <w:spacing w:before="0" w:beforeAutospacing="0" w:after="0" w:afterAutospacing="0" w:line="360" w:lineRule="auto"/>
        <w:ind w:firstLine="480"/>
        <w:rPr>
          <w:rFonts w:ascii="Times New Roman" w:hAnsi="Times New Roman"/>
        </w:rPr>
      </w:pPr>
      <w:r>
        <w:rPr>
          <w:rFonts w:ascii="Times New Roman" w:hAnsi="Times New Roman"/>
        </w:rPr>
        <w:t>2、现金转账至甲方以下指定账户：</w:t>
      </w:r>
    </w:p>
    <w:p>
      <w:pPr>
        <w:tabs>
          <w:tab w:val="left" w:pos="1995"/>
        </w:tabs>
        <w:spacing w:line="360" w:lineRule="auto"/>
        <w:ind w:firstLine="480" w:firstLineChars="200"/>
        <w:rPr>
          <w:bCs/>
          <w:sz w:val="24"/>
        </w:rPr>
      </w:pPr>
      <w:r>
        <w:rPr>
          <w:bCs/>
          <w:sz w:val="24"/>
        </w:rPr>
        <w:t>户名：广州市净水有限公司</w:t>
      </w:r>
    </w:p>
    <w:p>
      <w:pPr>
        <w:tabs>
          <w:tab w:val="left" w:pos="1995"/>
        </w:tabs>
        <w:spacing w:line="360" w:lineRule="auto"/>
        <w:ind w:firstLine="480" w:firstLineChars="200"/>
        <w:rPr>
          <w:bCs/>
          <w:sz w:val="24"/>
        </w:rPr>
      </w:pPr>
      <w:r>
        <w:rPr>
          <w:bCs/>
          <w:sz w:val="24"/>
        </w:rPr>
        <w:t>账号：82010154900000342</w:t>
      </w:r>
    </w:p>
    <w:p>
      <w:pPr>
        <w:tabs>
          <w:tab w:val="left" w:pos="1995"/>
        </w:tabs>
        <w:spacing w:line="360" w:lineRule="auto"/>
        <w:ind w:firstLine="480" w:firstLineChars="200"/>
        <w:rPr>
          <w:bCs/>
          <w:sz w:val="24"/>
        </w:rPr>
      </w:pPr>
      <w:r>
        <w:rPr>
          <w:bCs/>
          <w:sz w:val="24"/>
        </w:rPr>
        <w:t>开户行：浦发银行广州分行</w:t>
      </w:r>
    </w:p>
    <w:p>
      <w:pPr>
        <w:spacing w:line="360" w:lineRule="auto"/>
        <w:ind w:firstLine="480"/>
        <w:outlineLvl w:val="0"/>
        <w:rPr>
          <w:sz w:val="24"/>
        </w:rPr>
      </w:pPr>
      <w:r>
        <w:rPr>
          <w:sz w:val="24"/>
        </w:rPr>
        <w:t>6.3履约担保的担保期限和返还</w:t>
      </w:r>
    </w:p>
    <w:p>
      <w:pPr>
        <w:spacing w:line="360" w:lineRule="auto"/>
        <w:ind w:firstLine="480"/>
        <w:outlineLvl w:val="0"/>
        <w:rPr>
          <w:sz w:val="24"/>
        </w:rPr>
      </w:pPr>
      <w:r>
        <w:rPr>
          <w:sz w:val="24"/>
        </w:rPr>
        <w:t>6.3.1履约银行保函（或现金履约保证金）的担保期限：从提供履约担保（或转账成功）之日起至合同履行完成。</w:t>
      </w:r>
    </w:p>
    <w:p>
      <w:pPr>
        <w:spacing w:line="360" w:lineRule="auto"/>
        <w:ind w:firstLine="480" w:firstLineChars="200"/>
        <w:rPr>
          <w:sz w:val="24"/>
        </w:rPr>
      </w:pPr>
      <w:r>
        <w:rPr>
          <w:sz w:val="24"/>
        </w:rPr>
        <w:t>6.3.2履约银行保函在合同履行完成后，由乙方提出申请，甲方在</w:t>
      </w:r>
      <w:r>
        <w:rPr>
          <w:rFonts w:hint="eastAsia"/>
          <w:sz w:val="24"/>
        </w:rPr>
        <w:t>28</w:t>
      </w:r>
      <w:r>
        <w:rPr>
          <w:sz w:val="24"/>
          <w:u w:val="single"/>
        </w:rPr>
        <w:t xml:space="preserve"> </w:t>
      </w:r>
      <w:r>
        <w:rPr>
          <w:sz w:val="24"/>
        </w:rPr>
        <w:t>日内返还，不支付利息；</w:t>
      </w:r>
    </w:p>
    <w:p>
      <w:pPr>
        <w:spacing w:line="360" w:lineRule="auto"/>
        <w:ind w:firstLine="480" w:firstLineChars="200"/>
        <w:outlineLvl w:val="0"/>
        <w:rPr>
          <w:sz w:val="24"/>
        </w:rPr>
      </w:pPr>
      <w:r>
        <w:rPr>
          <w:sz w:val="24"/>
        </w:rPr>
        <w:t>6.3.3延长担保期限。履约银行保函形式提交履约保证金的，在银行保函到期前，乙方应提前</w:t>
      </w:r>
      <w:r>
        <w:rPr>
          <w:sz w:val="24"/>
          <w:u w:val="single"/>
        </w:rPr>
        <w:t xml:space="preserve"> </w:t>
      </w:r>
      <w:r>
        <w:rPr>
          <w:rFonts w:hint="eastAsia"/>
          <w:sz w:val="24"/>
          <w:u w:val="single"/>
        </w:rPr>
        <w:t>15</w:t>
      </w:r>
      <w:r>
        <w:rPr>
          <w:sz w:val="24"/>
          <w:u w:val="single"/>
        </w:rPr>
        <w:t xml:space="preserve">  </w:t>
      </w:r>
      <w:r>
        <w:rPr>
          <w:sz w:val="24"/>
        </w:rPr>
        <w:t>天向甲方提交新的保函以替换即将到期的保函。如乙方未及时提交的，甲方有权直接要求担保银行支付其担保的全部金额并解除合同。</w:t>
      </w:r>
    </w:p>
    <w:p>
      <w:pPr>
        <w:pStyle w:val="20"/>
        <w:spacing w:before="0" w:beforeAutospacing="0" w:after="0" w:afterAutospacing="0" w:line="360" w:lineRule="auto"/>
        <w:ind w:firstLine="525"/>
        <w:rPr>
          <w:rFonts w:ascii="Times New Roman" w:hAnsi="Times New Roman"/>
        </w:rPr>
      </w:pPr>
      <w:r>
        <w:rPr>
          <w:rFonts w:ascii="Times New Roman" w:hAnsi="Times New Roman"/>
        </w:rPr>
        <w:t>6.3.4现金履约保证金的退还：合同履行完成后，由乙方提出申请，甲方在</w:t>
      </w:r>
      <w:r>
        <w:rPr>
          <w:rFonts w:hint="eastAsia" w:ascii="Times New Roman" w:hAnsi="Times New Roman"/>
        </w:rPr>
        <w:t>28</w:t>
      </w:r>
      <w:r>
        <w:rPr>
          <w:rFonts w:ascii="Times New Roman" w:hAnsi="Times New Roman"/>
          <w:u w:val="single"/>
        </w:rPr>
        <w:t xml:space="preserve"> </w:t>
      </w:r>
      <w:r>
        <w:rPr>
          <w:rFonts w:ascii="Times New Roman" w:hAnsi="Times New Roman"/>
        </w:rPr>
        <w:t>天内将剩余履约保证金（无息）返还。</w:t>
      </w:r>
    </w:p>
    <w:p>
      <w:pPr>
        <w:spacing w:line="360" w:lineRule="auto"/>
        <w:ind w:firstLine="480"/>
        <w:outlineLvl w:val="0"/>
        <w:rPr>
          <w:sz w:val="24"/>
        </w:rPr>
      </w:pPr>
      <w:r>
        <w:rPr>
          <w:sz w:val="24"/>
        </w:rPr>
        <w:t>6.3.5甲方按合同约定提取履约担保金额后，乙方应在收到甲方通知后</w:t>
      </w:r>
      <w:r>
        <w:rPr>
          <w:sz w:val="24"/>
          <w:u w:val="single"/>
        </w:rPr>
        <w:t xml:space="preserve">  </w:t>
      </w:r>
      <w:r>
        <w:rPr>
          <w:rFonts w:hint="eastAsia"/>
          <w:sz w:val="24"/>
          <w:u w:val="single"/>
        </w:rPr>
        <w:t>7</w:t>
      </w:r>
      <w:r>
        <w:rPr>
          <w:sz w:val="24"/>
          <w:u w:val="single"/>
        </w:rPr>
        <w:t xml:space="preserve"> </w:t>
      </w:r>
      <w:r>
        <w:rPr>
          <w:sz w:val="24"/>
        </w:rPr>
        <w:t>天内补足数额，逾期未补足，则甲方有权提取履约担保的全部余额并解除合同。</w:t>
      </w:r>
    </w:p>
    <w:bookmarkEnd w:id="94"/>
    <w:bookmarkEnd w:id="95"/>
    <w:bookmarkEnd w:id="96"/>
    <w:p>
      <w:pPr>
        <w:spacing w:line="440" w:lineRule="exact"/>
        <w:ind w:firstLine="482"/>
        <w:rPr>
          <w:b/>
          <w:sz w:val="24"/>
        </w:rPr>
      </w:pPr>
      <w:r>
        <w:rPr>
          <w:b/>
          <w:sz w:val="24"/>
        </w:rPr>
        <w:t>第</w:t>
      </w:r>
      <w:r>
        <w:rPr>
          <w:rFonts w:hint="eastAsia"/>
          <w:b/>
          <w:sz w:val="24"/>
        </w:rPr>
        <w:t>七</w:t>
      </w:r>
      <w:r>
        <w:rPr>
          <w:b/>
          <w:sz w:val="24"/>
        </w:rPr>
        <w:t>条  质量保证</w:t>
      </w:r>
    </w:p>
    <w:p>
      <w:pPr>
        <w:spacing w:line="360" w:lineRule="auto"/>
        <w:ind w:firstLine="480"/>
        <w:outlineLvl w:val="0"/>
        <w:rPr>
          <w:sz w:val="24"/>
        </w:rPr>
      </w:pPr>
      <w:r>
        <w:rPr>
          <w:rFonts w:hint="eastAsia"/>
          <w:sz w:val="24"/>
        </w:rPr>
        <w:t>7</w:t>
      </w:r>
      <w:r>
        <w:rPr>
          <w:sz w:val="24"/>
        </w:rPr>
        <w:t>.1乙方必须严格按照所采用的标准、规范及本技术协议制定校准工作方案，校准人员须具有校准相关资格证书，校准所需工具、仪器、物料等符合校准规范要求。</w:t>
      </w:r>
    </w:p>
    <w:p>
      <w:pPr>
        <w:spacing w:line="360" w:lineRule="auto"/>
        <w:ind w:firstLine="480"/>
        <w:outlineLvl w:val="0"/>
        <w:rPr>
          <w:sz w:val="24"/>
        </w:rPr>
      </w:pPr>
      <w:r>
        <w:rPr>
          <w:rFonts w:hint="eastAsia"/>
          <w:sz w:val="24"/>
        </w:rPr>
        <w:t>7</w:t>
      </w:r>
      <w:r>
        <w:rPr>
          <w:sz w:val="24"/>
        </w:rPr>
        <w:t>.2校准方法须按照以校准项目的国家标准或行业标准等为准。</w:t>
      </w:r>
    </w:p>
    <w:p>
      <w:pPr>
        <w:spacing w:line="360" w:lineRule="auto"/>
        <w:ind w:firstLine="480"/>
        <w:outlineLvl w:val="0"/>
        <w:rPr>
          <w:rFonts w:ascii="Times New Roman" w:hAnsi="Times New Roman" w:eastAsia="宋体" w:cs="Times New Roman"/>
          <w:sz w:val="24"/>
          <w:lang w:val="zh-CN"/>
        </w:rPr>
      </w:pPr>
      <w:r>
        <w:rPr>
          <w:rFonts w:hint="eastAsia"/>
          <w:sz w:val="24"/>
        </w:rPr>
        <w:t>7</w:t>
      </w:r>
      <w:r>
        <w:rPr>
          <w:sz w:val="24"/>
        </w:rPr>
        <w:t>.3</w:t>
      </w:r>
      <w:r>
        <w:rPr>
          <w:rFonts w:hint="eastAsia" w:ascii="宋体" w:hAnsi="宋体" w:cs="宋体"/>
          <w:sz w:val="24"/>
        </w:rPr>
        <w:t>乙方所具有实验室计量校准认证资质（CNAS），所认证的校准能力必须包含</w:t>
      </w:r>
      <w:r>
        <w:rPr>
          <w:rFonts w:ascii="Times New Roman" w:hAnsi="Times New Roman" w:eastAsia="宋体" w:cs="Times New Roman"/>
          <w:sz w:val="24"/>
        </w:rPr>
        <w:t>本项目中所要求的校准项目</w:t>
      </w:r>
      <w:r>
        <w:rPr>
          <w:rFonts w:hint="eastAsia" w:ascii="Times New Roman" w:hAnsi="Times New Roman" w:eastAsia="宋体" w:cs="Times New Roman"/>
          <w:sz w:val="24"/>
        </w:rPr>
        <w:t>的</w:t>
      </w:r>
      <w:r>
        <w:rPr>
          <w:rFonts w:hint="eastAsia" w:ascii="Times New Roman" w:hAnsi="Times New Roman" w:eastAsia="宋体" w:cs="Times New Roman"/>
          <w:sz w:val="24"/>
          <w:lang w:val="en-US" w:eastAsia="zh-CN"/>
        </w:rPr>
        <w:t>流量计</w:t>
      </w:r>
      <w:r>
        <w:rPr>
          <w:rFonts w:ascii="Times New Roman" w:hAnsi="Times New Roman" w:eastAsia="宋体" w:cs="Times New Roman"/>
          <w:sz w:val="24"/>
        </w:rPr>
        <w:t>且在有效期内</w:t>
      </w:r>
      <w:r>
        <w:rPr>
          <w:rFonts w:hint="eastAsia" w:ascii="Times New Roman" w:hAnsi="Times New Roman" w:eastAsia="宋体" w:cs="Times New Roman"/>
          <w:sz w:val="24"/>
        </w:rPr>
        <w:t>，并能出具CNAS校准证书</w:t>
      </w:r>
      <w:r>
        <w:rPr>
          <w:rFonts w:ascii="Times New Roman" w:hAnsi="Times New Roman" w:eastAsia="宋体" w:cs="Times New Roman"/>
          <w:sz w:val="24"/>
        </w:rPr>
        <w:t>无CNAS资质</w:t>
      </w:r>
      <w:r>
        <w:rPr>
          <w:rFonts w:hint="eastAsia" w:ascii="Times New Roman" w:hAnsi="Times New Roman" w:eastAsia="宋体" w:cs="Times New Roman"/>
          <w:sz w:val="24"/>
        </w:rPr>
        <w:t>部分</w:t>
      </w:r>
      <w:r>
        <w:rPr>
          <w:rFonts w:ascii="Times New Roman" w:hAnsi="Times New Roman" w:eastAsia="宋体" w:cs="Times New Roman"/>
          <w:sz w:val="24"/>
        </w:rPr>
        <w:t>的仪器设备</w:t>
      </w:r>
      <w:r>
        <w:rPr>
          <w:rFonts w:hint="eastAsia" w:ascii="Times New Roman" w:hAnsi="Times New Roman" w:eastAsia="宋体" w:cs="Times New Roman"/>
          <w:sz w:val="24"/>
        </w:rPr>
        <w:t>须分包</w:t>
      </w:r>
      <w:r>
        <w:rPr>
          <w:rFonts w:ascii="Times New Roman" w:hAnsi="Times New Roman" w:eastAsia="宋体" w:cs="Times New Roman"/>
          <w:sz w:val="24"/>
        </w:rPr>
        <w:t>，</w:t>
      </w:r>
      <w:r>
        <w:rPr>
          <w:rFonts w:hint="eastAsia" w:ascii="Times New Roman" w:hAnsi="Times New Roman" w:eastAsia="宋体" w:cs="Times New Roman"/>
          <w:sz w:val="24"/>
        </w:rPr>
        <w:t>合同单价已</w:t>
      </w:r>
      <w:r>
        <w:rPr>
          <w:rFonts w:ascii="Times New Roman" w:hAnsi="Times New Roman" w:eastAsia="宋体" w:cs="Times New Roman"/>
          <w:sz w:val="24"/>
        </w:rPr>
        <w:t>为分包价。</w:t>
      </w:r>
    </w:p>
    <w:p>
      <w:pPr>
        <w:spacing w:line="360" w:lineRule="auto"/>
        <w:ind w:firstLine="480"/>
        <w:outlineLvl w:val="0"/>
        <w:rPr>
          <w:sz w:val="24"/>
        </w:rPr>
      </w:pPr>
      <w:r>
        <w:rPr>
          <w:rFonts w:hint="eastAsia"/>
          <w:sz w:val="24"/>
        </w:rPr>
        <w:t>7</w:t>
      </w:r>
      <w:r>
        <w:rPr>
          <w:sz w:val="24"/>
        </w:rPr>
        <w:t>.4安全文明施工（校准服务）要求：按照广州市净水有限公司安全生产管理规定施工，签订安全生产管理协议书。安装施工（校准服务）期间必须做好防护措施，施工人员需具备相关工作上岗证。</w:t>
      </w:r>
    </w:p>
    <w:p>
      <w:pPr>
        <w:spacing w:line="360" w:lineRule="auto"/>
        <w:ind w:firstLine="480"/>
        <w:outlineLvl w:val="0"/>
        <w:rPr>
          <w:sz w:val="24"/>
        </w:rPr>
      </w:pPr>
      <w:r>
        <w:rPr>
          <w:bCs/>
          <w:sz w:val="24"/>
        </w:rPr>
        <w:t>7.5</w:t>
      </w:r>
      <w:r>
        <w:rPr>
          <w:rFonts w:hint="eastAsia" w:ascii="宋体" w:hAnsi="宋体"/>
          <w:bCs/>
          <w:sz w:val="24"/>
        </w:rPr>
        <w:t>乙方须安排具有从事相应专业知识和专业技能的技术人员跟踪负责项目的校准、数据审核、报告出具等流程工作，并与甲方（其所属各单位）做好对接工作。乙方技术人员对校准、结果评价过程中出现的问题情况，应及时与甲方（其所属各单位）联系，并就甲方（其所属各单位）反映的校准、数据审核和报告出具等环节中问题及时作出回应，及时安排重检或给出解决办法。</w:t>
      </w:r>
    </w:p>
    <w:p>
      <w:pPr>
        <w:spacing w:line="440" w:lineRule="exact"/>
        <w:ind w:firstLine="482"/>
        <w:rPr>
          <w:bCs/>
          <w:sz w:val="24"/>
        </w:rPr>
      </w:pPr>
      <w:r>
        <w:rPr>
          <w:b/>
          <w:sz w:val="24"/>
        </w:rPr>
        <w:t>第</w:t>
      </w:r>
      <w:r>
        <w:rPr>
          <w:rFonts w:hint="eastAsia"/>
          <w:b/>
          <w:sz w:val="24"/>
        </w:rPr>
        <w:t>八</w:t>
      </w:r>
      <w:r>
        <w:rPr>
          <w:b/>
          <w:sz w:val="24"/>
        </w:rPr>
        <w:t>条 违约责任</w:t>
      </w:r>
    </w:p>
    <w:p>
      <w:pPr>
        <w:spacing w:line="440" w:lineRule="exact"/>
        <w:ind w:firstLine="482"/>
        <w:rPr>
          <w:bCs/>
          <w:sz w:val="24"/>
        </w:rPr>
      </w:pPr>
      <w:r>
        <w:rPr>
          <w:rFonts w:hint="eastAsia"/>
          <w:bCs/>
          <w:sz w:val="24"/>
        </w:rPr>
        <w:t>8</w:t>
      </w:r>
      <w:r>
        <w:rPr>
          <w:bCs/>
          <w:sz w:val="24"/>
        </w:rPr>
        <w:t>.1因不可抗</w:t>
      </w:r>
      <w:r>
        <w:rPr>
          <w:rFonts w:hint="eastAsia"/>
          <w:bCs/>
          <w:sz w:val="24"/>
        </w:rPr>
        <w:t>力</w:t>
      </w:r>
      <w:r>
        <w:rPr>
          <w:bCs/>
          <w:sz w:val="24"/>
        </w:rPr>
        <w:t>因素(如战争、台风、洪水或双方同意的其它情况)引起校准进度延误，在此情况下，校准进度应相应顺延，如延期超过30天，任何一方有权终止合同，但双方继续履行在合同终止生效日期之前的责任和义务。</w:t>
      </w:r>
    </w:p>
    <w:p>
      <w:pPr>
        <w:spacing w:line="440" w:lineRule="exact"/>
        <w:ind w:firstLine="482"/>
        <w:rPr>
          <w:bCs/>
          <w:sz w:val="24"/>
        </w:rPr>
      </w:pPr>
      <w:r>
        <w:rPr>
          <w:rFonts w:hint="eastAsia"/>
          <w:bCs/>
          <w:sz w:val="24"/>
        </w:rPr>
        <w:t>8</w:t>
      </w:r>
      <w:r>
        <w:rPr>
          <w:bCs/>
          <w:sz w:val="24"/>
        </w:rPr>
        <w:t>.2若违反本合同的约定，违约方应当按照当时生效的《中华人民共和国</w:t>
      </w:r>
      <w:r>
        <w:rPr>
          <w:rFonts w:hint="eastAsia"/>
          <w:bCs/>
          <w:sz w:val="24"/>
        </w:rPr>
        <w:t>民法典</w:t>
      </w:r>
      <w:r>
        <w:rPr>
          <w:bCs/>
          <w:sz w:val="24"/>
        </w:rPr>
        <w:t>》的相关规定，承担违约责任。</w:t>
      </w:r>
    </w:p>
    <w:p>
      <w:pPr>
        <w:spacing w:line="440" w:lineRule="exact"/>
        <w:ind w:firstLine="482"/>
        <w:rPr>
          <w:bCs/>
          <w:sz w:val="24"/>
        </w:rPr>
      </w:pPr>
      <w:r>
        <w:rPr>
          <w:bCs/>
          <w:sz w:val="24"/>
        </w:rPr>
        <w:t>8.3若乙方未按合同要求进行校准且没有事先与甲方沟通，造成甲方损失的，应由乙方赔偿甲方损失,但最高赔偿额不超过当次已支付服务费用的2倍。如果原样品在有效期内且甲方明确要求重检，乙方免费安排重新校准。</w:t>
      </w:r>
    </w:p>
    <w:p>
      <w:pPr>
        <w:spacing w:line="440" w:lineRule="exact"/>
        <w:ind w:firstLine="482"/>
        <w:rPr>
          <w:bCs/>
          <w:sz w:val="24"/>
        </w:rPr>
      </w:pPr>
      <w:r>
        <w:rPr>
          <w:b/>
          <w:sz w:val="24"/>
        </w:rPr>
        <w:t>第九条 变更或解除</w:t>
      </w:r>
    </w:p>
    <w:p>
      <w:pPr>
        <w:spacing w:line="440" w:lineRule="exact"/>
        <w:ind w:firstLine="482"/>
        <w:rPr>
          <w:bCs/>
          <w:sz w:val="24"/>
        </w:rPr>
      </w:pPr>
      <w:bookmarkStart w:id="97" w:name="_Toc306350466"/>
      <w:bookmarkStart w:id="98" w:name="_Toc5786"/>
      <w:bookmarkStart w:id="99" w:name="_Toc183666530"/>
      <w:r>
        <w:rPr>
          <w:bCs/>
          <w:sz w:val="24"/>
        </w:rPr>
        <w:t>9.1 甲方解除合同</w:t>
      </w:r>
    </w:p>
    <w:p>
      <w:pPr>
        <w:spacing w:line="440" w:lineRule="exact"/>
        <w:ind w:firstLine="482"/>
        <w:rPr>
          <w:bCs/>
          <w:sz w:val="24"/>
        </w:rPr>
      </w:pPr>
      <w:r>
        <w:rPr>
          <w:bCs/>
          <w:sz w:val="24"/>
        </w:rPr>
        <w:t>如乙方存在下述情况之一，甲方有权向乙方发出书面通知，全部或部分解除本合同：</w:t>
      </w:r>
    </w:p>
    <w:p>
      <w:pPr>
        <w:spacing w:line="440" w:lineRule="exact"/>
        <w:ind w:firstLine="482"/>
        <w:rPr>
          <w:bCs/>
          <w:sz w:val="24"/>
        </w:rPr>
      </w:pPr>
      <w:r>
        <w:rPr>
          <w:bCs/>
          <w:sz w:val="24"/>
        </w:rPr>
        <w:t xml:space="preserve">9.1.1 乙方未能在本合同约定或甲方另行指定的期限内提供部分或全部服务，并经甲方催告后在合理期限内仍未提供； </w:t>
      </w:r>
    </w:p>
    <w:p>
      <w:pPr>
        <w:spacing w:line="440" w:lineRule="exact"/>
        <w:ind w:firstLine="482"/>
        <w:rPr>
          <w:bCs/>
          <w:sz w:val="24"/>
        </w:rPr>
      </w:pPr>
      <w:r>
        <w:rPr>
          <w:bCs/>
          <w:sz w:val="24"/>
        </w:rPr>
        <w:t>9.1.2 乙方提供服务存在严重的质量问题，导致本合同目的不能实现；</w:t>
      </w:r>
    </w:p>
    <w:p>
      <w:pPr>
        <w:spacing w:line="440" w:lineRule="exact"/>
        <w:ind w:firstLine="482"/>
        <w:rPr>
          <w:bCs/>
          <w:sz w:val="24"/>
        </w:rPr>
      </w:pPr>
      <w:r>
        <w:rPr>
          <w:bCs/>
          <w:sz w:val="24"/>
        </w:rPr>
        <w:t>9.1.3 乙方存在违反合同义务的其他情形。</w:t>
      </w:r>
    </w:p>
    <w:p>
      <w:pPr>
        <w:spacing w:line="440" w:lineRule="exact"/>
        <w:ind w:firstLine="482"/>
        <w:rPr>
          <w:bCs/>
          <w:sz w:val="24"/>
        </w:rPr>
      </w:pPr>
      <w:r>
        <w:rPr>
          <w:bCs/>
          <w:sz w:val="24"/>
        </w:rPr>
        <w:t>9.2 乙方解除合同</w:t>
      </w:r>
    </w:p>
    <w:p>
      <w:pPr>
        <w:spacing w:line="440" w:lineRule="exact"/>
        <w:ind w:firstLine="482"/>
        <w:rPr>
          <w:bCs/>
          <w:sz w:val="24"/>
        </w:rPr>
      </w:pPr>
      <w:r>
        <w:rPr>
          <w:bCs/>
          <w:sz w:val="24"/>
        </w:rPr>
        <w:t>如甲方无正当理由未能按本合同约定期限向乙方支付合同款，并经乙方催告后超过</w:t>
      </w:r>
      <w:r>
        <w:rPr>
          <w:rFonts w:hint="eastAsia"/>
          <w:bCs/>
          <w:sz w:val="24"/>
        </w:rPr>
        <w:t>10</w:t>
      </w:r>
      <w:r>
        <w:rPr>
          <w:bCs/>
          <w:sz w:val="24"/>
        </w:rPr>
        <w:t>天仍未支付，乙方有权以书面通知解除本合同。</w:t>
      </w:r>
    </w:p>
    <w:p>
      <w:pPr>
        <w:spacing w:line="440" w:lineRule="exact"/>
        <w:ind w:firstLine="482"/>
        <w:rPr>
          <w:b/>
          <w:sz w:val="24"/>
        </w:rPr>
      </w:pPr>
      <w:r>
        <w:rPr>
          <w:bCs/>
          <w:sz w:val="24"/>
        </w:rPr>
        <w:t xml:space="preserve">9.3 </w:t>
      </w:r>
      <w:r>
        <w:rPr>
          <w:sz w:val="24"/>
        </w:rPr>
        <w:t>甲乙双方经协商一致后解除合同。</w:t>
      </w:r>
      <w:bookmarkEnd w:id="97"/>
      <w:bookmarkEnd w:id="98"/>
      <w:bookmarkEnd w:id="99"/>
    </w:p>
    <w:p>
      <w:pPr>
        <w:spacing w:line="420" w:lineRule="exact"/>
        <w:ind w:firstLine="482"/>
        <w:rPr>
          <w:bCs/>
          <w:sz w:val="24"/>
        </w:rPr>
      </w:pPr>
      <w:r>
        <w:rPr>
          <w:b/>
          <w:sz w:val="24"/>
        </w:rPr>
        <w:t>第十条 不可抗力</w:t>
      </w:r>
    </w:p>
    <w:p>
      <w:pPr>
        <w:spacing w:line="480" w:lineRule="exact"/>
        <w:ind w:firstLine="480" w:firstLineChars="200"/>
        <w:rPr>
          <w:sz w:val="24"/>
        </w:rPr>
      </w:pPr>
      <w:r>
        <w:rPr>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sz w:val="24"/>
        </w:rPr>
      </w:pPr>
      <w:r>
        <w:rPr>
          <w:sz w:val="24"/>
        </w:rPr>
        <w:t>（1）地震、火山爆发、滑坡、暴雨（橙色预警及以上）、台风（黄色预警及以上）、海啸、龙卷风、大面积流行病(如：非典型性肺炎等)或瘟疫；</w:t>
      </w:r>
    </w:p>
    <w:p>
      <w:pPr>
        <w:spacing w:line="480" w:lineRule="exact"/>
        <w:ind w:firstLine="480" w:firstLineChars="200"/>
        <w:rPr>
          <w:sz w:val="24"/>
        </w:rPr>
      </w:pPr>
      <w:r>
        <w:rPr>
          <w:sz w:val="24"/>
        </w:rPr>
        <w:t>（2）战争行为、入侵、武装冲突或外敌行为、封锁、暴乱、恐怖行为或军事演习；</w:t>
      </w:r>
    </w:p>
    <w:p>
      <w:pPr>
        <w:spacing w:line="480" w:lineRule="exact"/>
        <w:ind w:firstLine="480" w:firstLineChars="200"/>
        <w:rPr>
          <w:sz w:val="24"/>
        </w:rPr>
      </w:pPr>
      <w:r>
        <w:rPr>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sz w:val="24"/>
        </w:rPr>
      </w:pPr>
      <w:r>
        <w:rPr>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pPr>
      <w:r>
        <w:rPr>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sz w:val="24"/>
        </w:rPr>
      </w:pPr>
      <w:r>
        <w:rPr>
          <w:b/>
          <w:sz w:val="24"/>
        </w:rPr>
        <w:t>第十一条  争议解决</w:t>
      </w:r>
    </w:p>
    <w:p>
      <w:pPr>
        <w:spacing w:line="360" w:lineRule="auto"/>
        <w:ind w:firstLine="480" w:firstLineChars="200"/>
        <w:rPr>
          <w:sz w:val="24"/>
        </w:rPr>
      </w:pPr>
      <w:bookmarkStart w:id="100" w:name="_Toc518993003"/>
      <w:bookmarkStart w:id="101" w:name="_Toc474245229"/>
      <w:bookmarkStart w:id="102" w:name="_Toc520190043"/>
      <w:r>
        <w:rPr>
          <w:sz w:val="24"/>
        </w:rPr>
        <w:t>11.1 因本合同引起的或与本合同有关的任何争议，甲乙双方应友好协商解决，如协商不成，任何一方均可依法向</w:t>
      </w:r>
      <w:r>
        <w:rPr>
          <w:sz w:val="24"/>
          <w:u w:val="single"/>
        </w:rPr>
        <w:t>甲方所在地人民法院</w:t>
      </w:r>
      <w:r>
        <w:rPr>
          <w:sz w:val="24"/>
        </w:rPr>
        <w:t>提起诉讼。</w:t>
      </w:r>
    </w:p>
    <w:p>
      <w:pPr>
        <w:spacing w:line="360" w:lineRule="auto"/>
        <w:ind w:firstLine="480" w:firstLineChars="200"/>
        <w:rPr>
          <w:sz w:val="24"/>
        </w:rPr>
      </w:pPr>
      <w:r>
        <w:rPr>
          <w:sz w:val="24"/>
        </w:rPr>
        <w:t>11.2 在甲方同意的情况下，除有争端之外的合同其它部分在争端解决前应继续执行。</w:t>
      </w:r>
    </w:p>
    <w:p>
      <w:pPr>
        <w:spacing w:line="440" w:lineRule="exact"/>
        <w:ind w:firstLine="482"/>
        <w:rPr>
          <w:b/>
          <w:sz w:val="24"/>
        </w:rPr>
      </w:pPr>
      <w:r>
        <w:rPr>
          <w:b/>
          <w:sz w:val="24"/>
        </w:rPr>
        <w:t>第十二条</w:t>
      </w:r>
      <w:bookmarkStart w:id="103" w:name="_Toc107446871"/>
      <w:bookmarkStart w:id="104" w:name="_Toc107447264"/>
      <w:r>
        <w:rPr>
          <w:b/>
          <w:sz w:val="24"/>
        </w:rPr>
        <w:t xml:space="preserve">  其他</w:t>
      </w:r>
      <w:bookmarkEnd w:id="100"/>
      <w:bookmarkEnd w:id="101"/>
      <w:bookmarkEnd w:id="102"/>
      <w:bookmarkEnd w:id="103"/>
      <w:bookmarkEnd w:id="104"/>
    </w:p>
    <w:p>
      <w:pPr>
        <w:spacing w:line="360" w:lineRule="auto"/>
        <w:ind w:firstLine="595" w:firstLineChars="248"/>
        <w:rPr>
          <w:b/>
          <w:sz w:val="24"/>
        </w:rPr>
      </w:pPr>
      <w:bookmarkStart w:id="105" w:name="_Hlk40085651"/>
      <w:r>
        <w:rPr>
          <w:bCs/>
          <w:sz w:val="24"/>
        </w:rPr>
        <w:t>12.1</w:t>
      </w:r>
      <w:r>
        <w:rPr>
          <w:sz w:val="24"/>
        </w:rPr>
        <w:t>本合同未尽事宜，可由甲乙双方另行签订补充协议。补充协议与本合同具有同等法律效力。</w:t>
      </w:r>
    </w:p>
    <w:p>
      <w:pPr>
        <w:spacing w:line="360" w:lineRule="auto"/>
        <w:ind w:firstLine="600" w:firstLineChars="250"/>
        <w:rPr>
          <w:sz w:val="24"/>
        </w:rPr>
      </w:pPr>
      <w:r>
        <w:rPr>
          <w:sz w:val="24"/>
        </w:rPr>
        <w:t>12.2本合同自甲乙双方法定代表人或授权代理人签字并加盖公章之日起生效。</w:t>
      </w:r>
    </w:p>
    <w:p>
      <w:pPr>
        <w:spacing w:line="360" w:lineRule="auto"/>
        <w:ind w:firstLine="600" w:firstLineChars="250"/>
        <w:rPr>
          <w:sz w:val="24"/>
        </w:rPr>
      </w:pPr>
      <w:r>
        <w:rPr>
          <w:sz w:val="24"/>
        </w:rPr>
        <w:t>12.3本合同一式</w:t>
      </w:r>
      <w:r>
        <w:rPr>
          <w:rFonts w:hint="eastAsia"/>
          <w:sz w:val="24"/>
          <w:u w:val="single"/>
        </w:rPr>
        <w:t xml:space="preserve"> 伍 </w:t>
      </w:r>
      <w:r>
        <w:rPr>
          <w:sz w:val="24"/>
        </w:rPr>
        <w:t>份，甲方执</w:t>
      </w:r>
      <w:r>
        <w:rPr>
          <w:rFonts w:hint="eastAsia"/>
          <w:sz w:val="24"/>
          <w:u w:val="single"/>
        </w:rPr>
        <w:t xml:space="preserve"> 肆 </w:t>
      </w:r>
      <w:r>
        <w:rPr>
          <w:sz w:val="24"/>
        </w:rPr>
        <w:t>份，乙方执</w:t>
      </w:r>
      <w:r>
        <w:rPr>
          <w:rFonts w:hint="eastAsia"/>
          <w:sz w:val="24"/>
          <w:u w:val="single"/>
        </w:rPr>
        <w:t xml:space="preserve"> 壹 </w:t>
      </w:r>
      <w:r>
        <w:rPr>
          <w:sz w:val="24"/>
        </w:rPr>
        <w:t>份。均具有同等法律效力。</w:t>
      </w:r>
    </w:p>
    <w:p>
      <w:pPr>
        <w:spacing w:line="360" w:lineRule="auto"/>
        <w:ind w:firstLine="600" w:firstLineChars="250"/>
        <w:rPr>
          <w:rFonts w:hint="eastAsia"/>
          <w:sz w:val="24"/>
          <w:u w:val="single"/>
        </w:rPr>
      </w:pPr>
      <w:r>
        <w:rPr>
          <w:sz w:val="24"/>
        </w:rPr>
        <w:t>12.4补充条款：</w:t>
      </w:r>
      <w:r>
        <w:rPr>
          <w:rFonts w:hint="eastAsia"/>
          <w:sz w:val="24"/>
          <w:u w:val="single"/>
        </w:rPr>
        <w:t xml:space="preserve">  / 。</w:t>
      </w:r>
    </w:p>
    <w:p>
      <w:pPr>
        <w:spacing w:line="360" w:lineRule="auto"/>
        <w:ind w:firstLine="600" w:firstLineChars="250"/>
        <w:rPr>
          <w:rFonts w:hint="eastAsia"/>
          <w:sz w:val="24"/>
          <w:u w:val="single"/>
        </w:rPr>
      </w:pPr>
    </w:p>
    <w:p>
      <w:pPr>
        <w:spacing w:line="360" w:lineRule="auto"/>
        <w:ind w:firstLine="600" w:firstLineChars="250"/>
        <w:rPr>
          <w:sz w:val="24"/>
          <w:u w:val="single"/>
        </w:rPr>
      </w:pPr>
    </w:p>
    <w:p>
      <w:pPr>
        <w:pStyle w:val="2"/>
        <w:rPr>
          <w:sz w:val="24"/>
          <w:u w:val="single"/>
        </w:rPr>
      </w:pPr>
    </w:p>
    <w:p>
      <w:pPr>
        <w:pStyle w:val="2"/>
        <w:rPr>
          <w:sz w:val="24"/>
          <w:u w:val="single"/>
        </w:rPr>
      </w:pPr>
    </w:p>
    <w:p>
      <w:pPr>
        <w:pStyle w:val="2"/>
        <w:rPr>
          <w:sz w:val="24"/>
          <w:u w:val="single"/>
        </w:rPr>
      </w:pPr>
    </w:p>
    <w:p>
      <w:pPr>
        <w:pStyle w:val="2"/>
        <w:rPr>
          <w:sz w:val="24"/>
          <w:u w:val="single"/>
        </w:rPr>
      </w:pPr>
    </w:p>
    <w:bookmarkEnd w:id="105"/>
    <w:p>
      <w:pPr>
        <w:spacing w:line="384" w:lineRule="auto"/>
        <w:rPr>
          <w:rFonts w:hint="default" w:ascii="宋体" w:hAnsi="宋体" w:eastAsia="宋体" w:cs="宋体"/>
          <w:sz w:val="24"/>
          <w:lang w:val="en-US" w:eastAsia="zh-CN"/>
        </w:rPr>
      </w:pPr>
      <w:r>
        <w:rPr>
          <w:rFonts w:hint="eastAsia" w:ascii="宋体" w:hAnsi="宋体" w:cs="宋体"/>
          <w:sz w:val="24"/>
        </w:rPr>
        <w:t>附件：</w:t>
      </w:r>
      <w:r>
        <w:rPr>
          <w:rFonts w:ascii="宋体" w:hAnsi="宋体" w:cs="宋体"/>
          <w:sz w:val="24"/>
        </w:rPr>
        <w:t>1</w:t>
      </w:r>
      <w:r>
        <w:rPr>
          <w:rFonts w:hint="eastAsia" w:ascii="宋体" w:hAnsi="宋体" w:cs="宋体"/>
          <w:sz w:val="24"/>
          <w:lang w:val="en-US" w:eastAsia="zh-CN"/>
        </w:rPr>
        <w:t>.</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营运场所施工安全协议书</w:t>
      </w:r>
    </w:p>
    <w:p>
      <w:pPr>
        <w:spacing w:line="384" w:lineRule="auto"/>
        <w:ind w:firstLine="720" w:firstLineChars="300"/>
        <w:rPr>
          <w:rFonts w:hint="default" w:ascii="宋体" w:hAnsi="宋体" w:eastAsia="宋体" w:cs="宋体"/>
          <w:sz w:val="24"/>
          <w:lang w:val="en-US" w:eastAsia="zh-CN"/>
        </w:rPr>
      </w:pPr>
      <w:r>
        <w:rPr>
          <w:rFonts w:ascii="宋体" w:hAnsi="宋体" w:cs="宋体"/>
          <w:sz w:val="24"/>
        </w:rPr>
        <w:t>3.</w:t>
      </w:r>
      <w:r>
        <w:rPr>
          <w:rFonts w:hint="eastAsia" w:ascii="宋体" w:hAnsi="宋体" w:cs="宋体"/>
          <w:sz w:val="24"/>
          <w:lang w:val="en-US" w:eastAsia="zh-CN"/>
        </w:rPr>
        <w:t>报价单</w:t>
      </w:r>
    </w:p>
    <w:p>
      <w:pPr>
        <w:spacing w:line="384" w:lineRule="auto"/>
        <w:rPr>
          <w:rFonts w:hint="eastAsia" w:ascii="宋体" w:hAnsi="宋体" w:eastAsia="宋体" w:cs="宋体"/>
          <w:color w:val="auto"/>
          <w:sz w:val="24"/>
          <w:szCs w:val="24"/>
          <w:highlight w:val="none"/>
        </w:rPr>
      </w:pPr>
      <w:r>
        <w:rPr>
          <w:rFonts w:ascii="宋体" w:hAnsi="宋体" w:cs="宋体"/>
          <w:sz w:val="24"/>
        </w:rPr>
        <w:t xml:space="preserve">      4.</w:t>
      </w:r>
      <w:r>
        <w:rPr>
          <w:rFonts w:hint="eastAsia" w:ascii="宋体" w:hAnsi="宋体" w:eastAsia="宋体" w:cs="宋体"/>
          <w:color w:val="auto"/>
          <w:sz w:val="24"/>
          <w:szCs w:val="24"/>
          <w:highlight w:val="none"/>
        </w:rPr>
        <w:t>不诚信行为的情形及相应被暂停参与投标活动的处理标准</w:t>
      </w:r>
    </w:p>
    <w:p>
      <w:pPr>
        <w:pStyle w:val="46"/>
        <w:ind w:firstLine="720" w:firstLineChars="3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防疫管理协议书</w:t>
      </w:r>
    </w:p>
    <w:p>
      <w:pPr>
        <w:spacing w:line="384" w:lineRule="auto"/>
        <w:rPr>
          <w:rFonts w:ascii="宋体" w:hAnsi="宋体" w:cs="宋体"/>
          <w:sz w:val="24"/>
        </w:rPr>
      </w:pPr>
      <w:r>
        <w:rPr>
          <w:rFonts w:ascii="宋体" w:hAnsi="宋体" w:cs="宋体"/>
          <w:sz w:val="24"/>
        </w:rPr>
        <w:t xml:space="preserve">    </w:t>
      </w:r>
    </w:p>
    <w:p>
      <w:pPr>
        <w:spacing w:line="420" w:lineRule="exact"/>
        <w:ind w:firstLine="1200" w:firstLineChars="500"/>
        <w:rPr>
          <w:sz w:val="24"/>
        </w:rPr>
      </w:pPr>
    </w:p>
    <w:p>
      <w:pPr>
        <w:spacing w:line="420" w:lineRule="exact"/>
        <w:ind w:firstLine="1200" w:firstLineChars="500"/>
        <w:rPr>
          <w:sz w:val="24"/>
        </w:rPr>
      </w:pPr>
    </w:p>
    <w:p>
      <w:pPr>
        <w:spacing w:line="420" w:lineRule="exact"/>
        <w:ind w:firstLine="480"/>
        <w:rPr>
          <w:sz w:val="24"/>
        </w:rPr>
      </w:pPr>
      <w:r>
        <w:rPr>
          <w:sz w:val="24"/>
        </w:rPr>
        <w:t xml:space="preserve">   </w:t>
      </w:r>
    </w:p>
    <w:tbl>
      <w:tblPr>
        <w:tblStyle w:val="22"/>
        <w:tblpPr w:leftFromText="180" w:rightFromText="180" w:vertAnchor="text" w:horzAnchor="page" w:tblpX="744" w:tblpY="2869"/>
        <w:tblOverlap w:val="never"/>
        <w:tblW w:w="5771" w:type="pct"/>
        <w:tblInd w:w="0" w:type="dxa"/>
        <w:tblLayout w:type="autofit"/>
        <w:tblCellMar>
          <w:top w:w="0" w:type="dxa"/>
          <w:left w:w="108" w:type="dxa"/>
          <w:bottom w:w="0" w:type="dxa"/>
          <w:right w:w="108" w:type="dxa"/>
        </w:tblCellMar>
      </w:tblPr>
      <w:tblGrid>
        <w:gridCol w:w="5762"/>
        <w:gridCol w:w="5294"/>
      </w:tblGrid>
      <w:tr>
        <w:tblPrEx>
          <w:tblCellMar>
            <w:top w:w="0" w:type="dxa"/>
            <w:left w:w="108" w:type="dxa"/>
            <w:bottom w:w="0" w:type="dxa"/>
            <w:right w:w="108" w:type="dxa"/>
          </w:tblCellMar>
        </w:tblPrEx>
        <w:tc>
          <w:tcPr>
            <w:tcW w:w="2606" w:type="pct"/>
            <w:noWrap w:val="0"/>
            <w:vAlign w:val="top"/>
          </w:tcPr>
          <w:p>
            <w:pPr>
              <w:spacing w:line="360" w:lineRule="auto"/>
              <w:rPr>
                <w:szCs w:val="21"/>
              </w:rPr>
            </w:pPr>
            <w:r>
              <w:rPr>
                <w:szCs w:val="21"/>
              </w:rPr>
              <w:t>甲方（盖章）：广州市净水有限公司</w:t>
            </w:r>
          </w:p>
          <w:p>
            <w:pPr>
              <w:spacing w:line="360" w:lineRule="auto"/>
              <w:rPr>
                <w:szCs w:val="21"/>
              </w:rPr>
            </w:pPr>
            <w:r>
              <w:rPr>
                <w:szCs w:val="21"/>
              </w:rPr>
              <w:t>法定代表或授权代表：</w:t>
            </w:r>
          </w:p>
          <w:p>
            <w:pPr>
              <w:spacing w:line="360" w:lineRule="auto"/>
              <w:rPr>
                <w:szCs w:val="21"/>
              </w:rPr>
            </w:pPr>
            <w:r>
              <w:rPr>
                <w:szCs w:val="21"/>
              </w:rPr>
              <w:t>签署日期：</w:t>
            </w:r>
          </w:p>
          <w:p>
            <w:pPr>
              <w:spacing w:line="360" w:lineRule="auto"/>
              <w:rPr>
                <w:szCs w:val="21"/>
              </w:rPr>
            </w:pPr>
            <w:r>
              <w:rPr>
                <w:szCs w:val="21"/>
              </w:rPr>
              <w:t xml:space="preserve">地址： </w:t>
            </w:r>
            <w:r>
              <w:rPr>
                <w:rFonts w:hint="eastAsia"/>
                <w:szCs w:val="21"/>
              </w:rPr>
              <w:t>广州市天河区临江大道501号</w:t>
            </w:r>
          </w:p>
          <w:p>
            <w:pPr>
              <w:spacing w:line="360" w:lineRule="auto"/>
              <w:rPr>
                <w:szCs w:val="21"/>
              </w:rPr>
            </w:pPr>
            <w:r>
              <w:rPr>
                <w:szCs w:val="21"/>
              </w:rPr>
              <w:t>电话：</w:t>
            </w:r>
          </w:p>
          <w:p>
            <w:pPr>
              <w:spacing w:line="360" w:lineRule="auto"/>
              <w:rPr>
                <w:szCs w:val="21"/>
              </w:rPr>
            </w:pPr>
            <w:r>
              <w:rPr>
                <w:szCs w:val="21"/>
              </w:rPr>
              <w:t>传真：</w:t>
            </w:r>
          </w:p>
          <w:p>
            <w:pPr>
              <w:spacing w:line="360" w:lineRule="auto"/>
              <w:rPr>
                <w:szCs w:val="21"/>
              </w:rPr>
            </w:pPr>
            <w:r>
              <w:rPr>
                <w:szCs w:val="21"/>
              </w:rPr>
              <w:t xml:space="preserve">经办人： </w:t>
            </w:r>
          </w:p>
        </w:tc>
        <w:tc>
          <w:tcPr>
            <w:tcW w:w="2394" w:type="pct"/>
            <w:noWrap w:val="0"/>
            <w:vAlign w:val="top"/>
          </w:tcPr>
          <w:p>
            <w:pPr>
              <w:spacing w:line="360" w:lineRule="auto"/>
              <w:rPr>
                <w:szCs w:val="21"/>
              </w:rPr>
            </w:pPr>
            <w:r>
              <w:rPr>
                <w:szCs w:val="21"/>
              </w:rPr>
              <w:t xml:space="preserve">乙方（盖章）： </w:t>
            </w:r>
          </w:p>
          <w:p>
            <w:pPr>
              <w:spacing w:line="360" w:lineRule="auto"/>
              <w:rPr>
                <w:szCs w:val="21"/>
              </w:rPr>
            </w:pPr>
            <w:r>
              <w:rPr>
                <w:szCs w:val="21"/>
              </w:rPr>
              <w:t>法定代表或授权代表：</w:t>
            </w:r>
          </w:p>
          <w:p>
            <w:pPr>
              <w:spacing w:line="360" w:lineRule="auto"/>
              <w:rPr>
                <w:szCs w:val="21"/>
              </w:rPr>
            </w:pPr>
            <w:r>
              <w:rPr>
                <w:szCs w:val="21"/>
              </w:rPr>
              <w:t>签署日期：</w:t>
            </w:r>
          </w:p>
          <w:p>
            <w:pPr>
              <w:spacing w:line="360" w:lineRule="auto"/>
              <w:rPr>
                <w:rFonts w:hint="eastAsia" w:eastAsia="宋体"/>
                <w:szCs w:val="21"/>
                <w:lang w:eastAsia="zh-CN"/>
              </w:rPr>
            </w:pPr>
            <w:r>
              <w:rPr>
                <w:szCs w:val="21"/>
              </w:rPr>
              <w:t xml:space="preserve">地址： </w:t>
            </w:r>
            <w:r>
              <w:rPr>
                <w:rFonts w:hint="eastAsia" w:ascii="宋体" w:hAnsi="宋体" w:cs="宋体"/>
                <w:sz w:val="24"/>
                <w:lang w:val="en-US" w:eastAsia="zh-CN"/>
              </w:rPr>
              <w:t xml:space="preserve"> </w:t>
            </w:r>
          </w:p>
          <w:p>
            <w:pPr>
              <w:spacing w:line="360" w:lineRule="auto"/>
              <w:rPr>
                <w:rFonts w:hint="eastAsia"/>
                <w:szCs w:val="21"/>
                <w:lang w:val="en-US" w:eastAsia="zh-CN"/>
              </w:rPr>
            </w:pPr>
            <w:r>
              <w:rPr>
                <w:szCs w:val="21"/>
              </w:rPr>
              <w:t>电话：</w:t>
            </w:r>
            <w:r>
              <w:rPr>
                <w:rFonts w:hint="eastAsia"/>
                <w:szCs w:val="21"/>
                <w:lang w:val="en-US" w:eastAsia="zh-CN"/>
              </w:rPr>
              <w:t xml:space="preserve"> </w:t>
            </w:r>
          </w:p>
          <w:p>
            <w:pPr>
              <w:spacing w:line="360" w:lineRule="auto"/>
              <w:rPr>
                <w:rFonts w:hint="eastAsia" w:eastAsia="宋体"/>
                <w:szCs w:val="21"/>
                <w:lang w:val="en-US" w:eastAsia="zh-CN"/>
              </w:rPr>
            </w:pPr>
            <w:r>
              <w:rPr>
                <w:szCs w:val="21"/>
              </w:rPr>
              <w:t xml:space="preserve">传真： </w:t>
            </w:r>
            <w:r>
              <w:rPr>
                <w:rFonts w:hint="eastAsia"/>
                <w:szCs w:val="21"/>
                <w:lang w:val="en-US" w:eastAsia="zh-CN"/>
              </w:rPr>
              <w:t xml:space="preserve"> </w:t>
            </w:r>
          </w:p>
          <w:p>
            <w:pPr>
              <w:spacing w:line="360" w:lineRule="auto"/>
              <w:rPr>
                <w:rFonts w:hint="eastAsia" w:eastAsia="宋体"/>
                <w:szCs w:val="21"/>
                <w:lang w:eastAsia="zh-CN"/>
              </w:rPr>
            </w:pPr>
            <w:r>
              <w:rPr>
                <w:szCs w:val="21"/>
              </w:rPr>
              <w:t>经办人：</w:t>
            </w:r>
            <w:r>
              <w:rPr>
                <w:rFonts w:hint="eastAsia"/>
                <w:szCs w:val="21"/>
                <w:lang w:val="en-US" w:eastAsia="zh-CN"/>
              </w:rPr>
              <w:t xml:space="preserve"> </w:t>
            </w:r>
          </w:p>
        </w:tc>
      </w:tr>
    </w:tbl>
    <w:p>
      <w:pPr>
        <w:rPr>
          <w:sz w:val="24"/>
        </w:rPr>
        <w:sectPr>
          <w:headerReference r:id="rId5" w:type="default"/>
          <w:footerReference r:id="rId6" w:type="default"/>
          <w:pgSz w:w="11906" w:h="16838"/>
          <w:pgMar w:top="1089" w:right="1466" w:bottom="1089" w:left="1077" w:header="851" w:footer="992" w:gutter="0"/>
          <w:cols w:space="720" w:num="1"/>
          <w:docGrid w:type="lines" w:linePitch="312" w:charSpace="0"/>
        </w:sectPr>
      </w:pPr>
    </w:p>
    <w:p>
      <w:pPr>
        <w:spacing w:line="560" w:lineRule="exact"/>
        <w:rPr>
          <w:b/>
          <w:sz w:val="24"/>
        </w:rPr>
      </w:pPr>
      <w:bookmarkStart w:id="106" w:name="_Hlk40084908"/>
      <w:bookmarkStart w:id="107" w:name="_Hlk40085667"/>
      <w:r>
        <w:rPr>
          <w:b/>
          <w:sz w:val="24"/>
        </w:rPr>
        <w:t>附件1：廉洁协议</w:t>
      </w:r>
    </w:p>
    <w:bookmarkEnd w:id="106"/>
    <w:p>
      <w:pPr>
        <w:spacing w:line="360" w:lineRule="auto"/>
        <w:jc w:val="center"/>
        <w:rPr>
          <w:b/>
          <w:color w:val="000000"/>
          <w:sz w:val="32"/>
          <w:szCs w:val="32"/>
        </w:rPr>
      </w:pPr>
      <w:r>
        <w:rPr>
          <w:b/>
          <w:color w:val="000000"/>
          <w:sz w:val="32"/>
          <w:szCs w:val="32"/>
        </w:rPr>
        <w:t>廉洁协议</w:t>
      </w:r>
    </w:p>
    <w:p>
      <w:pPr>
        <w:spacing w:line="360" w:lineRule="auto"/>
        <w:ind w:firstLine="540" w:firstLineChars="225"/>
        <w:rPr>
          <w:color w:val="000000"/>
          <w:sz w:val="24"/>
        </w:rPr>
      </w:pPr>
      <w:r>
        <w:rPr>
          <w:color w:val="000000"/>
          <w:sz w:val="24"/>
        </w:rPr>
        <w:t>为促进双方诚信经营、廉洁从业，防范商业贿赂，保护国家、集体和当事人的合法权益，根据国家有关法律法规和广东省、广州市廉政建设的规定，</w:t>
      </w:r>
      <w:r>
        <w:rPr>
          <w:color w:val="000000"/>
          <w:sz w:val="24"/>
          <w:u w:val="single"/>
        </w:rPr>
        <w:t>广州市净水有限公司</w:t>
      </w:r>
      <w:r>
        <w:rPr>
          <w:color w:val="000000"/>
          <w:sz w:val="24"/>
        </w:rPr>
        <w:t>(以下称甲方)与</w:t>
      </w:r>
      <w:r>
        <w:rPr>
          <w:rFonts w:hint="eastAsia"/>
          <w:color w:val="000000"/>
          <w:sz w:val="24"/>
          <w:u w:val="single"/>
          <w:lang w:val="en-US" w:eastAsia="zh-CN"/>
        </w:rPr>
        <w:t xml:space="preserve">                </w:t>
      </w:r>
      <w:r>
        <w:rPr>
          <w:color w:val="000000"/>
          <w:sz w:val="24"/>
        </w:rPr>
        <w:t>(以下称乙方)，特此订立本协议共同遵照执行。</w:t>
      </w:r>
    </w:p>
    <w:p>
      <w:pPr>
        <w:spacing w:line="360" w:lineRule="auto"/>
        <w:ind w:firstLine="482" w:firstLineChars="200"/>
        <w:rPr>
          <w:color w:val="000000"/>
          <w:sz w:val="24"/>
        </w:rPr>
      </w:pPr>
      <w:r>
        <w:rPr>
          <w:b/>
          <w:bCs/>
          <w:color w:val="000000"/>
          <w:sz w:val="24"/>
        </w:rPr>
        <w:t>第一条甲乙双方的权利和义务</w:t>
      </w:r>
    </w:p>
    <w:p>
      <w:pPr>
        <w:spacing w:line="360" w:lineRule="auto"/>
        <w:ind w:firstLine="360" w:firstLineChars="150"/>
        <w:rPr>
          <w:color w:val="000000"/>
          <w:sz w:val="24"/>
        </w:rPr>
      </w:pPr>
      <w:r>
        <w:rPr>
          <w:color w:val="000000"/>
          <w:sz w:val="24"/>
        </w:rPr>
        <w:t>（一）甲乙双方严格遵守国家关于市场准入、项目招标投标、市场经营活动等有关法律、法规相关政策及廉政建设的各项规定。</w:t>
      </w:r>
    </w:p>
    <w:p>
      <w:pPr>
        <w:rPr>
          <w:color w:val="000000"/>
          <w:sz w:val="24"/>
        </w:rPr>
      </w:pPr>
      <w:r>
        <w:rPr>
          <w:color w:val="000000"/>
          <w:sz w:val="24"/>
        </w:rPr>
        <w:t>（二）严格执行</w:t>
      </w:r>
      <w:r>
        <w:rPr>
          <w:bCs/>
          <w:sz w:val="24"/>
          <w:u w:val="single"/>
        </w:rPr>
        <w:t>广州市净水有限公司</w:t>
      </w:r>
      <w:r>
        <w:rPr>
          <w:rFonts w:hint="eastAsia"/>
          <w:bCs/>
          <w:sz w:val="24"/>
          <w:u w:val="single"/>
          <w:lang w:eastAsia="zh-CN"/>
        </w:rPr>
        <w:t>江高分公司非统筹流量计年度校准项目</w:t>
      </w:r>
      <w:r>
        <w:rPr>
          <w:color w:val="000000"/>
          <w:sz w:val="24"/>
        </w:rPr>
        <w:t>合同（以下简称：主合同），自觉履行合同约定的相关义务。</w:t>
      </w:r>
    </w:p>
    <w:p>
      <w:pPr>
        <w:spacing w:line="360" w:lineRule="auto"/>
        <w:ind w:firstLine="360" w:firstLineChars="150"/>
        <w:rPr>
          <w:color w:val="000000"/>
          <w:sz w:val="24"/>
        </w:rPr>
      </w:pPr>
      <w:r>
        <w:rPr>
          <w:color w:val="000000"/>
          <w:sz w:val="24"/>
        </w:rPr>
        <w:t>（三）在业务活动中坚持公开、公正、诚信、透明的原则，不得损害国家、集体利益。</w:t>
      </w:r>
    </w:p>
    <w:p>
      <w:pPr>
        <w:spacing w:line="360" w:lineRule="auto"/>
        <w:ind w:firstLine="360" w:firstLineChars="150"/>
        <w:rPr>
          <w:color w:val="000000"/>
          <w:sz w:val="24"/>
        </w:rPr>
      </w:pPr>
      <w:r>
        <w:rPr>
          <w:color w:val="000000"/>
          <w:sz w:val="24"/>
        </w:rPr>
        <w:t>（四）建立健全廉洁从业制度，开展廉洁教育，公布举报电话，监督并认真查处不廉洁及违法违纪行为。</w:t>
      </w:r>
    </w:p>
    <w:p>
      <w:pPr>
        <w:spacing w:line="360" w:lineRule="auto"/>
        <w:ind w:firstLine="360" w:firstLineChars="150"/>
        <w:rPr>
          <w:color w:val="000000"/>
          <w:sz w:val="24"/>
        </w:rPr>
      </w:pPr>
      <w:r>
        <w:rPr>
          <w:color w:val="000000"/>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color w:val="000000"/>
          <w:sz w:val="24"/>
        </w:rPr>
      </w:pPr>
      <w:r>
        <w:rPr>
          <w:b/>
          <w:bCs/>
          <w:color w:val="000000"/>
          <w:sz w:val="24"/>
        </w:rPr>
        <w:t>第二条甲方的义务</w:t>
      </w:r>
    </w:p>
    <w:p>
      <w:pPr>
        <w:spacing w:line="360" w:lineRule="auto"/>
        <w:ind w:firstLine="480" w:firstLineChars="200"/>
        <w:rPr>
          <w:color w:val="000000"/>
          <w:sz w:val="24"/>
        </w:rPr>
      </w:pPr>
      <w:r>
        <w:rPr>
          <w:color w:val="000000"/>
          <w:sz w:val="24"/>
        </w:rPr>
        <w:t>（一）甲方及其工作人员不得索要或接受乙方的礼金、有价证券和贵重物品，不得在乙方报销任何应由甲方或个人支付的费用等。</w:t>
      </w:r>
    </w:p>
    <w:p>
      <w:pPr>
        <w:spacing w:line="360" w:lineRule="auto"/>
        <w:ind w:firstLine="480" w:firstLineChars="200"/>
        <w:rPr>
          <w:color w:val="000000"/>
          <w:sz w:val="24"/>
        </w:rPr>
      </w:pPr>
      <w:r>
        <w:rPr>
          <w:color w:val="000000"/>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color w:val="000000"/>
          <w:sz w:val="24"/>
        </w:rPr>
      </w:pPr>
      <w:r>
        <w:rPr>
          <w:color w:val="000000"/>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color w:val="000000"/>
          <w:sz w:val="24"/>
        </w:rPr>
      </w:pPr>
      <w:r>
        <w:rPr>
          <w:color w:val="000000"/>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color w:val="000000"/>
          <w:sz w:val="24"/>
        </w:rPr>
      </w:pPr>
      <w:r>
        <w:rPr>
          <w:color w:val="000000"/>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color w:val="000000"/>
          <w:sz w:val="24"/>
        </w:rPr>
      </w:pPr>
      <w:r>
        <w:rPr>
          <w:color w:val="000000"/>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color w:val="000000"/>
          <w:sz w:val="24"/>
        </w:rPr>
      </w:pPr>
      <w:r>
        <w:rPr>
          <w:color w:val="000000"/>
          <w:sz w:val="24"/>
        </w:rPr>
        <w:t>（七）甲方工作人员不得接受乙方给予或赠送的干股或红利。</w:t>
      </w:r>
    </w:p>
    <w:p>
      <w:pPr>
        <w:spacing w:line="26" w:lineRule="atLeast"/>
        <w:ind w:firstLine="482" w:firstLineChars="200"/>
        <w:rPr>
          <w:color w:val="000000"/>
          <w:sz w:val="24"/>
        </w:rPr>
      </w:pPr>
      <w:r>
        <w:rPr>
          <w:b/>
          <w:bCs/>
          <w:color w:val="000000"/>
          <w:sz w:val="24"/>
        </w:rPr>
        <w:t>第三条乙方的义务</w:t>
      </w:r>
    </w:p>
    <w:p>
      <w:pPr>
        <w:spacing w:line="26" w:lineRule="atLeast"/>
        <w:ind w:firstLine="480" w:firstLineChars="200"/>
        <w:rPr>
          <w:color w:val="000000"/>
          <w:sz w:val="24"/>
        </w:rPr>
      </w:pPr>
      <w:r>
        <w:rPr>
          <w:color w:val="000000"/>
          <w:sz w:val="24"/>
        </w:rPr>
        <w:t>（一）乙方不得以任何理由向甲方及其工作人员行贿或馈赠礼金、有价证券、贵重礼品。</w:t>
      </w:r>
    </w:p>
    <w:p>
      <w:pPr>
        <w:spacing w:line="26" w:lineRule="atLeast"/>
        <w:ind w:firstLine="480" w:firstLineChars="200"/>
        <w:rPr>
          <w:color w:val="000000"/>
          <w:sz w:val="24"/>
        </w:rPr>
      </w:pPr>
      <w:r>
        <w:rPr>
          <w:color w:val="000000"/>
          <w:sz w:val="24"/>
        </w:rPr>
        <w:t>（二)乙方不得以任何名义为甲方及其工作人员报销应由甲方单位或个人支付的任何费用。</w:t>
      </w:r>
    </w:p>
    <w:p>
      <w:pPr>
        <w:spacing w:line="26" w:lineRule="atLeast"/>
        <w:ind w:left="25" w:leftChars="12" w:firstLine="480" w:firstLineChars="200"/>
        <w:rPr>
          <w:color w:val="000000"/>
          <w:sz w:val="24"/>
        </w:rPr>
      </w:pPr>
      <w:r>
        <w:rPr>
          <w:color w:val="000000"/>
          <w:sz w:val="24"/>
        </w:rPr>
        <w:t>（三）乙方不得以任何理由安排甲方工作人员参加可能影响相关业务公开、公正、公平性的宴请及娱乐活动。</w:t>
      </w:r>
    </w:p>
    <w:p>
      <w:pPr>
        <w:pStyle w:val="14"/>
        <w:spacing w:line="26" w:lineRule="atLeast"/>
        <w:rPr>
          <w:color w:val="000000"/>
          <w:sz w:val="24"/>
        </w:rPr>
      </w:pPr>
      <w:r>
        <w:rPr>
          <w:color w:val="000000"/>
          <w:sz w:val="24"/>
        </w:rPr>
        <w:t>（四）乙方不得为甲方单位和个人购置或提供通讯工具和高档办公用品等物品，也不得为甲方提供与工作无关的房屋、汽车等。</w:t>
      </w:r>
    </w:p>
    <w:p>
      <w:pPr>
        <w:spacing w:line="26" w:lineRule="atLeast"/>
        <w:ind w:firstLine="480" w:firstLineChars="200"/>
        <w:rPr>
          <w:color w:val="000000"/>
          <w:sz w:val="24"/>
        </w:rPr>
      </w:pPr>
      <w:r>
        <w:rPr>
          <w:color w:val="000000"/>
          <w:sz w:val="24"/>
        </w:rPr>
        <w:t>（五）乙方不得擅自与甲方工作人员就合同中的质量、数量、价格、工程量、验收等条款进行私下商谈或者达成默契。</w:t>
      </w:r>
    </w:p>
    <w:p>
      <w:pPr>
        <w:spacing w:line="26" w:lineRule="atLeast"/>
        <w:ind w:firstLine="480" w:firstLineChars="200"/>
        <w:rPr>
          <w:color w:val="000000"/>
          <w:sz w:val="24"/>
        </w:rPr>
      </w:pPr>
      <w:r>
        <w:rPr>
          <w:color w:val="000000"/>
          <w:sz w:val="24"/>
        </w:rPr>
        <w:t>（六）乙方不得以回扣、手续费、加班费、咨询费、劳务费、协调费、辛苦费等各种名义向甲方工作人员给予或赠送钱物。</w:t>
      </w:r>
    </w:p>
    <w:p>
      <w:pPr>
        <w:spacing w:line="26" w:lineRule="atLeast"/>
        <w:ind w:firstLine="480" w:firstLineChars="200"/>
        <w:rPr>
          <w:color w:val="000000"/>
          <w:sz w:val="24"/>
        </w:rPr>
      </w:pPr>
      <w:r>
        <w:rPr>
          <w:color w:val="000000"/>
          <w:sz w:val="24"/>
        </w:rPr>
        <w:t>（七）乙方不得向甲方工作人员提供干股或红利。</w:t>
      </w:r>
    </w:p>
    <w:p>
      <w:pPr>
        <w:spacing w:line="30" w:lineRule="atLeast"/>
        <w:ind w:firstLine="482" w:firstLineChars="200"/>
        <w:rPr>
          <w:color w:val="000000"/>
          <w:sz w:val="24"/>
        </w:rPr>
      </w:pPr>
      <w:r>
        <w:rPr>
          <w:b/>
          <w:bCs/>
          <w:color w:val="000000"/>
          <w:sz w:val="24"/>
        </w:rPr>
        <w:t>第四条违约责任</w:t>
      </w:r>
    </w:p>
    <w:p>
      <w:pPr>
        <w:spacing w:line="30" w:lineRule="atLeast"/>
        <w:ind w:firstLine="480" w:firstLineChars="200"/>
        <w:rPr>
          <w:color w:val="000000"/>
          <w:sz w:val="24"/>
        </w:rPr>
      </w:pPr>
      <w:r>
        <w:rPr>
          <w:color w:val="000000"/>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0" w:lineRule="atLeast"/>
        <w:ind w:firstLine="480" w:firstLineChars="200"/>
        <w:rPr>
          <w:color w:val="000000"/>
          <w:sz w:val="24"/>
        </w:rPr>
      </w:pPr>
      <w:r>
        <w:rPr>
          <w:color w:val="000000"/>
          <w:sz w:val="24"/>
        </w:rPr>
        <w:t>甲方举报投诉联系部门：广州市净水有限公司</w:t>
      </w:r>
      <w:r>
        <w:rPr>
          <w:color w:val="000000"/>
          <w:sz w:val="24"/>
          <w:u w:val="single"/>
        </w:rPr>
        <w:t>纪检室</w:t>
      </w:r>
      <w:r>
        <w:rPr>
          <w:color w:val="000000"/>
          <w:sz w:val="24"/>
        </w:rPr>
        <w:t>，联系电话：</w:t>
      </w:r>
      <w:r>
        <w:rPr>
          <w:color w:val="000000"/>
          <w:sz w:val="24"/>
          <w:u w:val="single"/>
        </w:rPr>
        <w:t xml:space="preserve"> 020-38890265 </w:t>
      </w:r>
      <w:r>
        <w:rPr>
          <w:color w:val="000000"/>
          <w:sz w:val="24"/>
        </w:rPr>
        <w:t>。</w:t>
      </w:r>
    </w:p>
    <w:p>
      <w:pPr>
        <w:spacing w:line="30" w:lineRule="atLeast"/>
        <w:ind w:firstLine="480" w:firstLineChars="200"/>
        <w:rPr>
          <w:color w:val="000000"/>
          <w:sz w:val="24"/>
        </w:rPr>
      </w:pPr>
      <w:r>
        <w:rPr>
          <w:color w:val="000000"/>
          <w:sz w:val="24"/>
        </w:rPr>
        <w:t>（二）乙方及其工作人员违反本协议第一、三条。根据具体情节和造成的后果，甲方有权对乙方采取以下一种或多种处理办法：</w:t>
      </w:r>
    </w:p>
    <w:p>
      <w:pPr>
        <w:spacing w:line="30" w:lineRule="atLeast"/>
        <w:ind w:firstLine="480" w:firstLineChars="200"/>
        <w:rPr>
          <w:color w:val="000000"/>
          <w:sz w:val="24"/>
        </w:rPr>
      </w:pPr>
      <w:r>
        <w:rPr>
          <w:color w:val="000000"/>
          <w:sz w:val="24"/>
        </w:rPr>
        <w:t>1、扣除乙方全部履约保证金；</w:t>
      </w:r>
    </w:p>
    <w:p>
      <w:pPr>
        <w:spacing w:line="30" w:lineRule="atLeast"/>
        <w:ind w:firstLine="480" w:firstLineChars="200"/>
        <w:rPr>
          <w:color w:val="000000"/>
          <w:sz w:val="24"/>
        </w:rPr>
      </w:pPr>
      <w:r>
        <w:rPr>
          <w:color w:val="000000"/>
          <w:sz w:val="24"/>
        </w:rPr>
        <w:t>2、解除主合同；</w:t>
      </w:r>
    </w:p>
    <w:p>
      <w:pPr>
        <w:spacing w:line="30" w:lineRule="atLeast"/>
        <w:ind w:firstLine="480" w:firstLineChars="200"/>
        <w:rPr>
          <w:color w:val="000000"/>
          <w:sz w:val="24"/>
        </w:rPr>
      </w:pPr>
      <w:r>
        <w:rPr>
          <w:color w:val="000000"/>
          <w:sz w:val="24"/>
        </w:rPr>
        <w:t>3、追究乙方合同其他违约责任；</w:t>
      </w:r>
    </w:p>
    <w:p>
      <w:pPr>
        <w:spacing w:line="30" w:lineRule="atLeast"/>
        <w:ind w:firstLine="480" w:firstLineChars="200"/>
        <w:rPr>
          <w:color w:val="000000"/>
          <w:sz w:val="24"/>
        </w:rPr>
      </w:pPr>
      <w:r>
        <w:rPr>
          <w:color w:val="000000"/>
          <w:sz w:val="24"/>
        </w:rPr>
        <w:t>4、根据甲方及其上级单位、主管部门的有关规定，对乙方违反廉洁协议的行为限制其参与招投标活动的资格。</w:t>
      </w:r>
    </w:p>
    <w:p>
      <w:pPr>
        <w:spacing w:line="30" w:lineRule="atLeast"/>
        <w:ind w:firstLine="480" w:firstLineChars="200"/>
        <w:rPr>
          <w:color w:val="000000"/>
          <w:sz w:val="24"/>
        </w:rPr>
      </w:pPr>
      <w:r>
        <w:rPr>
          <w:color w:val="000000"/>
          <w:sz w:val="24"/>
        </w:rPr>
        <w:t>乙方无条件接受甲方处理意见并承担给甲方造成的损失，全额返还用不正当手段获取的非法所得，并承担相应的法律责任。</w:t>
      </w:r>
    </w:p>
    <w:p>
      <w:pPr>
        <w:spacing w:line="30" w:lineRule="atLeast"/>
        <w:ind w:firstLine="482" w:firstLineChars="200"/>
        <w:rPr>
          <w:color w:val="000000"/>
          <w:kern w:val="0"/>
          <w:sz w:val="24"/>
        </w:rPr>
      </w:pPr>
      <w:r>
        <w:rPr>
          <w:b/>
          <w:bCs/>
          <w:color w:val="000000"/>
          <w:sz w:val="24"/>
        </w:rPr>
        <w:t xml:space="preserve">第五条 </w:t>
      </w:r>
      <w:r>
        <w:rPr>
          <w:color w:val="000000"/>
          <w:kern w:val="0"/>
          <w:sz w:val="24"/>
        </w:rPr>
        <w:t xml:space="preserve">本协议执行情况，接受有管辖权的纪检、监察部门的监督，双方应予以配合检查调查。 </w:t>
      </w:r>
    </w:p>
    <w:p>
      <w:pPr>
        <w:spacing w:line="30" w:lineRule="atLeast"/>
        <w:ind w:firstLine="482" w:firstLineChars="200"/>
        <w:rPr>
          <w:color w:val="000000"/>
          <w:sz w:val="24"/>
        </w:rPr>
      </w:pPr>
      <w:r>
        <w:rPr>
          <w:b/>
          <w:color w:val="000000"/>
          <w:sz w:val="24"/>
        </w:rPr>
        <w:t>第六条</w:t>
      </w:r>
      <w:r>
        <w:rPr>
          <w:color w:val="000000"/>
          <w:sz w:val="24"/>
        </w:rPr>
        <w:t>本协议作为</w:t>
      </w:r>
      <w:r>
        <w:rPr>
          <w:color w:val="000000"/>
          <w:sz w:val="24"/>
          <w:u w:val="single"/>
        </w:rPr>
        <w:t xml:space="preserve"> </w:t>
      </w:r>
      <w:r>
        <w:rPr>
          <w:bCs/>
          <w:sz w:val="24"/>
          <w:u w:val="single"/>
        </w:rPr>
        <w:t>广州市净水有限公司</w:t>
      </w:r>
      <w:r>
        <w:rPr>
          <w:rFonts w:hint="eastAsia"/>
          <w:bCs/>
          <w:sz w:val="24"/>
          <w:u w:val="single"/>
          <w:lang w:eastAsia="zh-CN"/>
        </w:rPr>
        <w:t>江高分公司非统筹流量计年度校准项目</w:t>
      </w:r>
      <w:r>
        <w:rPr>
          <w:color w:val="000000"/>
          <w:sz w:val="24"/>
          <w:u w:val="single"/>
        </w:rPr>
        <w:t xml:space="preserve">（合同编号：穗净水合[ </w:t>
      </w:r>
      <w:r>
        <w:rPr>
          <w:rFonts w:hint="eastAsia"/>
          <w:color w:val="000000"/>
          <w:sz w:val="24"/>
          <w:u w:val="single"/>
          <w:lang w:val="en-US" w:eastAsia="zh-CN"/>
        </w:rPr>
        <w:t>2022</w:t>
      </w:r>
      <w:r>
        <w:rPr>
          <w:color w:val="000000"/>
          <w:sz w:val="24"/>
          <w:u w:val="single"/>
        </w:rPr>
        <w:t xml:space="preserve"> ]    号）</w:t>
      </w:r>
      <w:r>
        <w:rPr>
          <w:color w:val="000000"/>
          <w:sz w:val="24"/>
        </w:rPr>
        <w:t>合同的附件，并具有同等的法律效力，本协议自双方签字盖章之日起生效，与主合同同时终止。</w:t>
      </w:r>
    </w:p>
    <w:p>
      <w:pPr>
        <w:spacing w:line="30" w:lineRule="atLeast"/>
        <w:ind w:firstLine="482" w:firstLineChars="200"/>
        <w:rPr>
          <w:color w:val="000000"/>
          <w:sz w:val="24"/>
        </w:rPr>
      </w:pPr>
      <w:r>
        <w:rPr>
          <w:b/>
          <w:color w:val="000000"/>
          <w:sz w:val="24"/>
        </w:rPr>
        <w:t>第七条</w:t>
      </w:r>
      <w:r>
        <w:rPr>
          <w:color w:val="000000"/>
          <w:sz w:val="24"/>
        </w:rPr>
        <w:t>本协议一式</w:t>
      </w:r>
      <w:r>
        <w:rPr>
          <w:rFonts w:hint="eastAsia"/>
          <w:color w:val="000000"/>
          <w:sz w:val="24"/>
        </w:rPr>
        <w:t>伍</w:t>
      </w:r>
      <w:r>
        <w:rPr>
          <w:color w:val="000000"/>
          <w:sz w:val="24"/>
        </w:rPr>
        <w:t>份，甲方</w:t>
      </w:r>
      <w:r>
        <w:rPr>
          <w:rFonts w:hint="eastAsia"/>
          <w:color w:val="000000"/>
          <w:sz w:val="24"/>
        </w:rPr>
        <w:t>肆</w:t>
      </w:r>
      <w:r>
        <w:rPr>
          <w:color w:val="000000"/>
          <w:sz w:val="24"/>
        </w:rPr>
        <w:t>份，乙方</w:t>
      </w:r>
      <w:r>
        <w:rPr>
          <w:rFonts w:hint="eastAsia"/>
          <w:color w:val="000000"/>
          <w:sz w:val="24"/>
        </w:rPr>
        <w:t>壹</w:t>
      </w:r>
      <w:r>
        <w:rPr>
          <w:color w:val="000000"/>
          <w:sz w:val="24"/>
        </w:rPr>
        <w:t>份。</w:t>
      </w:r>
      <w:r>
        <w:rPr>
          <w:color w:val="000000"/>
          <w:sz w:val="24"/>
        </w:rPr>
        <w:br w:type="textWrapping"/>
      </w:r>
    </w:p>
    <w:p>
      <w:pPr>
        <w:spacing w:line="360" w:lineRule="auto"/>
        <w:rPr>
          <w:color w:val="000000"/>
          <w:sz w:val="24"/>
        </w:rPr>
      </w:pPr>
      <w:r>
        <w:rPr>
          <w:color w:val="000000"/>
          <w:sz w:val="24"/>
        </w:rPr>
        <w:t xml:space="preserve">甲方（盖章）：                     乙方（盖章）： </w:t>
      </w:r>
    </w:p>
    <w:p>
      <w:pPr>
        <w:pStyle w:val="33"/>
        <w:tabs>
          <w:tab w:val="left" w:pos="5100"/>
        </w:tabs>
        <w:spacing w:line="360" w:lineRule="auto"/>
        <w:ind w:firstLine="0" w:firstLineChars="0"/>
        <w:jc w:val="left"/>
        <w:rPr>
          <w:rFonts w:hint="eastAsia" w:eastAsia="宋体"/>
          <w:color w:val="000000"/>
          <w:sz w:val="24"/>
          <w:lang w:eastAsia="zh-CN"/>
        </w:rPr>
      </w:pPr>
      <w:r>
        <w:rPr>
          <w:rFonts w:hint="eastAsia" w:ascii="宋体" w:hAnsi="宋体"/>
          <w:sz w:val="24"/>
        </w:rPr>
        <w:t xml:space="preserve">广州市净水有限公司                </w:t>
      </w:r>
    </w:p>
    <w:p>
      <w:pPr>
        <w:tabs>
          <w:tab w:val="left" w:pos="5100"/>
        </w:tabs>
        <w:spacing w:line="360" w:lineRule="auto"/>
        <w:ind w:left="7200" w:hanging="7200" w:hangingChars="3000"/>
        <w:rPr>
          <w:color w:val="000000"/>
          <w:sz w:val="24"/>
        </w:rPr>
      </w:pPr>
      <w:r>
        <w:rPr>
          <w:color w:val="000000"/>
          <w:sz w:val="24"/>
        </w:rPr>
        <w:t>签约代表：</w:t>
      </w:r>
      <w:r>
        <w:rPr>
          <w:rFonts w:hint="eastAsia"/>
          <w:color w:val="000000"/>
          <w:sz w:val="24"/>
        </w:rPr>
        <w:t xml:space="preserve">      </w:t>
      </w:r>
      <w:r>
        <w:rPr>
          <w:color w:val="000000"/>
          <w:sz w:val="24"/>
        </w:rPr>
        <w:t xml:space="preserve">                   签约代表：</w:t>
      </w:r>
    </w:p>
    <w:p>
      <w:pPr>
        <w:tabs>
          <w:tab w:val="left" w:pos="4170"/>
        </w:tabs>
        <w:spacing w:line="360" w:lineRule="auto"/>
        <w:rPr>
          <w:color w:val="000000"/>
          <w:sz w:val="24"/>
        </w:rPr>
      </w:pPr>
    </w:p>
    <w:p>
      <w:r>
        <w:rPr>
          <w:color w:val="000000"/>
          <w:sz w:val="24"/>
        </w:rPr>
        <w:t>日期:    年  月  日</w:t>
      </w:r>
      <w:r>
        <w:rPr>
          <w:color w:val="000000"/>
          <w:sz w:val="24"/>
        </w:rPr>
        <w:tab/>
      </w:r>
      <w:r>
        <w:rPr>
          <w:color w:val="000000"/>
          <w:sz w:val="24"/>
        </w:rPr>
        <w:t xml:space="preserve">             日期：  年  月  日</w:t>
      </w:r>
    </w:p>
    <w:p>
      <w:pPr>
        <w:rPr>
          <w:sz w:val="24"/>
        </w:rPr>
      </w:pPr>
    </w:p>
    <w:p>
      <w:pPr>
        <w:rPr>
          <w:b/>
          <w:sz w:val="24"/>
        </w:rPr>
      </w:pPr>
      <w:r>
        <w:rPr>
          <w:sz w:val="24"/>
        </w:rPr>
        <w:br w:type="page"/>
      </w:r>
      <w:r>
        <w:rPr>
          <w:b/>
          <w:sz w:val="24"/>
        </w:rPr>
        <w:t>附件2：安全协议书</w:t>
      </w:r>
    </w:p>
    <w:p>
      <w:pPr>
        <w:spacing w:line="440" w:lineRule="exact"/>
        <w:jc w:val="center"/>
        <w:rPr>
          <w:b/>
          <w:bCs/>
          <w:sz w:val="32"/>
          <w:szCs w:val="32"/>
        </w:rPr>
      </w:pPr>
      <w:r>
        <w:rPr>
          <w:b/>
          <w:bCs/>
          <w:sz w:val="32"/>
          <w:szCs w:val="32"/>
        </w:rPr>
        <w:t>安全协议书</w:t>
      </w:r>
    </w:p>
    <w:p>
      <w:pPr>
        <w:spacing w:line="440" w:lineRule="exact"/>
        <w:rPr>
          <w:sz w:val="24"/>
        </w:rPr>
      </w:pPr>
    </w:p>
    <w:p>
      <w:pPr>
        <w:spacing w:line="360" w:lineRule="auto"/>
        <w:rPr>
          <w:kern w:val="0"/>
          <w:sz w:val="24"/>
        </w:rPr>
      </w:pPr>
      <w:bookmarkStart w:id="108" w:name="_Hlk40084940"/>
      <w:r>
        <w:rPr>
          <w:kern w:val="0"/>
          <w:sz w:val="24"/>
        </w:rPr>
        <w:t>甲方：</w:t>
      </w:r>
      <w:r>
        <w:rPr>
          <w:sz w:val="24"/>
        </w:rPr>
        <w:t>广州市净水有限公司</w:t>
      </w:r>
    </w:p>
    <w:p>
      <w:pPr>
        <w:spacing w:line="360" w:lineRule="auto"/>
        <w:rPr>
          <w:rFonts w:hint="eastAsia" w:eastAsia="宋体"/>
          <w:kern w:val="0"/>
          <w:sz w:val="24"/>
          <w:lang w:eastAsia="zh-CN"/>
        </w:rPr>
      </w:pPr>
      <w:r>
        <w:rPr>
          <w:kern w:val="0"/>
          <w:sz w:val="24"/>
        </w:rPr>
        <w:t>乙方：</w:t>
      </w:r>
    </w:p>
    <w:p>
      <w:pPr>
        <w:adjustRightInd w:val="0"/>
        <w:snapToGrid w:val="0"/>
        <w:spacing w:line="440" w:lineRule="exact"/>
        <w:ind w:firstLine="480" w:firstLineChars="200"/>
        <w:jc w:val="left"/>
        <w:rPr>
          <w:sz w:val="24"/>
        </w:rPr>
      </w:pPr>
      <w:r>
        <w:rPr>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440" w:lineRule="exact"/>
        <w:ind w:firstLine="482" w:firstLineChars="200"/>
        <w:jc w:val="left"/>
        <w:rPr>
          <w:b/>
          <w:sz w:val="24"/>
        </w:rPr>
      </w:pPr>
      <w:r>
        <w:rPr>
          <w:b/>
          <w:sz w:val="24"/>
        </w:rPr>
        <w:t>一、本协议与主合同的关系</w:t>
      </w:r>
    </w:p>
    <w:p>
      <w:pPr>
        <w:adjustRightInd w:val="0"/>
        <w:snapToGrid w:val="0"/>
        <w:spacing w:line="440" w:lineRule="exact"/>
        <w:ind w:left="105" w:firstLine="480" w:firstLineChars="200"/>
        <w:jc w:val="left"/>
        <w:rPr>
          <w:sz w:val="24"/>
        </w:rPr>
      </w:pPr>
      <w:r>
        <w:rPr>
          <w:sz w:val="24"/>
        </w:rPr>
        <w:t>本协议作为</w:t>
      </w:r>
      <w:r>
        <w:rPr>
          <w:sz w:val="24"/>
          <w:u w:val="single"/>
        </w:rPr>
        <w:t xml:space="preserve"> </w:t>
      </w:r>
      <w:r>
        <w:rPr>
          <w:rFonts w:hint="eastAsia"/>
          <w:sz w:val="24"/>
          <w:u w:val="single"/>
        </w:rPr>
        <w:t>广州市净水有限公司</w:t>
      </w:r>
      <w:r>
        <w:rPr>
          <w:rFonts w:hint="eastAsia"/>
          <w:sz w:val="24"/>
          <w:u w:val="single"/>
          <w:lang w:eastAsia="zh-CN"/>
        </w:rPr>
        <w:t>江高分公司非统筹流量计年度校准项目</w:t>
      </w:r>
      <w:r>
        <w:rPr>
          <w:rFonts w:hint="eastAsia"/>
          <w:sz w:val="24"/>
          <w:u w:val="single"/>
          <w:lang w:val="en-US" w:eastAsia="zh-CN"/>
        </w:rPr>
        <w:t xml:space="preserve"> </w:t>
      </w:r>
      <w:r>
        <w:rPr>
          <w:sz w:val="24"/>
          <w:u w:val="single"/>
        </w:rPr>
        <w:t xml:space="preserve"> </w:t>
      </w:r>
      <w:r>
        <w:rPr>
          <w:sz w:val="24"/>
        </w:rPr>
        <w:t>的组成部分，与主合同具有同等法律。</w:t>
      </w:r>
    </w:p>
    <w:p>
      <w:pPr>
        <w:adjustRightInd w:val="0"/>
        <w:snapToGrid w:val="0"/>
        <w:spacing w:line="440" w:lineRule="exact"/>
        <w:ind w:firstLine="482" w:firstLineChars="200"/>
        <w:jc w:val="left"/>
        <w:rPr>
          <w:b/>
          <w:sz w:val="24"/>
        </w:rPr>
      </w:pPr>
      <w:r>
        <w:rPr>
          <w:b/>
          <w:sz w:val="24"/>
        </w:rPr>
        <w:t>二、甲方权责</w:t>
      </w:r>
    </w:p>
    <w:p>
      <w:pPr>
        <w:adjustRightInd w:val="0"/>
        <w:snapToGrid w:val="0"/>
        <w:spacing w:line="440" w:lineRule="exact"/>
        <w:ind w:firstLine="480" w:firstLineChars="200"/>
        <w:jc w:val="left"/>
        <w:rPr>
          <w:sz w:val="24"/>
        </w:rPr>
      </w:pPr>
      <w:r>
        <w:rPr>
          <w:sz w:val="24"/>
        </w:rPr>
        <w:t>（一）告知乙方该场所可能存在的安全风险，要求乙方在作业前应重新识别现场的安全风险并采取措施进行管控。</w:t>
      </w:r>
    </w:p>
    <w:p>
      <w:pPr>
        <w:adjustRightInd w:val="0"/>
        <w:snapToGrid w:val="0"/>
        <w:spacing w:line="440" w:lineRule="exact"/>
        <w:ind w:firstLine="480" w:firstLineChars="200"/>
        <w:jc w:val="left"/>
        <w:rPr>
          <w:sz w:val="24"/>
        </w:rPr>
      </w:pPr>
      <w:r>
        <w:rPr>
          <w:sz w:val="24"/>
        </w:rPr>
        <w:t>（二）告知乙方在甲方应当遵守的安全管理要求。</w:t>
      </w:r>
    </w:p>
    <w:p>
      <w:pPr>
        <w:adjustRightInd w:val="0"/>
        <w:snapToGrid w:val="0"/>
        <w:spacing w:line="440" w:lineRule="exact"/>
        <w:ind w:firstLine="480" w:firstLineChars="200"/>
        <w:jc w:val="left"/>
        <w:rPr>
          <w:sz w:val="24"/>
        </w:rPr>
      </w:pPr>
      <w:r>
        <w:rPr>
          <w:sz w:val="24"/>
        </w:rPr>
        <w:t>（三）乙方对存在问题拒不整改，或违法甲方安全管理要求的，视为违约，甲方有权对乙方进行违约金扣罚。如乙方拒不缴纳违约金的，甲方有权在履约保证金中扣除。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三、乙方权责</w:t>
      </w:r>
    </w:p>
    <w:p>
      <w:pPr>
        <w:adjustRightInd w:val="0"/>
        <w:snapToGrid w:val="0"/>
        <w:spacing w:line="440" w:lineRule="exact"/>
        <w:ind w:firstLine="480" w:firstLineChars="200"/>
        <w:jc w:val="left"/>
        <w:rPr>
          <w:sz w:val="24"/>
        </w:rPr>
      </w:pPr>
      <w:r>
        <w:rPr>
          <w:sz w:val="24"/>
        </w:rPr>
        <w:t>（一）对甲方的违章指挥，拒绝执行，但需书面明确指出甲方所违反的具体法律法规、标准规范等。</w:t>
      </w:r>
    </w:p>
    <w:p>
      <w:pPr>
        <w:adjustRightInd w:val="0"/>
        <w:snapToGrid w:val="0"/>
        <w:spacing w:line="440" w:lineRule="exact"/>
        <w:ind w:firstLine="480" w:firstLineChars="200"/>
        <w:jc w:val="left"/>
        <w:rPr>
          <w:sz w:val="24"/>
        </w:rPr>
      </w:pPr>
      <w:r>
        <w:rPr>
          <w:sz w:val="24"/>
        </w:rPr>
        <w:t>（二）根据乙方单位管理制度及合同约定的本次工作，制定相应的应急预案。明确发生突发事件时，相关人员按预案开展应急处置工作。</w:t>
      </w:r>
    </w:p>
    <w:p>
      <w:pPr>
        <w:adjustRightInd w:val="0"/>
        <w:snapToGrid w:val="0"/>
        <w:spacing w:line="440" w:lineRule="exact"/>
        <w:ind w:firstLine="480" w:firstLineChars="200"/>
        <w:jc w:val="left"/>
        <w:rPr>
          <w:sz w:val="24"/>
        </w:rPr>
      </w:pPr>
      <w:r>
        <w:rPr>
          <w:sz w:val="24"/>
        </w:rPr>
        <w:t>（三）严格执行国家、地方和行业主管部门的强制性标准、地方行政法规、管理要求。</w:t>
      </w:r>
    </w:p>
    <w:p>
      <w:pPr>
        <w:adjustRightInd w:val="0"/>
        <w:snapToGrid w:val="0"/>
        <w:spacing w:line="440" w:lineRule="exact"/>
        <w:ind w:firstLine="480" w:firstLineChars="200"/>
        <w:jc w:val="left"/>
        <w:rPr>
          <w:sz w:val="24"/>
        </w:rPr>
      </w:pPr>
      <w:r>
        <w:rPr>
          <w:sz w:val="24"/>
        </w:rPr>
        <w:t>（四）遵守甲方制定的安全管理要求。</w:t>
      </w:r>
    </w:p>
    <w:p>
      <w:pPr>
        <w:adjustRightInd w:val="0"/>
        <w:snapToGrid w:val="0"/>
        <w:spacing w:line="440" w:lineRule="exact"/>
        <w:ind w:firstLine="480" w:firstLineChars="200"/>
        <w:jc w:val="left"/>
        <w:rPr>
          <w:sz w:val="24"/>
        </w:rPr>
      </w:pPr>
      <w:r>
        <w:rPr>
          <w:sz w:val="24"/>
        </w:rPr>
        <w:t>（五）配合甲方的安全监督检查，并立即组织对提出的问题隐患进行整改。</w:t>
      </w:r>
    </w:p>
    <w:p>
      <w:pPr>
        <w:adjustRightInd w:val="0"/>
        <w:snapToGrid w:val="0"/>
        <w:spacing w:line="440" w:lineRule="exact"/>
        <w:ind w:firstLine="480" w:firstLineChars="200"/>
        <w:jc w:val="left"/>
        <w:rPr>
          <w:sz w:val="24"/>
        </w:rPr>
      </w:pPr>
      <w:r>
        <w:rPr>
          <w:sz w:val="24"/>
        </w:rPr>
        <w:t>（六）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四、事故责任</w:t>
      </w:r>
    </w:p>
    <w:p>
      <w:pPr>
        <w:adjustRightInd w:val="0"/>
        <w:snapToGrid w:val="0"/>
        <w:spacing w:line="440" w:lineRule="exact"/>
        <w:ind w:firstLine="480" w:firstLineChars="200"/>
        <w:jc w:val="left"/>
        <w:rPr>
          <w:sz w:val="24"/>
        </w:rPr>
      </w:pPr>
      <w:r>
        <w:rPr>
          <w:sz w:val="24"/>
        </w:rPr>
        <w:t>（一）在乙方承包范围内，由于乙方责任发生生产安全事故时，造成的甲方、乙方或者第三方人身伤害事故，乙方负全部责任。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sz w:val="24"/>
        </w:rPr>
      </w:pPr>
      <w:r>
        <w:rPr>
          <w:sz w:val="24"/>
        </w:rPr>
        <w:t>（二）乙方人员在非承包区域遭受意外伤害的，乙方负全部责任。</w:t>
      </w:r>
    </w:p>
    <w:p>
      <w:pPr>
        <w:adjustRightInd w:val="0"/>
        <w:snapToGrid w:val="0"/>
        <w:spacing w:line="440" w:lineRule="exact"/>
        <w:ind w:firstLine="480" w:firstLineChars="200"/>
        <w:jc w:val="left"/>
        <w:rPr>
          <w:sz w:val="24"/>
        </w:rPr>
      </w:pPr>
      <w:r>
        <w:rPr>
          <w:sz w:val="24"/>
        </w:rPr>
        <w:t>（三）乙方人员违规进入甲方或第三方承包区域，造成事故的，乙方负全部事故责任；乙方人员遭受人身伤害的，乙方负全部责任。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sz w:val="24"/>
        </w:rPr>
      </w:pPr>
      <w:r>
        <w:rPr>
          <w:sz w:val="24"/>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sz w:val="24"/>
        </w:rPr>
      </w:pPr>
      <w:r>
        <w:rPr>
          <w:sz w:val="24"/>
        </w:rPr>
        <w:t>（五）乙方在甲方生产区域内发生生产安全事故后，必须在第一时间向甲方报告，迟报或者隐瞒不报生产安全事故，承担事故的全部责任。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sz w:val="24"/>
        </w:rPr>
      </w:pPr>
      <w:r>
        <w:rPr>
          <w:sz w:val="24"/>
        </w:rPr>
        <w:t>（六）乙方各类人员在甲方生产区域内发生人身伤害事故和其他事故，由乙方负责调查、处理和统计上报，并报甲方安全监督部门备案。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sz w:val="24"/>
        </w:rPr>
      </w:pPr>
      <w:r>
        <w:rPr>
          <w:sz w:val="24"/>
        </w:rPr>
        <w:t>（七）乙方违反本协议，造成的事故或造成事故扩大的，由乙方承担事故造成的赔偿一切损失及由甲方对乙方进行经济处罚。</w:t>
      </w:r>
    </w:p>
    <w:p>
      <w:pPr>
        <w:adjustRightInd w:val="0"/>
        <w:snapToGrid w:val="0"/>
        <w:spacing w:line="440" w:lineRule="exact"/>
        <w:ind w:firstLine="480" w:firstLineChars="200"/>
        <w:jc w:val="left"/>
        <w:rPr>
          <w:sz w:val="24"/>
        </w:rPr>
      </w:pPr>
      <w:r>
        <w:rPr>
          <w:sz w:val="24"/>
        </w:rPr>
        <w:t>赔偿包括：1.甲方所有损失；2造成的第三方损害；3恢复生产产生的一切费用；4.甲方因事故造成被上级追究的经济考核处罚。</w:t>
      </w:r>
    </w:p>
    <w:p>
      <w:pPr>
        <w:adjustRightInd w:val="0"/>
        <w:snapToGrid w:val="0"/>
        <w:spacing w:line="440" w:lineRule="exact"/>
        <w:ind w:firstLine="480" w:firstLineChars="200"/>
        <w:jc w:val="left"/>
        <w:rPr>
          <w:sz w:val="24"/>
        </w:rPr>
      </w:pPr>
      <w:r>
        <w:rPr>
          <w:sz w:val="24"/>
        </w:rPr>
        <w:t>经济处罚金额为以下赔偿金额总和的双倍：1.甲方所有损失；2造成的第三方损害；3恢复生产产生的一切费用</w:t>
      </w:r>
    </w:p>
    <w:p>
      <w:pPr>
        <w:adjustRightInd w:val="0"/>
        <w:snapToGrid w:val="0"/>
        <w:spacing w:line="440" w:lineRule="exact"/>
        <w:ind w:firstLine="480" w:firstLineChars="200"/>
        <w:jc w:val="left"/>
        <w:rPr>
          <w:sz w:val="24"/>
        </w:rPr>
      </w:pPr>
      <w:r>
        <w:rPr>
          <w:sz w:val="24"/>
        </w:rPr>
        <w:t>（八）本协议未尽事宜，依据有关法规。规章处理，法规、规章没有明确规定的，经双方协商处理解决。</w:t>
      </w:r>
    </w:p>
    <w:p>
      <w:pPr>
        <w:pStyle w:val="36"/>
        <w:spacing w:line="440" w:lineRule="exact"/>
        <w:ind w:firstLine="482" w:firstLineChars="200"/>
        <w:rPr>
          <w:sz w:val="24"/>
        </w:rPr>
      </w:pPr>
      <w:r>
        <w:rPr>
          <w:b/>
          <w:sz w:val="24"/>
        </w:rPr>
        <w:t>五、补充条款：</w:t>
      </w:r>
      <w:r>
        <w:rPr>
          <w:sz w:val="24"/>
          <w:u w:val="single"/>
        </w:rPr>
        <w:t xml:space="preserve">         </w:t>
      </w:r>
      <w:r>
        <w:rPr>
          <w:rFonts w:hint="eastAsia"/>
          <w:sz w:val="24"/>
          <w:u w:val="single"/>
        </w:rPr>
        <w:t>无</w:t>
      </w:r>
      <w:r>
        <w:rPr>
          <w:sz w:val="24"/>
          <w:u w:val="single"/>
        </w:rPr>
        <w:t xml:space="preserve">        </w:t>
      </w:r>
      <w:r>
        <w:rPr>
          <w:sz w:val="24"/>
        </w:rPr>
        <w:t>。</w:t>
      </w:r>
    </w:p>
    <w:p>
      <w:pPr>
        <w:adjustRightInd w:val="0"/>
        <w:snapToGrid w:val="0"/>
        <w:spacing w:line="440" w:lineRule="exact"/>
        <w:ind w:firstLine="482" w:firstLineChars="200"/>
        <w:jc w:val="left"/>
        <w:rPr>
          <w:b/>
          <w:sz w:val="24"/>
        </w:rPr>
      </w:pPr>
      <w:r>
        <w:rPr>
          <w:b/>
          <w:sz w:val="24"/>
        </w:rPr>
        <w:t>六、附则</w:t>
      </w:r>
    </w:p>
    <w:p>
      <w:pPr>
        <w:adjustRightInd w:val="0"/>
        <w:snapToGrid w:val="0"/>
        <w:spacing w:line="440" w:lineRule="exact"/>
        <w:ind w:firstLine="480" w:firstLineChars="200"/>
        <w:jc w:val="left"/>
        <w:rPr>
          <w:sz w:val="24"/>
        </w:rPr>
      </w:pPr>
      <w:r>
        <w:rPr>
          <w:sz w:val="24"/>
        </w:rPr>
        <w:t>本协议与主合同同时签订、同时终止、同时生效，具有相同的法律效力，自甲方、乙方双方签字、盖章生效，甲方、乙方双方执持数量与主合同一致。</w:t>
      </w:r>
    </w:p>
    <w:p>
      <w:pPr>
        <w:rPr>
          <w:sz w:val="24"/>
        </w:rPr>
      </w:pPr>
    </w:p>
    <w:p>
      <w:pPr>
        <w:rPr>
          <w:sz w:val="24"/>
        </w:rPr>
      </w:pPr>
    </w:p>
    <w:bookmarkEnd w:id="108"/>
    <w:p>
      <w:pPr>
        <w:spacing w:line="360" w:lineRule="auto"/>
        <w:ind w:left="5490" w:leftChars="100" w:hanging="5280" w:hangingChars="2200"/>
        <w:rPr>
          <w:rFonts w:hint="eastAsia" w:eastAsia="宋体"/>
          <w:kern w:val="0"/>
          <w:sz w:val="24"/>
          <w:lang w:eastAsia="zh-CN"/>
        </w:rPr>
      </w:pPr>
      <w:r>
        <w:rPr>
          <w:kern w:val="0"/>
          <w:sz w:val="24"/>
        </w:rPr>
        <w:t>甲方：</w:t>
      </w:r>
      <w:r>
        <w:rPr>
          <w:sz w:val="24"/>
        </w:rPr>
        <w:t xml:space="preserve">广州市净水有限公司      </w:t>
      </w:r>
      <w:r>
        <w:rPr>
          <w:kern w:val="0"/>
          <w:sz w:val="24"/>
        </w:rPr>
        <w:t>　       乙方：</w:t>
      </w:r>
    </w:p>
    <w:p>
      <w:pPr>
        <w:widowControl/>
        <w:spacing w:line="360" w:lineRule="auto"/>
        <w:ind w:firstLine="240" w:firstLineChars="100"/>
        <w:jc w:val="left"/>
        <w:rPr>
          <w:rFonts w:hint="eastAsia" w:eastAsia="宋体"/>
          <w:kern w:val="0"/>
          <w:sz w:val="24"/>
          <w:lang w:val="en-US" w:eastAsia="zh-CN"/>
        </w:rPr>
      </w:pPr>
      <w:r>
        <w:rPr>
          <w:kern w:val="0"/>
          <w:sz w:val="24"/>
        </w:rPr>
        <w:t>签约代表：</w:t>
      </w:r>
      <w:r>
        <w:rPr>
          <w:rFonts w:hint="eastAsia"/>
          <w:kern w:val="0"/>
          <w:sz w:val="24"/>
        </w:rPr>
        <w:t xml:space="preserve"> </w:t>
      </w:r>
      <w:r>
        <w:rPr>
          <w:kern w:val="0"/>
          <w:sz w:val="24"/>
        </w:rPr>
        <w:t xml:space="preserve">               　   </w:t>
      </w:r>
      <w:r>
        <w:rPr>
          <w:rFonts w:hint="eastAsia"/>
          <w:kern w:val="0"/>
          <w:sz w:val="24"/>
        </w:rPr>
        <w:t xml:space="preserve"> </w:t>
      </w:r>
      <w:r>
        <w:rPr>
          <w:kern w:val="0"/>
          <w:sz w:val="24"/>
        </w:rPr>
        <w:t xml:space="preserve"> </w:t>
      </w:r>
      <w:r>
        <w:rPr>
          <w:rFonts w:hint="eastAsia"/>
          <w:kern w:val="0"/>
          <w:sz w:val="24"/>
        </w:rPr>
        <w:t xml:space="preserve">     </w:t>
      </w:r>
      <w:r>
        <w:rPr>
          <w:kern w:val="0"/>
          <w:sz w:val="24"/>
        </w:rPr>
        <w:t xml:space="preserve"> 签约代表：</w:t>
      </w:r>
      <w:r>
        <w:rPr>
          <w:rFonts w:hint="eastAsia"/>
          <w:kern w:val="0"/>
          <w:sz w:val="24"/>
          <w:lang w:val="en-US" w:eastAsia="zh-CN"/>
        </w:rPr>
        <w:t xml:space="preserve"> </w:t>
      </w:r>
    </w:p>
    <w:p>
      <w:pPr>
        <w:widowControl/>
        <w:spacing w:line="360" w:lineRule="auto"/>
        <w:ind w:left="5970" w:leftChars="100" w:hanging="5760" w:hangingChars="2400"/>
        <w:jc w:val="left"/>
        <w:rPr>
          <w:rFonts w:hint="eastAsia"/>
          <w:kern w:val="0"/>
          <w:sz w:val="24"/>
        </w:rPr>
      </w:pPr>
      <w:r>
        <w:rPr>
          <w:kern w:val="0"/>
          <w:sz w:val="24"/>
        </w:rPr>
        <w:t>地址：</w:t>
      </w:r>
      <w:r>
        <w:rPr>
          <w:rFonts w:hint="eastAsia"/>
          <w:kern w:val="0"/>
          <w:sz w:val="24"/>
        </w:rPr>
        <w:t>广州市白云区江高镇南岗村</w:t>
      </w:r>
    </w:p>
    <w:p>
      <w:pPr>
        <w:widowControl/>
        <w:spacing w:line="360" w:lineRule="auto"/>
        <w:ind w:left="5970" w:leftChars="100" w:hanging="5760" w:hangingChars="2400"/>
        <w:jc w:val="left"/>
        <w:rPr>
          <w:rFonts w:hint="eastAsia" w:eastAsia="宋体"/>
          <w:kern w:val="0"/>
          <w:sz w:val="24"/>
          <w:lang w:val="en-US" w:eastAsia="zh-CN"/>
        </w:rPr>
      </w:pPr>
      <w:r>
        <w:rPr>
          <w:rFonts w:hint="eastAsia"/>
          <w:kern w:val="0"/>
          <w:sz w:val="24"/>
        </w:rPr>
        <w:t xml:space="preserve">南贤路1号江高南方公司      </w:t>
      </w:r>
      <w:r>
        <w:rPr>
          <w:rFonts w:hint="eastAsia"/>
          <w:kern w:val="0"/>
          <w:sz w:val="24"/>
          <w:lang w:val="en-US" w:eastAsia="zh-CN"/>
        </w:rPr>
        <w:t xml:space="preserve">          </w:t>
      </w:r>
      <w:r>
        <w:rPr>
          <w:rFonts w:hint="eastAsia"/>
          <w:kern w:val="0"/>
          <w:sz w:val="24"/>
        </w:rPr>
        <w:t xml:space="preserve"> </w:t>
      </w:r>
      <w:r>
        <w:rPr>
          <w:kern w:val="0"/>
          <w:sz w:val="24"/>
        </w:rPr>
        <w:t>地址：</w:t>
      </w:r>
      <w:r>
        <w:rPr>
          <w:rFonts w:hint="eastAsia" w:ascii="宋体" w:hAnsi="宋体" w:cs="宋体"/>
          <w:sz w:val="24"/>
          <w:lang w:val="en-US" w:eastAsia="zh-CN"/>
        </w:rPr>
        <w:t xml:space="preserve"> </w:t>
      </w:r>
    </w:p>
    <w:p>
      <w:pPr>
        <w:widowControl/>
        <w:spacing w:line="360" w:lineRule="auto"/>
        <w:ind w:firstLine="240" w:firstLineChars="100"/>
        <w:jc w:val="left"/>
        <w:rPr>
          <w:rFonts w:hint="eastAsia" w:eastAsia="宋体"/>
          <w:kern w:val="0"/>
          <w:sz w:val="24"/>
          <w:lang w:val="en-US" w:eastAsia="zh-CN"/>
        </w:rPr>
      </w:pPr>
      <w:r>
        <w:rPr>
          <w:kern w:val="0"/>
          <w:sz w:val="24"/>
        </w:rPr>
        <w:t>电话：</w:t>
      </w:r>
      <w:r>
        <w:rPr>
          <w:rFonts w:hint="eastAsia"/>
          <w:kern w:val="0"/>
          <w:sz w:val="24"/>
        </w:rPr>
        <w:t xml:space="preserve">                </w:t>
      </w:r>
      <w:r>
        <w:rPr>
          <w:kern w:val="0"/>
          <w:sz w:val="24"/>
        </w:rPr>
        <w:t xml:space="preserve">          　</w:t>
      </w:r>
      <w:r>
        <w:rPr>
          <w:rFonts w:hint="eastAsia"/>
          <w:kern w:val="0"/>
          <w:sz w:val="24"/>
        </w:rPr>
        <w:t xml:space="preserve"> </w:t>
      </w:r>
      <w:r>
        <w:rPr>
          <w:kern w:val="0"/>
          <w:sz w:val="24"/>
        </w:rPr>
        <w:t>　  电话：</w:t>
      </w:r>
      <w:r>
        <w:rPr>
          <w:rFonts w:hint="eastAsia"/>
          <w:kern w:val="0"/>
          <w:sz w:val="24"/>
          <w:lang w:val="en-US" w:eastAsia="zh-CN"/>
        </w:rPr>
        <w:t xml:space="preserve"> </w:t>
      </w:r>
    </w:p>
    <w:p>
      <w:pPr>
        <w:widowControl/>
        <w:spacing w:line="360" w:lineRule="auto"/>
        <w:ind w:firstLine="1560" w:firstLineChars="650"/>
        <w:jc w:val="left"/>
        <w:rPr>
          <w:kern w:val="0"/>
          <w:sz w:val="24"/>
        </w:rPr>
      </w:pPr>
      <w:r>
        <w:rPr>
          <w:kern w:val="0"/>
          <w:sz w:val="24"/>
        </w:rPr>
        <w:t xml:space="preserve">年   月   日         </w:t>
      </w:r>
      <w:r>
        <w:rPr>
          <w:kern w:val="0"/>
          <w:sz w:val="24"/>
        </w:rPr>
        <w:tab/>
      </w:r>
      <w:r>
        <w:rPr>
          <w:kern w:val="0"/>
          <w:sz w:val="24"/>
        </w:rPr>
        <w:t xml:space="preserve">                年   月    日</w:t>
      </w:r>
    </w:p>
    <w:bookmarkEnd w:id="107"/>
    <w:p>
      <w:pPr>
        <w:spacing w:line="420" w:lineRule="exact"/>
        <w:rPr>
          <w:rFonts w:eastAsia="仿宋_GB2312"/>
          <w:color w:val="000000"/>
          <w:kern w:val="0"/>
          <w:sz w:val="32"/>
          <w:szCs w:val="32"/>
        </w:rPr>
      </w:pPr>
      <w:bookmarkStart w:id="109" w:name="_Hlk40084963"/>
    </w:p>
    <w:p>
      <w:pPr>
        <w:pStyle w:val="2"/>
        <w:rPr>
          <w:rFonts w:eastAsia="仿宋_GB2312"/>
          <w:color w:val="000000"/>
          <w:kern w:val="0"/>
          <w:sz w:val="32"/>
          <w:szCs w:val="32"/>
        </w:rPr>
      </w:pPr>
    </w:p>
    <w:p>
      <w:pPr>
        <w:pStyle w:val="2"/>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spacing w:line="560" w:lineRule="exact"/>
        <w:rPr>
          <w:rFonts w:hint="eastAsia"/>
          <w:b/>
          <w:sz w:val="24"/>
        </w:rPr>
      </w:pPr>
      <w:r>
        <w:rPr>
          <w:b/>
          <w:sz w:val="24"/>
        </w:rPr>
        <w:t>附件</w:t>
      </w:r>
      <w:r>
        <w:rPr>
          <w:rFonts w:hint="eastAsia"/>
          <w:b/>
          <w:sz w:val="24"/>
        </w:rPr>
        <w:t>3</w:t>
      </w:r>
      <w:r>
        <w:rPr>
          <w:b/>
          <w:sz w:val="24"/>
        </w:rPr>
        <w:t>：</w:t>
      </w:r>
      <w:r>
        <w:rPr>
          <w:rFonts w:hint="eastAsia"/>
          <w:b/>
          <w:sz w:val="24"/>
        </w:rPr>
        <w:t>报价单：</w:t>
      </w:r>
    </w:p>
    <w:tbl>
      <w:tblPr>
        <w:tblStyle w:val="22"/>
        <w:tblpPr w:leftFromText="180" w:rightFromText="180" w:vertAnchor="text" w:horzAnchor="page" w:tblpXSpec="center" w:tblpY="242"/>
        <w:tblOverlap w:val="never"/>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833"/>
        <w:gridCol w:w="2464"/>
        <w:gridCol w:w="520"/>
        <w:gridCol w:w="633"/>
        <w:gridCol w:w="933"/>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63"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序号</w:t>
            </w:r>
          </w:p>
        </w:tc>
        <w:tc>
          <w:tcPr>
            <w:tcW w:w="2833"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计量器具名称</w:t>
            </w:r>
          </w:p>
        </w:tc>
        <w:tc>
          <w:tcPr>
            <w:tcW w:w="2464"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型号规格</w:t>
            </w:r>
          </w:p>
        </w:tc>
        <w:tc>
          <w:tcPr>
            <w:tcW w:w="520"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数量</w:t>
            </w:r>
          </w:p>
        </w:tc>
        <w:tc>
          <w:tcPr>
            <w:tcW w:w="633" w:type="dxa"/>
            <w:noWrap/>
            <w:vAlign w:val="bottom"/>
          </w:tcPr>
          <w:p>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单位</w:t>
            </w:r>
          </w:p>
        </w:tc>
        <w:tc>
          <w:tcPr>
            <w:tcW w:w="933" w:type="dxa"/>
            <w:noWrap w:val="0"/>
            <w:vAlign w:val="top"/>
          </w:tcPr>
          <w:p>
            <w:pPr>
              <w:widowControl/>
              <w:jc w:val="center"/>
              <w:textAlignment w:val="bottom"/>
              <w:rPr>
                <w:rFonts w:hint="eastAsia" w:ascii="宋体" w:hAnsi="宋体" w:cs="宋体"/>
                <w:color w:val="000000"/>
                <w:kern w:val="0"/>
                <w:sz w:val="24"/>
                <w:lang w:bidi="ar"/>
              </w:rPr>
            </w:pPr>
            <w:r>
              <w:rPr>
                <w:rFonts w:hint="eastAsia" w:ascii="宋体" w:hAnsi="宋体" w:cs="宋体"/>
                <w:color w:val="000000"/>
                <w:kern w:val="0"/>
                <w:sz w:val="24"/>
                <w:lang w:bidi="ar"/>
              </w:rPr>
              <w:t>单</w:t>
            </w:r>
            <w:r>
              <w:rPr>
                <w:rFonts w:ascii="宋体" w:hAnsi="宋体" w:cs="宋体"/>
                <w:color w:val="000000"/>
                <w:kern w:val="0"/>
                <w:sz w:val="24"/>
                <w:lang w:bidi="ar"/>
              </w:rPr>
              <w:t>价（</w:t>
            </w:r>
            <w:r>
              <w:rPr>
                <w:rFonts w:hint="eastAsia" w:ascii="宋体" w:hAnsi="宋体" w:cs="宋体"/>
                <w:color w:val="000000"/>
                <w:kern w:val="0"/>
                <w:sz w:val="24"/>
                <w:lang w:bidi="ar"/>
              </w:rPr>
              <w:t>元</w:t>
            </w:r>
            <w:r>
              <w:rPr>
                <w:rFonts w:ascii="宋体" w:hAnsi="宋体" w:cs="宋体"/>
                <w:color w:val="000000"/>
                <w:kern w:val="0"/>
                <w:sz w:val="24"/>
                <w:lang w:bidi="ar"/>
              </w:rPr>
              <w:t>）</w:t>
            </w:r>
          </w:p>
        </w:tc>
        <w:tc>
          <w:tcPr>
            <w:tcW w:w="1052" w:type="dxa"/>
            <w:noWrap w:val="0"/>
            <w:vAlign w:val="top"/>
          </w:tcPr>
          <w:p>
            <w:pPr>
              <w:widowControl/>
              <w:jc w:val="center"/>
              <w:textAlignment w:val="bottom"/>
              <w:rPr>
                <w:rFonts w:hint="eastAsia" w:ascii="宋体" w:hAnsi="宋体" w:cs="宋体"/>
                <w:color w:val="000000"/>
                <w:kern w:val="0"/>
                <w:sz w:val="24"/>
                <w:lang w:bidi="ar"/>
              </w:rPr>
            </w:pPr>
            <w:r>
              <w:rPr>
                <w:rFonts w:hint="eastAsia" w:ascii="宋体" w:hAnsi="宋体" w:cs="宋体"/>
                <w:color w:val="000000"/>
                <w:kern w:val="0"/>
                <w:sz w:val="24"/>
                <w:lang w:bidi="ar"/>
              </w:rPr>
              <w:t>小</w:t>
            </w:r>
            <w:r>
              <w:rPr>
                <w:rFonts w:ascii="宋体" w:hAnsi="宋体" w:cs="宋体"/>
                <w:color w:val="000000"/>
                <w:kern w:val="0"/>
                <w:sz w:val="24"/>
                <w:lang w:bidi="ar"/>
              </w:rPr>
              <w:t>计（</w:t>
            </w:r>
            <w:r>
              <w:rPr>
                <w:rFonts w:hint="eastAsia" w:ascii="宋体" w:hAnsi="宋体" w:cs="宋体"/>
                <w:color w:val="000000"/>
                <w:kern w:val="0"/>
                <w:sz w:val="24"/>
                <w:lang w:bidi="ar"/>
              </w:rPr>
              <w:t>元</w:t>
            </w:r>
            <w:r>
              <w:rPr>
                <w:rFonts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3" w:type="dxa"/>
            <w:noWrap/>
            <w:vAlign w:val="center"/>
          </w:tcPr>
          <w:p>
            <w:pPr>
              <w:widowControl/>
              <w:jc w:val="center"/>
              <w:textAlignment w:val="center"/>
              <w:rPr>
                <w:color w:val="000000"/>
                <w:sz w:val="20"/>
                <w:szCs w:val="20"/>
              </w:rPr>
            </w:pPr>
            <w:r>
              <w:rPr>
                <w:color w:val="000000"/>
                <w:kern w:val="0"/>
                <w:sz w:val="20"/>
                <w:szCs w:val="20"/>
                <w:lang w:bidi="ar"/>
              </w:rPr>
              <w:t>1</w:t>
            </w:r>
          </w:p>
        </w:tc>
        <w:tc>
          <w:tcPr>
            <w:tcW w:w="2833"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膜池 产水流量计</w:t>
            </w:r>
          </w:p>
        </w:tc>
        <w:tc>
          <w:tcPr>
            <w:tcW w:w="2464"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西门子MAG6000  DN300</w:t>
            </w:r>
          </w:p>
        </w:tc>
        <w:tc>
          <w:tcPr>
            <w:tcW w:w="520" w:type="dxa"/>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24</w:t>
            </w:r>
          </w:p>
        </w:tc>
        <w:tc>
          <w:tcPr>
            <w:tcW w:w="633"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3" w:type="dxa"/>
            <w:noWrap w:val="0"/>
            <w:vAlign w:val="center"/>
          </w:tcPr>
          <w:p>
            <w:pPr>
              <w:widowControl/>
              <w:jc w:val="center"/>
              <w:rPr>
                <w:rFonts w:hint="default" w:eastAsia="宋体"/>
                <w:kern w:val="0"/>
                <w:sz w:val="20"/>
                <w:szCs w:val="20"/>
                <w:lang w:val="en-US" w:eastAsia="zh-CN"/>
              </w:rPr>
            </w:pPr>
          </w:p>
        </w:tc>
        <w:tc>
          <w:tcPr>
            <w:tcW w:w="1052" w:type="dxa"/>
            <w:noWrap w:val="0"/>
            <w:vAlign w:val="center"/>
          </w:tcPr>
          <w:p>
            <w:pPr>
              <w:widowControl/>
              <w:jc w:val="center"/>
              <w:rPr>
                <w:rFonts w:hint="default" w:eastAsia="宋体"/>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3" w:type="dxa"/>
            <w:noWrap/>
            <w:vAlign w:val="center"/>
          </w:tcPr>
          <w:p>
            <w:pPr>
              <w:widowControl/>
              <w:jc w:val="center"/>
              <w:textAlignment w:val="center"/>
              <w:rPr>
                <w:color w:val="000000"/>
                <w:sz w:val="20"/>
                <w:szCs w:val="20"/>
              </w:rPr>
            </w:pPr>
            <w:r>
              <w:rPr>
                <w:color w:val="000000"/>
                <w:kern w:val="0"/>
                <w:sz w:val="20"/>
                <w:szCs w:val="20"/>
                <w:lang w:bidi="ar"/>
              </w:rPr>
              <w:t>2</w:t>
            </w:r>
          </w:p>
        </w:tc>
        <w:tc>
          <w:tcPr>
            <w:tcW w:w="2833"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中水电磁流量计（干化循环）</w:t>
            </w:r>
          </w:p>
        </w:tc>
        <w:tc>
          <w:tcPr>
            <w:tcW w:w="2464" w:type="dxa"/>
            <w:noWrap/>
            <w:vAlign w:val="center"/>
          </w:tcPr>
          <w:p>
            <w:pPr>
              <w:widowControl/>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西门子MAG5000  DN300</w:t>
            </w:r>
          </w:p>
        </w:tc>
        <w:tc>
          <w:tcPr>
            <w:tcW w:w="520" w:type="dxa"/>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633"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3" w:type="dxa"/>
            <w:noWrap w:val="0"/>
            <w:vAlign w:val="center"/>
          </w:tcPr>
          <w:p>
            <w:pPr>
              <w:jc w:val="center"/>
              <w:rPr>
                <w:rFonts w:hint="default" w:eastAsia="宋体"/>
                <w:sz w:val="20"/>
                <w:szCs w:val="20"/>
                <w:lang w:val="en-US" w:eastAsia="zh-CN"/>
              </w:rPr>
            </w:pPr>
          </w:p>
        </w:tc>
        <w:tc>
          <w:tcPr>
            <w:tcW w:w="1052" w:type="dxa"/>
            <w:noWrap w:val="0"/>
            <w:vAlign w:val="center"/>
          </w:tcPr>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3"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3</w:t>
            </w:r>
          </w:p>
        </w:tc>
        <w:tc>
          <w:tcPr>
            <w:tcW w:w="2833" w:type="dxa"/>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中水电磁流量计（绿化）</w:t>
            </w:r>
          </w:p>
        </w:tc>
        <w:tc>
          <w:tcPr>
            <w:tcW w:w="2464" w:type="dxa"/>
            <w:noWrap/>
            <w:vAlign w:val="center"/>
          </w:tcPr>
          <w:p>
            <w:pPr>
              <w:widowControl/>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西门子MAG5000  DN300</w:t>
            </w:r>
          </w:p>
        </w:tc>
        <w:tc>
          <w:tcPr>
            <w:tcW w:w="520" w:type="dxa"/>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633"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3" w:type="dxa"/>
            <w:noWrap w:val="0"/>
            <w:vAlign w:val="center"/>
          </w:tcPr>
          <w:p>
            <w:pPr>
              <w:jc w:val="center"/>
              <w:rPr>
                <w:rFonts w:hint="default" w:eastAsia="宋体"/>
                <w:sz w:val="20"/>
                <w:szCs w:val="20"/>
                <w:lang w:val="en-US" w:eastAsia="zh-CN"/>
              </w:rPr>
            </w:pPr>
          </w:p>
        </w:tc>
        <w:tc>
          <w:tcPr>
            <w:tcW w:w="1052" w:type="dxa"/>
            <w:noWrap w:val="0"/>
            <w:vAlign w:val="center"/>
          </w:tcPr>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3"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4</w:t>
            </w:r>
          </w:p>
        </w:tc>
        <w:tc>
          <w:tcPr>
            <w:tcW w:w="2833"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干化进泥泵流量计</w:t>
            </w:r>
          </w:p>
        </w:tc>
        <w:tc>
          <w:tcPr>
            <w:tcW w:w="2464" w:type="dxa"/>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bidi="ar"/>
              </w:rPr>
              <w:t>TK1100FT1FSC101CT01K00</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DN125</w:t>
            </w:r>
            <w:r>
              <w:rPr>
                <w:rFonts w:hint="eastAsia" w:ascii="宋体" w:hAnsi="宋体" w:cs="宋体"/>
                <w:color w:val="000000"/>
                <w:kern w:val="0"/>
                <w:sz w:val="20"/>
                <w:szCs w:val="20"/>
                <w:lang w:val="en-US" w:eastAsia="zh-CN" w:bidi="ar"/>
              </w:rPr>
              <w:t xml:space="preserve">   </w:t>
            </w:r>
          </w:p>
        </w:tc>
        <w:tc>
          <w:tcPr>
            <w:tcW w:w="520"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3"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c>
          <w:tcPr>
            <w:tcW w:w="933" w:type="dxa"/>
            <w:noWrap w:val="0"/>
            <w:vAlign w:val="center"/>
          </w:tcPr>
          <w:p>
            <w:pPr>
              <w:jc w:val="center"/>
              <w:rPr>
                <w:rFonts w:hint="default" w:eastAsia="宋体"/>
                <w:sz w:val="20"/>
                <w:szCs w:val="20"/>
                <w:lang w:val="en-US" w:eastAsia="zh-CN"/>
              </w:rPr>
            </w:pPr>
          </w:p>
        </w:tc>
        <w:tc>
          <w:tcPr>
            <w:tcW w:w="1052" w:type="dxa"/>
            <w:noWrap w:val="0"/>
            <w:vAlign w:val="center"/>
          </w:tcPr>
          <w:p>
            <w:pPr>
              <w:jc w:val="center"/>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3" w:type="dxa"/>
            <w:noWrap/>
            <w:vAlign w:val="center"/>
          </w:tcPr>
          <w:p>
            <w:pPr>
              <w:widowControl/>
              <w:jc w:val="center"/>
              <w:textAlignment w:val="center"/>
              <w:rPr>
                <w:rFonts w:hint="eastAsia" w:eastAsia="宋体"/>
                <w:color w:val="000000"/>
                <w:sz w:val="20"/>
                <w:szCs w:val="20"/>
                <w:lang w:val="en-US" w:eastAsia="zh-CN"/>
              </w:rPr>
            </w:pPr>
            <w:r>
              <w:rPr>
                <w:rFonts w:hint="eastAsia"/>
                <w:color w:val="000000"/>
                <w:sz w:val="20"/>
                <w:szCs w:val="20"/>
                <w:lang w:val="en-US" w:eastAsia="zh-CN"/>
              </w:rPr>
              <w:t>5</w:t>
            </w:r>
          </w:p>
        </w:tc>
        <w:tc>
          <w:tcPr>
            <w:tcW w:w="2833"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干化PAC流量计</w:t>
            </w:r>
          </w:p>
        </w:tc>
        <w:tc>
          <w:tcPr>
            <w:tcW w:w="2464"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TK1100FT25SC101CT01K00</w:t>
            </w:r>
            <w:r>
              <w:rPr>
                <w:rFonts w:hint="eastAsia" w:ascii="宋体" w:hAnsi="宋体" w:eastAsia="宋体" w:cs="宋体"/>
                <w:color w:val="000000"/>
                <w:kern w:val="0"/>
                <w:sz w:val="20"/>
                <w:szCs w:val="20"/>
                <w:lang w:val="en-US" w:eastAsia="zh-CN" w:bidi="ar"/>
              </w:rPr>
              <w:t xml:space="preserve"> DN25</w:t>
            </w:r>
          </w:p>
        </w:tc>
        <w:tc>
          <w:tcPr>
            <w:tcW w:w="520"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633"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933" w:type="dxa"/>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052" w:type="dxa"/>
            <w:noWrap w:val="0"/>
            <w:vAlign w:val="center"/>
          </w:tcPr>
          <w:p>
            <w:pPr>
              <w:jc w:val="center"/>
              <w:rPr>
                <w:rFonts w:hint="default" w:eastAsia="宋体"/>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3" w:type="dxa"/>
            <w:noWrap/>
            <w:vAlign w:val="center"/>
          </w:tcPr>
          <w:p>
            <w:pPr>
              <w:widowControl/>
              <w:jc w:val="center"/>
              <w:textAlignment w:val="center"/>
              <w:rPr>
                <w:rFonts w:hint="default"/>
                <w:color w:val="000000"/>
                <w:sz w:val="20"/>
                <w:szCs w:val="20"/>
                <w:lang w:val="en-US" w:eastAsia="zh-CN"/>
              </w:rPr>
            </w:pPr>
            <w:r>
              <w:rPr>
                <w:rFonts w:hint="eastAsia"/>
                <w:color w:val="000000"/>
                <w:sz w:val="20"/>
                <w:szCs w:val="20"/>
                <w:lang w:val="en-US" w:eastAsia="zh-CN"/>
              </w:rPr>
              <w:t>6</w:t>
            </w:r>
          </w:p>
        </w:tc>
        <w:tc>
          <w:tcPr>
            <w:tcW w:w="2833"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加药间硫酸铝流量计</w:t>
            </w:r>
          </w:p>
        </w:tc>
        <w:tc>
          <w:tcPr>
            <w:tcW w:w="2464" w:type="dxa"/>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MAG5000</w:t>
            </w:r>
          </w:p>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DN32</w:t>
            </w:r>
          </w:p>
        </w:tc>
        <w:tc>
          <w:tcPr>
            <w:tcW w:w="520"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633" w:type="dxa"/>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台</w:t>
            </w:r>
          </w:p>
        </w:tc>
        <w:tc>
          <w:tcPr>
            <w:tcW w:w="933" w:type="dxa"/>
            <w:noWrap w:val="0"/>
            <w:vAlign w:val="center"/>
          </w:tcPr>
          <w:p>
            <w:pPr>
              <w:widowControl/>
              <w:jc w:val="center"/>
              <w:textAlignment w:val="center"/>
              <w:rPr>
                <w:rFonts w:hint="default" w:ascii="宋体" w:hAnsi="宋体" w:eastAsia="宋体" w:cs="宋体"/>
                <w:color w:val="000000"/>
                <w:kern w:val="0"/>
                <w:sz w:val="20"/>
                <w:szCs w:val="20"/>
                <w:lang w:val="en-US" w:eastAsia="zh-CN" w:bidi="ar"/>
              </w:rPr>
            </w:pPr>
          </w:p>
        </w:tc>
        <w:tc>
          <w:tcPr>
            <w:tcW w:w="1052" w:type="dxa"/>
            <w:noWrap w:val="0"/>
            <w:vAlign w:val="center"/>
          </w:tcPr>
          <w:p>
            <w:pPr>
              <w:jc w:val="cente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46" w:type="dxa"/>
            <w:gridSpan w:val="6"/>
            <w:noWrap/>
            <w:vAlign w:val="center"/>
          </w:tcPr>
          <w:p>
            <w:pPr>
              <w:jc w:val="center"/>
              <w:rPr>
                <w:rFonts w:hint="eastAsia"/>
                <w:b/>
                <w:sz w:val="20"/>
                <w:szCs w:val="20"/>
              </w:rPr>
            </w:pPr>
            <w:r>
              <w:rPr>
                <w:rFonts w:hint="eastAsia"/>
                <w:b/>
                <w:sz w:val="20"/>
                <w:szCs w:val="20"/>
              </w:rPr>
              <w:t>合计</w:t>
            </w:r>
          </w:p>
        </w:tc>
        <w:tc>
          <w:tcPr>
            <w:tcW w:w="1052" w:type="dxa"/>
            <w:noWrap w:val="0"/>
            <w:vAlign w:val="center"/>
          </w:tcPr>
          <w:p>
            <w:pPr>
              <w:jc w:val="center"/>
              <w:rPr>
                <w:rFonts w:hint="default" w:eastAsia="宋体"/>
                <w:b/>
                <w:sz w:val="20"/>
                <w:szCs w:val="20"/>
                <w:lang w:val="en-US" w:eastAsia="zh-CN"/>
              </w:rPr>
            </w:pPr>
          </w:p>
        </w:tc>
      </w:tr>
    </w:tbl>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pStyle w:val="2"/>
        <w:ind w:left="0" w:leftChars="0" w:firstLine="0" w:firstLineChars="0"/>
        <w:rPr>
          <w:rFonts w:eastAsia="仿宋_GB2312"/>
          <w:color w:val="000000"/>
          <w:kern w:val="0"/>
          <w:sz w:val="32"/>
          <w:szCs w:val="32"/>
        </w:rPr>
      </w:pPr>
    </w:p>
    <w:p>
      <w:pPr>
        <w:adjustRightInd w:val="0"/>
        <w:snapToGrid w:val="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spacing w:line="360" w:lineRule="auto"/>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pStyle w:val="46"/>
        <w:rPr>
          <w:rFonts w:hint="eastAsia" w:ascii="宋体" w:hAnsi="宋体" w:cs="宋体"/>
          <w:b/>
          <w:bCs/>
          <w:szCs w:val="21"/>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pStyle w:val="46"/>
        <w:rPr>
          <w:rFonts w:hint="eastAsia" w:ascii="宋体" w:hAnsi="宋体" w:cs="宋体"/>
          <w:b/>
          <w:bCs/>
          <w:szCs w:val="21"/>
          <w:lang w:val="en-US" w:eastAsia="zh-CN"/>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5</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5"/>
          <w:rFonts w:hint="default" w:ascii="仿宋" w:hAnsi="仿宋" w:eastAsia="仿宋" w:cs="仿宋"/>
          <w:b w:val="0"/>
          <w:u w:val="single"/>
          <w:lang w:val="en-US" w:eastAsia="zh-CN"/>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sz w:val="24"/>
          <w:u w:val="single"/>
          <w:lang w:eastAsia="zh-CN"/>
        </w:rPr>
        <w:t>江高分公司非统筹流量计年度校准项目</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FF0000"/>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red"/>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6"/>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本协议与合同同时签订、同时终止、同时生效，具有相同的法律效力。合同由甲乙双方签字、盖章生效，甲方肆份，乙方壹份。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eastAsia="仿宋_GB2312"/>
          <w:color w:val="000000"/>
          <w:kern w:val="0"/>
          <w:sz w:val="32"/>
          <w:szCs w:val="32"/>
        </w:rPr>
        <w:sectPr>
          <w:pgSz w:w="11906" w:h="16838"/>
          <w:pgMar w:top="1089" w:right="1466" w:bottom="1089" w:left="1077" w:header="851" w:footer="992" w:gutter="0"/>
          <w:cols w:space="720" w:num="1"/>
          <w:docGrid w:type="lines" w:linePitch="312" w:charSpace="0"/>
        </w:sectPr>
      </w:pPr>
      <w:r>
        <w:rPr>
          <w:rFonts w:hint="eastAsia" w:ascii="仿宋" w:hAnsi="仿宋" w:eastAsia="仿宋" w:cs="仿宋"/>
          <w:sz w:val="24"/>
        </w:rPr>
        <w:t xml:space="preserve">      年 　月　  日　　　　　                 年   月  　日</w:t>
      </w:r>
    </w:p>
    <w:bookmarkEnd w:id="109"/>
    <w:p>
      <w:pPr>
        <w:pStyle w:val="46"/>
        <w:rPr>
          <w:b/>
        </w:rPr>
      </w:pPr>
    </w:p>
    <w:p>
      <w:pPr>
        <w:pStyle w:val="46"/>
        <w:rPr>
          <w:rStyle w:val="48"/>
          <w:b/>
        </w:rPr>
      </w:pPr>
    </w:p>
    <w:p>
      <w:pPr>
        <w:pStyle w:val="46"/>
        <w:rPr>
          <w:rStyle w:val="48"/>
          <w:b/>
        </w:rPr>
      </w:pPr>
    </w:p>
    <w:p>
      <w:pPr>
        <w:pStyle w:val="46"/>
        <w:rPr>
          <w:rStyle w:val="48"/>
          <w:b/>
        </w:rPr>
      </w:pPr>
    </w:p>
    <w:p>
      <w:pPr>
        <w:pStyle w:val="46"/>
        <w:rPr>
          <w:rStyle w:val="48"/>
          <w:b/>
        </w:rPr>
      </w:pPr>
    </w:p>
    <w:bookmarkEnd w:id="72"/>
    <w:bookmarkEnd w:id="73"/>
    <w:bookmarkEnd w:id="74"/>
    <w:bookmarkEnd w:id="75"/>
    <w:bookmarkEnd w:id="76"/>
    <w:bookmarkEnd w:id="77"/>
    <w:bookmarkEnd w:id="78"/>
    <w:bookmarkEnd w:id="79"/>
    <w:bookmarkEnd w:id="80"/>
    <w:bookmarkEnd w:id="81"/>
    <w:bookmarkEnd w:id="82"/>
    <w:bookmarkEnd w:id="83"/>
    <w:bookmarkEnd w:id="84"/>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3"/>
        <w:rPr>
          <w:color w:val="auto"/>
          <w:highlight w:val="none"/>
        </w:rPr>
      </w:pPr>
      <w:bookmarkStart w:id="110" w:name="_Toc23515"/>
      <w:bookmarkStart w:id="111" w:name="_Toc5129"/>
      <w:bookmarkStart w:id="112" w:name="_Toc1563"/>
      <w:bookmarkStart w:id="113" w:name="_Toc28358"/>
      <w:bookmarkStart w:id="114" w:name="_Toc12169"/>
      <w:bookmarkStart w:id="115" w:name="_Toc3723"/>
      <w:bookmarkStart w:id="116" w:name="_Toc16552"/>
      <w:bookmarkStart w:id="117" w:name="_Toc8147"/>
      <w:bookmarkStart w:id="118" w:name="_Toc6230"/>
      <w:bookmarkStart w:id="119" w:name="_Toc30824"/>
      <w:bookmarkStart w:id="120" w:name="_Toc21847"/>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0"/>
      <w:bookmarkEnd w:id="111"/>
      <w:bookmarkEnd w:id="112"/>
      <w:bookmarkEnd w:id="113"/>
      <w:bookmarkEnd w:id="114"/>
      <w:bookmarkEnd w:id="115"/>
      <w:bookmarkEnd w:id="116"/>
      <w:bookmarkEnd w:id="117"/>
      <w:bookmarkEnd w:id="118"/>
      <w:bookmarkEnd w:id="119"/>
      <w:bookmarkEnd w:id="120"/>
    </w:p>
    <w:p>
      <w:pPr>
        <w:pStyle w:val="36"/>
        <w:rPr>
          <w:color w:val="auto"/>
          <w:highlight w:val="none"/>
        </w:rPr>
      </w:pPr>
    </w:p>
    <w:p>
      <w:pPr>
        <w:pStyle w:val="3"/>
        <w:rPr>
          <w:color w:val="auto"/>
          <w:highlight w:val="none"/>
        </w:rPr>
      </w:pPr>
      <w:bookmarkStart w:id="121" w:name="_Toc22764"/>
      <w:bookmarkStart w:id="122" w:name="_Toc31564"/>
      <w:bookmarkStart w:id="123" w:name="_Toc21675"/>
      <w:bookmarkStart w:id="124" w:name="_Toc5342"/>
      <w:bookmarkStart w:id="125" w:name="_Toc30157"/>
      <w:bookmarkStart w:id="126" w:name="_Toc17119"/>
      <w:bookmarkStart w:id="127" w:name="_Toc12610"/>
      <w:bookmarkStart w:id="128" w:name="_Toc88209951"/>
      <w:bookmarkStart w:id="129" w:name="_Toc24815"/>
      <w:bookmarkStart w:id="130" w:name="_Toc12769"/>
      <w:bookmarkStart w:id="131" w:name="_Toc24490"/>
      <w:bookmarkStart w:id="132" w:name="_Toc87616388"/>
      <w:bookmarkStart w:id="133" w:name="_Toc10840"/>
      <w:r>
        <w:rPr>
          <w:rFonts w:hint="eastAsia"/>
          <w:color w:val="auto"/>
          <w:highlight w:val="none"/>
        </w:rPr>
        <w:t>响应文件</w:t>
      </w:r>
      <w:r>
        <w:rPr>
          <w:rFonts w:hint="eastAsia"/>
          <w:color w:val="auto"/>
          <w:highlight w:val="none"/>
          <w:lang w:val="en-US" w:eastAsia="zh-CN"/>
        </w:rPr>
        <w:t>格式要求</w:t>
      </w:r>
      <w:bookmarkEnd w:id="121"/>
      <w:bookmarkEnd w:id="122"/>
      <w:bookmarkEnd w:id="123"/>
      <w:bookmarkEnd w:id="124"/>
      <w:bookmarkEnd w:id="125"/>
      <w:bookmarkEnd w:id="126"/>
      <w:bookmarkEnd w:id="127"/>
      <w:bookmarkEnd w:id="128"/>
      <w:bookmarkEnd w:id="129"/>
      <w:bookmarkEnd w:id="130"/>
      <w:bookmarkEnd w:id="131"/>
      <w:bookmarkEnd w:id="132"/>
      <w:bookmarkEnd w:id="13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4" w:name="_Toc87616389"/>
      <w:bookmarkStart w:id="135" w:name="_Toc88209952"/>
      <w:r>
        <w:rPr>
          <w:rFonts w:hint="eastAsia" w:ascii="仿宋_GB2312" w:eastAsia="仿宋_GB2312"/>
          <w:color w:val="auto"/>
          <w:sz w:val="28"/>
          <w:szCs w:val="28"/>
          <w:highlight w:val="none"/>
        </w:rPr>
        <w:t>1.响应函</w:t>
      </w:r>
      <w:bookmarkEnd w:id="134"/>
      <w:bookmarkEnd w:id="135"/>
    </w:p>
    <w:p>
      <w:pPr>
        <w:spacing w:line="600" w:lineRule="exact"/>
        <w:rPr>
          <w:rFonts w:hint="eastAsia" w:ascii="仿宋_GB2312" w:eastAsia="仿宋_GB2312"/>
          <w:color w:val="auto"/>
          <w:sz w:val="28"/>
          <w:szCs w:val="28"/>
          <w:highlight w:val="none"/>
        </w:rPr>
      </w:pPr>
      <w:bookmarkStart w:id="136" w:name="_Toc88209953"/>
      <w:bookmarkStart w:id="137" w:name="_Toc87616390"/>
      <w:r>
        <w:rPr>
          <w:rFonts w:hint="eastAsia" w:ascii="仿宋_GB2312" w:eastAsia="仿宋_GB2312"/>
          <w:color w:val="auto"/>
          <w:sz w:val="28"/>
          <w:szCs w:val="28"/>
          <w:highlight w:val="none"/>
        </w:rPr>
        <w:t>2.法定代表人证明或授权委托书</w:t>
      </w:r>
      <w:bookmarkEnd w:id="136"/>
      <w:bookmarkEnd w:id="137"/>
      <w:bookmarkStart w:id="138" w:name="_Toc87616393"/>
      <w:bookmarkStart w:id="139"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8"/>
      <w:bookmarkEnd w:id="139"/>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0" w:name="_Toc6313"/>
      <w:bookmarkStart w:id="141" w:name="_Toc12665"/>
      <w:bookmarkStart w:id="142" w:name="_Toc88209957"/>
      <w:bookmarkStart w:id="143" w:name="_Toc28619645"/>
      <w:bookmarkStart w:id="144" w:name="_Toc87616394"/>
      <w:r>
        <w:rPr>
          <w:rFonts w:hint="eastAsia" w:asciiTheme="minorEastAsia" w:hAnsiTheme="minorEastAsia" w:eastAsiaTheme="minorEastAsia"/>
          <w:color w:val="auto"/>
          <w:sz w:val="28"/>
          <w:szCs w:val="28"/>
          <w:highlight w:val="none"/>
        </w:rPr>
        <w:t>1.响应函</w:t>
      </w:r>
      <w:bookmarkEnd w:id="140"/>
      <w:bookmarkEnd w:id="141"/>
      <w:bookmarkEnd w:id="142"/>
      <w:bookmarkEnd w:id="143"/>
      <w:bookmarkEnd w:id="14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5" w:name="_Toc22527"/>
      <w:bookmarkStart w:id="146" w:name="_Toc87616395"/>
      <w:bookmarkStart w:id="147" w:name="_Toc29833"/>
      <w:bookmarkStart w:id="148"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5"/>
      <w:bookmarkEnd w:id="146"/>
      <w:bookmarkEnd w:id="147"/>
      <w:bookmarkEnd w:id="14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9" w:name="_Toc87616400"/>
      <w:bookmarkStart w:id="150" w:name="_Toc19830"/>
      <w:bookmarkStart w:id="151" w:name="_Toc8086"/>
      <w:bookmarkStart w:id="152"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3"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广州市净水有限公司江高分公司2022年非统筹流量计年度校准项目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rPr>
          <w:rFonts w:hint="eastAsia"/>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lang w:val="en-GB"/>
        </w:rPr>
        <w:t>被“全国企业信用信息公示系统”（网址：http://www.gsxt.gov.cn/）</w:t>
      </w:r>
    </w:p>
    <w:p>
      <w:pPr>
        <w:pStyle w:val="21"/>
        <w:rPr>
          <w:rFonts w:hint="eastAsia"/>
          <w:lang w:val="en-GB"/>
        </w:rPr>
      </w:pPr>
      <w:r>
        <w:rPr>
          <w:rFonts w:hint="eastAsia"/>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1"/>
        <w:ind w:firstLine="0"/>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54" w:name="_Toc32430"/>
      <w:bookmarkStart w:id="155"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4"/>
      <w:bookmarkEnd w:id="155"/>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1"/>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56" w:name="_Toc6058"/>
      <w:bookmarkStart w:id="157" w:name="_Toc16386"/>
      <w:bookmarkStart w:id="158" w:name="_Toc88209965"/>
      <w:bookmarkStart w:id="159"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6"/>
      <w:bookmarkEnd w:id="157"/>
      <w:bookmarkEnd w:id="158"/>
      <w:bookmarkEnd w:id="159"/>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fldChar w:fldCharType="begin"/>
    </w:r>
    <w:r>
      <w:instrText xml:space="preserve">PAGE   \* MERGEFORMAT</w:instrText>
    </w:r>
    <w:r>
      <w:fldChar w:fldCharType="separate"/>
    </w:r>
    <w:r>
      <w:rPr>
        <w:lang w:val="zh-CN"/>
      </w:rPr>
      <w:t>1</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15</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B713FD"/>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F4D75A3"/>
    <w:rsid w:val="0F5B2DCA"/>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6360A7B"/>
    <w:rsid w:val="164D40B0"/>
    <w:rsid w:val="1694429A"/>
    <w:rsid w:val="17635326"/>
    <w:rsid w:val="17B803EA"/>
    <w:rsid w:val="1815096B"/>
    <w:rsid w:val="18236EFD"/>
    <w:rsid w:val="18377249"/>
    <w:rsid w:val="189D5B1F"/>
    <w:rsid w:val="18A34CD0"/>
    <w:rsid w:val="18FA20E1"/>
    <w:rsid w:val="19A53EA8"/>
    <w:rsid w:val="19B64DBC"/>
    <w:rsid w:val="19EC6A4A"/>
    <w:rsid w:val="1A373ACF"/>
    <w:rsid w:val="1A7B10BA"/>
    <w:rsid w:val="1A895341"/>
    <w:rsid w:val="1B0D071F"/>
    <w:rsid w:val="1B4568CE"/>
    <w:rsid w:val="1B9015B7"/>
    <w:rsid w:val="1B950DA6"/>
    <w:rsid w:val="1BF54245"/>
    <w:rsid w:val="1C9C7136"/>
    <w:rsid w:val="1D0E6976"/>
    <w:rsid w:val="1D5A79EE"/>
    <w:rsid w:val="1E0E2CD0"/>
    <w:rsid w:val="1E831280"/>
    <w:rsid w:val="1EBC4704"/>
    <w:rsid w:val="1F172EB5"/>
    <w:rsid w:val="1F22070B"/>
    <w:rsid w:val="1F94592D"/>
    <w:rsid w:val="1FB860DE"/>
    <w:rsid w:val="203C5A02"/>
    <w:rsid w:val="209D4C94"/>
    <w:rsid w:val="20B44FCD"/>
    <w:rsid w:val="20E84705"/>
    <w:rsid w:val="21100390"/>
    <w:rsid w:val="218400BA"/>
    <w:rsid w:val="21AB1E2F"/>
    <w:rsid w:val="21D40498"/>
    <w:rsid w:val="22493963"/>
    <w:rsid w:val="22767047"/>
    <w:rsid w:val="23A05588"/>
    <w:rsid w:val="240476A1"/>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7A49FA"/>
    <w:rsid w:val="2C615D26"/>
    <w:rsid w:val="2CB679ED"/>
    <w:rsid w:val="2CC30957"/>
    <w:rsid w:val="2CE83C37"/>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DF525F"/>
    <w:rsid w:val="31EC162B"/>
    <w:rsid w:val="32324C2E"/>
    <w:rsid w:val="327171DF"/>
    <w:rsid w:val="3391569E"/>
    <w:rsid w:val="341E3434"/>
    <w:rsid w:val="34BB4442"/>
    <w:rsid w:val="3584136B"/>
    <w:rsid w:val="35FF5AA4"/>
    <w:rsid w:val="360B7EBA"/>
    <w:rsid w:val="36416867"/>
    <w:rsid w:val="367D5DD4"/>
    <w:rsid w:val="369C32FD"/>
    <w:rsid w:val="3749262A"/>
    <w:rsid w:val="37666E72"/>
    <w:rsid w:val="38081EA3"/>
    <w:rsid w:val="38167A04"/>
    <w:rsid w:val="381C3783"/>
    <w:rsid w:val="394B167A"/>
    <w:rsid w:val="39DA2868"/>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C13B4D"/>
    <w:rsid w:val="46054BCA"/>
    <w:rsid w:val="464C6AFC"/>
    <w:rsid w:val="464C7B8E"/>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7300C9"/>
    <w:rsid w:val="51D27CD1"/>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6FF1CF0"/>
    <w:rsid w:val="574B6AA2"/>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1F52B3"/>
    <w:rsid w:val="674302C7"/>
    <w:rsid w:val="67CB09D8"/>
    <w:rsid w:val="67EE3B0F"/>
    <w:rsid w:val="680A5986"/>
    <w:rsid w:val="680D5F4B"/>
    <w:rsid w:val="68113F51"/>
    <w:rsid w:val="68E94770"/>
    <w:rsid w:val="68EC1CEF"/>
    <w:rsid w:val="68F949C9"/>
    <w:rsid w:val="695A4290"/>
    <w:rsid w:val="696F3649"/>
    <w:rsid w:val="6A334932"/>
    <w:rsid w:val="6A3353FF"/>
    <w:rsid w:val="6A5D63E6"/>
    <w:rsid w:val="6A5F24D1"/>
    <w:rsid w:val="6ACA70C4"/>
    <w:rsid w:val="6AE347EB"/>
    <w:rsid w:val="6B1E7F34"/>
    <w:rsid w:val="6B330365"/>
    <w:rsid w:val="6B434AF0"/>
    <w:rsid w:val="6B57675A"/>
    <w:rsid w:val="6B87098A"/>
    <w:rsid w:val="6BDD7B4D"/>
    <w:rsid w:val="6E535B70"/>
    <w:rsid w:val="6EBC0B3A"/>
    <w:rsid w:val="6EF51C7D"/>
    <w:rsid w:val="6F8363E5"/>
    <w:rsid w:val="6F841DCF"/>
    <w:rsid w:val="6FA80CCD"/>
    <w:rsid w:val="6FAC3CC5"/>
    <w:rsid w:val="6FC746F5"/>
    <w:rsid w:val="6FE33EF5"/>
    <w:rsid w:val="70317AC6"/>
    <w:rsid w:val="704B26F7"/>
    <w:rsid w:val="70697B21"/>
    <w:rsid w:val="70863262"/>
    <w:rsid w:val="70A76ED3"/>
    <w:rsid w:val="71860B17"/>
    <w:rsid w:val="72095D82"/>
    <w:rsid w:val="723B27CC"/>
    <w:rsid w:val="72687227"/>
    <w:rsid w:val="72A03FD9"/>
    <w:rsid w:val="73406CFF"/>
    <w:rsid w:val="7383028C"/>
    <w:rsid w:val="73A25E44"/>
    <w:rsid w:val="73F20DE1"/>
    <w:rsid w:val="741F68CF"/>
    <w:rsid w:val="75252DF3"/>
    <w:rsid w:val="75621536"/>
    <w:rsid w:val="75BF3154"/>
    <w:rsid w:val="764A07CF"/>
    <w:rsid w:val="764F6B3D"/>
    <w:rsid w:val="76CD2B7B"/>
    <w:rsid w:val="76D80645"/>
    <w:rsid w:val="76E03371"/>
    <w:rsid w:val="771211AA"/>
    <w:rsid w:val="77736C04"/>
    <w:rsid w:val="77EA44E3"/>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945420"/>
    <w:rsid w:val="7D997857"/>
    <w:rsid w:val="7E394207"/>
    <w:rsid w:val="7E4007A2"/>
    <w:rsid w:val="7E791CAD"/>
    <w:rsid w:val="7EA50DFB"/>
    <w:rsid w:val="7EC86878"/>
    <w:rsid w:val="7EDD159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0"/>
    <w:pPr>
      <w:spacing w:after="120" w:line="480" w:lineRule="auto"/>
      <w:ind w:left="420" w:leftChars="200"/>
    </w:p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kern w:val="2"/>
      <w:sz w:val="24"/>
      <w:szCs w:val="24"/>
    </w:rPr>
  </w:style>
  <w:style w:type="character" w:styleId="26">
    <w:name w:val="page number"/>
    <w:qFormat/>
    <w:uiPriority w:val="0"/>
  </w:style>
  <w:style w:type="character" w:styleId="27">
    <w:name w:val="Hyperlink"/>
    <w:basedOn w:val="24"/>
    <w:unhideWhenUsed/>
    <w:qFormat/>
    <w:uiPriority w:val="99"/>
    <w:rPr>
      <w:color w:val="0000FF" w:themeColor="hyperlink"/>
      <w:u w:val="single"/>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3"/>
    <w:qFormat/>
    <w:uiPriority w:val="9"/>
    <w:rPr>
      <w:rFonts w:eastAsia="方正小标宋简体"/>
      <w:bCs/>
      <w:kern w:val="44"/>
      <w:sz w:val="44"/>
      <w:szCs w:val="44"/>
    </w:rPr>
  </w:style>
  <w:style w:type="character" w:customStyle="1" w:styleId="31">
    <w:name w:val="标题 2 Char"/>
    <w:basedOn w:val="24"/>
    <w:link w:val="4"/>
    <w:qFormat/>
    <w:uiPriority w:val="9"/>
    <w:rPr>
      <w:rFonts w:eastAsia="方正小标宋简体" w:asciiTheme="majorHAnsi" w:hAnsiTheme="majorHAnsi" w:cstheme="majorBidi"/>
      <w:bCs/>
      <w:sz w:val="36"/>
      <w:szCs w:val="32"/>
    </w:rPr>
  </w:style>
  <w:style w:type="character" w:customStyle="1" w:styleId="32">
    <w:name w:val="标题 3 Char"/>
    <w:basedOn w:val="24"/>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4"/>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Char"/>
    <w:basedOn w:val="1"/>
    <w:qFormat/>
    <w:uiPriority w:val="0"/>
    <w:pPr>
      <w:adjustRightInd/>
      <w:spacing w:line="480" w:lineRule="exact"/>
      <w:ind w:firstLine="0"/>
      <w:jc w:val="both"/>
      <w:textAlignment w:val="auto"/>
    </w:pPr>
    <w:rPr>
      <w:kern w:val="2"/>
      <w:sz w:val="24"/>
      <w:szCs w:val="24"/>
    </w:rPr>
  </w:style>
  <w:style w:type="character" w:customStyle="1" w:styleId="4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9827</Words>
  <Characters>10287</Characters>
  <Lines>300</Lines>
  <Paragraphs>84</Paragraphs>
  <TotalTime>11</TotalTime>
  <ScaleCrop>false</ScaleCrop>
  <LinksUpToDate>false</LinksUpToDate>
  <CharactersWithSpaces>12172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林泽帆</cp:lastModifiedBy>
  <cp:lastPrinted>2022-08-22T09:04:00Z</cp:lastPrinted>
  <dcterms:modified xsi:type="dcterms:W3CDTF">2022-09-21T06:44:49Z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A16D6DC8326945AC9168607D4B687526</vt:lpwstr>
  </property>
</Properties>
</file>