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广州市净水有限公司2022年大沙地、石井净分公司日常维护维修项目</w:t>
      </w:r>
    </w:p>
    <w:p>
      <w:pPr>
        <w:jc w:val="center"/>
        <w:rPr>
          <w:rFonts w:hint="default"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（市政工程类）</w:t>
      </w: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九</w:t>
      </w:r>
      <w:r>
        <w:rPr>
          <w:rFonts w:hint="eastAsia" w:ascii="黑体" w:hAnsi="黑体" w:eastAsia="黑体" w:cs="仿宋_GB2312"/>
          <w:color w:val="auto"/>
          <w:sz w:val="32"/>
          <w:szCs w:val="32"/>
          <w:highlight w:val="none"/>
        </w:rPr>
        <w:t>月</w:t>
      </w:r>
    </w:p>
    <w:p>
      <w:pPr>
        <w:jc w:val="center"/>
        <w:rPr>
          <w:rFonts w:ascii="黑体" w:hAnsi="黑体" w:eastAsia="黑体" w:cs="仿宋_GB2312"/>
          <w:color w:val="auto"/>
          <w:sz w:val="32"/>
          <w:szCs w:val="32"/>
          <w:highlight w:val="none"/>
        </w:rPr>
      </w:pPr>
      <w:r>
        <w:rPr>
          <w:rFonts w:ascii="黑体" w:hAnsi="黑体" w:eastAsia="黑体" w:cs="仿宋_GB2312"/>
          <w:color w:val="auto"/>
          <w:sz w:val="32"/>
          <w:szCs w:val="32"/>
          <w:highlight w:val="none"/>
        </w:rPr>
        <w:br w:type="page"/>
      </w:r>
    </w:p>
    <w:p>
      <w:pPr>
        <w:rPr>
          <w:color w:val="auto"/>
          <w:highlight w:val="none"/>
        </w:rPr>
      </w:pPr>
    </w:p>
    <w:p>
      <w:pPr>
        <w:pStyle w:val="38"/>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18145"/>
      <w:bookmarkStart w:id="1" w:name="_Toc26148"/>
    </w:p>
    <w:p>
      <w:pPr>
        <w:rPr>
          <w:rFonts w:hint="eastAsia"/>
          <w:color w:val="auto"/>
          <w:highlight w:val="none"/>
        </w:rPr>
      </w:pPr>
    </w:p>
    <w:p>
      <w:pPr>
        <w:pStyle w:val="4"/>
        <w:rPr>
          <w:rFonts w:hint="eastAsia"/>
          <w:color w:val="auto"/>
          <w:highlight w:val="none"/>
        </w:rPr>
      </w:pPr>
      <w:bookmarkStart w:id="2" w:name="_Toc17696"/>
      <w:bookmarkStart w:id="3" w:name="_Toc1711"/>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4"/>
        <w:rPr>
          <w:rFonts w:hint="eastAsia"/>
          <w:color w:val="auto"/>
          <w:highlight w:val="none"/>
        </w:rPr>
      </w:pPr>
      <w:bookmarkStart w:id="4" w:name="_Toc17801"/>
      <w:bookmarkStart w:id="5" w:name="_Toc19609"/>
      <w:bookmarkStart w:id="6" w:name="_Toc31938"/>
      <w:bookmarkStart w:id="7" w:name="_Toc4275"/>
      <w:bookmarkStart w:id="8" w:name="_Toc7519"/>
      <w:bookmarkStart w:id="9" w:name="_Toc11322"/>
      <w:bookmarkStart w:id="10" w:name="_Toc1669"/>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w:pict>
          <v:shape id="_x0000_s2065" o:spid="_x0000_s2065" o:spt="32" type="#_x0000_t32" style="position:absolute;left:0pt;margin-left:184.3pt;margin-top:58.7pt;height:0pt;width:75.5pt;z-index:251673600;mso-width-relative:page;mso-height-relative:page;" o:connectortype="straight" filled="f" coordsize="21600,21600">
            <v:path arrowok="t"/>
            <v:fill on="f" focussize="0,0"/>
            <v:stroke/>
            <v:imagedata o:title=""/>
            <o:lock v:ext="edit"/>
          </v:shape>
        </w:pict>
      </w:r>
      <w:r>
        <w:rPr>
          <w:color w:val="auto"/>
          <w:highlight w:val="none"/>
        </w:rPr>
        <w:pict>
          <v:shape id="_x0000_s2064" o:spid="_x0000_s2064" o:spt="32" type="#_x0000_t32" style="position:absolute;left:0pt;margin-left:184.9pt;margin-top:8.5pt;height:0pt;width:75.5pt;z-index:251672576;mso-width-relative:page;mso-height-relative:page;" o:connectortype="straight" filled="f" coordsize="21600,21600">
            <v:path arrowok="t"/>
            <v:fill on="f" focussize="0,0"/>
            <v:stroke/>
            <v:imagedata o:title=""/>
            <o:lock v:ext="edit"/>
          </v:shape>
        </w:pic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40"/>
        <w:rPr>
          <w:color w:val="auto"/>
          <w:highlight w:val="none"/>
        </w:rPr>
      </w:pPr>
    </w:p>
    <w:p>
      <w:pPr>
        <w:pStyle w:val="4"/>
        <w:rPr>
          <w:color w:val="auto"/>
          <w:highlight w:val="none"/>
        </w:rPr>
      </w:pPr>
      <w:bookmarkStart w:id="11" w:name="_Toc28995"/>
      <w:bookmarkStart w:id="12" w:name="_Toc8201"/>
      <w:bookmarkStart w:id="13" w:name="_Toc10122"/>
      <w:bookmarkStart w:id="14" w:name="_Toc88209924"/>
      <w:bookmarkStart w:id="15" w:name="_Toc2659"/>
      <w:bookmarkStart w:id="16" w:name="_Toc14238"/>
      <w:bookmarkStart w:id="17" w:name="_Toc30131"/>
      <w:bookmarkStart w:id="18" w:name="_Toc15709"/>
      <w:bookmarkStart w:id="19" w:name="_Toc5230"/>
      <w:bookmarkStart w:id="20" w:name="_Toc26363"/>
      <w:bookmarkStart w:id="21" w:name="_Toc999"/>
      <w:bookmarkStart w:id="22" w:name="_Toc30989"/>
      <w:r>
        <w:rPr>
          <w:rFonts w:hint="eastAsia"/>
          <w:color w:val="auto"/>
          <w:highlight w:val="none"/>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5"/>
        <w:spacing w:line="600" w:lineRule="exact"/>
        <w:rPr>
          <w:color w:val="auto"/>
          <w:highlight w:val="none"/>
        </w:rPr>
      </w:pPr>
      <w:bookmarkStart w:id="23" w:name="_Toc9680"/>
      <w:bookmarkStart w:id="24" w:name="_Toc21373"/>
      <w:r>
        <w:rPr>
          <w:rFonts w:hint="eastAsia"/>
          <w:color w:val="auto"/>
          <w:highlight w:val="none"/>
          <w:u w:val="single"/>
          <w:lang w:val="en-US" w:eastAsia="zh-CN"/>
        </w:rPr>
        <w:t>广州市净水有限公司2022年大沙地、石井净分公司日常维护维修项目（市政工程类）</w:t>
      </w:r>
      <w:r>
        <w:rPr>
          <w:rFonts w:hint="eastAsia"/>
          <w:color w:val="auto"/>
          <w:highlight w:val="none"/>
        </w:rPr>
        <w:t>采购公告</w:t>
      </w:r>
      <w:bookmarkEnd w:id="23"/>
      <w:bookmarkEnd w:id="24"/>
    </w:p>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广州市净水有限公司2022年大沙地、石井净分公司日常维护维修项目（市政工程类）</w:t>
      </w:r>
      <w:r>
        <w:rPr>
          <w:rFonts w:hint="eastAsia" w:ascii="仿宋_GB2312" w:eastAsia="仿宋_GB2312"/>
          <w:color w:val="auto"/>
          <w:sz w:val="28"/>
          <w:szCs w:val="28"/>
          <w:highlight w:val="none"/>
        </w:rPr>
        <w:t>已具备采购条件，现对该</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  □货物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服务项目实施公开采购</w:t>
      </w:r>
      <w:bookmarkStart w:id="25" w:name="采购公告"/>
      <w:bookmarkEnd w:id="25"/>
      <w:r>
        <w:rPr>
          <w:rFonts w:hint="eastAsia" w:ascii="仿宋_GB2312" w:eastAsia="仿宋_GB2312"/>
          <w:color w:val="auto"/>
          <w:sz w:val="28"/>
          <w:szCs w:val="28"/>
          <w:highlight w:val="none"/>
        </w:rPr>
        <w:t>活动，采用</w:t>
      </w:r>
      <w:r>
        <w:rPr>
          <w:rFonts w:hint="eastAsia" w:ascii="仿宋_GB2312" w:eastAsia="仿宋_GB2312"/>
          <w:color w:val="auto"/>
          <w:sz w:val="28"/>
          <w:szCs w:val="28"/>
          <w:highlight w:val="none"/>
          <w:u w:val="single"/>
        </w:rPr>
        <w:t>询比采购</w:t>
      </w:r>
      <w:r>
        <w:rPr>
          <w:rFonts w:hint="eastAsia" w:ascii="仿宋_GB2312" w:eastAsia="仿宋_GB2312"/>
          <w:color w:val="auto"/>
          <w:sz w:val="28"/>
          <w:szCs w:val="28"/>
          <w:highlight w:val="none"/>
        </w:rPr>
        <w:t>方式公开邀请合格供应商参加本项目采购竞争。</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广州市净水有限公司2022年大沙地、石井净分公司日常维护维修项目（市政工程类）</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XJ-20220921-1</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853997.45</w:t>
      </w:r>
      <w:r>
        <w:rPr>
          <w:rFonts w:hint="eastAsia" w:ascii="仿宋_GB2312" w:eastAsia="仿宋_GB2312"/>
          <w:color w:val="auto"/>
          <w:sz w:val="28"/>
          <w:szCs w:val="28"/>
          <w:highlight w:val="none"/>
          <w:u w:val="single"/>
        </w:rPr>
        <w:t xml:space="preserve">元 </w:t>
      </w:r>
    </w:p>
    <w:tbl>
      <w:tblPr>
        <w:tblStyle w:val="24"/>
        <w:tblW w:w="102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1"/>
        <w:gridCol w:w="1395"/>
        <w:gridCol w:w="2814"/>
        <w:gridCol w:w="1680"/>
        <w:gridCol w:w="1620"/>
        <w:gridCol w:w="930"/>
        <w:gridCol w:w="1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trPr>
        <w:tc>
          <w:tcPr>
            <w:tcW w:w="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序号</w:t>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所属单位</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子项目名称</w:t>
            </w:r>
          </w:p>
        </w:tc>
        <w:tc>
          <w:tcPr>
            <w:tcW w:w="168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62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税率（%）</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安措费（元）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大沙地分公司一期二沉池及进水仪表间巡检道路优化项目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21015.00 </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19279.82 </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394.28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大沙地分公司二期干化车间吊装口及周边草地排水沟优化项目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48013.45 </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44049.04 </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2297.77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2月厂区设备设施完善</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493319.60 </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452586.79 </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11494.55（其中建筑工程为4253.10元，安装工程为7241.45元）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大沙地分公司厂区生化池泥管、绿化草坪自来水管及中水管道维修项目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44663.30 </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40975.50 </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3456.74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石井净分公司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石井净水分公司二期南四V型滤池滤头维修项目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195045.90 </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178941.19 </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532.58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石井净分公司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石井净分公司2022年V型滤池放空阀优化项目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51940.20 </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47651.55 </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1082.36 </w:t>
            </w:r>
          </w:p>
        </w:tc>
      </w:tr>
    </w:tbl>
    <w:p>
      <w:pPr>
        <w:autoSpaceDE w:val="0"/>
        <w:autoSpaceDN w:val="0"/>
        <w:adjustRightInd/>
        <w:snapToGrid/>
        <w:spacing w:line="240" w:lineRule="auto"/>
        <w:ind w:firstLine="562" w:firstLineChars="200"/>
        <w:jc w:val="both"/>
        <w:rPr>
          <w:rFonts w:hint="eastAsia" w:ascii="仿宋_GB2312" w:eastAsia="仿宋_GB2312"/>
          <w:color w:val="auto"/>
          <w:sz w:val="28"/>
          <w:szCs w:val="28"/>
          <w:highlight w:val="none"/>
          <w:u w:val="single"/>
        </w:rPr>
      </w:pPr>
      <w:r>
        <w:rPr>
          <w:rFonts w:hint="eastAsia" w:ascii="仿宋" w:hAnsi="仿宋" w:eastAsia="仿宋" w:cs="仿宋"/>
          <w:b/>
          <w:bCs/>
          <w:color w:val="auto"/>
          <w:sz w:val="28"/>
          <w:szCs w:val="28"/>
          <w:highlight w:val="none"/>
          <w:lang w:val="zh-CN"/>
        </w:rPr>
        <w:t>绿色施工安全防护措施费为非竞争性费用，在报价时须按询价文件规定的金额填写，不得参与竞争，否则按无效报价处理。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4"/>
        <w:gridCol w:w="1727"/>
        <w:gridCol w:w="1995"/>
        <w:gridCol w:w="4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填报单位 </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大沙地分公司一期二沉池及进水仪表间巡检道路优化项目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铺设一期二沉池骑马井、一期进水仪表间等区域巡检道路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大沙地分公司二期干化车间吊装口及周边草地排水沟优化项目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二期干化车间吊装口及周边草地加设排水沟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2月厂区设备设施完善</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增设二期、提标等生产场所设备、墙体较低位置的防撞保护措施2.加装二期吸砂泵三通及闸板,3.加装提标压榨机排放口除臭罩4.加装提标废水泵房吊架,5.加装二期及提标闸门活动盖板,6.修复二期膜池盖板,7.修补一期反应池排泥管墙体连接渗漏处,8.更换进水在线站房排气扇,9.加装二期干化车间自来水表及中水表,10.一期生化池搅拌机电缆加装遮阳设施,11.更换提标加药间排水槽疏间板，并增设排放口,12.提标加药间地面管道及干化锅炉排污管加装盖板13.更换二期天车控制电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大沙地分公司厂区生化池泥管、绿化草坪自来水管及中水管道维修项目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泥管穿孔更换、自来水管修复、中水管修复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石井净分公司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石井净水分公司二期南四V型滤池滤头维修项目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对南线滤池4号池滤板的局部位置脱胶、个别滤头损坏等问题进行维修、更换，并对因滤板损坏而导致流失的滤砂进行补充，以保证该池体的正常运行。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石井净分公司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石井净分公司2022年V型滤池放空阀优化项目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对V型滤池放空阀进行优化整改，把原来的暗杆蝶阀更换为加长杆蝶阀，操作手柄设置于波纹盖板上方。</w:t>
            </w:r>
          </w:p>
        </w:tc>
      </w:tr>
    </w:tbl>
    <w:p>
      <w:pPr>
        <w:pStyle w:val="2"/>
        <w:rPr>
          <w:color w:val="auto"/>
          <w:highlight w:val="none"/>
        </w:rPr>
      </w:pP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计划工期   □交货期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服务期为</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计划工期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项目一</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项目二</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项目三</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项目四</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项目五</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项目六</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30天</w:t>
            </w:r>
          </w:p>
        </w:tc>
      </w:tr>
    </w:tbl>
    <w:p>
      <w:pPr>
        <w:pStyle w:val="2"/>
        <w:rPr>
          <w:rFonts w:hint="eastAsia"/>
          <w:color w:val="auto"/>
          <w:highlight w:val="none"/>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建设地点  □交货地点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各子项目涉及的各分公司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按合同条款和有关技术标准规范进行验收。使用的各种材料必须符合设计和</w:t>
      </w:r>
      <w:r>
        <w:rPr>
          <w:rFonts w:hint="eastAsia" w:ascii="仿宋_GB2312" w:eastAsia="仿宋_GB2312"/>
          <w:color w:val="auto"/>
          <w:sz w:val="28"/>
          <w:szCs w:val="28"/>
          <w:highlight w:val="none"/>
          <w:u w:val="single"/>
          <w:lang w:val="en-US" w:eastAsia="zh-CN"/>
        </w:rPr>
        <w:t>有关技术标准</w:t>
      </w:r>
      <w:r>
        <w:rPr>
          <w:rFonts w:hint="eastAsia" w:ascii="仿宋_GB2312" w:eastAsia="仿宋_GB2312"/>
          <w:color w:val="auto"/>
          <w:sz w:val="28"/>
          <w:szCs w:val="28"/>
          <w:highlight w:val="none"/>
          <w:u w:val="single"/>
        </w:rPr>
        <w:t xml:space="preserve">规范要求。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rPr>
        <w:t xml:space="preserve">  市政公用工程施工总承包资质三级（或以上）资质，同时具有建设主管部门颁发且在有效期内的《安全生产许可证》。  </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项目的业绩。（提供合同复印件证明，包括但不限于项目名称、金额及实施内容、合同盖章、</w:t>
      </w:r>
      <w:r>
        <w:rPr>
          <w:rFonts w:hint="eastAsia" w:ascii="仿宋_GB2312" w:eastAsia="仿宋_GB2312"/>
          <w:color w:val="auto"/>
          <w:sz w:val="28"/>
          <w:szCs w:val="28"/>
          <w:highlight w:val="none"/>
          <w:lang w:val="en-US" w:eastAsia="zh-CN"/>
        </w:rPr>
        <w:t>发票证明、</w:t>
      </w:r>
      <w:r>
        <w:rPr>
          <w:rFonts w:hint="eastAsia" w:ascii="仿宋_GB2312" w:eastAsia="仿宋_GB2312"/>
          <w:color w:val="auto"/>
          <w:sz w:val="28"/>
          <w:szCs w:val="28"/>
          <w:highlight w:val="none"/>
        </w:rPr>
        <w:t>签订日期，加盖单位公章）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市政工程相关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注：根据广东省建设信息中心关于启用新版“广东省建设执业资格注册管理信息系统”的通知，注册建造师电子证书须由本人在个人签名处手写签名，未手写签名或与签名图像笔迹不一致的，电子证书无效）。  </w:t>
      </w:r>
      <w:r>
        <w:rPr>
          <w:rFonts w:hint="eastAsia" w:ascii="仿宋_GB2312" w:eastAsia="仿宋_GB2312"/>
          <w:color w:val="auto"/>
          <w:sz w:val="28"/>
          <w:szCs w:val="28"/>
          <w:highlight w:val="none"/>
        </w:rPr>
        <w:t>资格条件。</w:t>
      </w:r>
    </w:p>
    <w:p>
      <w:pPr>
        <w:pStyle w:val="2"/>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专职安全人员要求：须具有安全生产考核合格证（C类）（或能够提供广东省建筑施工企业管理人员安全生产考核信息系统安全生产管理人员证书信息的网页截图）；供应商拟担任本工程项目负责人和安全员的人员资质须满足下列要求，且项目负责人不得同时兼任本项目专职安全人员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（8）被最高人民法院在</w:t>
      </w:r>
      <w:r>
        <w:rPr>
          <w:rFonts w:ascii="仿宋_GB2312" w:eastAsia="仿宋_GB2312"/>
          <w:color w:val="auto"/>
          <w:sz w:val="28"/>
          <w:szCs w:val="28"/>
          <w:highlight w:val="none"/>
        </w:rPr>
        <w:t>“</w:t>
      </w:r>
      <w:r>
        <w:rPr>
          <w:rFonts w:hint="eastAsia" w:ascii="仿宋_GB2312" w:eastAsia="仿宋_GB2312"/>
          <w:color w:val="auto"/>
          <w:sz w:val="28"/>
          <w:szCs w:val="28"/>
          <w:highlight w:val="none"/>
        </w:rPr>
        <w:t>信用中国</w:t>
      </w:r>
      <w:r>
        <w:rPr>
          <w:rFonts w:ascii="仿宋_GB2312" w:eastAsia="仿宋_GB2312"/>
          <w:color w:val="auto"/>
          <w:sz w:val="28"/>
          <w:szCs w:val="28"/>
          <w:highlight w:val="none"/>
        </w:rPr>
        <w:t>”</w:t>
      </w:r>
      <w:r>
        <w:rPr>
          <w:rFonts w:hint="eastAsia" w:ascii="仿宋_GB2312" w:eastAsia="仿宋_GB2312"/>
          <w:color w:val="auto"/>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adjustRightInd w:val="0"/>
        <w:snapToGrid w:val="0"/>
        <w:spacing w:line="360" w:lineRule="auto"/>
        <w:rPr>
          <w:rFonts w:hint="eastAsia" w:ascii="仿宋_GB2312" w:hAnsi="仿宋" w:eastAsia="仿宋_GB2312" w:cs="仿宋_GB2312"/>
          <w:color w:val="auto"/>
          <w:sz w:val="28"/>
          <w:szCs w:val="28"/>
          <w:highlight w:val="none"/>
          <w:lang w:val="zh-CN"/>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供应商可</w:t>
      </w:r>
      <w:r>
        <w:rPr>
          <w:rFonts w:hint="eastAsia" w:ascii="仿宋_GB2312" w:hAnsi="仿宋" w:eastAsia="仿宋_GB2312" w:cs="仿宋_GB2312"/>
          <w:color w:val="auto"/>
          <w:sz w:val="28"/>
          <w:szCs w:val="28"/>
          <w:highlight w:val="none"/>
          <w:lang w:val="zh-CN"/>
        </w:rPr>
        <w:t>自行</w:t>
      </w:r>
      <w:r>
        <w:rPr>
          <w:rFonts w:hint="eastAsia" w:ascii="仿宋_GB2312" w:hAnsi="仿宋" w:eastAsia="仿宋_GB2312" w:cs="仿宋_GB2312"/>
          <w:color w:val="auto"/>
          <w:sz w:val="28"/>
          <w:szCs w:val="28"/>
          <w:highlight w:val="none"/>
          <w:lang w:val="en-US" w:eastAsia="zh-CN"/>
        </w:rPr>
        <w:t>选择是否前往现场踏勘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p>
    <w:p>
      <w:pPr>
        <w:adjustRightInd w:val="0"/>
        <w:snapToGrid w:val="0"/>
        <w:spacing w:line="360" w:lineRule="auto"/>
        <w:ind w:firstLine="560" w:firstLineChars="200"/>
        <w:jc w:val="left"/>
        <w:rPr>
          <w:rFonts w:hint="eastAsia" w:asciiTheme="minorEastAsia" w:hAnsiTheme="minorEastAsia" w:eastAsiaTheme="minorEastAsia"/>
          <w:b/>
          <w:color w:val="auto"/>
          <w:sz w:val="32"/>
          <w:szCs w:val="32"/>
          <w:highlight w:val="none"/>
          <w:lang w:val="en-US" w:eastAsia="zh-CN"/>
        </w:rPr>
      </w:pPr>
      <w:r>
        <w:rPr>
          <w:rFonts w:hint="eastAsia" w:ascii="仿宋_GB2312" w:hAnsi="仿宋" w:eastAsia="仿宋_GB2312" w:cs="仿宋_GB2312"/>
          <w:color w:val="auto"/>
          <w:sz w:val="28"/>
          <w:szCs w:val="28"/>
          <w:highlight w:val="none"/>
          <w:lang w:val="zh-CN"/>
        </w:rPr>
        <w:t>防疫要求：基于疫情防控形势，授权委托人须通过“广州净水公司”微信公众号当天（提前）预约，填写访客预约信息。</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2022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
        <w:ind w:firstLine="560" w:firstLineChars="200"/>
        <w:rPr>
          <w:rFonts w:hint="default" w:eastAsia="仿宋_GB2312"/>
          <w:color w:val="auto"/>
          <w:highlight w:val="none"/>
          <w:lang w:val="en-US" w:eastAsia="zh-CN"/>
        </w:rPr>
      </w:pPr>
      <w:r>
        <w:rPr>
          <w:rFonts w:hint="eastAsia" w:ascii="仿宋_GB2312" w:eastAsia="仿宋_GB2312"/>
          <w:color w:val="auto"/>
          <w:sz w:val="28"/>
          <w:szCs w:val="28"/>
          <w:highlight w:val="none"/>
          <w:lang w:val="en-US" w:eastAsia="zh-CN"/>
        </w:rPr>
        <w:t>防疫要求：基于目前疫情防控形势，我公司仅接受快递或自行送达形式递交响应文件，响应文件须于递交截止时间前送达，并放置于公司正门保安处。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本项目采购公告同时在广州市净水有限公司门户网</w:t>
      </w:r>
      <w:r>
        <w:rPr>
          <w:rFonts w:hint="eastAsia" w:ascii="仿宋_GB2312" w:eastAsia="仿宋_GB2312"/>
          <w:color w:val="auto"/>
          <w:sz w:val="28"/>
          <w:szCs w:val="28"/>
          <w:highlight w:val="none"/>
          <w:lang w:val="en-US" w:eastAsia="zh-CN"/>
        </w:rPr>
        <w:t>站和阳光平台</w:t>
      </w:r>
      <w:r>
        <w:rPr>
          <w:rFonts w:hint="eastAsia" w:ascii="仿宋_GB2312" w:eastAsia="仿宋_GB2312"/>
          <w:color w:val="auto"/>
          <w:sz w:val="28"/>
          <w:szCs w:val="28"/>
          <w:highlight w:val="none"/>
        </w:rPr>
        <w:t>上发布。本公告的补充、修改，在</w:t>
      </w:r>
      <w:r>
        <w:rPr>
          <w:rFonts w:hint="eastAsia" w:ascii="仿宋_GB2312" w:hAnsi="Calibri" w:eastAsia="仿宋_GB2312" w:cs="Times New Roman"/>
          <w:color w:val="auto"/>
          <w:sz w:val="28"/>
          <w:szCs w:val="28"/>
          <w:highlight w:val="none"/>
          <w:lang w:val="en-US" w:eastAsia="zh-CN"/>
        </w:rPr>
        <w:t>净水公司门户网站</w:t>
      </w:r>
      <w:r>
        <w:rPr>
          <w:rFonts w:hint="eastAsia" w:ascii="仿宋_GB2312" w:hAnsi="Calibri" w:eastAsia="仿宋_GB2312" w:cs="Times New Roman"/>
          <w:color w:val="auto"/>
          <w:sz w:val="28"/>
          <w:szCs w:val="28"/>
          <w:highlight w:val="none"/>
        </w:rPr>
        <w:t>发布。本公告在各媒体发布的文本如有不同之处，以</w:t>
      </w:r>
      <w:r>
        <w:rPr>
          <w:rFonts w:hint="eastAsia" w:ascii="仿宋_GB2312" w:hAnsi="Calibri" w:eastAsia="仿宋_GB2312" w:cs="Times New Roman"/>
          <w:color w:val="auto"/>
          <w:sz w:val="28"/>
          <w:szCs w:val="28"/>
          <w:highlight w:val="none"/>
          <w:lang w:val="en-US" w:eastAsia="zh-CN"/>
        </w:rPr>
        <w:t>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21</w:t>
            </w:r>
            <w:bookmarkStart w:id="150" w:name="_GoBack"/>
            <w:bookmarkEnd w:id="150"/>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
        <w:ind w:left="0" w:leftChars="0" w:firstLine="0" w:firstLineChars="0"/>
        <w:rPr>
          <w:rFonts w:hint="eastAsia" w:ascii="仿宋_GB2312" w:eastAsia="仿宋_GB2312" w:hAnsiTheme="majorEastAsia"/>
          <w:color w:val="auto"/>
          <w:sz w:val="28"/>
          <w:szCs w:val="28"/>
          <w:highlight w:val="none"/>
        </w:rPr>
      </w:pPr>
    </w:p>
    <w:p>
      <w:pPr>
        <w:spacing w:line="480" w:lineRule="auto"/>
        <w:jc w:val="both"/>
        <w:rPr>
          <w:rFonts w:hint="eastAsia" w:ascii="仿宋" w:hAnsi="仿宋" w:eastAsia="仿宋" w:cs="仿宋"/>
          <w:b/>
          <w:color w:val="auto"/>
          <w:sz w:val="28"/>
          <w:szCs w:val="28"/>
          <w:highlight w:val="none"/>
          <w:lang w:val="en-US" w:eastAsia="zh-CN"/>
        </w:rPr>
      </w:pPr>
    </w:p>
    <w:p>
      <w:pPr>
        <w:spacing w:line="480" w:lineRule="auto"/>
        <w:jc w:val="both"/>
        <w:rPr>
          <w:rFonts w:hint="eastAsia" w:ascii="仿宋" w:hAnsi="仿宋" w:eastAsia="仿宋" w:cs="仿宋"/>
          <w:b/>
          <w:color w:val="auto"/>
          <w:sz w:val="28"/>
          <w:szCs w:val="28"/>
          <w:highlight w:val="none"/>
          <w:lang w:val="en-US" w:eastAsia="zh-CN"/>
        </w:rPr>
      </w:pPr>
    </w:p>
    <w:p>
      <w:pPr>
        <w:spacing w:line="480" w:lineRule="auto"/>
        <w:jc w:val="both"/>
        <w:rPr>
          <w:rFonts w:hint="eastAsia" w:ascii="仿宋" w:hAnsi="仿宋" w:eastAsia="仿宋" w:cs="仿宋"/>
          <w:b/>
          <w:color w:val="auto"/>
          <w:sz w:val="28"/>
          <w:szCs w:val="28"/>
          <w:highlight w:val="none"/>
          <w:lang w:val="en-US" w:eastAsia="zh-CN"/>
        </w:rPr>
      </w:pPr>
    </w:p>
    <w:p>
      <w:pPr>
        <w:spacing w:line="480" w:lineRule="auto"/>
        <w:jc w:val="both"/>
        <w:rPr>
          <w:rFonts w:hint="eastAsia" w:ascii="仿宋" w:hAnsi="仿宋" w:eastAsia="仿宋" w:cs="仿宋"/>
          <w:b/>
          <w:color w:val="auto"/>
          <w:sz w:val="28"/>
          <w:szCs w:val="28"/>
          <w:highlight w:val="none"/>
          <w:lang w:val="en-US" w:eastAsia="zh-CN"/>
        </w:rPr>
      </w:pPr>
    </w:p>
    <w:p>
      <w:pPr>
        <w:spacing w:line="480" w:lineRule="auto"/>
        <w:jc w:val="both"/>
        <w:rPr>
          <w:rFonts w:hint="eastAsia" w:ascii="仿宋" w:hAnsi="仿宋" w:eastAsia="仿宋" w:cs="仿宋"/>
          <w:b/>
          <w:color w:val="auto"/>
          <w:sz w:val="28"/>
          <w:szCs w:val="28"/>
          <w:highlight w:val="none"/>
          <w:lang w:val="en-US" w:eastAsia="zh-CN"/>
        </w:rPr>
      </w:pPr>
    </w:p>
    <w:p>
      <w:pPr>
        <w:spacing w:line="480" w:lineRule="auto"/>
        <w:jc w:val="both"/>
        <w:rPr>
          <w:rFonts w:hint="eastAsia" w:ascii="仿宋" w:hAnsi="仿宋" w:eastAsia="仿宋" w:cs="仿宋"/>
          <w:b/>
          <w:color w:val="auto"/>
          <w:sz w:val="28"/>
          <w:szCs w:val="28"/>
          <w:highlight w:val="none"/>
          <w:lang w:val="en-US" w:eastAsia="zh-CN"/>
        </w:rPr>
      </w:pPr>
    </w:p>
    <w:p>
      <w:pPr>
        <w:spacing w:line="480" w:lineRule="auto"/>
        <w:jc w:val="both"/>
        <w:rPr>
          <w:rFonts w:hint="eastAsia" w:ascii="仿宋" w:hAnsi="仿宋" w:eastAsia="仿宋" w:cs="仿宋"/>
          <w:b/>
          <w:color w:val="auto"/>
          <w:sz w:val="28"/>
          <w:szCs w:val="28"/>
          <w:highlight w:val="none"/>
          <w:lang w:val="en-US" w:eastAsia="zh-CN"/>
        </w:rPr>
      </w:pPr>
    </w:p>
    <w:p>
      <w:pPr>
        <w:spacing w:line="480" w:lineRule="auto"/>
        <w:jc w:val="both"/>
        <w:rPr>
          <w:rFonts w:hint="eastAsia" w:ascii="仿宋" w:hAnsi="仿宋" w:eastAsia="仿宋" w:cs="仿宋"/>
          <w:b/>
          <w:color w:val="auto"/>
          <w:sz w:val="28"/>
          <w:szCs w:val="28"/>
          <w:highlight w:val="none"/>
          <w:lang w:val="en-US" w:eastAsia="zh-CN"/>
        </w:rPr>
      </w:pPr>
    </w:p>
    <w:p>
      <w:pPr>
        <w:pStyle w:val="2"/>
        <w:rPr>
          <w:rFonts w:hint="eastAsia" w:ascii="仿宋" w:hAnsi="仿宋" w:eastAsia="仿宋" w:cs="仿宋"/>
          <w:b/>
          <w:color w:val="auto"/>
          <w:sz w:val="28"/>
          <w:szCs w:val="28"/>
          <w:highlight w:val="none"/>
          <w:lang w:val="en-US" w:eastAsia="zh-CN"/>
        </w:rPr>
      </w:pPr>
    </w:p>
    <w:p>
      <w:pPr>
        <w:pStyle w:val="2"/>
        <w:rPr>
          <w:rFonts w:hint="eastAsia" w:ascii="仿宋" w:hAnsi="仿宋" w:eastAsia="仿宋" w:cs="仿宋"/>
          <w:b/>
          <w:color w:val="auto"/>
          <w:sz w:val="28"/>
          <w:szCs w:val="28"/>
          <w:highlight w:val="none"/>
          <w:lang w:val="en-US" w:eastAsia="zh-CN"/>
        </w:rPr>
      </w:pPr>
    </w:p>
    <w:p>
      <w:pPr>
        <w:pStyle w:val="2"/>
        <w:rPr>
          <w:rFonts w:hint="eastAsia" w:ascii="仿宋" w:hAnsi="仿宋" w:eastAsia="仿宋" w:cs="仿宋"/>
          <w:b/>
          <w:color w:val="auto"/>
          <w:sz w:val="28"/>
          <w:szCs w:val="28"/>
          <w:highlight w:val="none"/>
          <w:lang w:val="en-US" w:eastAsia="zh-CN"/>
        </w:rPr>
      </w:pPr>
    </w:p>
    <w:p>
      <w:pPr>
        <w:pStyle w:val="2"/>
        <w:rPr>
          <w:rFonts w:hint="eastAsia" w:ascii="仿宋" w:hAnsi="仿宋" w:eastAsia="仿宋" w:cs="仿宋"/>
          <w:b/>
          <w:color w:val="auto"/>
          <w:sz w:val="28"/>
          <w:szCs w:val="28"/>
          <w:highlight w:val="none"/>
          <w:lang w:val="en-US" w:eastAsia="zh-CN"/>
        </w:rPr>
      </w:pPr>
    </w:p>
    <w:p>
      <w:pPr>
        <w:pStyle w:val="2"/>
        <w:rPr>
          <w:rFonts w:hint="eastAsia" w:ascii="仿宋" w:hAnsi="仿宋" w:eastAsia="仿宋" w:cs="仿宋"/>
          <w:b/>
          <w:color w:val="auto"/>
          <w:sz w:val="28"/>
          <w:szCs w:val="28"/>
          <w:highlight w:val="none"/>
          <w:lang w:val="en-US" w:eastAsia="zh-CN"/>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bookmarkStart w:id="26" w:name="_Toc10891"/>
    </w:p>
    <w:p>
      <w:pPr>
        <w:pStyle w:val="4"/>
        <w:rPr>
          <w:color w:val="auto"/>
          <w:highlight w:val="none"/>
        </w:rPr>
      </w:pPr>
      <w:bookmarkStart w:id="27" w:name="_Toc16557"/>
      <w:bookmarkStart w:id="28" w:name="_Toc9448"/>
      <w:bookmarkStart w:id="29" w:name="_Toc23749"/>
      <w:bookmarkStart w:id="30" w:name="_Toc2331"/>
      <w:bookmarkStart w:id="31" w:name="_Toc7340"/>
      <w:bookmarkStart w:id="32" w:name="_Toc25603"/>
      <w:bookmarkStart w:id="33" w:name="_Toc32588"/>
      <w:bookmarkStart w:id="34" w:name="_Toc19295"/>
      <w:bookmarkStart w:id="35" w:name="_Toc16705"/>
      <w:bookmarkStart w:id="36" w:name="_Toc2324"/>
      <w:r>
        <w:rPr>
          <w:color w:val="auto"/>
          <w:highlight w:val="none"/>
        </w:rPr>
        <w:pict>
          <v:shape id="_x0000_s2066" o:spid="_x0000_s2066" o:spt="32" type="#_x0000_t32" style="position:absolute;left:0pt;margin-left:184.3pt;margin-top:58.7pt;height:0pt;width:75.5pt;z-index:251675648;mso-width-relative:page;mso-height-relative:page;" o:connectortype="straight" filled="f" coordsize="21600,21600">
            <v:path arrowok="t"/>
            <v:fill on="f" focussize="0,0"/>
            <v:stroke/>
            <v:imagedata o:title=""/>
            <o:lock v:ext="edit"/>
          </v:shape>
        </w:pict>
      </w:r>
      <w:r>
        <w:rPr>
          <w:color w:val="auto"/>
          <w:highlight w:val="none"/>
        </w:rPr>
        <w:pict>
          <v:shape id="_x0000_s2067" o:spid="_x0000_s2067" o:spt="32" type="#_x0000_t32" style="position:absolute;left:0pt;margin-left:184.9pt;margin-top:8.5pt;height:0pt;width:75.5pt;z-index:251674624;mso-width-relative:page;mso-height-relative:page;" o:connectortype="straight" filled="f" coordsize="21600,21600">
            <v:path arrowok="t"/>
            <v:fill on="f" focussize="0,0"/>
            <v:stroke/>
            <v:imagedata o:title=""/>
            <o:lock v:ext="edit"/>
          </v:shape>
        </w:pic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26"/>
      <w:bookmarkEnd w:id="27"/>
      <w:bookmarkEnd w:id="28"/>
      <w:bookmarkEnd w:id="29"/>
      <w:bookmarkEnd w:id="30"/>
      <w:bookmarkEnd w:id="31"/>
      <w:bookmarkEnd w:id="32"/>
      <w:bookmarkEnd w:id="33"/>
      <w:bookmarkEnd w:id="34"/>
      <w:bookmarkEnd w:id="35"/>
      <w:bookmarkEnd w:id="36"/>
    </w:p>
    <w:p>
      <w:pPr>
        <w:pStyle w:val="5"/>
        <w:rPr>
          <w:rFonts w:hint="eastAsia"/>
          <w:color w:val="auto"/>
          <w:highlight w:val="none"/>
        </w:rPr>
      </w:pPr>
    </w:p>
    <w:p>
      <w:pPr>
        <w:pStyle w:val="5"/>
        <w:rPr>
          <w:color w:val="auto"/>
          <w:highlight w:val="none"/>
        </w:rPr>
      </w:pPr>
      <w:bookmarkStart w:id="37" w:name="_Toc2339"/>
      <w:bookmarkStart w:id="38" w:name="_Toc3416"/>
      <w:r>
        <w:rPr>
          <w:rFonts w:hint="eastAsia"/>
          <w:color w:val="auto"/>
          <w:highlight w:val="none"/>
        </w:rPr>
        <w:t>供应商须知</w:t>
      </w:r>
      <w:bookmarkEnd w:id="37"/>
      <w:bookmarkEnd w:id="38"/>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ind w:left="0" w:leftChars="0" w:firstLine="0" w:firstLineChars="0"/>
        <w:rPr>
          <w:rFonts w:hint="eastAsia"/>
          <w:color w:val="auto"/>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（1）采购公告</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会议地点：采购公告中指定地点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.本次交易的特别规定</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对于施工技术方案简单、工期较短、季节性强的中小型工程，或者标准通用设备、材料以及有关服务的采购，可以不要求供应商编制施工组织设计、安装调试方案或服务大纲等技术响应文件，可不进行技术评审。</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采购公告、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40"/>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40"/>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40"/>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40"/>
        <w:rPr>
          <w:color w:val="auto"/>
          <w:highlight w:val="none"/>
        </w:rPr>
      </w:pPr>
    </w:p>
    <w:p>
      <w:pPr>
        <w:pStyle w:val="40"/>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bookmarkStart w:id="39" w:name="_Toc21455"/>
      <w:bookmarkStart w:id="40" w:name="_Toc2867"/>
      <w:r>
        <w:rPr>
          <w:rFonts w:hint="eastAsia" w:asciiTheme="minorHAnsi" w:hAnsiTheme="minorHAnsi" w:cstheme="minorBidi"/>
          <w:color w:val="auto"/>
          <w:kern w:val="44"/>
          <w:sz w:val="44"/>
          <w:szCs w:val="44"/>
          <w:highlight w:val="none"/>
        </w:rPr>
        <w:pict>
          <v:shape id="_x0000_s2053" o:spid="_x0000_s2053" o:spt="32" type="#_x0000_t32" style="position:absolute;left:0pt;margin-left:182.55pt;margin-top:46.25pt;height:0pt;width:75.5pt;z-index:251663360;mso-width-relative:page;mso-height-relative:page;" o:connectortype="straight" filled="f" coordsize="21600,21600">
            <v:path arrowok="t"/>
            <v:fill on="f" focussize="0,0"/>
            <v:stroke/>
            <v:imagedata o:title=""/>
            <o:lock v:ext="edit"/>
          </v:shape>
        </w:pict>
      </w:r>
      <w:r>
        <w:rPr>
          <w:rFonts w:hint="eastAsia" w:asciiTheme="minorHAnsi" w:hAnsiTheme="minorHAnsi" w:cstheme="minorBidi"/>
          <w:color w:val="auto"/>
          <w:kern w:val="44"/>
          <w:sz w:val="44"/>
          <w:szCs w:val="44"/>
          <w:highlight w:val="none"/>
        </w:rPr>
        <w:pict>
          <v:shape id="_x0000_s2051" o:spid="_x0000_s2051" o:spt="32" type="#_x0000_t32" style="position:absolute;left:0pt;margin-left:183.1pt;margin-top:10.85pt;height:0pt;width:75.5pt;z-index:251662336;mso-width-relative:page;mso-height-relative:page;" o:connectortype="straight" filled="f" coordsize="21600,21600">
            <v:path arrowok="t"/>
            <v:fill on="f" focussize="0,0"/>
            <v:stroke/>
            <v:imagedata o:title=""/>
            <o:lock v:ext="edit"/>
          </v:shape>
        </w:pic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39"/>
      <w:bookmarkEnd w:id="40"/>
    </w:p>
    <w:p>
      <w:pPr>
        <w:pStyle w:val="40"/>
        <w:rPr>
          <w:color w:val="auto"/>
          <w:highlight w:val="none"/>
        </w:rPr>
      </w:pPr>
    </w:p>
    <w:p>
      <w:pPr>
        <w:pStyle w:val="5"/>
        <w:rPr>
          <w:color w:val="auto"/>
          <w:highlight w:val="none"/>
        </w:rPr>
      </w:pPr>
      <w:bookmarkStart w:id="41" w:name="_Toc88209934"/>
      <w:bookmarkStart w:id="42" w:name="_Toc7303"/>
      <w:bookmarkStart w:id="43" w:name="_Toc87616371"/>
      <w:bookmarkStart w:id="44" w:name="_Toc7040"/>
      <w:r>
        <w:rPr>
          <w:rFonts w:hint="eastAsia"/>
          <w:color w:val="auto"/>
          <w:highlight w:val="none"/>
        </w:rPr>
        <w:t>采购方法</w:t>
      </w:r>
      <w:bookmarkEnd w:id="41"/>
      <w:bookmarkEnd w:id="42"/>
      <w:bookmarkEnd w:id="43"/>
      <w:bookmarkEnd w:id="44"/>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5"/>
        <w:rPr>
          <w:color w:val="auto"/>
          <w:highlight w:val="none"/>
        </w:rPr>
      </w:pPr>
      <w:bookmarkStart w:id="45" w:name="_Toc3789"/>
      <w:bookmarkStart w:id="46" w:name="_Toc24895"/>
      <w:r>
        <w:rPr>
          <w:rFonts w:hint="eastAsia"/>
          <w:color w:val="auto"/>
          <w:highlight w:val="none"/>
        </w:rPr>
        <w:t>询比采购</w:t>
      </w:r>
      <w:bookmarkEnd w:id="45"/>
      <w:bookmarkEnd w:id="46"/>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公开询比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47" w:name="_Toc3156"/>
      <w:bookmarkStart w:id="48" w:name="_Toc20594"/>
      <w:bookmarkStart w:id="49" w:name="_Toc14552"/>
      <w:bookmarkStart w:id="50" w:name="_Toc10930"/>
      <w:bookmarkStart w:id="51" w:name="_Toc19759"/>
      <w:bookmarkStart w:id="52" w:name="_Toc7437"/>
      <w:bookmarkStart w:id="53" w:name="_Toc19050"/>
      <w:bookmarkStart w:id="54" w:name="_Toc4952"/>
      <w:bookmarkStart w:id="55" w:name="_Toc7118"/>
      <w:bookmarkStart w:id="56" w:name="_Toc23581"/>
      <w:bookmarkStart w:id="57" w:name="_Toc14870"/>
      <w:r>
        <w:rPr>
          <w:color w:val="auto"/>
          <w:highlight w:val="none"/>
        </w:rPr>
        <w:pict>
          <v:shape id="_x0000_s2055" o:spid="_x0000_s2055" o:spt="32" type="#_x0000_t32" style="position:absolute;left:0pt;margin-left:181.6pt;margin-top:56.7pt;height:0pt;width:75.5pt;z-index:251665408;mso-width-relative:page;mso-height-relative:page;" o:connectortype="straight" filled="f" coordsize="21600,21600">
            <v:path arrowok="t"/>
            <v:fill on="f" focussize="0,0"/>
            <v:stroke/>
            <v:imagedata o:title=""/>
            <o:lock v:ext="edit"/>
          </v:shape>
        </w:pict>
      </w:r>
      <w:r>
        <w:rPr>
          <w:color w:val="auto"/>
          <w:highlight w:val="none"/>
        </w:rPr>
        <w:pict>
          <v:shape id="_x0000_s2054" o:spid="_x0000_s2054" o:spt="32" type="#_x0000_t32" style="position:absolute;left:0pt;margin-left:183.1pt;margin-top:21.3pt;height:0pt;width:75.5pt;z-index:251664384;mso-width-relative:page;mso-height-relative:page;" o:connectortype="straight" filled="f" coordsize="21600,21600">
            <v:path arrowok="t"/>
            <v:fill on="f" focussize="0,0"/>
            <v:stroke/>
            <v:imagedata o:title=""/>
            <o:lock v:ext="edit"/>
          </v:shape>
        </w:pic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47"/>
      <w:bookmarkEnd w:id="48"/>
      <w:bookmarkEnd w:id="49"/>
      <w:bookmarkEnd w:id="50"/>
      <w:bookmarkEnd w:id="51"/>
      <w:bookmarkEnd w:id="52"/>
      <w:bookmarkEnd w:id="53"/>
      <w:bookmarkEnd w:id="54"/>
      <w:bookmarkEnd w:id="55"/>
      <w:bookmarkEnd w:id="56"/>
      <w:bookmarkEnd w:id="57"/>
    </w:p>
    <w:p>
      <w:pPr>
        <w:pStyle w:val="40"/>
        <w:rPr>
          <w:color w:val="auto"/>
          <w:highlight w:val="none"/>
        </w:rPr>
      </w:pPr>
    </w:p>
    <w:p>
      <w:pPr>
        <w:pStyle w:val="4"/>
        <w:rPr>
          <w:color w:val="auto"/>
          <w:highlight w:val="none"/>
        </w:rPr>
      </w:pPr>
      <w:bookmarkStart w:id="58" w:name="_Toc88209941"/>
      <w:bookmarkStart w:id="59" w:name="_Toc29484"/>
      <w:bookmarkStart w:id="60" w:name="_Toc13898"/>
      <w:bookmarkStart w:id="61" w:name="_Toc32607"/>
      <w:bookmarkStart w:id="62" w:name="_Toc30530"/>
      <w:bookmarkStart w:id="63" w:name="_Toc21079"/>
      <w:bookmarkStart w:id="64" w:name="_Toc12177"/>
      <w:bookmarkStart w:id="65" w:name="_Toc21840"/>
      <w:bookmarkStart w:id="66" w:name="_Toc22212"/>
      <w:bookmarkStart w:id="67" w:name="_Toc7831"/>
      <w:bookmarkStart w:id="68" w:name="_Toc87616378"/>
      <w:bookmarkStart w:id="69" w:name="_Toc29345"/>
      <w:bookmarkStart w:id="70" w:name="_Toc6308"/>
      <w:r>
        <w:rPr>
          <w:rFonts w:hint="eastAsia"/>
          <w:color w:val="auto"/>
          <w:highlight w:val="none"/>
        </w:rPr>
        <w:t>评审办法</w:t>
      </w:r>
      <w:bookmarkEnd w:id="58"/>
      <w:bookmarkEnd w:id="59"/>
      <w:bookmarkEnd w:id="60"/>
      <w:bookmarkEnd w:id="61"/>
      <w:bookmarkEnd w:id="62"/>
      <w:bookmarkEnd w:id="63"/>
      <w:bookmarkEnd w:id="64"/>
      <w:bookmarkEnd w:id="65"/>
      <w:bookmarkEnd w:id="66"/>
      <w:bookmarkEnd w:id="67"/>
      <w:bookmarkEnd w:id="68"/>
      <w:bookmarkEnd w:id="69"/>
      <w:bookmarkEnd w:id="70"/>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71" w:name="_Toc23033"/>
      <w:bookmarkStart w:id="72" w:name="_Toc26826"/>
      <w:r>
        <w:rPr>
          <w:rFonts w:hint="eastAsia"/>
          <w:color w:val="auto"/>
          <w:highlight w:val="none"/>
        </w:rPr>
        <w:t>经评审的最低价法</w:t>
      </w:r>
      <w:bookmarkEnd w:id="71"/>
      <w:bookmarkEnd w:id="72"/>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法定代表人授权委托</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有授权书</w:t>
            </w:r>
            <w:r>
              <w:rPr>
                <w:rFonts w:hint="eastAsia" w:ascii="仿宋_GB2312" w:eastAsia="仿宋_GB2312"/>
                <w:color w:val="auto"/>
                <w:sz w:val="24"/>
                <w:szCs w:val="24"/>
                <w:highlight w:val="none"/>
              </w:rPr>
              <w:t>，</w:t>
            </w:r>
            <w:r>
              <w:rPr>
                <w:rFonts w:ascii="仿宋_GB2312" w:eastAsia="仿宋_GB2312"/>
                <w:color w:val="auto"/>
                <w:sz w:val="24"/>
                <w:szCs w:val="24"/>
                <w:highlight w:val="none"/>
              </w:rPr>
              <w:t>授权书有法定代表人及其委托代理人签字并加盖单位</w:t>
            </w:r>
            <w:r>
              <w:rPr>
                <w:rFonts w:hint="eastAsia" w:ascii="仿宋_GB2312" w:eastAsia="仿宋_GB2312"/>
                <w:color w:val="auto"/>
                <w:sz w:val="24"/>
                <w:szCs w:val="24"/>
                <w:highlight w:val="none"/>
              </w:rPr>
              <w:t>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4"/>
        <w:rPr>
          <w:rFonts w:hint="eastAsia"/>
          <w:color w:val="auto"/>
          <w:highlight w:val="none"/>
        </w:rPr>
      </w:pPr>
      <w:bookmarkStart w:id="73" w:name="_Toc88209947"/>
    </w:p>
    <w:p>
      <w:pPr>
        <w:pStyle w:val="4"/>
        <w:rPr>
          <w:color w:val="auto"/>
          <w:highlight w:val="none"/>
        </w:rPr>
      </w:pPr>
      <w:r>
        <w:rPr>
          <w:color w:val="auto"/>
          <w:highlight w:val="none"/>
        </w:rPr>
        <w:pict>
          <v:shape id="_x0000_s2072" o:spid="_x0000_s2072" o:spt="32" type="#_x0000_t32" style="position:absolute;left:0pt;margin-left:184.3pt;margin-top:58.7pt;height:0pt;width:75.5pt;z-index:251677696;mso-width-relative:page;mso-height-relative:page;" o:connectortype="straight" filled="f" coordsize="21600,21600">
            <v:path arrowok="t"/>
            <v:fill on="f" focussize="0,0"/>
            <v:stroke/>
            <v:imagedata o:title=""/>
            <o:lock v:ext="edit"/>
          </v:shape>
        </w:pict>
      </w:r>
      <w:r>
        <w:rPr>
          <w:color w:val="auto"/>
          <w:highlight w:val="none"/>
        </w:rPr>
        <w:pict>
          <v:shape id="_x0000_s2073" o:spid="_x0000_s2073" o:spt="32" type="#_x0000_t32" style="position:absolute;left:0pt;margin-left:184.9pt;margin-top:8.5pt;height:0pt;width:75.5pt;z-index:251676672;mso-width-relative:page;mso-height-relative:page;" o:connectortype="straight" filled="f" coordsize="21600,21600">
            <v:path arrowok="t"/>
            <v:fill on="f" focussize="0,0"/>
            <v:stroke/>
            <v:imagedata o:title=""/>
            <o:lock v:ext="edit"/>
          </v:shape>
        </w:pic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rPr>
          <w:rFonts w:hint="eastAsia"/>
          <w:color w:val="auto"/>
          <w:highlight w:val="none"/>
        </w:rPr>
      </w:pPr>
    </w:p>
    <w:p>
      <w:pPr>
        <w:pStyle w:val="5"/>
        <w:rPr>
          <w:rFonts w:hint="eastAsia"/>
          <w:color w:val="auto"/>
          <w:szCs w:val="44"/>
          <w:highlight w:val="none"/>
        </w:rPr>
      </w:pPr>
      <w:r>
        <w:rPr>
          <w:rFonts w:hint="eastAsia"/>
          <w:color w:val="auto"/>
          <w:szCs w:val="44"/>
          <w:highlight w:val="none"/>
        </w:rPr>
        <w:t>采购需求</w:t>
      </w:r>
    </w:p>
    <w:p>
      <w:pPr>
        <w:pStyle w:val="5"/>
        <w:rPr>
          <w:rFonts w:hint="eastAsia"/>
          <w:color w:val="auto"/>
          <w:szCs w:val="44"/>
          <w:highlight w:val="none"/>
        </w:rPr>
      </w:pPr>
    </w:p>
    <w:p>
      <w:pPr>
        <w:pStyle w:val="5"/>
        <w:rPr>
          <w:rFonts w:hint="eastAsia"/>
          <w:color w:val="auto"/>
          <w:szCs w:val="44"/>
          <w:highlight w:val="none"/>
        </w:rPr>
      </w:pPr>
    </w:p>
    <w:p>
      <w:pPr>
        <w:pStyle w:val="5"/>
        <w:rPr>
          <w:rFonts w:hint="eastAsia"/>
          <w:color w:val="auto"/>
          <w:szCs w:val="44"/>
          <w:highlight w:val="none"/>
        </w:rPr>
      </w:pPr>
    </w:p>
    <w:p>
      <w:pPr>
        <w:pStyle w:val="5"/>
        <w:rPr>
          <w:rFonts w:hint="eastAsia"/>
          <w:color w:val="auto"/>
          <w:szCs w:val="44"/>
          <w:highlight w:val="none"/>
        </w:rPr>
      </w:pPr>
    </w:p>
    <w:p>
      <w:pPr>
        <w:pStyle w:val="5"/>
        <w:rPr>
          <w:rFonts w:hint="eastAsia"/>
          <w:color w:val="auto"/>
          <w:szCs w:val="44"/>
          <w:highlight w:val="none"/>
        </w:rPr>
      </w:pPr>
    </w:p>
    <w:p>
      <w:pPr>
        <w:pStyle w:val="5"/>
        <w:rPr>
          <w:rFonts w:hint="eastAsia"/>
          <w:color w:val="auto"/>
          <w:szCs w:val="44"/>
          <w:highlight w:val="none"/>
        </w:rPr>
      </w:pPr>
    </w:p>
    <w:p>
      <w:pPr>
        <w:pStyle w:val="5"/>
        <w:rPr>
          <w:rFonts w:hint="eastAsia"/>
          <w:color w:val="auto"/>
          <w:szCs w:val="44"/>
          <w:highlight w:val="none"/>
        </w:rPr>
      </w:pPr>
    </w:p>
    <w:p>
      <w:pPr>
        <w:pStyle w:val="5"/>
        <w:rPr>
          <w:rFonts w:hint="eastAsia"/>
          <w:color w:val="auto"/>
          <w:szCs w:val="44"/>
          <w:highlight w:val="none"/>
        </w:rPr>
      </w:pPr>
    </w:p>
    <w:p>
      <w:pPr>
        <w:pStyle w:val="5"/>
        <w:rPr>
          <w:rFonts w:hint="eastAsia"/>
          <w:color w:val="auto"/>
          <w:szCs w:val="44"/>
          <w:highlight w:val="none"/>
        </w:rPr>
      </w:pPr>
    </w:p>
    <w:p>
      <w:pPr>
        <w:pStyle w:val="5"/>
        <w:jc w:val="both"/>
        <w:rPr>
          <w:rFonts w:hint="eastAsia"/>
          <w:color w:val="auto"/>
          <w:szCs w:val="44"/>
          <w:highlight w:val="none"/>
        </w:rPr>
      </w:pPr>
    </w:p>
    <w:p>
      <w:pPr>
        <w:pStyle w:val="13"/>
        <w:numPr>
          <w:ilvl w:val="0"/>
          <w:numId w:val="4"/>
        </w:numPr>
        <w:adjustRightInd w:val="0"/>
        <w:snapToGrid w:val="0"/>
        <w:spacing w:line="360" w:lineRule="auto"/>
        <w:ind w:firstLine="562" w:firstLineChars="200"/>
        <w:rPr>
          <w:rFonts w:hint="eastAsia" w:ascii="仿宋" w:hAnsi="仿宋" w:eastAsia="仿宋" w:cs="仿宋_GB2312"/>
          <w:b/>
          <w:bCs/>
          <w:color w:val="auto"/>
          <w:kern w:val="0"/>
          <w:sz w:val="28"/>
          <w:szCs w:val="28"/>
          <w:highlight w:val="none"/>
          <w:lang w:val="en-US" w:eastAsia="zh-CN"/>
        </w:rPr>
      </w:pPr>
      <w:r>
        <w:rPr>
          <w:rFonts w:hint="eastAsia" w:ascii="仿宋" w:hAnsi="仿宋" w:eastAsia="仿宋" w:cs="仿宋_GB2312"/>
          <w:b/>
          <w:bCs/>
          <w:color w:val="auto"/>
          <w:kern w:val="0"/>
          <w:sz w:val="28"/>
          <w:szCs w:val="28"/>
          <w:highlight w:val="none"/>
          <w:lang w:val="en-US" w:eastAsia="zh-CN"/>
        </w:rPr>
        <w:t>项目内容及需求</w:t>
      </w:r>
    </w:p>
    <w:p>
      <w:pPr>
        <w:widowControl w:val="0"/>
        <w:autoSpaceDE w:val="0"/>
        <w:autoSpaceDN w:val="0"/>
        <w:spacing w:after="0" w:line="240" w:lineRule="auto"/>
        <w:ind w:firstLine="562" w:firstLineChars="200"/>
        <w:jc w:val="both"/>
        <w:rPr>
          <w:rFonts w:hint="eastAsia" w:ascii="仿宋" w:hAnsi="仿宋" w:eastAsia="仿宋" w:cs="仿宋"/>
          <w:b/>
          <w:bCs/>
          <w:color w:val="auto"/>
          <w:sz w:val="28"/>
          <w:szCs w:val="28"/>
          <w:highlight w:val="none"/>
          <w:lang w:val="zh-CN" w:eastAsia="zh-CN"/>
        </w:rPr>
      </w:pPr>
      <w:r>
        <w:rPr>
          <w:rFonts w:hint="eastAsia" w:ascii="仿宋" w:hAnsi="仿宋" w:eastAsia="仿宋" w:cs="仿宋"/>
          <w:b/>
          <w:bCs/>
          <w:color w:val="auto"/>
          <w:sz w:val="28"/>
          <w:szCs w:val="28"/>
          <w:highlight w:val="none"/>
          <w:lang w:val="zh-CN" w:eastAsia="zh-CN"/>
        </w:rPr>
        <w:t>项目</w:t>
      </w:r>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lang w:val="zh-CN" w:eastAsia="zh-CN"/>
        </w:rPr>
        <w:t>：大沙地分公司一期二沉池及进水仪表间巡检道路优化项目</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1.铺设区域划线、草地整理；</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2.铺设植草砖路；</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3.废料清理外运；</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4.交付使用。</w:t>
      </w:r>
    </w:p>
    <w:p>
      <w:pPr>
        <w:widowControl w:val="0"/>
        <w:autoSpaceDE w:val="0"/>
        <w:autoSpaceDN w:val="0"/>
        <w:spacing w:after="0" w:line="240" w:lineRule="auto"/>
        <w:ind w:firstLine="562" w:firstLineChars="200"/>
        <w:jc w:val="both"/>
        <w:rPr>
          <w:rFonts w:hint="eastAsia" w:ascii="仿宋" w:hAnsi="仿宋" w:eastAsia="仿宋" w:cs="仿宋"/>
          <w:b/>
          <w:bCs/>
          <w:color w:val="auto"/>
          <w:sz w:val="28"/>
          <w:szCs w:val="28"/>
          <w:highlight w:val="none"/>
          <w:lang w:val="zh-CN" w:eastAsia="zh-CN"/>
        </w:rPr>
      </w:pPr>
      <w:r>
        <w:rPr>
          <w:rFonts w:hint="eastAsia" w:ascii="仿宋" w:hAnsi="仿宋" w:eastAsia="仿宋" w:cs="仿宋"/>
          <w:b/>
          <w:bCs/>
          <w:color w:val="auto"/>
          <w:sz w:val="28"/>
          <w:szCs w:val="28"/>
          <w:highlight w:val="none"/>
          <w:lang w:val="zh-CN" w:eastAsia="zh-CN"/>
        </w:rPr>
        <w:t>项目</w:t>
      </w:r>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lang w:val="zh-CN" w:eastAsia="zh-CN"/>
        </w:rPr>
        <w:t>：大沙地分公司二期干化车间吊装口及周边草地排水沟优化项目</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1.二期干化车间吊装口加设排水沟：</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（1）选取低位草地开挖；</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（2）排水沟、排水管安装；</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（3）废料清理外运；</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（4）交付使用。</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2.周边草地加设排水沟：</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（1）选取低位草地开挖，安装排水沟、排水管安装；</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（2）积水区域开挖排查积水原因，解决积水问题；</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（3）废料清理外运；</w:t>
      </w:r>
    </w:p>
    <w:p>
      <w:pPr>
        <w:widowControl w:val="0"/>
        <w:autoSpaceDE w:val="0"/>
        <w:autoSpaceDN w:val="0"/>
        <w:spacing w:after="0" w:line="240" w:lineRule="auto"/>
        <w:ind w:firstLine="560" w:firstLineChars="200"/>
        <w:jc w:val="both"/>
        <w:rPr>
          <w:rFonts w:hint="eastAsia" w:ascii="仿宋" w:hAnsi="仿宋" w:eastAsia="仿宋" w:cs="仿宋"/>
          <w:b/>
          <w:bCs/>
          <w:color w:val="auto"/>
          <w:sz w:val="28"/>
          <w:szCs w:val="28"/>
          <w:highlight w:val="none"/>
          <w:lang w:val="zh-CN" w:eastAsia="zh-CN"/>
        </w:rPr>
      </w:pPr>
      <w:r>
        <w:rPr>
          <w:rFonts w:hint="eastAsia" w:ascii="仿宋" w:hAnsi="仿宋" w:eastAsia="仿宋" w:cs="仿宋"/>
          <w:color w:val="auto"/>
          <w:sz w:val="28"/>
          <w:szCs w:val="28"/>
          <w:highlight w:val="none"/>
          <w:lang w:val="zh-CN" w:eastAsia="zh-CN"/>
        </w:rPr>
        <w:t>（4）交付使用。</w:t>
      </w:r>
    </w:p>
    <w:p>
      <w:pPr>
        <w:widowControl w:val="0"/>
        <w:autoSpaceDE w:val="0"/>
        <w:autoSpaceDN w:val="0"/>
        <w:spacing w:after="0" w:line="240" w:lineRule="auto"/>
        <w:ind w:firstLine="562" w:firstLineChars="200"/>
        <w:jc w:val="both"/>
        <w:rPr>
          <w:rFonts w:hint="eastAsia" w:ascii="仿宋" w:hAnsi="仿宋" w:eastAsia="仿宋" w:cs="仿宋"/>
          <w:b/>
          <w:bCs/>
          <w:color w:val="auto"/>
          <w:sz w:val="28"/>
          <w:szCs w:val="28"/>
          <w:highlight w:val="none"/>
          <w:lang w:val="zh-CN" w:eastAsia="zh-CN"/>
        </w:rPr>
      </w:pPr>
      <w:r>
        <w:rPr>
          <w:rFonts w:hint="eastAsia" w:ascii="仿宋" w:hAnsi="仿宋" w:eastAsia="仿宋" w:cs="仿宋"/>
          <w:b/>
          <w:bCs/>
          <w:color w:val="auto"/>
          <w:sz w:val="28"/>
          <w:szCs w:val="28"/>
          <w:highlight w:val="none"/>
          <w:lang w:val="zh-CN" w:eastAsia="zh-CN"/>
        </w:rPr>
        <w:t>项目</w:t>
      </w:r>
      <w:r>
        <w:rPr>
          <w:rFonts w:hint="eastAsia" w:ascii="仿宋" w:hAnsi="仿宋" w:eastAsia="仿宋" w:cs="仿宋"/>
          <w:b/>
          <w:bCs/>
          <w:color w:val="auto"/>
          <w:sz w:val="28"/>
          <w:szCs w:val="28"/>
          <w:highlight w:val="none"/>
          <w:lang w:val="en-US" w:eastAsia="zh-CN"/>
        </w:rPr>
        <w:t>三</w:t>
      </w:r>
      <w:r>
        <w:rPr>
          <w:rFonts w:hint="eastAsia" w:ascii="仿宋" w:hAnsi="仿宋" w:eastAsia="仿宋" w:cs="仿宋"/>
          <w:b/>
          <w:bCs/>
          <w:color w:val="auto"/>
          <w:sz w:val="28"/>
          <w:szCs w:val="28"/>
          <w:highlight w:val="none"/>
          <w:lang w:val="zh-CN" w:eastAsia="zh-CN"/>
        </w:rPr>
        <w:t>：大沙地分公司2月厂区设备设施完善项目。</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本项目实施时先到现场了解建造环境，安装尺寸的复核，细化图纸方案，备好材料划出施工开料场地位置。</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1、加装二期吸砂泵三通及闸板；</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（1）先停吸沙泵，把DN200进水管按闸阀和伸缩节的尺寸距离切断。</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在管的上下各焊接一个304不锈钢法兰。</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（2）安装新DN200弹性座封闸阀、304不锈钢DN200伸缩节，加石棉垫片密封，紧上304不锈钢M20*75螺栓。</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（3）开吸沙泵进行试压试漏，确保无上述情况后交付班组恢复运行。</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zh-CN" w:eastAsia="zh-CN"/>
        </w:rPr>
        <w:drawing>
          <wp:inline distT="0" distB="0" distL="114300" distR="114300">
            <wp:extent cx="1535430" cy="1981835"/>
            <wp:effectExtent l="0" t="0" r="7620" b="1841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8"/>
                    <a:stretch>
                      <a:fillRect/>
                    </a:stretch>
                  </pic:blipFill>
                  <pic:spPr>
                    <a:xfrm>
                      <a:off x="0" y="0"/>
                      <a:ext cx="1535430" cy="1981835"/>
                    </a:xfrm>
                    <a:prstGeom prst="rect">
                      <a:avLst/>
                    </a:prstGeom>
                    <a:noFill/>
                    <a:ln>
                      <a:noFill/>
                    </a:ln>
                  </pic:spPr>
                </pic:pic>
              </a:graphicData>
            </a:graphic>
          </wp:inline>
        </w:drawing>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 xml:space="preserve">             图：增加阀门、伸缩节</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2、加装提标压榨机排放口除臭罩；</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（1）按图纸尺寸复核现场设备位置尺寸，并同建设单位确认出具初步施工图纸后再备料建造。</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（2）现场围蔽施工范围，根据初步图纸进行焊接除臭罩骨架、安装有机玻璃罩、用螺钉对铝压条进行加固。</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（3）安装导轨、安装推拉门、后面安装维修门。</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（4）有间隙的地方用橡胶板进行密封处理。</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drawing>
          <wp:inline distT="0" distB="0" distL="114300" distR="114300">
            <wp:extent cx="1868170" cy="1494790"/>
            <wp:effectExtent l="0" t="0" r="17780" b="10160"/>
            <wp:docPr id="26" name="图片 17" descr="提标压榨机除臭罩-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提标压榨机除臭罩-模型"/>
                    <pic:cNvPicPr>
                      <a:picLocks noChangeAspect="1"/>
                    </pic:cNvPicPr>
                  </pic:nvPicPr>
                  <pic:blipFill>
                    <a:blip r:embed="rId9"/>
                    <a:stretch>
                      <a:fillRect/>
                    </a:stretch>
                  </pic:blipFill>
                  <pic:spPr>
                    <a:xfrm>
                      <a:off x="0" y="0"/>
                      <a:ext cx="1868170" cy="1494790"/>
                    </a:xfrm>
                    <a:prstGeom prst="rect">
                      <a:avLst/>
                    </a:prstGeom>
                    <a:noFill/>
                    <a:ln>
                      <a:noFill/>
                    </a:ln>
                  </pic:spPr>
                </pic:pic>
              </a:graphicData>
            </a:graphic>
          </wp:inline>
        </w:drawing>
      </w: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zh-CN" w:eastAsia="zh-CN"/>
        </w:rPr>
        <w:drawing>
          <wp:inline distT="0" distB="0" distL="114300" distR="114300">
            <wp:extent cx="1758950" cy="1319530"/>
            <wp:effectExtent l="0" t="0" r="12700" b="13970"/>
            <wp:docPr id="27" name="图片 18" descr="提标压榨机排放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提标压榨机排放口（3）"/>
                    <pic:cNvPicPr>
                      <a:picLocks noChangeAspect="1"/>
                    </pic:cNvPicPr>
                  </pic:nvPicPr>
                  <pic:blipFill>
                    <a:blip r:embed="rId10"/>
                    <a:stretch>
                      <a:fillRect/>
                    </a:stretch>
                  </pic:blipFill>
                  <pic:spPr>
                    <a:xfrm>
                      <a:off x="0" y="0"/>
                      <a:ext cx="1758950" cy="1319530"/>
                    </a:xfrm>
                    <a:prstGeom prst="rect">
                      <a:avLst/>
                    </a:prstGeom>
                    <a:noFill/>
                    <a:ln>
                      <a:noFill/>
                    </a:ln>
                  </pic:spPr>
                </pic:pic>
              </a:graphicData>
            </a:graphic>
          </wp:inline>
        </w:drawing>
      </w:r>
    </w:p>
    <w:p>
      <w:pPr>
        <w:widowControl w:val="0"/>
        <w:autoSpaceDE w:val="0"/>
        <w:autoSpaceDN w:val="0"/>
        <w:spacing w:after="0" w:line="240" w:lineRule="auto"/>
        <w:ind w:firstLine="1400" w:firstLineChars="5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图一：除臭罩            图二：加罩现场</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3、加装提标废水泵房吊架；</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从电房拉一条约150米电缆（ZR-YJV4*16+1*10）至废水泵房不锈钢设备控制箱，箱体尺寸：长400*高600*宽250*厚2mm（内设总开关三相带漏保、3个三相带漏保分开关、3个单相带漏保分开关）。户外箱必须符合GB/T20641-2006 《低压成套开关设备和控制设备空壳体的一般要求》。</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（2）安装新的电动葫芦单梁悬挂起重机（定制整套设备LX2.8-3.3米、可纵向横向移动，含13米环链电动葫芦，）。特种设备必须由取得特种作业许可证人员安装。参考广州起重机械有限公司施工方案如下图：</w:t>
      </w:r>
    </w:p>
    <w:p>
      <w:pPr>
        <w:widowControl w:val="0"/>
        <w:autoSpaceDE w:val="0"/>
        <w:autoSpaceDN w:val="0"/>
        <w:spacing w:after="0" w:line="240" w:lineRule="auto"/>
        <w:ind w:firstLine="560" w:firstLineChars="200"/>
        <w:jc w:val="center"/>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drawing>
          <wp:inline distT="0" distB="0" distL="114300" distR="114300">
            <wp:extent cx="2734945" cy="2017395"/>
            <wp:effectExtent l="0" t="0" r="8255" b="190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11"/>
                    <a:stretch>
                      <a:fillRect/>
                    </a:stretch>
                  </pic:blipFill>
                  <pic:spPr>
                    <a:xfrm>
                      <a:off x="0" y="0"/>
                      <a:ext cx="2734945" cy="2017395"/>
                    </a:xfrm>
                    <a:prstGeom prst="rect">
                      <a:avLst/>
                    </a:prstGeom>
                    <a:noFill/>
                    <a:ln>
                      <a:noFill/>
                    </a:ln>
                  </pic:spPr>
                </pic:pic>
              </a:graphicData>
            </a:graphic>
          </wp:inline>
        </w:drawing>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val="zh-CN" w:eastAsia="zh-CN"/>
        </w:rPr>
        <w:t xml:space="preserve"> 图一：安装示意图及技术参数</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（3）把现场的控制柜（共4个）移动到靠墙的左侧。在废水泵房左侧浇筑C30混泥土操控平台，挖素土方长4米*宽4米*深0.2米、素土夯实、石粉垫层10cm，C30混泥土15cm。（如下图：）</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（4）在废水泵前安装304不锈钢活动护栏5米。护栏为插装式，每米1个，共5个、护栏间安装活动加固构件。</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4、加装二期及提标闸门活动盖板；</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 xml:space="preserve">      （1）二期及提标的闸门座孔洞由于恶臭溢出，需要安装活动的盖板封堵，根据各个阀门的大小尺寸增加304不锈钢活动罩；</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二期：长2000*高900*宽500*2个；</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长2000*高1200*宽500*2个；</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长1400*高2200*宽500*6个；</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长2150*高900*宽500*6个；</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提标：长2150*高800*宽500*1个；</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长3430*高700*宽500*1个；</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 xml:space="preserve">长1000*高650*宽500*1个；  </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（2）根据各个尺寸用304不锈钢方管30*30*3制作固定边框。再用304不锈钢内六角螺栓M8*20把橡胶密封条及304不锈钢3mm板固定在边框上。</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（3）与地面及各个部位有间隙的都用橡胶进行封堵，尽量减少有害气体外溢。</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5、修复二期膜池盖板；</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（1）用悬臂吊车把膜池的盖板吊出来，把原来锈蚀的滑动轮用角磨机拆出来。</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（2）焊接上新的304不锈钢骨架的尼龙轮，每块板要焊6个滑轮。</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（3）焊好滑轮后再利用悬臂吊车把盖板安装膜池上。</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val="zh-CN" w:eastAsia="zh-CN"/>
        </w:rPr>
        <w:drawing>
          <wp:inline distT="0" distB="0" distL="114300" distR="114300">
            <wp:extent cx="1839595" cy="1380490"/>
            <wp:effectExtent l="0" t="0" r="10160" b="8255"/>
            <wp:docPr id="30" name="图片 20" descr="膜池盖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膜池盖板（3）"/>
                    <pic:cNvPicPr>
                      <a:picLocks noChangeAspect="1"/>
                    </pic:cNvPicPr>
                  </pic:nvPicPr>
                  <pic:blipFill>
                    <a:blip r:embed="rId12"/>
                    <a:stretch>
                      <a:fillRect/>
                    </a:stretch>
                  </pic:blipFill>
                  <pic:spPr>
                    <a:xfrm rot="5400000">
                      <a:off x="0" y="0"/>
                      <a:ext cx="1839595" cy="1380490"/>
                    </a:xfrm>
                    <a:prstGeom prst="rect">
                      <a:avLst/>
                    </a:prstGeom>
                    <a:noFill/>
                    <a:ln>
                      <a:noFill/>
                    </a:ln>
                  </pic:spPr>
                </pic:pic>
              </a:graphicData>
            </a:graphic>
          </wp:inline>
        </w:drawing>
      </w: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zh-CN" w:eastAsia="zh-CN"/>
        </w:rPr>
        <w:drawing>
          <wp:inline distT="0" distB="0" distL="114300" distR="114300">
            <wp:extent cx="2466975" cy="1851660"/>
            <wp:effectExtent l="0" t="0" r="9525" b="15240"/>
            <wp:docPr id="32" name="图片 21" descr="膜池盖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膜池盖板"/>
                    <pic:cNvPicPr>
                      <a:picLocks noChangeAspect="1"/>
                    </pic:cNvPicPr>
                  </pic:nvPicPr>
                  <pic:blipFill>
                    <a:blip r:embed="rId13"/>
                    <a:stretch>
                      <a:fillRect/>
                    </a:stretch>
                  </pic:blipFill>
                  <pic:spPr>
                    <a:xfrm>
                      <a:off x="0" y="0"/>
                      <a:ext cx="2466975" cy="1851660"/>
                    </a:xfrm>
                    <a:prstGeom prst="rect">
                      <a:avLst/>
                    </a:prstGeom>
                    <a:noFill/>
                    <a:ln>
                      <a:noFill/>
                    </a:ln>
                  </pic:spPr>
                </pic:pic>
              </a:graphicData>
            </a:graphic>
          </wp:inline>
        </w:drawing>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图一：膜池               图二：膜池</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zh-CN" w:eastAsia="zh-CN"/>
        </w:rPr>
        <w:drawing>
          <wp:inline distT="0" distB="0" distL="114300" distR="114300">
            <wp:extent cx="1689100" cy="1181100"/>
            <wp:effectExtent l="0" t="0" r="6350" b="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14"/>
                    <a:stretch>
                      <a:fillRect/>
                    </a:stretch>
                  </pic:blipFill>
                  <pic:spPr>
                    <a:xfrm>
                      <a:off x="0" y="0"/>
                      <a:ext cx="1689100" cy="1181100"/>
                    </a:xfrm>
                    <a:prstGeom prst="rect">
                      <a:avLst/>
                    </a:prstGeom>
                    <a:noFill/>
                    <a:ln>
                      <a:noFill/>
                    </a:ln>
                  </pic:spPr>
                </pic:pic>
              </a:graphicData>
            </a:graphic>
          </wp:inline>
        </w:drawing>
      </w: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zh-CN" w:eastAsia="zh-CN"/>
        </w:rPr>
        <w:drawing>
          <wp:inline distT="0" distB="0" distL="114300" distR="114300">
            <wp:extent cx="836295" cy="1115695"/>
            <wp:effectExtent l="0" t="0" r="1905" b="8255"/>
            <wp:docPr id="33" name="图片 23" descr="9270bfc85313bd91b63260fb1aa5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9270bfc85313bd91b63260fb1aa5af9"/>
                    <pic:cNvPicPr>
                      <a:picLocks noChangeAspect="1"/>
                    </pic:cNvPicPr>
                  </pic:nvPicPr>
                  <pic:blipFill>
                    <a:blip r:embed="rId15"/>
                    <a:stretch>
                      <a:fillRect/>
                    </a:stretch>
                  </pic:blipFill>
                  <pic:spPr>
                    <a:xfrm>
                      <a:off x="0" y="0"/>
                      <a:ext cx="836295" cy="1115695"/>
                    </a:xfrm>
                    <a:prstGeom prst="rect">
                      <a:avLst/>
                    </a:prstGeom>
                    <a:noFill/>
                    <a:ln>
                      <a:noFill/>
                    </a:ln>
                  </pic:spPr>
                </pic:pic>
              </a:graphicData>
            </a:graphic>
          </wp:inline>
        </w:drawing>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 xml:space="preserve">        图三：尼龙轮            图四：轨道</w:t>
      </w:r>
    </w:p>
    <w:p>
      <w:pPr>
        <w:widowControl w:val="0"/>
        <w:numPr>
          <w:ilvl w:val="0"/>
          <w:numId w:val="5"/>
        </w:numPr>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修补一期反应池排泥管墙体连接渗漏处；</w:t>
      </w:r>
    </w:p>
    <w:p>
      <w:pPr>
        <w:widowControl w:val="0"/>
        <w:numPr>
          <w:ilvl w:val="0"/>
          <w:numId w:val="0"/>
        </w:numPr>
        <w:autoSpaceDE w:val="0"/>
        <w:autoSpaceDN w:val="0"/>
        <w:spacing w:after="0" w:line="240" w:lineRule="auto"/>
        <w:ind w:firstLine="0" w:firstLineChars="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在大修停水清淤期间，做好有限空间各项安全措施、通风、救援等。（2）把原来锈蚀的A3钢管及附架拆除，焊接新的304不锈钢D219*6无缝管及304不锈钢附架，焊接变径管及进口法兰DN100，焊接D219弯头，管穿墙处用密封填料进行防水处理。</w:t>
      </w:r>
    </w:p>
    <w:p>
      <w:pPr>
        <w:widowControl w:val="0"/>
        <w:autoSpaceDE w:val="0"/>
        <w:autoSpaceDN w:val="0"/>
        <w:spacing w:after="0" w:line="240" w:lineRule="auto"/>
        <w:ind w:firstLine="0" w:firstLineChars="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排泥泵房外的管道焊接弯头及304不锈钢DN200法兰、安装DN200闸阀（不锈钢阀杆不锈钢（2CR13）、阀板不锈钢（2CR13）螺母黄）、安装DN200单向阀，另一端也用DN200法兰与原有碳钢接驳。所有法兰连接部位均需安装密封衬垫以保证密封性能。</w:t>
      </w:r>
    </w:p>
    <w:p>
      <w:pPr>
        <w:widowControl w:val="0"/>
        <w:autoSpaceDE w:val="0"/>
        <w:autoSpaceDN w:val="0"/>
        <w:spacing w:after="0" w:line="240" w:lineRule="auto"/>
        <w:ind w:firstLine="0" w:firstLineChars="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（4）更换排泥泵底座（原排泥泵品牌型号：飞力NP3127.HT）4个(含地脚化学螺栓）。先把旧的底座拆除，重新种上化学螺栓，再把新的底座安装后用螺栓固定。</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zh-CN" w:eastAsia="zh-CN"/>
        </w:rPr>
        <w:drawing>
          <wp:inline distT="0" distB="0" distL="114300" distR="114300">
            <wp:extent cx="1499235" cy="2011680"/>
            <wp:effectExtent l="0" t="0" r="5715" b="762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16"/>
                    <a:stretch>
                      <a:fillRect/>
                    </a:stretch>
                  </pic:blipFill>
                  <pic:spPr>
                    <a:xfrm>
                      <a:off x="0" y="0"/>
                      <a:ext cx="1499235" cy="2011680"/>
                    </a:xfrm>
                    <a:prstGeom prst="rect">
                      <a:avLst/>
                    </a:prstGeom>
                    <a:noFill/>
                    <a:ln>
                      <a:noFill/>
                    </a:ln>
                  </pic:spPr>
                </pic:pic>
              </a:graphicData>
            </a:graphic>
          </wp:inline>
        </w:drawing>
      </w: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zh-CN" w:eastAsia="zh-CN"/>
        </w:rPr>
        <w:drawing>
          <wp:inline distT="0" distB="0" distL="114300" distR="114300">
            <wp:extent cx="2408555" cy="1806575"/>
            <wp:effectExtent l="0" t="0" r="10795" b="3175"/>
            <wp:docPr id="38" name="图片 25" descr="生化池 排泥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descr="生化池 排泥泵"/>
                    <pic:cNvPicPr>
                      <a:picLocks noChangeAspect="1"/>
                    </pic:cNvPicPr>
                  </pic:nvPicPr>
                  <pic:blipFill>
                    <a:blip r:embed="rId17"/>
                    <a:stretch>
                      <a:fillRect/>
                    </a:stretch>
                  </pic:blipFill>
                  <pic:spPr>
                    <a:xfrm>
                      <a:off x="0" y="0"/>
                      <a:ext cx="2408555" cy="1806575"/>
                    </a:xfrm>
                    <a:prstGeom prst="rect">
                      <a:avLst/>
                    </a:prstGeom>
                    <a:noFill/>
                    <a:ln>
                      <a:noFill/>
                    </a:ln>
                  </pic:spPr>
                </pic:pic>
              </a:graphicData>
            </a:graphic>
          </wp:inline>
        </w:drawing>
      </w:r>
    </w:p>
    <w:p>
      <w:pPr>
        <w:widowControl w:val="0"/>
        <w:autoSpaceDE w:val="0"/>
        <w:autoSpaceDN w:val="0"/>
        <w:spacing w:after="0" w:line="240" w:lineRule="auto"/>
        <w:ind w:firstLine="1120" w:firstLineChars="4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图一：更换底座      图二：更换阀门、单向阀、管道</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7、更换进水在线站房排气扇；</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（1）拆除旧的轴流风机。</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（2）根据新的排气扇尺寸制作一块过渡安装不锈钢板3mm厚.并开好孔洞位置。</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（3）安装3台16寸排气扇，并加装不锈钢防鼠网孔≤10mm。</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 xml:space="preserve"> 8、加装二期干化车间自来水表及中水表；</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（1）先把阀门关闭，把D90的PE自来水管切断，在管的两边焊接PE法兰。</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（2）安装304不锈钢法兰式DN80自来水表、304不锈钢法兰 KXT可曲挠橡胶软接头PN1.6Mpa.Dn80。法兰连接用304不锈钢M16*65紧固。法兰之间用密封胶垫进行密封。</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（3）先把阀门关闭，把D110的PE中水水管切断，在管的两边焊接PE法兰。</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（4）安装304不锈钢法兰式DN100自来水表、304不锈钢法兰 KXT可曲挠橡胶软接头PN1.6Mpa.Dn100。法兰连接用304不锈钢M16*70紧固。法兰之间用密封胶垫进行密封。</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（5）紧固后开闸阀试水试压，确认无漏后交付班组使用。</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zh-CN" w:eastAsia="zh-CN"/>
        </w:rPr>
        <w:drawing>
          <wp:inline distT="0" distB="0" distL="114300" distR="114300">
            <wp:extent cx="1593850" cy="1530350"/>
            <wp:effectExtent l="0" t="0" r="6350" b="12700"/>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18"/>
                    <a:stretch>
                      <a:fillRect/>
                    </a:stretch>
                  </pic:blipFill>
                  <pic:spPr>
                    <a:xfrm>
                      <a:off x="0" y="0"/>
                      <a:ext cx="1593850" cy="1530350"/>
                    </a:xfrm>
                    <a:prstGeom prst="rect">
                      <a:avLst/>
                    </a:prstGeom>
                    <a:noFill/>
                    <a:ln>
                      <a:noFill/>
                    </a:ln>
                  </pic:spPr>
                </pic:pic>
              </a:graphicData>
            </a:graphic>
          </wp:inline>
        </w:drawing>
      </w: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zh-CN" w:eastAsia="zh-CN"/>
        </w:rPr>
        <w:drawing>
          <wp:inline distT="0" distB="0" distL="114300" distR="114300">
            <wp:extent cx="1353185" cy="1709420"/>
            <wp:effectExtent l="0" t="0" r="18415" b="508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19"/>
                    <a:stretch>
                      <a:fillRect/>
                    </a:stretch>
                  </pic:blipFill>
                  <pic:spPr>
                    <a:xfrm>
                      <a:off x="0" y="0"/>
                      <a:ext cx="1353185" cy="1709420"/>
                    </a:xfrm>
                    <a:prstGeom prst="rect">
                      <a:avLst/>
                    </a:prstGeom>
                    <a:noFill/>
                    <a:ln>
                      <a:noFill/>
                    </a:ln>
                  </pic:spPr>
                </pic:pic>
              </a:graphicData>
            </a:graphic>
          </wp:inline>
        </w:drawing>
      </w: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zh-CN" w:eastAsia="zh-CN"/>
        </w:rPr>
        <w:drawing>
          <wp:inline distT="0" distB="0" distL="114300" distR="114300">
            <wp:extent cx="1481455" cy="1317625"/>
            <wp:effectExtent l="0" t="0" r="4445" b="15875"/>
            <wp:docPr id="36" name="图片 28" descr="1647349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1647349900(1)"/>
                    <pic:cNvPicPr>
                      <a:picLocks noChangeAspect="1"/>
                    </pic:cNvPicPr>
                  </pic:nvPicPr>
                  <pic:blipFill>
                    <a:blip r:embed="rId20"/>
                    <a:stretch>
                      <a:fillRect/>
                    </a:stretch>
                  </pic:blipFill>
                  <pic:spPr>
                    <a:xfrm>
                      <a:off x="0" y="0"/>
                      <a:ext cx="1481455" cy="1317625"/>
                    </a:xfrm>
                    <a:prstGeom prst="rect">
                      <a:avLst/>
                    </a:prstGeom>
                    <a:noFill/>
                    <a:ln>
                      <a:noFill/>
                    </a:ln>
                  </pic:spPr>
                </pic:pic>
              </a:graphicData>
            </a:graphic>
          </wp:inline>
        </w:drawing>
      </w:r>
    </w:p>
    <w:p>
      <w:pPr>
        <w:widowControl w:val="0"/>
        <w:autoSpaceDE w:val="0"/>
        <w:autoSpaceDN w:val="0"/>
        <w:spacing w:after="0" w:line="240" w:lineRule="auto"/>
        <w:ind w:firstLine="1400" w:firstLineChars="5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图一：水表     图二：需要改造的管道 图三：伸缩节</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9、更换提标加药间排水槽疏间板，并增设排放口；</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 把生锈腐蚀严重的盖板清理掉，</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（2）把旧的生锈盖板及盖板的支撑边框打掉，安装304不锈钢5#*4角钢并固定。</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（3）换为玻璃钢格栅板长1000*宽700*高50，孔47mm。</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10、提标加药间地面管道及干化锅炉排污管加装盖板；</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（1）根据现场尺寸定制踏板。304不锈钢花纹钢板4mm厚折边制作。</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（2）用不锈钢膨胀螺栓固定在地面上。</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zh-CN" w:eastAsia="zh-CN"/>
        </w:rPr>
        <w:drawing>
          <wp:inline distT="0" distB="0" distL="114300" distR="114300">
            <wp:extent cx="1852295" cy="2471420"/>
            <wp:effectExtent l="0" t="0" r="14605" b="5080"/>
            <wp:docPr id="39" name="图片 29" descr="污泥干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污泥干化（2）"/>
                    <pic:cNvPicPr>
                      <a:picLocks noChangeAspect="1"/>
                    </pic:cNvPicPr>
                  </pic:nvPicPr>
                  <pic:blipFill>
                    <a:blip r:embed="rId21"/>
                    <a:stretch>
                      <a:fillRect/>
                    </a:stretch>
                  </pic:blipFill>
                  <pic:spPr>
                    <a:xfrm>
                      <a:off x="0" y="0"/>
                      <a:ext cx="1852295" cy="2471420"/>
                    </a:xfrm>
                    <a:prstGeom prst="rect">
                      <a:avLst/>
                    </a:prstGeom>
                    <a:noFill/>
                    <a:ln>
                      <a:noFill/>
                    </a:ln>
                  </pic:spPr>
                </pic:pic>
              </a:graphicData>
            </a:graphic>
          </wp:inline>
        </w:drawing>
      </w:r>
      <w:r>
        <w:rPr>
          <w:rFonts w:hint="eastAsia" w:ascii="仿宋" w:hAnsi="仿宋" w:eastAsia="仿宋" w:cs="仿宋"/>
          <w:color w:val="auto"/>
          <w:sz w:val="28"/>
          <w:szCs w:val="28"/>
          <w:highlight w:val="none"/>
          <w:lang w:val="zh-CN" w:eastAsia="zh-CN"/>
        </w:rPr>
        <w:t xml:space="preserve">  </w:t>
      </w:r>
      <w:r>
        <w:rPr>
          <w:rFonts w:hint="eastAsia" w:ascii="仿宋" w:hAnsi="仿宋" w:eastAsia="仿宋" w:cs="仿宋"/>
          <w:color w:val="auto"/>
          <w:sz w:val="28"/>
          <w:szCs w:val="28"/>
          <w:highlight w:val="none"/>
          <w:lang w:val="zh-CN" w:eastAsia="zh-CN"/>
        </w:rPr>
        <w:drawing>
          <wp:inline distT="0" distB="0" distL="114300" distR="114300">
            <wp:extent cx="2409825" cy="1767840"/>
            <wp:effectExtent l="0" t="0" r="9525" b="3810"/>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22"/>
                    <a:stretch>
                      <a:fillRect/>
                    </a:stretch>
                  </pic:blipFill>
                  <pic:spPr>
                    <a:xfrm>
                      <a:off x="0" y="0"/>
                      <a:ext cx="2409825" cy="1767840"/>
                    </a:xfrm>
                    <a:prstGeom prst="rect">
                      <a:avLst/>
                    </a:prstGeom>
                    <a:noFill/>
                    <a:ln>
                      <a:noFill/>
                    </a:ln>
                  </pic:spPr>
                </pic:pic>
              </a:graphicData>
            </a:graphic>
          </wp:inline>
        </w:drawing>
      </w:r>
    </w:p>
    <w:p>
      <w:pPr>
        <w:widowControl w:val="0"/>
        <w:autoSpaceDE w:val="0"/>
        <w:autoSpaceDN w:val="0"/>
        <w:spacing w:after="0" w:line="240" w:lineRule="auto"/>
        <w:ind w:firstLine="1400" w:firstLineChars="5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图一：需要改造的地方   图二：安装方式</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11、更换二期天车控制电箱。</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（1）更换成不锈钢用电箱（普通碳钢电箱容易被污水气体腐蚀）。</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（2）电箱外部加装电源状态指示灯、急停按钮及操作按钮。</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（3）电箱内部加装操作接触器及带漏保的动力空气开关（如D63安）。</w:t>
      </w:r>
    </w:p>
    <w:p>
      <w:pPr>
        <w:widowControl w:val="0"/>
        <w:autoSpaceDE w:val="0"/>
        <w:autoSpaceDN w:val="0"/>
        <w:spacing w:after="0" w:line="240" w:lineRule="auto"/>
        <w:ind w:firstLine="562" w:firstLineChars="200"/>
        <w:jc w:val="both"/>
        <w:rPr>
          <w:rFonts w:hint="eastAsia" w:ascii="仿宋" w:hAnsi="仿宋" w:eastAsia="仿宋" w:cs="仿宋"/>
          <w:b/>
          <w:bCs/>
          <w:color w:val="auto"/>
          <w:sz w:val="28"/>
          <w:szCs w:val="28"/>
          <w:highlight w:val="none"/>
          <w:lang w:val="zh-CN" w:eastAsia="zh-CN"/>
        </w:rPr>
      </w:pPr>
      <w:r>
        <w:rPr>
          <w:rFonts w:hint="eastAsia" w:ascii="仿宋" w:hAnsi="仿宋" w:eastAsia="仿宋" w:cs="仿宋"/>
          <w:b/>
          <w:bCs/>
          <w:color w:val="auto"/>
          <w:sz w:val="28"/>
          <w:szCs w:val="28"/>
          <w:highlight w:val="none"/>
          <w:lang w:val="zh-CN" w:eastAsia="zh-CN"/>
        </w:rPr>
        <w:t>项目</w:t>
      </w:r>
      <w:r>
        <w:rPr>
          <w:rFonts w:hint="eastAsia" w:ascii="仿宋" w:hAnsi="仿宋" w:eastAsia="仿宋" w:cs="仿宋"/>
          <w:b/>
          <w:bCs/>
          <w:color w:val="auto"/>
          <w:sz w:val="28"/>
          <w:szCs w:val="28"/>
          <w:highlight w:val="none"/>
          <w:lang w:val="en-US" w:eastAsia="zh-CN"/>
        </w:rPr>
        <w:t>四</w:t>
      </w:r>
      <w:r>
        <w:rPr>
          <w:rFonts w:hint="eastAsia" w:ascii="仿宋" w:hAnsi="仿宋" w:eastAsia="仿宋" w:cs="仿宋"/>
          <w:b/>
          <w:bCs/>
          <w:color w:val="auto"/>
          <w:sz w:val="28"/>
          <w:szCs w:val="28"/>
          <w:highlight w:val="none"/>
          <w:lang w:val="zh-CN" w:eastAsia="zh-CN"/>
        </w:rPr>
        <w:t>：大沙地分公司厂区生化池泥管、绿化草坪自来水管及中水管道维修项目。</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做好施工前的围蔽、施工用电申请等作业票。</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关掉排泥泵，关排泥阀，切割漏水的排泥管。</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更换为304不锈钢DN200*8，DN200弯头，焊接304不锈钢DN200法兰，安装304不锈钢螺栓。</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开排泥阀，开排泥泵试压无渗漏后交付班组使用。</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在草坪出息漏水的地方开挖素土找出漏水点。</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停自来水阀门或中水阀门。</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用热熔机安装Dn200的PE管、Dn200直通、Dn200的橡胶伸缩节进行修补。</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开上级阀门进行试压试漏。</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确定无漏水后交付班组使用。</w:t>
      </w:r>
    </w:p>
    <w:p>
      <w:pPr>
        <w:widowControl w:val="0"/>
        <w:autoSpaceDE w:val="0"/>
        <w:autoSpaceDN w:val="0"/>
        <w:spacing w:after="0" w:line="240" w:lineRule="auto"/>
        <w:ind w:firstLine="562" w:firstLineChars="200"/>
        <w:jc w:val="both"/>
        <w:rPr>
          <w:rFonts w:hint="eastAsia" w:ascii="仿宋" w:hAnsi="仿宋" w:eastAsia="仿宋" w:cs="仿宋"/>
          <w:b/>
          <w:bCs/>
          <w:color w:val="auto"/>
          <w:sz w:val="28"/>
          <w:szCs w:val="28"/>
          <w:highlight w:val="none"/>
          <w:u w:val="none"/>
          <w:lang w:val="en-US" w:eastAsia="zh-CN"/>
        </w:rPr>
      </w:pPr>
      <w:r>
        <w:rPr>
          <w:rFonts w:hint="eastAsia" w:ascii="仿宋" w:hAnsi="仿宋" w:eastAsia="仿宋" w:cs="仿宋"/>
          <w:b/>
          <w:bCs/>
          <w:color w:val="auto"/>
          <w:sz w:val="28"/>
          <w:szCs w:val="28"/>
          <w:highlight w:val="none"/>
          <w:u w:val="none"/>
          <w:lang w:val="en-US" w:eastAsia="zh-CN"/>
        </w:rPr>
        <w:t>项目五：石井净水分公司二期南四V型滤池滤头维修项目</w:t>
      </w:r>
    </w:p>
    <w:p>
      <w:pPr>
        <w:widowControl w:val="0"/>
        <w:autoSpaceDE w:val="0"/>
        <w:autoSpaceDN w:val="0"/>
        <w:spacing w:after="0" w:line="240" w:lineRule="auto"/>
        <w:ind w:firstLine="560" w:firstLineChars="200"/>
        <w:jc w:val="both"/>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石井净水厂二期V型滤池分南、北两个区域，每个区域对应有8个池体，共16个池体。在日常的水质监测中发现南线滤池4号池时有出水水质不稳定的情况，且在水区班的日常巡视检查中发现南线4号滤池的反冲洗现象有异常。在保证水质水量的前提下，对该池体进行了停池放空检查，经检查发现该池的区部位置存在滤板脱胶、滤头损坏，通过检测砂层厚度发现有滤砂流失超出正常范围的情况，滤层损失厚度达0.84米（滤砂通过滤板的脱胶部位漏至人孔区域），进而影响该池出水水质（其余正常运行池体砂层损失厚度一般在0.2米左右）。现需对南线滤池4号池滤板的局部位置脱胶、个别滤头损坏等问题进行维修、更换，并对因滤板损坏而导致流失的滤砂进行补充，以保证该池体的正常运行。</w:t>
      </w:r>
    </w:p>
    <w:p>
      <w:pPr>
        <w:widowControl w:val="0"/>
        <w:autoSpaceDE w:val="0"/>
        <w:autoSpaceDN w:val="0"/>
        <w:spacing w:after="0" w:line="240" w:lineRule="auto"/>
        <w:ind w:firstLine="562" w:firstLineChars="200"/>
        <w:jc w:val="both"/>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bCs/>
          <w:color w:val="auto"/>
          <w:sz w:val="28"/>
          <w:szCs w:val="28"/>
          <w:highlight w:val="none"/>
          <w:u w:val="none"/>
          <w:lang w:val="en-US" w:eastAsia="zh-CN"/>
        </w:rPr>
        <w:t>项目六：石井净分公司2022年V型滤池放空阀优化项目</w:t>
      </w:r>
    </w:p>
    <w:p>
      <w:pPr>
        <w:widowControl w:val="0"/>
        <w:autoSpaceDE w:val="0"/>
        <w:autoSpaceDN w:val="0"/>
        <w:spacing w:after="0" w:line="240" w:lineRule="auto"/>
        <w:ind w:firstLine="560" w:firstLineChars="200"/>
        <w:jc w:val="both"/>
        <w:rPr>
          <w:rFonts w:hint="eastAsia" w:ascii="仿宋" w:hAnsi="仿宋" w:eastAsia="仿宋" w:cs="仿宋"/>
          <w:color w:val="auto"/>
          <w:sz w:val="28"/>
          <w:szCs w:val="28"/>
          <w:highlight w:val="none"/>
          <w:lang w:val="zh-CN"/>
        </w:rPr>
      </w:pPr>
      <w:r>
        <w:rPr>
          <w:rFonts w:hint="eastAsia" w:ascii="仿宋" w:hAnsi="仿宋" w:eastAsia="仿宋" w:cs="仿宋"/>
          <w:b w:val="0"/>
          <w:bCs w:val="0"/>
          <w:color w:val="auto"/>
          <w:sz w:val="28"/>
          <w:szCs w:val="28"/>
          <w:highlight w:val="none"/>
          <w:u w:val="none"/>
          <w:lang w:val="en-US" w:eastAsia="zh-CN"/>
        </w:rPr>
        <w:t>石井净水厂V型滤池夹层排放集水槽，槽内对应每个V滤廊道有一个放空阀，南、北V型滤池共有放空阀16个。该排空阀设置在较狭长的集水槽内，并在集水槽上方放置了波纹盖板，日常操作需要打开盖板且需操作人员俯身到较低的位置才能进行该放空阀的操作，波纹盖板设置也较为厚重至少需要两名操作人员才能将其打开，以上都对日常的操作造成了较大影响，存在极大的不便。拟对该排空阀进行整改，把原来的暗杆蝶阀更换为加长杆铸钢蝶阀，操作手柄设置于波纹盖板上方。</w:t>
      </w:r>
    </w:p>
    <w:p>
      <w:pPr>
        <w:pStyle w:val="2"/>
        <w:ind w:firstLine="0"/>
        <w:rPr>
          <w:rFonts w:hint="eastAsia" w:ascii="仿宋" w:hAnsi="仿宋" w:eastAsia="仿宋" w:cs="仿宋"/>
          <w:b/>
          <w:bCs/>
          <w:color w:val="auto"/>
          <w:sz w:val="28"/>
          <w:szCs w:val="28"/>
          <w:highlight w:val="none"/>
          <w:lang w:val="en-US" w:eastAsia="zh-CN"/>
        </w:rPr>
      </w:pPr>
    </w:p>
    <w:p>
      <w:pPr>
        <w:pStyle w:val="14"/>
        <w:rPr>
          <w:rFonts w:hint="eastAsia"/>
          <w:color w:val="auto"/>
          <w:highlight w:val="none"/>
          <w:lang w:val="en-US" w:eastAsia="zh-CN"/>
        </w:rPr>
      </w:pPr>
    </w:p>
    <w:p>
      <w:pPr>
        <w:pStyle w:val="13"/>
        <w:adjustRightInd w:val="0"/>
        <w:snapToGrid w:val="0"/>
        <w:spacing w:line="300" w:lineRule="auto"/>
        <w:rPr>
          <w:rFonts w:hint="eastAsia" w:ascii="仿宋" w:hAnsi="仿宋" w:eastAsia="仿宋" w:cs="仿宋"/>
          <w:color w:val="auto"/>
          <w:highlight w:val="none"/>
          <w:lang w:val="en-US" w:eastAsia="zh-CN"/>
        </w:rPr>
      </w:pPr>
      <w:r>
        <w:rPr>
          <w:rFonts w:hint="eastAsia" w:ascii="仿宋_GB2312" w:hAnsi="仿宋_GB2312" w:eastAsia="仿宋_GB2312" w:cs="仿宋_GB2312"/>
          <w:b/>
          <w:color w:val="auto"/>
          <w:sz w:val="28"/>
          <w:szCs w:val="28"/>
          <w:highlight w:val="none"/>
        </w:rPr>
        <w:t>二、</w:t>
      </w:r>
      <w:r>
        <w:rPr>
          <w:rFonts w:hint="eastAsia" w:ascii="仿宋_GB2312" w:hAnsi="仿宋_GB2312" w:eastAsia="仿宋_GB2312" w:cs="仿宋_GB2312"/>
          <w:b/>
          <w:color w:val="auto"/>
          <w:sz w:val="28"/>
          <w:szCs w:val="28"/>
          <w:highlight w:val="none"/>
          <w:lang w:val="zh-CN"/>
        </w:rPr>
        <w:t>项目技术要求</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（1）施工人员进入厂区需进行在净水公司公众号进行来访预约，且满足我公司的防疫要求，施工期间穿反光衣，佩戴黄色安全帽，施工前必须进行安全教育和技术交底。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（2）施工后，清理现场垃圾，施工垃圾外运，冲洗施工区域，保护现场环境。</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（3）本项目项目负责人和专职安全员必须常驻施工现场，能随时与业主共同处理施工现场事宜。</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（4）本工作范围应包括提供所有需要的材料、机械、劳力、以及其他设施、完成规定的工作和服务，并达到预期的目标。报价人按照约定进行施工、竣工并在质量保修期内承担工程质量保修责任</w:t>
      </w:r>
    </w:p>
    <w:p>
      <w:pPr>
        <w:pStyle w:val="14"/>
        <w:rPr>
          <w:rFonts w:hint="eastAsia"/>
          <w:color w:val="auto"/>
          <w:highlight w:val="none"/>
          <w:lang w:val="en-US" w:eastAsia="zh-CN"/>
        </w:rPr>
      </w:pPr>
    </w:p>
    <w:p>
      <w:pPr>
        <w:pStyle w:val="13"/>
        <w:adjustRightInd w:val="0"/>
        <w:snapToGrid w:val="0"/>
        <w:spacing w:line="520" w:lineRule="exact"/>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1.工期：</w:t>
      </w:r>
      <w:r>
        <w:rPr>
          <w:rFonts w:hint="eastAsia" w:ascii="仿宋_GB2312" w:hAnsi="仿宋_GB2312" w:eastAsia="仿宋_GB2312" w:cs="仿宋_GB2312"/>
          <w:color w:val="auto"/>
          <w:sz w:val="28"/>
          <w:szCs w:val="28"/>
          <w:highlight w:val="none"/>
          <w:lang w:val="en-US" w:eastAsia="zh-CN"/>
        </w:rPr>
        <w:t>详见附表</w:t>
      </w:r>
      <w:r>
        <w:rPr>
          <w:rFonts w:hint="eastAsia" w:ascii="仿宋_GB2312" w:hAnsi="仿宋_GB2312" w:eastAsia="仿宋_GB2312" w:cs="仿宋_GB2312"/>
          <w:color w:val="auto"/>
          <w:sz w:val="28"/>
          <w:szCs w:val="28"/>
          <w:highlight w:val="none"/>
        </w:rPr>
        <w:t>。具体施工日期及工期调整根据实际计划时间而定。</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项目一</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项目二</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项目三</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项目四</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项目五</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项目六</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30天</w:t>
            </w:r>
          </w:p>
        </w:tc>
      </w:tr>
    </w:tbl>
    <w:p>
      <w:pPr>
        <w:pStyle w:val="7"/>
        <w:rPr>
          <w:color w:val="auto"/>
          <w:highlight w:val="none"/>
        </w:rPr>
      </w:pP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（3）必须用合格焊工。焊接、防锈、安装精度必须合格。</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3.安全文明施工要求：</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4.总包及分包规定：</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仿宋_GB2312" w:hAnsi="仿宋_GB2312" w:eastAsia="仿宋_GB2312" w:cs="仿宋_GB2312"/>
          <w:bCs/>
          <w:color w:val="auto"/>
          <w:szCs w:val="21"/>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pStyle w:val="7"/>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5.保修期（保养期）：质保期为项目完成经验收合格之日起1年。</w:t>
      </w:r>
    </w:p>
    <w:p>
      <w:pPr>
        <w:pStyle w:val="22"/>
        <w:shd w:val="clear" w:color="auto" w:fill="FFFFFF"/>
        <w:spacing w:before="0" w:beforeAutospacing="0" w:after="0" w:afterAutospacing="0" w:line="520" w:lineRule="exact"/>
        <w:ind w:firstLine="560" w:firstLineChars="200"/>
        <w:jc w:val="both"/>
        <w:rPr>
          <w:rFonts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6.询价人将自承包人履行完合同义务之日起15个工作日内组织验收，验收要求、验收标准及方法如下：</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（1）验收依据：询价文件、询价响应文件、厂家货物技术标准说明及国家有关的质量标准规定，均为验收依据。</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（2）承包单位根据要求进行设备的安装、调试、测试后，由发包人或政府相关部门进行使用性能方面的验收。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（3）验收合格条件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①调试完毕后现场试运行连续稳定工作24小时，无异常，并确保能够达到要求的标准。</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②各类电气系统、保护装置等附属设备均正常运行。</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（4）发包人有权委托我国相关具有检验资质的部门、单位、机构针对维修后设备的精度、性能进行检验。其检验结果将作为验收标准的组成部分之一。</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（5）验收时承包单位必须派代表参加。</w:t>
      </w:r>
    </w:p>
    <w:p>
      <w:pPr>
        <w:pStyle w:val="7"/>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7.付款方式：银行汇票形式。</w:t>
      </w:r>
    </w:p>
    <w:p>
      <w:pPr>
        <w:spacing w:line="520" w:lineRule="exact"/>
        <w:ind w:firstLine="560" w:firstLineChars="200"/>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rPr>
        <w:t>8.承包方式：</w:t>
      </w:r>
      <w:r>
        <w:rPr>
          <w:rFonts w:hint="eastAsia" w:ascii="仿宋_GB2312" w:hAnsi="仿宋_GB2312" w:eastAsia="仿宋_GB2312" w:cs="仿宋_GB2312"/>
          <w:color w:val="auto"/>
          <w:sz w:val="28"/>
          <w:szCs w:val="28"/>
          <w:highlight w:val="none"/>
          <w:lang w:val="zh-CN"/>
        </w:rPr>
        <w:t>单价包干。</w:t>
      </w:r>
    </w:p>
    <w:bookmarkEnd w:id="73"/>
    <w:p>
      <w:pPr>
        <w:pStyle w:val="2"/>
        <w:ind w:firstLine="0"/>
        <w:rPr>
          <w:rFonts w:hint="eastAsia"/>
          <w:color w:val="auto"/>
          <w:highlight w:val="none"/>
        </w:rPr>
      </w:pPr>
      <w:bookmarkStart w:id="74" w:name="_Toc15570"/>
      <w:bookmarkStart w:id="75" w:name="_Toc29835"/>
      <w:bookmarkStart w:id="76" w:name="_Toc23353"/>
      <w:bookmarkStart w:id="77" w:name="_Toc25925"/>
      <w:bookmarkStart w:id="78" w:name="_Toc1496"/>
      <w:bookmarkStart w:id="79" w:name="_Toc4680"/>
      <w:bookmarkStart w:id="80" w:name="_Toc18538"/>
      <w:bookmarkStart w:id="81" w:name="_Toc23330"/>
      <w:bookmarkStart w:id="82" w:name="_Toc537"/>
      <w:bookmarkStart w:id="83" w:name="_Toc12135"/>
      <w:bookmarkStart w:id="84" w:name="_Toc1284"/>
    </w:p>
    <w:p>
      <w:pPr>
        <w:pStyle w:val="2"/>
        <w:ind w:left="0" w:leftChars="0" w:firstLine="0" w:firstLineChars="0"/>
        <w:rPr>
          <w:rFonts w:hint="eastAsia"/>
          <w:color w:val="auto"/>
          <w:highlight w:val="none"/>
        </w:rPr>
      </w:pPr>
    </w:p>
    <w:p>
      <w:pPr>
        <w:pStyle w:val="2"/>
        <w:ind w:left="0" w:leftChars="0" w:firstLine="0" w:firstLineChars="0"/>
        <w:rPr>
          <w:rFonts w:hint="eastAsia"/>
          <w:color w:val="auto"/>
          <w:highlight w:val="none"/>
        </w:rPr>
      </w:pPr>
    </w:p>
    <w:p>
      <w:pPr>
        <w:pStyle w:val="2"/>
        <w:ind w:left="0" w:leftChars="0" w:firstLine="0" w:firstLineChars="0"/>
        <w:rPr>
          <w:rFonts w:hint="eastAsia"/>
          <w:color w:val="auto"/>
          <w:highlight w:val="none"/>
        </w:rPr>
      </w:pPr>
    </w:p>
    <w:p>
      <w:pPr>
        <w:pStyle w:val="4"/>
        <w:jc w:val="center"/>
        <w:rPr>
          <w:color w:val="auto"/>
          <w:highlight w:val="none"/>
        </w:rPr>
      </w:pPr>
      <w:r>
        <w:rPr>
          <w:color w:val="auto"/>
          <w:highlight w:val="none"/>
        </w:rPr>
        <w:pict>
          <v:shape id="_x0000_s2057" o:spid="_x0000_s2057" o:spt="32" type="#_x0000_t32" style="position:absolute;left:0pt;margin-left:181.6pt;margin-top:56.7pt;height:0pt;width:75.5pt;z-index:251667456;mso-width-relative:page;mso-height-relative:page;" o:connectortype="straight" filled="f" coordsize="21600,21600">
            <v:path arrowok="t"/>
            <v:fill on="f" focussize="0,0"/>
            <v:stroke/>
            <v:imagedata o:title=""/>
            <o:lock v:ext="edit"/>
          </v:shape>
        </w:pict>
      </w:r>
      <w:r>
        <w:rPr>
          <w:color w:val="auto"/>
          <w:highlight w:val="none"/>
        </w:rPr>
        <w:pict>
          <v:shape id="_x0000_s2056" o:spid="_x0000_s2056" o:spt="32" type="#_x0000_t32" style="position:absolute;left:0pt;margin-left:183.1pt;margin-top:21.3pt;height:0pt;width:75.5pt;z-index:251666432;mso-width-relative:page;mso-height-relative:page;" o:connectortype="straight" filled="f" coordsize="21600,21600">
            <v:path arrowok="t"/>
            <v:fill on="f" focussize="0,0"/>
            <v:stroke/>
            <v:imagedata o:title=""/>
            <o:lock v:ext="edit"/>
          </v:shape>
        </w:pict>
      </w:r>
      <w:r>
        <w:rPr>
          <w:rFonts w:hint="eastAsia"/>
          <w:color w:val="auto"/>
          <w:highlight w:val="none"/>
        </w:rPr>
        <w:t>第六章</w:t>
      </w:r>
      <w:bookmarkEnd w:id="74"/>
      <w:bookmarkEnd w:id="75"/>
      <w:bookmarkEnd w:id="76"/>
      <w:bookmarkEnd w:id="77"/>
      <w:bookmarkEnd w:id="78"/>
      <w:bookmarkEnd w:id="79"/>
      <w:bookmarkEnd w:id="80"/>
      <w:bookmarkEnd w:id="81"/>
      <w:bookmarkEnd w:id="82"/>
      <w:bookmarkEnd w:id="83"/>
      <w:bookmarkEnd w:id="84"/>
    </w:p>
    <w:p>
      <w:pPr>
        <w:pStyle w:val="40"/>
        <w:rPr>
          <w:color w:val="auto"/>
          <w:highlight w:val="none"/>
        </w:rPr>
      </w:pPr>
    </w:p>
    <w:p>
      <w:pPr>
        <w:pStyle w:val="4"/>
        <w:rPr>
          <w:color w:val="auto"/>
          <w:highlight w:val="none"/>
        </w:rPr>
      </w:pPr>
      <w:bookmarkStart w:id="85" w:name="_Toc22797"/>
      <w:bookmarkStart w:id="86" w:name="_Toc22501"/>
      <w:bookmarkStart w:id="87" w:name="_Toc87616386"/>
      <w:bookmarkStart w:id="88" w:name="_Toc13309"/>
      <w:bookmarkStart w:id="89" w:name="_Toc323"/>
      <w:bookmarkStart w:id="90" w:name="_Toc12721"/>
      <w:bookmarkStart w:id="91" w:name="_Toc19686"/>
      <w:bookmarkStart w:id="92" w:name="_Toc8183"/>
      <w:bookmarkStart w:id="93" w:name="_Toc12968"/>
      <w:bookmarkStart w:id="94" w:name="_Toc88209949"/>
      <w:bookmarkStart w:id="95" w:name="_Toc1375"/>
      <w:bookmarkStart w:id="96" w:name="_Toc19088"/>
      <w:bookmarkStart w:id="97" w:name="_Toc12980"/>
      <w:r>
        <w:rPr>
          <w:rFonts w:hint="eastAsia"/>
          <w:color w:val="auto"/>
          <w:highlight w:val="none"/>
        </w:rPr>
        <w:t>合同</w:t>
      </w:r>
      <w:bookmarkEnd w:id="85"/>
      <w:bookmarkEnd w:id="86"/>
      <w:bookmarkEnd w:id="87"/>
      <w:bookmarkEnd w:id="88"/>
      <w:bookmarkEnd w:id="89"/>
      <w:bookmarkEnd w:id="90"/>
      <w:bookmarkEnd w:id="91"/>
      <w:bookmarkEnd w:id="92"/>
      <w:bookmarkEnd w:id="93"/>
      <w:bookmarkEnd w:id="94"/>
      <w:bookmarkEnd w:id="95"/>
      <w:bookmarkEnd w:id="96"/>
      <w:bookmarkEnd w:id="9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pStyle w:val="2"/>
        <w:rPr>
          <w:rFonts w:hint="eastAsia" w:ascii="方正小标宋简体" w:eastAsia="方正小标宋简体"/>
          <w:color w:val="auto"/>
          <w:sz w:val="28"/>
          <w:szCs w:val="28"/>
          <w:highlight w:val="none"/>
        </w:rPr>
      </w:pPr>
    </w:p>
    <w:p>
      <w:pPr>
        <w:pStyle w:val="2"/>
        <w:rPr>
          <w:rFonts w:hint="eastAsia" w:ascii="方正小标宋简体" w:eastAsia="方正小标宋简体"/>
          <w:color w:val="auto"/>
          <w:sz w:val="28"/>
          <w:szCs w:val="28"/>
          <w:highlight w:val="none"/>
        </w:rPr>
      </w:pPr>
    </w:p>
    <w:p>
      <w:pPr>
        <w:pStyle w:val="2"/>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pPr>
        <w:spacing w:line="400" w:lineRule="atLeast"/>
        <w:jc w:val="center"/>
        <w:rPr>
          <w:rFonts w:asciiTheme="majorHAnsi" w:hAnsiTheme="majorHAnsi" w:eastAsiaTheme="majorEastAsia"/>
          <w:b/>
          <w:bCs/>
          <w:color w:val="auto"/>
          <w:sz w:val="52"/>
          <w:szCs w:val="52"/>
          <w:highlight w:val="none"/>
        </w:rPr>
      </w:pPr>
      <w:r>
        <w:rPr>
          <w:rFonts w:hint="eastAsia" w:ascii="宋体" w:hAnsi="宋体" w:cs="宋体"/>
          <w:b/>
          <w:bCs/>
          <w:color w:val="auto"/>
          <w:sz w:val="48"/>
          <w:szCs w:val="48"/>
          <w:highlight w:val="none"/>
        </w:rPr>
        <w:t>设备维修维护/技改项目合同</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spacing w:line="0" w:lineRule="atLeast"/>
        <w:rPr>
          <w:rFonts w:ascii="仿宋_GB2312" w:hAnsi="宋体" w:eastAsia="仿宋_GB2312"/>
          <w:b/>
          <w:color w:val="auto"/>
          <w:sz w:val="30"/>
          <w:szCs w:val="30"/>
          <w:highlight w:val="none"/>
        </w:rPr>
      </w:pPr>
    </w:p>
    <w:p>
      <w:pPr>
        <w:spacing w:line="360" w:lineRule="auto"/>
        <w:ind w:left="1506" w:hanging="1506" w:hangingChars="500"/>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rPr>
        <w:t xml:space="preserve">项目名称: </w:t>
      </w:r>
      <w:r>
        <w:rPr>
          <w:rFonts w:hint="eastAsia" w:ascii="宋体" w:hAnsi="宋体" w:cs="宋体"/>
          <w:b/>
          <w:color w:val="auto"/>
          <w:sz w:val="30"/>
          <w:szCs w:val="30"/>
          <w:highlight w:val="none"/>
          <w:lang w:eastAsia="zh-CN"/>
        </w:rPr>
        <w:t>广州市净水有限公司2022年大沙地、石井净分公司日常维护维修项目（市政工程类）</w:t>
      </w:r>
    </w:p>
    <w:p>
      <w:pPr>
        <w:pStyle w:val="50"/>
        <w:spacing w:line="360" w:lineRule="auto"/>
        <w:rPr>
          <w:color w:val="auto"/>
          <w:highlight w:val="none"/>
        </w:rPr>
      </w:pPr>
    </w:p>
    <w:p>
      <w:pPr>
        <w:spacing w:line="400" w:lineRule="atLeast"/>
        <w:rPr>
          <w:rFonts w:hint="eastAsia" w:ascii="宋体" w:hAnsi="宋体" w:eastAsiaTheme="minorEastAsia"/>
          <w:b/>
          <w:color w:val="auto"/>
          <w:sz w:val="30"/>
          <w:szCs w:val="30"/>
          <w:highlight w:val="none"/>
          <w:lang w:val="en-US" w:eastAsia="zh-CN"/>
        </w:rPr>
      </w:pPr>
      <w:r>
        <w:rPr>
          <w:rFonts w:hint="eastAsia" w:ascii="宋体" w:hAnsi="宋体"/>
          <w:b/>
          <w:color w:val="auto"/>
          <w:sz w:val="30"/>
          <w:szCs w:val="30"/>
          <w:highlight w:val="none"/>
        </w:rPr>
        <w:t>项目编号：</w:t>
      </w:r>
      <w:bookmarkStart w:id="98" w:name="合同"/>
      <w:bookmarkEnd w:id="98"/>
    </w:p>
    <w:p>
      <w:pPr>
        <w:pStyle w:val="2"/>
        <w:rPr>
          <w:color w:val="auto"/>
          <w:highlight w:val="none"/>
        </w:rPr>
      </w:pPr>
    </w:p>
    <w:p>
      <w:pPr>
        <w:spacing w:line="400" w:lineRule="atLeast"/>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甲方：广州市净水有限公司</w:t>
      </w:r>
    </w:p>
    <w:p>
      <w:pPr>
        <w:spacing w:line="400" w:lineRule="atLeast"/>
        <w:rPr>
          <w:rFonts w:ascii="宋体" w:hAnsi="宋体" w:cs="宋体"/>
          <w:b/>
          <w:color w:val="auto"/>
          <w:sz w:val="30"/>
          <w:szCs w:val="30"/>
          <w:highlight w:val="none"/>
        </w:rPr>
      </w:pPr>
    </w:p>
    <w:p>
      <w:pPr>
        <w:spacing w:line="400" w:lineRule="atLeast"/>
        <w:rPr>
          <w:rFonts w:hint="default" w:ascii="宋体" w:hAnsi="宋体" w:eastAsia="宋体" w:cs="宋体"/>
          <w:b/>
          <w:bCs/>
          <w:color w:val="auto"/>
          <w:sz w:val="30"/>
          <w:szCs w:val="30"/>
          <w:highlight w:val="none"/>
          <w:lang w:val="en-US" w:eastAsia="zh-CN"/>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pPr>
        <w:spacing w:line="400" w:lineRule="atLeast"/>
        <w:rPr>
          <w:rFonts w:ascii="宋体" w:hAnsi="宋体" w:cs="宋体"/>
          <w:b/>
          <w:color w:val="auto"/>
          <w:sz w:val="30"/>
          <w:szCs w:val="30"/>
          <w:highlight w:val="none"/>
        </w:rPr>
      </w:pPr>
    </w:p>
    <w:p>
      <w:pPr>
        <w:rPr>
          <w:color w:val="auto"/>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pPr>
        <w:spacing w:line="400" w:lineRule="atLeast"/>
        <w:rPr>
          <w:rFonts w:hint="eastAsia" w:ascii="宋体" w:hAnsi="宋体" w:cs="宋体"/>
          <w:b/>
          <w:color w:val="auto"/>
          <w:sz w:val="30"/>
          <w:highlight w:val="none"/>
        </w:rPr>
      </w:pPr>
      <w:r>
        <w:rPr>
          <w:rFonts w:hint="eastAsia" w:ascii="宋体" w:hAnsi="宋体" w:cs="宋体"/>
          <w:b/>
          <w:color w:val="auto"/>
          <w:sz w:val="30"/>
          <w:highlight w:val="none"/>
        </w:rPr>
        <w:t>签约地点：广州市</w:t>
      </w:r>
    </w:p>
    <w:p>
      <w:pPr>
        <w:pStyle w:val="7"/>
        <w:rPr>
          <w:rFonts w:hint="eastAsia" w:ascii="宋体" w:hAnsi="宋体" w:cs="宋体"/>
          <w:b/>
          <w:color w:val="auto"/>
          <w:sz w:val="30"/>
          <w:highlight w:val="none"/>
        </w:rPr>
      </w:pPr>
    </w:p>
    <w:p>
      <w:pPr>
        <w:pStyle w:val="7"/>
        <w:ind w:left="0" w:leftChars="0" w:firstLine="0" w:firstLineChars="0"/>
        <w:rPr>
          <w:rFonts w:hint="eastAsia" w:ascii="宋体" w:hAnsi="宋体" w:cs="宋体"/>
          <w:b/>
          <w:color w:val="auto"/>
          <w:sz w:val="30"/>
          <w:highlight w:val="none"/>
          <w:lang w:val="zh-CN"/>
        </w:rPr>
      </w:pPr>
    </w:p>
    <w:p>
      <w:pPr>
        <w:spacing w:before="93" w:beforeLines="30" w:line="500" w:lineRule="exact"/>
        <w:ind w:left="0" w:leftChars="0" w:firstLine="480" w:firstLineChars="200"/>
        <w:rPr>
          <w:rFonts w:ascii="宋体" w:hAnsi="宋体" w:cs="宋体"/>
          <w:color w:val="auto"/>
          <w:sz w:val="24"/>
          <w:highlight w:val="none"/>
          <w:u w:val="single"/>
        </w:rPr>
      </w:pPr>
      <w:r>
        <w:rPr>
          <w:rFonts w:hint="eastAsia" w:ascii="宋体" w:hAnsi="宋体" w:cs="宋体"/>
          <w:color w:val="auto"/>
          <w:sz w:val="24"/>
          <w:highlight w:val="none"/>
        </w:rPr>
        <w:t>根据《中华人民共和国民法典》及其他有关法律、行政法规，</w:t>
      </w:r>
      <w:r>
        <w:rPr>
          <w:rFonts w:hint="eastAsia" w:ascii="宋体" w:hAnsi="宋体" w:cs="宋体"/>
          <w:color w:val="auto"/>
          <w:sz w:val="24"/>
          <w:highlight w:val="none"/>
          <w:u w:val="single"/>
        </w:rPr>
        <w:t>广州市净水有限公司</w:t>
      </w:r>
      <w:r>
        <w:rPr>
          <w:rFonts w:hint="eastAsia" w:ascii="宋体" w:hAnsi="宋体" w:cs="宋体"/>
          <w:color w:val="auto"/>
          <w:sz w:val="24"/>
          <w:highlight w:val="none"/>
        </w:rPr>
        <w:t xml:space="preserve"> （以下简称“甲方”）与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（以下简称“乙方”）就</w:t>
      </w:r>
      <w:r>
        <w:rPr>
          <w:rFonts w:hint="eastAsia" w:ascii="宋体" w:hAnsi="宋体" w:cs="宋体"/>
          <w:color w:val="auto"/>
          <w:sz w:val="24"/>
          <w:highlight w:val="none"/>
          <w:u w:val="single"/>
          <w:lang w:eastAsia="zh-CN"/>
        </w:rPr>
        <w:t>广州市净水有限公司2022年大沙地、石井净分公司日常维护维修项目（市政工程类）</w:t>
      </w:r>
      <w:r>
        <w:rPr>
          <w:rFonts w:hint="eastAsia" w:asciiTheme="minorEastAsia" w:hAnsiTheme="minorEastAsia" w:eastAsiaTheme="minorEastAsia" w:cstheme="minorEastAsia"/>
          <w:color w:val="auto"/>
          <w:sz w:val="24"/>
          <w:highlight w:val="none"/>
        </w:rPr>
        <w:t>承接工作事宜，</w:t>
      </w:r>
      <w:r>
        <w:rPr>
          <w:rFonts w:hint="eastAsia" w:ascii="宋体" w:hAnsi="宋体" w:cs="宋体"/>
          <w:color w:val="auto"/>
          <w:sz w:val="24"/>
          <w:highlight w:val="none"/>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第一条 组成合同的文件及优先顺序</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 </w:t>
      </w: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⑴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⑵ 本合同书；</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⑶ </w:t>
      </w:r>
      <w:r>
        <w:rPr>
          <w:rFonts w:hint="eastAsia" w:ascii="宋体" w:hAnsi="宋体" w:cs="宋体"/>
          <w:bCs/>
          <w:color w:val="auto"/>
          <w:sz w:val="24"/>
          <w:szCs w:val="22"/>
          <w:highlight w:val="none"/>
        </w:rPr>
        <w:t>成交通知书</w:t>
      </w:r>
      <w:r>
        <w:rPr>
          <w:rFonts w:hint="eastAsia" w:ascii="宋体" w:hAnsi="宋体" w:cs="宋体"/>
          <w:bCs/>
          <w:color w:val="auto"/>
          <w:sz w:val="24"/>
          <w:highlight w:val="none"/>
        </w:rPr>
        <w:t>/委托函；</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spacing w:line="500" w:lineRule="exact"/>
        <w:ind w:firstLine="482"/>
        <w:rPr>
          <w:rFonts w:ascii="宋体" w:hAnsi="宋体" w:cs="宋体"/>
          <w:b/>
          <w:bCs/>
          <w:color w:val="auto"/>
          <w:sz w:val="24"/>
          <w:highlight w:val="none"/>
        </w:rPr>
      </w:pPr>
      <w:r>
        <w:rPr>
          <w:rFonts w:hint="eastAsia" w:ascii="宋体" w:hAnsi="宋体" w:cs="宋体"/>
          <w:bCs/>
          <w:color w:val="auto"/>
          <w:sz w:val="24"/>
          <w:highlight w:val="none"/>
        </w:rPr>
        <w:t>⑼ 本合同其他附件；</w:t>
      </w:r>
    </w:p>
    <w:p>
      <w:pPr>
        <w:spacing w:line="500" w:lineRule="exact"/>
        <w:ind w:firstLine="482"/>
        <w:rPr>
          <w:rFonts w:ascii="宋体" w:hAnsi="宋体" w:cs="宋体"/>
          <w:b/>
          <w:bCs/>
          <w:color w:val="auto"/>
          <w:sz w:val="24"/>
          <w:highlight w:val="none"/>
        </w:rPr>
      </w:pPr>
      <w:r>
        <w:rPr>
          <w:rFonts w:hint="eastAsia" w:ascii="宋体" w:hAnsi="宋体" w:cs="宋体"/>
          <w:b/>
          <w:bCs/>
          <w:color w:val="auto"/>
          <w:sz w:val="24"/>
          <w:highlight w:val="none"/>
        </w:rPr>
        <w:t>第二条 项目概况、项目承包范围</w:t>
      </w:r>
    </w:p>
    <w:p>
      <w:pPr>
        <w:spacing w:line="500" w:lineRule="exact"/>
        <w:ind w:firstLine="480" w:firstLineChars="200"/>
        <w:rPr>
          <w:rFonts w:hint="eastAsia" w:ascii="宋体" w:hAnsi="宋体"/>
          <w:color w:val="auto"/>
          <w:sz w:val="24"/>
          <w:highlight w:val="none"/>
          <w:u w:val="single"/>
          <w:lang w:eastAsia="zh-CN"/>
        </w:rPr>
      </w:pPr>
      <w:r>
        <w:rPr>
          <w:rFonts w:hint="eastAsia" w:ascii="宋体" w:hAnsi="宋体" w:cs="宋体"/>
          <w:color w:val="auto"/>
          <w:sz w:val="24"/>
          <w:highlight w:val="none"/>
        </w:rPr>
        <w:t>2.1项目名称：</w:t>
      </w:r>
      <w:r>
        <w:rPr>
          <w:rFonts w:hint="eastAsia" w:ascii="宋体" w:hAnsi="宋体"/>
          <w:color w:val="auto"/>
          <w:sz w:val="24"/>
          <w:highlight w:val="none"/>
          <w:u w:val="single"/>
          <w:lang w:eastAsia="zh-CN"/>
        </w:rPr>
        <w:t>广州市净水有限公司2022年大沙地、石井净分公司日常维护维修项目（市政工程类）</w:t>
      </w:r>
    </w:p>
    <w:tbl>
      <w:tblPr>
        <w:tblStyle w:val="24"/>
        <w:tblW w:w="52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26"/>
        <w:gridCol w:w="2380"/>
        <w:gridCol w:w="54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填报单位 </w:t>
            </w:r>
          </w:p>
        </w:tc>
        <w:tc>
          <w:tcPr>
            <w:tcW w:w="28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28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大沙地分公司一期二沉池及进水仪表间巡检道路优化项目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28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大沙地分公司二期干化车间吊装口及周边草地排水沟优化项目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28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2月厂区设备设施完善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28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大沙地分公司厂区生化池泥管、绿化草坪自来水管及中水管道维修项目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石井净分公司</w:t>
            </w:r>
          </w:p>
        </w:tc>
        <w:tc>
          <w:tcPr>
            <w:tcW w:w="28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石井净水分公司二期南四V型滤池滤头维修项目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石井净分公司</w:t>
            </w:r>
          </w:p>
        </w:tc>
        <w:tc>
          <w:tcPr>
            <w:tcW w:w="28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石井净分公司2022年V型滤池放空阀优化项目</w:t>
            </w:r>
          </w:p>
        </w:tc>
      </w:tr>
    </w:tbl>
    <w:p>
      <w:pPr>
        <w:pStyle w:val="10"/>
        <w:rPr>
          <w:rFonts w:hint="eastAsia"/>
          <w:color w:val="auto"/>
          <w:highlight w:val="none"/>
          <w:lang w:eastAsia="zh-CN"/>
        </w:rPr>
      </w:pP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szCs w:val="22"/>
          <w:highlight w:val="none"/>
        </w:rPr>
        <w:t>（以下分别简称“项目</w:t>
      </w:r>
      <w:r>
        <w:rPr>
          <w:rFonts w:hint="eastAsia" w:ascii="宋体" w:hAnsi="宋体" w:cs="宋体"/>
          <w:bCs/>
          <w:color w:val="auto"/>
          <w:sz w:val="24"/>
          <w:szCs w:val="22"/>
          <w:highlight w:val="none"/>
          <w:lang w:val="en-US" w:eastAsia="zh-CN"/>
        </w:rPr>
        <w:t>一、项目二、项目三、项目四、项目五、项目六</w:t>
      </w:r>
      <w:r>
        <w:rPr>
          <w:rFonts w:hint="eastAsia" w:ascii="宋体" w:hAnsi="宋体" w:cs="宋体"/>
          <w:bCs/>
          <w:color w:val="auto"/>
          <w:sz w:val="24"/>
          <w:szCs w:val="22"/>
          <w:highlight w:val="none"/>
        </w:rPr>
        <w:t>”）</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2.2项目地点：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项目所属各分公司</w:t>
      </w:r>
      <w:r>
        <w:rPr>
          <w:rFonts w:hint="eastAsia" w:ascii="宋体" w:hAnsi="宋体" w:cs="宋体"/>
          <w:color w:val="auto"/>
          <w:sz w:val="24"/>
          <w:highlight w:val="none"/>
          <w:u w:val="single"/>
        </w:rPr>
        <w:t xml:space="preserve"> 。</w:t>
      </w:r>
    </w:p>
    <w:p>
      <w:pPr>
        <w:pStyle w:val="13"/>
        <w:spacing w:line="500" w:lineRule="exact"/>
        <w:ind w:firstLine="0" w:firstLineChars="0"/>
        <w:outlineLvl w:val="1"/>
        <w:rPr>
          <w:rFonts w:hint="default" w:hAnsi="宋体" w:cs="宋体"/>
          <w:color w:val="auto"/>
          <w:sz w:val="24"/>
          <w:szCs w:val="20"/>
          <w:highlight w:val="none"/>
          <w:lang w:val="en-US" w:eastAsia="zh-CN"/>
        </w:rPr>
      </w:pPr>
    </w:p>
    <w:p>
      <w:pPr>
        <w:spacing w:line="500" w:lineRule="exact"/>
        <w:rPr>
          <w:color w:val="auto"/>
          <w:highlight w:val="none"/>
        </w:rPr>
      </w:pPr>
      <w:r>
        <w:rPr>
          <w:rFonts w:hint="eastAsia" w:ascii="宋体" w:hAnsi="宋体" w:cs="宋体"/>
          <w:color w:val="auto"/>
          <w:sz w:val="24"/>
          <w:highlight w:val="none"/>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2.4项目内容</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4"/>
        <w:gridCol w:w="1727"/>
        <w:gridCol w:w="1995"/>
        <w:gridCol w:w="4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填报单位 </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大沙地分公司一期二沉池及进水仪表间巡检道路优化项目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铺设一期二沉池骑马井、一期进水仪表间等区域巡检道路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大沙地分公司二期干化车间吊装口及周边草地排水沟优化项目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二期干化车间吊装口及周边草地加设排水沟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2月厂区设备设施完善</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增设二期、提标等生产场所设备、墙体较低位置的防撞保护措施2.加装二期吸砂泵三通及闸板,3.加装提标压榨机排放口除臭罩4.加装提标废水泵房吊架,5.加装二期及提标闸门活动盖板,6.修复二期膜池盖板,7.修补一期反应池排泥管墙体连接渗漏处,8.更换进水在线站房排气扇,9.加装二期干化车间自来水表及中水表,10.一期生化池搅拌机电缆加装遮阳设施,11.更换提标加药间排水槽疏间板，并增设排放口,12.提标加药间地面管道及干化锅炉排污管加装盖板13.更换二期天车控制电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大沙地分公司厂区生化池泥管、绿化草坪自来水管及中水管道维修项目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泥管穿孔更换、自来水管修复、中水管修复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石井净分公司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石井净水分公司二期南四V型滤池滤头维修项目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对南线滤池4号池滤板的局部位置脱胶、个别滤头损坏等问题进行维修、更换，并对因滤板损坏而导致流失的滤砂进行补充，以保证该池体的正常运行。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石井净分公司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石井净分公司2022年V型滤池放空阀优化项目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对V型滤池放空阀进行优化整改，把原来的暗杆蝶阀更换为加长杆蝶阀，操作手柄设置于波纹盖板上方。</w:t>
            </w:r>
          </w:p>
        </w:tc>
      </w:tr>
    </w:tbl>
    <w:p>
      <w:pPr>
        <w:pStyle w:val="10"/>
        <w:rPr>
          <w:color w:val="auto"/>
          <w:highlight w:val="none"/>
        </w:rPr>
      </w:pP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第三条 项目承包方式</w:t>
      </w:r>
    </w:p>
    <w:p>
      <w:pPr>
        <w:spacing w:line="500" w:lineRule="exact"/>
        <w:ind w:firstLine="482" w:firstLineChars="200"/>
        <w:rPr>
          <w:rFonts w:ascii="宋体" w:hAnsi="宋体" w:cs="宋体"/>
          <w:color w:val="auto"/>
          <w:sz w:val="24"/>
          <w:highlight w:val="none"/>
        </w:rPr>
      </w:pPr>
      <w:r>
        <w:rPr>
          <w:rFonts w:hint="eastAsia" w:ascii="Segoe UI Symbol" w:hAnsi="Segoe UI Symbol" w:cs="Segoe UI Symbol"/>
          <w:b/>
          <w:bCs/>
          <w:color w:val="auto"/>
          <w:sz w:val="24"/>
          <w:highlight w:val="none"/>
          <w:lang w:eastAsia="zh-CN"/>
        </w:rPr>
        <w:sym w:font="Wingdings 2" w:char="0052"/>
      </w:r>
      <w:r>
        <w:rPr>
          <w:rFonts w:hint="eastAsia" w:ascii="宋体" w:hAnsi="宋体" w:cs="宋体"/>
          <w:color w:val="auto"/>
          <w:sz w:val="24"/>
          <w:highlight w:val="none"/>
        </w:rPr>
        <w:t>包工、包料、包工期、包质量、包安全、包文明施工。综合单价包干、项目措施费包干。（单价包干要求附工程量报价/工程预算书）</w:t>
      </w:r>
    </w:p>
    <w:p>
      <w:pPr>
        <w:spacing w:line="500" w:lineRule="exact"/>
        <w:ind w:firstLine="480" w:firstLineChars="200"/>
        <w:rPr>
          <w:rFonts w:ascii="宋体" w:hAnsi="宋体" w:cs="宋体"/>
          <w:color w:val="auto"/>
          <w:sz w:val="24"/>
          <w:highlight w:val="none"/>
        </w:rPr>
      </w:pPr>
      <w:r>
        <w:rPr>
          <w:rFonts w:ascii="宋体" w:hAnsi="宋体" w:cs="宋体"/>
          <w:bCs/>
          <w:color w:val="auto"/>
          <w:sz w:val="24"/>
          <w:highlight w:val="none"/>
        </w:rPr>
        <w:sym w:font="Wingdings" w:char="00A8"/>
      </w:r>
      <w:r>
        <w:rPr>
          <w:rFonts w:hint="eastAsia" w:ascii="宋体" w:hAnsi="宋体" w:cs="宋体"/>
          <w:color w:val="auto"/>
          <w:sz w:val="24"/>
          <w:highlight w:val="none"/>
        </w:rPr>
        <w:t>包工、包料、包质量、包工期、包安全、包文明施工、包设计、包调试、包验收的施工图纸，以总价包干形式。</w:t>
      </w: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第四条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合同价款</w:t>
      </w:r>
    </w:p>
    <w:p>
      <w:pPr>
        <w:spacing w:line="500" w:lineRule="exact"/>
        <w:ind w:firstLine="480" w:firstLineChars="200"/>
        <w:rPr>
          <w:rFonts w:ascii="宋体" w:hAnsi="宋体" w:cs="宋体"/>
          <w:bCs/>
          <w:color w:val="auto"/>
          <w:sz w:val="24"/>
          <w:highlight w:val="none"/>
          <w:bdr w:val="single" w:color="auto" w:sz="4" w:space="0"/>
        </w:rPr>
      </w:pPr>
      <w:r>
        <w:rPr>
          <w:rFonts w:ascii="宋体" w:hAnsi="宋体" w:cs="宋体"/>
          <w:color w:val="auto"/>
          <w:sz w:val="24"/>
          <w:highlight w:val="none"/>
        </w:rPr>
        <w:t>4.1</w:t>
      </w:r>
      <w:r>
        <w:rPr>
          <w:rFonts w:hint="eastAsia" w:ascii="宋体" w:hAnsi="宋体" w:cs="宋体"/>
          <w:color w:val="auto"/>
          <w:sz w:val="24"/>
          <w:highlight w:val="none"/>
        </w:rPr>
        <w:t>合同价款按以下</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(1)</w:t>
      </w:r>
      <w:r>
        <w:rPr>
          <w:rFonts w:ascii="宋体" w:hAnsi="宋体" w:cs="宋体"/>
          <w:color w:val="auto"/>
          <w:sz w:val="24"/>
          <w:highlight w:val="none"/>
          <w:u w:val="single"/>
        </w:rPr>
        <w:t xml:space="preserve"> </w:t>
      </w:r>
      <w:r>
        <w:rPr>
          <w:rFonts w:hint="eastAsia" w:ascii="宋体" w:hAnsi="宋体" w:cs="宋体"/>
          <w:color w:val="auto"/>
          <w:sz w:val="24"/>
          <w:highlight w:val="none"/>
        </w:rPr>
        <w:t>执行。</w:t>
      </w:r>
    </w:p>
    <w:p>
      <w:pPr>
        <w:numPr>
          <w:ilvl w:val="0"/>
          <w:numId w:val="6"/>
        </w:num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合同暂定总价为：</w:t>
      </w:r>
      <w:r>
        <w:rPr>
          <w:rFonts w:hint="eastAsia" w:ascii="宋体" w:hAnsi="宋体" w:cs="宋体"/>
          <w:b/>
          <w:color w:val="auto"/>
          <w:sz w:val="24"/>
          <w:highlight w:val="none"/>
          <w:u w:val="single"/>
        </w:rPr>
        <w:t>人民币</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）。经甲方或甲方委托有资质第三方机构审核后，审核价作为合同结算价。若合同结算价超合同暂定总价，双方另行签订补充协议。</w:t>
      </w:r>
    </w:p>
    <w:p>
      <w:pPr>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合同总价组成：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6"/>
        <w:gridCol w:w="4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项目</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lang w:eastAsia="zh-CN"/>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小写</w:t>
            </w:r>
            <w:r>
              <w:rPr>
                <w:rFonts w:hint="eastAsia" w:ascii="宋体" w:hAnsi="宋体" w:cs="宋体"/>
                <w:b/>
                <w:bCs/>
                <w:color w:val="auto"/>
                <w:sz w:val="24"/>
                <w:highlight w:val="none"/>
                <w:u w:val="none"/>
                <w:lang w:val="en-US" w:eastAsia="zh-CN"/>
              </w:rPr>
              <w:t>/元</w:t>
            </w:r>
            <w:r>
              <w:rPr>
                <w:rFonts w:hint="eastAsia" w:ascii="宋体" w:hAnsi="宋体" w:eastAsia="宋体" w:cs="宋体"/>
                <w:b/>
                <w:bCs/>
                <w:color w:val="auto"/>
                <w:sz w:val="24"/>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Theme="minorEastAsia" w:hAnsiTheme="minorEastAsia" w:eastAsiaTheme="minorEastAsia" w:cstheme="minorEastAsia"/>
                <w:color w:val="auto"/>
                <w:sz w:val="24"/>
                <w:highlight w:val="none"/>
              </w:rPr>
              <w:t>项目一</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cs="宋体" w:eastAsiaTheme="minorEastAsia"/>
                <w:b/>
                <w:bCs/>
                <w:color w:val="auto"/>
                <w:sz w:val="24"/>
                <w:highlight w:val="none"/>
                <w:u w:val="none"/>
                <w:vertAlign w:val="baseline"/>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二</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cs="宋体" w:eastAsiaTheme="minorEastAsia"/>
                <w:b/>
                <w:bCs/>
                <w:color w:val="auto"/>
                <w:sz w:val="24"/>
                <w:highlight w:val="none"/>
                <w:u w:val="none"/>
                <w:vertAlign w:val="baseli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三</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四</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五</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项目六</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bl>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 xml:space="preserve">         </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综合单价</w:t>
      </w:r>
      <w:r>
        <w:rPr>
          <w:rFonts w:hint="eastAsia" w:ascii="宋体" w:hAnsi="宋体" w:cs="宋体"/>
          <w:color w:val="auto"/>
          <w:sz w:val="24"/>
          <w:highlight w:val="none"/>
          <w:lang w:val="en-US" w:eastAsia="zh-CN"/>
        </w:rPr>
        <w:t>详见</w:t>
      </w:r>
      <w:r>
        <w:rPr>
          <w:rFonts w:hint="eastAsia" w:ascii="宋体" w:hAnsi="宋体" w:cs="宋体"/>
          <w:color w:val="auto"/>
          <w:sz w:val="24"/>
          <w:highlight w:val="none"/>
        </w:rPr>
        <w:t>附件5工程量清单报价。</w:t>
      </w:r>
    </w:p>
    <w:p>
      <w:pPr>
        <w:autoSpaceDE w:val="0"/>
        <w:autoSpaceDN w:val="0"/>
        <w:adjustRightIn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合同以总价包干形式，合同暂定总价为：</w:t>
      </w:r>
      <w:r>
        <w:rPr>
          <w:rFonts w:hint="eastAsia" w:ascii="宋体" w:hAnsi="宋体" w:cs="宋体"/>
          <w:b/>
          <w:color w:val="auto"/>
          <w:sz w:val="24"/>
          <w:highlight w:val="none"/>
          <w:u w:val="single"/>
        </w:rPr>
        <w:t>人民币</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color w:val="auto"/>
          <w:sz w:val="24"/>
          <w:highlight w:val="none"/>
        </w:rPr>
      </w:pPr>
      <w:r>
        <w:rPr>
          <w:rFonts w:ascii="宋体" w:hAnsi="宋体" w:cs="宋体"/>
          <w:color w:val="auto"/>
          <w:kern w:val="0"/>
          <w:sz w:val="24"/>
          <w:highlight w:val="none"/>
          <w:lang w:val="zh-CN"/>
        </w:rPr>
        <w:t>4.2</w:t>
      </w:r>
      <w:r>
        <w:rPr>
          <w:rFonts w:hint="eastAsia" w:ascii="宋体" w:hAnsi="宋体" w:cs="宋体"/>
          <w:color w:val="auto"/>
          <w:kern w:val="0"/>
          <w:sz w:val="24"/>
          <w:highlight w:val="none"/>
        </w:rPr>
        <w:t>本合同约定的价格为含税价价格</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税率为9%</w:t>
      </w:r>
      <w:r>
        <w:rPr>
          <w:rFonts w:hint="eastAsia" w:ascii="宋体" w:hAnsi="宋体" w:cs="宋体"/>
          <w:color w:val="auto"/>
          <w:sz w:val="24"/>
          <w:highlight w:val="none"/>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color w:val="auto"/>
          <w:kern w:val="0"/>
          <w:sz w:val="24"/>
          <w:highlight w:val="none"/>
          <w:lang w:val="zh-CN"/>
        </w:rPr>
      </w:pPr>
      <w:r>
        <w:rPr>
          <w:rFonts w:ascii="宋体" w:hAnsi="宋体" w:cs="宋体"/>
          <w:color w:val="auto"/>
          <w:kern w:val="0"/>
          <w:sz w:val="24"/>
          <w:highlight w:val="none"/>
          <w:lang w:val="zh-CN"/>
        </w:rPr>
        <w:t>4.3</w:t>
      </w:r>
      <w:r>
        <w:rPr>
          <w:rFonts w:hint="eastAsia" w:ascii="宋体" w:hAnsi="宋体" w:cs="宋体"/>
          <w:color w:val="auto"/>
          <w:kern w:val="0"/>
          <w:sz w:val="24"/>
          <w:highlight w:val="none"/>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新增单价计价原则：</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（4）通过市场询价双方协商确定。</w:t>
      </w:r>
    </w:p>
    <w:p>
      <w:pPr>
        <w:widowControl/>
        <w:tabs>
          <w:tab w:val="left" w:pos="851"/>
        </w:tabs>
        <w:adjustRightInd w:val="0"/>
        <w:snapToGrid w:val="0"/>
        <w:spacing w:line="500" w:lineRule="exact"/>
        <w:ind w:firstLine="480" w:firstLineChars="200"/>
        <w:rPr>
          <w:color w:val="auto"/>
          <w:highlight w:val="none"/>
        </w:rPr>
      </w:pPr>
      <w:r>
        <w:rPr>
          <w:rFonts w:ascii="宋体" w:hAnsi="宋体" w:cs="宋体"/>
          <w:color w:val="auto"/>
          <w:kern w:val="0"/>
          <w:sz w:val="24"/>
          <w:highlight w:val="none"/>
          <w:lang w:val="zh-CN"/>
        </w:rPr>
        <w:t>3.按1、2组价后下浮5%计取。</w:t>
      </w:r>
    </w:p>
    <w:p>
      <w:pPr>
        <w:widowControl/>
        <w:tabs>
          <w:tab w:val="left" w:pos="851"/>
        </w:tabs>
        <w:adjustRightInd w:val="0"/>
        <w:snapToGrid w:val="0"/>
        <w:spacing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第五条</w:t>
      </w:r>
      <w:r>
        <w:rPr>
          <w:rFonts w:ascii="宋体" w:hAnsi="宋体" w:cs="宋体"/>
          <w:b/>
          <w:bCs/>
          <w:color w:val="auto"/>
          <w:sz w:val="24"/>
          <w:highlight w:val="none"/>
        </w:rPr>
        <w:t xml:space="preserve"> </w:t>
      </w:r>
      <w:r>
        <w:rPr>
          <w:rFonts w:hint="eastAsia" w:ascii="宋体" w:hAnsi="宋体" w:cs="宋体"/>
          <w:b/>
          <w:bCs/>
          <w:color w:val="auto"/>
          <w:sz w:val="24"/>
          <w:highlight w:val="none"/>
        </w:rPr>
        <w:t>工期及要求</w:t>
      </w:r>
    </w:p>
    <w:p>
      <w:pPr>
        <w:widowControl/>
        <w:spacing w:line="500" w:lineRule="exact"/>
        <w:ind w:firstLine="480" w:firstLineChars="200"/>
        <w:jc w:val="left"/>
        <w:rPr>
          <w:rFonts w:ascii="宋体" w:hAnsi="宋体" w:cs="宋体"/>
          <w:color w:val="auto"/>
          <w:sz w:val="24"/>
          <w:highlight w:val="none"/>
        </w:rPr>
      </w:pPr>
      <w:r>
        <w:rPr>
          <w:rFonts w:ascii="宋体" w:hAnsi="宋体" w:cs="宋体"/>
          <w:color w:val="auto"/>
          <w:sz w:val="24"/>
          <w:highlight w:val="none"/>
        </w:rPr>
        <w:t>5.1</w:t>
      </w:r>
      <w:r>
        <w:rPr>
          <w:rFonts w:hint="eastAsia" w:ascii="宋体" w:hAnsi="宋体" w:cs="宋体"/>
          <w:color w:val="auto"/>
          <w:sz w:val="24"/>
          <w:highlight w:val="none"/>
        </w:rPr>
        <w:t>开工日期暂定为：</w:t>
      </w:r>
      <w:r>
        <w:rPr>
          <w:rFonts w:hint="eastAsia" w:ascii="宋体" w:hAnsi="宋体" w:cs="宋体"/>
          <w:color w:val="auto"/>
          <w:sz w:val="24"/>
          <w:highlight w:val="none"/>
          <w:u w:val="single"/>
          <w:lang w:val="en-US" w:eastAsia="zh-CN"/>
        </w:rPr>
        <w:t>详见下表</w:t>
      </w:r>
      <w:r>
        <w:rPr>
          <w:rFonts w:hint="eastAsia" w:ascii="宋体" w:hAnsi="宋体" w:cs="宋体"/>
          <w:color w:val="auto"/>
          <w:sz w:val="24"/>
          <w:highlight w:val="none"/>
        </w:rPr>
        <w:t>，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宋体" w:hAnsi="宋体" w:cs="宋体"/>
          <w:color w:val="auto"/>
          <w:sz w:val="24"/>
          <w:highlight w:val="none"/>
          <w:lang w:val="en-US" w:eastAsia="zh-CN"/>
        </w:rPr>
        <w:t>及总日历天数</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详见下表</w:t>
      </w:r>
      <w:r>
        <w:rPr>
          <w:rFonts w:hint="eastAsia" w:ascii="宋体" w:hAnsi="宋体" w:cs="宋体"/>
          <w:b/>
          <w:bCs/>
          <w:color w:val="auto"/>
          <w:sz w:val="24"/>
          <w:highlight w:val="none"/>
        </w:rPr>
        <w:t>。</w:t>
      </w:r>
      <w:r>
        <w:rPr>
          <w:rFonts w:hint="eastAsia" w:ascii="宋体" w:hAnsi="宋体" w:cs="宋体"/>
          <w:color w:val="auto"/>
          <w:sz w:val="24"/>
          <w:highlight w:val="none"/>
        </w:rPr>
        <w:t>乙方未能按合同工期竣工验收的，每逾期一天，甲方有权要求乙方按合同暂定总价的 1%支付违约金，逾期达到</w:t>
      </w:r>
      <w:r>
        <w:rPr>
          <w:rFonts w:ascii="宋体" w:hAnsi="宋体" w:cs="宋体"/>
          <w:color w:val="auto"/>
          <w:sz w:val="24"/>
          <w:highlight w:val="none"/>
          <w:u w:val="single"/>
        </w:rPr>
        <w:t>30</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single"/>
        </w:rPr>
        <w:t>合同暂定总价的</w:t>
      </w:r>
      <w:r>
        <w:rPr>
          <w:rFonts w:ascii="宋体" w:hAnsi="宋体" w:cs="宋体"/>
          <w:color w:val="auto"/>
          <w:sz w:val="24"/>
          <w:highlight w:val="none"/>
          <w:u w:val="single"/>
        </w:rPr>
        <w:t>20%</w:t>
      </w:r>
      <w:r>
        <w:rPr>
          <w:rFonts w:ascii="宋体" w:hAnsi="宋体" w:cs="宋体"/>
          <w:color w:val="auto"/>
          <w:sz w:val="24"/>
          <w:highlight w:val="none"/>
        </w:rPr>
        <w:t>作为违约金。</w:t>
      </w:r>
    </w:p>
    <w:tbl>
      <w:tblPr>
        <w:tblStyle w:val="25"/>
        <w:tblW w:w="6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暂定开工日期</w:t>
            </w:r>
          </w:p>
        </w:tc>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合同工期及总日历天数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项目一</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项目二</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color w:val="auto"/>
                <w:kern w:val="0"/>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项目三</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p>
        </w:tc>
        <w:tc>
          <w:tcPr>
            <w:tcW w:w="2264" w:type="dxa"/>
            <w:vAlign w:val="center"/>
          </w:tcPr>
          <w:p>
            <w:pPr>
              <w:pStyle w:val="7"/>
              <w:ind w:firstLine="420" w:firstLineChars="0"/>
              <w:jc w:val="center"/>
              <w:rPr>
                <w:rFonts w:hint="default" w:ascii="仿宋" w:hAnsi="仿宋" w:eastAsia="仿宋" w:cs="仿宋"/>
                <w:color w:val="auto"/>
                <w:kern w:val="0"/>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项目四</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项目五</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b/>
                <w:bCs/>
                <w:color w:val="auto"/>
                <w:kern w:val="0"/>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项目六</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p>
        </w:tc>
        <w:tc>
          <w:tcPr>
            <w:tcW w:w="2264" w:type="dxa"/>
            <w:vAlign w:val="center"/>
          </w:tcPr>
          <w:p>
            <w:pPr>
              <w:pStyle w:val="7"/>
              <w:ind w:firstLine="420" w:firstLineChars="0"/>
              <w:jc w:val="center"/>
              <w:rPr>
                <w:rFonts w:hint="eastAsia" w:ascii="仿宋" w:hAnsi="仿宋" w:eastAsia="仿宋" w:cs="仿宋"/>
                <w:b/>
                <w:bCs/>
                <w:color w:val="auto"/>
                <w:kern w:val="0"/>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30天</w:t>
            </w:r>
          </w:p>
        </w:tc>
      </w:tr>
    </w:tbl>
    <w:p>
      <w:pPr>
        <w:pStyle w:val="7"/>
        <w:rPr>
          <w:color w:val="auto"/>
          <w:highlight w:val="none"/>
        </w:rPr>
      </w:pP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5.2</w:t>
      </w:r>
      <w:r>
        <w:rPr>
          <w:rFonts w:hint="eastAsia" w:ascii="宋体" w:hAnsi="宋体" w:cs="宋体"/>
          <w:bCs/>
          <w:color w:val="auto"/>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5.3</w:t>
      </w:r>
      <w:r>
        <w:rPr>
          <w:rFonts w:hint="eastAsia" w:ascii="宋体" w:hAnsi="宋体" w:cs="宋体"/>
          <w:bCs/>
          <w:color w:val="auto"/>
          <w:sz w:val="24"/>
          <w:highlight w:val="none"/>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color w:val="auto"/>
          <w:sz w:val="24"/>
          <w:highlight w:val="none"/>
          <w:u w:val="single"/>
        </w:rPr>
        <w:t xml:space="preserve"> 7 </w:t>
      </w:r>
      <w:r>
        <w:rPr>
          <w:rFonts w:hint="eastAsia" w:ascii="宋体" w:hAnsi="宋体" w:cs="宋体"/>
          <w:bCs/>
          <w:color w:val="auto"/>
          <w:sz w:val="24"/>
          <w:highlight w:val="none"/>
        </w:rPr>
        <w:t>日内将全部图纸退还给甲方。</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5.4</w:t>
      </w:r>
      <w:r>
        <w:rPr>
          <w:rFonts w:hint="eastAsia" w:ascii="宋体" w:hAnsi="宋体" w:cs="宋体"/>
          <w:bCs/>
          <w:color w:val="auto"/>
          <w:sz w:val="24"/>
          <w:highlight w:val="none"/>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5.5</w:t>
      </w:r>
      <w:r>
        <w:rPr>
          <w:rFonts w:hint="eastAsia" w:ascii="宋体" w:hAnsi="宋体" w:cs="宋体"/>
          <w:bCs/>
          <w:color w:val="auto"/>
          <w:sz w:val="24"/>
          <w:highlight w:val="none"/>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3"/>
        <w:spacing w:line="500" w:lineRule="exact"/>
        <w:ind w:firstLine="448" w:firstLineChars="200"/>
        <w:outlineLvl w:val="1"/>
        <w:rPr>
          <w:rFonts w:hAnsi="宋体" w:cs="宋体"/>
          <w:color w:val="auto"/>
          <w:spacing w:val="-8"/>
          <w:sz w:val="24"/>
          <w:szCs w:val="24"/>
          <w:highlight w:val="none"/>
        </w:rPr>
      </w:pPr>
      <w:r>
        <w:rPr>
          <w:rFonts w:asciiTheme="minorEastAsia" w:hAnsiTheme="minorEastAsia" w:eastAsiaTheme="minorEastAsia" w:cstheme="minorEastAsia"/>
          <w:color w:val="auto"/>
          <w:spacing w:val="-8"/>
          <w:sz w:val="24"/>
          <w:szCs w:val="24"/>
          <w:highlight w:val="none"/>
        </w:rPr>
        <w:t>5.</w:t>
      </w:r>
      <w:r>
        <w:rPr>
          <w:rFonts w:hint="eastAsia" w:asciiTheme="minorEastAsia" w:hAnsiTheme="minorEastAsia" w:eastAsiaTheme="minorEastAsia" w:cstheme="minorEastAsia"/>
          <w:color w:val="auto"/>
          <w:spacing w:val="-8"/>
          <w:sz w:val="24"/>
          <w:szCs w:val="24"/>
          <w:highlight w:val="none"/>
        </w:rPr>
        <w:t>6</w:t>
      </w:r>
      <w:r>
        <w:rPr>
          <w:rFonts w:hint="eastAsia" w:hAnsi="宋体" w:cs="宋体"/>
          <w:color w:val="auto"/>
          <w:spacing w:val="-8"/>
          <w:sz w:val="24"/>
          <w:szCs w:val="24"/>
          <w:highlight w:val="none"/>
        </w:rPr>
        <w:t>乙方不得随意更换项目负责人及附件6中的相关人员，如确须更换，应提前征得甲方同意。如有违反，甲方有权解除合同并要求乙方支付</w:t>
      </w:r>
      <w:r>
        <w:rPr>
          <w:rFonts w:hint="eastAsia" w:hAnsi="宋体" w:cs="宋体"/>
          <w:color w:val="auto"/>
          <w:spacing w:val="-8"/>
          <w:sz w:val="24"/>
          <w:szCs w:val="24"/>
          <w:highlight w:val="none"/>
          <w:u w:val="single"/>
        </w:rPr>
        <w:t>5000元/人次</w:t>
      </w:r>
      <w:r>
        <w:rPr>
          <w:rFonts w:hint="eastAsia" w:hAnsi="宋体" w:cs="宋体"/>
          <w:color w:val="auto"/>
          <w:spacing w:val="-8"/>
          <w:sz w:val="24"/>
          <w:szCs w:val="24"/>
          <w:highlight w:val="none"/>
        </w:rPr>
        <w:t>作为违约金，以及赔偿由此造成的一切损失(包含质量安全事故、工期延误、增加投资等)。</w:t>
      </w:r>
      <w:r>
        <w:rPr>
          <w:rFonts w:hAnsi="宋体" w:cs="宋体"/>
          <w:color w:val="auto"/>
          <w:spacing w:val="-8"/>
          <w:sz w:val="24"/>
          <w:szCs w:val="24"/>
          <w:highlight w:val="none"/>
        </w:rPr>
        <w:t xml:space="preserve">   </w:t>
      </w:r>
    </w:p>
    <w:p>
      <w:pPr>
        <w:widowControl/>
        <w:spacing w:line="500" w:lineRule="exact"/>
        <w:ind w:left="1" w:firstLine="448" w:firstLineChars="200"/>
        <w:jc w:val="left"/>
        <w:rPr>
          <w:rFonts w:ascii="宋体" w:hAnsi="宋体" w:cs="宋体"/>
          <w:color w:val="auto"/>
          <w:spacing w:val="-8"/>
          <w:sz w:val="24"/>
          <w:szCs w:val="24"/>
          <w:highlight w:val="none"/>
        </w:rPr>
      </w:pPr>
      <w:r>
        <w:rPr>
          <w:rFonts w:ascii="宋体" w:hAnsi="宋体" w:cs="宋体"/>
          <w:bCs/>
          <w:color w:val="auto"/>
          <w:spacing w:val="-8"/>
          <w:sz w:val="24"/>
          <w:szCs w:val="24"/>
          <w:highlight w:val="none"/>
        </w:rPr>
        <w:t>5.</w:t>
      </w:r>
      <w:r>
        <w:rPr>
          <w:rFonts w:hint="eastAsia" w:ascii="宋体" w:hAnsi="宋体" w:cs="宋体"/>
          <w:bCs/>
          <w:color w:val="auto"/>
          <w:spacing w:val="-8"/>
          <w:sz w:val="24"/>
          <w:szCs w:val="24"/>
          <w:highlight w:val="none"/>
        </w:rPr>
        <w:t>7施工过程中，项目负责人应驻场管理，否则甲方有权要求乙方支付违约</w:t>
      </w:r>
      <w:r>
        <w:rPr>
          <w:rFonts w:hint="eastAsia" w:ascii="宋体" w:hAnsi="宋体" w:cs="宋体"/>
          <w:bCs/>
          <w:color w:val="auto"/>
          <w:spacing w:val="-8"/>
          <w:sz w:val="24"/>
          <w:szCs w:val="24"/>
          <w:highlight w:val="none"/>
          <w:u w:val="single"/>
        </w:rPr>
        <w:t xml:space="preserve"> 1000元/天</w:t>
      </w:r>
      <w:r>
        <w:rPr>
          <w:rFonts w:hint="eastAsia" w:ascii="宋体" w:hAnsi="宋体" w:cs="宋体"/>
          <w:bCs/>
          <w:color w:val="auto"/>
          <w:spacing w:val="-8"/>
          <w:sz w:val="24"/>
          <w:szCs w:val="24"/>
          <w:highlight w:val="none"/>
        </w:rPr>
        <w:t>，因此造成损失的，按实际发生额赔偿。</w:t>
      </w:r>
    </w:p>
    <w:p>
      <w:pPr>
        <w:widowControl/>
        <w:spacing w:line="500" w:lineRule="exact"/>
        <w:ind w:left="1" w:firstLine="448" w:firstLineChars="200"/>
        <w:jc w:val="left"/>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5.8施工过程中，乙方应负责配备现场的应急物资。具体应急物资配备详见附件应急救援物资清单。</w:t>
      </w:r>
    </w:p>
    <w:p>
      <w:pPr>
        <w:widowControl/>
        <w:spacing w:line="500" w:lineRule="exact"/>
        <w:ind w:left="1" w:firstLine="448" w:firstLineChars="200"/>
        <w:jc w:val="left"/>
        <w:rPr>
          <w:rFonts w:asciiTheme="minorEastAsia" w:hAnsiTheme="minorEastAsia" w:eastAsiaTheme="minorEastAsia" w:cstheme="minorEastAsia"/>
          <w:color w:val="auto"/>
          <w:spacing w:val="-8"/>
          <w:sz w:val="24"/>
          <w:szCs w:val="24"/>
          <w:highlight w:val="none"/>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在合同有效期内，乙方自愿接受甲方按《广州市净水有限公司经营建设项目参建企业不诚信行为管理办法》、《营运项目承包单位日常履约考评参照表（安全）》处理，具体处理标准详见附件</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w:t>
      </w:r>
    </w:p>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第六条</w:t>
      </w:r>
      <w:r>
        <w:rPr>
          <w:rFonts w:ascii="宋体" w:hAnsi="宋体" w:cs="宋体"/>
          <w:b/>
          <w:color w:val="auto"/>
          <w:sz w:val="24"/>
          <w:highlight w:val="none"/>
        </w:rPr>
        <w:t xml:space="preserve"> </w:t>
      </w:r>
      <w:r>
        <w:rPr>
          <w:rFonts w:hint="eastAsia" w:ascii="宋体" w:hAnsi="宋体" w:cs="宋体"/>
          <w:b/>
          <w:color w:val="auto"/>
          <w:sz w:val="24"/>
          <w:highlight w:val="none"/>
        </w:rPr>
        <w:t>实施条件及管理要求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6.1</w:t>
      </w:r>
      <w:r>
        <w:rPr>
          <w:rFonts w:hint="eastAsia" w:ascii="宋体" w:hAnsi="宋体" w:cs="宋体"/>
          <w:color w:val="auto"/>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6.2</w:t>
      </w:r>
      <w:r>
        <w:rPr>
          <w:rFonts w:hint="eastAsia" w:ascii="宋体" w:hAnsi="宋体" w:cs="宋体"/>
          <w:color w:val="auto"/>
          <w:sz w:val="24"/>
          <w:highlight w:val="none"/>
        </w:rPr>
        <w:t>施工用水用电采用以下</w:t>
      </w:r>
      <w:r>
        <w:rPr>
          <w:rFonts w:ascii="宋体" w:hAnsi="宋体" w:cs="宋体"/>
          <w:color w:val="auto"/>
          <w:sz w:val="24"/>
          <w:highlight w:val="none"/>
          <w:u w:val="single"/>
        </w:rPr>
        <w:t>(</w:t>
      </w:r>
      <w:r>
        <w:rPr>
          <w:rFonts w:hint="eastAsia" w:ascii="宋体" w:hAnsi="宋体" w:cs="宋体"/>
          <w:color w:val="auto"/>
          <w:sz w:val="24"/>
          <w:highlight w:val="none"/>
          <w:u w:val="single"/>
        </w:rPr>
        <w:t>1</w:t>
      </w:r>
      <w:r>
        <w:rPr>
          <w:rFonts w:ascii="宋体" w:hAnsi="宋体" w:cs="宋体"/>
          <w:color w:val="auto"/>
          <w:sz w:val="24"/>
          <w:highlight w:val="none"/>
          <w:u w:val="single"/>
        </w:rPr>
        <w:t>)</w:t>
      </w:r>
      <w:r>
        <w:rPr>
          <w:rFonts w:hint="eastAsia" w:ascii="宋体" w:hAnsi="宋体" w:cs="宋体"/>
          <w:color w:val="auto"/>
          <w:sz w:val="24"/>
          <w:highlight w:val="none"/>
        </w:rPr>
        <w:t>方式执行。</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）由甲方提供施工用水用电接口，水电费按合同综合单价水电含量计算，从甲方支付的工程款中直接扣回。</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）由甲方提供施工用水用电接口，费用按</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rPr>
        <w:t>/</w:t>
      </w:r>
      <w:r>
        <w:rPr>
          <w:rFonts w:hint="eastAsia" w:ascii="宋体" w:hAnsi="宋体" w:cs="宋体"/>
          <w:color w:val="auto"/>
          <w:sz w:val="24"/>
          <w:highlight w:val="none"/>
        </w:rPr>
        <w:t>项）目结算，由乙方向甲方或甲方下辖分公司</w:t>
      </w:r>
      <w:r>
        <w:rPr>
          <w:rFonts w:ascii="宋体" w:hAnsi="宋体" w:cs="宋体"/>
          <w:color w:val="auto"/>
          <w:sz w:val="24"/>
          <w:highlight w:val="none"/>
        </w:rPr>
        <w:t>/</w:t>
      </w:r>
      <w:r>
        <w:rPr>
          <w:rFonts w:hint="eastAsia" w:ascii="宋体" w:hAnsi="宋体" w:cs="宋体"/>
          <w:color w:val="auto"/>
          <w:sz w:val="24"/>
          <w:highlight w:val="none"/>
        </w:rPr>
        <w:t>子公司支付。水电费用按所属供电局、自来水公司收费标准，按实计算。</w:t>
      </w:r>
    </w:p>
    <w:p>
      <w:pPr>
        <w:pStyle w:val="50"/>
        <w:spacing w:line="500" w:lineRule="exact"/>
        <w:ind w:firstLine="480" w:firstLineChars="200"/>
        <w:rPr>
          <w:rFonts w:hAnsi="宋体" w:eastAsia="宋体"/>
          <w:color w:val="auto"/>
          <w:kern w:val="2"/>
          <w:szCs w:val="20"/>
          <w:highlight w:val="none"/>
        </w:rPr>
      </w:pPr>
      <w:r>
        <w:rPr>
          <w:rFonts w:hint="eastAsia" w:hAnsi="宋体" w:eastAsia="宋体"/>
          <w:color w:val="auto"/>
          <w:kern w:val="2"/>
          <w:szCs w:val="20"/>
          <w:highlight w:val="none"/>
        </w:rPr>
        <w:t>（3）由乙方自行负责。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6.3</w:t>
      </w:r>
      <w:r>
        <w:rPr>
          <w:rFonts w:hint="eastAsia" w:ascii="宋体" w:hAnsi="宋体" w:cs="宋体"/>
          <w:color w:val="auto"/>
          <w:sz w:val="24"/>
          <w:highlight w:val="none"/>
        </w:rPr>
        <w:t>施工时间安排：上午</w:t>
      </w:r>
      <w:r>
        <w:rPr>
          <w:rFonts w:ascii="宋体" w:hAnsi="宋体" w:cs="宋体"/>
          <w:color w:val="auto"/>
          <w:sz w:val="24"/>
          <w:highlight w:val="none"/>
        </w:rPr>
        <w:t>7</w:t>
      </w:r>
      <w:r>
        <w:rPr>
          <w:rFonts w:hint="eastAsia" w:ascii="宋体" w:hAnsi="宋体" w:cs="宋体"/>
          <w:color w:val="auto"/>
          <w:sz w:val="24"/>
          <w:highlight w:val="none"/>
        </w:rPr>
        <w:t>：</w:t>
      </w:r>
      <w:r>
        <w:rPr>
          <w:rFonts w:ascii="宋体" w:hAnsi="宋体" w:cs="宋体"/>
          <w:color w:val="auto"/>
          <w:sz w:val="24"/>
          <w:highlight w:val="none"/>
        </w:rPr>
        <w:t>00-12</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，下午</w:t>
      </w:r>
      <w:r>
        <w:rPr>
          <w:rFonts w:ascii="宋体" w:hAnsi="宋体" w:cs="宋体"/>
          <w:color w:val="auto"/>
          <w:sz w:val="24"/>
          <w:highlight w:val="none"/>
        </w:rPr>
        <w:t>14</w:t>
      </w:r>
      <w:r>
        <w:rPr>
          <w:rFonts w:hint="eastAsia" w:ascii="宋体" w:hAnsi="宋体" w:cs="宋体"/>
          <w:color w:val="auto"/>
          <w:sz w:val="24"/>
          <w:highlight w:val="none"/>
        </w:rPr>
        <w:t>：</w:t>
      </w:r>
      <w:r>
        <w:rPr>
          <w:rFonts w:ascii="宋体" w:hAnsi="宋体" w:cs="宋体"/>
          <w:color w:val="auto"/>
          <w:sz w:val="24"/>
          <w:highlight w:val="none"/>
        </w:rPr>
        <w:t>00-18</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，施工时间如需变动，以甲方的书面或口头通知为准。</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6.4</w:t>
      </w:r>
      <w:r>
        <w:rPr>
          <w:rFonts w:hint="eastAsia" w:ascii="宋体" w:hAnsi="宋体" w:cs="宋体"/>
          <w:color w:val="auto"/>
          <w:sz w:val="24"/>
          <w:highlight w:val="none"/>
        </w:rPr>
        <w:t>进场施工人员必须严格遵守</w:t>
      </w:r>
      <w:r>
        <w:rPr>
          <w:rFonts w:hint="eastAsia" w:ascii="宋体" w:hAnsi="宋体" w:cs="宋体"/>
          <w:color w:val="auto"/>
          <w:kern w:val="10"/>
          <w:sz w:val="24"/>
          <w:highlight w:val="none"/>
        </w:rPr>
        <w:t>污水处理厂</w:t>
      </w:r>
      <w:r>
        <w:rPr>
          <w:rFonts w:hint="eastAsia" w:ascii="宋体" w:hAnsi="宋体" w:cs="宋体"/>
          <w:color w:val="auto"/>
          <w:sz w:val="24"/>
          <w:highlight w:val="none"/>
        </w:rPr>
        <w:t>一切规章制度。进入施工现场人员必须佩戴出入证，并自觉接受门岗检查。</w:t>
      </w:r>
    </w:p>
    <w:p>
      <w:pPr>
        <w:snapToGrid w:val="0"/>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6.5</w:t>
      </w:r>
      <w:r>
        <w:rPr>
          <w:rFonts w:hint="eastAsia" w:ascii="宋体" w:hAnsi="宋体" w:cs="宋体"/>
          <w:color w:val="auto"/>
          <w:sz w:val="24"/>
          <w:highlight w:val="none"/>
        </w:rPr>
        <w:t>环境保护要求：</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）做好施工噪声、废气、废水等控制；</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）按照国家及广州市相关规定做好建筑垃圾的处理。</w:t>
      </w:r>
    </w:p>
    <w:p>
      <w:pPr>
        <w:snapToGrid w:val="0"/>
        <w:spacing w:line="500" w:lineRule="exact"/>
        <w:ind w:firstLine="480" w:firstLineChars="200"/>
        <w:rPr>
          <w:rFonts w:hAnsi="宋体" w:cs="宋体"/>
          <w:color w:val="auto"/>
          <w:sz w:val="24"/>
          <w:szCs w:val="24"/>
          <w:highlight w:val="none"/>
        </w:rPr>
      </w:pPr>
      <w:r>
        <w:rPr>
          <w:rFonts w:ascii="宋体" w:hAnsi="宋体" w:cs="宋体"/>
          <w:color w:val="auto"/>
          <w:sz w:val="24"/>
          <w:highlight w:val="none"/>
        </w:rPr>
        <w:t>6.6</w:t>
      </w:r>
      <w:r>
        <w:rPr>
          <w:rFonts w:hint="eastAsia" w:ascii="宋体" w:hAnsi="宋体" w:cs="宋体"/>
          <w:color w:val="auto"/>
          <w:sz w:val="24"/>
          <w:highlight w:val="none"/>
        </w:rPr>
        <w:t>按相关法律法规及甲方相关作业施工管理要求执行。</w:t>
      </w:r>
    </w:p>
    <w:p>
      <w:pPr>
        <w:pStyle w:val="13"/>
        <w:spacing w:line="500" w:lineRule="exact"/>
        <w:rPr>
          <w:rFonts w:hAnsi="宋体" w:cs="宋体"/>
          <w:b/>
          <w:bCs/>
          <w:color w:val="auto"/>
          <w:sz w:val="24"/>
          <w:szCs w:val="24"/>
          <w:highlight w:val="none"/>
        </w:rPr>
      </w:pPr>
      <w:r>
        <w:rPr>
          <w:rFonts w:hAnsi="宋体" w:cs="宋体"/>
          <w:color w:val="auto"/>
          <w:sz w:val="24"/>
          <w:szCs w:val="24"/>
          <w:highlight w:val="none"/>
        </w:rPr>
        <w:t xml:space="preserve">    </w:t>
      </w:r>
      <w:r>
        <w:rPr>
          <w:rFonts w:hint="eastAsia" w:hAnsi="宋体" w:cs="宋体"/>
          <w:b/>
          <w:bCs/>
          <w:color w:val="auto"/>
          <w:sz w:val="24"/>
          <w:szCs w:val="24"/>
          <w:highlight w:val="none"/>
        </w:rPr>
        <w:t>第七条</w:t>
      </w:r>
      <w:r>
        <w:rPr>
          <w:rFonts w:hAnsi="宋体" w:cs="宋体"/>
          <w:b/>
          <w:bCs/>
          <w:color w:val="auto"/>
          <w:sz w:val="24"/>
          <w:szCs w:val="24"/>
          <w:highlight w:val="none"/>
        </w:rPr>
        <w:t xml:space="preserve"> </w:t>
      </w:r>
      <w:r>
        <w:rPr>
          <w:rFonts w:hint="eastAsia" w:hAnsi="宋体" w:cs="宋体"/>
          <w:b/>
          <w:bCs/>
          <w:color w:val="auto"/>
          <w:sz w:val="24"/>
          <w:szCs w:val="24"/>
          <w:highlight w:val="none"/>
        </w:rPr>
        <w:t>材料及设备供应</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7.1采购供应的材料、其名称、品种、型号、规格、质量等，均应符合国家、地方及行业有关规范及要求。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7.2</w:t>
      </w:r>
      <w:r>
        <w:rPr>
          <w:rFonts w:hint="eastAsia" w:ascii="宋体" w:hAnsi="宋体" w:cs="宋体"/>
          <w:color w:val="auto"/>
          <w:sz w:val="24"/>
          <w:highlight w:val="none"/>
        </w:rPr>
        <w:t>所有材料必须具备合格证明，并保证产品的有效性。</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7.3</w:t>
      </w:r>
      <w:r>
        <w:rPr>
          <w:rFonts w:hint="eastAsia" w:ascii="宋体" w:hAnsi="宋体" w:cs="宋体"/>
          <w:color w:val="auto"/>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7.4</w:t>
      </w:r>
      <w:r>
        <w:rPr>
          <w:rFonts w:hint="eastAsia" w:ascii="宋体" w:hAnsi="宋体" w:cs="宋体"/>
          <w:color w:val="auto"/>
          <w:sz w:val="24"/>
          <w:highlight w:val="none"/>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color w:val="auto"/>
          <w:sz w:val="24"/>
          <w:highlight w:val="none"/>
        </w:rPr>
      </w:pPr>
      <w:r>
        <w:rPr>
          <w:rFonts w:ascii="宋体" w:hAnsi="宋体" w:cs="宋体"/>
          <w:color w:val="auto"/>
          <w:sz w:val="24"/>
          <w:highlight w:val="none"/>
        </w:rPr>
        <w:t xml:space="preserve">7.5 </w:t>
      </w:r>
      <w:r>
        <w:rPr>
          <w:rFonts w:hint="eastAsia" w:ascii="宋体" w:hAnsi="宋体" w:cs="宋体"/>
          <w:color w:val="auto"/>
          <w:sz w:val="24"/>
          <w:highlight w:val="none"/>
        </w:rPr>
        <w:t>甲方有权对施工质量进行监督、检查或检验，也可自行委托第三方进行质量检验，甲方或第三方的检验结果作为最终的质量评定结果。</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 xml:space="preserve">7.6 </w:t>
      </w:r>
      <w:r>
        <w:rPr>
          <w:rFonts w:hint="eastAsia" w:ascii="宋体" w:hAnsi="宋体" w:cs="宋体"/>
          <w:color w:val="auto"/>
          <w:sz w:val="24"/>
          <w:highlight w:val="none"/>
        </w:rPr>
        <w:t>承包范围之内工程所用之设备，由乙方提供。</w:t>
      </w:r>
    </w:p>
    <w:p>
      <w:pPr>
        <w:spacing w:line="50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第八条</w:t>
      </w:r>
      <w:r>
        <w:rPr>
          <w:rFonts w:ascii="宋体" w:hAnsi="宋体" w:cs="宋体"/>
          <w:b/>
          <w:bCs/>
          <w:color w:val="auto"/>
          <w:sz w:val="24"/>
          <w:highlight w:val="none"/>
        </w:rPr>
        <w:t xml:space="preserve"> </w:t>
      </w:r>
      <w:r>
        <w:rPr>
          <w:rFonts w:hint="eastAsia" w:ascii="宋体" w:hAnsi="宋体" w:cs="宋体"/>
          <w:b/>
          <w:bCs/>
          <w:color w:val="auto"/>
          <w:sz w:val="24"/>
          <w:highlight w:val="none"/>
        </w:rPr>
        <w:t>付</w:t>
      </w:r>
      <w:r>
        <w:rPr>
          <w:rFonts w:hint="eastAsia" w:ascii="宋体" w:hAnsi="宋体" w:cs="宋体"/>
          <w:b/>
          <w:color w:val="auto"/>
          <w:sz w:val="24"/>
          <w:highlight w:val="none"/>
        </w:rPr>
        <w:t>款及履约担保</w:t>
      </w:r>
    </w:p>
    <w:p>
      <w:pPr>
        <w:spacing w:line="500" w:lineRule="exact"/>
        <w:ind w:firstLine="480" w:firstLineChars="200"/>
        <w:rPr>
          <w:rFonts w:ascii="宋体" w:hAnsi="宋体" w:cs="宋体"/>
          <w:bCs/>
          <w:color w:val="auto"/>
          <w:sz w:val="24"/>
          <w:highlight w:val="none"/>
          <w:u w:val="single"/>
        </w:rPr>
      </w:pPr>
      <w:r>
        <w:rPr>
          <w:rFonts w:ascii="宋体" w:hAnsi="宋体" w:cs="宋体"/>
          <w:color w:val="auto"/>
          <w:sz w:val="24"/>
          <w:highlight w:val="none"/>
        </w:rPr>
        <w:t>8.1</w:t>
      </w:r>
      <w:r>
        <w:rPr>
          <w:rFonts w:hint="eastAsia" w:ascii="宋体" w:hAnsi="宋体" w:cs="宋体"/>
          <w:bCs/>
          <w:color w:val="auto"/>
          <w:sz w:val="24"/>
          <w:highlight w:val="none"/>
        </w:rPr>
        <w:t>预付款的支付：</w:t>
      </w:r>
      <w:r>
        <w:rPr>
          <w:rFonts w:ascii="宋体" w:hAnsi="宋体" w:cs="宋体"/>
          <w:b/>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t>□</w:t>
      </w:r>
      <w:r>
        <w:rPr>
          <w:rFonts w:hint="eastAsia" w:ascii="Segoe UI Symbol" w:hAnsi="Segoe UI Symbol" w:cs="Segoe UI Symbol"/>
          <w:bCs/>
          <w:color w:val="auto"/>
          <w:sz w:val="24"/>
          <w:highlight w:val="none"/>
        </w:rPr>
        <w:t>有</w:t>
      </w:r>
      <w:r>
        <w:rPr>
          <w:rFonts w:hint="eastAsia" w:ascii="Segoe UI Symbol" w:hAnsi="Segoe UI Symbol" w:cs="Segoe UI Symbol"/>
          <w:b/>
          <w:color w:val="auto"/>
          <w:sz w:val="24"/>
          <w:highlight w:val="none"/>
        </w:rPr>
        <w:t xml:space="preserve"> </w:t>
      </w:r>
      <w:r>
        <w:rPr>
          <w:rFonts w:hint="eastAsia" w:ascii="宋体" w:hAnsi="宋体" w:cs="宋体"/>
          <w:bCs/>
          <w:color w:val="auto"/>
          <w:sz w:val="24"/>
          <w:highlight w:val="none"/>
        </w:rPr>
        <w:t>合同签订后，乙方开具等额的增值税专用发票及提交履约担保担保（如有）</w:t>
      </w:r>
      <w:r>
        <w:rPr>
          <w:rFonts w:ascii="宋体" w:hAnsi="宋体" w:cs="宋体"/>
          <w:bCs/>
          <w:color w:val="auto"/>
          <w:sz w:val="24"/>
          <w:highlight w:val="none"/>
          <w:u w:val="single"/>
        </w:rPr>
        <w:t xml:space="preserve"> 10 </w:t>
      </w:r>
      <w:r>
        <w:rPr>
          <w:rFonts w:hint="eastAsia" w:ascii="宋体" w:hAnsi="宋体" w:cs="宋体"/>
          <w:bCs/>
          <w:color w:val="auto"/>
          <w:sz w:val="24"/>
          <w:highlight w:val="none"/>
        </w:rPr>
        <w:t>个工作日内，甲方支付合同</w:t>
      </w:r>
      <w:r>
        <w:rPr>
          <w:rFonts w:hint="eastAsia" w:ascii="宋体" w:hAnsi="宋体" w:cs="宋体"/>
          <w:color w:val="auto"/>
          <w:sz w:val="24"/>
          <w:highlight w:val="none"/>
        </w:rPr>
        <w:t>暂定总价</w:t>
      </w:r>
      <w:r>
        <w:rPr>
          <w:rFonts w:hint="eastAsia" w:ascii="宋体" w:hAnsi="宋体" w:cs="宋体"/>
          <w:bCs/>
          <w:color w:val="auto"/>
          <w:sz w:val="24"/>
          <w:highlight w:val="none"/>
        </w:rPr>
        <w:t>的</w:t>
      </w:r>
      <w:r>
        <w:rPr>
          <w:rFonts w:ascii="宋体" w:hAnsi="宋体" w:cs="宋体"/>
          <w:bCs/>
          <w:color w:val="auto"/>
          <w:sz w:val="24"/>
          <w:highlight w:val="none"/>
          <w:u w:val="single"/>
        </w:rPr>
        <w:t>30%</w:t>
      </w:r>
      <w:r>
        <w:rPr>
          <w:rFonts w:hint="eastAsia" w:ascii="宋体" w:hAnsi="宋体" w:cs="宋体"/>
          <w:color w:val="auto"/>
          <w:sz w:val="24"/>
          <w:highlight w:val="none"/>
        </w:rPr>
        <w:t>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w:t>
      </w:r>
      <w:r>
        <w:rPr>
          <w:rFonts w:hint="eastAsia" w:ascii="宋体" w:hAnsi="宋体" w:cs="宋体"/>
          <w:bCs/>
          <w:color w:val="auto"/>
          <w:sz w:val="24"/>
          <w:highlight w:val="none"/>
        </w:rPr>
        <w:t>作为预付款。</w:t>
      </w:r>
      <w:r>
        <w:rPr>
          <w:rFonts w:hint="eastAsia" w:ascii="宋体" w:hAnsi="宋体" w:cs="宋体"/>
          <w:color w:val="auto"/>
          <w:sz w:val="24"/>
          <w:highlight w:val="none"/>
        </w:rPr>
        <w:t>若合同解除或终止，乙方在</w:t>
      </w:r>
      <w:r>
        <w:rPr>
          <w:rFonts w:ascii="宋体" w:hAnsi="宋体" w:cs="宋体"/>
          <w:color w:val="auto"/>
          <w:sz w:val="24"/>
          <w:highlight w:val="none"/>
          <w:u w:val="single"/>
        </w:rPr>
        <w:t xml:space="preserve"> 5 </w:t>
      </w:r>
      <w:r>
        <w:rPr>
          <w:rFonts w:hint="eastAsia" w:ascii="宋体" w:hAnsi="宋体" w:cs="宋体"/>
          <w:color w:val="auto"/>
          <w:sz w:val="24"/>
          <w:highlight w:val="none"/>
        </w:rPr>
        <w:t>个工作日内返还预付款（无息）。</w:t>
      </w:r>
      <w:r>
        <w:rPr>
          <w:rFonts w:hint="eastAsia" w:ascii="宋体" w:hAnsi="宋体" w:cs="宋体"/>
          <w:bCs/>
          <w:color w:val="auto"/>
          <w:kern w:val="0"/>
          <w:sz w:val="24"/>
          <w:highlight w:val="none"/>
        </w:rPr>
        <w:t>逾期未返还，每逾期一天，乙方应按合同暂定总价的</w:t>
      </w:r>
      <w:r>
        <w:rPr>
          <w:rFonts w:hint="eastAsia" w:ascii="宋体" w:hAnsi="宋体" w:cs="宋体"/>
          <w:bCs/>
          <w:color w:val="auto"/>
          <w:kern w:val="0"/>
          <w:sz w:val="24"/>
          <w:highlight w:val="none"/>
          <w:u w:val="single"/>
        </w:rPr>
        <w:t>万分之五</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rPr>
        <w:t>天</w:t>
      </w:r>
      <w:r>
        <w:rPr>
          <w:rFonts w:hint="eastAsia" w:ascii="宋体" w:hAnsi="宋体" w:cs="宋体"/>
          <w:bCs/>
          <w:color w:val="auto"/>
          <w:kern w:val="0"/>
          <w:sz w:val="24"/>
          <w:highlight w:val="none"/>
        </w:rPr>
        <w:t>支付违约金</w:t>
      </w:r>
      <w:r>
        <w:rPr>
          <w:rFonts w:hint="eastAsia" w:ascii="宋体" w:hAnsi="宋体" w:cs="宋体"/>
          <w:color w:val="auto"/>
          <w:sz w:val="24"/>
          <w:highlight w:val="none"/>
        </w:rPr>
        <w:t>。</w:t>
      </w:r>
    </w:p>
    <w:p>
      <w:pPr>
        <w:spacing w:line="384" w:lineRule="auto"/>
        <w:ind w:firstLine="480" w:firstLineChars="200"/>
        <w:rPr>
          <w:rFonts w:hint="eastAsia" w:hAnsi="宋体" w:cs="宋体"/>
          <w:color w:val="auto"/>
          <w:sz w:val="24"/>
          <w:szCs w:val="24"/>
          <w:highlight w:val="none"/>
          <w:u w:val="single"/>
        </w:rPr>
      </w:pPr>
      <w:r>
        <w:rPr>
          <w:rFonts w:hAnsi="宋体" w:cs="宋体"/>
          <w:color w:val="auto"/>
          <w:sz w:val="24"/>
          <w:szCs w:val="24"/>
          <w:highlight w:val="none"/>
        </w:rPr>
        <w:t>8.2</w:t>
      </w:r>
      <w:r>
        <w:rPr>
          <w:rFonts w:hint="eastAsia" w:hAnsi="宋体" w:cs="宋体"/>
          <w:color w:val="auto"/>
          <w:sz w:val="24"/>
          <w:szCs w:val="24"/>
          <w:highlight w:val="none"/>
        </w:rPr>
        <w:t>项目分项验收分项支付，验收合格后，由乙方提交申请支付资料 15 个工作日内，甲方支付至</w:t>
      </w:r>
      <w:r>
        <w:rPr>
          <w:rFonts w:hint="eastAsia" w:hAnsi="宋体" w:cs="宋体"/>
          <w:color w:val="auto"/>
          <w:sz w:val="24"/>
          <w:szCs w:val="24"/>
          <w:highlight w:val="none"/>
          <w:lang w:val="en-US" w:eastAsia="zh-CN"/>
        </w:rPr>
        <w:t>各项目</w:t>
      </w:r>
      <w:r>
        <w:rPr>
          <w:rFonts w:hint="eastAsia" w:hAnsi="宋体" w:cs="宋体"/>
          <w:color w:val="auto"/>
          <w:sz w:val="24"/>
          <w:szCs w:val="24"/>
          <w:highlight w:val="none"/>
        </w:rPr>
        <w:t>合同暂定总价的</w:t>
      </w:r>
      <w:r>
        <w:rPr>
          <w:rFonts w:hint="eastAsia" w:hAnsi="宋体" w:cs="宋体"/>
          <w:color w:val="auto"/>
          <w:sz w:val="24"/>
          <w:szCs w:val="24"/>
          <w:highlight w:val="none"/>
          <w:u w:val="single"/>
          <w:lang w:val="en-US" w:eastAsia="zh-CN"/>
        </w:rPr>
        <w:t>80%</w:t>
      </w:r>
      <w:r>
        <w:rPr>
          <w:rFonts w:hint="eastAsia" w:hAnsi="宋体" w:cs="宋体"/>
          <w:color w:val="auto"/>
          <w:sz w:val="24"/>
          <w:szCs w:val="24"/>
          <w:highlight w:val="none"/>
          <w:u w:val="single"/>
        </w:rPr>
        <w:t>给乙方。</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6"/>
        <w:gridCol w:w="4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项目</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lang w:eastAsia="zh-CN"/>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小写</w:t>
            </w:r>
            <w:r>
              <w:rPr>
                <w:rFonts w:hint="eastAsia" w:ascii="宋体" w:hAnsi="宋体" w:cs="宋体"/>
                <w:b/>
                <w:bCs/>
                <w:color w:val="auto"/>
                <w:sz w:val="24"/>
                <w:highlight w:val="none"/>
                <w:u w:val="none"/>
                <w:lang w:val="en-US" w:eastAsia="zh-CN"/>
              </w:rPr>
              <w:t>/元</w:t>
            </w:r>
            <w:r>
              <w:rPr>
                <w:rFonts w:hint="eastAsia" w:ascii="宋体" w:hAnsi="宋体" w:eastAsia="宋体" w:cs="宋体"/>
                <w:b/>
                <w:bCs/>
                <w:color w:val="auto"/>
                <w:sz w:val="24"/>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pStyle w:val="7"/>
              <w:ind w:firstLine="420" w:firstLineChars="0"/>
              <w:jc w:val="center"/>
              <w:rPr>
                <w:rFonts w:hint="eastAsia" w:asciiTheme="minorEastAsia" w:hAnsiTheme="minorEastAsia" w:eastAsiaTheme="minorEastAsia" w:cstheme="minorEastAsia"/>
                <w:color w:val="auto"/>
                <w:sz w:val="24"/>
                <w:highlight w:val="none"/>
              </w:rPr>
            </w:pPr>
            <w:r>
              <w:rPr>
                <w:rFonts w:hint="eastAsia" w:ascii="仿宋" w:hAnsi="仿宋" w:eastAsia="仿宋" w:cs="仿宋"/>
                <w:color w:val="auto"/>
                <w:sz w:val="24"/>
                <w:szCs w:val="24"/>
                <w:highlight w:val="none"/>
                <w:vertAlign w:val="baseline"/>
                <w:lang w:val="en-US" w:eastAsia="zh-CN"/>
              </w:rPr>
              <w:t>项目一</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pStyle w:val="7"/>
              <w:ind w:firstLine="420" w:firstLineChars="0"/>
              <w:jc w:val="center"/>
              <w:rPr>
                <w:rFonts w:hint="eastAsia" w:asciiTheme="minorEastAsia" w:hAnsiTheme="minorEastAsia" w:eastAsiaTheme="minorEastAsia" w:cstheme="minorEastAsia"/>
                <w:color w:val="auto"/>
                <w:sz w:val="24"/>
                <w:highlight w:val="none"/>
              </w:rPr>
            </w:pPr>
            <w:r>
              <w:rPr>
                <w:rFonts w:hint="eastAsia" w:ascii="仿宋" w:hAnsi="仿宋" w:eastAsia="仿宋" w:cs="仿宋"/>
                <w:color w:val="auto"/>
                <w:sz w:val="24"/>
                <w:szCs w:val="24"/>
                <w:highlight w:val="none"/>
                <w:vertAlign w:val="baseline"/>
                <w:lang w:val="en-US" w:eastAsia="zh-CN"/>
              </w:rPr>
              <w:t>项目二</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pStyle w:val="7"/>
              <w:ind w:firstLine="420" w:firstLineChars="0"/>
              <w:jc w:val="center"/>
              <w:rPr>
                <w:rFonts w:hint="eastAsia" w:ascii="宋体" w:hAnsi="宋体" w:eastAsia="宋体" w:cs="宋体"/>
                <w:b/>
                <w:bCs/>
                <w:color w:val="auto"/>
                <w:sz w:val="24"/>
                <w:highlight w:val="none"/>
                <w:u w:val="none"/>
                <w:vertAlign w:val="baseline"/>
              </w:rPr>
            </w:pPr>
            <w:r>
              <w:rPr>
                <w:rFonts w:hint="eastAsia" w:ascii="仿宋" w:hAnsi="仿宋" w:eastAsia="仿宋" w:cs="仿宋"/>
                <w:color w:val="auto"/>
                <w:sz w:val="24"/>
                <w:szCs w:val="24"/>
                <w:highlight w:val="none"/>
                <w:vertAlign w:val="baseline"/>
                <w:lang w:val="en-US" w:eastAsia="zh-CN"/>
              </w:rPr>
              <w:t>项目三</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pStyle w:val="7"/>
              <w:ind w:firstLine="420" w:firstLineChars="0"/>
              <w:jc w:val="center"/>
              <w:rPr>
                <w:rFonts w:hint="eastAsia" w:asciiTheme="minorEastAsia" w:hAnsiTheme="minorEastAsia" w:eastAsiaTheme="minorEastAsia" w:cstheme="minorEastAsia"/>
                <w:color w:val="auto"/>
                <w:sz w:val="24"/>
                <w:highlight w:val="none"/>
              </w:rPr>
            </w:pPr>
            <w:r>
              <w:rPr>
                <w:rFonts w:hint="eastAsia" w:ascii="仿宋" w:hAnsi="仿宋" w:eastAsia="仿宋" w:cs="仿宋"/>
                <w:color w:val="auto"/>
                <w:sz w:val="24"/>
                <w:szCs w:val="24"/>
                <w:highlight w:val="none"/>
                <w:vertAlign w:val="baseline"/>
                <w:lang w:val="en-US" w:eastAsia="zh-CN"/>
              </w:rPr>
              <w:t>项目四</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pStyle w:val="7"/>
              <w:ind w:firstLine="420" w:firstLineChars="0"/>
              <w:jc w:val="center"/>
              <w:rPr>
                <w:rFonts w:hint="eastAsia" w:asciiTheme="minorEastAsia" w:hAnsiTheme="minorEastAsia" w:eastAsiaTheme="minorEastAsia" w:cstheme="minorEastAsia"/>
                <w:color w:val="auto"/>
                <w:sz w:val="24"/>
                <w:highlight w:val="none"/>
              </w:rPr>
            </w:pPr>
            <w:r>
              <w:rPr>
                <w:rFonts w:hint="eastAsia" w:ascii="仿宋" w:hAnsi="仿宋" w:eastAsia="仿宋" w:cs="仿宋"/>
                <w:color w:val="auto"/>
                <w:sz w:val="24"/>
                <w:szCs w:val="24"/>
                <w:highlight w:val="none"/>
                <w:vertAlign w:val="baseline"/>
                <w:lang w:val="en-US" w:eastAsia="zh-CN"/>
              </w:rPr>
              <w:t>项目五</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pStyle w:val="7"/>
              <w:ind w:firstLine="420" w:firstLineChars="0"/>
              <w:jc w:val="center"/>
              <w:rPr>
                <w:rFonts w:hint="eastAsia" w:ascii="宋体" w:hAnsi="宋体" w:cs="宋体" w:eastAsiaTheme="minorEastAsia"/>
                <w:b/>
                <w:bCs/>
                <w:color w:val="auto"/>
                <w:sz w:val="24"/>
                <w:highlight w:val="none"/>
                <w:u w:val="none"/>
                <w:vertAlign w:val="baseline"/>
              </w:rPr>
            </w:pPr>
            <w:r>
              <w:rPr>
                <w:rFonts w:hint="eastAsia" w:ascii="仿宋" w:hAnsi="仿宋" w:eastAsia="仿宋" w:cs="仿宋"/>
                <w:color w:val="auto"/>
                <w:sz w:val="24"/>
                <w:szCs w:val="24"/>
                <w:highlight w:val="none"/>
                <w:vertAlign w:val="baseline"/>
                <w:lang w:val="en-US" w:eastAsia="zh-CN"/>
              </w:rPr>
              <w:t>项目六</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bl>
    <w:p>
      <w:pPr>
        <w:spacing w:line="384" w:lineRule="auto"/>
        <w:ind w:firstLine="480" w:firstLineChars="200"/>
        <w:rPr>
          <w:rFonts w:hint="eastAsia" w:hAnsi="宋体" w:cs="宋体"/>
          <w:color w:val="auto"/>
          <w:sz w:val="24"/>
          <w:highlight w:val="none"/>
          <w:lang w:eastAsia="zh-CN"/>
        </w:rPr>
      </w:pPr>
    </w:p>
    <w:p>
      <w:pPr>
        <w:spacing w:line="384" w:lineRule="auto"/>
        <w:ind w:firstLine="480" w:firstLineChars="200"/>
        <w:rPr>
          <w:rFonts w:hint="default" w:hAnsi="宋体" w:cs="宋体"/>
          <w:color w:val="auto"/>
          <w:sz w:val="24"/>
          <w:highlight w:val="none"/>
          <w:u w:val="single"/>
          <w:lang w:val="en-US" w:eastAsia="zh-CN"/>
        </w:rPr>
      </w:pPr>
      <w:r>
        <w:rPr>
          <w:rFonts w:hint="eastAsia" w:ascii="宋体" w:hAnsi="宋体" w:eastAsia="宋体" w:cs="宋体"/>
          <w:color w:val="auto"/>
          <w:sz w:val="24"/>
          <w:highlight w:val="none"/>
          <w:lang w:val="en-US" w:eastAsia="zh-CN"/>
        </w:rPr>
        <w:t>给乙方。</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rPr>
        <w:t>项目</w:t>
      </w:r>
      <w:r>
        <w:rPr>
          <w:rFonts w:hint="eastAsia" w:ascii="宋体" w:hAnsi="宋体" w:cs="宋体"/>
          <w:color w:val="auto"/>
          <w:sz w:val="24"/>
          <w:highlight w:val="none"/>
          <w:lang w:val="en-US" w:eastAsia="zh-CN"/>
        </w:rPr>
        <w:t>分项</w:t>
      </w:r>
      <w:r>
        <w:rPr>
          <w:rFonts w:hint="eastAsia" w:ascii="宋体" w:hAnsi="宋体" w:cs="宋体"/>
          <w:color w:val="auto"/>
          <w:sz w:val="24"/>
          <w:highlight w:val="none"/>
        </w:rPr>
        <w:t>验收</w:t>
      </w:r>
      <w:r>
        <w:rPr>
          <w:rFonts w:hint="eastAsia" w:ascii="宋体" w:hAnsi="宋体" w:cs="宋体"/>
          <w:color w:val="auto"/>
          <w:sz w:val="24"/>
          <w:highlight w:val="none"/>
          <w:lang w:val="en-US" w:eastAsia="zh-CN"/>
        </w:rPr>
        <w:t>合格</w:t>
      </w:r>
      <w:r>
        <w:rPr>
          <w:rFonts w:hint="eastAsia" w:ascii="宋体" w:hAnsi="宋体" w:cs="宋体"/>
          <w:color w:val="auto"/>
          <w:sz w:val="24"/>
          <w:highlight w:val="none"/>
        </w:rPr>
        <w:t>后，经甲方或甲方委托有资质第三方机构审核后，由乙方提交申请支付资料</w:t>
      </w:r>
      <w:r>
        <w:rPr>
          <w:rFonts w:hint="eastAsia" w:ascii="宋体" w:hAnsi="宋体" w:cs="宋体"/>
          <w:color w:val="auto"/>
          <w:sz w:val="24"/>
          <w:highlight w:val="none"/>
          <w:u w:val="single"/>
        </w:rPr>
        <w:t>15</w:t>
      </w:r>
      <w:r>
        <w:rPr>
          <w:rFonts w:hint="eastAsia" w:ascii="宋体" w:hAnsi="宋体" w:cs="宋体"/>
          <w:color w:val="auto"/>
          <w:sz w:val="24"/>
          <w:highlight w:val="none"/>
        </w:rPr>
        <w:t>个工作日内，甲方支付至</w:t>
      </w:r>
      <w:r>
        <w:rPr>
          <w:rFonts w:hint="eastAsia" w:ascii="宋体" w:hAnsi="宋体" w:cs="宋体"/>
          <w:color w:val="auto"/>
          <w:sz w:val="24"/>
          <w:highlight w:val="none"/>
          <w:lang w:val="en-US" w:eastAsia="zh-CN"/>
        </w:rPr>
        <w:t>各项目</w:t>
      </w:r>
      <w:r>
        <w:rPr>
          <w:rFonts w:hint="eastAsia" w:ascii="宋体" w:hAnsi="宋体" w:cs="宋体"/>
          <w:color w:val="auto"/>
          <w:sz w:val="24"/>
          <w:highlight w:val="none"/>
        </w:rPr>
        <w:t>合同结算价的</w:t>
      </w: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auto"/>
          <w:sz w:val="24"/>
          <w:highlight w:val="none"/>
        </w:rPr>
      </w:pPr>
      <w:r>
        <w:rPr>
          <w:rFonts w:ascii="宋体" w:hAnsi="宋体" w:cs="宋体"/>
          <w:color w:val="auto"/>
          <w:sz w:val="24"/>
          <w:highlight w:val="none"/>
        </w:rPr>
        <w:t>8.2.</w:t>
      </w:r>
      <w:r>
        <w:rPr>
          <w:rFonts w:hint="eastAsia" w:ascii="宋体" w:hAnsi="宋体" w:cs="宋体"/>
          <w:color w:val="auto"/>
          <w:sz w:val="24"/>
          <w:highlight w:val="none"/>
        </w:rPr>
        <w:t>2</w:t>
      </w:r>
      <w:r>
        <w:rPr>
          <w:rFonts w:hint="eastAsia" w:hAnsi="宋体" w:cs="宋体"/>
          <w:color w:val="auto"/>
          <w:sz w:val="24"/>
          <w:highlight w:val="none"/>
        </w:rPr>
        <w:t>质保期按合同第十条规定执行，质保期满后且乙方不存在违约情形，由乙方提交申请质保金退还资料</w:t>
      </w:r>
      <w:r>
        <w:rPr>
          <w:rFonts w:hAnsi="宋体" w:cs="宋体"/>
          <w:color w:val="auto"/>
          <w:sz w:val="24"/>
          <w:highlight w:val="none"/>
          <w:u w:val="single"/>
        </w:rPr>
        <w:t xml:space="preserve"> 15 </w:t>
      </w:r>
      <w:r>
        <w:rPr>
          <w:rFonts w:hint="eastAsia" w:hAnsi="宋体" w:cs="宋体"/>
          <w:color w:val="auto"/>
          <w:sz w:val="24"/>
          <w:highlight w:val="none"/>
        </w:rPr>
        <w:t>个工作日内，甲方支付</w:t>
      </w:r>
      <w:r>
        <w:rPr>
          <w:rFonts w:hint="eastAsia" w:hAnsi="宋体" w:cs="宋体"/>
          <w:color w:val="auto"/>
          <w:sz w:val="24"/>
          <w:highlight w:val="none"/>
          <w:lang w:val="en-US" w:eastAsia="zh-CN"/>
        </w:rPr>
        <w:t>各项目</w:t>
      </w:r>
      <w:r>
        <w:rPr>
          <w:rFonts w:hint="eastAsia" w:hAnsi="宋体" w:cs="宋体"/>
          <w:color w:val="auto"/>
          <w:sz w:val="24"/>
          <w:highlight w:val="none"/>
        </w:rPr>
        <w:t>合同结算价的</w:t>
      </w:r>
      <w:r>
        <w:rPr>
          <w:rFonts w:hAnsi="宋体" w:cs="宋体"/>
          <w:color w:val="auto"/>
          <w:sz w:val="24"/>
          <w:highlight w:val="none"/>
        </w:rPr>
        <w:t>5</w:t>
      </w:r>
      <w:r>
        <w:rPr>
          <w:rFonts w:hint="eastAsia" w:hAnsi="宋体" w:cs="宋体"/>
          <w:color w:val="auto"/>
          <w:sz w:val="24"/>
          <w:highlight w:val="none"/>
        </w:rPr>
        <w:t>％（质保金）给乙方（无息）。</w:t>
      </w:r>
    </w:p>
    <w:p>
      <w:pPr>
        <w:pStyle w:val="13"/>
        <w:spacing w:line="500" w:lineRule="exact"/>
        <w:ind w:firstLine="480" w:firstLineChars="200"/>
        <w:outlineLvl w:val="1"/>
        <w:rPr>
          <w:rFonts w:hint="eastAsia" w:hAnsi="宋体" w:cs="宋体"/>
          <w:color w:val="auto"/>
          <w:sz w:val="24"/>
          <w:szCs w:val="20"/>
          <w:highlight w:val="none"/>
        </w:rPr>
      </w:pPr>
      <w:r>
        <w:rPr>
          <w:rFonts w:ascii="宋体" w:hAnsi="宋体" w:cs="宋体"/>
          <w:color w:val="auto"/>
          <w:sz w:val="24"/>
          <w:highlight w:val="none"/>
        </w:rPr>
        <w:t>8.2.</w:t>
      </w:r>
      <w:r>
        <w:rPr>
          <w:rFonts w:hint="eastAsia" w:ascii="宋体" w:hAnsi="宋体" w:cs="宋体"/>
          <w:color w:val="auto"/>
          <w:sz w:val="24"/>
          <w:highlight w:val="none"/>
        </w:rPr>
        <w:t>3</w:t>
      </w:r>
      <w:r>
        <w:rPr>
          <w:rFonts w:hint="eastAsia" w:hAnsi="宋体" w:cs="宋体"/>
          <w:color w:val="auto"/>
          <w:sz w:val="24"/>
          <w:highlight w:val="none"/>
        </w:rPr>
        <w:t>本项目工程款的支付单位为：</w:t>
      </w:r>
      <w:r>
        <w:rPr>
          <w:rFonts w:hint="eastAsia" w:hAnsi="宋体" w:cs="宋体"/>
          <w:color w:val="auto"/>
          <w:sz w:val="24"/>
          <w:szCs w:val="24"/>
          <w:highlight w:val="none"/>
          <w:u w:val="single"/>
          <w:lang w:val="en-US" w:eastAsia="zh-CN"/>
        </w:rPr>
        <w:t xml:space="preserve"> 项目所属各分公司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8.4</w:t>
      </w:r>
      <w:r>
        <w:rPr>
          <w:rFonts w:hint="eastAsia" w:ascii="宋体" w:hAnsi="宋体" w:cs="宋体"/>
          <w:color w:val="auto"/>
          <w:sz w:val="24"/>
          <w:highlight w:val="none"/>
        </w:rPr>
        <w:t>乙方在收款前需提交等额增值税专用发票给甲方。增值税专用发票信息：</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名称：广州市净水有限公司</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税号：</w:t>
      </w:r>
      <w:r>
        <w:rPr>
          <w:rFonts w:ascii="宋体" w:hAnsi="宋体" w:cs="宋体"/>
          <w:color w:val="auto"/>
          <w:sz w:val="24"/>
          <w:highlight w:val="none"/>
          <w:u w:val="single"/>
        </w:rPr>
        <w:t>91440101755584729Q</w:t>
      </w:r>
    </w:p>
    <w:p>
      <w:pPr>
        <w:spacing w:line="500" w:lineRule="exact"/>
        <w:ind w:firstLine="960" w:firstLineChars="4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地址及电话：</w:t>
      </w:r>
      <w:r>
        <w:rPr>
          <w:rFonts w:hint="eastAsia" w:asciiTheme="minorEastAsia" w:hAnsiTheme="minorEastAsia" w:eastAsiaTheme="minorEastAsia" w:cstheme="minorEastAsia"/>
          <w:color w:val="auto"/>
          <w:sz w:val="24"/>
          <w:highlight w:val="none"/>
          <w:u w:val="single"/>
        </w:rPr>
        <w:t>广州市天河区临江大道501号 020-38890283</w:t>
      </w:r>
      <w:r>
        <w:rPr>
          <w:rFonts w:hint="eastAsia" w:asciiTheme="minorEastAsia" w:hAnsiTheme="minorEastAsia" w:eastAsiaTheme="minorEastAsia" w:cstheme="minorEastAsia"/>
          <w:color w:val="auto"/>
          <w:sz w:val="24"/>
          <w:highlight w:val="none"/>
        </w:rPr>
        <w:t>；</w:t>
      </w:r>
    </w:p>
    <w:p>
      <w:pPr>
        <w:spacing w:line="500" w:lineRule="exact"/>
        <w:ind w:firstLine="960" w:firstLineChars="400"/>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开户行/账号：</w:t>
      </w:r>
      <w:r>
        <w:rPr>
          <w:rFonts w:hint="eastAsia" w:asciiTheme="minorEastAsia" w:hAnsiTheme="minorEastAsia" w:eastAsiaTheme="minorEastAsia" w:cstheme="minorEastAsia"/>
          <w:color w:val="auto"/>
          <w:sz w:val="24"/>
          <w:highlight w:val="none"/>
          <w:u w:val="single"/>
        </w:rPr>
        <w:t>民生银行广州分行0301014140006932</w:t>
      </w:r>
      <w:r>
        <w:rPr>
          <w:rFonts w:hint="eastAsia" w:asciiTheme="minorEastAsia" w:hAnsiTheme="minorEastAsia" w:eastAsiaTheme="minorEastAsia" w:cstheme="minorEastAsia"/>
          <w:color w:val="auto"/>
          <w:sz w:val="24"/>
          <w:highlight w:val="none"/>
        </w:rPr>
        <w:t>。</w:t>
      </w:r>
      <w:r>
        <w:rPr>
          <w:rFonts w:ascii="宋体" w:hAnsi="宋体" w:cs="宋体"/>
          <w:color w:val="auto"/>
          <w:sz w:val="24"/>
          <w:highlight w:val="none"/>
        </w:rPr>
        <w:t xml:space="preserve">                            </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w:t>
      </w:r>
      <w:r>
        <w:rPr>
          <w:rFonts w:hint="eastAsia" w:ascii="宋体" w:hAnsi="宋体" w:cs="宋体"/>
          <w:color w:val="auto"/>
          <w:sz w:val="24"/>
          <w:highlight w:val="none"/>
        </w:rPr>
        <w:t>履约担保：</w:t>
      </w:r>
      <w:r>
        <w:rPr>
          <w:rFonts w:hint="eastAsia" w:ascii="Segoe UI Symbol" w:hAnsi="Segoe UI Symbol" w:cs="Segoe UI Symbol" w:eastAsiaTheme="minorEastAsia"/>
          <w:b/>
          <w:bCs/>
          <w:color w:val="auto"/>
          <w:sz w:val="24"/>
          <w:highlight w:val="none"/>
        </w:rPr>
        <w:sym w:font="Wingdings 2" w:char="0052"/>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sym w:font="Wingdings 2" w:char="00A3"/>
      </w:r>
      <w:r>
        <w:rPr>
          <w:rFonts w:hint="eastAsia" w:ascii="宋体" w:hAnsi="宋体" w:cs="宋体"/>
          <w:color w:val="auto"/>
          <w:sz w:val="24"/>
          <w:highlight w:val="none"/>
        </w:rPr>
        <w:t>有 本合同签订后</w:t>
      </w:r>
      <w:r>
        <w:rPr>
          <w:rFonts w:ascii="宋体" w:hAnsi="宋体" w:cs="宋体"/>
          <w:color w:val="auto"/>
          <w:sz w:val="24"/>
          <w:highlight w:val="none"/>
        </w:rPr>
        <w:t>10</w:t>
      </w:r>
      <w:r>
        <w:rPr>
          <w:rFonts w:hint="eastAsia" w:ascii="宋体" w:hAnsi="宋体" w:cs="宋体"/>
          <w:color w:val="auto"/>
          <w:sz w:val="24"/>
          <w:highlight w:val="none"/>
        </w:rPr>
        <w:t>日内</w:t>
      </w:r>
      <w:r>
        <w:rPr>
          <w:rFonts w:hint="eastAsia" w:ascii="宋体" w:hAnsi="宋体" w:cs="宋体"/>
          <w:color w:val="auto"/>
          <w:sz w:val="24"/>
          <w:highlight w:val="none"/>
          <w:u w:val="single"/>
        </w:rPr>
        <w:t>以合同暂定总价的</w:t>
      </w:r>
      <w:r>
        <w:rPr>
          <w:rFonts w:ascii="宋体" w:hAnsi="宋体" w:cs="宋体"/>
          <w:color w:val="auto"/>
          <w:sz w:val="24"/>
          <w:highlight w:val="none"/>
          <w:u w:val="single"/>
        </w:rPr>
        <w:t>10%</w:t>
      </w:r>
      <w:r>
        <w:rPr>
          <w:rFonts w:hint="eastAsia" w:ascii="宋体" w:hAnsi="宋体" w:cs="宋体"/>
          <w:color w:val="auto"/>
          <w:sz w:val="24"/>
          <w:highlight w:val="none"/>
          <w:u w:val="single"/>
        </w:rPr>
        <w:t>作为履约保证金，</w:t>
      </w:r>
      <w:r>
        <w:rPr>
          <w:rFonts w:hint="eastAsia" w:ascii="宋体" w:hAnsi="宋体" w:cs="宋体"/>
          <w:color w:val="auto"/>
          <w:sz w:val="24"/>
          <w:highlight w:val="none"/>
        </w:rPr>
        <w:t>金额为：</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），未按时提供的，甲方有权解除合同并要求乙方支付</w:t>
      </w:r>
      <w:r>
        <w:rPr>
          <w:rFonts w:hint="eastAsia" w:ascii="宋体" w:hAnsi="宋体" w:cs="宋体"/>
          <w:color w:val="auto"/>
          <w:sz w:val="24"/>
          <w:highlight w:val="none"/>
          <w:u w:val="single"/>
        </w:rPr>
        <w:t>合同暂定总价</w:t>
      </w:r>
      <w:r>
        <w:rPr>
          <w:rFonts w:ascii="宋体" w:hAnsi="宋体" w:cs="宋体"/>
          <w:color w:val="auto"/>
          <w:sz w:val="24"/>
          <w:highlight w:val="none"/>
          <w:u w:val="single"/>
        </w:rPr>
        <w:t>20%</w:t>
      </w:r>
      <w:r>
        <w:rPr>
          <w:rFonts w:hint="eastAsia" w:ascii="宋体" w:hAnsi="宋体" w:cs="宋体"/>
          <w:color w:val="auto"/>
          <w:sz w:val="24"/>
          <w:highlight w:val="none"/>
        </w:rPr>
        <w:t>作为违约金。</w:t>
      </w:r>
    </w:p>
    <w:p>
      <w:pPr>
        <w:pStyle w:val="22"/>
        <w:spacing w:before="0" w:beforeAutospacing="0" w:after="0" w:afterAutospacing="0" w:line="500" w:lineRule="exact"/>
        <w:ind w:firstLine="480" w:firstLineChars="200"/>
        <w:rPr>
          <w:color w:val="auto"/>
          <w:highlight w:val="none"/>
        </w:rPr>
      </w:pPr>
      <w:r>
        <w:rPr>
          <w:rFonts w:cs="宋体"/>
          <w:color w:val="auto"/>
          <w:highlight w:val="none"/>
        </w:rPr>
        <w:t>8.5.1</w:t>
      </w:r>
      <w:r>
        <w:rPr>
          <w:color w:val="auto"/>
          <w:highlight w:val="none"/>
        </w:rPr>
        <w:t>履约担保</w:t>
      </w:r>
      <w:r>
        <w:rPr>
          <w:rFonts w:hint="eastAsia"/>
          <w:color w:val="auto"/>
          <w:highlight w:val="none"/>
        </w:rPr>
        <w:t>按以下任一种形式提供</w:t>
      </w:r>
      <w:r>
        <w:rPr>
          <w:color w:val="auto"/>
          <w:highlight w:val="none"/>
        </w:rPr>
        <w:t>：</w:t>
      </w:r>
    </w:p>
    <w:p>
      <w:pPr>
        <w:pStyle w:val="22"/>
        <w:spacing w:before="0" w:beforeAutospacing="0" w:after="0" w:afterAutospacing="0" w:line="500" w:lineRule="exact"/>
        <w:ind w:firstLine="480"/>
        <w:rPr>
          <w:color w:val="auto"/>
          <w:highlight w:val="none"/>
        </w:rPr>
      </w:pPr>
      <w:r>
        <w:rPr>
          <w:rFonts w:hint="eastAsia"/>
          <w:color w:val="auto"/>
          <w:highlight w:val="none"/>
        </w:rPr>
        <w:t>（1）符合甲方要求（详见附件保函格式）的银行独立保函，</w:t>
      </w:r>
    </w:p>
    <w:p>
      <w:pPr>
        <w:pStyle w:val="22"/>
        <w:spacing w:before="0" w:beforeAutospacing="0" w:after="0" w:afterAutospacing="0" w:line="500" w:lineRule="exact"/>
        <w:ind w:firstLine="480"/>
        <w:rPr>
          <w:color w:val="auto"/>
          <w:highlight w:val="none"/>
        </w:rPr>
      </w:pPr>
      <w:r>
        <w:rPr>
          <w:rFonts w:hint="eastAsia"/>
          <w:color w:val="auto"/>
          <w:highlight w:val="none"/>
        </w:rPr>
        <w:t>（2）现金转账至甲方以下指定账户：</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户名：广州市净水有限公司</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账号：</w:t>
      </w:r>
      <w:r>
        <w:rPr>
          <w:rFonts w:ascii="宋体" w:hAnsi="宋体" w:cs="宋体"/>
          <w:bCs/>
          <w:color w:val="auto"/>
          <w:sz w:val="24"/>
          <w:highlight w:val="none"/>
        </w:rPr>
        <w:t>82010154900000342</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开户行：浦发银行广州分行</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8.5.2</w:t>
      </w:r>
      <w:r>
        <w:rPr>
          <w:rFonts w:hint="eastAsia" w:ascii="宋体" w:hAnsi="宋体" w:cs="宋体"/>
          <w:color w:val="auto"/>
          <w:sz w:val="24"/>
          <w:highlight w:val="none"/>
        </w:rPr>
        <w:t>履约担保的担保期限和返还</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（1）履约银行保函（或现金履约保证金）的担保期限：从提供履约担保（或转账成功）之日起至合同履行完成。</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（2）履约银行保函在合同履行完成后，由乙方提出申请，甲方在28日内返还，不支付利息。</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（3）延长担保期限。乙方以履约银行保函形式提交履约保证金的，在银行保函到期前，乙方应提前</w:t>
      </w:r>
      <w:r>
        <w:rPr>
          <w:rFonts w:ascii="宋体" w:hAnsi="宋体" w:cs="宋体"/>
          <w:color w:val="auto"/>
          <w:sz w:val="24"/>
          <w:highlight w:val="none"/>
          <w:u w:val="single"/>
        </w:rPr>
        <w:t xml:space="preserve"> 7 </w:t>
      </w:r>
      <w:r>
        <w:rPr>
          <w:rFonts w:hint="eastAsia" w:ascii="宋体" w:hAnsi="宋体" w:cs="宋体"/>
          <w:color w:val="auto"/>
          <w:sz w:val="24"/>
          <w:highlight w:val="none"/>
        </w:rPr>
        <w:t>日向甲方提交新的保函以替换即将到期的保函。如乙方未及时提交的，甲方有权直接要求担保银行支付其担保的全部金额并解除合同。</w:t>
      </w:r>
    </w:p>
    <w:p>
      <w:pPr>
        <w:pStyle w:val="22"/>
        <w:spacing w:before="0" w:beforeAutospacing="0" w:after="0" w:afterAutospacing="0" w:line="500" w:lineRule="exact"/>
        <w:ind w:left="199" w:leftChars="95" w:firstLine="360" w:firstLineChars="150"/>
        <w:rPr>
          <w:rFonts w:cs="宋体"/>
          <w:color w:val="auto"/>
          <w:highlight w:val="none"/>
          <w:u w:val="single"/>
        </w:rPr>
      </w:pPr>
      <w:r>
        <w:rPr>
          <w:rFonts w:hint="eastAsia" w:cs="宋体"/>
          <w:color w:val="auto"/>
          <w:highlight w:val="none"/>
        </w:rPr>
        <w:t>（</w:t>
      </w:r>
      <w:r>
        <w:rPr>
          <w:rFonts w:cs="宋体"/>
          <w:color w:val="auto"/>
          <w:highlight w:val="none"/>
        </w:rPr>
        <w:t>4</w:t>
      </w:r>
      <w:r>
        <w:rPr>
          <w:rFonts w:hint="eastAsia" w:cs="宋体"/>
          <w:color w:val="auto"/>
          <w:highlight w:val="none"/>
        </w:rPr>
        <w:t>）现金履约保证金的退还：合同履行完成后，由乙方提出申请，甲方在</w:t>
      </w:r>
      <w:r>
        <w:rPr>
          <w:rFonts w:hint="eastAsia" w:cs="宋体"/>
          <w:color w:val="auto"/>
          <w:highlight w:val="none"/>
          <w:u w:val="single"/>
        </w:rPr>
        <w:t>28</w:t>
      </w:r>
      <w:r>
        <w:rPr>
          <w:rFonts w:hint="eastAsia" w:cs="宋体"/>
          <w:color w:val="auto"/>
          <w:highlight w:val="none"/>
        </w:rPr>
        <w:t>日内将剩余保证金（无息）返还。</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8.5.3</w:t>
      </w:r>
      <w:r>
        <w:rPr>
          <w:rFonts w:hint="eastAsia" w:ascii="宋体" w:hAnsi="宋体" w:cs="宋体"/>
          <w:color w:val="auto"/>
          <w:sz w:val="24"/>
          <w:highlight w:val="none"/>
        </w:rPr>
        <w:t>甲方按本合同规定提取履约担保金额后，乙方应在收到甲方通知后</w:t>
      </w:r>
      <w:r>
        <w:rPr>
          <w:rFonts w:hint="eastAsia" w:ascii="宋体" w:hAnsi="宋体" w:cs="宋体"/>
          <w:color w:val="auto"/>
          <w:sz w:val="24"/>
          <w:highlight w:val="none"/>
          <w:u w:val="single"/>
        </w:rPr>
        <w:t xml:space="preserve"> 7</w:t>
      </w:r>
      <w:r>
        <w:rPr>
          <w:rFonts w:hint="eastAsia" w:ascii="宋体" w:hAnsi="宋体" w:cs="宋体"/>
          <w:color w:val="auto"/>
          <w:sz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color w:val="auto"/>
          <w:sz w:val="24"/>
          <w:highlight w:val="none"/>
          <w:u w:val="single"/>
          <w:bdr w:val="single" w:color="auto" w:sz="4" w:space="0"/>
        </w:rPr>
      </w:pPr>
      <w:r>
        <w:rPr>
          <w:rFonts w:ascii="宋体" w:hAnsi="宋体" w:cs="宋体"/>
          <w:color w:val="auto"/>
          <w:sz w:val="24"/>
          <w:highlight w:val="none"/>
        </w:rPr>
        <w:t>8.6</w:t>
      </w:r>
      <w:r>
        <w:rPr>
          <w:rFonts w:hint="eastAsia" w:ascii="宋体" w:hAnsi="宋体" w:cs="宋体"/>
          <w:color w:val="auto"/>
          <w:sz w:val="24"/>
          <w:highlight w:val="none"/>
        </w:rPr>
        <w:t>付款方式：</w:t>
      </w:r>
      <w:r>
        <w:rPr>
          <w:rFonts w:hint="eastAsia" w:asciiTheme="minorEastAsia" w:hAnsiTheme="minorEastAsia" w:eastAsiaTheme="minorEastAsia" w:cstheme="minorEastAsia"/>
          <w:color w:val="auto"/>
          <w:sz w:val="24"/>
          <w:highlight w:val="none"/>
        </w:rPr>
        <w:t xml:space="preserve"> </w:t>
      </w:r>
      <w:r>
        <w:rPr>
          <w:rFonts w:ascii="Segoe UI Symbol" w:hAnsi="Segoe UI Symbol" w:cs="Segoe UI Symbol" w:eastAsiaTheme="minorEastAsia"/>
          <w:b/>
          <w:bCs/>
          <w:color w:val="auto"/>
          <w:sz w:val="24"/>
          <w:highlight w:val="none"/>
        </w:rPr>
        <w:t>☑</w:t>
      </w:r>
      <w:r>
        <w:rPr>
          <w:rFonts w:hint="eastAsia" w:asciiTheme="minorEastAsia" w:hAnsiTheme="minorEastAsia" w:eastAsiaTheme="minorEastAsia" w:cstheme="minorEastAsia"/>
          <w:color w:val="auto"/>
          <w:sz w:val="24"/>
          <w:highlight w:val="none"/>
        </w:rPr>
        <w:t xml:space="preserve">网银支付；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 xml:space="preserve">支票；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其他：</w:t>
      </w:r>
      <w:r>
        <w:rPr>
          <w:rFonts w:hint="eastAsia" w:asciiTheme="minorEastAsia" w:hAnsiTheme="minorEastAsia" w:eastAsiaTheme="minorEastAsia" w:cstheme="minorEastAsia"/>
          <w:color w:val="auto"/>
          <w:sz w:val="24"/>
          <w:highlight w:val="none"/>
          <w:u w:val="single"/>
        </w:rPr>
        <w:t xml:space="preserve"> </w:t>
      </w:r>
      <w:r>
        <w:rPr>
          <w:rFonts w:hint="eastAsia" w:ascii="宋体" w:hAnsi="宋体" w:cs="宋体"/>
          <w:color w:val="auto"/>
          <w:sz w:val="24"/>
          <w:highlight w:val="none"/>
          <w:u w:val="single"/>
        </w:rPr>
        <w:t>/</w:t>
      </w:r>
      <w:r>
        <w:rPr>
          <w:rFonts w:hint="eastAsia" w:asciiTheme="minorEastAsia" w:hAnsiTheme="minorEastAsia" w:eastAsiaTheme="minorEastAsia" w:cstheme="minorEastAsia"/>
          <w:bCs/>
          <w:color w:val="auto"/>
          <w:sz w:val="24"/>
          <w:highlight w:val="none"/>
          <w:u w:val="single"/>
          <w:bdr w:val="single" w:color="auto" w:sz="4" w:space="0"/>
        </w:rPr>
        <w:t xml:space="preserve"> </w:t>
      </w:r>
    </w:p>
    <w:p>
      <w:pPr>
        <w:pStyle w:val="13"/>
        <w:spacing w:line="500" w:lineRule="exact"/>
        <w:ind w:firstLine="482" w:firstLineChars="200"/>
        <w:outlineLvl w:val="1"/>
        <w:rPr>
          <w:rFonts w:hAnsi="宋体" w:cs="宋体"/>
          <w:b/>
          <w:bCs/>
          <w:color w:val="auto"/>
          <w:sz w:val="24"/>
          <w:highlight w:val="none"/>
        </w:rPr>
      </w:pPr>
      <w:r>
        <w:rPr>
          <w:rFonts w:hint="eastAsia" w:hAnsi="宋体" w:cs="宋体"/>
          <w:b/>
          <w:bCs/>
          <w:color w:val="auto"/>
          <w:sz w:val="24"/>
          <w:highlight w:val="none"/>
        </w:rPr>
        <w:t>第九条</w:t>
      </w:r>
      <w:r>
        <w:rPr>
          <w:rFonts w:hAnsi="宋体" w:cs="宋体"/>
          <w:b/>
          <w:bCs/>
          <w:color w:val="auto"/>
          <w:sz w:val="24"/>
          <w:highlight w:val="none"/>
        </w:rPr>
        <w:t xml:space="preserve"> </w:t>
      </w:r>
      <w:r>
        <w:rPr>
          <w:rFonts w:hint="eastAsia" w:hAnsi="宋体" w:cs="宋体"/>
          <w:b/>
          <w:bCs/>
          <w:color w:val="auto"/>
          <w:sz w:val="24"/>
          <w:highlight w:val="none"/>
        </w:rPr>
        <w:t>竣工验收</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9.1</w:t>
      </w:r>
      <w:r>
        <w:rPr>
          <w:rFonts w:hint="eastAsia" w:ascii="宋体" w:hAnsi="宋体" w:cs="宋体"/>
          <w:color w:val="auto"/>
          <w:sz w:val="24"/>
          <w:highlight w:val="none"/>
        </w:rPr>
        <w:t>乙方应在工程完工后30天内将经甲方审核的完整竣工资料（含竣工图）和竣工验收报告各</w:t>
      </w:r>
      <w:r>
        <w:rPr>
          <w:rFonts w:hint="eastAsia" w:ascii="宋体" w:hAnsi="宋体" w:cs="宋体"/>
          <w:color w:val="auto"/>
          <w:sz w:val="24"/>
          <w:highlight w:val="none"/>
          <w:u w:val="single"/>
        </w:rPr>
        <w:t>一式肆份</w:t>
      </w:r>
      <w:r>
        <w:rPr>
          <w:rFonts w:hint="eastAsia" w:ascii="宋体" w:hAnsi="宋体" w:cs="宋体"/>
          <w:color w:val="auto"/>
          <w:sz w:val="24"/>
          <w:highlight w:val="none"/>
        </w:rPr>
        <w:t>交甲方，不按时报送工程竣工资料的，每逾期一天，甲方要求乙方支付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，并在支付合同款时抵扣。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9.2</w:t>
      </w:r>
      <w:r>
        <w:rPr>
          <w:rFonts w:hint="eastAsia" w:ascii="宋体" w:hAnsi="宋体" w:cs="宋体"/>
          <w:color w:val="auto"/>
          <w:sz w:val="24"/>
          <w:highlight w:val="none"/>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9.3</w:t>
      </w:r>
      <w:r>
        <w:rPr>
          <w:rFonts w:hint="eastAsia" w:ascii="宋体" w:hAnsi="宋体" w:cs="宋体"/>
          <w:color w:val="auto"/>
          <w:sz w:val="24"/>
          <w:highlight w:val="none"/>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9.4</w:t>
      </w:r>
      <w:r>
        <w:rPr>
          <w:rFonts w:hint="eastAsia" w:ascii="宋体" w:hAnsi="宋体" w:cs="宋体"/>
          <w:color w:val="auto"/>
          <w:sz w:val="24"/>
          <w:highlight w:val="none"/>
        </w:rPr>
        <w:t>竣工档案的整理和移交</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a</w:t>
      </w:r>
      <w:r>
        <w:rPr>
          <w:rFonts w:hint="eastAsia" w:ascii="宋体" w:hAnsi="宋体" w:cs="宋体"/>
          <w:color w:val="auto"/>
          <w:sz w:val="24"/>
          <w:highlight w:val="none"/>
        </w:rPr>
        <w:t>）竣工文件资料、竣工图档案（原件）各一式四份；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b</w:t>
      </w:r>
      <w:r>
        <w:rPr>
          <w:rFonts w:hint="eastAsia" w:ascii="宋体" w:hAnsi="宋体" w:cs="宋体"/>
          <w:color w:val="auto"/>
          <w:sz w:val="24"/>
          <w:highlight w:val="none"/>
        </w:rPr>
        <w:t>）与本款（</w:t>
      </w:r>
      <w:r>
        <w:rPr>
          <w:rFonts w:ascii="宋体" w:hAnsi="宋体" w:cs="宋体"/>
          <w:color w:val="auto"/>
          <w:sz w:val="24"/>
          <w:highlight w:val="none"/>
        </w:rPr>
        <w:t>a</w:t>
      </w:r>
      <w:r>
        <w:rPr>
          <w:rFonts w:hint="eastAsia" w:ascii="宋体" w:hAnsi="宋体" w:cs="宋体"/>
          <w:color w:val="auto"/>
          <w:sz w:val="24"/>
          <w:highlight w:val="none"/>
        </w:rPr>
        <w:t>）项内容相同的电子版档案一式二份；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违约金。</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）电子版竣工图的编制，以甲方提供的电子版施工图为基础。乙方在移交竣工档案时，应一并移交甲方提供的电子版施工图。</w:t>
      </w:r>
    </w:p>
    <w:p>
      <w:pPr>
        <w:spacing w:line="500" w:lineRule="exact"/>
        <w:ind w:firstLine="480"/>
        <w:rPr>
          <w:rFonts w:ascii="宋体" w:hAnsi="宋体" w:cs="宋体"/>
          <w:color w:val="auto"/>
          <w:sz w:val="24"/>
          <w:highlight w:val="none"/>
        </w:rPr>
      </w:pPr>
      <w:r>
        <w:rPr>
          <w:rFonts w:hint="eastAsia" w:ascii="宋体" w:hAnsi="宋体" w:cs="宋体"/>
          <w:color w:val="auto"/>
          <w:sz w:val="24"/>
          <w:highlight w:val="none"/>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hAnsi="宋体" w:cs="宋体"/>
          <w:color w:val="auto"/>
          <w:sz w:val="24"/>
          <w:szCs w:val="20"/>
          <w:highlight w:val="none"/>
        </w:rPr>
      </w:pPr>
      <w:r>
        <w:rPr>
          <w:rFonts w:hint="eastAsia" w:asciiTheme="minorEastAsia" w:hAnsiTheme="minorEastAsia" w:eastAsiaTheme="minorEastAsia" w:cstheme="minorEastAsia"/>
          <w:color w:val="auto"/>
          <w:sz w:val="24"/>
          <w:highlight w:val="none"/>
        </w:rPr>
        <w:t>9.5本合同竣工验收结算单位为：</w:t>
      </w:r>
      <w:r>
        <w:rPr>
          <w:rFonts w:hint="eastAsia" w:hAnsi="宋体" w:cs="宋体"/>
          <w:color w:val="auto"/>
          <w:sz w:val="24"/>
          <w:szCs w:val="24"/>
          <w:highlight w:val="none"/>
          <w:u w:val="single"/>
          <w:lang w:val="en-US" w:eastAsia="zh-CN"/>
        </w:rPr>
        <w:t xml:space="preserve"> 项目所属各分公司 </w:t>
      </w:r>
    </w:p>
    <w:p>
      <w:pPr>
        <w:numPr>
          <w:ilvl w:val="0"/>
          <w:numId w:val="7"/>
        </w:numPr>
        <w:spacing w:before="120" w:after="156" w:afterLines="50"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质量保证</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10.1</w:t>
      </w:r>
      <w:r>
        <w:rPr>
          <w:rFonts w:hint="eastAsia" w:ascii="宋体" w:hAnsi="宋体" w:cs="宋体"/>
          <w:color w:val="auto"/>
          <w:sz w:val="24"/>
          <w:highlight w:val="none"/>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lang w:val="en-US" w:eastAsia="zh-CN"/>
        </w:rPr>
        <w:t>壹</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p>
    <w:p>
      <w:pPr>
        <w:spacing w:line="500" w:lineRule="exact"/>
        <w:ind w:firstLine="420" w:firstLineChars="175"/>
        <w:rPr>
          <w:rFonts w:ascii="宋体" w:hAnsi="宋体" w:cs="宋体"/>
          <w:bCs/>
          <w:color w:val="auto"/>
          <w:sz w:val="24"/>
          <w:highlight w:val="none"/>
        </w:rPr>
      </w:pPr>
      <w:r>
        <w:rPr>
          <w:rFonts w:ascii="宋体" w:hAnsi="宋体" w:cs="宋体"/>
          <w:bCs/>
          <w:color w:val="auto"/>
          <w:sz w:val="24"/>
          <w:highlight w:val="none"/>
        </w:rPr>
        <w:t>10.3</w:t>
      </w:r>
      <w:r>
        <w:rPr>
          <w:rFonts w:hint="eastAsia" w:ascii="宋体" w:hAnsi="宋体" w:cs="宋体"/>
          <w:bCs/>
          <w:color w:val="auto"/>
          <w:sz w:val="24"/>
          <w:highlight w:val="none"/>
        </w:rPr>
        <w: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highlight w:val="none"/>
          <w:u w:val="single"/>
        </w:rPr>
        <w:t>合同暂定总价的10%/次</w:t>
      </w:r>
      <w:r>
        <w:rPr>
          <w:rFonts w:hint="eastAsia" w:ascii="宋体" w:hAnsi="宋体" w:cs="宋体"/>
          <w:bCs/>
          <w:color w:val="auto"/>
          <w:sz w:val="24"/>
          <w:highlight w:val="none"/>
        </w:rPr>
        <w:t>作为违约金。</w:t>
      </w:r>
    </w:p>
    <w:p>
      <w:pPr>
        <w:spacing w:before="156" w:beforeLines="50" w:after="156" w:afterLines="50" w:line="500" w:lineRule="exact"/>
        <w:ind w:firstLine="422" w:firstLineChars="175"/>
        <w:jc w:val="left"/>
        <w:rPr>
          <w:rFonts w:ascii="宋体" w:hAnsi="宋体" w:cs="宋体"/>
          <w:color w:val="auto"/>
          <w:sz w:val="24"/>
          <w:highlight w:val="none"/>
        </w:rPr>
      </w:pPr>
      <w:r>
        <w:rPr>
          <w:rFonts w:hint="eastAsia" w:ascii="宋体" w:hAnsi="宋体" w:cs="宋体"/>
          <w:b/>
          <w:bCs/>
          <w:color w:val="auto"/>
          <w:sz w:val="24"/>
          <w:highlight w:val="none"/>
        </w:rPr>
        <w:t>第十一条</w:t>
      </w:r>
      <w:r>
        <w:rPr>
          <w:rFonts w:ascii="宋体" w:hAnsi="宋体" w:cs="宋体"/>
          <w:b/>
          <w:bCs/>
          <w:color w:val="auto"/>
          <w:sz w:val="24"/>
          <w:highlight w:val="none"/>
        </w:rPr>
        <w:t xml:space="preserve"> </w:t>
      </w:r>
      <w:r>
        <w:rPr>
          <w:rFonts w:hint="eastAsia" w:ascii="宋体" w:hAnsi="宋体" w:cs="宋体"/>
          <w:b/>
          <w:bCs/>
          <w:color w:val="auto"/>
          <w:sz w:val="24"/>
          <w:highlight w:val="none"/>
        </w:rPr>
        <w:t>不可抗力</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11.1 </w:t>
      </w:r>
      <w:r>
        <w:rPr>
          <w:rFonts w:hint="eastAsia" w:ascii="宋体" w:hAnsi="宋体" w:cs="宋体"/>
          <w:bCs/>
          <w:color w:val="auto"/>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11.2 </w:t>
      </w:r>
      <w:r>
        <w:rPr>
          <w:rFonts w:hint="eastAsia" w:ascii="宋体" w:hAnsi="宋体" w:cs="宋体"/>
          <w:bCs/>
          <w:color w:val="auto"/>
          <w:sz w:val="24"/>
          <w:highlight w:val="none"/>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11.3 </w:t>
      </w:r>
      <w:r>
        <w:rPr>
          <w:rFonts w:hint="eastAsia" w:ascii="宋体" w:hAnsi="宋体" w:cs="宋体"/>
          <w:bCs/>
          <w:color w:val="auto"/>
          <w:sz w:val="24"/>
          <w:highlight w:val="none"/>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11.4 </w:t>
      </w:r>
      <w:r>
        <w:rPr>
          <w:rFonts w:hint="eastAsia" w:ascii="宋体" w:hAnsi="宋体" w:cs="宋体"/>
          <w:bCs/>
          <w:color w:val="auto"/>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十二条</w:t>
      </w:r>
      <w:r>
        <w:rPr>
          <w:rFonts w:ascii="宋体" w:hAnsi="宋体" w:cs="宋体"/>
          <w:b/>
          <w:bCs/>
          <w:color w:val="auto"/>
          <w:sz w:val="24"/>
          <w:highlight w:val="none"/>
        </w:rPr>
        <w:t xml:space="preserve"> </w:t>
      </w:r>
      <w:r>
        <w:rPr>
          <w:rFonts w:hint="eastAsia" w:ascii="宋体" w:hAnsi="宋体" w:cs="宋体"/>
          <w:b/>
          <w:bCs/>
          <w:color w:val="auto"/>
          <w:sz w:val="24"/>
          <w:highlight w:val="none"/>
        </w:rPr>
        <w:t>争议解决</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12.1 </w:t>
      </w:r>
      <w:r>
        <w:rPr>
          <w:rFonts w:hint="eastAsia" w:ascii="宋体" w:hAnsi="宋体" w:cs="宋体"/>
          <w:bCs/>
          <w:color w:val="auto"/>
          <w:sz w:val="24"/>
          <w:highlight w:val="none"/>
        </w:rPr>
        <w:t>甲乙双方应通过友好协商，解决在执行本合同所发生的或与本合同有关的一切争议。如协商不能解决争议，任何一方均可依法向甲方所在地人民法院提起诉讼。</w:t>
      </w:r>
    </w:p>
    <w:p>
      <w:pPr>
        <w:spacing w:before="156" w:beforeLines="50" w:after="156" w:afterLines="50" w:line="500" w:lineRule="exact"/>
        <w:ind w:firstLine="482"/>
        <w:jc w:val="left"/>
        <w:rPr>
          <w:rFonts w:ascii="宋体" w:hAnsi="宋体" w:cs="宋体"/>
          <w:bCs/>
          <w:color w:val="auto"/>
          <w:sz w:val="24"/>
          <w:highlight w:val="none"/>
        </w:rPr>
      </w:pPr>
    </w:p>
    <w:p>
      <w:pPr>
        <w:spacing w:line="500" w:lineRule="exact"/>
        <w:ind w:firstLine="482"/>
        <w:jc w:val="left"/>
        <w:rPr>
          <w:rFonts w:ascii="宋体" w:hAnsi="宋体" w:cs="宋体"/>
          <w:b/>
          <w:bCs/>
          <w:color w:val="auto"/>
          <w:sz w:val="24"/>
          <w:highlight w:val="none"/>
        </w:rPr>
      </w:pPr>
      <w:r>
        <w:rPr>
          <w:rFonts w:ascii="宋体" w:hAnsi="宋体" w:cs="宋体"/>
          <w:bCs/>
          <w:color w:val="auto"/>
          <w:sz w:val="24"/>
          <w:highlight w:val="none"/>
        </w:rPr>
        <w:t xml:space="preserve">12.2 </w:t>
      </w:r>
      <w:r>
        <w:rPr>
          <w:rFonts w:hint="eastAsia" w:ascii="宋体" w:hAnsi="宋体" w:cs="宋体"/>
          <w:color w:val="auto"/>
          <w:sz w:val="24"/>
          <w:highlight w:val="none"/>
        </w:rPr>
        <w:t>在甲方同意的情况下，除有争端之外的合同其它部分在争端解决前应继续执行。</w:t>
      </w:r>
    </w:p>
    <w:p>
      <w:pPr>
        <w:spacing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第十三条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合同生效及其他</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13.1</w:t>
      </w:r>
      <w:r>
        <w:rPr>
          <w:rFonts w:hint="eastAsia" w:ascii="宋体" w:hAnsi="宋体" w:cs="宋体"/>
          <w:color w:val="auto"/>
          <w:sz w:val="24"/>
          <w:highlight w:val="none"/>
        </w:rPr>
        <w:t>本合同经双方法定代表人或授权代表签字并加盖双方公章后生效</w:t>
      </w:r>
      <w:r>
        <w:rPr>
          <w:rFonts w:ascii="宋体" w:hAnsi="宋体" w:cs="宋体"/>
          <w:color w:val="auto"/>
          <w:sz w:val="24"/>
          <w:highlight w:val="none"/>
        </w:rPr>
        <w:t>.</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13.2</w:t>
      </w:r>
      <w:r>
        <w:rPr>
          <w:rFonts w:hint="eastAsia" w:ascii="宋体" w:hAnsi="宋体" w:cs="宋体"/>
          <w:color w:val="auto"/>
          <w:sz w:val="24"/>
          <w:highlight w:val="none"/>
        </w:rPr>
        <w:t>本合同正文一式</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份，其中：甲方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份，乙方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壹</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3补充条款：</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pStyle w:val="50"/>
        <w:spacing w:line="500" w:lineRule="exact"/>
        <w:rPr>
          <w:color w:val="auto"/>
          <w:highlight w:val="none"/>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附件：</w:t>
      </w:r>
      <w:r>
        <w:rPr>
          <w:rFonts w:ascii="宋体" w:hAnsi="宋体" w:cs="宋体"/>
          <w:color w:val="auto"/>
          <w:sz w:val="24"/>
          <w:highlight w:val="none"/>
        </w:rPr>
        <w:t>1.</w:t>
      </w:r>
      <w:r>
        <w:rPr>
          <w:rFonts w:hint="eastAsia" w:ascii="宋体" w:hAnsi="宋体" w:cs="宋体"/>
          <w:color w:val="auto"/>
          <w:sz w:val="24"/>
          <w:highlight w:val="none"/>
        </w:rPr>
        <w:t>成交通知书</w:t>
      </w:r>
    </w:p>
    <w:p>
      <w:pPr>
        <w:spacing w:line="500" w:lineRule="exact"/>
        <w:ind w:firstLine="720" w:firstLineChars="3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廉洁协议</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3.营运场所施工安全协议书</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4.防疫管理协议书</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5</w:t>
      </w:r>
      <w:r>
        <w:rPr>
          <w:rFonts w:ascii="宋体" w:hAnsi="宋体" w:cs="宋体"/>
          <w:color w:val="auto"/>
          <w:sz w:val="24"/>
          <w:highlight w:val="none"/>
        </w:rPr>
        <w:t>.</w:t>
      </w:r>
      <w:r>
        <w:rPr>
          <w:rFonts w:hint="eastAsia" w:ascii="宋体" w:hAnsi="宋体" w:cs="宋体"/>
          <w:color w:val="auto"/>
          <w:sz w:val="24"/>
          <w:highlight w:val="none"/>
        </w:rPr>
        <w:t>工程量清单报价</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6</w:t>
      </w:r>
      <w:r>
        <w:rPr>
          <w:rFonts w:ascii="宋体" w:hAnsi="宋体" w:cs="宋体"/>
          <w:color w:val="auto"/>
          <w:sz w:val="24"/>
          <w:highlight w:val="none"/>
        </w:rPr>
        <w:t>.</w:t>
      </w:r>
      <w:r>
        <w:rPr>
          <w:rFonts w:hint="eastAsia" w:ascii="宋体" w:hAnsi="宋体" w:cs="宋体"/>
          <w:color w:val="auto"/>
          <w:sz w:val="24"/>
          <w:highlight w:val="none"/>
        </w:rPr>
        <w:t>项目投入人员架构表</w:t>
      </w:r>
      <w:r>
        <w:rPr>
          <w:rFonts w:hint="eastAsia" w:asciiTheme="minorEastAsia" w:hAnsiTheme="minorEastAsia" w:eastAsiaTheme="minorEastAsia" w:cstheme="minorEastAsia"/>
          <w:color w:val="auto"/>
          <w:sz w:val="24"/>
          <w:highlight w:val="none"/>
        </w:rPr>
        <w:t>/应急救援物资清单</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7.不诚信行为的情形及相应被暂停参与投标活动的处理标准</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营运项目承包单位日常履约考评参照表（安全）</w:t>
      </w:r>
    </w:p>
    <w:p>
      <w:pPr>
        <w:spacing w:line="50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营运项目承包单位综合履约考评表（安全）</w:t>
      </w:r>
    </w:p>
    <w:p>
      <w:pPr>
        <w:pStyle w:val="50"/>
        <w:spacing w:line="500" w:lineRule="exact"/>
        <w:rPr>
          <w:rFonts w:hint="default" w:eastAsia="仿宋_GB2312"/>
          <w:color w:val="auto"/>
          <w:highlight w:val="none"/>
          <w:lang w:val="en-US" w:eastAsia="zh-CN"/>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甲方：广州市净水有限公司（盖章）</w:t>
      </w:r>
      <w:r>
        <w:rPr>
          <w:rFonts w:ascii="宋体" w:hAnsi="宋体" w:cs="宋体"/>
          <w:color w:val="auto"/>
          <w:sz w:val="24"/>
          <w:highlight w:val="none"/>
        </w:rPr>
        <w:t xml:space="preserve"> </w:t>
      </w:r>
      <w:r>
        <w:rPr>
          <w:rFonts w:hint="eastAsia" w:ascii="宋体" w:hAnsi="宋体" w:cs="宋体"/>
          <w:color w:val="auto"/>
          <w:sz w:val="24"/>
          <w:highlight w:val="none"/>
        </w:rPr>
        <w:t xml:space="preserve">    乙方：</w:t>
      </w:r>
      <w:r>
        <w:rPr>
          <w:rFonts w:hint="eastAsia" w:ascii="宋体" w:hAnsi="宋体" w:cs="宋体"/>
          <w:color w:val="auto"/>
          <w:spacing w:val="-11"/>
          <w:sz w:val="24"/>
          <w:highlight w:val="none"/>
          <w:lang w:val="en-US" w:eastAsia="zh-CN"/>
        </w:rPr>
        <w:t xml:space="preserve">      </w:t>
      </w:r>
      <w:r>
        <w:rPr>
          <w:rFonts w:hint="eastAsia" w:ascii="宋体" w:hAnsi="宋体" w:cs="宋体"/>
          <w:color w:val="auto"/>
          <w:sz w:val="24"/>
          <w:highlight w:val="none"/>
        </w:rPr>
        <w:t xml:space="preserve"> （盖章）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法定代表人或</w:t>
      </w:r>
      <w:r>
        <w:rPr>
          <w:rFonts w:ascii="宋体" w:hAnsi="宋体" w:cs="宋体"/>
          <w:color w:val="auto"/>
          <w:sz w:val="24"/>
          <w:highlight w:val="none"/>
        </w:rPr>
        <w:t xml:space="preserve">                         </w:t>
      </w:r>
      <w:r>
        <w:rPr>
          <w:rFonts w:hint="eastAsia" w:ascii="宋体" w:hAnsi="宋体" w:cs="宋体"/>
          <w:color w:val="auto"/>
          <w:sz w:val="24"/>
          <w:highlight w:val="none"/>
        </w:rPr>
        <w:t>法定代表人或</w:t>
      </w:r>
    </w:p>
    <w:p>
      <w:pPr>
        <w:spacing w:line="500" w:lineRule="exact"/>
        <w:rPr>
          <w:rFonts w:ascii="宋体" w:hAnsi="宋体" w:cs="宋体"/>
          <w:color w:val="auto"/>
          <w:sz w:val="24"/>
          <w:highlight w:val="none"/>
        </w:rPr>
      </w:pPr>
      <w:r>
        <w:rPr>
          <w:rFonts w:hint="eastAsia" w:ascii="宋体" w:hAnsi="宋体" w:cs="宋体"/>
          <w:color w:val="auto"/>
          <w:sz w:val="24"/>
          <w:highlight w:val="none"/>
        </w:rPr>
        <w:t>授权代理人：</w:t>
      </w:r>
      <w:r>
        <w:rPr>
          <w:rFonts w:ascii="宋体" w:hAnsi="宋体" w:cs="宋体"/>
          <w:color w:val="auto"/>
          <w:sz w:val="24"/>
          <w:highlight w:val="none"/>
        </w:rPr>
        <w:t xml:space="preserve">                         </w:t>
      </w:r>
      <w:r>
        <w:rPr>
          <w:rFonts w:hint="eastAsia" w:ascii="宋体" w:hAnsi="宋体" w:cs="宋体"/>
          <w:color w:val="auto"/>
          <w:sz w:val="24"/>
          <w:highlight w:val="none"/>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广州市天河区临江大道501号</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color w:val="auto"/>
          <w:sz w:val="24"/>
          <w:highlight w:val="none"/>
        </w:rPr>
      </w:pPr>
      <w:r>
        <w:rPr>
          <w:rFonts w:hint="eastAsia" w:ascii="宋体" w:hAnsi="宋体" w:cs="宋体"/>
          <w:color w:val="auto"/>
          <w:sz w:val="24"/>
          <w:highlight w:val="none"/>
        </w:rPr>
        <w:t>经办人：</w:t>
      </w:r>
      <w:r>
        <w:rPr>
          <w:rFonts w:hint="eastAsia" w:ascii="宋体" w:hAnsi="宋体" w:cs="宋体"/>
          <w:color w:val="auto"/>
          <w:sz w:val="24"/>
          <w:highlight w:val="none"/>
          <w:lang w:val="en-US" w:eastAsia="zh-CN"/>
        </w:rPr>
        <w:t>陈秋彬</w:t>
      </w:r>
      <w:r>
        <w:rPr>
          <w:rFonts w:ascii="宋体" w:hAnsi="宋体" w:cs="宋体"/>
          <w:color w:val="auto"/>
          <w:sz w:val="24"/>
          <w:highlight w:val="none"/>
        </w:rPr>
        <w:t xml:space="preserve">                       </w:t>
      </w:r>
      <w:r>
        <w:rPr>
          <w:rFonts w:hint="eastAsia" w:ascii="宋体" w:hAnsi="宋体" w:cs="宋体"/>
          <w:color w:val="auto"/>
          <w:sz w:val="24"/>
          <w:highlight w:val="none"/>
        </w:rPr>
        <w:t>经办人：</w:t>
      </w:r>
    </w:p>
    <w:p>
      <w:pPr>
        <w:spacing w:line="50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020-38890587</w:t>
      </w:r>
      <w:r>
        <w:rPr>
          <w:rFonts w:ascii="宋体" w:hAnsi="宋体" w:cs="宋体"/>
          <w:color w:val="auto"/>
          <w:sz w:val="24"/>
          <w:highlight w:val="none"/>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 xml:space="preserve">     </w:t>
      </w:r>
    </w:p>
    <w:p>
      <w:pPr>
        <w:spacing w:line="500" w:lineRule="exact"/>
        <w:ind w:left="6360" w:hanging="6360" w:hangingChars="2650"/>
        <w:rPr>
          <w:rFonts w:ascii="宋体" w:hAnsi="宋体" w:cs="宋体"/>
          <w:color w:val="auto"/>
          <w:sz w:val="24"/>
          <w:highlight w:val="none"/>
        </w:rPr>
      </w:pPr>
      <w:r>
        <w:rPr>
          <w:rFonts w:hint="eastAsia" w:ascii="宋体" w:hAnsi="宋体" w:cs="宋体"/>
          <w:color w:val="auto"/>
          <w:sz w:val="24"/>
          <w:highlight w:val="none"/>
        </w:rPr>
        <w:t>传真：</w:t>
      </w:r>
      <w:r>
        <w:rPr>
          <w:rFonts w:ascii="宋体" w:hAnsi="宋体" w:cs="宋体"/>
          <w:color w:val="auto"/>
          <w:sz w:val="24"/>
          <w:highlight w:val="none"/>
        </w:rPr>
        <w:t xml:space="preserve">                               </w:t>
      </w:r>
      <w:r>
        <w:rPr>
          <w:rFonts w:hint="eastAsia" w:ascii="宋体" w:hAnsi="宋体" w:cs="宋体"/>
          <w:color w:val="auto"/>
          <w:sz w:val="24"/>
          <w:highlight w:val="none"/>
        </w:rPr>
        <w:t>传真：</w:t>
      </w:r>
    </w:p>
    <w:p>
      <w:pPr>
        <w:spacing w:line="500" w:lineRule="exact"/>
        <w:ind w:left="6360" w:right="0" w:rightChars="0" w:hanging="6360" w:hangingChars="2650"/>
        <w:rPr>
          <w:rFonts w:hAnsi="宋体"/>
          <w:b/>
          <w:bCs/>
          <w:color w:val="auto"/>
          <w:szCs w:val="21"/>
          <w:highlight w:val="none"/>
        </w:rPr>
      </w:pP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附件1  成交通知书</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ascii="宋体" w:hAnsi="宋体"/>
          <w:color w:val="auto"/>
          <w:sz w:val="24"/>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tabs>
          <w:tab w:val="left" w:pos="4170"/>
        </w:tabs>
        <w:spacing w:line="360" w:lineRule="auto"/>
        <w:rPr>
          <w:rFonts w:ascii="宋体" w:hAnsi="宋体" w:cs="宋体"/>
          <w:b/>
          <w:color w:val="auto"/>
          <w:szCs w:val="21"/>
          <w:highlight w:val="none"/>
        </w:rPr>
      </w:pPr>
      <w:r>
        <w:rPr>
          <w:rFonts w:hint="eastAsia" w:ascii="宋体" w:hAnsi="宋体" w:cs="宋体"/>
          <w:b/>
          <w:color w:val="auto"/>
          <w:szCs w:val="21"/>
          <w:highlight w:val="none"/>
        </w:rPr>
        <w:t>附件3：营运场所施工安全协议书</w:t>
      </w:r>
    </w:p>
    <w:p>
      <w:pPr>
        <w:spacing w:line="360" w:lineRule="auto"/>
        <w:jc w:val="center"/>
        <w:rPr>
          <w:rFonts w:ascii="宋体" w:hAnsi="宋体" w:cs="宋体"/>
          <w:b/>
          <w:bCs/>
          <w:color w:val="auto"/>
          <w:sz w:val="24"/>
          <w:highlight w:val="none"/>
        </w:rPr>
      </w:pP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营运场所施工安全协议书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jc w:val="left"/>
        <w:rPr>
          <w:rStyle w:val="27"/>
          <w:rFonts w:asciiTheme="minorEastAsia" w:hAnsiTheme="minorEastAsia" w:eastAsiaTheme="minorEastAsia"/>
          <w:b w:val="0"/>
          <w:color w:val="auto"/>
          <w:highlight w:val="none"/>
          <w:u w:val="single"/>
        </w:rPr>
      </w:pP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 二、</w:t>
      </w:r>
      <w:r>
        <w:rPr>
          <w:rFonts w:hint="eastAsia" w:asciiTheme="minorEastAsia" w:hAnsiTheme="minorEastAsia" w:eastAsiaTheme="minorEastAsia"/>
          <w:b/>
          <w:color w:val="auto"/>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根据《广州市水务局关于印发广州市水务工程施工和监理企业诚信评价管理办法的通知》（穗水建设〔2</w:t>
      </w:r>
      <w:r>
        <w:rPr>
          <w:rFonts w:asciiTheme="minorEastAsia" w:hAnsiTheme="minorEastAsia" w:eastAsiaTheme="minorEastAsia"/>
          <w:color w:val="auto"/>
          <w:sz w:val="24"/>
          <w:highlight w:val="none"/>
        </w:rPr>
        <w:t>014</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0</w:t>
      </w:r>
      <w:r>
        <w:rPr>
          <w:rFonts w:hint="eastAsia" w:asciiTheme="minorEastAsia" w:hAnsiTheme="minorEastAsia" w:eastAsiaTheme="minorEastAsia"/>
          <w:color w:val="auto"/>
          <w:sz w:val="24"/>
          <w:highlight w:val="none"/>
        </w:rPr>
        <w:t>号）、《市净水公司关于印发施工和监理企业诚信评价工作实施办法的通知》（穗净水〔201</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40</w:t>
      </w:r>
      <w:r>
        <w:rPr>
          <w:rFonts w:hint="eastAsia" w:asciiTheme="minorEastAsia" w:hAnsiTheme="minorEastAsia" w:eastAsiaTheme="minorEastAsia"/>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（三）乙方应在合同签订后</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15</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（十）乙方委托的第三方运输单位或个人，违反本协议的，全部责任均由乙方承担。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40"/>
        <w:spacing w:line="560" w:lineRule="exact"/>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无</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color w:val="auto"/>
          <w:sz w:val="24"/>
          <w:highlight w:val="none"/>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乙方：</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签约代表：</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联系电话：</w:t>
            </w:r>
          </w:p>
          <w:p>
            <w:pPr>
              <w:adjustRightInd w:val="0"/>
              <w:snapToGrid w:val="0"/>
              <w:spacing w:line="560" w:lineRule="exact"/>
              <w:ind w:firstLine="1440" w:firstLineChars="60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附件4：防疫管理协议书</w:t>
      </w:r>
    </w:p>
    <w:p>
      <w:pPr>
        <w:spacing w:line="440" w:lineRule="exact"/>
        <w:jc w:val="center"/>
        <w:rPr>
          <w:rFonts w:ascii="仿宋_GB2312" w:eastAsia="仿宋_GB2312"/>
          <w:b/>
          <w:bCs/>
          <w:color w:val="auto"/>
          <w:sz w:val="28"/>
          <w:szCs w:val="28"/>
          <w:highlight w:val="none"/>
        </w:rPr>
      </w:pPr>
      <w:r>
        <w:rPr>
          <w:rFonts w:hint="eastAsia" w:asciiTheme="minorEastAsia" w:hAnsiTheme="minorEastAsia" w:eastAsiaTheme="minorEastAsia" w:cstheme="minorEastAsia"/>
          <w:b/>
          <w:bCs/>
          <w:color w:val="auto"/>
          <w:sz w:val="28"/>
          <w:szCs w:val="28"/>
          <w:highlight w:val="none"/>
          <w:lang w:val="en-US" w:eastAsia="zh-CN"/>
        </w:rPr>
        <w:t>防疫</w:t>
      </w:r>
      <w:r>
        <w:rPr>
          <w:rFonts w:hint="eastAsia" w:asciiTheme="minorEastAsia" w:hAnsiTheme="minorEastAsia" w:eastAsiaTheme="minorEastAsia" w:cstheme="minorEastAsia"/>
          <w:b/>
          <w:bCs/>
          <w:color w:val="auto"/>
          <w:sz w:val="28"/>
          <w:szCs w:val="28"/>
          <w:highlight w:val="none"/>
        </w:rPr>
        <w:t>管理协议书</w:t>
      </w:r>
    </w:p>
    <w:p>
      <w:pPr>
        <w:spacing w:line="440" w:lineRule="exact"/>
        <w:rPr>
          <w:rFonts w:ascii="仿宋_GB2312" w:hAnsi="宋体" w:eastAsia="仿宋_GB2312"/>
          <w:color w:val="auto"/>
          <w:sz w:val="24"/>
          <w:highlight w:val="none"/>
        </w:rPr>
      </w:pPr>
    </w:p>
    <w:p>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甲方</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广州市净水有限公司</w:t>
      </w:r>
    </w:p>
    <w:p>
      <w:pPr>
        <w:adjustRightInd w:val="0"/>
        <w:snapToGrid w:val="0"/>
        <w:spacing w:line="440" w:lineRule="exact"/>
        <w:ind w:firstLine="480" w:firstLineChars="200"/>
        <w:jc w:val="left"/>
        <w:rPr>
          <w:rStyle w:val="27"/>
          <w:rFonts w:hint="eastAsia" w:asciiTheme="minorEastAsia" w:hAnsiTheme="minorEastAsia" w:eastAsiaTheme="minorEastAsia" w:cstheme="minorEastAsia"/>
          <w:b w:val="0"/>
          <w:color w:val="auto"/>
          <w:sz w:val="24"/>
          <w:szCs w:val="24"/>
          <w:highlight w:val="none"/>
          <w:u w:val="single"/>
        </w:rPr>
      </w:pP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Style w:val="27"/>
          <w:rFonts w:hint="eastAsia" w:asciiTheme="minorEastAsia" w:hAnsiTheme="minorEastAsia" w:eastAsiaTheme="minorEastAsia" w:cstheme="minorEastAsia"/>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p>
    <w:p>
      <w:pPr>
        <w:numPr>
          <w:ilvl w:val="0"/>
          <w:numId w:val="0"/>
        </w:num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一、</w:t>
      </w:r>
      <w:r>
        <w:rPr>
          <w:rFonts w:hint="eastAsia" w:asciiTheme="minorEastAsia" w:hAnsiTheme="minorEastAsia" w:eastAsiaTheme="minorEastAsia" w:cstheme="minorEastAsia"/>
          <w:color w:val="auto"/>
          <w:sz w:val="24"/>
          <w:szCs w:val="24"/>
          <w:highlight w:val="none"/>
        </w:rPr>
        <w:t>本协议与主协议的关系</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本协议作为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的组成部分，与主合同具有同等法律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二、甲方的义务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（一）</w:t>
      </w:r>
      <w:r>
        <w:rPr>
          <w:rFonts w:hint="eastAsia" w:asciiTheme="minorEastAsia" w:hAnsiTheme="minorEastAsia" w:eastAsiaTheme="minorEastAsia" w:cstheme="minorEastAsia"/>
          <w:color w:val="auto"/>
          <w:sz w:val="24"/>
          <w:szCs w:val="24"/>
          <w:highlight w:val="none"/>
          <w:lang w:val="en-US" w:eastAsia="zh-CN"/>
        </w:rPr>
        <w:t>与建设主管部门和属地疫情防控指挥部门形成联防联控机制，建立快速有效的处置工作流程。</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（二）对乙方防控工作的落实情况进行监督。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三、乙方的义务</w:t>
      </w:r>
    </w:p>
    <w:p>
      <w:pPr>
        <w:pStyle w:val="7"/>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（一）开展疫情防控宣传教育，提高</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kern w:val="2"/>
          <w:sz w:val="24"/>
          <w:szCs w:val="24"/>
          <w:highlight w:val="none"/>
          <w:lang w:val="en-US" w:eastAsia="zh-CN" w:bidi="ar-SA"/>
        </w:rPr>
        <w:t>人员自我防护意识，最大限度减少人员暴露和感染的风险。</w:t>
      </w:r>
    </w:p>
    <w:p>
      <w:pPr>
        <w:pStyle w:val="7"/>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SA"/>
        </w:rPr>
        <w:t>（二）</w:t>
      </w:r>
      <w:r>
        <w:rPr>
          <w:rFonts w:hint="eastAsia" w:asciiTheme="minorEastAsia" w:hAnsiTheme="minorEastAsia" w:eastAsiaTheme="minorEastAsia" w:cstheme="minorEastAsia"/>
          <w:color w:val="auto"/>
          <w:sz w:val="24"/>
          <w:szCs w:val="24"/>
          <w:highlight w:val="none"/>
          <w:lang w:val="en-US" w:eastAsia="zh-CN"/>
        </w:rPr>
        <w:t>做好乙方人员防控工作管理，及时提交防疫资料，落实疫情防控备案，必要时需</w:t>
      </w:r>
      <w:r>
        <w:rPr>
          <w:rFonts w:hint="eastAsia" w:asciiTheme="minorEastAsia" w:hAnsiTheme="minorEastAsia" w:eastAsiaTheme="minorEastAsia" w:cstheme="minorEastAsia"/>
          <w:color w:val="auto"/>
          <w:kern w:val="2"/>
          <w:sz w:val="24"/>
          <w:szCs w:val="24"/>
          <w:highlight w:val="none"/>
          <w:lang w:val="en-US" w:eastAsia="zh-CN" w:bidi="ar-SA"/>
        </w:rPr>
        <w:t>编制防控管理工作方案</w:t>
      </w:r>
      <w:r>
        <w:rPr>
          <w:rFonts w:hint="eastAsia" w:asciiTheme="minorEastAsia" w:hAnsiTheme="minorEastAsia" w:eastAsiaTheme="minorEastAsia" w:cstheme="minorEastAsia"/>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（三）乙方人员须按照</w:t>
      </w:r>
      <w:r>
        <w:rPr>
          <w:rFonts w:hint="eastAsia" w:asciiTheme="minorEastAsia" w:hAnsiTheme="minorEastAsia" w:eastAsiaTheme="minorEastAsia" w:cstheme="minorEastAsia"/>
          <w:color w:val="auto"/>
          <w:kern w:val="2"/>
          <w:sz w:val="24"/>
          <w:szCs w:val="24"/>
          <w:highlight w:val="none"/>
          <w:lang w:val="en-US" w:eastAsia="zh-CN" w:bidi="ar-SA"/>
        </w:rPr>
        <w:t>甲方各厂区进厂门岗防控要求</w:t>
      </w:r>
      <w:r>
        <w:rPr>
          <w:rFonts w:hint="eastAsia" w:asciiTheme="minorEastAsia" w:hAnsiTheme="minorEastAsia" w:eastAsiaTheme="minorEastAsia" w:cstheme="minorEastAsia"/>
          <w:color w:val="auto"/>
          <w:sz w:val="24"/>
          <w:szCs w:val="24"/>
          <w:highlight w:val="none"/>
          <w:lang w:val="en-US" w:eastAsia="zh-CN"/>
        </w:rPr>
        <w:t>进行疫苗接种及核酸检测，未满足相关要求的人员甲方有权限制进入厂区。</w:t>
      </w:r>
    </w:p>
    <w:p>
      <w:pPr>
        <w:pStyle w:val="7"/>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（四）建立畅通的信息传输渠道和严格的信息上报机制，出现问题及时采取应急响应措施，迅速妥善处置项目施工场所普通发热病例、可疑病例和突发新冠肺炎疫情，并第一时间报送甲方。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SA"/>
        </w:rPr>
        <w:t>（五）各级政府、有关部门及甲方的其他</w:t>
      </w:r>
      <w:r>
        <w:rPr>
          <w:rFonts w:hint="eastAsia" w:asciiTheme="minorEastAsia" w:hAnsiTheme="minorEastAsia" w:eastAsiaTheme="minorEastAsia" w:cstheme="minorEastAsia"/>
          <w:color w:val="auto"/>
          <w:sz w:val="24"/>
          <w:szCs w:val="24"/>
          <w:highlight w:val="none"/>
          <w:lang w:val="en-US" w:eastAsia="zh-CN"/>
        </w:rPr>
        <w:t>防控要求</w:t>
      </w:r>
      <w:r>
        <w:rPr>
          <w:rFonts w:hint="eastAsia" w:asciiTheme="minorEastAsia" w:hAnsiTheme="minorEastAsia" w:eastAsiaTheme="minorEastAsia" w:cstheme="minorEastAsia"/>
          <w:color w:val="auto"/>
          <w:kern w:val="2"/>
          <w:sz w:val="24"/>
          <w:szCs w:val="24"/>
          <w:highlight w:val="none"/>
          <w:lang w:val="en-US" w:eastAsia="zh-CN" w:bidi="ar-SA"/>
        </w:rPr>
        <w:t>。</w:t>
      </w:r>
    </w:p>
    <w:p>
      <w:pPr>
        <w:numPr>
          <w:ilvl w:val="0"/>
          <w:numId w:val="0"/>
        </w:numPr>
        <w:adjustRightInd w:val="0"/>
        <w:snapToGrid w:val="0"/>
        <w:spacing w:line="440" w:lineRule="exact"/>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四、违约责任</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乙方需按照甲方服务要求执行，未达到疫情防控要求的，需按下列条款执行：</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（一）乙方人员及其密接亲属有重点区域、重点场所旅居史未报备的，每发现一人，从乙方当月服务费中扣500元；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（二）乙方人员未按照甲方要求进行核酸检测的或有瞒报、虚报的，每发现一人，从乙方当月服务费中扣50元；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（三）乙方项目维修施工人员拒不配合甲方疫情防控要求或不满足甲方防疫工作要求的，甲方有权要求乙方3天内更换服务人员。</w:t>
      </w:r>
    </w:p>
    <w:p>
      <w:p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p>
    <w:p>
      <w:pPr>
        <w:pStyle w:val="40"/>
        <w:spacing w:line="4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五</w:t>
      </w:r>
      <w:r>
        <w:rPr>
          <w:rFonts w:hint="eastAsia" w:asciiTheme="minorEastAsia" w:hAnsiTheme="minorEastAsia" w:eastAsiaTheme="minorEastAsia" w:cstheme="minorEastAsia"/>
          <w:color w:val="auto"/>
          <w:sz w:val="24"/>
          <w:szCs w:val="24"/>
          <w:highlight w:val="none"/>
        </w:rPr>
        <w:t>、补充条款：</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w:t>
      </w:r>
    </w:p>
    <w:p>
      <w:p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六</w:t>
      </w:r>
      <w:r>
        <w:rPr>
          <w:rFonts w:hint="eastAsia" w:asciiTheme="minorEastAsia" w:hAnsiTheme="minorEastAsia" w:eastAsiaTheme="minorEastAsia" w:cstheme="minorEastAsia"/>
          <w:color w:val="auto"/>
          <w:sz w:val="24"/>
          <w:szCs w:val="24"/>
          <w:highlight w:val="none"/>
        </w:rPr>
        <w:t>、附则</w:t>
      </w:r>
    </w:p>
    <w:p>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本协议与合同同时签订、同时终止、同时生效，具有相同的法律效力。合同由甲乙双方签字、盖章生效，甲乙双方各</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份。</w:t>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p>
    <w:p>
      <w:pPr>
        <w:adjustRightInd w:val="0"/>
        <w:snapToGrid w:val="0"/>
        <w:spacing w:line="440" w:lineRule="exact"/>
        <w:ind w:left="1330" w:leftChars="5" w:hanging="1320" w:hangingChars="55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val="en-US" w:eastAsia="zh-CN"/>
        </w:rPr>
        <w:t>甲方</w:t>
      </w:r>
      <w:r>
        <w:rPr>
          <w:rFonts w:hint="eastAsia" w:asciiTheme="minorEastAsia" w:hAnsiTheme="minorEastAsia" w:eastAsiaTheme="minorEastAsia" w:cstheme="minorEastAsia"/>
          <w:color w:val="auto"/>
          <w:sz w:val="24"/>
          <w:szCs w:val="24"/>
          <w:highlight w:val="none"/>
        </w:rPr>
        <w:t xml:space="preserve">代表 （章）：                             </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rPr>
        <w:t>代表（章）：                                                           　　              　　　　　　　</w:t>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年 　月　  日　　　　　                 年   月  　日</w:t>
      </w:r>
    </w:p>
    <w:p>
      <w:pPr>
        <w:pStyle w:val="50"/>
        <w:rPr>
          <w:rFonts w:hAnsi="宋体"/>
          <w:b/>
          <w:bCs/>
          <w:color w:val="auto"/>
          <w:szCs w:val="21"/>
          <w:highlight w:val="none"/>
        </w:rPr>
      </w:pP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工程量清单报价</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附件6 ：项目投入人员架构表/应急救援物资清单</w:t>
      </w: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附件7 ：不诚信行为的情形及相应被暂停参与投标活动的处理标准</w:t>
      </w:r>
    </w:p>
    <w:p>
      <w:pPr>
        <w:pStyle w:val="50"/>
        <w:rPr>
          <w:rFonts w:hAnsi="宋体" w:eastAsia="宋体"/>
          <w:color w:val="auto"/>
          <w:szCs w:val="21"/>
          <w:highlight w:val="none"/>
        </w:rPr>
      </w:pPr>
    </w:p>
    <w:p>
      <w:pPr>
        <w:adjustRightInd w:val="0"/>
        <w:snapToGrid w:val="0"/>
        <w:rPr>
          <w:rFonts w:ascii="宋体" w:hAnsi="宋体" w:cs="宋体"/>
          <w:color w:val="auto"/>
          <w:sz w:val="24"/>
          <w:highlight w:val="none"/>
        </w:rPr>
      </w:pPr>
    </w:p>
    <w:p>
      <w:pPr>
        <w:adjustRightInd w:val="0"/>
        <w:snapToGrid w:val="0"/>
        <w:rPr>
          <w:rFonts w:ascii="宋体" w:hAnsi="宋体" w:cs="宋体"/>
          <w:color w:val="auto"/>
          <w:sz w:val="24"/>
          <w:highlight w:val="none"/>
        </w:rPr>
      </w:pPr>
    </w:p>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不诚信行为的情形及相应被暂停参与投标活动的处理标准</w:t>
      </w:r>
    </w:p>
    <w:tbl>
      <w:tblPr>
        <w:tblStyle w:val="24"/>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处理</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（一）建设生产现场发生人员重伤或死亡的。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发生重伤或死亡1～2人的，暂停投标1年至2年（含）。</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发生重伤或死亡3～9人的，暂停投标2年以上至4年。</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发生重伤10人以上（含）、或重大及以上事故的，暂停投标4年或以上。</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大面积运营晚点，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其他不诚信</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（十二）经发包人认定的其他不诚信行为。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bl>
    <w:p>
      <w:pPr>
        <w:contextualSpacing/>
        <w:jc w:val="left"/>
        <w:rPr>
          <w:rFonts w:ascii="宋体" w:hAnsi="宋体" w:cs="仿宋_GB2312"/>
          <w:color w:val="auto"/>
          <w:sz w:val="24"/>
          <w:highlight w:val="none"/>
        </w:rPr>
      </w:pPr>
      <w:r>
        <w:rPr>
          <w:rFonts w:hint="eastAsia" w:ascii="宋体" w:hAnsi="宋体" w:cs="仿宋_GB2312"/>
          <w:color w:val="auto"/>
          <w:sz w:val="24"/>
          <w:highlight w:val="none"/>
        </w:rPr>
        <w:t>备注：本处理标准出自《广州市净水有限公司经营建设项目参建企业不诚信行为管理办法》。</w:t>
      </w:r>
    </w:p>
    <w:p>
      <w:pPr>
        <w:jc w:val="left"/>
        <w:rPr>
          <w:rFonts w:hint="default" w:eastAsia="宋体"/>
          <w:color w:val="auto"/>
          <w:highlight w:val="none"/>
          <w:lang w:val="en-US" w:eastAsia="zh-CN"/>
        </w:rPr>
      </w:pPr>
      <w:r>
        <w:rPr>
          <w:rFonts w:hint="eastAsia"/>
          <w:color w:val="auto"/>
          <w:highlight w:val="none"/>
          <w:lang w:val="en-US" w:eastAsia="zh-CN"/>
        </w:rPr>
        <w:t>附件8</w:t>
      </w:r>
    </w:p>
    <w:tbl>
      <w:tblPr>
        <w:tblStyle w:val="24"/>
        <w:tblpPr w:leftFromText="180" w:rightFromText="180" w:vertAnchor="text" w:horzAnchor="page" w:tblpXSpec="center" w:tblpY="527"/>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
              <w:ind w:firstLine="1126"/>
              <w:rPr>
                <w:rFonts w:hint="default" w:eastAsia="仿宋_GB2312"/>
                <w:color w:val="auto"/>
                <w:highlight w:val="none"/>
                <w:lang w:val="en-US" w:eastAsia="zh-CN"/>
              </w:rPr>
            </w:pPr>
            <w:r>
              <w:rPr>
                <w:rFonts w:hint="eastAsia"/>
                <w:color w:val="auto"/>
                <w:highlight w:val="none"/>
                <w:lang w:val="en-US" w:eastAsia="zh-CN"/>
              </w:rPr>
              <w:t>附件9</w:t>
            </w:r>
          </w:p>
        </w:tc>
      </w:tr>
    </w:tbl>
    <w:p>
      <w:pPr>
        <w:pStyle w:val="2"/>
        <w:ind w:left="0" w:leftChars="0" w:firstLine="0" w:firstLineChars="0"/>
        <w:rPr>
          <w:rFonts w:ascii="宋体" w:hAnsi="宋体" w:cs="宋体"/>
          <w:b/>
          <w:bCs/>
          <w:color w:val="auto"/>
          <w:sz w:val="24"/>
          <w:szCs w:val="24"/>
          <w:highlight w:val="none"/>
        </w:rPr>
      </w:pPr>
    </w:p>
    <w:p>
      <w:pPr>
        <w:pStyle w:val="2"/>
        <w:ind w:left="0" w:leftChars="0" w:firstLine="0" w:firstLineChars="0"/>
        <w:rPr>
          <w:rFonts w:ascii="宋体" w:hAnsi="宋体" w:cs="宋体"/>
          <w:b/>
          <w:bCs/>
          <w:color w:val="auto"/>
          <w:sz w:val="24"/>
          <w:szCs w:val="24"/>
          <w:highlight w:val="none"/>
        </w:rPr>
      </w:pP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
              <w:ind w:firstLine="1126"/>
              <w:rPr>
                <w:color w:val="auto"/>
                <w:highlight w:val="none"/>
              </w:rPr>
            </w:pPr>
          </w:p>
        </w:tc>
      </w:tr>
    </w:tbl>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4"/>
        <w:rPr>
          <w:color w:val="auto"/>
          <w:highlight w:val="none"/>
        </w:rPr>
      </w:pPr>
      <w:bookmarkStart w:id="99" w:name="_Toc30824"/>
      <w:bookmarkStart w:id="100" w:name="_Toc5129"/>
      <w:bookmarkStart w:id="101" w:name="_Toc21847"/>
      <w:bookmarkStart w:id="102" w:name="_Toc12169"/>
      <w:bookmarkStart w:id="103" w:name="_Toc16552"/>
      <w:bookmarkStart w:id="104" w:name="_Toc3723"/>
      <w:bookmarkStart w:id="105" w:name="_Toc28358"/>
      <w:bookmarkStart w:id="106" w:name="_Toc1563"/>
      <w:bookmarkStart w:id="107" w:name="_Toc6230"/>
      <w:bookmarkStart w:id="108" w:name="_Toc8147"/>
      <w:bookmarkStart w:id="109" w:name="_Toc23515"/>
      <w:r>
        <w:rPr>
          <w:color w:val="auto"/>
          <w:highlight w:val="none"/>
        </w:rPr>
        <w:pict>
          <v:shape id="_x0000_s2059" o:spid="_x0000_s2059" o:spt="32" type="#_x0000_t32" style="position:absolute;left:0pt;margin-left:181.6pt;margin-top:56.7pt;height:0pt;width:75.5pt;z-index:251669504;mso-width-relative:page;mso-height-relative:page;" o:connectortype="straight" filled="f" coordsize="21600,21600">
            <v:path arrowok="t"/>
            <v:fill on="f" focussize="0,0"/>
            <v:stroke/>
            <v:imagedata o:title=""/>
            <o:lock v:ext="edit"/>
          </v:shape>
        </w:pict>
      </w:r>
      <w:r>
        <w:rPr>
          <w:color w:val="auto"/>
          <w:highlight w:val="none"/>
        </w:rPr>
        <w:pict>
          <v:shape id="_x0000_s2058" o:spid="_x0000_s2058" o:spt="32" type="#_x0000_t32" style="position:absolute;left:0pt;margin-left:183.1pt;margin-top:21.3pt;height:0pt;width:75.5pt;z-index:251668480;mso-width-relative:page;mso-height-relative:page;" o:connectortype="straight" filled="f" coordsize="21600,21600">
            <v:path arrowok="t"/>
            <v:fill on="f" focussize="0,0"/>
            <v:stroke/>
            <v:imagedata o:title=""/>
            <o:lock v:ext="edit"/>
          </v:shape>
        </w:pict>
      </w:r>
      <w:r>
        <w:rPr>
          <w:rFonts w:hint="eastAsia"/>
          <w:color w:val="auto"/>
          <w:highlight w:val="none"/>
        </w:rPr>
        <w:t>第七章</w:t>
      </w:r>
      <w:bookmarkEnd w:id="99"/>
      <w:bookmarkEnd w:id="100"/>
      <w:bookmarkEnd w:id="101"/>
      <w:bookmarkEnd w:id="102"/>
      <w:bookmarkEnd w:id="103"/>
      <w:bookmarkEnd w:id="104"/>
      <w:bookmarkEnd w:id="105"/>
      <w:bookmarkEnd w:id="106"/>
      <w:bookmarkEnd w:id="107"/>
      <w:bookmarkEnd w:id="108"/>
      <w:bookmarkEnd w:id="109"/>
    </w:p>
    <w:p>
      <w:pPr>
        <w:pStyle w:val="40"/>
        <w:rPr>
          <w:color w:val="auto"/>
          <w:highlight w:val="none"/>
        </w:rPr>
      </w:pPr>
    </w:p>
    <w:p>
      <w:pPr>
        <w:pStyle w:val="4"/>
        <w:rPr>
          <w:color w:val="auto"/>
          <w:highlight w:val="none"/>
        </w:rPr>
      </w:pPr>
      <w:bookmarkStart w:id="110" w:name="_Toc88209951"/>
      <w:bookmarkStart w:id="111" w:name="_Toc17119"/>
      <w:bookmarkStart w:id="112" w:name="_Toc12610"/>
      <w:bookmarkStart w:id="113" w:name="_Toc22764"/>
      <w:bookmarkStart w:id="114" w:name="_Toc31564"/>
      <w:bookmarkStart w:id="115" w:name="_Toc10840"/>
      <w:bookmarkStart w:id="116" w:name="_Toc12769"/>
      <w:bookmarkStart w:id="117" w:name="_Toc24815"/>
      <w:bookmarkStart w:id="118" w:name="_Toc87616388"/>
      <w:bookmarkStart w:id="119" w:name="_Toc30157"/>
      <w:bookmarkStart w:id="120" w:name="_Toc5342"/>
      <w:bookmarkStart w:id="121" w:name="_Toc21675"/>
      <w:bookmarkStart w:id="122" w:name="_Toc24490"/>
      <w:r>
        <w:rPr>
          <w:rFonts w:hint="eastAsia"/>
          <w:color w:val="auto"/>
          <w:highlight w:val="none"/>
        </w:rPr>
        <w:t>响应文件</w:t>
      </w:r>
      <w:r>
        <w:rPr>
          <w:rFonts w:hint="eastAsia"/>
          <w:color w:val="auto"/>
          <w:highlight w:val="none"/>
          <w:lang w:val="en-US" w:eastAsia="zh-CN"/>
        </w:rPr>
        <w:t>格式要求</w:t>
      </w:r>
      <w:bookmarkEnd w:id="110"/>
      <w:bookmarkEnd w:id="111"/>
      <w:bookmarkEnd w:id="112"/>
      <w:bookmarkEnd w:id="113"/>
      <w:bookmarkEnd w:id="114"/>
      <w:bookmarkEnd w:id="115"/>
      <w:bookmarkEnd w:id="116"/>
      <w:bookmarkEnd w:id="117"/>
      <w:bookmarkEnd w:id="118"/>
      <w:bookmarkEnd w:id="119"/>
      <w:bookmarkEnd w:id="120"/>
      <w:bookmarkEnd w:id="121"/>
      <w:bookmarkEnd w:id="122"/>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23" w:name="_Toc87616389"/>
      <w:bookmarkStart w:id="124" w:name="_Toc88209952"/>
      <w:r>
        <w:rPr>
          <w:rFonts w:hint="eastAsia" w:ascii="仿宋_GB2312" w:eastAsia="仿宋_GB2312"/>
          <w:color w:val="auto"/>
          <w:sz w:val="28"/>
          <w:szCs w:val="28"/>
          <w:highlight w:val="none"/>
        </w:rPr>
        <w:t>1.响应函</w:t>
      </w:r>
      <w:bookmarkEnd w:id="123"/>
      <w:bookmarkEnd w:id="124"/>
    </w:p>
    <w:p>
      <w:pPr>
        <w:spacing w:line="600" w:lineRule="exact"/>
        <w:rPr>
          <w:rFonts w:hint="eastAsia" w:ascii="仿宋_GB2312" w:eastAsia="仿宋_GB2312"/>
          <w:color w:val="auto"/>
          <w:sz w:val="28"/>
          <w:szCs w:val="28"/>
          <w:highlight w:val="none"/>
        </w:rPr>
      </w:pPr>
      <w:bookmarkStart w:id="125" w:name="_Toc88209953"/>
      <w:bookmarkStart w:id="126" w:name="_Toc87616390"/>
      <w:r>
        <w:rPr>
          <w:rFonts w:hint="eastAsia" w:ascii="仿宋_GB2312" w:eastAsia="仿宋_GB2312"/>
          <w:color w:val="auto"/>
          <w:sz w:val="28"/>
          <w:szCs w:val="28"/>
          <w:highlight w:val="none"/>
        </w:rPr>
        <w:t>2.法定代表人证明或授权委托书</w:t>
      </w:r>
      <w:bookmarkEnd w:id="125"/>
      <w:bookmarkEnd w:id="126"/>
      <w:bookmarkStart w:id="127" w:name="_Toc87616393"/>
      <w:bookmarkStart w:id="128"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27"/>
      <w:bookmarkEnd w:id="128"/>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6"/>
        <w:rPr>
          <w:rFonts w:asciiTheme="minorEastAsia" w:hAnsiTheme="minorEastAsia" w:eastAsiaTheme="minorEastAsia"/>
          <w:color w:val="auto"/>
          <w:sz w:val="28"/>
          <w:szCs w:val="28"/>
          <w:highlight w:val="none"/>
        </w:rPr>
      </w:pPr>
      <w:bookmarkStart w:id="129" w:name="_Toc87616394"/>
      <w:bookmarkStart w:id="130" w:name="_Toc28619645"/>
      <w:bookmarkStart w:id="131" w:name="_Toc12665"/>
      <w:bookmarkStart w:id="132" w:name="_Toc88209957"/>
      <w:bookmarkStart w:id="133" w:name="_Toc6313"/>
      <w:r>
        <w:rPr>
          <w:rFonts w:hint="eastAsia" w:asciiTheme="minorEastAsia" w:hAnsiTheme="minorEastAsia" w:eastAsiaTheme="minorEastAsia"/>
          <w:color w:val="auto"/>
          <w:sz w:val="28"/>
          <w:szCs w:val="28"/>
          <w:highlight w:val="none"/>
        </w:rPr>
        <w:t>1.响应函</w:t>
      </w:r>
      <w:bookmarkEnd w:id="129"/>
      <w:bookmarkEnd w:id="130"/>
      <w:bookmarkEnd w:id="131"/>
      <w:bookmarkEnd w:id="132"/>
      <w:bookmarkEnd w:id="133"/>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.我方在此声明，所递交的响应文件及有关资料内容完整、真实和准确，且不存在采购公告中供应商不得存在的情形。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34" w:name="_Toc88209958"/>
      <w:bookmarkStart w:id="135" w:name="_Toc87616395"/>
      <w:bookmarkStart w:id="136" w:name="_Toc22527"/>
      <w:bookmarkStart w:id="137" w:name="_Toc29833"/>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34"/>
      <w:bookmarkEnd w:id="135"/>
      <w:bookmarkEnd w:id="136"/>
      <w:bookmarkEnd w:id="137"/>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2"/>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1"/>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w:pict>
          <v:shape id="文本框 2" o:spid="_x0000_s2060" o:spt="202" type="#_x0000_t202" style="position:absolute;left:0pt;margin-left:32pt;margin-top:14.8pt;height:101.4pt;width:297pt;mso-wrap-distance-bottom:0pt;mso-wrap-distance-left:9pt;mso-wrap-distance-right:9pt;mso-wrap-distance-top:0pt;z-index:251670528;mso-width-relative:page;mso-height-relative:page;" coordsize="21600,21600" o:gfxdata="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ZN1XdcAAAAJAQAADwAAAAAAAAABACAAAAAiAAAAZHJzL2Rvd25yZXYueG1sUEsBAhQA&#10;FAAAAAgAh07iQLb6D/osAgAASAQAAA4AAAAAAAAAAQAgAAAAJgEAAGRycy9lMm9Eb2MueG1sUEsF&#10;BgAAAAAGAAYAWQEAAMQFAAAAAA==&#10;">
            <v:path/>
            <v:fill focussize="0,0"/>
            <v:stroke joinstyle="miter"/>
            <v:imagedata o:title=""/>
            <o:lock v:ext="edit"/>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40"/>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w:pict>
          <v:shape id="_x0000_s2061" o:spid="_x0000_s2061" o:spt="202" type="#_x0000_t202" style="position:absolute;left:0pt;margin-left:48.5pt;margin-top:15.75pt;height:101.4pt;width:297pt;mso-wrap-distance-bottom:0pt;mso-wrap-distance-left:9pt;mso-wrap-distance-right:9pt;mso-wrap-distance-top:0pt;z-index:251671552;mso-width-relative:page;mso-height-relative:page;" coordsize="21600,21600" o:gfxdata="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ZN1XdcAAAAJAQAADwAAAAAAAAABACAAAAAiAAAAZHJzL2Rvd25yZXYueG1sUEsBAhQA&#10;FAAAAAgAh07iQLb6D/osAgAASAQAAA4AAAAAAAAAAQAgAAAAJgEAAGRycy9lMm9Eb2MueG1sUEsF&#10;BgAAAAAGAAYAWQEAAMQFAAAAAA==&#10;">
            <v:path/>
            <v:fill focussize="0,0"/>
            <v:stroke joinstyle="miter"/>
            <v:imagedata o:title=""/>
            <o:lock v:ext="edit"/>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38" w:name="_Toc87616400"/>
      <w:bookmarkStart w:id="139" w:name="_Toc19830"/>
      <w:bookmarkStart w:id="140" w:name="_Toc8086"/>
      <w:bookmarkStart w:id="141" w:name="_Toc88209963"/>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38"/>
      <w:bookmarkEnd w:id="139"/>
      <w:bookmarkEnd w:id="140"/>
      <w:bookmarkEnd w:id="141"/>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42"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42"/>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lang w:val="en-GB" w:eastAsia="zh-CN"/>
        </w:rPr>
        <w:t>广州市净水有限公司2022年大沙地、石井净分公司日常维护维修项目（市政工程类）</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
        <w:ind w:firstLine="0"/>
        <w:rPr>
          <w:rFonts w:hint="eastAsia"/>
          <w:color w:val="auto"/>
          <w:highlight w:val="none"/>
          <w:lang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6"/>
        <w:rPr>
          <w:rFonts w:asciiTheme="minorEastAsia" w:hAnsiTheme="minorEastAsia" w:eastAsiaTheme="minorEastAsia"/>
          <w:color w:val="auto"/>
          <w:sz w:val="28"/>
          <w:szCs w:val="28"/>
          <w:highlight w:val="none"/>
        </w:rPr>
      </w:pPr>
      <w:bookmarkStart w:id="143" w:name="_Toc32430"/>
      <w:bookmarkStart w:id="144" w:name="_Toc19423"/>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43"/>
      <w:bookmarkEnd w:id="144"/>
    </w:p>
    <w:p>
      <w:pPr>
        <w:adjustRightInd w:val="0"/>
        <w:snapToGrid w:val="0"/>
        <w:spacing w:line="600" w:lineRule="exact"/>
        <w:ind w:firstLine="57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（1）报价表说明</w:t>
      </w:r>
      <w:bookmarkStart w:id="145" w:name="工程量清单"/>
      <w:bookmarkEnd w:id="145"/>
    </w:p>
    <w:tbl>
      <w:tblPr>
        <w:tblStyle w:val="25"/>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5257"/>
        <w:gridCol w:w="1545"/>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4"/>
            <w:vAlign w:val="center"/>
          </w:tcPr>
          <w:p>
            <w:pPr>
              <w:pStyle w:val="50"/>
              <w:jc w:val="center"/>
              <w:rPr>
                <w:rFonts w:hint="eastAsia" w:hAnsi="宋体" w:eastAsia="宋体" w:cs="宋体"/>
                <w:b/>
                <w:bCs/>
                <w:color w:val="auto"/>
                <w:sz w:val="24"/>
                <w:szCs w:val="24"/>
                <w:highlight w:val="none"/>
                <w:lang w:eastAsia="zh-CN"/>
              </w:rPr>
            </w:pPr>
            <w:r>
              <w:rPr>
                <w:rFonts w:hint="eastAsia" w:hAnsi="宋体" w:eastAsia="宋体" w:cs="宋体"/>
                <w:b/>
                <w:bCs/>
                <w:color w:val="auto"/>
                <w:sz w:val="24"/>
                <w:szCs w:val="24"/>
                <w:highlight w:val="none"/>
                <w:lang w:eastAsia="zh-CN"/>
              </w:rPr>
              <w:t>广州市净水有限公司2022年大沙地、石井净分公司日常维护维修项目（市政工程类）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dxa"/>
            <w:vAlign w:val="center"/>
          </w:tcPr>
          <w:p>
            <w:pPr>
              <w:pStyle w:val="5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5257" w:type="dxa"/>
            <w:vAlign w:val="center"/>
          </w:tcPr>
          <w:p>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1545" w:type="dxa"/>
            <w:vAlign w:val="center"/>
          </w:tcPr>
          <w:p>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项目总价（含税价/元）</w:t>
            </w:r>
          </w:p>
        </w:tc>
        <w:tc>
          <w:tcPr>
            <w:tcW w:w="1621" w:type="dxa"/>
            <w:vAlign w:val="center"/>
          </w:tcPr>
          <w:p>
            <w:pPr>
              <w:pStyle w:val="50"/>
              <w:jc w:val="center"/>
              <w:rPr>
                <w:rFonts w:hint="default" w:ascii="宋体" w:hAnsi="宋体" w:eastAsia="宋体" w:cs="宋体"/>
                <w:b/>
                <w:bCs/>
                <w:color w:val="auto"/>
                <w:sz w:val="24"/>
                <w:szCs w:val="24"/>
                <w:highlight w:val="none"/>
                <w:lang w:val="en-US" w:eastAsia="zh-CN"/>
              </w:rPr>
            </w:pPr>
            <w:r>
              <w:rPr>
                <w:rFonts w:hint="eastAsia" w:hAnsi="宋体" w:eastAsia="宋体" w:cs="宋体"/>
                <w:b/>
                <w:bCs/>
                <w:color w:val="auto"/>
                <w:sz w:val="24"/>
                <w:szCs w:val="24"/>
                <w:highlight w:val="none"/>
                <w:lang w:val="en-US" w:eastAsia="zh-CN"/>
              </w:rPr>
              <w:t>绿色安全措施费（元）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dxa"/>
            <w:shd w:val="clear" w:color="auto" w:fill="auto"/>
            <w:vAlign w:val="center"/>
          </w:tcPr>
          <w:p>
            <w:pPr>
              <w:pStyle w:val="50"/>
              <w:spacing w:line="360" w:lineRule="auto"/>
              <w:jc w:val="center"/>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525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大沙地分公司一期二沉池及进水仪表间巡检道路优化项目</w:t>
            </w:r>
          </w:p>
        </w:tc>
        <w:tc>
          <w:tcPr>
            <w:tcW w:w="1545" w:type="dxa"/>
            <w:vAlign w:val="center"/>
          </w:tcPr>
          <w:p>
            <w:pPr>
              <w:pStyle w:val="50"/>
              <w:jc w:val="center"/>
              <w:rPr>
                <w:rFonts w:hint="eastAsia" w:ascii="宋体" w:hAnsi="宋体" w:eastAsia="宋体" w:cs="宋体"/>
                <w:color w:val="auto"/>
                <w:sz w:val="24"/>
                <w:szCs w:val="24"/>
                <w:highlight w:val="none"/>
              </w:rPr>
            </w:pPr>
          </w:p>
        </w:tc>
        <w:tc>
          <w:tcPr>
            <w:tcW w:w="1621" w:type="dxa"/>
            <w:vAlign w:val="center"/>
          </w:tcPr>
          <w:p>
            <w:pPr>
              <w:pStyle w:val="5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dxa"/>
            <w:shd w:val="clear" w:color="auto" w:fill="auto"/>
            <w:vAlign w:val="center"/>
          </w:tcPr>
          <w:p>
            <w:pPr>
              <w:pStyle w:val="13"/>
              <w:spacing w:line="360" w:lineRule="auto"/>
              <w:jc w:val="center"/>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p>
        </w:tc>
        <w:tc>
          <w:tcPr>
            <w:tcW w:w="525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大沙地分公司二期干化车间吊装口及周边草地排水沟优化项目</w:t>
            </w:r>
          </w:p>
        </w:tc>
        <w:tc>
          <w:tcPr>
            <w:tcW w:w="1545" w:type="dxa"/>
            <w:vAlign w:val="center"/>
          </w:tcPr>
          <w:p>
            <w:pPr>
              <w:pStyle w:val="50"/>
              <w:jc w:val="center"/>
              <w:rPr>
                <w:rFonts w:hint="eastAsia" w:ascii="宋体" w:hAnsi="宋体" w:eastAsia="宋体" w:cs="宋体"/>
                <w:color w:val="auto"/>
                <w:sz w:val="24"/>
                <w:szCs w:val="24"/>
                <w:highlight w:val="none"/>
              </w:rPr>
            </w:pPr>
          </w:p>
        </w:tc>
        <w:tc>
          <w:tcPr>
            <w:tcW w:w="1621" w:type="dxa"/>
            <w:vAlign w:val="center"/>
          </w:tcPr>
          <w:p>
            <w:pPr>
              <w:pStyle w:val="5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dxa"/>
            <w:shd w:val="clear" w:color="auto" w:fill="auto"/>
            <w:vAlign w:val="center"/>
          </w:tcPr>
          <w:p>
            <w:pPr>
              <w:pStyle w:val="1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w:t>
            </w:r>
          </w:p>
        </w:tc>
        <w:tc>
          <w:tcPr>
            <w:tcW w:w="525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2月厂区设备设施完善</w:t>
            </w:r>
          </w:p>
        </w:tc>
        <w:tc>
          <w:tcPr>
            <w:tcW w:w="1545" w:type="dxa"/>
            <w:vAlign w:val="center"/>
          </w:tcPr>
          <w:p>
            <w:pPr>
              <w:pStyle w:val="50"/>
              <w:jc w:val="center"/>
              <w:rPr>
                <w:rFonts w:hint="eastAsia" w:ascii="宋体" w:hAnsi="宋体" w:eastAsia="宋体" w:cs="宋体"/>
                <w:color w:val="auto"/>
                <w:sz w:val="24"/>
                <w:szCs w:val="24"/>
                <w:highlight w:val="none"/>
              </w:rPr>
            </w:pPr>
          </w:p>
        </w:tc>
        <w:tc>
          <w:tcPr>
            <w:tcW w:w="1621" w:type="dxa"/>
            <w:vAlign w:val="center"/>
          </w:tcPr>
          <w:p>
            <w:pPr>
              <w:pStyle w:val="5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w:t>
            </w:r>
          </w:p>
        </w:tc>
        <w:tc>
          <w:tcPr>
            <w:tcW w:w="525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大沙地分公司厂区生化池泥管、绿化草坪自来水管及中水管道维修项目</w:t>
            </w:r>
          </w:p>
        </w:tc>
        <w:tc>
          <w:tcPr>
            <w:tcW w:w="1545" w:type="dxa"/>
            <w:vAlign w:val="center"/>
          </w:tcPr>
          <w:p>
            <w:pPr>
              <w:pStyle w:val="50"/>
              <w:jc w:val="center"/>
              <w:rPr>
                <w:rFonts w:hint="eastAsia" w:ascii="宋体" w:hAnsi="宋体" w:eastAsia="宋体" w:cs="宋体"/>
                <w:color w:val="auto"/>
                <w:sz w:val="24"/>
                <w:szCs w:val="24"/>
                <w:highlight w:val="none"/>
              </w:rPr>
            </w:pPr>
          </w:p>
        </w:tc>
        <w:tc>
          <w:tcPr>
            <w:tcW w:w="1621" w:type="dxa"/>
            <w:vAlign w:val="center"/>
          </w:tcPr>
          <w:p>
            <w:pPr>
              <w:pStyle w:val="5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dxa"/>
            <w:shd w:val="clear" w:color="auto" w:fill="auto"/>
            <w:vAlign w:val="center"/>
          </w:tcPr>
          <w:p>
            <w:pPr>
              <w:pStyle w:val="50"/>
              <w:spacing w:line="360" w:lineRule="auto"/>
              <w:jc w:val="center"/>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5</w:t>
            </w:r>
          </w:p>
        </w:tc>
        <w:tc>
          <w:tcPr>
            <w:tcW w:w="525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石井净水分公司二期南四V型滤池滤头维修项目</w:t>
            </w:r>
          </w:p>
        </w:tc>
        <w:tc>
          <w:tcPr>
            <w:tcW w:w="1545" w:type="dxa"/>
            <w:vAlign w:val="center"/>
          </w:tcPr>
          <w:p>
            <w:pPr>
              <w:pStyle w:val="50"/>
              <w:jc w:val="center"/>
              <w:rPr>
                <w:rFonts w:hint="eastAsia" w:ascii="宋体" w:hAnsi="宋体" w:eastAsia="宋体" w:cs="宋体"/>
                <w:color w:val="auto"/>
                <w:sz w:val="24"/>
                <w:szCs w:val="24"/>
                <w:highlight w:val="none"/>
              </w:rPr>
            </w:pPr>
          </w:p>
        </w:tc>
        <w:tc>
          <w:tcPr>
            <w:tcW w:w="1621" w:type="dxa"/>
            <w:vAlign w:val="center"/>
          </w:tcPr>
          <w:p>
            <w:pPr>
              <w:pStyle w:val="5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dxa"/>
            <w:shd w:val="clear" w:color="auto" w:fill="auto"/>
            <w:vAlign w:val="center"/>
          </w:tcPr>
          <w:p>
            <w:pPr>
              <w:pStyle w:val="13"/>
              <w:spacing w:line="360" w:lineRule="auto"/>
              <w:jc w:val="center"/>
              <w:outlineLvl w:val="1"/>
              <w:rPr>
                <w:rFonts w:hint="eastAsia" w:ascii="宋体" w:hAnsi="宋体" w:eastAsia="宋体" w:cs="宋体"/>
                <w:b/>
                <w:bCs/>
                <w:color w:val="auto"/>
                <w:sz w:val="24"/>
                <w:szCs w:val="24"/>
                <w:highlight w:val="none"/>
                <w:lang w:val="en-US" w:eastAsia="zh-CN"/>
              </w:rPr>
            </w:pPr>
            <w:r>
              <w:rPr>
                <w:rFonts w:hint="eastAsia" w:hAnsi="宋体" w:eastAsia="宋体" w:cs="宋体"/>
                <w:b/>
                <w:bCs/>
                <w:color w:val="auto"/>
                <w:sz w:val="24"/>
                <w:szCs w:val="24"/>
                <w:highlight w:val="none"/>
                <w:lang w:val="en-US" w:eastAsia="zh-CN"/>
              </w:rPr>
              <w:t>6</w:t>
            </w:r>
          </w:p>
        </w:tc>
        <w:tc>
          <w:tcPr>
            <w:tcW w:w="525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石井净分公司2022年V型滤池放空阀优化项目</w:t>
            </w:r>
          </w:p>
        </w:tc>
        <w:tc>
          <w:tcPr>
            <w:tcW w:w="1545" w:type="dxa"/>
            <w:vAlign w:val="center"/>
          </w:tcPr>
          <w:p>
            <w:pPr>
              <w:pStyle w:val="50"/>
              <w:jc w:val="center"/>
              <w:rPr>
                <w:rFonts w:hint="eastAsia" w:ascii="宋体" w:hAnsi="宋体" w:eastAsia="宋体" w:cs="宋体"/>
                <w:color w:val="auto"/>
                <w:sz w:val="24"/>
                <w:szCs w:val="24"/>
                <w:highlight w:val="none"/>
              </w:rPr>
            </w:pPr>
          </w:p>
        </w:tc>
        <w:tc>
          <w:tcPr>
            <w:tcW w:w="1621" w:type="dxa"/>
            <w:vAlign w:val="center"/>
          </w:tcPr>
          <w:p>
            <w:pPr>
              <w:pStyle w:val="5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7" w:type="dxa"/>
            <w:shd w:val="clear" w:color="auto" w:fill="auto"/>
            <w:vAlign w:val="center"/>
          </w:tcPr>
          <w:p>
            <w:pPr>
              <w:pStyle w:val="13"/>
              <w:spacing w:line="360" w:lineRule="auto"/>
              <w:jc w:val="center"/>
              <w:outlineLvl w:val="1"/>
              <w:rPr>
                <w:rFonts w:hint="eastAsia" w:ascii="宋体" w:hAnsi="宋体" w:eastAsia="宋体" w:cs="宋体"/>
                <w:b/>
                <w:bCs/>
                <w:color w:val="auto"/>
                <w:sz w:val="24"/>
                <w:szCs w:val="24"/>
                <w:highlight w:val="none"/>
              </w:rPr>
            </w:pPr>
          </w:p>
        </w:tc>
        <w:tc>
          <w:tcPr>
            <w:tcW w:w="5257" w:type="dxa"/>
            <w:shd w:val="clear" w:color="auto" w:fill="auto"/>
            <w:vAlign w:val="center"/>
          </w:tcPr>
          <w:p>
            <w:pPr>
              <w:pStyle w:val="13"/>
              <w:spacing w:line="360" w:lineRule="auto"/>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合计</w:t>
            </w:r>
          </w:p>
        </w:tc>
        <w:tc>
          <w:tcPr>
            <w:tcW w:w="1545" w:type="dxa"/>
            <w:vAlign w:val="center"/>
          </w:tcPr>
          <w:p>
            <w:pPr>
              <w:pStyle w:val="50"/>
              <w:jc w:val="center"/>
              <w:rPr>
                <w:rFonts w:hint="eastAsia" w:ascii="宋体" w:hAnsi="宋体" w:eastAsia="宋体" w:cs="宋体"/>
                <w:color w:val="auto"/>
                <w:sz w:val="24"/>
                <w:szCs w:val="24"/>
                <w:highlight w:val="none"/>
              </w:rPr>
            </w:pPr>
          </w:p>
        </w:tc>
        <w:tc>
          <w:tcPr>
            <w:tcW w:w="1621" w:type="dxa"/>
            <w:vAlign w:val="center"/>
          </w:tcPr>
          <w:p>
            <w:pPr>
              <w:pStyle w:val="50"/>
              <w:jc w:val="center"/>
              <w:rPr>
                <w:rFonts w:hint="eastAsia" w:ascii="宋体" w:hAnsi="宋体" w:eastAsia="宋体" w:cs="宋体"/>
                <w:color w:val="auto"/>
                <w:sz w:val="24"/>
                <w:szCs w:val="24"/>
                <w:highlight w:val="none"/>
              </w:rPr>
            </w:pPr>
          </w:p>
        </w:tc>
      </w:tr>
    </w:tbl>
    <w:p>
      <w:pPr>
        <w:pStyle w:val="10"/>
        <w:rPr>
          <w:color w:val="auto"/>
          <w:highlight w:val="none"/>
        </w:rPr>
      </w:pPr>
    </w:p>
    <w:p>
      <w:pPr>
        <w:adjustRightInd w:val="0"/>
        <w:snapToGrid w:val="0"/>
        <w:spacing w:line="300" w:lineRule="auto"/>
        <w:rPr>
          <w:rFonts w:hint="eastAsia" w:ascii="仿宋" w:hAnsi="仿宋" w:eastAsia="仿宋" w:cs="仿宋_GB2312"/>
          <w:b/>
          <w:color w:val="auto"/>
          <w:sz w:val="28"/>
          <w:szCs w:val="28"/>
          <w:highlight w:val="none"/>
        </w:rPr>
      </w:pPr>
    </w:p>
    <w:p>
      <w:pPr>
        <w:adjustRightInd w:val="0"/>
        <w:snapToGrid w:val="0"/>
        <w:spacing w:line="300" w:lineRule="auto"/>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一</w:t>
      </w:r>
      <w:r>
        <w:rPr>
          <w:rFonts w:hint="eastAsia" w:ascii="仿宋" w:hAnsi="仿宋" w:eastAsia="仿宋" w:cs="仿宋_GB2312"/>
          <w:b/>
          <w:color w:val="auto"/>
          <w:sz w:val="28"/>
          <w:szCs w:val="28"/>
          <w:highlight w:val="none"/>
        </w:rPr>
        <w:t>：</w:t>
      </w:r>
    </w:p>
    <w:p>
      <w:pPr>
        <w:pStyle w:val="13"/>
        <w:numPr>
          <w:ilvl w:val="0"/>
          <w:numId w:val="0"/>
        </w:numPr>
        <w:adjustRightInd w:val="0"/>
        <w:snapToGrid w:val="0"/>
        <w:spacing w:line="360" w:lineRule="auto"/>
        <w:ind w:firstLine="562"/>
        <w:rPr>
          <w:rFonts w:hint="default" w:ascii="仿宋_GB2312" w:hAnsi="仿宋_GB2312" w:eastAsia="仿宋_GB2312" w:cs="仿宋_GB2312"/>
          <w:b/>
          <w:bCs/>
          <w:color w:val="auto"/>
          <w:kern w:val="0"/>
          <w:sz w:val="28"/>
          <w:szCs w:val="20"/>
          <w:highlight w:val="none"/>
          <w:lang w:val="en-US" w:eastAsia="zh-CN" w:bidi="ar-SA"/>
        </w:rPr>
      </w:pPr>
    </w:p>
    <w:tbl>
      <w:tblPr>
        <w:tblStyle w:val="24"/>
        <w:tblW w:w="101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24"/>
        <w:gridCol w:w="4645"/>
        <w:gridCol w:w="74"/>
        <w:gridCol w:w="1768"/>
        <w:gridCol w:w="612"/>
        <w:gridCol w:w="1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8" w:hRule="atLeast"/>
          <w:jc w:val="center"/>
        </w:trPr>
        <w:tc>
          <w:tcPr>
            <w:tcW w:w="10140" w:type="dxa"/>
            <w:gridSpan w:val="6"/>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单位工程预算汇总表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6" w:hRule="atLeast"/>
          <w:jc w:val="center"/>
        </w:trPr>
        <w:tc>
          <w:tcPr>
            <w:tcW w:w="5843"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w:t>
            </w:r>
            <w:r>
              <w:rPr>
                <w:rFonts w:hint="eastAsia" w:ascii="宋体" w:hAnsi="宋体" w:eastAsia="宋体" w:cs="宋体"/>
                <w:i w:val="0"/>
                <w:color w:val="auto"/>
                <w:sz w:val="20"/>
                <w:szCs w:val="20"/>
                <w:highlight w:val="none"/>
                <w:u w:val="none"/>
              </w:rPr>
              <w:t>大沙地分公司一期二沉池及进水仪表间巡检道路优化项目</w:t>
            </w:r>
          </w:p>
        </w:tc>
        <w:tc>
          <w:tcPr>
            <w:tcW w:w="1768" w:type="dxa"/>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529"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2" w:hRule="atLeast"/>
          <w:jc w:val="center"/>
        </w:trPr>
        <w:tc>
          <w:tcPr>
            <w:tcW w:w="1124"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464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2454" w:type="dxa"/>
            <w:gridSpan w:val="3"/>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917"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3" w:hRule="atLeast"/>
          <w:jc w:val="center"/>
        </w:trPr>
        <w:tc>
          <w:tcPr>
            <w:tcW w:w="112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46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2454"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6" w:hRule="atLeast"/>
          <w:jc w:val="center"/>
        </w:trPr>
        <w:tc>
          <w:tcPr>
            <w:tcW w:w="5769" w:type="dxa"/>
            <w:gridSpan w:val="2"/>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预算价合计=1+2+3+5</w:t>
            </w:r>
          </w:p>
        </w:tc>
        <w:tc>
          <w:tcPr>
            <w:tcW w:w="2454" w:type="dxa"/>
            <w:gridSpan w:val="3"/>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17"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bl>
    <w:p>
      <w:pPr>
        <w:pStyle w:val="50"/>
        <w:jc w:val="center"/>
        <w:rPr>
          <w:rFonts w:ascii="宋体" w:hAnsi="宋体" w:cs="宋体"/>
          <w:b/>
          <w:bCs/>
          <w:color w:val="auto"/>
          <w:szCs w:val="21"/>
          <w:highlight w:val="none"/>
        </w:rPr>
      </w:pPr>
    </w:p>
    <w:p>
      <w:pPr>
        <w:pStyle w:val="50"/>
        <w:rPr>
          <w:rFonts w:ascii="宋体" w:hAnsi="宋体" w:cs="宋体"/>
          <w:b/>
          <w:bCs/>
          <w:color w:val="auto"/>
          <w:szCs w:val="21"/>
          <w:highlight w:val="none"/>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35"/>
        <w:gridCol w:w="1560"/>
        <w:gridCol w:w="1275"/>
        <w:gridCol w:w="2430"/>
        <w:gridCol w:w="255"/>
        <w:gridCol w:w="510"/>
        <w:gridCol w:w="900"/>
        <w:gridCol w:w="150"/>
        <w:gridCol w:w="810"/>
        <w:gridCol w:w="96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jc w:val="center"/>
        </w:trPr>
        <w:tc>
          <w:tcPr>
            <w:tcW w:w="10410" w:type="dxa"/>
            <w:gridSpan w:val="11"/>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6000" w:type="dxa"/>
            <w:gridSpan w:val="4"/>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工程名称：大沙地分公司一期二沉池及进水仪表间巡检道路优化项目</w:t>
            </w:r>
          </w:p>
        </w:tc>
        <w:tc>
          <w:tcPr>
            <w:tcW w:w="1815" w:type="dxa"/>
            <w:gridSpan w:val="4"/>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595"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68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2745" w:type="dxa"/>
            <w:gridSpan w:val="4"/>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68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68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1.铺设一期二沉池骑马井区域巡检道路</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场地平整</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1.铺设区域划线、草地整理</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场地换土</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1.场地换土（种植土）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2.平均厚度10cm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嵌草砖(格)铺装</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1.铺设植草砖路（300*300*80圆孔植草砖）</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余方弃置</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1.土方、杂草人工装自卸汽车运 运距(km):20</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2.铺设一期进水仪表间等区域巡检道路</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场地平整</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1.铺设区域划线、草地整理</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68</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场地换土</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1.场地换土（种植土）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2.平均厚度10cm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6.8</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嵌草砖(格)铺装</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1.铺设植草砖路（300*300*80圆孔植草砖）</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68</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余方弃置</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1.土方、杂草人工装自卸汽车运 运距(km):20</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6.8</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8625" w:type="dxa"/>
            <w:gridSpan w:val="9"/>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8625" w:type="dxa"/>
            <w:gridSpan w:val="9"/>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960"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jc w:val="center"/>
        </w:trPr>
        <w:tc>
          <w:tcPr>
            <w:tcW w:w="10410" w:type="dxa"/>
            <w:gridSpan w:val="11"/>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jc w:val="center"/>
        </w:trPr>
        <w:tc>
          <w:tcPr>
            <w:tcW w:w="6000" w:type="dxa"/>
            <w:gridSpan w:val="4"/>
            <w:tcBorders>
              <w:top w:val="nil"/>
              <w:left w:val="nil"/>
              <w:bottom w:val="nil"/>
              <w:right w:val="nil"/>
            </w:tcBorders>
            <w:shd w:val="clear" w:color="FFFFFF" w:fill="FFFFFF"/>
            <w:noWrap w:val="0"/>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1815" w:type="dxa"/>
            <w:gridSpan w:val="4"/>
            <w:tcBorders>
              <w:top w:val="nil"/>
              <w:left w:val="nil"/>
              <w:bottom w:val="nil"/>
              <w:right w:val="nil"/>
            </w:tcBorders>
            <w:shd w:val="clear" w:color="FFFFFF" w:fill="FFFFFF"/>
            <w:noWrap w:val="0"/>
            <w:tcMar>
              <w:top w:w="15" w:type="dxa"/>
              <w:left w:w="15" w:type="dxa"/>
              <w:right w:w="15" w:type="dxa"/>
            </w:tcMar>
            <w:vAlign w:val="top"/>
          </w:tcPr>
          <w:p>
            <w:pPr>
              <w:jc w:val="left"/>
              <w:rPr>
                <w:rFonts w:hint="eastAsia" w:ascii="宋体" w:hAnsi="宋体" w:eastAsia="宋体" w:cs="宋体"/>
                <w:i w:val="0"/>
                <w:color w:val="auto"/>
                <w:sz w:val="18"/>
                <w:szCs w:val="18"/>
                <w:highlight w:val="none"/>
                <w:u w:val="single"/>
              </w:rPr>
            </w:pPr>
          </w:p>
        </w:tc>
        <w:tc>
          <w:tcPr>
            <w:tcW w:w="2595" w:type="dxa"/>
            <w:gridSpan w:val="3"/>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表—08</w:t>
            </w:r>
          </w:p>
        </w:tc>
      </w:tr>
    </w:tbl>
    <w:p>
      <w:pPr>
        <w:pStyle w:val="50"/>
        <w:rPr>
          <w:rFonts w:ascii="宋体" w:hAnsi="宋体" w:cs="宋体"/>
          <w:b/>
          <w:bCs/>
          <w:color w:val="auto"/>
          <w:szCs w:val="21"/>
          <w:highlight w:val="none"/>
        </w:rPr>
      </w:pPr>
    </w:p>
    <w:p>
      <w:pPr>
        <w:pStyle w:val="50"/>
        <w:rPr>
          <w:rFonts w:ascii="宋体" w:hAnsi="宋体" w:cs="宋体"/>
          <w:b/>
          <w:bCs/>
          <w:color w:val="auto"/>
          <w:szCs w:val="21"/>
          <w:highlight w:val="none"/>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90"/>
        <w:gridCol w:w="1350"/>
        <w:gridCol w:w="1725"/>
        <w:gridCol w:w="1380"/>
        <w:gridCol w:w="780"/>
        <w:gridCol w:w="75"/>
        <w:gridCol w:w="1110"/>
        <w:gridCol w:w="930"/>
        <w:gridCol w:w="165"/>
        <w:gridCol w:w="1095"/>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jc w:val="center"/>
        </w:trPr>
        <w:tc>
          <w:tcPr>
            <w:tcW w:w="10410" w:type="dxa"/>
            <w:gridSpan w:val="11"/>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jc w:val="center"/>
        </w:trPr>
        <w:tc>
          <w:tcPr>
            <w:tcW w:w="6000" w:type="dxa"/>
            <w:gridSpan w:val="6"/>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工程名称：大沙地分公司一期二沉池及进水仪表间巡检道路优化项目</w:t>
            </w:r>
          </w:p>
        </w:tc>
        <w:tc>
          <w:tcPr>
            <w:tcW w:w="2040"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370"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690"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72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38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78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1185"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1095"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费率(%)</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金额(元)</w:t>
            </w:r>
          </w:p>
        </w:tc>
        <w:tc>
          <w:tcPr>
            <w:tcW w:w="1110"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394.28</w:t>
            </w: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以分部分项的人工费与施工机具费之和为计算基础；市级文明工地0.61%；省级文明工地1.20%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赶工措施费=（1-δ）*分部分项的（人工费+施工机具费）*0.58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反季节栽植影响措施</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5925" w:type="dxa"/>
            <w:gridSpan w:val="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1185"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394.28</w:t>
            </w:r>
          </w:p>
        </w:tc>
        <w:tc>
          <w:tcPr>
            <w:tcW w:w="1095"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10"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6000" w:type="dxa"/>
            <w:gridSpan w:val="6"/>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4410" w:type="dxa"/>
            <w:gridSpan w:val="5"/>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6000" w:type="dxa"/>
            <w:gridSpan w:val="6"/>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2040" w:type="dxa"/>
            <w:gridSpan w:val="2"/>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2370" w:type="dxa"/>
            <w:gridSpan w:val="3"/>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bl>
    <w:p>
      <w:pPr>
        <w:pStyle w:val="50"/>
        <w:rPr>
          <w:rFonts w:ascii="宋体" w:hAnsi="宋体" w:cs="宋体"/>
          <w:b/>
          <w:bCs/>
          <w:color w:val="auto"/>
          <w:szCs w:val="21"/>
          <w:highlight w:val="none"/>
        </w:rPr>
      </w:pPr>
    </w:p>
    <w:p>
      <w:pPr>
        <w:pStyle w:val="50"/>
        <w:rPr>
          <w:rFonts w:ascii="宋体" w:hAnsi="宋体" w:cs="宋体"/>
          <w:b/>
          <w:bCs/>
          <w:color w:val="auto"/>
          <w:szCs w:val="21"/>
          <w:highlight w:val="none"/>
        </w:rPr>
      </w:pPr>
    </w:p>
    <w:p>
      <w:pPr>
        <w:pStyle w:val="50"/>
        <w:rPr>
          <w:rFonts w:ascii="宋体" w:hAnsi="宋体" w:cs="宋体"/>
          <w:b/>
          <w:bCs/>
          <w:color w:val="auto"/>
          <w:szCs w:val="21"/>
          <w:highlight w:val="none"/>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15"/>
        <w:gridCol w:w="2415"/>
        <w:gridCol w:w="2670"/>
        <w:gridCol w:w="195"/>
        <w:gridCol w:w="1605"/>
        <w:gridCol w:w="15"/>
        <w:gridCol w:w="10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jc w:val="center"/>
        </w:trPr>
        <w:tc>
          <w:tcPr>
            <w:tcW w:w="10410" w:type="dxa"/>
            <w:gridSpan w:val="8"/>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6000"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工程名称：大沙地分公司一期二沉池及进水仪表间巡检道路优化项目</w:t>
            </w:r>
          </w:p>
        </w:tc>
        <w:tc>
          <w:tcPr>
            <w:tcW w:w="1815"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91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865"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计算基数</w:t>
            </w:r>
          </w:p>
        </w:tc>
        <w:tc>
          <w:tcPr>
            <w:tcW w:w="1020"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8820" w:type="dxa"/>
            <w:gridSpan w:val="7"/>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    计</w:t>
            </w:r>
          </w:p>
        </w:tc>
        <w:tc>
          <w:tcPr>
            <w:tcW w:w="1590"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p>
        </w:tc>
      </w:tr>
    </w:tbl>
    <w:p>
      <w:pPr>
        <w:pStyle w:val="30"/>
        <w:rPr>
          <w:rFonts w:hint="eastAsia" w:ascii="仿宋" w:hAnsi="仿宋" w:eastAsia="仿宋" w:cs="仿宋_GB2312"/>
          <w:b/>
          <w:color w:val="auto"/>
          <w:sz w:val="28"/>
          <w:szCs w:val="28"/>
          <w:highlight w:val="none"/>
        </w:rPr>
      </w:pPr>
    </w:p>
    <w:p>
      <w:pPr>
        <w:adjustRightInd w:val="0"/>
        <w:snapToGrid w:val="0"/>
        <w:spacing w:line="300" w:lineRule="auto"/>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二</w:t>
      </w:r>
      <w:r>
        <w:rPr>
          <w:rFonts w:hint="eastAsia" w:ascii="仿宋" w:hAnsi="仿宋" w:eastAsia="仿宋" w:cs="仿宋_GB2312"/>
          <w:b/>
          <w:color w:val="auto"/>
          <w:sz w:val="28"/>
          <w:szCs w:val="28"/>
          <w:highlight w:val="none"/>
        </w:rPr>
        <w:t>：</w:t>
      </w:r>
    </w:p>
    <w:p>
      <w:pPr>
        <w:pStyle w:val="7"/>
        <w:numPr>
          <w:ilvl w:val="0"/>
          <w:numId w:val="0"/>
        </w:numPr>
        <w:rPr>
          <w:rFonts w:hint="eastAsia" w:ascii="仿宋_GB2312" w:hAnsi="仿宋_GB2312" w:eastAsia="仿宋_GB2312" w:cs="仿宋_GB2312"/>
          <w:b/>
          <w:bCs/>
          <w:color w:val="auto"/>
          <w:sz w:val="28"/>
          <w:szCs w:val="36"/>
          <w:highlight w:val="none"/>
          <w:lang w:val="en-US" w:eastAsia="zh-CN"/>
        </w:rPr>
      </w:pPr>
    </w:p>
    <w:tbl>
      <w:tblPr>
        <w:tblStyle w:val="24"/>
        <w:tblW w:w="97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077"/>
        <w:gridCol w:w="4452"/>
        <w:gridCol w:w="70"/>
        <w:gridCol w:w="1695"/>
        <w:gridCol w:w="587"/>
        <w:gridCol w:w="18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6" w:hRule="atLeast"/>
          <w:jc w:val="center"/>
        </w:trPr>
        <w:tc>
          <w:tcPr>
            <w:tcW w:w="9720" w:type="dxa"/>
            <w:gridSpan w:val="6"/>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单位工程预算汇总表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jc w:val="center"/>
        </w:trPr>
        <w:tc>
          <w:tcPr>
            <w:tcW w:w="5599"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w:t>
            </w:r>
            <w:r>
              <w:rPr>
                <w:rFonts w:hint="eastAsia" w:ascii="宋体" w:hAnsi="宋体" w:eastAsia="宋体" w:cs="宋体"/>
                <w:i w:val="0"/>
                <w:color w:val="auto"/>
                <w:sz w:val="20"/>
                <w:szCs w:val="20"/>
                <w:highlight w:val="none"/>
                <w:u w:val="none"/>
              </w:rPr>
              <w:t>大沙地分公司二期干化车间吊装口及周边草地排水沟优化项目</w:t>
            </w:r>
          </w:p>
        </w:tc>
        <w:tc>
          <w:tcPr>
            <w:tcW w:w="1695" w:type="dxa"/>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426"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0" w:hRule="atLeast"/>
          <w:jc w:val="center"/>
        </w:trPr>
        <w:tc>
          <w:tcPr>
            <w:tcW w:w="1077"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4452"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2352" w:type="dxa"/>
            <w:gridSpan w:val="3"/>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839"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1077"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445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2352"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6" w:hRule="atLeast"/>
          <w:jc w:val="center"/>
        </w:trPr>
        <w:tc>
          <w:tcPr>
            <w:tcW w:w="5529" w:type="dxa"/>
            <w:gridSpan w:val="2"/>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预算价合计=1+2+3+5</w:t>
            </w:r>
          </w:p>
        </w:tc>
        <w:tc>
          <w:tcPr>
            <w:tcW w:w="2352" w:type="dxa"/>
            <w:gridSpan w:val="3"/>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839"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bl>
    <w:p>
      <w:pPr>
        <w:pStyle w:val="30"/>
        <w:rPr>
          <w:rFonts w:hint="default" w:eastAsia="仿宋"/>
          <w:color w:val="auto"/>
          <w:highlight w:val="none"/>
          <w:lang w:val="en-US" w:eastAsia="zh-CN"/>
        </w:rPr>
      </w:pPr>
    </w:p>
    <w:p>
      <w:pPr>
        <w:pStyle w:val="31"/>
        <w:rPr>
          <w:rFonts w:hint="default" w:eastAsia="仿宋"/>
          <w:color w:val="auto"/>
          <w:highlight w:val="none"/>
          <w:lang w:val="en-US" w:eastAsia="zh-CN"/>
        </w:rPr>
      </w:pPr>
    </w:p>
    <w:p>
      <w:pPr>
        <w:pStyle w:val="31"/>
        <w:rPr>
          <w:rFonts w:hint="default" w:eastAsia="仿宋"/>
          <w:color w:val="auto"/>
          <w:highlight w:val="none"/>
          <w:lang w:val="en-US" w:eastAsia="zh-CN"/>
        </w:rPr>
      </w:pPr>
    </w:p>
    <w:p>
      <w:pPr>
        <w:pStyle w:val="31"/>
        <w:rPr>
          <w:rFonts w:hint="default" w:eastAsia="仿宋"/>
          <w:color w:val="auto"/>
          <w:highlight w:val="none"/>
          <w:lang w:val="en-US"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8"/>
        <w:gridCol w:w="1355"/>
        <w:gridCol w:w="1109"/>
        <w:gridCol w:w="2118"/>
        <w:gridCol w:w="217"/>
        <w:gridCol w:w="442"/>
        <w:gridCol w:w="783"/>
        <w:gridCol w:w="136"/>
        <w:gridCol w:w="698"/>
        <w:gridCol w:w="834"/>
        <w:gridCol w:w="7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工程名称：大沙地分公司二期干化车间吊装口及周边草地排水沟优化项目</w:t>
            </w:r>
          </w:p>
        </w:tc>
        <w:tc>
          <w:tcPr>
            <w:tcW w:w="871"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7"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48"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61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289"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43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320"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60"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460"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60"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1.二期干化车间吊装口加设排水沟</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挖沟槽土方</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1.人工挖沟槽土方 一、二类土 深度在2m内</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混凝土基础</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1.浇筑混凝土C15</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砖砌体</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1.沟边砌筑标准砖</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1.82</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墙面一般抹灰</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1.各种墙面15+5mm 水泥石灰砂浆底 水泥砂浆面 外墙</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45.27</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沟道盖板</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不锈钢格栅盖板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（500mm*250mm*4mm）</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角钢</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1.部位：盖板护边角钢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2.规格：不锈钢角钢 50*50mm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3.安装：焊接安装</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塑料管</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1.安装部位:室外</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2.材质、规格:联塑PVC DN75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3.连接形式:粘接</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开孔(打洞)</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1.人工钻混凝土墙，孔径DN100</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余方弃置</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1.废弃料品种:土方运输</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2.运距:20km以内</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2.周边草地加设排水沟</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挖沟槽土方</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1.人工挖沟槽土方 一、二类土 深度在2m内</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0.53</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混凝土基础</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1.浇筑混凝土C15</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0.18</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砖砌体</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1.沟边砌筑标准砖</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墙面一般抹灰</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1.各种墙面15+5mm 水泥石灰砂浆底 水泥砂浆面 外墙</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沟道盖板</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不锈钢格栅盖板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（500mm*250mm*4mm）</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角钢</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1.部位：盖板护边角钢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2.规格：不锈钢角钢 50*50mm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3.安装：焊接安装</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挖管土方</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1.挖管土方</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0.21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塑料管</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1.安装部位:室外</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2.材质、规格:联塑PVC DN75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3.连接形式:粘接</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回填方</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1.埋管土方回填</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0.6</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积水区域人工开挖排查积水原因</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1.积水区域人工开挖排查积水原因</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工日</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挖土方</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1.挖土方</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管道拆除</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1.管道拆除</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电熔式PE法兰安装DN200</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1.法兰DN200 1.6MPA</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2.热熔对接</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副</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法兰式伸缩节安装DN200</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1.伸缩节DN200 1.6MPA</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2.热熔对接</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副</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PE管安装</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1.PE管DN200,1.6MPA</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2.热熔对接</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回填方</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1.土方回填</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余方弃置</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1.废弃料品种:土方运输</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2.运距:20km以内</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0.65</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pStyle w:val="2"/>
        <w:numPr>
          <w:ilvl w:val="0"/>
          <w:numId w:val="0"/>
        </w:numPr>
        <w:ind w:left="630" w:leftChars="0"/>
        <w:rPr>
          <w:rFonts w:hint="default" w:ascii="仿宋_GB2312" w:hAnsi="仿宋_GB2312" w:eastAsia="仿宋_GB2312" w:cs="仿宋_GB2312"/>
          <w:color w:val="auto"/>
          <w:sz w:val="28"/>
          <w:szCs w:val="28"/>
          <w:highlight w:val="none"/>
          <w:lang w:val="en-US" w:eastAsia="zh-CN"/>
        </w:rPr>
      </w:pPr>
    </w:p>
    <w:tbl>
      <w:tblPr>
        <w:tblStyle w:val="24"/>
        <w:tblW w:w="97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44"/>
        <w:gridCol w:w="1260"/>
        <w:gridCol w:w="1610"/>
        <w:gridCol w:w="1289"/>
        <w:gridCol w:w="728"/>
        <w:gridCol w:w="71"/>
        <w:gridCol w:w="1036"/>
        <w:gridCol w:w="868"/>
        <w:gridCol w:w="154"/>
        <w:gridCol w:w="1022"/>
        <w:gridCol w:w="10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9" w:hRule="atLeast"/>
          <w:jc w:val="center"/>
        </w:trPr>
        <w:tc>
          <w:tcPr>
            <w:tcW w:w="9720" w:type="dxa"/>
            <w:gridSpan w:val="11"/>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7" w:hRule="atLeast"/>
          <w:jc w:val="center"/>
        </w:trPr>
        <w:tc>
          <w:tcPr>
            <w:tcW w:w="5602" w:type="dxa"/>
            <w:gridSpan w:val="6"/>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工程名称：大沙地分公司二期干化车间吊装口及周边草地排水沟优化项目</w:t>
            </w:r>
          </w:p>
        </w:tc>
        <w:tc>
          <w:tcPr>
            <w:tcW w:w="1904"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214"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5" w:hRule="atLeast"/>
          <w:jc w:val="center"/>
        </w:trPr>
        <w:tc>
          <w:tcPr>
            <w:tcW w:w="644"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26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61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289"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728"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1107"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1022"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费率(%)</w:t>
            </w:r>
          </w:p>
        </w:tc>
        <w:tc>
          <w:tcPr>
            <w:tcW w:w="1022"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金额(元)</w:t>
            </w:r>
          </w:p>
        </w:tc>
        <w:tc>
          <w:tcPr>
            <w:tcW w:w="1038"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1" w:hRule="atLeast"/>
          <w:jc w:val="center"/>
        </w:trPr>
        <w:tc>
          <w:tcPr>
            <w:tcW w:w="64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2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6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289"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0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2297.77</w:t>
            </w:r>
          </w:p>
        </w:tc>
        <w:tc>
          <w:tcPr>
            <w:tcW w:w="1022"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2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38"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6" w:hRule="atLeast"/>
          <w:jc w:val="center"/>
        </w:trPr>
        <w:tc>
          <w:tcPr>
            <w:tcW w:w="64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2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6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1289"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72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110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22"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2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38"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以分部分项的人工费与施工机具费之和为计算基础；市级文明工地0.60%；省级文明工地1.20%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5" w:hRule="atLeast"/>
          <w:jc w:val="center"/>
        </w:trPr>
        <w:tc>
          <w:tcPr>
            <w:tcW w:w="644"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2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6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1289"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2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110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22"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2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38"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66" w:hRule="atLeast"/>
          <w:jc w:val="center"/>
        </w:trPr>
        <w:tc>
          <w:tcPr>
            <w:tcW w:w="644" w:type="dxa"/>
            <w:tcBorders>
              <w:top w:val="single" w:color="000000" w:sz="4" w:space="0"/>
              <w:left w:val="single" w:color="000000" w:sz="8" w:space="0"/>
              <w:bottom w:val="single" w:color="auto"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260" w:type="dxa"/>
            <w:tcBorders>
              <w:top w:val="single" w:color="000000" w:sz="4" w:space="0"/>
              <w:left w:val="single" w:color="000000" w:sz="4" w:space="0"/>
              <w:bottom w:val="single" w:color="auto"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610" w:type="dxa"/>
            <w:tcBorders>
              <w:top w:val="single" w:color="000000" w:sz="4" w:space="0"/>
              <w:left w:val="single" w:color="000000" w:sz="4" w:space="0"/>
              <w:bottom w:val="single" w:color="auto"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交通疏解员增加费</w:t>
            </w:r>
          </w:p>
        </w:tc>
        <w:tc>
          <w:tcPr>
            <w:tcW w:w="1289" w:type="dxa"/>
            <w:tcBorders>
              <w:top w:val="single" w:color="000000" w:sz="4" w:space="0"/>
              <w:left w:val="single" w:color="000000" w:sz="4" w:space="0"/>
              <w:bottom w:val="single" w:color="auto"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28" w:type="dxa"/>
            <w:tcBorders>
              <w:top w:val="single" w:color="000000" w:sz="4" w:space="0"/>
              <w:left w:val="single" w:color="000000" w:sz="4" w:space="0"/>
              <w:bottom w:val="single" w:color="auto"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1107" w:type="dxa"/>
            <w:gridSpan w:val="2"/>
            <w:tcBorders>
              <w:top w:val="single" w:color="000000" w:sz="4" w:space="0"/>
              <w:left w:val="single" w:color="000000" w:sz="4" w:space="0"/>
              <w:bottom w:val="single" w:color="auto"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22" w:type="dxa"/>
            <w:gridSpan w:val="2"/>
            <w:tcBorders>
              <w:top w:val="single" w:color="000000" w:sz="4" w:space="0"/>
              <w:left w:val="single" w:color="000000" w:sz="4" w:space="0"/>
              <w:bottom w:val="single" w:color="auto"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22" w:type="dxa"/>
            <w:tcBorders>
              <w:top w:val="single" w:color="000000" w:sz="4" w:space="0"/>
              <w:left w:val="single" w:color="000000" w:sz="4" w:space="0"/>
              <w:bottom w:val="single" w:color="auto"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38" w:type="dxa"/>
            <w:tcBorders>
              <w:top w:val="single" w:color="000000" w:sz="4" w:space="0"/>
              <w:left w:val="single" w:color="000000" w:sz="4" w:space="0"/>
              <w:bottom w:val="single" w:color="auto"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按照项目分部分项人工费的15%计算（有方案的按照方案计算），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 w:hRule="atLeast"/>
          <w:jc w:val="center"/>
        </w:trPr>
        <w:tc>
          <w:tcPr>
            <w:tcW w:w="644"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260"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color w:val="auto"/>
                <w:highlight w:val="none"/>
              </w:rPr>
            </w:pPr>
          </w:p>
        </w:tc>
        <w:tc>
          <w:tcPr>
            <w:tcW w:w="1610"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color w:val="auto"/>
                <w:highlight w:val="none"/>
              </w:rPr>
            </w:pPr>
            <w:r>
              <w:rPr>
                <w:rFonts w:hint="eastAsia" w:ascii="宋体" w:hAnsi="宋体" w:eastAsia="宋体" w:cs="宋体"/>
                <w:i w:val="0"/>
                <w:color w:val="auto"/>
                <w:kern w:val="0"/>
                <w:sz w:val="20"/>
                <w:szCs w:val="20"/>
                <w:highlight w:val="none"/>
                <w:u w:val="none"/>
                <w:lang w:val="en-US" w:eastAsia="zh-CN" w:bidi="ar"/>
              </w:rPr>
              <w:t>地下管线交叉降效费</w:t>
            </w:r>
          </w:p>
        </w:tc>
        <w:tc>
          <w:tcPr>
            <w:tcW w:w="1289"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center"/>
              <w:rPr>
                <w:color w:val="auto"/>
                <w:highlight w:val="none"/>
              </w:rPr>
            </w:pPr>
          </w:p>
        </w:tc>
        <w:tc>
          <w:tcPr>
            <w:tcW w:w="728"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color w:val="auto"/>
                <w:highlight w:val="none"/>
              </w:rPr>
            </w:pPr>
            <w:r>
              <w:rPr>
                <w:rFonts w:hint="eastAsia" w:ascii="宋体" w:hAnsi="宋体" w:eastAsia="宋体" w:cs="宋体"/>
                <w:i w:val="0"/>
                <w:color w:val="auto"/>
                <w:kern w:val="0"/>
                <w:sz w:val="20"/>
                <w:szCs w:val="20"/>
                <w:highlight w:val="none"/>
                <w:u w:val="none"/>
                <w:lang w:val="en-US" w:eastAsia="zh-CN" w:bidi="ar"/>
              </w:rPr>
              <w:t>0</w:t>
            </w:r>
          </w:p>
        </w:tc>
        <w:tc>
          <w:tcPr>
            <w:tcW w:w="1107" w:type="dxa"/>
            <w:gridSpan w:val="2"/>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22" w:type="dxa"/>
            <w:gridSpan w:val="2"/>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left"/>
              <w:rPr>
                <w:color w:val="auto"/>
                <w:highlight w:val="none"/>
              </w:rPr>
            </w:pPr>
          </w:p>
        </w:tc>
        <w:tc>
          <w:tcPr>
            <w:tcW w:w="1022"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left"/>
              <w:rPr>
                <w:color w:val="auto"/>
                <w:highlight w:val="none"/>
              </w:rPr>
            </w:pPr>
          </w:p>
        </w:tc>
        <w:tc>
          <w:tcPr>
            <w:tcW w:w="1038"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8" w:hRule="atLeast"/>
          <w:jc w:val="center"/>
        </w:trPr>
        <w:tc>
          <w:tcPr>
            <w:tcW w:w="644"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260"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color w:val="auto"/>
                <w:highlight w:val="none"/>
              </w:rPr>
            </w:pPr>
          </w:p>
        </w:tc>
        <w:tc>
          <w:tcPr>
            <w:tcW w:w="1610"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color w:val="auto"/>
                <w:highlight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1289"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728"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color w:val="auto"/>
                <w:highlight w:val="none"/>
              </w:rPr>
            </w:pPr>
            <w:r>
              <w:rPr>
                <w:rFonts w:hint="eastAsia" w:ascii="宋体" w:hAnsi="宋体" w:eastAsia="宋体" w:cs="宋体"/>
                <w:i w:val="0"/>
                <w:color w:val="auto"/>
                <w:kern w:val="0"/>
                <w:sz w:val="20"/>
                <w:szCs w:val="20"/>
                <w:highlight w:val="none"/>
                <w:u w:val="none"/>
                <w:lang w:val="en-US" w:eastAsia="zh-CN" w:bidi="ar"/>
              </w:rPr>
              <w:t>0</w:t>
            </w:r>
          </w:p>
        </w:tc>
        <w:tc>
          <w:tcPr>
            <w:tcW w:w="1107" w:type="dxa"/>
            <w:gridSpan w:val="2"/>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22" w:type="dxa"/>
            <w:gridSpan w:val="2"/>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022"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left"/>
              <w:rPr>
                <w:color w:val="auto"/>
                <w:highlight w:val="none"/>
              </w:rPr>
            </w:pPr>
          </w:p>
        </w:tc>
        <w:tc>
          <w:tcPr>
            <w:tcW w:w="1038"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color w:val="auto"/>
                <w:kern w:val="0"/>
                <w:sz w:val="20"/>
                <w:szCs w:val="20"/>
                <w:highlight w:val="none"/>
                <w:u w:val="none"/>
                <w:lang w:val="en-US" w:eastAsia="zh-CN" w:bidi="ar"/>
              </w:rPr>
              <w:t>赶工措施费=（1-δ）*分部分项的（人工费+施工机具费）*0.30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9" w:hRule="atLeast"/>
          <w:jc w:val="center"/>
        </w:trPr>
        <w:tc>
          <w:tcPr>
            <w:tcW w:w="644"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260"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color w:val="auto"/>
                <w:highlight w:val="none"/>
              </w:rPr>
            </w:pPr>
          </w:p>
        </w:tc>
        <w:tc>
          <w:tcPr>
            <w:tcW w:w="1610"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color w:val="auto"/>
                <w:highlight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289"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center"/>
              <w:rPr>
                <w:color w:val="auto"/>
                <w:highlight w:val="none"/>
              </w:rPr>
            </w:pPr>
          </w:p>
        </w:tc>
        <w:tc>
          <w:tcPr>
            <w:tcW w:w="728"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right"/>
              <w:rPr>
                <w:color w:val="auto"/>
                <w:highlight w:val="none"/>
              </w:rPr>
            </w:pPr>
          </w:p>
        </w:tc>
        <w:tc>
          <w:tcPr>
            <w:tcW w:w="1107" w:type="dxa"/>
            <w:gridSpan w:val="2"/>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right"/>
              <w:rPr>
                <w:color w:val="auto"/>
                <w:highlight w:val="none"/>
              </w:rPr>
            </w:pPr>
          </w:p>
        </w:tc>
        <w:tc>
          <w:tcPr>
            <w:tcW w:w="1022" w:type="dxa"/>
            <w:gridSpan w:val="2"/>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left"/>
              <w:rPr>
                <w:color w:val="auto"/>
                <w:highlight w:val="none"/>
              </w:rPr>
            </w:pPr>
          </w:p>
        </w:tc>
        <w:tc>
          <w:tcPr>
            <w:tcW w:w="1022"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left"/>
              <w:rPr>
                <w:color w:val="auto"/>
                <w:highlight w:val="none"/>
              </w:rPr>
            </w:pPr>
          </w:p>
        </w:tc>
        <w:tc>
          <w:tcPr>
            <w:tcW w:w="1038"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7" w:hRule="atLeast"/>
          <w:jc w:val="center"/>
        </w:trPr>
        <w:tc>
          <w:tcPr>
            <w:tcW w:w="5531" w:type="dxa"/>
            <w:gridSpan w:val="5"/>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1107" w:type="dxa"/>
            <w:gridSpan w:val="2"/>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2297.77</w:t>
            </w:r>
          </w:p>
        </w:tc>
        <w:tc>
          <w:tcPr>
            <w:tcW w:w="1022" w:type="dxa"/>
            <w:gridSpan w:val="2"/>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22"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left"/>
              <w:rPr>
                <w:color w:val="auto"/>
                <w:highlight w:val="none"/>
              </w:rPr>
            </w:pPr>
          </w:p>
        </w:tc>
        <w:tc>
          <w:tcPr>
            <w:tcW w:w="1038" w:type="dxa"/>
            <w:tcBorders>
              <w:top w:val="single" w:color="auto" w:sz="4" w:space="0"/>
              <w:left w:val="single" w:color="auto" w:sz="4" w:space="0"/>
              <w:bottom w:val="single" w:color="auto" w:sz="4" w:space="0"/>
              <w:right w:val="single" w:color="auto" w:sz="4" w:space="0"/>
            </w:tcBorders>
            <w:shd w:val="clear" w:color="FFFFFF" w:fill="FFFFFF"/>
            <w:noWrap w:val="0"/>
            <w:tcMar>
              <w:top w:w="15" w:type="dxa"/>
              <w:left w:w="15" w:type="dxa"/>
              <w:right w:w="15" w:type="dxa"/>
            </w:tcMar>
            <w:vAlign w:val="center"/>
          </w:tcPr>
          <w:p>
            <w:pPr>
              <w:jc w:val="left"/>
              <w:rPr>
                <w:color w:val="auto"/>
                <w:highlight w:val="none"/>
              </w:rPr>
            </w:pPr>
          </w:p>
        </w:tc>
      </w:tr>
    </w:tbl>
    <w:p>
      <w:pPr>
        <w:pStyle w:val="30"/>
        <w:rPr>
          <w:rFonts w:hint="default"/>
          <w:color w:val="auto"/>
          <w:highlight w:val="none"/>
          <w:lang w:val="en-US" w:eastAsia="zh-CN"/>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15"/>
        <w:gridCol w:w="2415"/>
        <w:gridCol w:w="2670"/>
        <w:gridCol w:w="195"/>
        <w:gridCol w:w="1605"/>
        <w:gridCol w:w="15"/>
        <w:gridCol w:w="10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jc w:val="center"/>
        </w:trPr>
        <w:tc>
          <w:tcPr>
            <w:tcW w:w="10410" w:type="dxa"/>
            <w:gridSpan w:val="8"/>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6000"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工程名称：大沙地分公司二期干化车间吊装口及周边草地排水沟优化项目</w:t>
            </w:r>
          </w:p>
        </w:tc>
        <w:tc>
          <w:tcPr>
            <w:tcW w:w="1815"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91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865"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计算基数</w:t>
            </w:r>
          </w:p>
        </w:tc>
        <w:tc>
          <w:tcPr>
            <w:tcW w:w="1020"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8820" w:type="dxa"/>
            <w:gridSpan w:val="7"/>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    计</w:t>
            </w:r>
          </w:p>
        </w:tc>
        <w:tc>
          <w:tcPr>
            <w:tcW w:w="1590"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p>
        </w:tc>
      </w:tr>
    </w:tbl>
    <w:p>
      <w:pPr>
        <w:adjustRightInd w:val="0"/>
        <w:snapToGrid w:val="0"/>
        <w:spacing w:line="300" w:lineRule="auto"/>
        <w:rPr>
          <w:rFonts w:hint="eastAsia" w:ascii="仿宋" w:hAnsi="仿宋" w:eastAsia="仿宋" w:cs="仿宋_GB2312"/>
          <w:b/>
          <w:color w:val="auto"/>
          <w:sz w:val="28"/>
          <w:szCs w:val="28"/>
          <w:highlight w:val="none"/>
        </w:rPr>
      </w:pPr>
    </w:p>
    <w:p>
      <w:pPr>
        <w:adjustRightInd w:val="0"/>
        <w:snapToGrid w:val="0"/>
        <w:spacing w:line="300" w:lineRule="auto"/>
        <w:rPr>
          <w:rFonts w:hint="eastAsia" w:ascii="仿宋" w:hAnsi="仿宋" w:eastAsia="仿宋" w:cs="仿宋_GB2312"/>
          <w:b/>
          <w:color w:val="auto"/>
          <w:sz w:val="28"/>
          <w:szCs w:val="28"/>
          <w:highlight w:val="none"/>
        </w:rPr>
      </w:pPr>
    </w:p>
    <w:p>
      <w:pPr>
        <w:adjustRightInd w:val="0"/>
        <w:snapToGrid w:val="0"/>
        <w:spacing w:line="300" w:lineRule="auto"/>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三</w:t>
      </w:r>
      <w:r>
        <w:rPr>
          <w:rFonts w:hint="eastAsia" w:ascii="仿宋" w:hAnsi="仿宋" w:eastAsia="仿宋" w:cs="仿宋_GB2312"/>
          <w:b/>
          <w:color w:val="auto"/>
          <w:sz w:val="28"/>
          <w:szCs w:val="28"/>
          <w:highlight w:val="none"/>
        </w:rPr>
        <w:t>：</w:t>
      </w:r>
    </w:p>
    <w:p>
      <w:pPr>
        <w:pStyle w:val="13"/>
        <w:numPr>
          <w:ilvl w:val="0"/>
          <w:numId w:val="0"/>
        </w:numPr>
        <w:adjustRightInd w:val="0"/>
        <w:snapToGrid w:val="0"/>
        <w:spacing w:line="360" w:lineRule="auto"/>
        <w:ind w:firstLine="562"/>
        <w:rPr>
          <w:rFonts w:hint="eastAsia" w:ascii="仿宋_GB2312" w:hAnsi="仿宋_GB2312" w:eastAsia="仿宋_GB2312" w:cs="仿宋_GB2312"/>
          <w:b/>
          <w:bCs/>
          <w:color w:val="auto"/>
          <w:kern w:val="0"/>
          <w:sz w:val="28"/>
          <w:szCs w:val="20"/>
          <w:highlight w:val="none"/>
          <w:lang w:val="en-US" w:eastAsia="zh-CN" w:bidi="ar-SA"/>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5"/>
        <w:gridCol w:w="3155"/>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46" w:type="dxa"/>
            <w:gridSpan w:val="3"/>
            <w:noWrap w:val="0"/>
            <w:vAlign w:val="center"/>
          </w:tcPr>
          <w:p>
            <w:pPr>
              <w:pStyle w:val="13"/>
              <w:numPr>
                <w:ilvl w:val="0"/>
                <w:numId w:val="0"/>
              </w:numPr>
              <w:adjustRightInd w:val="0"/>
              <w:snapToGrid w:val="0"/>
              <w:spacing w:line="360" w:lineRule="auto"/>
              <w:ind w:firstLine="562"/>
              <w:jc w:val="center"/>
              <w:rPr>
                <w:rFonts w:hint="eastAsia" w:ascii="宋体" w:hAnsi="宋体" w:cs="宋体"/>
                <w:b/>
                <w:bCs/>
                <w:color w:val="auto"/>
                <w:kern w:val="0"/>
                <w:sz w:val="40"/>
                <w:szCs w:val="40"/>
                <w:highlight w:val="none"/>
                <w:vertAlign w:val="baseline"/>
                <w:lang w:eastAsia="zh-CN"/>
              </w:rPr>
            </w:pPr>
            <w:r>
              <w:rPr>
                <w:rFonts w:hint="eastAsia" w:ascii="仿宋_GB2312" w:hAnsi="仿宋_GB2312" w:eastAsia="仿宋_GB2312" w:cs="仿宋_GB2312"/>
                <w:b/>
                <w:bCs/>
                <w:color w:val="auto"/>
                <w:kern w:val="0"/>
                <w:sz w:val="28"/>
                <w:szCs w:val="20"/>
                <w:highlight w:val="none"/>
                <w:lang w:val="en-US" w:eastAsia="zh-CN" w:bidi="ar-SA"/>
              </w:rPr>
              <w:t>大沙地分公司2月厂区设备设施完善项目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718" w:type="dxa"/>
            <w:gridSpan w:val="2"/>
            <w:noWrap w:val="0"/>
            <w:vAlign w:val="center"/>
          </w:tcPr>
          <w:p>
            <w:pPr>
              <w:spacing w:after="0" w:line="240" w:lineRule="auto"/>
              <w:jc w:val="center"/>
              <w:rPr>
                <w:rFonts w:hint="default" w:ascii="仿宋" w:hAnsi="仿宋" w:eastAsia="仿宋" w:cs="仿宋"/>
                <w:b/>
                <w:bCs/>
                <w:color w:val="auto"/>
                <w:kern w:val="0"/>
                <w:sz w:val="28"/>
                <w:szCs w:val="28"/>
                <w:highlight w:val="none"/>
                <w:vertAlign w:val="baseline"/>
                <w:lang w:val="en-US" w:eastAsia="zh-CN"/>
              </w:rPr>
            </w:pPr>
            <w:r>
              <w:rPr>
                <w:rFonts w:hint="eastAsia" w:ascii="仿宋" w:hAnsi="仿宋" w:eastAsia="仿宋" w:cs="仿宋"/>
                <w:b/>
                <w:bCs/>
                <w:color w:val="auto"/>
                <w:kern w:val="0"/>
                <w:sz w:val="28"/>
                <w:szCs w:val="28"/>
                <w:highlight w:val="none"/>
                <w:vertAlign w:val="baseline"/>
                <w:lang w:val="en-US" w:eastAsia="zh-CN"/>
              </w:rPr>
              <w:t>费用类别</w:t>
            </w:r>
          </w:p>
        </w:tc>
        <w:tc>
          <w:tcPr>
            <w:tcW w:w="3128" w:type="dxa"/>
            <w:noWrap w:val="0"/>
            <w:vAlign w:val="center"/>
          </w:tcPr>
          <w:p>
            <w:pPr>
              <w:spacing w:after="0" w:line="240" w:lineRule="auto"/>
              <w:jc w:val="center"/>
              <w:rPr>
                <w:rFonts w:hint="eastAsia" w:ascii="宋体" w:hAnsi="宋体" w:cs="宋体"/>
                <w:b/>
                <w:bCs/>
                <w:color w:val="auto"/>
                <w:kern w:val="0"/>
                <w:sz w:val="40"/>
                <w:szCs w:val="40"/>
                <w:highlight w:val="none"/>
                <w:vertAlign w:val="baseline"/>
                <w:lang w:eastAsia="zh-CN"/>
              </w:rPr>
            </w:pPr>
            <w:r>
              <w:rPr>
                <w:rFonts w:hint="eastAsia" w:hAnsi="宋体" w:eastAsia="宋体"/>
                <w:b/>
                <w:bCs/>
                <w:color w:val="auto"/>
                <w:highlight w:val="none"/>
              </w:rPr>
              <w:t>项目</w:t>
            </w:r>
            <w:r>
              <w:rPr>
                <w:rFonts w:hint="eastAsia" w:hAnsi="宋体" w:eastAsia="宋体"/>
                <w:b/>
                <w:bCs/>
                <w:color w:val="auto"/>
                <w:highlight w:val="none"/>
                <w:lang w:val="en-US" w:eastAsia="zh-CN"/>
              </w:rPr>
              <w:t>价</w:t>
            </w:r>
            <w:r>
              <w:rPr>
                <w:rFonts w:hint="eastAsia" w:hAnsi="宋体" w:eastAsia="宋体"/>
                <w:b/>
                <w:bCs/>
                <w:color w:val="auto"/>
                <w:highlight w:val="none"/>
              </w:rPr>
              <w:t>（含税价/元）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3282" w:type="dxa"/>
            <w:vMerge w:val="restart"/>
            <w:noWrap w:val="0"/>
            <w:vAlign w:val="center"/>
          </w:tcPr>
          <w:p>
            <w:pPr>
              <w:spacing w:after="0" w:line="240" w:lineRule="auto"/>
              <w:jc w:val="center"/>
              <w:rPr>
                <w:rFonts w:hint="default" w:ascii="仿宋" w:hAnsi="仿宋" w:eastAsia="仿宋" w:cs="仿宋"/>
                <w:b/>
                <w:bCs/>
                <w:color w:val="auto"/>
                <w:kern w:val="0"/>
                <w:sz w:val="28"/>
                <w:szCs w:val="28"/>
                <w:highlight w:val="none"/>
                <w:vertAlign w:val="baseline"/>
                <w:lang w:val="en-US" w:eastAsia="zh-CN"/>
              </w:rPr>
            </w:pPr>
            <w:r>
              <w:rPr>
                <w:rFonts w:hint="eastAsia" w:ascii="仿宋" w:hAnsi="仿宋" w:eastAsia="仿宋" w:cs="仿宋"/>
                <w:b/>
                <w:bCs/>
                <w:color w:val="auto"/>
                <w:kern w:val="0"/>
                <w:sz w:val="28"/>
                <w:szCs w:val="28"/>
                <w:highlight w:val="none"/>
                <w:vertAlign w:val="baseline"/>
                <w:lang w:val="en-US" w:eastAsia="zh-CN"/>
              </w:rPr>
              <w:t>工程费</w:t>
            </w:r>
          </w:p>
        </w:tc>
        <w:tc>
          <w:tcPr>
            <w:tcW w:w="3436" w:type="dxa"/>
            <w:noWrap w:val="0"/>
            <w:vAlign w:val="center"/>
          </w:tcPr>
          <w:p>
            <w:pPr>
              <w:spacing w:after="0" w:line="240" w:lineRule="auto"/>
              <w:jc w:val="center"/>
              <w:rPr>
                <w:rFonts w:hint="eastAsia" w:ascii="仿宋" w:hAnsi="仿宋" w:eastAsia="仿宋" w:cs="仿宋"/>
                <w:b/>
                <w:bCs/>
                <w:color w:val="auto"/>
                <w:kern w:val="0"/>
                <w:sz w:val="28"/>
                <w:szCs w:val="28"/>
                <w:highlight w:val="none"/>
                <w:vertAlign w:val="baseline"/>
                <w:lang w:val="en-US" w:eastAsia="zh-CN"/>
              </w:rPr>
            </w:pPr>
            <w:r>
              <w:rPr>
                <w:rFonts w:hint="eastAsia" w:ascii="仿宋" w:hAnsi="仿宋" w:eastAsia="仿宋" w:cs="仿宋"/>
                <w:b/>
                <w:bCs/>
                <w:color w:val="auto"/>
                <w:kern w:val="0"/>
                <w:sz w:val="28"/>
                <w:szCs w:val="28"/>
                <w:highlight w:val="none"/>
                <w:vertAlign w:val="baseline"/>
                <w:lang w:val="en-US" w:eastAsia="zh-CN"/>
              </w:rPr>
              <w:t>安装部分</w:t>
            </w:r>
          </w:p>
        </w:tc>
        <w:tc>
          <w:tcPr>
            <w:tcW w:w="3128" w:type="dxa"/>
            <w:noWrap w:val="0"/>
            <w:vAlign w:val="center"/>
          </w:tcPr>
          <w:p>
            <w:pPr>
              <w:spacing w:after="0" w:line="240" w:lineRule="auto"/>
              <w:jc w:val="center"/>
              <w:rPr>
                <w:rFonts w:hint="eastAsia" w:ascii="宋体" w:hAnsi="宋体" w:cs="宋体"/>
                <w:b/>
                <w:bCs/>
                <w:color w:val="auto"/>
                <w:kern w:val="0"/>
                <w:sz w:val="40"/>
                <w:szCs w:val="40"/>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3282" w:type="dxa"/>
            <w:vMerge w:val="continue"/>
            <w:noWrap w:val="0"/>
            <w:vAlign w:val="center"/>
          </w:tcPr>
          <w:p>
            <w:pPr>
              <w:spacing w:after="0" w:line="240" w:lineRule="auto"/>
              <w:jc w:val="center"/>
              <w:rPr>
                <w:rFonts w:hint="eastAsia" w:ascii="仿宋" w:hAnsi="仿宋" w:eastAsia="仿宋" w:cs="仿宋"/>
                <w:b/>
                <w:bCs/>
                <w:color w:val="auto"/>
                <w:kern w:val="0"/>
                <w:sz w:val="28"/>
                <w:szCs w:val="28"/>
                <w:highlight w:val="none"/>
                <w:vertAlign w:val="baseline"/>
                <w:lang w:val="en-US" w:eastAsia="zh-CN"/>
              </w:rPr>
            </w:pPr>
          </w:p>
        </w:tc>
        <w:tc>
          <w:tcPr>
            <w:tcW w:w="3436" w:type="dxa"/>
            <w:noWrap w:val="0"/>
            <w:vAlign w:val="center"/>
          </w:tcPr>
          <w:p>
            <w:pPr>
              <w:spacing w:after="0" w:line="240" w:lineRule="auto"/>
              <w:jc w:val="center"/>
              <w:rPr>
                <w:rFonts w:hint="eastAsia" w:ascii="仿宋" w:hAnsi="仿宋" w:eastAsia="仿宋" w:cs="仿宋"/>
                <w:b/>
                <w:bCs/>
                <w:color w:val="auto"/>
                <w:kern w:val="0"/>
                <w:sz w:val="28"/>
                <w:szCs w:val="28"/>
                <w:highlight w:val="none"/>
                <w:vertAlign w:val="baseline"/>
                <w:lang w:val="en-US" w:eastAsia="zh-CN"/>
              </w:rPr>
            </w:pPr>
            <w:r>
              <w:rPr>
                <w:rFonts w:hint="eastAsia" w:ascii="仿宋" w:hAnsi="仿宋" w:eastAsia="仿宋" w:cs="仿宋"/>
                <w:b/>
                <w:bCs/>
                <w:color w:val="auto"/>
                <w:kern w:val="0"/>
                <w:sz w:val="28"/>
                <w:szCs w:val="28"/>
                <w:highlight w:val="none"/>
                <w:vertAlign w:val="baseline"/>
                <w:lang w:val="en-US" w:eastAsia="zh-CN"/>
              </w:rPr>
              <w:t>建筑工程</w:t>
            </w:r>
          </w:p>
        </w:tc>
        <w:tc>
          <w:tcPr>
            <w:tcW w:w="3128" w:type="dxa"/>
            <w:noWrap w:val="0"/>
            <w:vAlign w:val="center"/>
          </w:tcPr>
          <w:p>
            <w:pPr>
              <w:spacing w:after="0" w:line="240" w:lineRule="auto"/>
              <w:jc w:val="center"/>
              <w:rPr>
                <w:rFonts w:hint="eastAsia" w:ascii="宋体" w:hAnsi="宋体" w:cs="宋体"/>
                <w:b/>
                <w:bCs/>
                <w:color w:val="auto"/>
                <w:kern w:val="0"/>
                <w:sz w:val="40"/>
                <w:szCs w:val="40"/>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18" w:type="dxa"/>
            <w:gridSpan w:val="2"/>
            <w:noWrap w:val="0"/>
            <w:vAlign w:val="center"/>
          </w:tcPr>
          <w:p>
            <w:pPr>
              <w:spacing w:after="0" w:line="240" w:lineRule="auto"/>
              <w:jc w:val="center"/>
              <w:rPr>
                <w:rFonts w:hint="eastAsia" w:ascii="仿宋" w:hAnsi="仿宋" w:eastAsia="仿宋" w:cs="仿宋"/>
                <w:b/>
                <w:bCs/>
                <w:color w:val="auto"/>
                <w:kern w:val="0"/>
                <w:sz w:val="28"/>
                <w:szCs w:val="28"/>
                <w:highlight w:val="none"/>
                <w:vertAlign w:val="baseline"/>
                <w:lang w:val="en-US" w:eastAsia="zh-CN"/>
              </w:rPr>
            </w:pPr>
          </w:p>
        </w:tc>
        <w:tc>
          <w:tcPr>
            <w:tcW w:w="3128" w:type="dxa"/>
            <w:noWrap w:val="0"/>
            <w:vAlign w:val="center"/>
          </w:tcPr>
          <w:p>
            <w:pPr>
              <w:spacing w:after="0" w:line="240" w:lineRule="auto"/>
              <w:jc w:val="center"/>
              <w:rPr>
                <w:rFonts w:hint="eastAsia" w:ascii="宋体" w:hAnsi="宋体" w:cs="宋体"/>
                <w:b/>
                <w:bCs/>
                <w:color w:val="auto"/>
                <w:kern w:val="0"/>
                <w:sz w:val="40"/>
                <w:szCs w:val="40"/>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18" w:type="dxa"/>
            <w:gridSpan w:val="2"/>
            <w:noWrap w:val="0"/>
            <w:vAlign w:val="top"/>
          </w:tcPr>
          <w:p>
            <w:pPr>
              <w:spacing w:after="0" w:line="240" w:lineRule="auto"/>
              <w:jc w:val="center"/>
              <w:rPr>
                <w:rFonts w:hint="eastAsia" w:ascii="仿宋" w:hAnsi="仿宋" w:eastAsia="仿宋" w:cs="仿宋"/>
                <w:b/>
                <w:bCs/>
                <w:color w:val="auto"/>
                <w:kern w:val="0"/>
                <w:sz w:val="28"/>
                <w:szCs w:val="28"/>
                <w:highlight w:val="none"/>
                <w:vertAlign w:val="baseline"/>
                <w:lang w:val="en-US" w:eastAsia="zh-CN"/>
              </w:rPr>
            </w:pPr>
            <w:r>
              <w:rPr>
                <w:rFonts w:hint="eastAsia" w:ascii="仿宋" w:hAnsi="仿宋" w:eastAsia="仿宋" w:cs="仿宋"/>
                <w:b/>
                <w:bCs/>
                <w:color w:val="auto"/>
                <w:kern w:val="0"/>
                <w:sz w:val="28"/>
                <w:szCs w:val="28"/>
                <w:highlight w:val="none"/>
                <w:vertAlign w:val="baseline"/>
                <w:lang w:val="en-US" w:eastAsia="zh-CN"/>
              </w:rPr>
              <w:t>合计</w:t>
            </w:r>
          </w:p>
        </w:tc>
        <w:tc>
          <w:tcPr>
            <w:tcW w:w="3128" w:type="dxa"/>
            <w:noWrap w:val="0"/>
            <w:vAlign w:val="top"/>
          </w:tcPr>
          <w:p>
            <w:pPr>
              <w:spacing w:after="0" w:line="240" w:lineRule="auto"/>
              <w:jc w:val="center"/>
              <w:rPr>
                <w:rFonts w:hint="eastAsia" w:ascii="宋体" w:hAnsi="宋体" w:cs="宋体"/>
                <w:b/>
                <w:bCs/>
                <w:color w:val="auto"/>
                <w:kern w:val="0"/>
                <w:sz w:val="40"/>
                <w:szCs w:val="40"/>
                <w:highlight w:val="none"/>
                <w:vertAlign w:val="baseline"/>
                <w:lang w:eastAsia="zh-CN"/>
              </w:rPr>
            </w:pPr>
          </w:p>
        </w:tc>
      </w:tr>
    </w:tbl>
    <w:p>
      <w:pPr>
        <w:pStyle w:val="2"/>
        <w:ind w:left="0" w:leftChars="0" w:firstLine="0" w:firstLineChars="0"/>
        <w:rPr>
          <w:rFonts w:hint="eastAsia"/>
          <w:color w:val="auto"/>
          <w:highlight w:val="none"/>
          <w:lang w:eastAsia="zh-CN"/>
        </w:rPr>
      </w:pPr>
    </w:p>
    <w:p>
      <w:pPr>
        <w:pStyle w:val="2"/>
        <w:ind w:left="0" w:leftChars="0" w:firstLine="0" w:firstLineChars="0"/>
        <w:rPr>
          <w:rFonts w:hint="eastAsia"/>
          <w:color w:val="auto"/>
          <w:highlight w:val="none"/>
          <w:lang w:eastAsia="zh-CN"/>
        </w:rPr>
      </w:pPr>
      <w:r>
        <w:rPr>
          <w:rFonts w:hint="eastAsia" w:ascii="仿宋" w:hAnsi="仿宋" w:eastAsia="仿宋" w:cs="仿宋"/>
          <w:b/>
          <w:bCs/>
          <w:color w:val="auto"/>
          <w:kern w:val="0"/>
          <w:sz w:val="28"/>
          <w:szCs w:val="28"/>
          <w:highlight w:val="none"/>
          <w:vertAlign w:val="baseline"/>
          <w:lang w:val="en-US" w:eastAsia="zh-CN"/>
        </w:rPr>
        <w:t>安装部分：</w:t>
      </w:r>
    </w:p>
    <w:tbl>
      <w:tblPr>
        <w:tblStyle w:val="24"/>
        <w:tblW w:w="95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55"/>
        <w:gridCol w:w="4770"/>
        <w:gridCol w:w="75"/>
        <w:gridCol w:w="1615"/>
        <w:gridCol w:w="200"/>
        <w:gridCol w:w="17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9580" w:type="dxa"/>
            <w:gridSpan w:val="6"/>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单位工程预算汇总表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000"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工程名称：安装部分</w:t>
            </w:r>
          </w:p>
        </w:tc>
        <w:tc>
          <w:tcPr>
            <w:tcW w:w="1815"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765" w:type="dxa"/>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15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1690"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965" w:type="dxa"/>
            <w:gridSpan w:val="2"/>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加装二期吸砂泵三通及闸板</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加装提标废水泵房吊架</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修补一期反应池排泥管墙体连接渗漏处</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更换进水在线站房排气扇</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加装二期干化车间自来水表及中水表</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更换提标加药间排水槽疏间板，并增设排放口</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更换二期天车控制电箱</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0"/>
                <w:szCs w:val="20"/>
                <w:highlight w:val="none"/>
                <w:u w:val="none"/>
                <w:lang w:val="en-US" w:eastAsia="zh-CN"/>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169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925" w:type="dxa"/>
            <w:gridSpan w:val="2"/>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预算价合计=1+2+3+5</w:t>
            </w:r>
          </w:p>
        </w:tc>
        <w:tc>
          <w:tcPr>
            <w:tcW w:w="1690"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gridSpan w:val="2"/>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580" w:type="dxa"/>
            <w:gridSpan w:val="6"/>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00" w:type="dxa"/>
            <w:gridSpan w:val="3"/>
            <w:tcBorders>
              <w:top w:val="nil"/>
              <w:left w:val="nil"/>
              <w:bottom w:val="nil"/>
              <w:right w:val="nil"/>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815" w:type="dxa"/>
            <w:gridSpan w:val="2"/>
            <w:tcBorders>
              <w:top w:val="nil"/>
              <w:left w:val="nil"/>
              <w:bottom w:val="nil"/>
              <w:right w:val="nil"/>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765" w:type="dxa"/>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表—04</w:t>
            </w:r>
          </w:p>
        </w:tc>
      </w:tr>
    </w:tbl>
    <w:p>
      <w:pPr>
        <w:pStyle w:val="13"/>
        <w:numPr>
          <w:ilvl w:val="0"/>
          <w:numId w:val="0"/>
        </w:numPr>
        <w:adjustRightInd w:val="0"/>
        <w:snapToGrid w:val="0"/>
        <w:spacing w:line="360" w:lineRule="auto"/>
        <w:ind w:firstLine="562"/>
        <w:rPr>
          <w:rFonts w:hint="default" w:ascii="仿宋_GB2312" w:hAnsi="仿宋_GB2312" w:eastAsia="仿宋_GB2312" w:cs="仿宋_GB2312"/>
          <w:b/>
          <w:bCs/>
          <w:color w:val="auto"/>
          <w:kern w:val="0"/>
          <w:sz w:val="28"/>
          <w:szCs w:val="20"/>
          <w:highlight w:val="none"/>
          <w:lang w:val="en-US" w:eastAsia="zh-CN" w:bidi="ar-SA"/>
        </w:rPr>
      </w:pPr>
    </w:p>
    <w:tbl>
      <w:tblPr>
        <w:tblStyle w:val="24"/>
        <w:tblW w:w="95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80"/>
        <w:gridCol w:w="110"/>
        <w:gridCol w:w="1210"/>
        <w:gridCol w:w="140"/>
        <w:gridCol w:w="1290"/>
        <w:gridCol w:w="130"/>
        <w:gridCol w:w="1590"/>
        <w:gridCol w:w="705"/>
        <w:gridCol w:w="15"/>
        <w:gridCol w:w="230"/>
        <w:gridCol w:w="370"/>
        <w:gridCol w:w="225"/>
        <w:gridCol w:w="390"/>
        <w:gridCol w:w="315"/>
        <w:gridCol w:w="515"/>
        <w:gridCol w:w="225"/>
        <w:gridCol w:w="715"/>
        <w:gridCol w:w="585"/>
        <w:gridCol w:w="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9535" w:type="dxa"/>
            <w:gridSpan w:val="19"/>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000" w:type="dxa"/>
            <w:gridSpan w:val="10"/>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工程名称：安装部分</w:t>
            </w:r>
          </w:p>
        </w:tc>
        <w:tc>
          <w:tcPr>
            <w:tcW w:w="1815" w:type="dxa"/>
            <w:gridSpan w:val="5"/>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720" w:type="dxa"/>
            <w:gridSpan w:val="4"/>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80"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32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43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425"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615"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61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2550" w:type="dxa"/>
            <w:gridSpan w:val="6"/>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80"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4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2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3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94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80"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4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2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3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4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加装二期吸砂泵三通及闸板</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4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低压法兰阀门</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1.名称:弹性座封闸阀（暗杆）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2.材质:球墨铸铁阀体、阀杆不锈钢（2CR13）、螺母铸铝黄铜、阀板衬套</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3.型号、规格:DN200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4.连接形式:法兰连接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5.其他:石棉垫片</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低压不锈钢管件</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1.名称:不锈钢法兰式伸缩节</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2.材质:304不锈钢</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3.规格:DN200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4.其他:石棉垫片</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低压不锈钢法兰</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1.名称:不锈钢法兰</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2.材质:304不锈钢</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3.规格:DN200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4.其他:石棉垫片</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副</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304不锈钢螺栓</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1.名称:螺栓</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2.材质:304不锈钢</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3.规格:M20*75</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48</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加装二期吸砂泵三通及闸板合计</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加装提标废水泵房吊架</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4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梁式起重机</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1.名称:电动葫芦单梁悬挂起重机</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2.跨距:LX2.8-12m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3.起重质量:3T</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4.单机试运转要求:符合设计及规范要求</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5.其他:现场控制箱</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成套配电箱拆除 悬挂嵌入式(半周长m以内) 1.5</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1.名称:现场控制箱拆除</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2.其他:保护性拆除</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控制箱</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1.名称:现场控制箱</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2.规格:原有现场控制箱</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电力电缆</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1.名称:电力电缆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2.型号:ZR-YJV</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3.规格:4×16+1×10mm²</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4.材质:铜芯</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5.电压等级(kV):1kV</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6.其他:电缆头制作安装</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150</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控制箱</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1.名称:304不锈钢室外防水设备箱</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2.规格:外壳为304不锈钢400*600*250*2.0mm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3.开关:根据设计及业主要求</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加装提标废水泵房吊架合计</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修补一期反应池排泥管墙体连接渗漏处</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不锈钢管拆除</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1.名称:不锈钢管拆除</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2.规格:DN200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3.其他:含管件</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低压不锈钢管</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1.材质:304不锈钢管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2.规格:DN219×6.0</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排泥泵底座拆除</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1.名称:排泥泵底座拆除</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出水连接底座</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1.名称:出水连接底座</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2.规格:DN100</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低压不锈钢管件</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1.名称:90°弯头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2.材质:304不锈钢</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3.规格:D219*6弯头90°</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法兰阀门 公称直径(mm以内) 250</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1.名称:阀门拆除</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2.规格:DN200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3.其他:保护性拆除</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低压法兰阀门</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1.名称:闸阀</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2.材质:阀杆不锈钢（2CR13）、阀板不锈钢（2CR13）螺母黄铜</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3.型号、规格:DN200</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低压法兰阀门</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1.名称:单向截止阀</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2.型号、规格:DN200</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低压不锈钢法兰</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1.名称:不锈钢法兰</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2.材质:304不锈钢</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3.规格:DN200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4.其他:垫片</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副</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19</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304不锈钢螺栓</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1.名称:螺栓</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2.材质:304不锈钢</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3.规格:M20*75</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128</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低压不锈钢法兰</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1.名称:不锈钢法兰</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2.材质:304不锈钢</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3.规格:DN100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4.其他:垫片</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副</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304不锈钢螺栓</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1.名称:螺栓</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2.材质:304不锈钢</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3.规格:M16*70</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修补一期反应池排泥管墙体连接渗漏处合计</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更换进水在线站房排气扇</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风扇拆除 排气扇</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1.名称:轴流风机拆除</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2.规格:根据现场实际情况</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3.其他:保护性拆除</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23</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风扇</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1.名称:排气扇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2.规格:16寸前后带网，铝叶或铁叶、220V</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更换进水在线站房排气扇合计</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加装二期干化车间自来水表及中水表</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24</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水表</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1.名称:304不锈钢水表</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2.型号、规格:PN1.6Mpa,Dn80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3.连接形式:不锈钢法兰连接</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组</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水表</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1.名称:304不锈钢水表</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2.型号、规格:PN1.6Mpa,Dn100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3.连接形式:不锈钢法兰连接</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组</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26</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软接头(软管)</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1.名称:KXT可曲挠橡胶软接头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2.材质:橡胶</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3.规格:PN1.6Mpa,DN80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4.连接形式:不锈钢法兰连接</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6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27</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软接头(软管)</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1.名称:KXT可曲挠橡胶软接头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2.材质:橡胶</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3.规格:PN1.6Mpa,DN100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4.连接形式:不锈钢法兰连接</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加装二期干化车间自来水表及中水表合计</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更换提标加药间排水槽疏间板，并增设排放口</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28</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塑料管</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1.介质:排水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2.材质、规格:PVC排水管，Φ110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3.连接形式:粘接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4.压力试验及吹、洗设计要求:灌水试验</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29</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开孔(打洞)</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1.部位:墙体</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2.打洞部位材质:砖混</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3.洞尺寸:Φ150</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挖沟槽土方</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1.土壤类别:一、二类土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2.挖土深度:2m以内</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回填方</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1.密实度要求:按设计及规范要求</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2.填方材料品种:土方</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3.填方粒径要求:按设计及规范要求</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4.填方来源、运距:利用方</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更换提标加药间排水槽疏间板，并增设排放口合计</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更换二期天车控制电箱</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粤R2-1-67</w:t>
            </w: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成套配电箱拆除 悬挂嵌入式(半周长m以内) 1.5</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1.名称:原有电箱拆除</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2.其他:保护性拆除</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4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030404016003</w:t>
            </w: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控制箱</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1.名称:修改后配电箱</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2.规格:更换成不锈钢用电箱；电箱外部加装电源状态指示灯、急停按钮及操作按钮；电箱内部加装操作接触器及带漏保的动力空气开关（如D63安）</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3.安装方式:悬挂式</w:t>
            </w: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更换二期天车控制电箱合计</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高层施工增加</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脚手架搭拆费</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单价措施合计</w:t>
            </w: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15" w:type="dxa"/>
            <w:gridSpan w:val="1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815" w:type="dxa"/>
            <w:gridSpan w:val="1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940"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80" w:type="dxa"/>
            <w:gridSpan w:val="2"/>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9535" w:type="dxa"/>
            <w:gridSpan w:val="19"/>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6000" w:type="dxa"/>
            <w:gridSpan w:val="10"/>
            <w:tcBorders>
              <w:top w:val="nil"/>
              <w:left w:val="nil"/>
              <w:bottom w:val="nil"/>
              <w:right w:val="nil"/>
            </w:tcBorders>
            <w:shd w:val="clear" w:color="FFFFFF" w:fill="FFFFFF"/>
            <w:noWrap w:val="0"/>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1815" w:type="dxa"/>
            <w:gridSpan w:val="5"/>
            <w:tcBorders>
              <w:top w:val="nil"/>
              <w:left w:val="nil"/>
              <w:bottom w:val="nil"/>
              <w:right w:val="nil"/>
            </w:tcBorders>
            <w:shd w:val="clear" w:color="FFFFFF" w:fill="FFFFFF"/>
            <w:noWrap w:val="0"/>
            <w:tcMar>
              <w:top w:w="15" w:type="dxa"/>
              <w:left w:w="15" w:type="dxa"/>
              <w:right w:w="15" w:type="dxa"/>
            </w:tcMar>
            <w:vAlign w:val="top"/>
          </w:tcPr>
          <w:p>
            <w:pPr>
              <w:jc w:val="left"/>
              <w:rPr>
                <w:rFonts w:hint="eastAsia" w:ascii="宋体" w:hAnsi="宋体" w:eastAsia="宋体" w:cs="宋体"/>
                <w:i w:val="0"/>
                <w:color w:val="auto"/>
                <w:sz w:val="18"/>
                <w:szCs w:val="18"/>
                <w:highlight w:val="none"/>
                <w:u w:val="single"/>
              </w:rPr>
            </w:pPr>
          </w:p>
        </w:tc>
        <w:tc>
          <w:tcPr>
            <w:tcW w:w="1720" w:type="dxa"/>
            <w:gridSpan w:val="4"/>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795" w:hRule="atLeast"/>
        </w:trPr>
        <w:tc>
          <w:tcPr>
            <w:tcW w:w="9340" w:type="dxa"/>
            <w:gridSpan w:val="18"/>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825" w:hRule="atLeast"/>
        </w:trPr>
        <w:tc>
          <w:tcPr>
            <w:tcW w:w="6000" w:type="dxa"/>
            <w:gridSpan w:val="10"/>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工程名称：安装部分</w:t>
            </w:r>
          </w:p>
        </w:tc>
        <w:tc>
          <w:tcPr>
            <w:tcW w:w="2040" w:type="dxa"/>
            <w:gridSpan w:val="6"/>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300"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570" w:hRule="atLeast"/>
        </w:trPr>
        <w:tc>
          <w:tcPr>
            <w:tcW w:w="690" w:type="dxa"/>
            <w:gridSpan w:val="2"/>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350"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420"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59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720"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825" w:type="dxa"/>
            <w:gridSpan w:val="3"/>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705"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费率(%)</w:t>
            </w:r>
          </w:p>
        </w:tc>
        <w:tc>
          <w:tcPr>
            <w:tcW w:w="740"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金额(元)</w:t>
            </w:r>
          </w:p>
        </w:tc>
        <w:tc>
          <w:tcPr>
            <w:tcW w:w="1300" w:type="dxa"/>
            <w:gridSpan w:val="2"/>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1590" w:hRule="atLeast"/>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7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7241.45</w:t>
            </w: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570" w:hRule="atLeast"/>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安装与生产同时进行增加费用</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7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570" w:hRule="atLeast"/>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在有害身体健康环境中施工增加费</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7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1080" w:hRule="atLeast"/>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在地下（暗）室、设备及大口径管道内等特殊施工部位进行施工增加费</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2865" w:hRule="atLeast"/>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7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1080" w:hRule="atLeast"/>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1080" w:hRule="atLeast"/>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交通干扰工程施工增加费</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2355" w:hRule="atLeast"/>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7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795" w:hRule="atLeast"/>
        </w:trPr>
        <w:tc>
          <w:tcPr>
            <w:tcW w:w="690" w:type="dxa"/>
            <w:gridSpan w:val="2"/>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350"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20"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地下管线交叉降效费</w:t>
            </w:r>
          </w:p>
        </w:tc>
        <w:tc>
          <w:tcPr>
            <w:tcW w:w="1590"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20"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3"/>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05"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375" w:hRule="atLeast"/>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1080" w:hRule="atLeast"/>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360" w:hRule="atLeast"/>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360" w:hRule="atLeast"/>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2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360" w:hRule="atLeast"/>
        </w:trPr>
        <w:tc>
          <w:tcPr>
            <w:tcW w:w="5770" w:type="dxa"/>
            <w:gridSpan w:val="9"/>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825" w:type="dxa"/>
            <w:gridSpan w:val="3"/>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05"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40"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00" w:type="dxa"/>
            <w:gridSpan w:val="2"/>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360" w:hRule="atLeast"/>
        </w:trPr>
        <w:tc>
          <w:tcPr>
            <w:tcW w:w="6000" w:type="dxa"/>
            <w:gridSpan w:val="10"/>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3340" w:type="dxa"/>
            <w:gridSpan w:val="8"/>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360" w:hRule="atLeast"/>
        </w:trPr>
        <w:tc>
          <w:tcPr>
            <w:tcW w:w="6000" w:type="dxa"/>
            <w:gridSpan w:val="10"/>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2040" w:type="dxa"/>
            <w:gridSpan w:val="6"/>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300" w:type="dxa"/>
            <w:gridSpan w:val="2"/>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bl>
    <w:p>
      <w:pPr>
        <w:pStyle w:val="13"/>
        <w:numPr>
          <w:ilvl w:val="0"/>
          <w:numId w:val="0"/>
        </w:numPr>
        <w:adjustRightInd w:val="0"/>
        <w:snapToGrid w:val="0"/>
        <w:spacing w:line="360" w:lineRule="auto"/>
        <w:ind w:firstLine="562"/>
        <w:rPr>
          <w:rFonts w:hint="default" w:ascii="仿宋_GB2312" w:hAnsi="仿宋_GB2312" w:eastAsia="仿宋_GB2312" w:cs="仿宋_GB2312"/>
          <w:b/>
          <w:bCs/>
          <w:color w:val="auto"/>
          <w:kern w:val="0"/>
          <w:sz w:val="28"/>
          <w:szCs w:val="20"/>
          <w:highlight w:val="none"/>
          <w:lang w:val="en-US" w:eastAsia="zh-CN" w:bidi="ar-SA"/>
        </w:rPr>
      </w:pPr>
    </w:p>
    <w:p>
      <w:pPr>
        <w:pStyle w:val="13"/>
        <w:numPr>
          <w:ilvl w:val="0"/>
          <w:numId w:val="0"/>
        </w:numPr>
        <w:adjustRightInd w:val="0"/>
        <w:snapToGrid w:val="0"/>
        <w:spacing w:line="360" w:lineRule="auto"/>
        <w:ind w:firstLine="562"/>
        <w:rPr>
          <w:rFonts w:hint="default" w:ascii="仿宋_GB2312" w:hAnsi="仿宋_GB2312" w:eastAsia="仿宋_GB2312" w:cs="仿宋_GB2312"/>
          <w:b/>
          <w:bCs/>
          <w:color w:val="auto"/>
          <w:kern w:val="0"/>
          <w:sz w:val="28"/>
          <w:szCs w:val="20"/>
          <w:highlight w:val="none"/>
          <w:lang w:val="en-US" w:eastAsia="zh-CN" w:bidi="ar-SA"/>
        </w:rPr>
      </w:pPr>
    </w:p>
    <w:p>
      <w:pPr>
        <w:pStyle w:val="13"/>
        <w:numPr>
          <w:ilvl w:val="0"/>
          <w:numId w:val="0"/>
        </w:numPr>
        <w:adjustRightInd w:val="0"/>
        <w:snapToGrid w:val="0"/>
        <w:spacing w:line="360" w:lineRule="auto"/>
        <w:ind w:firstLine="562"/>
        <w:rPr>
          <w:rFonts w:hint="default" w:ascii="仿宋_GB2312" w:hAnsi="仿宋_GB2312" w:eastAsia="仿宋_GB2312" w:cs="仿宋_GB2312"/>
          <w:b/>
          <w:bCs/>
          <w:color w:val="auto"/>
          <w:kern w:val="0"/>
          <w:sz w:val="28"/>
          <w:szCs w:val="20"/>
          <w:highlight w:val="none"/>
          <w:lang w:val="en-US" w:eastAsia="zh-CN" w:bidi="ar-SA"/>
        </w:rPr>
      </w:pPr>
    </w:p>
    <w:p>
      <w:pPr>
        <w:pStyle w:val="13"/>
        <w:numPr>
          <w:ilvl w:val="0"/>
          <w:numId w:val="0"/>
        </w:numPr>
        <w:adjustRightInd w:val="0"/>
        <w:snapToGrid w:val="0"/>
        <w:spacing w:line="360" w:lineRule="auto"/>
        <w:ind w:firstLine="562"/>
        <w:rPr>
          <w:rFonts w:hint="default" w:ascii="仿宋_GB2312" w:hAnsi="仿宋_GB2312" w:eastAsia="仿宋_GB2312" w:cs="仿宋_GB2312"/>
          <w:b/>
          <w:bCs/>
          <w:color w:val="auto"/>
          <w:kern w:val="0"/>
          <w:sz w:val="28"/>
          <w:szCs w:val="20"/>
          <w:highlight w:val="none"/>
          <w:lang w:val="en-US" w:eastAsia="zh-CN" w:bidi="ar-SA"/>
        </w:rPr>
      </w:pPr>
    </w:p>
    <w:p>
      <w:pPr>
        <w:pStyle w:val="13"/>
        <w:numPr>
          <w:ilvl w:val="0"/>
          <w:numId w:val="0"/>
        </w:numPr>
        <w:adjustRightInd w:val="0"/>
        <w:snapToGrid w:val="0"/>
        <w:spacing w:line="360" w:lineRule="auto"/>
        <w:rPr>
          <w:rFonts w:hint="default" w:ascii="仿宋_GB2312" w:hAnsi="仿宋_GB2312" w:eastAsia="仿宋_GB2312" w:cs="仿宋_GB2312"/>
          <w:b/>
          <w:bCs/>
          <w:color w:val="auto"/>
          <w:kern w:val="0"/>
          <w:sz w:val="28"/>
          <w:szCs w:val="20"/>
          <w:highlight w:val="none"/>
          <w:lang w:val="en-US" w:eastAsia="zh-CN" w:bidi="ar-SA"/>
        </w:rPr>
      </w:pPr>
      <w:r>
        <w:rPr>
          <w:rFonts w:hint="eastAsia" w:ascii="仿宋" w:hAnsi="仿宋" w:eastAsia="仿宋" w:cs="仿宋"/>
          <w:b/>
          <w:bCs/>
          <w:color w:val="auto"/>
          <w:kern w:val="0"/>
          <w:sz w:val="28"/>
          <w:szCs w:val="28"/>
          <w:highlight w:val="none"/>
          <w:vertAlign w:val="baseline"/>
          <w:lang w:val="en-US" w:eastAsia="zh-CN"/>
        </w:rPr>
        <w:t>建筑工程部分：</w:t>
      </w:r>
    </w:p>
    <w:tbl>
      <w:tblPr>
        <w:tblStyle w:val="24"/>
        <w:tblW w:w="92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55"/>
        <w:gridCol w:w="4285"/>
        <w:gridCol w:w="560"/>
        <w:gridCol w:w="1465"/>
        <w:gridCol w:w="350"/>
        <w:gridCol w:w="1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9205" w:type="dxa"/>
            <w:gridSpan w:val="6"/>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单位工程预算汇总表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000"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工程名称：建筑工程</w:t>
            </w:r>
          </w:p>
        </w:tc>
        <w:tc>
          <w:tcPr>
            <w:tcW w:w="1815"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390" w:type="dxa"/>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15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42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2025"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740" w:type="dxa"/>
            <w:gridSpan w:val="2"/>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加装提标压榨机排放口除臭罩</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加装提标废水泵房吊架</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加装二期及提标闸门活动盖板</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修复二期膜池盖板</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更换提标加药间排水槽疏间板，并增设排放口</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提标加药间地面管道及干化锅炉排污管加装盖板</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42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202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440" w:type="dxa"/>
            <w:gridSpan w:val="2"/>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预算价合计=1+2+3+5</w:t>
            </w:r>
          </w:p>
        </w:tc>
        <w:tc>
          <w:tcPr>
            <w:tcW w:w="2025"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740" w:type="dxa"/>
            <w:gridSpan w:val="2"/>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205" w:type="dxa"/>
            <w:gridSpan w:val="6"/>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00" w:type="dxa"/>
            <w:gridSpan w:val="3"/>
            <w:tcBorders>
              <w:top w:val="nil"/>
              <w:left w:val="nil"/>
              <w:bottom w:val="nil"/>
              <w:right w:val="nil"/>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815" w:type="dxa"/>
            <w:gridSpan w:val="2"/>
            <w:tcBorders>
              <w:top w:val="nil"/>
              <w:left w:val="nil"/>
              <w:bottom w:val="nil"/>
              <w:right w:val="nil"/>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390" w:type="dxa"/>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表—04</w:t>
            </w:r>
          </w:p>
        </w:tc>
      </w:tr>
    </w:tbl>
    <w:p>
      <w:pPr>
        <w:pStyle w:val="13"/>
        <w:numPr>
          <w:ilvl w:val="0"/>
          <w:numId w:val="0"/>
        </w:numPr>
        <w:adjustRightInd w:val="0"/>
        <w:snapToGrid w:val="0"/>
        <w:spacing w:line="360" w:lineRule="auto"/>
        <w:ind w:firstLine="562"/>
        <w:rPr>
          <w:rFonts w:hint="default" w:ascii="仿宋_GB2312" w:hAnsi="仿宋_GB2312" w:eastAsia="仿宋_GB2312" w:cs="仿宋_GB2312"/>
          <w:b/>
          <w:bCs/>
          <w:color w:val="auto"/>
          <w:kern w:val="0"/>
          <w:sz w:val="28"/>
          <w:szCs w:val="20"/>
          <w:highlight w:val="none"/>
          <w:lang w:val="en-US" w:eastAsia="zh-CN" w:bidi="ar-SA"/>
        </w:rPr>
      </w:pPr>
    </w:p>
    <w:tbl>
      <w:tblPr>
        <w:tblStyle w:val="24"/>
        <w:tblW w:w="94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60"/>
        <w:gridCol w:w="1335"/>
        <w:gridCol w:w="1335"/>
        <w:gridCol w:w="2125"/>
        <w:gridCol w:w="545"/>
        <w:gridCol w:w="220"/>
        <w:gridCol w:w="795"/>
        <w:gridCol w:w="800"/>
        <w:gridCol w:w="85"/>
        <w:gridCol w:w="69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9415" w:type="dxa"/>
            <w:gridSpan w:val="11"/>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000" w:type="dxa"/>
            <w:gridSpan w:val="5"/>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工程名称：建筑工程</w:t>
            </w:r>
          </w:p>
        </w:tc>
        <w:tc>
          <w:tcPr>
            <w:tcW w:w="1815"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600"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12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76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79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2400" w:type="dxa"/>
            <w:gridSpan w:val="4"/>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12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9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8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12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9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8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加装提标压榨机排放口除臭罩</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3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带骨架幕墙</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1.名称:提标压榨机排放口除臭罩（含推拉门）</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2.骨架材料种类、规格、中距:304不锈钢骨架□50*50*5，中间加Ф100*5的304不锈钢立柱</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3.面层材料品种、规格、颜色:6mm厚有机玻璃</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4.面层固定方式:铝压条上螺丝压紧</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5.门轨道种类:上吊式全轨道</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6.其他:综合考虑推拉门的安装及完成本项内容所需的一切工作</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cs="宋体"/>
                <w:i w:val="0"/>
                <w:color w:val="auto"/>
                <w:sz w:val="20"/>
                <w:szCs w:val="20"/>
                <w:highlight w:val="none"/>
                <w:u w:val="none"/>
                <w:lang w:val="en-US" w:eastAsia="zh-CN"/>
              </w:rPr>
              <w:t>63.75</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加装提标压榨机排放口除臭罩合计</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加装提标废水泵房吊架</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挖基坑土方</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1.土壤类别:一、二类土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2.挖土深度:2m 内</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cs="宋体"/>
                <w:i w:val="0"/>
                <w:color w:val="auto"/>
                <w:sz w:val="20"/>
                <w:szCs w:val="20"/>
                <w:highlight w:val="none"/>
                <w:u w:val="none"/>
                <w:lang w:val="en-US" w:eastAsia="zh-CN"/>
              </w:rPr>
              <w:t>3.2</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回填方</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1.填方材料品种:素土</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cs="宋体"/>
                <w:i w:val="0"/>
                <w:color w:val="auto"/>
                <w:sz w:val="20"/>
                <w:szCs w:val="20"/>
                <w:highlight w:val="none"/>
                <w:u w:val="none"/>
                <w:lang w:val="en-US" w:eastAsia="zh-CN"/>
              </w:rPr>
              <w:t>0.44</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余方弃置</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1.废弃料品种:土方</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2.运距:20km</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cs="宋体"/>
                <w:i w:val="0"/>
                <w:color w:val="auto"/>
                <w:sz w:val="20"/>
                <w:szCs w:val="20"/>
                <w:highlight w:val="none"/>
                <w:u w:val="none"/>
                <w:lang w:val="en-US" w:eastAsia="zh-CN"/>
              </w:rPr>
              <w:t>1.6</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余方弃置</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1.废弃料品种:土方、拆除废料</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2.运距:每增减1km</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cs="宋体"/>
                <w:i w:val="0"/>
                <w:color w:val="auto"/>
                <w:sz w:val="20"/>
                <w:szCs w:val="20"/>
                <w:highlight w:val="none"/>
                <w:u w:val="none"/>
                <w:lang w:val="en-US" w:eastAsia="zh-CN"/>
              </w:rPr>
              <w:t>1</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设备基础</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1.部位:废水泵房左侧浇筑C30混泥土操控平台</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2.混凝土强度等级:C30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3.厚度:15cm</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cs="宋体"/>
                <w:i w:val="0"/>
                <w:color w:val="auto"/>
                <w:sz w:val="20"/>
                <w:szCs w:val="20"/>
                <w:highlight w:val="none"/>
                <w:u w:val="none"/>
                <w:lang w:val="en-US" w:eastAsia="zh-CN"/>
              </w:rPr>
              <w:t>2.4</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垫层</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1.垫层种类:石粉</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2.厚度:10cm</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cs="宋体"/>
                <w:i w:val="0"/>
                <w:color w:val="auto"/>
                <w:sz w:val="20"/>
                <w:szCs w:val="20"/>
                <w:highlight w:val="none"/>
                <w:u w:val="none"/>
                <w:lang w:val="en-US" w:eastAsia="zh-CN"/>
              </w:rPr>
              <w:t>1.6</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金属扶手、栏杆、栏板</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1.名称:插装式304不锈钢活动护栏</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2.栏杆材料种类、规格:304不锈钢管 Φ58*1.5</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3.其他:护栏间安装活动加固构件，每米1个；综合考虑连接材料等完成本项内容所需的一切工作</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加装提标废水泵房吊架合计</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加装二期及提标闸门活动盖板</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墙面装饰板</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1.名称:304不锈钢活动罩</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2.龙骨材料种类、规格、中距:304不锈钢方管30*30*3制作固定边框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3.面层材料品种、规格、颜色:304不锈钢3mm板材</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4.压条材料种类、规格:橡胶压条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5.螺栓材料种类、规格:304不锈钢内六角螺栓M8</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6.其他:综合考虑完成本项内容所需的一切工作</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129.41</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加装二期及提标闸门活动盖板合计</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修复二期膜池盖板</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尼龙轮更换</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1.规格:1.2-1.5寸尼龙轮</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2.支架材料种类、规格:304不锈钢支架</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2184</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修复二期膜池盖板合计</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更换提标加药间排水槽疏间板，并增设排放口</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其他金属构件拆除</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1.构件名称:排水槽疏间板</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沟道盖板</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1.材质:玻璃钢格栅板</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2.规格尺寸:1000*700*50</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其他金属构件拆除</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1.构件名称:316不锈钢角钢边框</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22.4</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零星钢构件</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1.构件名称:316不锈钢角钢边框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2.钢材品种、规格:5#*4mm</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0.069</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余方弃置</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1.废弃料品种:拆除废料</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2.运距:20km</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0.96</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更换提标加药间排水槽疏间板，并增设排放口合计</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提标加药间地面管道及干化锅炉排污管加装盖板</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金属复合地板</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1.面层材料品种、规格、颜色:3mm厚304不锈钢花纹钢板踏板</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7.08</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提标加药间地面管道及干化锅炉排污管加装盖板合计</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活动脚手架</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1.搭设部位:墙面</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100.71</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基础</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1.基础类型:设备基础</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2.4</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19</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基础</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1.基础类型:垫层</w:t>
            </w: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w:t>
            </w: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单价措施合计</w:t>
            </w: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1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8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900" w:type="dxa"/>
            <w:gridSpan w:val="9"/>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900" w:type="dxa"/>
            <w:gridSpan w:val="9"/>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690"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9415" w:type="dxa"/>
            <w:gridSpan w:val="11"/>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6000" w:type="dxa"/>
            <w:gridSpan w:val="5"/>
            <w:tcBorders>
              <w:top w:val="nil"/>
              <w:left w:val="nil"/>
              <w:bottom w:val="nil"/>
              <w:right w:val="nil"/>
            </w:tcBorders>
            <w:shd w:val="clear" w:color="FFFFFF" w:fill="FFFFFF"/>
            <w:noWrap w:val="0"/>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1815" w:type="dxa"/>
            <w:gridSpan w:val="3"/>
            <w:tcBorders>
              <w:top w:val="nil"/>
              <w:left w:val="nil"/>
              <w:bottom w:val="nil"/>
              <w:right w:val="nil"/>
            </w:tcBorders>
            <w:shd w:val="clear" w:color="FFFFFF" w:fill="FFFFFF"/>
            <w:noWrap w:val="0"/>
            <w:tcMar>
              <w:top w:w="15" w:type="dxa"/>
              <w:left w:w="15" w:type="dxa"/>
              <w:right w:w="15" w:type="dxa"/>
            </w:tcMar>
            <w:vAlign w:val="top"/>
          </w:tcPr>
          <w:p>
            <w:pPr>
              <w:jc w:val="left"/>
              <w:rPr>
                <w:rFonts w:hint="eastAsia" w:ascii="宋体" w:hAnsi="宋体" w:eastAsia="宋体" w:cs="宋体"/>
                <w:i w:val="0"/>
                <w:color w:val="auto"/>
                <w:sz w:val="18"/>
                <w:szCs w:val="18"/>
                <w:highlight w:val="none"/>
                <w:u w:val="single"/>
              </w:rPr>
            </w:pPr>
          </w:p>
        </w:tc>
        <w:tc>
          <w:tcPr>
            <w:tcW w:w="1600" w:type="dxa"/>
            <w:gridSpan w:val="3"/>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表—08</w:t>
            </w:r>
          </w:p>
        </w:tc>
      </w:tr>
    </w:tbl>
    <w:p>
      <w:pPr>
        <w:pStyle w:val="13"/>
        <w:numPr>
          <w:ilvl w:val="0"/>
          <w:numId w:val="0"/>
        </w:numPr>
        <w:adjustRightInd w:val="0"/>
        <w:snapToGrid w:val="0"/>
        <w:spacing w:line="360" w:lineRule="auto"/>
        <w:ind w:firstLine="562"/>
        <w:rPr>
          <w:rFonts w:hint="default" w:ascii="仿宋_GB2312" w:hAnsi="仿宋_GB2312" w:eastAsia="仿宋_GB2312" w:cs="仿宋_GB2312"/>
          <w:b/>
          <w:bCs/>
          <w:color w:val="auto"/>
          <w:kern w:val="0"/>
          <w:sz w:val="28"/>
          <w:szCs w:val="20"/>
          <w:highlight w:val="none"/>
          <w:lang w:val="en-US" w:eastAsia="zh-CN" w:bidi="ar-SA"/>
        </w:rPr>
      </w:pPr>
    </w:p>
    <w:tbl>
      <w:tblPr>
        <w:tblStyle w:val="24"/>
        <w:tblW w:w="93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90"/>
        <w:gridCol w:w="1350"/>
        <w:gridCol w:w="1585"/>
        <w:gridCol w:w="1185"/>
        <w:gridCol w:w="885"/>
        <w:gridCol w:w="305"/>
        <w:gridCol w:w="595"/>
        <w:gridCol w:w="945"/>
        <w:gridCol w:w="500"/>
        <w:gridCol w:w="400"/>
        <w:gridCol w:w="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9340" w:type="dxa"/>
            <w:gridSpan w:val="11"/>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6000" w:type="dxa"/>
            <w:gridSpan w:val="6"/>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工程名称：建筑工程</w:t>
            </w:r>
          </w:p>
        </w:tc>
        <w:tc>
          <w:tcPr>
            <w:tcW w:w="2040"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300"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5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1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8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900"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94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费率(%)</w:t>
            </w:r>
          </w:p>
        </w:tc>
        <w:tc>
          <w:tcPr>
            <w:tcW w:w="900"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金额(元)</w:t>
            </w:r>
          </w:p>
        </w:tc>
        <w:tc>
          <w:tcPr>
            <w:tcW w:w="900"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4253.10</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95" w:type="dxa"/>
            <w:gridSpan w:val="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900"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00"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00" w:type="dxa"/>
            <w:gridSpan w:val="6"/>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3340" w:type="dxa"/>
            <w:gridSpan w:val="5"/>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00" w:type="dxa"/>
            <w:gridSpan w:val="6"/>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2040" w:type="dxa"/>
            <w:gridSpan w:val="3"/>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300" w:type="dxa"/>
            <w:gridSpan w:val="2"/>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bl>
    <w:p>
      <w:pPr>
        <w:pStyle w:val="13"/>
        <w:numPr>
          <w:ilvl w:val="0"/>
          <w:numId w:val="0"/>
        </w:numPr>
        <w:adjustRightInd w:val="0"/>
        <w:snapToGrid w:val="0"/>
        <w:spacing w:line="360" w:lineRule="auto"/>
        <w:ind w:firstLine="562"/>
        <w:rPr>
          <w:rFonts w:hint="default" w:ascii="仿宋_GB2312" w:hAnsi="仿宋_GB2312" w:eastAsia="仿宋_GB2312" w:cs="仿宋_GB2312"/>
          <w:b/>
          <w:bCs/>
          <w:color w:val="auto"/>
          <w:kern w:val="0"/>
          <w:sz w:val="28"/>
          <w:szCs w:val="20"/>
          <w:highlight w:val="none"/>
          <w:lang w:val="en-US" w:eastAsia="zh-CN" w:bidi="ar-SA"/>
        </w:rPr>
      </w:pPr>
    </w:p>
    <w:tbl>
      <w:tblPr>
        <w:tblStyle w:val="24"/>
        <w:tblW w:w="95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065"/>
        <w:gridCol w:w="3115"/>
        <w:gridCol w:w="1820"/>
        <w:gridCol w:w="1585"/>
        <w:gridCol w:w="230"/>
        <w:gridCol w:w="1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15" w:type="dxa"/>
            <w:gridSpan w:val="5"/>
            <w:tcBorders>
              <w:top w:val="nil"/>
              <w:left w:val="nil"/>
              <w:bottom w:val="nil"/>
              <w:right w:val="nil"/>
            </w:tcBorders>
            <w:shd w:val="clear" w:color="FFFFFF" w:fill="FFFFFF"/>
            <w:noWrap w:val="0"/>
            <w:tcMar>
              <w:top w:w="15" w:type="dxa"/>
              <w:left w:w="15" w:type="dxa"/>
              <w:right w:w="15" w:type="dxa"/>
            </w:tcMar>
            <w:vAlign w:val="center"/>
          </w:tcPr>
          <w:p>
            <w:pPr>
              <w:jc w:val="center"/>
              <w:rPr>
                <w:rFonts w:hint="eastAsia" w:ascii="宋体" w:hAnsi="宋体" w:eastAsia="宋体" w:cs="宋体"/>
                <w:b/>
                <w:i w:val="0"/>
                <w:color w:val="auto"/>
                <w:sz w:val="20"/>
                <w:szCs w:val="20"/>
                <w:highlight w:val="none"/>
                <w:u w:val="none"/>
              </w:rPr>
            </w:pPr>
          </w:p>
        </w:tc>
        <w:tc>
          <w:tcPr>
            <w:tcW w:w="1690" w:type="dxa"/>
            <w:tcBorders>
              <w:top w:val="nil"/>
              <w:left w:val="nil"/>
              <w:bottom w:val="nil"/>
              <w:right w:val="nil"/>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9505" w:type="dxa"/>
            <w:gridSpan w:val="6"/>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000"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工程名称：建筑工程</w:t>
            </w:r>
          </w:p>
        </w:tc>
        <w:tc>
          <w:tcPr>
            <w:tcW w:w="1815"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690" w:type="dxa"/>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06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31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82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5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结算金额（元）</w:t>
            </w:r>
          </w:p>
        </w:tc>
        <w:tc>
          <w:tcPr>
            <w:tcW w:w="1920" w:type="dxa"/>
            <w:gridSpan w:val="2"/>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材料暂估价</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专业工程暂估价</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1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8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11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1820"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58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920" w:type="dxa"/>
            <w:gridSpan w:val="2"/>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505" w:type="dxa"/>
            <w:gridSpan w:val="6"/>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00" w:type="dxa"/>
            <w:gridSpan w:val="3"/>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815" w:type="dxa"/>
            <w:gridSpan w:val="2"/>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690" w:type="dxa"/>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表—12</w:t>
            </w:r>
          </w:p>
        </w:tc>
      </w:tr>
    </w:tbl>
    <w:p>
      <w:pPr>
        <w:pStyle w:val="13"/>
        <w:numPr>
          <w:ilvl w:val="0"/>
          <w:numId w:val="0"/>
        </w:numPr>
        <w:adjustRightInd w:val="0"/>
        <w:snapToGrid w:val="0"/>
        <w:spacing w:line="360" w:lineRule="auto"/>
        <w:ind w:firstLine="562"/>
        <w:rPr>
          <w:rFonts w:hint="default" w:ascii="仿宋_GB2312" w:hAnsi="仿宋_GB2312" w:eastAsia="仿宋_GB2312" w:cs="仿宋_GB2312"/>
          <w:b/>
          <w:bCs/>
          <w:color w:val="auto"/>
          <w:kern w:val="0"/>
          <w:sz w:val="28"/>
          <w:szCs w:val="20"/>
          <w:highlight w:val="none"/>
          <w:lang w:val="en-US" w:eastAsia="zh-CN" w:bidi="ar-SA"/>
        </w:rPr>
      </w:pPr>
    </w:p>
    <w:tbl>
      <w:tblPr>
        <w:tblStyle w:val="24"/>
        <w:tblW w:w="96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15"/>
        <w:gridCol w:w="2415"/>
        <w:gridCol w:w="2670"/>
        <w:gridCol w:w="195"/>
        <w:gridCol w:w="1120"/>
        <w:gridCol w:w="500"/>
        <w:gridCol w:w="580"/>
        <w:gridCol w:w="1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9610" w:type="dxa"/>
            <w:gridSpan w:val="8"/>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000"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工程名称：建筑工程</w:t>
            </w:r>
          </w:p>
        </w:tc>
        <w:tc>
          <w:tcPr>
            <w:tcW w:w="1815"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795"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865"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112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取费基数</w:t>
            </w:r>
          </w:p>
        </w:tc>
        <w:tc>
          <w:tcPr>
            <w:tcW w:w="1080"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121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分部分项合计+措施合计+其他项目</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9</w:t>
            </w:r>
          </w:p>
        </w:tc>
        <w:tc>
          <w:tcPr>
            <w:tcW w:w="121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395" w:type="dxa"/>
            <w:gridSpan w:val="7"/>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    计</w:t>
            </w:r>
          </w:p>
        </w:tc>
        <w:tc>
          <w:tcPr>
            <w:tcW w:w="121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00" w:type="dxa"/>
            <w:gridSpan w:val="3"/>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编制人（造价人员）：</w:t>
            </w:r>
          </w:p>
        </w:tc>
        <w:tc>
          <w:tcPr>
            <w:tcW w:w="3610" w:type="dxa"/>
            <w:gridSpan w:val="5"/>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00" w:type="dxa"/>
            <w:gridSpan w:val="3"/>
            <w:tcBorders>
              <w:top w:val="nil"/>
              <w:left w:val="nil"/>
              <w:bottom w:val="nil"/>
              <w:right w:val="nil"/>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815" w:type="dxa"/>
            <w:gridSpan w:val="3"/>
            <w:tcBorders>
              <w:top w:val="nil"/>
              <w:left w:val="nil"/>
              <w:bottom w:val="nil"/>
              <w:right w:val="nil"/>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795"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表—13</w:t>
            </w:r>
          </w:p>
        </w:tc>
      </w:tr>
    </w:tbl>
    <w:p>
      <w:pPr>
        <w:pStyle w:val="31"/>
        <w:rPr>
          <w:rFonts w:hint="eastAsia"/>
          <w:color w:val="auto"/>
          <w:highlight w:val="none"/>
        </w:rPr>
      </w:pPr>
    </w:p>
    <w:p>
      <w:pPr>
        <w:adjustRightInd w:val="0"/>
        <w:snapToGrid w:val="0"/>
        <w:spacing w:line="300" w:lineRule="auto"/>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四</w:t>
      </w:r>
      <w:r>
        <w:rPr>
          <w:rFonts w:hint="eastAsia" w:ascii="仿宋" w:hAnsi="仿宋" w:eastAsia="仿宋" w:cs="仿宋_GB2312"/>
          <w:b/>
          <w:color w:val="auto"/>
          <w:sz w:val="28"/>
          <w:szCs w:val="28"/>
          <w:highlight w:val="none"/>
        </w:rPr>
        <w:t>：</w:t>
      </w:r>
    </w:p>
    <w:p>
      <w:pPr>
        <w:pStyle w:val="11"/>
        <w:ind w:firstLine="562" w:firstLineChars="200"/>
        <w:rPr>
          <w:rFonts w:hint="eastAsia" w:ascii="仿宋_GB2312" w:hAnsi="仿宋_GB2312" w:eastAsia="仿宋_GB2312" w:cs="仿宋_GB2312"/>
          <w:b/>
          <w:bCs w:val="0"/>
          <w:color w:val="auto"/>
          <w:sz w:val="28"/>
          <w:szCs w:val="28"/>
          <w:highlight w:val="none"/>
          <w:lang w:val="en-US" w:eastAsia="zh-CN"/>
        </w:rPr>
      </w:pPr>
    </w:p>
    <w:tbl>
      <w:tblPr>
        <w:tblStyle w:val="2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6"/>
        <w:gridCol w:w="544"/>
        <w:gridCol w:w="41"/>
        <w:gridCol w:w="153"/>
        <w:gridCol w:w="303"/>
        <w:gridCol w:w="703"/>
        <w:gridCol w:w="124"/>
        <w:gridCol w:w="933"/>
        <w:gridCol w:w="289"/>
        <w:gridCol w:w="232"/>
        <w:gridCol w:w="593"/>
        <w:gridCol w:w="680"/>
        <w:gridCol w:w="474"/>
        <w:gridCol w:w="27"/>
        <w:gridCol w:w="190"/>
        <w:gridCol w:w="46"/>
        <w:gridCol w:w="431"/>
        <w:gridCol w:w="78"/>
        <w:gridCol w:w="298"/>
        <w:gridCol w:w="247"/>
        <w:gridCol w:w="224"/>
        <w:gridCol w:w="2"/>
        <w:gridCol w:w="25"/>
        <w:gridCol w:w="342"/>
        <w:gridCol w:w="9"/>
        <w:gridCol w:w="575"/>
        <w:gridCol w:w="122"/>
        <w:gridCol w:w="121"/>
        <w:gridCol w:w="218"/>
        <w:gridCol w:w="197"/>
        <w:gridCol w:w="6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795" w:hRule="atLeast"/>
        </w:trPr>
        <w:tc>
          <w:tcPr>
            <w:tcW w:w="4537" w:type="pct"/>
            <w:gridSpan w:val="29"/>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57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工程名称：大沙地分公司厂区生化池泥管、绿化草坪自来水管及中水管道维修项目</w:t>
            </w:r>
          </w:p>
        </w:tc>
        <w:tc>
          <w:tcPr>
            <w:tcW w:w="868" w:type="pct"/>
            <w:gridSpan w:val="8"/>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796" w:type="pct"/>
            <w:gridSpan w:val="8"/>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75" w:hRule="atLeast"/>
        </w:trPr>
        <w:tc>
          <w:tcPr>
            <w:tcW w:w="602" w:type="pct"/>
            <w:gridSpan w:val="5"/>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619" w:type="pct"/>
            <w:gridSpan w:val="6"/>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1085" w:type="pct"/>
            <w:gridSpan w:val="7"/>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230" w:type="pct"/>
            <w:gridSpan w:val="11"/>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602" w:type="pct"/>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619"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85"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2222" w:type="pct"/>
            <w:gridSpan w:val="11"/>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招标控制价合计=1+2+3+5</w:t>
            </w:r>
          </w:p>
        </w:tc>
        <w:tc>
          <w:tcPr>
            <w:tcW w:w="1085" w:type="pct"/>
            <w:gridSpan w:val="7"/>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230" w:type="pct"/>
            <w:gridSpan w:val="11"/>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4537" w:type="pct"/>
            <w:gridSpan w:val="29"/>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462" w:type="pct"/>
          <w:trHeight w:val="36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68" w:type="pct"/>
            <w:gridSpan w:val="8"/>
            <w:tcBorders>
              <w:top w:val="nil"/>
              <w:left w:val="nil"/>
              <w:bottom w:val="nil"/>
              <w:right w:val="nil"/>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96" w:type="pct"/>
            <w:gridSpan w:val="8"/>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4"/>
          <w:wAfter w:w="653" w:type="pct"/>
          <w:trHeight w:val="795" w:hRule="atLeast"/>
        </w:trPr>
        <w:tc>
          <w:tcPr>
            <w:tcW w:w="4346" w:type="pct"/>
            <w:gridSpan w:val="27"/>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57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工程名称：大沙地分公司厂区生化池泥管、绿化草坪自来水管及中水管道维修项目</w:t>
            </w:r>
          </w:p>
        </w:tc>
        <w:tc>
          <w:tcPr>
            <w:tcW w:w="868" w:type="pct"/>
            <w:gridSpan w:val="8"/>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907" w:type="pct"/>
            <w:gridSpan w:val="9"/>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45" w:hRule="atLeast"/>
        </w:trPr>
        <w:tc>
          <w:tcPr>
            <w:tcW w:w="322"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746"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89"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263"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243"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351"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030" w:type="pct"/>
            <w:gridSpan w:val="10"/>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45" w:hRule="atLeast"/>
        </w:trPr>
        <w:tc>
          <w:tcPr>
            <w:tcW w:w="32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6"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63"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3"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51"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34"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393"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45" w:hRule="atLeast"/>
        </w:trPr>
        <w:tc>
          <w:tcPr>
            <w:tcW w:w="32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6"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63"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3"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51"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34"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93"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整个项目</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108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停排泥泵设备，关阀门、排空管内泥水，漏水段切割管道</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1.名称：停排泥泵设备，关阀门、排空管内泥水，漏水段切割管道</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2.型号规格：A3钢 DN200</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825"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304不锈钢平焊法兰（管道上、弯头处）</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1.名称：304不锈钢平焊法兰（管道上、弯头处）</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2.型号规格：DN200</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片</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24</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825"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铸铁单向阀</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1.名称：铸铁单向阀</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2.连接形式：法兰连接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3.型号规格：DN200</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108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不锈钢弯头</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1.名称：不锈钢弯头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2.连接形式：焊接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3.型号规格：304不锈钢 DN200</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825"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不锈钢管</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1.名称：不锈钢管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2.连接形式：焊接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3.型号规格：DN200*8</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825"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闸阀</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1.名称：闸阀</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2.连接形式：法兰连接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3.型号规格：DN200</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825"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安装304不锈钢螺栓M20*75及配套螺母</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1.名称：安装304不锈钢螺栓M20*75及配套螺母</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176</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开泵试压调试</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开泵试压调试</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825"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关自来水阀门，排空管内积水，漏水段管道切断</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1.名称：关自来水阀门，排空管内积水，漏水段管道切断</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2.型号规格：DN200PE热熔管</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825"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直通DN200</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1.名称：直通</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2.连接形式：粘接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3.型号规格：PE热熔DN200</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57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PE热熔法兰</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1.名称：PE热熔法兰</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2.型号规格：DN200</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片</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108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304不锈钢橡胶伸缩节</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1.名称：橡胶伸缩节</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2.连接形式：焊接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3.型号规格：304不锈钢 DN200</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开阀试压</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开阀试压</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57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安装橡胶密封垫片</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1.名称：安装橡胶密封垫片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2.型号规格：硅胶 DN200</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块</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24</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3953" w:type="pct"/>
            <w:gridSpan w:val="2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393" w:type="pct"/>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02" w:type="pct"/>
            <w:gridSpan w:val="3"/>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4648" w:type="pct"/>
            <w:gridSpan w:val="30"/>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868" w:type="pct"/>
            <w:gridSpan w:val="8"/>
            <w:tcBorders>
              <w:top w:val="nil"/>
              <w:left w:val="nil"/>
              <w:bottom w:val="nil"/>
              <w:right w:val="nil"/>
            </w:tcBorders>
            <w:shd w:val="clear" w:color="FFFFFF" w:fill="FFFFFF"/>
            <w:noWrap w:val="0"/>
            <w:tcMar>
              <w:top w:w="15" w:type="dxa"/>
              <w:left w:w="15" w:type="dxa"/>
              <w:right w:w="15" w:type="dxa"/>
            </w:tcMar>
            <w:vAlign w:val="top"/>
          </w:tcPr>
          <w:p>
            <w:pPr>
              <w:jc w:val="left"/>
              <w:rPr>
                <w:rFonts w:hint="eastAsia" w:ascii="宋体" w:hAnsi="宋体" w:eastAsia="宋体" w:cs="宋体"/>
                <w:i w:val="0"/>
                <w:color w:val="auto"/>
                <w:sz w:val="18"/>
                <w:szCs w:val="18"/>
                <w:highlight w:val="none"/>
                <w:u w:val="single"/>
              </w:rPr>
            </w:pPr>
          </w:p>
        </w:tc>
        <w:tc>
          <w:tcPr>
            <w:tcW w:w="907" w:type="pct"/>
            <w:gridSpan w:val="9"/>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795" w:hRule="atLeast"/>
        </w:trPr>
        <w:tc>
          <w:tcPr>
            <w:tcW w:w="4648" w:type="pct"/>
            <w:gridSpan w:val="30"/>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57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工程名称：大沙地分公司厂区生化池泥管、绿化草坪自来水管及中水管道维修项目</w:t>
            </w:r>
          </w:p>
        </w:tc>
        <w:tc>
          <w:tcPr>
            <w:tcW w:w="868" w:type="pct"/>
            <w:gridSpan w:val="8"/>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907" w:type="pct"/>
            <w:gridSpan w:val="9"/>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45" w:hRule="atLeast"/>
        </w:trPr>
        <w:tc>
          <w:tcPr>
            <w:tcW w:w="322"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746"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89"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263"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243"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351"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030" w:type="pct"/>
            <w:gridSpan w:val="10"/>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45" w:hRule="atLeast"/>
        </w:trPr>
        <w:tc>
          <w:tcPr>
            <w:tcW w:w="32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6"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63"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3"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51"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34"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393"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570" w:hRule="atLeast"/>
        </w:trPr>
        <w:tc>
          <w:tcPr>
            <w:tcW w:w="32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6"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63"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3"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51"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34"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93"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825"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关中水阀门，排空管内积水，漏水段管道切断</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1.名称：关中水阀门，排空管内积水，漏水段管道切断</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2.型号规格：DN200PE热熔管</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825"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开挖草坪</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1.名称：开挖草坪</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2.草坪面积：600*7000*500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3.素土</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4.2</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57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回填方</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1.名称：回填素土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2.草坪面积：600*7000*500</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4.2</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825"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草坪恢复</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1.名称：草坪恢复</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2.草坪面积：600*7000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3.台湾草浇花3次</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19</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高层施工增加</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脚手架搭拆费</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单价措施合计</w:t>
            </w: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322"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6"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89"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63" w:type="pct"/>
            <w:gridSpan w:val="7"/>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51"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34"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3953" w:type="pct"/>
            <w:gridSpan w:val="2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39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02"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3953" w:type="pct"/>
            <w:gridSpan w:val="2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393" w:type="pct"/>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02" w:type="pct"/>
            <w:gridSpan w:val="3"/>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4648" w:type="pct"/>
            <w:gridSpan w:val="30"/>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51" w:type="pct"/>
          <w:trHeight w:val="36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868" w:type="pct"/>
            <w:gridSpan w:val="8"/>
            <w:tcBorders>
              <w:top w:val="nil"/>
              <w:left w:val="nil"/>
              <w:bottom w:val="nil"/>
              <w:right w:val="nil"/>
            </w:tcBorders>
            <w:shd w:val="clear" w:color="FFFFFF" w:fill="FFFFFF"/>
            <w:noWrap w:val="0"/>
            <w:tcMar>
              <w:top w:w="15" w:type="dxa"/>
              <w:left w:w="15" w:type="dxa"/>
              <w:right w:w="15" w:type="dxa"/>
            </w:tcMar>
            <w:vAlign w:val="top"/>
          </w:tcPr>
          <w:p>
            <w:pPr>
              <w:jc w:val="left"/>
              <w:rPr>
                <w:rFonts w:hint="eastAsia" w:ascii="宋体" w:hAnsi="宋体" w:eastAsia="宋体" w:cs="宋体"/>
                <w:i w:val="0"/>
                <w:color w:val="auto"/>
                <w:sz w:val="18"/>
                <w:szCs w:val="18"/>
                <w:highlight w:val="none"/>
                <w:u w:val="single"/>
              </w:rPr>
            </w:pPr>
          </w:p>
        </w:tc>
        <w:tc>
          <w:tcPr>
            <w:tcW w:w="907" w:type="pct"/>
            <w:gridSpan w:val="9"/>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884" w:hRule="atLeast"/>
        </w:trPr>
        <w:tc>
          <w:tcPr>
            <w:tcW w:w="4984" w:type="pct"/>
            <w:gridSpan w:val="30"/>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57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工程名称：大沙地分公司厂区生化池泥管、绿化草坪自来水管及中水管道维修项目</w:t>
            </w:r>
          </w:p>
        </w:tc>
        <w:tc>
          <w:tcPr>
            <w:tcW w:w="868" w:type="pct"/>
            <w:gridSpan w:val="9"/>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2" w:type="pct"/>
            <w:gridSpan w:val="8"/>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825" w:hRule="atLeast"/>
        </w:trPr>
        <w:tc>
          <w:tcPr>
            <w:tcW w:w="330" w:type="pct"/>
            <w:gridSpan w:val="2"/>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53" w:type="pct"/>
            <w:gridSpan w:val="3"/>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890" w:type="pct"/>
            <w:gridSpan w:val="4"/>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717" w:type="pct"/>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387" w:type="pct"/>
            <w:gridSpan w:val="3"/>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481" w:type="pct"/>
            <w:gridSpan w:val="4"/>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473" w:type="pct"/>
            <w:gridSpan w:val="5"/>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466" w:type="pct"/>
            <w:gridSpan w:val="4"/>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583" w:type="pct"/>
            <w:gridSpan w:val="3"/>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1590" w:hRule="atLeast"/>
        </w:trPr>
        <w:tc>
          <w:tcPr>
            <w:tcW w:w="330"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653"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0"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71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7"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81"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3456.74</w:t>
            </w:r>
          </w:p>
        </w:tc>
        <w:tc>
          <w:tcPr>
            <w:tcW w:w="473"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6"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3"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570" w:hRule="atLeast"/>
        </w:trPr>
        <w:tc>
          <w:tcPr>
            <w:tcW w:w="330"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653"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0"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安装与生产同时进行增加费用</w:t>
            </w:r>
          </w:p>
        </w:tc>
        <w:tc>
          <w:tcPr>
            <w:tcW w:w="71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387"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81"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3"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6"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3"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570" w:hRule="atLeast"/>
        </w:trPr>
        <w:tc>
          <w:tcPr>
            <w:tcW w:w="330"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653"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0"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在有害身体健康环境中施工增加费</w:t>
            </w:r>
          </w:p>
        </w:tc>
        <w:tc>
          <w:tcPr>
            <w:tcW w:w="71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387"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81"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3"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6"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3"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1080" w:hRule="atLeast"/>
        </w:trPr>
        <w:tc>
          <w:tcPr>
            <w:tcW w:w="330"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653"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0"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在地下（暗）室、设备及大口径管道内等特殊施工部位进行施工增加费</w:t>
            </w:r>
          </w:p>
        </w:tc>
        <w:tc>
          <w:tcPr>
            <w:tcW w:w="71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7"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481"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3"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6"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3"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2610" w:hRule="atLeast"/>
        </w:trPr>
        <w:tc>
          <w:tcPr>
            <w:tcW w:w="330"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653"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0"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71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7"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81"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3"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6"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3"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825" w:hRule="atLeast"/>
        </w:trPr>
        <w:tc>
          <w:tcPr>
            <w:tcW w:w="330"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653"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0"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71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7"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481"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3"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6"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3"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1080" w:hRule="atLeast"/>
        </w:trPr>
        <w:tc>
          <w:tcPr>
            <w:tcW w:w="330"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653"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0"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交通干扰工程施工增加费</w:t>
            </w:r>
          </w:p>
        </w:tc>
        <w:tc>
          <w:tcPr>
            <w:tcW w:w="71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7"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481"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3"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6"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3"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2355" w:hRule="atLeast"/>
        </w:trPr>
        <w:tc>
          <w:tcPr>
            <w:tcW w:w="330"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653"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0"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71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7"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81"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3"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6"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3"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1080" w:hRule="atLeast"/>
        </w:trPr>
        <w:tc>
          <w:tcPr>
            <w:tcW w:w="330" w:type="pct"/>
            <w:gridSpan w:val="2"/>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653" w:type="pct"/>
            <w:gridSpan w:val="3"/>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0" w:type="pct"/>
            <w:gridSpan w:val="4"/>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地下管线交叉降效费</w:t>
            </w:r>
          </w:p>
        </w:tc>
        <w:tc>
          <w:tcPr>
            <w:tcW w:w="717" w:type="pct"/>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7" w:type="pct"/>
            <w:gridSpan w:val="3"/>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81" w:type="pct"/>
            <w:gridSpan w:val="4"/>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3" w:type="pct"/>
            <w:gridSpan w:val="5"/>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6" w:type="pct"/>
            <w:gridSpan w:val="4"/>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3" w:type="pct"/>
            <w:gridSpan w:val="3"/>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36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2111" w:type="pct"/>
            <w:gridSpan w:val="17"/>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36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868" w:type="pct"/>
            <w:gridSpan w:val="9"/>
            <w:tcBorders>
              <w:top w:val="nil"/>
              <w:left w:val="nil"/>
              <w:bottom w:val="nil"/>
              <w:right w:val="nil"/>
            </w:tcBorders>
            <w:shd w:val="clear" w:color="FFFFFF" w:fill="FFFFFF"/>
            <w:noWrap w:val="0"/>
            <w:tcMar>
              <w:top w:w="15" w:type="dxa"/>
              <w:left w:w="15" w:type="dxa"/>
              <w:right w:w="15" w:type="dxa"/>
            </w:tcMar>
            <w:vAlign w:val="top"/>
          </w:tcPr>
          <w:p>
            <w:pPr>
              <w:jc w:val="right"/>
              <w:rPr>
                <w:rFonts w:hint="eastAsia" w:ascii="宋体" w:hAnsi="宋体" w:eastAsia="宋体" w:cs="宋体"/>
                <w:i w:val="0"/>
                <w:color w:val="auto"/>
                <w:sz w:val="18"/>
                <w:szCs w:val="18"/>
                <w:highlight w:val="none"/>
                <w:u w:val="none"/>
              </w:rPr>
            </w:pPr>
          </w:p>
        </w:tc>
        <w:tc>
          <w:tcPr>
            <w:tcW w:w="1242" w:type="pct"/>
            <w:gridSpan w:val="8"/>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795" w:hRule="atLeast"/>
        </w:trPr>
        <w:tc>
          <w:tcPr>
            <w:tcW w:w="4984" w:type="pct"/>
            <w:gridSpan w:val="30"/>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57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工程名称：大沙地分公司厂区生化池泥管、绿化草坪自来水管及中水管道维修项目</w:t>
            </w:r>
          </w:p>
        </w:tc>
        <w:tc>
          <w:tcPr>
            <w:tcW w:w="868" w:type="pct"/>
            <w:gridSpan w:val="9"/>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2" w:type="pct"/>
            <w:gridSpan w:val="8"/>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825" w:hRule="atLeast"/>
        </w:trPr>
        <w:tc>
          <w:tcPr>
            <w:tcW w:w="330" w:type="pct"/>
            <w:gridSpan w:val="2"/>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53" w:type="pct"/>
            <w:gridSpan w:val="3"/>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890" w:type="pct"/>
            <w:gridSpan w:val="4"/>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717" w:type="pct"/>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387" w:type="pct"/>
            <w:gridSpan w:val="3"/>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481" w:type="pct"/>
            <w:gridSpan w:val="4"/>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473" w:type="pct"/>
            <w:gridSpan w:val="5"/>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466" w:type="pct"/>
            <w:gridSpan w:val="4"/>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583" w:type="pct"/>
            <w:gridSpan w:val="3"/>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1080" w:hRule="atLeast"/>
        </w:trPr>
        <w:tc>
          <w:tcPr>
            <w:tcW w:w="330"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653"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0"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71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7"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81"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3"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6"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3"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360" w:hRule="atLeast"/>
        </w:trPr>
        <w:tc>
          <w:tcPr>
            <w:tcW w:w="330" w:type="pct"/>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53"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890"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1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7" w:type="pct"/>
            <w:gridSpan w:val="3"/>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81"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3" w:type="pct"/>
            <w:gridSpan w:val="5"/>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6"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3" w:type="pct"/>
            <w:gridSpan w:val="3"/>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360" w:hRule="atLeast"/>
        </w:trPr>
        <w:tc>
          <w:tcPr>
            <w:tcW w:w="2979" w:type="pct"/>
            <w:gridSpan w:val="14"/>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481" w:type="pct"/>
            <w:gridSpan w:val="4"/>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3" w:type="pct"/>
            <w:gridSpan w:val="5"/>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6" w:type="pct"/>
            <w:gridSpan w:val="4"/>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3" w:type="pct"/>
            <w:gridSpan w:val="3"/>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36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2111" w:type="pct"/>
            <w:gridSpan w:val="17"/>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36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868" w:type="pct"/>
            <w:gridSpan w:val="9"/>
            <w:tcBorders>
              <w:top w:val="nil"/>
              <w:left w:val="nil"/>
              <w:bottom w:val="nil"/>
              <w:right w:val="nil"/>
            </w:tcBorders>
            <w:shd w:val="clear" w:color="FFFFFF" w:fill="FFFFFF"/>
            <w:noWrap w:val="0"/>
            <w:tcMar>
              <w:top w:w="15" w:type="dxa"/>
              <w:left w:w="15" w:type="dxa"/>
              <w:right w:w="15" w:type="dxa"/>
            </w:tcMar>
            <w:vAlign w:val="top"/>
          </w:tcPr>
          <w:p>
            <w:pPr>
              <w:jc w:val="right"/>
              <w:rPr>
                <w:rFonts w:hint="eastAsia" w:ascii="宋体" w:hAnsi="宋体" w:eastAsia="宋体" w:cs="宋体"/>
                <w:i w:val="0"/>
                <w:color w:val="auto"/>
                <w:sz w:val="18"/>
                <w:szCs w:val="18"/>
                <w:highlight w:val="none"/>
                <w:u w:val="none"/>
              </w:rPr>
            </w:pPr>
          </w:p>
        </w:tc>
        <w:tc>
          <w:tcPr>
            <w:tcW w:w="1242" w:type="pct"/>
            <w:gridSpan w:val="8"/>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795" w:hRule="atLeast"/>
        </w:trPr>
        <w:tc>
          <w:tcPr>
            <w:tcW w:w="4984" w:type="pct"/>
            <w:gridSpan w:val="30"/>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57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工程名称：大沙地分公司厂区生化池泥管、绿化草坪自来水管及中水管道维修项目</w:t>
            </w:r>
          </w:p>
        </w:tc>
        <w:tc>
          <w:tcPr>
            <w:tcW w:w="868" w:type="pct"/>
            <w:gridSpan w:val="9"/>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2" w:type="pct"/>
            <w:gridSpan w:val="8"/>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570" w:hRule="atLeast"/>
        </w:trPr>
        <w:tc>
          <w:tcPr>
            <w:tcW w:w="416" w:type="pct"/>
            <w:gridSpan w:val="3"/>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163" w:type="pct"/>
            <w:gridSpan w:val="4"/>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293" w:type="pct"/>
            <w:gridSpan w:val="6"/>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854" w:type="pct"/>
            <w:gridSpan w:val="8"/>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计算基数</w:t>
            </w:r>
          </w:p>
        </w:tc>
        <w:tc>
          <w:tcPr>
            <w:tcW w:w="531" w:type="pct"/>
            <w:gridSpan w:val="4"/>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725" w:type="pct"/>
            <w:gridSpan w:val="5"/>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570" w:hRule="atLeast"/>
        </w:trPr>
        <w:tc>
          <w:tcPr>
            <w:tcW w:w="416" w:type="pct"/>
            <w:gridSpan w:val="3"/>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163"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293"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分部分项合计+措施合计+其他项目</w:t>
            </w:r>
          </w:p>
        </w:tc>
        <w:tc>
          <w:tcPr>
            <w:tcW w:w="854" w:type="pct"/>
            <w:gridSpan w:val="8"/>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31"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725" w:type="pct"/>
            <w:gridSpan w:val="5"/>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360" w:hRule="atLeast"/>
        </w:trPr>
        <w:tc>
          <w:tcPr>
            <w:tcW w:w="416" w:type="pct"/>
            <w:gridSpan w:val="3"/>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163"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3" w:type="pct"/>
            <w:gridSpan w:val="6"/>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854" w:type="pct"/>
            <w:gridSpan w:val="8"/>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31" w:type="pct"/>
            <w:gridSpan w:val="4"/>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25" w:type="pct"/>
            <w:gridSpan w:val="5"/>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360" w:hRule="atLeast"/>
        </w:trPr>
        <w:tc>
          <w:tcPr>
            <w:tcW w:w="4258" w:type="pct"/>
            <w:gridSpan w:val="2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725" w:type="pct"/>
            <w:gridSpan w:val="5"/>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36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编制人（造价人员）：</w:t>
            </w:r>
          </w:p>
        </w:tc>
        <w:tc>
          <w:tcPr>
            <w:tcW w:w="2111" w:type="pct"/>
            <w:gridSpan w:val="17"/>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pct"/>
          <w:trHeight w:val="360" w:hRule="atLeast"/>
        </w:trPr>
        <w:tc>
          <w:tcPr>
            <w:tcW w:w="2872" w:type="pct"/>
            <w:gridSpan w:val="13"/>
            <w:tcBorders>
              <w:top w:val="nil"/>
              <w:left w:val="nil"/>
              <w:bottom w:val="nil"/>
              <w:right w:val="nil"/>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68" w:type="pct"/>
            <w:gridSpan w:val="9"/>
            <w:tcBorders>
              <w:top w:val="nil"/>
              <w:left w:val="nil"/>
              <w:bottom w:val="nil"/>
              <w:right w:val="nil"/>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2" w:type="pct"/>
            <w:gridSpan w:val="8"/>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表—13</w:t>
            </w:r>
          </w:p>
        </w:tc>
      </w:tr>
    </w:tbl>
    <w:p>
      <w:pPr>
        <w:adjustRightInd w:val="0"/>
        <w:snapToGrid w:val="0"/>
        <w:spacing w:line="300" w:lineRule="auto"/>
        <w:rPr>
          <w:rFonts w:hint="eastAsia" w:ascii="仿宋" w:hAnsi="仿宋" w:eastAsia="仿宋" w:cs="仿宋_GB2312"/>
          <w:b/>
          <w:color w:val="auto"/>
          <w:sz w:val="28"/>
          <w:szCs w:val="28"/>
          <w:highlight w:val="none"/>
        </w:rPr>
      </w:pPr>
    </w:p>
    <w:p>
      <w:pPr>
        <w:adjustRightInd w:val="0"/>
        <w:snapToGrid w:val="0"/>
        <w:spacing w:line="300" w:lineRule="auto"/>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w:t>
      </w:r>
      <w:r>
        <w:rPr>
          <w:rFonts w:hint="eastAsia" w:ascii="仿宋" w:hAnsi="仿宋" w:eastAsia="仿宋" w:cs="仿宋_GB2312"/>
          <w:b/>
          <w:color w:val="auto"/>
          <w:sz w:val="28"/>
          <w:szCs w:val="28"/>
          <w:highlight w:val="none"/>
          <w:lang w:val="en-US" w:eastAsia="zh-CN"/>
        </w:rPr>
        <w:t>目五</w:t>
      </w:r>
      <w:r>
        <w:rPr>
          <w:rFonts w:hint="eastAsia" w:ascii="仿宋" w:hAnsi="仿宋" w:eastAsia="仿宋" w:cs="仿宋_GB2312"/>
          <w:b/>
          <w:color w:val="auto"/>
          <w:sz w:val="28"/>
          <w:szCs w:val="28"/>
          <w:highlight w:val="none"/>
        </w:rPr>
        <w:t>：</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5"/>
        <w:gridCol w:w="13"/>
        <w:gridCol w:w="134"/>
        <w:gridCol w:w="136"/>
        <w:gridCol w:w="790"/>
        <w:gridCol w:w="35"/>
        <w:gridCol w:w="1001"/>
        <w:gridCol w:w="44"/>
        <w:gridCol w:w="433"/>
        <w:gridCol w:w="1379"/>
        <w:gridCol w:w="706"/>
        <w:gridCol w:w="73"/>
        <w:gridCol w:w="10"/>
        <w:gridCol w:w="71"/>
        <w:gridCol w:w="192"/>
        <w:gridCol w:w="8"/>
        <w:gridCol w:w="816"/>
        <w:gridCol w:w="63"/>
        <w:gridCol w:w="567"/>
        <w:gridCol w:w="13"/>
        <w:gridCol w:w="42"/>
        <w:gridCol w:w="69"/>
        <w:gridCol w:w="10"/>
        <w:gridCol w:w="93"/>
        <w:gridCol w:w="326"/>
        <w:gridCol w:w="112"/>
        <w:gridCol w:w="34"/>
        <w:gridCol w:w="384"/>
        <w:gridCol w:w="282"/>
        <w:gridCol w:w="6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47"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工程名称：石井净水分公司二期南四V型滤池滤头维修项目</w:t>
            </w:r>
          </w:p>
        </w:tc>
        <w:tc>
          <w:tcPr>
            <w:tcW w:w="1003"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4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28"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27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1321" w:type="pct"/>
            <w:gridSpan w:val="1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871"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2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2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1321"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47"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工程名称：石井净水分公司二期南四V型滤池滤头维修项目</w:t>
            </w:r>
          </w:p>
        </w:tc>
        <w:tc>
          <w:tcPr>
            <w:tcW w:w="1003"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4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2"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669"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566"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400" w:type="pct"/>
            <w:gridSpan w:val="9"/>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391"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412"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217"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69"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6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400"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12"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23"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423"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69"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6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400"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12"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23"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23"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开挖清砂</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1.名称:人工开挖清砂</w:t>
            </w: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滤板拆除</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1.名称:滤板拆除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2.规格:1020*976*100mm,PN=1.0MPa</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3.材质:混凝土预制滤板</w:t>
            </w: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更换曝气滤头</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1.名称:更换曝气滤头（甲供）</w:t>
            </w: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滤板安装</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1.名称:滤板安装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2.规格:1020*976*1 00mm,PN=1.OMPa</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3.材质:混凝土预制滤板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4.其他:100公斤水泥+5公斤901建筑胶水+150公斤黄沙(V滤密封胶配合比)进行调配出粘合剂</w:t>
            </w: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分筛粗细砂</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1.名称:分筛粗细砂</w:t>
            </w: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检修滤板</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1.名称:检修滤板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2.规格:1020*976*100mm,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PN=1.OMPa</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3.材质:混凝土预制滤板</w:t>
            </w: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滤板补胶</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1.名称:滤板补胶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2.规格:1020*976* 100mm,PN=1.0MPa</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3.材质:混凝土预制滤板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4.其他:100公斤水泥+5公斤901建筑胶水+150公斤黄沙(V 滤密封胶配合比)进行调配出粘合剂</w:t>
            </w: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5.97</w:t>
            </w: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砂体填埋</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1.名称:砂体填埋</w:t>
            </w: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石英砂补充</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1.名称：石英砂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2.粒径：1.5-2mm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3.均匀系数：K80=1.5</w:t>
            </w: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人工垂直运输</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1.名称:人工垂直运输</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2.运输材料:粒径为 1.5-2mm的石英砂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3.运输高度: 5米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4.运输次数: 2次</w:t>
            </w: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轴流风机通风</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1.名称:5.5kw 轴流风机通风</w:t>
            </w: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台·次</w:t>
            </w: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66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施工监测、监控</w:t>
            </w:r>
          </w:p>
        </w:tc>
        <w:tc>
          <w:tcPr>
            <w:tcW w:w="140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1.名称:气体检测</w:t>
            </w:r>
          </w:p>
        </w:tc>
        <w:tc>
          <w:tcPr>
            <w:tcW w:w="3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台·次</w:t>
            </w:r>
          </w:p>
        </w:tc>
        <w:tc>
          <w:tcPr>
            <w:tcW w:w="41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2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工程名称：石井净水分公司二期南四V型滤池滤头维修项目</w:t>
            </w:r>
          </w:p>
        </w:tc>
        <w:tc>
          <w:tcPr>
            <w:tcW w:w="979"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39" w:type="pct"/>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64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82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66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37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568"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525"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525"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535"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532.58</w:t>
            </w: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工程名称：石井净水分公司二期南四V型滤池滤头维修项目</w:t>
            </w:r>
          </w:p>
        </w:tc>
        <w:tc>
          <w:tcPr>
            <w:tcW w:w="871" w:type="pct"/>
            <w:gridSpan w:val="6"/>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7" w:type="pct"/>
            <w:gridSpan w:val="10"/>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59"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7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70"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489"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765"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159"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3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77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pStyle w:val="31"/>
        <w:rPr>
          <w:rFonts w:hint="eastAsia"/>
          <w:color w:val="auto"/>
          <w:highlight w:val="none"/>
        </w:rPr>
      </w:pPr>
    </w:p>
    <w:p>
      <w:pPr>
        <w:adjustRightInd w:val="0"/>
        <w:snapToGrid w:val="0"/>
        <w:spacing w:line="300" w:lineRule="auto"/>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六</w:t>
      </w:r>
      <w:r>
        <w:rPr>
          <w:rFonts w:hint="eastAsia" w:ascii="仿宋" w:hAnsi="仿宋" w:eastAsia="仿宋" w:cs="仿宋_GB2312"/>
          <w:b/>
          <w:color w:val="auto"/>
          <w:sz w:val="28"/>
          <w:szCs w:val="28"/>
          <w:highlight w:val="none"/>
        </w:rPr>
        <w:t>：</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9"/>
        <w:gridCol w:w="38"/>
        <w:gridCol w:w="158"/>
        <w:gridCol w:w="208"/>
        <w:gridCol w:w="768"/>
        <w:gridCol w:w="221"/>
        <w:gridCol w:w="902"/>
        <w:gridCol w:w="207"/>
        <w:gridCol w:w="170"/>
        <w:gridCol w:w="1200"/>
        <w:gridCol w:w="681"/>
        <w:gridCol w:w="69"/>
        <w:gridCol w:w="165"/>
        <w:gridCol w:w="51"/>
        <w:gridCol w:w="442"/>
        <w:gridCol w:w="303"/>
        <w:gridCol w:w="480"/>
        <w:gridCol w:w="120"/>
        <w:gridCol w:w="18"/>
        <w:gridCol w:w="196"/>
        <w:gridCol w:w="138"/>
        <w:gridCol w:w="212"/>
        <w:gridCol w:w="150"/>
        <w:gridCol w:w="172"/>
        <w:gridCol w:w="417"/>
        <w:gridCol w:w="245"/>
        <w:gridCol w:w="7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2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工程名称：石井净分公司2022年V型滤池放空阀优化项目</w:t>
            </w:r>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54"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290"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1210"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944"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000" w:type="pct"/>
            <w:gridSpan w:val="2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工程名称：石井净分公司2022年V型滤池放空阀优化项目</w:t>
            </w:r>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48"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61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289"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43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320"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35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8"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89"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60"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460"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8"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89"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60"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60"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12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3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蝶阀拆除</w:t>
            </w:r>
          </w:p>
        </w:tc>
        <w:tc>
          <w:tcPr>
            <w:tcW w:w="12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1.名称:暗杆蝶阀拆除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2.规格:DN150</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3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安装蝶阀</w:t>
            </w:r>
          </w:p>
        </w:tc>
        <w:tc>
          <w:tcPr>
            <w:tcW w:w="12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1.类型:安转加长杆法兰式手动蝶阀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2.材质:铸钢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3.规格、压力等级:加长杆1.5m，DN150</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3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波纹盖板开孔</w:t>
            </w:r>
          </w:p>
        </w:tc>
        <w:tc>
          <w:tcPr>
            <w:tcW w:w="12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1.名称:波纹盖板开孔</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2.盖板厚:3mm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3.盖板开孔孔径:13mm</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3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12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3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轴流风机通风</w:t>
            </w:r>
          </w:p>
        </w:tc>
        <w:tc>
          <w:tcPr>
            <w:tcW w:w="12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1.名称:轴流风机通风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2.功率:30kw</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台班</w:t>
            </w:r>
          </w:p>
        </w:tc>
        <w:tc>
          <w:tcPr>
            <w:tcW w:w="43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气体检测</w:t>
            </w:r>
          </w:p>
        </w:tc>
        <w:tc>
          <w:tcPr>
            <w:tcW w:w="12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台班</w:t>
            </w:r>
          </w:p>
        </w:tc>
        <w:tc>
          <w:tcPr>
            <w:tcW w:w="43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高层施工增加</w:t>
            </w:r>
          </w:p>
        </w:tc>
        <w:tc>
          <w:tcPr>
            <w:tcW w:w="12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43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脚手架搭拆费</w:t>
            </w:r>
          </w:p>
        </w:tc>
        <w:tc>
          <w:tcPr>
            <w:tcW w:w="12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43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2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881"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工程名称：石井净分公司2022年V型滤池放空阀优化项目</w:t>
            </w:r>
          </w:p>
        </w:tc>
        <w:tc>
          <w:tcPr>
            <w:tcW w:w="979"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39" w:type="pct"/>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64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82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66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56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525"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1082.36</w:t>
            </w: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331"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647"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66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68"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4"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2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工程名称：石井净分公司2022年V型滤池放空阀优化项目</w:t>
            </w:r>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59"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75"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70"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489"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765"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1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3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77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pStyle w:val="31"/>
        <w:rPr>
          <w:rFonts w:hint="eastAsia"/>
          <w:color w:val="auto"/>
          <w:highlight w:val="none"/>
        </w:rPr>
      </w:pPr>
    </w:p>
    <w:p>
      <w:pPr>
        <w:adjustRightInd w:val="0"/>
        <w:snapToGrid w:val="0"/>
        <w:spacing w:line="300" w:lineRule="auto"/>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报价单位代表（签名或盖私章）：</w:t>
      </w:r>
      <w:r>
        <w:rPr>
          <w:rFonts w:hint="eastAsia" w:ascii="仿宋" w:hAnsi="仿宋" w:eastAsia="仿宋" w:cs="仿宋_GB2312"/>
          <w:color w:val="auto"/>
          <w:sz w:val="28"/>
          <w:szCs w:val="28"/>
          <w:highlight w:val="none"/>
          <w:u w:val="single"/>
        </w:rPr>
        <w:t xml:space="preserve">                   </w:t>
      </w:r>
    </w:p>
    <w:p>
      <w:pPr>
        <w:adjustRightInd w:val="0"/>
        <w:snapToGrid w:val="0"/>
        <w:spacing w:line="300" w:lineRule="auto"/>
        <w:rPr>
          <w:rFonts w:ascii="仿宋" w:hAnsi="仿宋" w:eastAsia="仿宋" w:cs="仿宋_GB2312"/>
          <w:color w:val="auto"/>
          <w:sz w:val="28"/>
          <w:szCs w:val="28"/>
          <w:highlight w:val="none"/>
          <w:u w:val="single"/>
        </w:rPr>
      </w:pPr>
      <w:r>
        <w:rPr>
          <w:rFonts w:hint="eastAsia" w:ascii="仿宋" w:hAnsi="仿宋" w:eastAsia="仿宋" w:cs="仿宋_GB2312"/>
          <w:color w:val="auto"/>
          <w:sz w:val="28"/>
          <w:szCs w:val="28"/>
          <w:highlight w:val="none"/>
        </w:rPr>
        <w:t>报价单位名称（盖单位公章）：</w:t>
      </w:r>
      <w:r>
        <w:rPr>
          <w:rFonts w:hint="eastAsia" w:ascii="仿宋" w:hAnsi="仿宋" w:eastAsia="仿宋" w:cs="仿宋_GB2312"/>
          <w:color w:val="auto"/>
          <w:sz w:val="28"/>
          <w:szCs w:val="28"/>
          <w:highlight w:val="none"/>
          <w:u w:val="single"/>
        </w:rPr>
        <w:t xml:space="preserve">                        </w:t>
      </w:r>
    </w:p>
    <w:p>
      <w:pPr>
        <w:pStyle w:val="11"/>
        <w:rPr>
          <w:rFonts w:hint="eastAsia" w:ascii="仿宋" w:hAnsi="仿宋" w:eastAsia="仿宋" w:cs="仿宋_GB2312"/>
          <w:color w:val="auto"/>
          <w:kern w:val="2"/>
          <w:szCs w:val="28"/>
          <w:highlight w:val="none"/>
        </w:rPr>
      </w:pPr>
      <w:r>
        <w:rPr>
          <w:rFonts w:hint="eastAsia" w:ascii="仿宋" w:hAnsi="仿宋" w:eastAsia="仿宋" w:cs="仿宋_GB2312"/>
          <w:color w:val="auto"/>
          <w:kern w:val="2"/>
          <w:szCs w:val="28"/>
          <w:highlight w:val="none"/>
        </w:rPr>
        <w:t>日期：          年      月     日</w:t>
      </w:r>
    </w:p>
    <w:p>
      <w:pPr>
        <w:pStyle w:val="2"/>
        <w:rPr>
          <w:rFonts w:hint="default" w:ascii="仿宋" w:hAnsi="仿宋" w:eastAsia="仿宋" w:cs="仿宋"/>
          <w:b/>
          <w:bCs/>
          <w:color w:val="auto"/>
          <w:sz w:val="28"/>
          <w:szCs w:val="36"/>
          <w:highlight w:val="none"/>
          <w:lang w:val="en-US" w:eastAsia="zh-CN"/>
        </w:rPr>
      </w:pPr>
    </w:p>
    <w:p>
      <w:pPr>
        <w:pStyle w:val="2"/>
        <w:rPr>
          <w:rFonts w:hint="default" w:ascii="仿宋" w:hAnsi="仿宋" w:eastAsia="仿宋" w:cs="仿宋"/>
          <w:b/>
          <w:bCs/>
          <w:color w:val="auto"/>
          <w:sz w:val="28"/>
          <w:szCs w:val="36"/>
          <w:highlight w:val="none"/>
          <w:lang w:val="en-US" w:eastAsia="zh-CN"/>
        </w:rPr>
      </w:pPr>
    </w:p>
    <w:p>
      <w:pPr>
        <w:pStyle w:val="6"/>
        <w:rPr>
          <w:rFonts w:asciiTheme="majorEastAsia" w:hAnsiTheme="majorEastAsia" w:eastAsiaTheme="majorEastAsia"/>
          <w:color w:val="auto"/>
          <w:sz w:val="28"/>
          <w:szCs w:val="28"/>
          <w:highlight w:val="none"/>
        </w:rPr>
      </w:pPr>
      <w:bookmarkStart w:id="146" w:name="_Toc88209965"/>
      <w:bookmarkStart w:id="147" w:name="_Toc87616402"/>
      <w:bookmarkStart w:id="148" w:name="_Toc16386"/>
      <w:bookmarkStart w:id="149" w:name="_Toc6058"/>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46"/>
      <w:bookmarkEnd w:id="147"/>
      <w:bookmarkEnd w:id="148"/>
      <w:bookmarkEnd w:id="149"/>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w:pict>
        <v:shape id="_x0000_s3075" o:spid="_x0000_s307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sz w:val="18"/>
      </w:rPr>
      <w:pict>
        <v:shape id="_x0000_s3076" o:spid="_x0000_s3076"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8"/>
                </w:pPr>
              </w:p>
              <w:p/>
            </w:txbxContent>
          </v:textbox>
        </v:shape>
      </w:pic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w:pict>
        <v:shape id="_x0000_s3073" o:spid="_x0000_s307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02B05F"/>
    <w:multiLevelType w:val="singleLevel"/>
    <w:tmpl w:val="B302B05F"/>
    <w:lvl w:ilvl="0" w:tentative="0">
      <w:start w:val="1"/>
      <w:numFmt w:val="decimal"/>
      <w:suff w:val="nothing"/>
      <w:lvlText w:val="（%1）"/>
      <w:lvlJc w:val="left"/>
    </w:lvl>
  </w:abstractNum>
  <w:abstractNum w:abstractNumId="1">
    <w:nsid w:val="C2669087"/>
    <w:multiLevelType w:val="singleLevel"/>
    <w:tmpl w:val="C2669087"/>
    <w:lvl w:ilvl="0" w:tentative="0">
      <w:start w:val="6"/>
      <w:numFmt w:val="decimal"/>
      <w:suff w:val="nothing"/>
      <w:lvlText w:val="%1、"/>
      <w:lvlJc w:val="left"/>
    </w:lvl>
  </w:abstractNum>
  <w:abstractNum w:abstractNumId="2">
    <w:nsid w:val="CC9CF724"/>
    <w:multiLevelType w:val="singleLevel"/>
    <w:tmpl w:val="CC9CF724"/>
    <w:lvl w:ilvl="0" w:tentative="0">
      <w:start w:val="1"/>
      <w:numFmt w:val="chineseCounting"/>
      <w:suff w:val="space"/>
      <w:lvlText w:val="第%1章"/>
      <w:lvlJc w:val="left"/>
      <w:rPr>
        <w:rFonts w:hint="eastAsia"/>
      </w:rPr>
    </w:lvl>
  </w:abstractNum>
  <w:abstractNum w:abstractNumId="3">
    <w:nsid w:val="EEF36D1F"/>
    <w:multiLevelType w:val="singleLevel"/>
    <w:tmpl w:val="EEF36D1F"/>
    <w:lvl w:ilvl="0" w:tentative="0">
      <w:start w:val="1"/>
      <w:numFmt w:val="chineseCounting"/>
      <w:suff w:val="nothing"/>
      <w:lvlText w:val="%1、"/>
      <w:lvlJc w:val="left"/>
      <w:rPr>
        <w:rFonts w:hint="eastAsia"/>
      </w:rPr>
    </w:lvl>
  </w:abstractNum>
  <w:abstractNum w:abstractNumId="4">
    <w:nsid w:val="F474C9A6"/>
    <w:multiLevelType w:val="singleLevel"/>
    <w:tmpl w:val="F474C9A6"/>
    <w:lvl w:ilvl="0" w:tentative="0">
      <w:start w:val="10"/>
      <w:numFmt w:val="chineseCounting"/>
      <w:suff w:val="space"/>
      <w:lvlText w:val="第%1条"/>
      <w:lvlJc w:val="left"/>
      <w:rPr>
        <w:rFonts w:hint="eastAsia"/>
      </w:rPr>
    </w:lvl>
  </w:abstractNum>
  <w:abstractNum w:abstractNumId="5">
    <w:nsid w:val="4734DCE6"/>
    <w:multiLevelType w:val="singleLevel"/>
    <w:tmpl w:val="4734DCE6"/>
    <w:lvl w:ilvl="0" w:tentative="0">
      <w:start w:val="1"/>
      <w:numFmt w:val="decimal"/>
      <w:lvlText w:val="%1."/>
      <w:lvlJc w:val="left"/>
      <w:pPr>
        <w:tabs>
          <w:tab w:val="left" w:pos="312"/>
        </w:tabs>
      </w:pPr>
    </w:lvl>
  </w:abstractNum>
  <w:abstractNum w:abstractNumId="6">
    <w:nsid w:val="705D32C3"/>
    <w:multiLevelType w:val="singleLevel"/>
    <w:tmpl w:val="705D32C3"/>
    <w:lvl w:ilvl="0" w:tentative="0">
      <w:start w:val="5"/>
      <w:numFmt w:val="decimal"/>
      <w:lvlText w:val="%1."/>
      <w:lvlJc w:val="left"/>
      <w:pPr>
        <w:tabs>
          <w:tab w:val="left" w:pos="312"/>
        </w:tabs>
      </w:pPr>
    </w:lvl>
  </w:abstractNum>
  <w:num w:numId="1">
    <w:abstractNumId w:val="2"/>
  </w:num>
  <w:num w:numId="2">
    <w:abstractNumId w:val="6"/>
  </w:num>
  <w:num w:numId="3">
    <w:abstractNumId w:val="5"/>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UxOWI5ZjY1NzIwMzQ1MWE0MjhiNDMxMDc2MWY2NDkifQ=="/>
  </w:docVars>
  <w:rsids>
    <w:rsidRoot w:val="005D618A"/>
    <w:rsid w:val="003D60BA"/>
    <w:rsid w:val="00411689"/>
    <w:rsid w:val="005D618A"/>
    <w:rsid w:val="00911ECD"/>
    <w:rsid w:val="00A042E0"/>
    <w:rsid w:val="00B26BB1"/>
    <w:rsid w:val="00B26E21"/>
    <w:rsid w:val="00F83B64"/>
    <w:rsid w:val="01045FDD"/>
    <w:rsid w:val="02090C75"/>
    <w:rsid w:val="02A23A3C"/>
    <w:rsid w:val="03AC246A"/>
    <w:rsid w:val="03B23056"/>
    <w:rsid w:val="03DC3EBA"/>
    <w:rsid w:val="03F9794D"/>
    <w:rsid w:val="046A2461"/>
    <w:rsid w:val="06C64829"/>
    <w:rsid w:val="077D16D2"/>
    <w:rsid w:val="07E86AF3"/>
    <w:rsid w:val="08675FC8"/>
    <w:rsid w:val="08F46FC3"/>
    <w:rsid w:val="09941399"/>
    <w:rsid w:val="09B713FD"/>
    <w:rsid w:val="09CE6249"/>
    <w:rsid w:val="09EF6ACC"/>
    <w:rsid w:val="0A315056"/>
    <w:rsid w:val="0AFB45AD"/>
    <w:rsid w:val="0B351E9B"/>
    <w:rsid w:val="0B4C50D3"/>
    <w:rsid w:val="0B806B92"/>
    <w:rsid w:val="0B827E94"/>
    <w:rsid w:val="0BD070E1"/>
    <w:rsid w:val="0C247926"/>
    <w:rsid w:val="0D302A9E"/>
    <w:rsid w:val="0D794204"/>
    <w:rsid w:val="0E2125D1"/>
    <w:rsid w:val="0E214211"/>
    <w:rsid w:val="0E5F2769"/>
    <w:rsid w:val="0EFF0A15"/>
    <w:rsid w:val="0F4D75A3"/>
    <w:rsid w:val="0F510E72"/>
    <w:rsid w:val="0F5B2DCA"/>
    <w:rsid w:val="0FED051E"/>
    <w:rsid w:val="0FEE4C29"/>
    <w:rsid w:val="10046082"/>
    <w:rsid w:val="106802DE"/>
    <w:rsid w:val="10765325"/>
    <w:rsid w:val="111C0807"/>
    <w:rsid w:val="112B101A"/>
    <w:rsid w:val="119B53FC"/>
    <w:rsid w:val="11AE0BD5"/>
    <w:rsid w:val="12424CDC"/>
    <w:rsid w:val="129A2738"/>
    <w:rsid w:val="12B56BF1"/>
    <w:rsid w:val="12CB1A89"/>
    <w:rsid w:val="131840FB"/>
    <w:rsid w:val="13467417"/>
    <w:rsid w:val="136E76CF"/>
    <w:rsid w:val="14B10AE1"/>
    <w:rsid w:val="15BC6B3C"/>
    <w:rsid w:val="167F3481"/>
    <w:rsid w:val="1694429A"/>
    <w:rsid w:val="16AB3D08"/>
    <w:rsid w:val="17635326"/>
    <w:rsid w:val="17E525A4"/>
    <w:rsid w:val="18236EFD"/>
    <w:rsid w:val="189D5B1F"/>
    <w:rsid w:val="18A34CD0"/>
    <w:rsid w:val="197D0C1B"/>
    <w:rsid w:val="19B64DBC"/>
    <w:rsid w:val="1A14399F"/>
    <w:rsid w:val="1A373ACF"/>
    <w:rsid w:val="1A895341"/>
    <w:rsid w:val="1B0D071F"/>
    <w:rsid w:val="1B4568CE"/>
    <w:rsid w:val="1B4C0C41"/>
    <w:rsid w:val="1B9015B7"/>
    <w:rsid w:val="1C872CE0"/>
    <w:rsid w:val="1D2D0C9B"/>
    <w:rsid w:val="1D3D7931"/>
    <w:rsid w:val="1D5A79EE"/>
    <w:rsid w:val="1E0E2CD0"/>
    <w:rsid w:val="1E831280"/>
    <w:rsid w:val="1EBC4704"/>
    <w:rsid w:val="1F172EB5"/>
    <w:rsid w:val="1F94592D"/>
    <w:rsid w:val="1FB860DE"/>
    <w:rsid w:val="203C5A02"/>
    <w:rsid w:val="209D15B5"/>
    <w:rsid w:val="209D4C94"/>
    <w:rsid w:val="20E84705"/>
    <w:rsid w:val="218400BA"/>
    <w:rsid w:val="21AB1E2F"/>
    <w:rsid w:val="21D40498"/>
    <w:rsid w:val="225752A3"/>
    <w:rsid w:val="22767047"/>
    <w:rsid w:val="23A05588"/>
    <w:rsid w:val="23D82F6C"/>
    <w:rsid w:val="25431AEB"/>
    <w:rsid w:val="25BF43FD"/>
    <w:rsid w:val="25F86BCD"/>
    <w:rsid w:val="2605748B"/>
    <w:rsid w:val="269276B7"/>
    <w:rsid w:val="269E416A"/>
    <w:rsid w:val="26B02FC7"/>
    <w:rsid w:val="272100D3"/>
    <w:rsid w:val="272C72FC"/>
    <w:rsid w:val="27923EBF"/>
    <w:rsid w:val="27EB149D"/>
    <w:rsid w:val="27FD3E52"/>
    <w:rsid w:val="28E11370"/>
    <w:rsid w:val="294A756A"/>
    <w:rsid w:val="29D5322D"/>
    <w:rsid w:val="29F42BAD"/>
    <w:rsid w:val="2A025DD9"/>
    <w:rsid w:val="2A7C2231"/>
    <w:rsid w:val="2A8F679F"/>
    <w:rsid w:val="2ABB753D"/>
    <w:rsid w:val="2B1574B4"/>
    <w:rsid w:val="2B5C1561"/>
    <w:rsid w:val="2B7A49FA"/>
    <w:rsid w:val="2C615D26"/>
    <w:rsid w:val="2CB679ED"/>
    <w:rsid w:val="2CF92546"/>
    <w:rsid w:val="2D173C07"/>
    <w:rsid w:val="2D424A86"/>
    <w:rsid w:val="2E6A25C9"/>
    <w:rsid w:val="2E7B52DB"/>
    <w:rsid w:val="2F324CFE"/>
    <w:rsid w:val="2FBA09F1"/>
    <w:rsid w:val="2FEF2ACF"/>
    <w:rsid w:val="30540211"/>
    <w:rsid w:val="312D7741"/>
    <w:rsid w:val="316F137F"/>
    <w:rsid w:val="3198371B"/>
    <w:rsid w:val="31C31802"/>
    <w:rsid w:val="31DF525F"/>
    <w:rsid w:val="32324C2E"/>
    <w:rsid w:val="327171DF"/>
    <w:rsid w:val="341E3434"/>
    <w:rsid w:val="3489700C"/>
    <w:rsid w:val="35587CCB"/>
    <w:rsid w:val="357D1914"/>
    <w:rsid w:val="35A252CE"/>
    <w:rsid w:val="360B7EBA"/>
    <w:rsid w:val="369C32FD"/>
    <w:rsid w:val="37666E72"/>
    <w:rsid w:val="38167A04"/>
    <w:rsid w:val="3922642F"/>
    <w:rsid w:val="394B167A"/>
    <w:rsid w:val="39B45610"/>
    <w:rsid w:val="39D76BC3"/>
    <w:rsid w:val="3A4E4336"/>
    <w:rsid w:val="3A6007FE"/>
    <w:rsid w:val="3AB14335"/>
    <w:rsid w:val="3B7C2CE4"/>
    <w:rsid w:val="3C0B5355"/>
    <w:rsid w:val="3CD4176B"/>
    <w:rsid w:val="3D1F44D9"/>
    <w:rsid w:val="3D5C38CD"/>
    <w:rsid w:val="3DA80295"/>
    <w:rsid w:val="3E5070F1"/>
    <w:rsid w:val="3E600032"/>
    <w:rsid w:val="3F6C3589"/>
    <w:rsid w:val="3F850180"/>
    <w:rsid w:val="3F9004D6"/>
    <w:rsid w:val="400E4D5E"/>
    <w:rsid w:val="40245BFB"/>
    <w:rsid w:val="40E1138C"/>
    <w:rsid w:val="413814BA"/>
    <w:rsid w:val="414B1D27"/>
    <w:rsid w:val="41872511"/>
    <w:rsid w:val="42466655"/>
    <w:rsid w:val="42694B47"/>
    <w:rsid w:val="42C82F57"/>
    <w:rsid w:val="43C76AF7"/>
    <w:rsid w:val="446828F0"/>
    <w:rsid w:val="44781C0A"/>
    <w:rsid w:val="457D02AA"/>
    <w:rsid w:val="45C13B4D"/>
    <w:rsid w:val="46054BCA"/>
    <w:rsid w:val="464C6AFC"/>
    <w:rsid w:val="468B0091"/>
    <w:rsid w:val="46A107C3"/>
    <w:rsid w:val="46B15CE2"/>
    <w:rsid w:val="46BE113D"/>
    <w:rsid w:val="46E44B13"/>
    <w:rsid w:val="4703508A"/>
    <w:rsid w:val="475023F8"/>
    <w:rsid w:val="479D361E"/>
    <w:rsid w:val="47B74789"/>
    <w:rsid w:val="480F2B9D"/>
    <w:rsid w:val="48282920"/>
    <w:rsid w:val="485321E0"/>
    <w:rsid w:val="48546AD3"/>
    <w:rsid w:val="48574836"/>
    <w:rsid w:val="48CA4868"/>
    <w:rsid w:val="48F005D3"/>
    <w:rsid w:val="498F4AF1"/>
    <w:rsid w:val="49C05787"/>
    <w:rsid w:val="49CF518D"/>
    <w:rsid w:val="4ADA1F63"/>
    <w:rsid w:val="4AE23D89"/>
    <w:rsid w:val="4AEC2FDE"/>
    <w:rsid w:val="4B2038D0"/>
    <w:rsid w:val="4B296E7D"/>
    <w:rsid w:val="4B877F28"/>
    <w:rsid w:val="4CC60794"/>
    <w:rsid w:val="4D2E044D"/>
    <w:rsid w:val="4D916BA6"/>
    <w:rsid w:val="4DC44169"/>
    <w:rsid w:val="4EF0709E"/>
    <w:rsid w:val="4F2706FC"/>
    <w:rsid w:val="4F4546D1"/>
    <w:rsid w:val="5011784D"/>
    <w:rsid w:val="50F81AAB"/>
    <w:rsid w:val="513C6A7B"/>
    <w:rsid w:val="523B11D6"/>
    <w:rsid w:val="5333545B"/>
    <w:rsid w:val="5450213C"/>
    <w:rsid w:val="5483348F"/>
    <w:rsid w:val="54D24048"/>
    <w:rsid w:val="54D64CD5"/>
    <w:rsid w:val="55887D69"/>
    <w:rsid w:val="561A0928"/>
    <w:rsid w:val="56423872"/>
    <w:rsid w:val="56B279F0"/>
    <w:rsid w:val="56BF4295"/>
    <w:rsid w:val="579D710E"/>
    <w:rsid w:val="581F22F6"/>
    <w:rsid w:val="586E1E17"/>
    <w:rsid w:val="58862C35"/>
    <w:rsid w:val="58C14957"/>
    <w:rsid w:val="5AE83A50"/>
    <w:rsid w:val="5BAB2917"/>
    <w:rsid w:val="5BBF6B42"/>
    <w:rsid w:val="5BFC33FA"/>
    <w:rsid w:val="5C3107A4"/>
    <w:rsid w:val="5C3B1B93"/>
    <w:rsid w:val="5C9220DF"/>
    <w:rsid w:val="5D4A15F3"/>
    <w:rsid w:val="5D69542A"/>
    <w:rsid w:val="5E0930EF"/>
    <w:rsid w:val="5E3D4D53"/>
    <w:rsid w:val="5E4717E6"/>
    <w:rsid w:val="5E55774C"/>
    <w:rsid w:val="5ECD09B9"/>
    <w:rsid w:val="60104DDC"/>
    <w:rsid w:val="605C0804"/>
    <w:rsid w:val="605D35A1"/>
    <w:rsid w:val="60C66B9B"/>
    <w:rsid w:val="61841BCA"/>
    <w:rsid w:val="6189617B"/>
    <w:rsid w:val="61B52BB6"/>
    <w:rsid w:val="61B749C2"/>
    <w:rsid w:val="62280D20"/>
    <w:rsid w:val="62CA2457"/>
    <w:rsid w:val="638240A1"/>
    <w:rsid w:val="63A5257B"/>
    <w:rsid w:val="63BD3DCC"/>
    <w:rsid w:val="63C61741"/>
    <w:rsid w:val="64560967"/>
    <w:rsid w:val="656B1D10"/>
    <w:rsid w:val="66022B28"/>
    <w:rsid w:val="662F1AB4"/>
    <w:rsid w:val="66581E87"/>
    <w:rsid w:val="66FA11D5"/>
    <w:rsid w:val="674302C7"/>
    <w:rsid w:val="680A5986"/>
    <w:rsid w:val="680D5F4B"/>
    <w:rsid w:val="68113F51"/>
    <w:rsid w:val="68E94770"/>
    <w:rsid w:val="68F949C9"/>
    <w:rsid w:val="695A4290"/>
    <w:rsid w:val="69D1725F"/>
    <w:rsid w:val="6A334932"/>
    <w:rsid w:val="6A3353FF"/>
    <w:rsid w:val="6A5D63E6"/>
    <w:rsid w:val="6A5F24D1"/>
    <w:rsid w:val="6AE347EB"/>
    <w:rsid w:val="6B434AF0"/>
    <w:rsid w:val="6B57675A"/>
    <w:rsid w:val="6BDD7B4D"/>
    <w:rsid w:val="6EBC0B3A"/>
    <w:rsid w:val="6EF51C7D"/>
    <w:rsid w:val="6F8363E5"/>
    <w:rsid w:val="6FC746F5"/>
    <w:rsid w:val="70317AC6"/>
    <w:rsid w:val="70863262"/>
    <w:rsid w:val="70A76ED3"/>
    <w:rsid w:val="71860B17"/>
    <w:rsid w:val="720A7AF8"/>
    <w:rsid w:val="723B27CC"/>
    <w:rsid w:val="72687227"/>
    <w:rsid w:val="72A03FD9"/>
    <w:rsid w:val="72B96427"/>
    <w:rsid w:val="73406CFF"/>
    <w:rsid w:val="7383028C"/>
    <w:rsid w:val="73A25E44"/>
    <w:rsid w:val="741F68CF"/>
    <w:rsid w:val="75252DF3"/>
    <w:rsid w:val="75621536"/>
    <w:rsid w:val="75B32344"/>
    <w:rsid w:val="75BF3154"/>
    <w:rsid w:val="764A07CF"/>
    <w:rsid w:val="764F6B3D"/>
    <w:rsid w:val="76CC6C50"/>
    <w:rsid w:val="76CD2B7B"/>
    <w:rsid w:val="76D80645"/>
    <w:rsid w:val="76E03371"/>
    <w:rsid w:val="7721612B"/>
    <w:rsid w:val="780E5898"/>
    <w:rsid w:val="782642CC"/>
    <w:rsid w:val="7894095E"/>
    <w:rsid w:val="79000679"/>
    <w:rsid w:val="79A416F0"/>
    <w:rsid w:val="79B03EB6"/>
    <w:rsid w:val="7A492610"/>
    <w:rsid w:val="7A7F4688"/>
    <w:rsid w:val="7ABC034E"/>
    <w:rsid w:val="7AF37579"/>
    <w:rsid w:val="7AF87F64"/>
    <w:rsid w:val="7B1C0C84"/>
    <w:rsid w:val="7B5A62DF"/>
    <w:rsid w:val="7B7A04A8"/>
    <w:rsid w:val="7C0C3F6D"/>
    <w:rsid w:val="7C22163C"/>
    <w:rsid w:val="7C595075"/>
    <w:rsid w:val="7C6B07B2"/>
    <w:rsid w:val="7D133243"/>
    <w:rsid w:val="7E394207"/>
    <w:rsid w:val="7E4007A2"/>
    <w:rsid w:val="7E580CC9"/>
    <w:rsid w:val="7E791CAD"/>
    <w:rsid w:val="7EA50DFB"/>
    <w:rsid w:val="7EC86878"/>
    <w:rsid w:val="7ED50E59"/>
    <w:rsid w:val="7EE75CD9"/>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1"/>
        <o:r id="V:Rule2" type="connector" idref="#_x0000_s2053"/>
        <o:r id="V:Rule3" type="connector" idref="#_x0000_s2054"/>
        <o:r id="V:Rule4" type="connector" idref="#_x0000_s2055"/>
        <o:r id="V:Rule5" type="connector" idref="#_x0000_s2056"/>
        <o:r id="V:Rule6" type="connector" idref="#_x0000_s2057"/>
        <o:r id="V:Rule7" type="connector" idref="#_x0000_s2058"/>
        <o:r id="V:Rule8" type="connector" idref="#_x0000_s2059"/>
        <o:r id="V:Rule9" type="connector" idref="#_x0000_s2064"/>
        <o:r id="V:Rule10" type="connector" idref="#_x0000_s2065"/>
        <o:r id="V:Rule11" type="connector" idref="#_x0000_s2066"/>
        <o:r id="V:Rule12" type="connector" idref="#_x0000_s2067"/>
        <o:r id="V:Rule13" type="connector" idref="#_x0000_s2072"/>
        <o:r id="V:Rule14" type="connector" idref="#_x0000_s207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4"/>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5"/>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6"/>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djustRightInd w:val="0"/>
      <w:spacing w:line="360" w:lineRule="auto"/>
      <w:ind w:left="0" w:leftChars="0" w:firstLine="420"/>
      <w:textAlignment w:val="baseline"/>
    </w:pPr>
    <w:rPr>
      <w:rFonts w:eastAsia="等线" w:cs="Times New Roman"/>
      <w:color w:val="000000"/>
      <w:szCs w:val="24"/>
    </w:rPr>
  </w:style>
  <w:style w:type="paragraph" w:styleId="3">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4"/>
    <w:unhideWhenUsed/>
    <w:qFormat/>
    <w:uiPriority w:val="99"/>
    <w:pPr>
      <w:spacing w:after="120"/>
    </w:pPr>
    <w:rPr>
      <w:sz w:val="16"/>
      <w:szCs w:val="16"/>
    </w:rPr>
  </w:style>
  <w:style w:type="paragraph" w:styleId="10">
    <w:name w:val="Body Text"/>
    <w:basedOn w:val="1"/>
    <w:next w:val="11"/>
    <w:qFormat/>
    <w:uiPriority w:val="99"/>
    <w:pPr>
      <w:spacing w:after="120"/>
    </w:pPr>
  </w:style>
  <w:style w:type="paragraph" w:styleId="11">
    <w:name w:val="Body Text 2"/>
    <w:basedOn w:val="1"/>
    <w:qFormat/>
    <w:uiPriority w:val="0"/>
    <w:pPr>
      <w:spacing w:after="120" w:line="480" w:lineRule="auto"/>
    </w:p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9"/>
    <w:semiHidden/>
    <w:unhideWhenUsed/>
    <w:qFormat/>
    <w:uiPriority w:val="99"/>
    <w:rPr>
      <w:sz w:val="18"/>
      <w:szCs w:val="18"/>
    </w:rPr>
  </w:style>
  <w:style w:type="paragraph" w:styleId="18">
    <w:name w:val="footer"/>
    <w:basedOn w:val="1"/>
    <w:link w:val="33"/>
    <w:unhideWhenUsed/>
    <w:qFormat/>
    <w:uiPriority w:val="99"/>
    <w:pPr>
      <w:tabs>
        <w:tab w:val="center" w:pos="4153"/>
        <w:tab w:val="right" w:pos="8306"/>
      </w:tabs>
      <w:snapToGrid w:val="0"/>
      <w:jc w:val="left"/>
    </w:pPr>
    <w:rPr>
      <w:sz w:val="18"/>
      <w:szCs w:val="18"/>
    </w:rPr>
  </w:style>
  <w:style w:type="paragraph" w:styleId="19">
    <w:name w:val="header"/>
    <w:basedOn w:val="1"/>
    <w:link w:val="3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w:basedOn w:val="10"/>
    <w:unhideWhenUsed/>
    <w:qFormat/>
    <w:uiPriority w:val="99"/>
    <w:pPr>
      <w:ind w:firstLine="420"/>
    </w:p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rPr>
  </w:style>
  <w:style w:type="paragraph" w:customStyle="1" w:styleId="30">
    <w:name w:val="BodyText"/>
    <w:basedOn w:val="1"/>
    <w:next w:val="31"/>
    <w:qFormat/>
    <w:uiPriority w:val="0"/>
    <w:pPr>
      <w:jc w:val="both"/>
      <w:textAlignment w:val="baseline"/>
    </w:pPr>
    <w:rPr>
      <w:rFonts w:ascii="Times New Roman" w:hAnsi="Times New Roman" w:eastAsia="宋体"/>
      <w:kern w:val="2"/>
      <w:sz w:val="28"/>
      <w:lang w:val="en-US" w:eastAsia="zh-CN" w:bidi="ar-SA"/>
    </w:rPr>
  </w:style>
  <w:style w:type="paragraph" w:customStyle="1" w:styleId="31">
    <w:name w:val="BodyText2"/>
    <w:basedOn w:val="1"/>
    <w:qFormat/>
    <w:uiPriority w:val="0"/>
    <w:pPr>
      <w:spacing w:after="120" w:line="480" w:lineRule="auto"/>
      <w:jc w:val="both"/>
      <w:textAlignment w:val="baseline"/>
    </w:pPr>
  </w:style>
  <w:style w:type="character" w:customStyle="1" w:styleId="32">
    <w:name w:val="页眉 Char"/>
    <w:basedOn w:val="26"/>
    <w:link w:val="19"/>
    <w:semiHidden/>
    <w:qFormat/>
    <w:uiPriority w:val="99"/>
    <w:rPr>
      <w:sz w:val="18"/>
      <w:szCs w:val="18"/>
    </w:rPr>
  </w:style>
  <w:style w:type="character" w:customStyle="1" w:styleId="33">
    <w:name w:val="页脚 Char"/>
    <w:basedOn w:val="26"/>
    <w:link w:val="18"/>
    <w:qFormat/>
    <w:uiPriority w:val="99"/>
    <w:rPr>
      <w:sz w:val="18"/>
      <w:szCs w:val="18"/>
    </w:rPr>
  </w:style>
  <w:style w:type="character" w:customStyle="1" w:styleId="34">
    <w:name w:val="标题 1 Char"/>
    <w:basedOn w:val="26"/>
    <w:link w:val="4"/>
    <w:qFormat/>
    <w:uiPriority w:val="9"/>
    <w:rPr>
      <w:rFonts w:eastAsia="方正小标宋简体"/>
      <w:bCs/>
      <w:kern w:val="44"/>
      <w:sz w:val="44"/>
      <w:szCs w:val="44"/>
    </w:rPr>
  </w:style>
  <w:style w:type="character" w:customStyle="1" w:styleId="35">
    <w:name w:val="标题 2 Char"/>
    <w:basedOn w:val="26"/>
    <w:link w:val="5"/>
    <w:qFormat/>
    <w:uiPriority w:val="9"/>
    <w:rPr>
      <w:rFonts w:eastAsia="方正小标宋简体" w:asciiTheme="majorHAnsi" w:hAnsiTheme="majorHAnsi" w:cstheme="majorBidi"/>
      <w:bCs/>
      <w:sz w:val="36"/>
      <w:szCs w:val="32"/>
    </w:rPr>
  </w:style>
  <w:style w:type="character" w:customStyle="1" w:styleId="36">
    <w:name w:val="标题 3 Char"/>
    <w:basedOn w:val="26"/>
    <w:link w:val="6"/>
    <w:qFormat/>
    <w:uiPriority w:val="9"/>
    <w:rPr>
      <w:rFonts w:ascii="Calibri" w:hAnsi="Calibri" w:eastAsia="宋体" w:cs="Times New Roman"/>
      <w:b/>
      <w:bCs/>
      <w:sz w:val="32"/>
      <w:szCs w:val="32"/>
    </w:rPr>
  </w:style>
  <w:style w:type="paragraph" w:styleId="37">
    <w:name w:val="List Paragraph"/>
    <w:basedOn w:val="1"/>
    <w:link w:val="45"/>
    <w:qFormat/>
    <w:uiPriority w:val="34"/>
    <w:pPr>
      <w:ind w:firstLine="420" w:firstLineChars="200"/>
    </w:pPr>
  </w:style>
  <w:style w:type="paragraph" w:customStyle="1" w:styleId="38">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9">
    <w:name w:val="批注框文本 Char"/>
    <w:basedOn w:val="26"/>
    <w:link w:val="17"/>
    <w:semiHidden/>
    <w:qFormat/>
    <w:uiPriority w:val="99"/>
    <w:rPr>
      <w:sz w:val="18"/>
      <w:szCs w:val="18"/>
    </w:rPr>
  </w:style>
  <w:style w:type="paragraph" w:styleId="4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CM97"/>
    <w:basedOn w:val="14"/>
    <w:next w:val="14"/>
    <w:qFormat/>
    <w:uiPriority w:val="0"/>
    <w:pPr>
      <w:spacing w:after="373"/>
    </w:pPr>
    <w:rPr>
      <w:color w:val="auto"/>
    </w:rPr>
  </w:style>
  <w:style w:type="paragraph" w:customStyle="1" w:styleId="42">
    <w:name w:val="CM91"/>
    <w:basedOn w:val="14"/>
    <w:next w:val="14"/>
    <w:qFormat/>
    <w:uiPriority w:val="0"/>
    <w:pPr>
      <w:spacing w:after="160"/>
    </w:pPr>
    <w:rPr>
      <w:color w:val="auto"/>
    </w:rPr>
  </w:style>
  <w:style w:type="character" w:customStyle="1" w:styleId="43">
    <w:name w:val="正文文本 3 Char"/>
    <w:link w:val="9"/>
    <w:qFormat/>
    <w:uiPriority w:val="99"/>
    <w:rPr>
      <w:sz w:val="16"/>
      <w:szCs w:val="16"/>
    </w:rPr>
  </w:style>
  <w:style w:type="character" w:customStyle="1" w:styleId="44">
    <w:name w:val="正文文本 3 Char1"/>
    <w:basedOn w:val="26"/>
    <w:link w:val="9"/>
    <w:semiHidden/>
    <w:qFormat/>
    <w:uiPriority w:val="99"/>
    <w:rPr>
      <w:sz w:val="16"/>
      <w:szCs w:val="16"/>
    </w:rPr>
  </w:style>
  <w:style w:type="character" w:customStyle="1" w:styleId="45">
    <w:name w:val="列出段落 Char"/>
    <w:link w:val="37"/>
    <w:qFormat/>
    <w:uiPriority w:val="34"/>
  </w:style>
  <w:style w:type="paragraph" w:customStyle="1" w:styleId="46">
    <w:name w:val="1"/>
    <w:basedOn w:val="1"/>
    <w:next w:val="13"/>
    <w:qFormat/>
    <w:uiPriority w:val="99"/>
    <w:pPr>
      <w:widowControl w:val="0"/>
      <w:jc w:val="both"/>
    </w:pPr>
    <w:rPr>
      <w:rFonts w:ascii="宋体" w:hAnsi="Courier New"/>
      <w:kern w:val="2"/>
    </w:rPr>
  </w:style>
  <w:style w:type="paragraph" w:customStyle="1" w:styleId="47">
    <w:name w:val="WPSOffice手动目录 1"/>
    <w:qFormat/>
    <w:uiPriority w:val="0"/>
    <w:pPr>
      <w:ind w:leftChars="0"/>
    </w:pPr>
    <w:rPr>
      <w:rFonts w:asciiTheme="minorHAnsi" w:hAnsiTheme="minorHAnsi" w:eastAsiaTheme="minorEastAsia" w:cstheme="minorBidi"/>
      <w:sz w:val="20"/>
      <w:szCs w:val="20"/>
    </w:rPr>
  </w:style>
  <w:style w:type="paragraph" w:customStyle="1" w:styleId="48">
    <w:name w:val="WPSOffice手动目录 2"/>
    <w:qFormat/>
    <w:uiPriority w:val="0"/>
    <w:pPr>
      <w:ind w:leftChars="200"/>
    </w:pPr>
    <w:rPr>
      <w:rFonts w:asciiTheme="minorHAnsi" w:hAnsiTheme="minorHAnsi" w:eastAsiaTheme="minorEastAsia" w:cstheme="minorBidi"/>
      <w:sz w:val="20"/>
      <w:szCs w:val="20"/>
    </w:rPr>
  </w:style>
  <w:style w:type="paragraph" w:customStyle="1" w:styleId="49">
    <w:name w:val="WPSOffice手动目录 3"/>
    <w:qFormat/>
    <w:uiPriority w:val="0"/>
    <w:pPr>
      <w:ind w:leftChars="400"/>
    </w:pPr>
    <w:rPr>
      <w:rFonts w:asciiTheme="minorHAnsi" w:hAnsiTheme="minorHAnsi" w:eastAsiaTheme="minorEastAsia" w:cstheme="minorBidi"/>
      <w:sz w:val="20"/>
      <w:szCs w:val="20"/>
    </w:rPr>
  </w:style>
  <w:style w:type="paragraph" w:customStyle="1" w:styleId="50">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51">
    <w:name w:val="font41"/>
    <w:basedOn w:val="26"/>
    <w:qFormat/>
    <w:uiPriority w:val="0"/>
    <w:rPr>
      <w:rFonts w:ascii="Arial" w:hAnsi="Arial" w:cs="Arial"/>
      <w:color w:val="000000"/>
      <w:sz w:val="28"/>
      <w:szCs w:val="28"/>
      <w:u w:val="none"/>
    </w:rPr>
  </w:style>
  <w:style w:type="character" w:customStyle="1" w:styleId="52">
    <w:name w:val="font61"/>
    <w:basedOn w:val="26"/>
    <w:qFormat/>
    <w:uiPriority w:val="0"/>
    <w:rPr>
      <w:rFonts w:hint="eastAsia" w:ascii="宋体" w:hAnsi="宋体" w:eastAsia="宋体" w:cs="宋体"/>
      <w:color w:val="000000"/>
      <w:sz w:val="28"/>
      <w:szCs w:val="28"/>
      <w:u w:val="none"/>
    </w:rPr>
  </w:style>
  <w:style w:type="character" w:customStyle="1" w:styleId="53">
    <w:name w:val="font51"/>
    <w:basedOn w:val="26"/>
    <w:qFormat/>
    <w:uiPriority w:val="0"/>
    <w:rPr>
      <w:rFonts w:ascii="Arial" w:hAnsi="Arial" w:cs="Arial"/>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5" textRotate="1"/>
    <customShpInfo spid="_x0000_s3076" textRotate="1"/>
    <customShpInfo spid="_x0000_s3073" textRotate="1"/>
    <customShpInfo spid="_x0000_s2065"/>
    <customShpInfo spid="_x0000_s2064"/>
    <customShpInfo spid="_x0000_s2066"/>
    <customShpInfo spid="_x0000_s2067"/>
    <customShpInfo spid="_x0000_s2053"/>
    <customShpInfo spid="_x0000_s2051"/>
    <customShpInfo spid="_x0000_s2055"/>
    <customShpInfo spid="_x0000_s2054"/>
    <customShpInfo spid="_x0000_s2072"/>
    <customShpInfo spid="_x0000_s2073"/>
    <customShpInfo spid="_x0000_s2057"/>
    <customShpInfo spid="_x0000_s2056"/>
    <customShpInfo spid="_x0000_s2059"/>
    <customShpInfo spid="_x0000_s2058"/>
    <customShpInfo spid="_x0000_s2060"/>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123</Pages>
  <Words>42805</Words>
  <Characters>46675</Characters>
  <Lines>300</Lines>
  <Paragraphs>84</Paragraphs>
  <TotalTime>20</TotalTime>
  <ScaleCrop>false</ScaleCrop>
  <LinksUpToDate>false</LinksUpToDate>
  <CharactersWithSpaces>49476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2022-09-06T02:55:00Z</cp:lastPrinted>
  <dcterms:modified xsi:type="dcterms:W3CDTF">2022-09-21T02:57:57Z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C853BB3251824203AEB1653C99FC0C3F</vt:lpwstr>
  </property>
</Properties>
</file>