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color w:val="auto"/>
          <w:sz w:val="52"/>
          <w:szCs w:val="52"/>
          <w:highlight w:val="none"/>
          <w:lang w:val="en-US" w:eastAsia="zh-CN"/>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广州市净水有限公司2022年-2024年猎德分公司等6家分公司ISO管理体系</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审核及年度监督服务项目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4275"/>
      <w:bookmarkStart w:id="6" w:name="_Toc7519"/>
      <w:bookmarkStart w:id="7" w:name="_Toc1669"/>
      <w:bookmarkStart w:id="8" w:name="_Toc17801"/>
      <w:bookmarkStart w:id="9" w:name="_Toc19609"/>
      <w:bookmarkStart w:id="10" w:name="_Toc11322"/>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color w:val="auto"/>
          <w:highlight w:val="none"/>
          <w:lang w:eastAsia="zh-CN"/>
        </w:rPr>
      </w:pPr>
      <w:bookmarkStart w:id="11" w:name="_Toc9680"/>
      <w:bookmarkStart w:id="12" w:name="_Toc21373"/>
      <w:r>
        <w:rPr>
          <w:rFonts w:hint="eastAsia"/>
          <w:color w:val="auto"/>
          <w:highlight w:val="none"/>
          <w:lang w:eastAsia="zh-CN"/>
        </w:rPr>
        <w:t>采购公告</w:t>
      </w:r>
    </w:p>
    <w:bookmarkEnd w:id="11"/>
    <w:bookmarkEnd w:id="12"/>
    <w:p>
      <w:pPr>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b w:val="0"/>
          <w:bCs w:val="0"/>
          <w:color w:val="auto"/>
          <w:sz w:val="28"/>
          <w:szCs w:val="28"/>
          <w:highlight w:val="none"/>
          <w:u w:val="single"/>
          <w:lang w:val="en-US" w:eastAsia="zh-CN"/>
        </w:rPr>
        <w:t>广州市净水有限公司2022年-2024年猎德分公司等6家分公司ISO管理体系审核及年度监督服务项目</w:t>
      </w:r>
      <w:r>
        <w:rPr>
          <w:rFonts w:hint="eastAsia" w:ascii="仿宋_GB2312" w:hAnsi="仿宋_GB2312" w:eastAsia="仿宋_GB2312" w:cs="仿宋_GB2312"/>
          <w:color w:val="auto"/>
          <w:sz w:val="28"/>
          <w:szCs w:val="28"/>
          <w:highlight w:val="none"/>
          <w:u w:val="none"/>
        </w:rPr>
        <w:t>已具备采购条件，现</w:t>
      </w:r>
      <w:r>
        <w:rPr>
          <w:rFonts w:hint="eastAsia" w:ascii="仿宋_GB2312" w:hAnsi="仿宋_GB2312" w:eastAsia="仿宋_GB2312" w:cs="仿宋_GB2312"/>
          <w:color w:val="auto"/>
          <w:sz w:val="28"/>
          <w:szCs w:val="28"/>
          <w:highlight w:val="none"/>
          <w:u w:val="none"/>
          <w:lang w:val="en-US" w:eastAsia="zh-CN"/>
        </w:rPr>
        <w:t>对该</w:t>
      </w:r>
      <w:r>
        <w:rPr>
          <w:rFonts w:hint="eastAsia" w:ascii="仿宋_GB2312" w:hAnsi="仿宋_GB2312" w:eastAsia="仿宋_GB2312" w:cs="仿宋_GB2312"/>
          <w:color w:val="auto"/>
          <w:sz w:val="28"/>
          <w:szCs w:val="28"/>
          <w:highlight w:val="none"/>
          <w:u w:val="none"/>
        </w:rPr>
        <w:sym w:font="Wingdings 2" w:char="00A3"/>
      </w:r>
      <w:r>
        <w:rPr>
          <w:rFonts w:hint="eastAsia" w:ascii="仿宋_GB2312" w:hAnsi="仿宋_GB2312" w:eastAsia="仿宋_GB2312" w:cs="仿宋_GB2312"/>
          <w:color w:val="auto"/>
          <w:sz w:val="28"/>
          <w:szCs w:val="28"/>
          <w:highlight w:val="none"/>
          <w:u w:val="none"/>
        </w:rPr>
        <w:t xml:space="preserve">施工  □货物 </w:t>
      </w:r>
      <w:r>
        <w:rPr>
          <w:rFonts w:hint="eastAsia" w:ascii="仿宋_GB2312" w:hAnsi="仿宋_GB2312" w:eastAsia="仿宋_GB2312" w:cs="仿宋_GB2312"/>
          <w:color w:val="auto"/>
          <w:sz w:val="28"/>
          <w:szCs w:val="28"/>
          <w:highlight w:val="none"/>
          <w:u w:val="none"/>
        </w:rPr>
        <w:sym w:font="Wingdings 2" w:char="0052"/>
      </w:r>
      <w:r>
        <w:rPr>
          <w:rFonts w:hint="eastAsia" w:ascii="仿宋_GB2312" w:hAnsi="仿宋_GB2312" w:eastAsia="仿宋_GB2312" w:cs="仿宋_GB2312"/>
          <w:color w:val="auto"/>
          <w:sz w:val="28"/>
          <w:szCs w:val="28"/>
          <w:highlight w:val="none"/>
          <w:u w:val="none"/>
        </w:rPr>
        <w:t>服务项目</w:t>
      </w:r>
      <w:r>
        <w:rPr>
          <w:rFonts w:hint="eastAsia" w:ascii="仿宋_GB2312" w:hAnsi="仿宋_GB2312" w:eastAsia="仿宋_GB2312" w:cs="仿宋_GB2312"/>
          <w:color w:val="auto"/>
          <w:sz w:val="28"/>
          <w:szCs w:val="28"/>
          <w:highlight w:val="none"/>
          <w:u w:val="none"/>
          <w:lang w:val="en-US" w:eastAsia="zh-CN"/>
        </w:rPr>
        <w:t>实施公开</w:t>
      </w:r>
      <w:r>
        <w:rPr>
          <w:rFonts w:hint="eastAsia" w:ascii="仿宋_GB2312" w:hAnsi="仿宋_GB2312" w:eastAsia="仿宋_GB2312" w:cs="仿宋_GB2312"/>
          <w:color w:val="auto"/>
          <w:sz w:val="28"/>
          <w:szCs w:val="28"/>
          <w:highlight w:val="none"/>
          <w:u w:val="none"/>
        </w:rPr>
        <w:t>采购活动，采用</w:t>
      </w:r>
      <w:r>
        <w:rPr>
          <w:rFonts w:hint="eastAsia" w:ascii="仿宋_GB2312" w:hAnsi="仿宋_GB2312" w:eastAsia="仿宋_GB2312" w:cs="仿宋_GB2312"/>
          <w:color w:val="auto"/>
          <w:sz w:val="28"/>
          <w:szCs w:val="28"/>
          <w:highlight w:val="none"/>
          <w:u w:val="none"/>
          <w:lang w:val="en-US" w:eastAsia="zh-CN"/>
        </w:rPr>
        <w:t>询比采购</w:t>
      </w:r>
      <w:r>
        <w:rPr>
          <w:rFonts w:hint="eastAsia" w:ascii="仿宋_GB2312" w:hAnsi="仿宋_GB2312" w:eastAsia="仿宋_GB2312" w:cs="仿宋_GB2312"/>
          <w:color w:val="auto"/>
          <w:sz w:val="28"/>
          <w:szCs w:val="28"/>
          <w:highlight w:val="none"/>
          <w:u w:val="none"/>
        </w:rPr>
        <w:t>方式</w:t>
      </w:r>
      <w:r>
        <w:rPr>
          <w:rFonts w:hint="eastAsia" w:ascii="仿宋_GB2312" w:hAnsi="仿宋_GB2312" w:eastAsia="仿宋_GB2312" w:cs="仿宋_GB2312"/>
          <w:color w:val="auto"/>
          <w:sz w:val="28"/>
          <w:szCs w:val="28"/>
          <w:highlight w:val="none"/>
          <w:u w:val="none"/>
          <w:lang w:val="en-US" w:eastAsia="zh-CN"/>
        </w:rPr>
        <w:t>公开</w:t>
      </w:r>
      <w:r>
        <w:rPr>
          <w:rFonts w:hint="eastAsia" w:ascii="仿宋_GB2312" w:hAnsi="仿宋_GB2312" w:eastAsia="仿宋_GB2312" w:cs="仿宋_GB2312"/>
          <w:color w:val="auto"/>
          <w:sz w:val="28"/>
          <w:szCs w:val="28"/>
          <w:highlight w:val="none"/>
          <w:u w:val="none"/>
        </w:rPr>
        <w:t>邀请合格供应商参</w:t>
      </w:r>
      <w:r>
        <w:rPr>
          <w:rFonts w:hint="eastAsia" w:ascii="仿宋_GB2312" w:hAnsi="仿宋_GB2312" w:eastAsia="仿宋_GB2312" w:cs="仿宋_GB2312"/>
          <w:bCs w:val="0"/>
          <w:color w:val="auto"/>
          <w:sz w:val="28"/>
          <w:szCs w:val="28"/>
          <w:highlight w:val="none"/>
          <w:u w:val="none"/>
        </w:rPr>
        <w:t>加本项目采购</w:t>
      </w:r>
      <w:r>
        <w:rPr>
          <w:rFonts w:hint="eastAsia" w:ascii="仿宋_GB2312" w:hAnsi="仿宋_GB2312" w:eastAsia="仿宋_GB2312" w:cs="仿宋_GB2312"/>
          <w:bCs w:val="0"/>
          <w:color w:val="auto"/>
          <w:sz w:val="28"/>
          <w:szCs w:val="28"/>
          <w:highlight w:val="none"/>
          <w:u w:val="none"/>
          <w:lang w:val="en-US" w:eastAsia="zh-CN"/>
        </w:rPr>
        <w:t>竞争</w:t>
      </w:r>
      <w:r>
        <w:rPr>
          <w:rFonts w:hint="eastAsia" w:ascii="仿宋_GB2312" w:hAnsi="仿宋_GB2312" w:eastAsia="仿宋_GB2312" w:cs="仿宋_GB2312"/>
          <w:bCs w:val="0"/>
          <w:color w:val="auto"/>
          <w:sz w:val="28"/>
          <w:szCs w:val="28"/>
          <w:highlight w:val="none"/>
          <w:u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b w:val="0"/>
          <w:bCs w:val="0"/>
          <w:color w:val="auto"/>
          <w:sz w:val="28"/>
          <w:szCs w:val="28"/>
          <w:highlight w:val="none"/>
          <w:u w:val="single"/>
          <w:lang w:val="en-US" w:eastAsia="zh-CN"/>
        </w:rPr>
        <w:t>广州市净水有限公司2022年-2024年猎德分公司等6家分公司ISO管理体系审核及年度监督服务项目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XJ-20220916-5</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¥378,000元，其中各子项目限价如下：</w:t>
      </w:r>
      <w:r>
        <w:rPr>
          <w:rFonts w:hint="eastAsia" w:ascii="仿宋_GB2312" w:eastAsia="仿宋_GB2312"/>
          <w:color w:val="auto"/>
          <w:sz w:val="28"/>
          <w:szCs w:val="28"/>
          <w:highlight w:val="none"/>
          <w:u w:val="single"/>
        </w:rPr>
        <w:t xml:space="preserve">                                              </w:t>
      </w:r>
    </w:p>
    <w:tbl>
      <w:tblPr>
        <w:tblStyle w:val="23"/>
        <w:tblW w:w="9300" w:type="dxa"/>
        <w:tblInd w:w="-3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641"/>
        <w:gridCol w:w="5872"/>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所属单位</w:t>
            </w:r>
          </w:p>
        </w:tc>
        <w:tc>
          <w:tcPr>
            <w:tcW w:w="5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子项目名称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5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2"/>
                <w:szCs w:val="22"/>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猎德分公司</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2022年三体系再认证审核，2023年、2024年年度监督</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沥滘分公司</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2022年三体系再认证审核，2023年、2024年年度监督</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石井分公司</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2022年三体系再认证审核，2023年、2024年年度监督</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63000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龙归分公司</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2022年三体系再认证审核，2023年、2024年年度监督</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63000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w w:val="90"/>
                <w:kern w:val="0"/>
                <w:sz w:val="22"/>
                <w:szCs w:val="22"/>
                <w:highlight w:val="none"/>
                <w:u w:val="none"/>
                <w:lang w:val="en-US" w:eastAsia="zh-CN" w:bidi="ar"/>
              </w:rPr>
              <w:t>石井净水分公司</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2022年三体系再认证审核，2023年、2024年年度监督</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63000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竹料分公司</w:t>
            </w:r>
          </w:p>
        </w:tc>
        <w:tc>
          <w:tcPr>
            <w:tcW w:w="5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2022年三体系再认证培训、再认证审核，2023年、2024年年度培训、监督</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63000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378000</w:t>
            </w:r>
          </w:p>
        </w:tc>
      </w:tr>
    </w:tbl>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对广州市净水有限公司属下</w:t>
      </w:r>
      <w:r>
        <w:rPr>
          <w:rFonts w:hint="eastAsia" w:ascii="仿宋_GB2312" w:eastAsia="仿宋_GB2312"/>
          <w:color w:val="auto"/>
          <w:sz w:val="28"/>
          <w:szCs w:val="28"/>
          <w:highlight w:val="none"/>
          <w:u w:val="single"/>
          <w:lang w:val="en-US" w:eastAsia="zh-CN"/>
        </w:rPr>
        <w:t>猎德分公司等6家分公司</w:t>
      </w:r>
      <w:r>
        <w:rPr>
          <w:rFonts w:hint="eastAsia" w:ascii="仿宋_GB2312" w:eastAsia="仿宋_GB2312"/>
          <w:color w:val="auto"/>
          <w:sz w:val="28"/>
          <w:szCs w:val="28"/>
          <w:highlight w:val="none"/>
          <w:u w:val="single"/>
        </w:rPr>
        <w:t>进行2022年-2024年ISO管理体系审核及证书有效期内的年度监督服务。认证领域：质量管理体系GB/T19001-2016、lSO9001-2015；职业健康安全管理体系GB／T45001-2020、</w:t>
      </w:r>
      <w:r>
        <w:rPr>
          <w:rFonts w:hint="eastAsia" w:ascii="仿宋_GB2312" w:eastAsia="仿宋_GB2312"/>
          <w:color w:val="auto"/>
          <w:sz w:val="28"/>
          <w:szCs w:val="28"/>
          <w:highlight w:val="none"/>
          <w:u w:val="single"/>
          <w:lang w:val="en-US" w:eastAsia="zh-CN"/>
        </w:rPr>
        <w:t>I</w:t>
      </w:r>
      <w:r>
        <w:rPr>
          <w:rFonts w:hint="eastAsia" w:ascii="仿宋_GB2312" w:eastAsia="仿宋_GB2312"/>
          <w:color w:val="auto"/>
          <w:sz w:val="28"/>
          <w:szCs w:val="28"/>
          <w:highlight w:val="none"/>
          <w:u w:val="single"/>
        </w:rPr>
        <w:t xml:space="preserve">SO45001-2018；环境管理体系GB／T24001-2016、ISO14001-2015。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自合同签订日期起至2024年12月31日</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广州市净水有限公司猎德分公司、沥滘分公司、石井分公司、龙归分公司、竹料分公司、石井净水分公司</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详见第五章</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有效期内《认证机构批准书》（加盖单位公章），批准书内具有本项目所需的认证领域</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w:t>
      </w:r>
      <w:r>
        <w:rPr>
          <w:rFonts w:hint="eastAsia" w:ascii="仿宋_GB2312" w:eastAsia="仿宋_GB2312"/>
          <w:color w:val="auto"/>
          <w:sz w:val="28"/>
          <w:szCs w:val="28"/>
          <w:highlight w:val="none"/>
          <w:lang w:val="en-US" w:eastAsia="zh-CN"/>
        </w:rPr>
        <w:t>年1月1日至今，供应商最少具有一项认证管理体系服务（须涵盖本项目所要求的认证领域）业绩</w:t>
      </w:r>
      <w:r>
        <w:rPr>
          <w:rFonts w:hint="eastAsia" w:ascii="仿宋_GB2312" w:eastAsia="仿宋_GB2312"/>
          <w:color w:val="auto"/>
          <w:sz w:val="28"/>
          <w:szCs w:val="28"/>
          <w:highlight w:val="none"/>
        </w:rPr>
        <w:t>。（提供合同复印件证明，包括但不限于项目名称、金额及实施内容、合同盖章、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补充和修改公告</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color w:val="auto"/>
          <w:highlight w:val="none"/>
        </w:rPr>
      </w:pPr>
      <w:bookmarkStart w:id="14" w:name="_Toc19295"/>
      <w:bookmarkStart w:id="15" w:name="_Toc2331"/>
      <w:bookmarkStart w:id="16" w:name="_Toc23749"/>
      <w:bookmarkStart w:id="17" w:name="_Toc16557"/>
      <w:bookmarkStart w:id="18" w:name="_Toc32588"/>
      <w:bookmarkStart w:id="19" w:name="_Toc2324"/>
      <w:bookmarkStart w:id="20" w:name="_Toc25603"/>
      <w:bookmarkStart w:id="21" w:name="_Toc9448"/>
      <w:bookmarkStart w:id="22" w:name="_Toc16705"/>
      <w:bookmarkStart w:id="23" w:name="_Toc7340"/>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2147483648" w:afterLines="-2147483648"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7303"/>
      <w:bookmarkStart w:id="29" w:name="_Toc88209934"/>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2"/>
        <w:ind w:left="0" w:leftChars="0" w:firstLine="0" w:firstLineChars="0"/>
        <w:rPr>
          <w:color w:val="auto"/>
          <w:highlight w:val="none"/>
        </w:rPr>
      </w:pPr>
    </w:p>
    <w:p>
      <w:pPr>
        <w:pStyle w:val="4"/>
        <w:rPr>
          <w:color w:val="auto"/>
          <w:highlight w:val="none"/>
        </w:rPr>
      </w:pPr>
      <w:bookmarkStart w:id="32" w:name="_Toc7118"/>
      <w:bookmarkStart w:id="33" w:name="_Toc4952"/>
      <w:bookmarkStart w:id="34" w:name="_Toc19759"/>
      <w:bookmarkStart w:id="35" w:name="_Toc10930"/>
      <w:bookmarkStart w:id="36" w:name="_Toc20594"/>
      <w:bookmarkStart w:id="37" w:name="_Toc23581"/>
      <w:bookmarkStart w:id="38" w:name="_Toc7437"/>
      <w:bookmarkStart w:id="39" w:name="_Toc3156"/>
      <w:bookmarkStart w:id="40" w:name="_Toc19050"/>
      <w:bookmarkStart w:id="41" w:name="_Toc14870"/>
      <w:bookmarkStart w:id="42"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2"/>
      <w:bookmarkEnd w:id="33"/>
      <w:bookmarkEnd w:id="34"/>
      <w:bookmarkEnd w:id="35"/>
      <w:bookmarkEnd w:id="36"/>
      <w:bookmarkEnd w:id="37"/>
      <w:bookmarkEnd w:id="38"/>
      <w:bookmarkEnd w:id="39"/>
      <w:bookmarkEnd w:id="40"/>
      <w:bookmarkEnd w:id="41"/>
      <w:bookmarkEnd w:id="42"/>
    </w:p>
    <w:p>
      <w:pPr>
        <w:pStyle w:val="36"/>
        <w:rPr>
          <w:color w:val="auto"/>
          <w:highlight w:val="none"/>
        </w:rPr>
      </w:pPr>
    </w:p>
    <w:p>
      <w:pPr>
        <w:pStyle w:val="4"/>
        <w:rPr>
          <w:color w:val="auto"/>
          <w:highlight w:val="none"/>
        </w:rPr>
      </w:pPr>
      <w:bookmarkStart w:id="43" w:name="_Toc88209941"/>
      <w:bookmarkStart w:id="44" w:name="_Toc30530"/>
      <w:bookmarkStart w:id="45" w:name="_Toc12177"/>
      <w:bookmarkStart w:id="46" w:name="_Toc21079"/>
      <w:bookmarkStart w:id="47" w:name="_Toc6308"/>
      <w:bookmarkStart w:id="48" w:name="_Toc13898"/>
      <w:bookmarkStart w:id="49" w:name="_Toc29484"/>
      <w:bookmarkStart w:id="50" w:name="_Toc21840"/>
      <w:bookmarkStart w:id="51" w:name="_Toc7831"/>
      <w:bookmarkStart w:id="52" w:name="_Toc29345"/>
      <w:bookmarkStart w:id="53" w:name="_Toc87616378"/>
      <w:bookmarkStart w:id="54" w:name="_Toc32607"/>
      <w:bookmarkStart w:id="55" w:name="_Toc22212"/>
      <w:r>
        <w:rPr>
          <w:rFonts w:hint="eastAsia"/>
          <w:color w:val="auto"/>
          <w:highlight w:val="none"/>
        </w:rPr>
        <w:t>评审办法</w:t>
      </w:r>
      <w:bookmarkEnd w:id="43"/>
      <w:bookmarkEnd w:id="44"/>
      <w:bookmarkEnd w:id="45"/>
      <w:bookmarkEnd w:id="46"/>
      <w:bookmarkEnd w:id="47"/>
      <w:bookmarkEnd w:id="48"/>
      <w:bookmarkEnd w:id="49"/>
      <w:bookmarkEnd w:id="50"/>
      <w:bookmarkEnd w:id="51"/>
      <w:bookmarkEnd w:id="52"/>
      <w:bookmarkEnd w:id="53"/>
      <w:bookmarkEnd w:id="54"/>
      <w:bookmarkEnd w:id="5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6" w:name="_Toc26826"/>
      <w:bookmarkStart w:id="57" w:name="_Toc23033"/>
      <w:r>
        <w:rPr>
          <w:rFonts w:hint="eastAsia"/>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bookmarkEnd w:id="56"/>
    <w:bookmarkEnd w:id="57"/>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r>
        <w:rPr>
          <w:rFonts w:hint="eastAsia"/>
          <w:color w:val="auto"/>
          <w:szCs w:val="44"/>
          <w:highlight w:val="none"/>
        </w:rPr>
        <w:br w:type="page"/>
      </w:r>
    </w:p>
    <w:p>
      <w:pPr>
        <w:pStyle w:val="5"/>
        <w:rPr>
          <w:color w:val="auto"/>
          <w:szCs w:val="44"/>
          <w:highlight w:val="none"/>
        </w:rPr>
      </w:pPr>
      <w:r>
        <w:rPr>
          <w:rFonts w:hint="eastAsia"/>
          <w:color w:val="auto"/>
          <w:szCs w:val="44"/>
          <w:highlight w:val="none"/>
        </w:rPr>
        <w:t>采购需求编制说明</w:t>
      </w:r>
      <w:bookmarkEnd w:id="58"/>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zh-CN" w:eastAsia="zh-CN" w:bidi="ar-SA"/>
        </w:rPr>
        <w:t>一、项目情况介绍</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为确保广州市净水有限公司属下猎德分公司、沥滘分公司、石井分公司、龙归分公司、竹料分公司、石井净水分公司等6家分公司的ISO管理体系持续运行，现需在证书有效期结束前取得下一轮质量管理体系、职业健康安全管理体系、环境管理体系等三个管理体系认证证书，同时在新证书有效期内进行年度监督服务并取得当年监督审核确认证书。</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_GB2312" w:hAnsi="仿宋_GB2312" w:eastAsia="仿宋_GB2312" w:cs="仿宋_GB2312"/>
          <w:b/>
          <w:bCs/>
          <w:color w:val="auto"/>
          <w:kern w:val="2"/>
          <w:sz w:val="28"/>
          <w:szCs w:val="28"/>
          <w:highlight w:val="none"/>
          <w:lang w:val="zh-CN" w:eastAsia="zh-CN" w:bidi="ar-SA"/>
        </w:rPr>
      </w:pPr>
      <w:r>
        <w:rPr>
          <w:rFonts w:hint="eastAsia" w:ascii="仿宋_GB2312" w:hAnsi="仿宋_GB2312" w:eastAsia="仿宋_GB2312" w:cs="仿宋_GB2312"/>
          <w:b/>
          <w:bCs/>
          <w:color w:val="auto"/>
          <w:kern w:val="2"/>
          <w:sz w:val="28"/>
          <w:szCs w:val="28"/>
          <w:highlight w:val="none"/>
          <w:lang w:val="en-US" w:eastAsia="zh-CN" w:bidi="ar-SA"/>
        </w:rPr>
        <w:t>二、</w:t>
      </w:r>
      <w:r>
        <w:rPr>
          <w:rFonts w:hint="eastAsia" w:ascii="仿宋_GB2312" w:hAnsi="仿宋_GB2312" w:eastAsia="仿宋_GB2312" w:cs="仿宋_GB2312"/>
          <w:b/>
          <w:bCs/>
          <w:color w:val="auto"/>
          <w:kern w:val="2"/>
          <w:sz w:val="28"/>
          <w:szCs w:val="28"/>
          <w:highlight w:val="none"/>
          <w:lang w:val="zh-CN" w:eastAsia="zh-CN" w:bidi="ar-SA"/>
        </w:rPr>
        <w:t>项目要求</w:t>
      </w:r>
    </w:p>
    <w:p>
      <w:pPr>
        <w:ind w:left="0" w:leftChars="0" w:firstLine="638" w:firstLineChars="228"/>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1.服务要求</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为广州市净水有限公司属下猎德分公司、沥滘分公司、石井分公司、龙归分公司、竹料分公司、石井净水分公司等6家分公司的ISO管理体系持续运行，在现证书有效期结束前取得下一轮质量管理体系GB/T19001-2016、lSO9001-2015；职业健康安全管理体GB／T45001-2020、ISO45001-2018；环境管理体系GB／T24001-2016、ISO14001-2015的认证证书，同时在新证书有效期内进行年度监督服务并取得当年监督审核确认证书。</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2.本次采购范围包括：</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质量、环境、职业健康安全三个管理体系（三体系）再认证审核服务，包括：2022年再认证审核、2023年第一次监督审核服务和2024年第二次监督审核服务。服务期三年。</w:t>
      </w:r>
    </w:p>
    <w:p>
      <w:pPr>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具体各项情况如下：</w:t>
      </w:r>
    </w:p>
    <w:tbl>
      <w:tblPr>
        <w:tblStyle w:val="23"/>
        <w:tblW w:w="9894"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9"/>
        <w:gridCol w:w="1460"/>
        <w:gridCol w:w="3164"/>
        <w:gridCol w:w="3286"/>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81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项目序号</w:t>
            </w:r>
          </w:p>
        </w:tc>
        <w:tc>
          <w:tcPr>
            <w:tcW w:w="146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所属单位</w:t>
            </w:r>
          </w:p>
        </w:tc>
        <w:tc>
          <w:tcPr>
            <w:tcW w:w="3164"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子项目名称</w:t>
            </w:r>
          </w:p>
        </w:tc>
        <w:tc>
          <w:tcPr>
            <w:tcW w:w="328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实施内容</w:t>
            </w:r>
          </w:p>
        </w:tc>
        <w:tc>
          <w:tcPr>
            <w:tcW w:w="1165"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highlight w:val="none"/>
                <w:u w:val="none"/>
                <w:shd w:val="clear" w:color="auto" w:fill="auto"/>
                <w:lang w:val="en-US" w:eastAsia="zh-CN" w:bidi="ar"/>
              </w:rPr>
              <w:t>体系覆盖人数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81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1460"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3164"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3286"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c>
          <w:tcPr>
            <w:tcW w:w="1165" w:type="dxa"/>
            <w:vMerge w:val="continue"/>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shd w:val="clear" w:color="auto" w:fil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一</w:t>
            </w: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猎德分公司</w:t>
            </w:r>
          </w:p>
        </w:tc>
        <w:tc>
          <w:tcPr>
            <w:tcW w:w="316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猎德分公司2022年-2024年ISO管理体系审核及年度监督服务项目</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2022年三体系再认证审核，2023年、2024年年度监督</w:t>
            </w:r>
          </w:p>
        </w:tc>
        <w:tc>
          <w:tcPr>
            <w:tcW w:w="1165" w:type="dxa"/>
            <w:shd w:val="clear" w:color="auto" w:fill="auto"/>
            <w:noWrap/>
            <w:vAlign w:val="center"/>
          </w:tcPr>
          <w:p>
            <w:pPr>
              <w:jc w:val="center"/>
              <w:rPr>
                <w:rFonts w:hint="default"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约200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二</w:t>
            </w: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沥滘分公司</w:t>
            </w:r>
          </w:p>
        </w:tc>
        <w:tc>
          <w:tcPr>
            <w:tcW w:w="316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沥滘分公司2022年-2024年ISO管理体系认证审核服务项目</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2022年三体系再认证审核，2023年、2024年年度监督</w:t>
            </w:r>
          </w:p>
        </w:tc>
        <w:tc>
          <w:tcPr>
            <w:tcW w:w="1165" w:type="dxa"/>
            <w:shd w:val="clear" w:color="auto" w:fill="auto"/>
            <w:noWrap/>
            <w:vAlign w:val="center"/>
          </w:tcPr>
          <w:p>
            <w:pPr>
              <w:jc w:val="center"/>
              <w:rPr>
                <w:rFonts w:hint="default"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约180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三</w:t>
            </w: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石井分公司</w:t>
            </w:r>
          </w:p>
        </w:tc>
        <w:tc>
          <w:tcPr>
            <w:tcW w:w="316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石井分公司2022年-2024年ISO管理体系审核及年度监督服务项目</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2022年三体系再认证审核，2023年、2024年年度监督</w:t>
            </w:r>
          </w:p>
        </w:tc>
        <w:tc>
          <w:tcPr>
            <w:tcW w:w="116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shd w:val="clear" w:color="auto" w:fill="auto"/>
                <w:lang w:val="en-US"/>
              </w:rPr>
            </w:pPr>
            <w:r>
              <w:rPr>
                <w:rFonts w:hint="eastAsia" w:ascii="宋体" w:hAnsi="宋体" w:eastAsia="宋体" w:cs="宋体"/>
                <w:i w:val="0"/>
                <w:iCs w:val="0"/>
                <w:color w:val="auto"/>
                <w:kern w:val="0"/>
                <w:sz w:val="18"/>
                <w:szCs w:val="18"/>
                <w:highlight w:val="none"/>
                <w:u w:val="none"/>
                <w:shd w:val="clear" w:color="auto" w:fill="auto"/>
                <w:lang w:val="en-US" w:eastAsia="zh-CN" w:bidi="ar"/>
              </w:rPr>
              <w:t>约150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四</w:t>
            </w: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龙归分公司</w:t>
            </w:r>
          </w:p>
        </w:tc>
        <w:tc>
          <w:tcPr>
            <w:tcW w:w="316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龙归分公司2022年-2024年ISO管理体系审核及年度监督服务</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2022年三体系再认证审核，2023年、2024年年度监督</w:t>
            </w:r>
          </w:p>
        </w:tc>
        <w:tc>
          <w:tcPr>
            <w:tcW w:w="116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shd w:val="clear" w:color="auto" w:fill="auto"/>
                <w:lang w:val="en-US"/>
              </w:rPr>
            </w:pPr>
            <w:r>
              <w:rPr>
                <w:rFonts w:hint="eastAsia" w:ascii="宋体" w:hAnsi="宋体" w:eastAsia="宋体" w:cs="宋体"/>
                <w:i w:val="0"/>
                <w:iCs w:val="0"/>
                <w:color w:val="auto"/>
                <w:kern w:val="0"/>
                <w:sz w:val="18"/>
                <w:szCs w:val="18"/>
                <w:highlight w:val="none"/>
                <w:u w:val="none"/>
                <w:shd w:val="clear" w:color="auto" w:fill="auto"/>
                <w:lang w:val="en-US" w:eastAsia="zh-CN" w:bidi="ar"/>
              </w:rPr>
              <w:t>约120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五</w:t>
            </w: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w w:val="90"/>
                <w:kern w:val="0"/>
                <w:sz w:val="18"/>
                <w:szCs w:val="18"/>
                <w:highlight w:val="none"/>
                <w:u w:val="none"/>
                <w:shd w:val="clear" w:color="auto" w:fill="auto"/>
                <w:lang w:val="en-US" w:eastAsia="zh-CN" w:bidi="ar"/>
              </w:rPr>
              <w:t>石井净水分公司</w:t>
            </w:r>
          </w:p>
        </w:tc>
        <w:tc>
          <w:tcPr>
            <w:tcW w:w="316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石井净水分公司2022年-2024年ISO管理体系审核及年度监督服务</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2022年三体系再认证审核，2023年、2024年年度监督</w:t>
            </w:r>
          </w:p>
        </w:tc>
        <w:tc>
          <w:tcPr>
            <w:tcW w:w="116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约150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lang w:val="en-US" w:eastAsia="zh-CN"/>
              </w:rPr>
            </w:pPr>
            <w:r>
              <w:rPr>
                <w:rFonts w:hint="eastAsia" w:ascii="宋体" w:hAnsi="宋体" w:eastAsia="宋体" w:cs="宋体"/>
                <w:i w:val="0"/>
                <w:iCs w:val="0"/>
                <w:color w:val="auto"/>
                <w:sz w:val="18"/>
                <w:szCs w:val="18"/>
                <w:highlight w:val="none"/>
                <w:u w:val="none"/>
                <w:shd w:val="clear" w:color="auto" w:fill="auto"/>
                <w:lang w:val="en-US" w:eastAsia="zh-CN"/>
              </w:rPr>
              <w:t>六</w:t>
            </w: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竹料分公司</w:t>
            </w:r>
          </w:p>
        </w:tc>
        <w:tc>
          <w:tcPr>
            <w:tcW w:w="3164"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竹料分公司2022年至2024年度ISO三管体系年度监督审核、培训、再认证服务项目</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shd w:val="clear" w:color="auto" w:fill="auto"/>
              </w:rPr>
            </w:pPr>
            <w:r>
              <w:rPr>
                <w:rFonts w:hint="eastAsia" w:ascii="宋体" w:hAnsi="宋体" w:eastAsia="宋体" w:cs="宋体"/>
                <w:i w:val="0"/>
                <w:iCs w:val="0"/>
                <w:color w:val="auto"/>
                <w:kern w:val="0"/>
                <w:sz w:val="18"/>
                <w:szCs w:val="18"/>
                <w:highlight w:val="none"/>
                <w:u w:val="none"/>
                <w:shd w:val="clear" w:color="auto" w:fill="auto"/>
                <w:lang w:val="en-US" w:eastAsia="zh-CN" w:bidi="ar"/>
              </w:rPr>
              <w:t>2022年三体系再认证审核，2023年、2024年年度监督</w:t>
            </w:r>
          </w:p>
        </w:tc>
        <w:tc>
          <w:tcPr>
            <w:tcW w:w="116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shd w:val="clear" w:color="auto" w:fill="auto"/>
                <w:lang w:val="en-US"/>
              </w:rPr>
            </w:pPr>
            <w:r>
              <w:rPr>
                <w:rFonts w:hint="eastAsia" w:ascii="宋体" w:hAnsi="宋体" w:eastAsia="宋体" w:cs="宋体"/>
                <w:i w:val="0"/>
                <w:iCs w:val="0"/>
                <w:color w:val="auto"/>
                <w:kern w:val="0"/>
                <w:sz w:val="18"/>
                <w:szCs w:val="18"/>
                <w:highlight w:val="none"/>
                <w:u w:val="none"/>
                <w:shd w:val="clear" w:color="auto" w:fill="auto"/>
                <w:lang w:val="en-US" w:eastAsia="zh-CN" w:bidi="ar"/>
              </w:rPr>
              <w:t>约100</w:t>
            </w:r>
          </w:p>
        </w:tc>
      </w:tr>
    </w:tbl>
    <w:p>
      <w:pPr>
        <w:pStyle w:val="7"/>
        <w:rPr>
          <w:rFonts w:hint="default"/>
          <w:color w:val="auto"/>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暂定</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服务期</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自合同签订之日起</w:t>
      </w:r>
      <w:r>
        <w:rPr>
          <w:rFonts w:hint="eastAsia" w:ascii="仿宋_GB2312" w:hAnsi="仿宋_GB2312" w:eastAsia="仿宋_GB2312" w:cs="仿宋_GB2312"/>
          <w:color w:val="auto"/>
          <w:sz w:val="28"/>
          <w:szCs w:val="28"/>
          <w:highlight w:val="none"/>
        </w:rPr>
        <w:t>至202</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年12月31日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3.2022年度</w:t>
      </w:r>
      <w:r>
        <w:rPr>
          <w:rFonts w:hint="eastAsia" w:ascii="仿宋_GB2312" w:hAnsi="仿宋_GB2312" w:eastAsia="仿宋_GB2312" w:cs="仿宋_GB2312"/>
          <w:color w:val="auto"/>
          <w:sz w:val="28"/>
          <w:szCs w:val="28"/>
          <w:highlight w:val="none"/>
        </w:rPr>
        <w:t>交货/服务时间：2022年12月31日前完成</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rPr>
        <w:t>付款方式：以银行转账的形式。</w:t>
      </w:r>
      <w:r>
        <w:rPr>
          <w:rFonts w:hint="eastAsia" w:ascii="仿宋_GB2312" w:hAnsi="仿宋_GB2312" w:eastAsia="仿宋_GB2312" w:cs="仿宋_GB2312"/>
          <w:color w:val="auto"/>
          <w:sz w:val="28"/>
          <w:szCs w:val="28"/>
          <w:highlight w:val="none"/>
          <w:lang w:val="en-US" w:eastAsia="zh-CN"/>
        </w:rPr>
        <w:t>本项目以各分公司每年完成的阶段目标进行阶段性结算审核，并按审核结果支付阶段款。</w:t>
      </w:r>
    </w:p>
    <w:p>
      <w:pPr>
        <w:ind w:left="0" w:leftChars="0" w:firstLine="638" w:firstLineChars="228"/>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zh-CN"/>
        </w:rPr>
        <w:t>其它要求：</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zh-CN"/>
        </w:rPr>
        <w:t>报价应为一票制、含税、全包价，包括</w:t>
      </w:r>
      <w:r>
        <w:rPr>
          <w:rFonts w:hint="eastAsia" w:ascii="仿宋_GB2312" w:hAnsi="仿宋_GB2312" w:eastAsia="仿宋_GB2312" w:cs="仿宋_GB2312"/>
          <w:color w:val="auto"/>
          <w:sz w:val="28"/>
          <w:szCs w:val="28"/>
          <w:highlight w:val="none"/>
          <w:lang w:val="en-US" w:eastAsia="zh-CN"/>
        </w:rPr>
        <w:t>第一年管理体系申请认证</w:t>
      </w:r>
      <w:r>
        <w:rPr>
          <w:rFonts w:hint="eastAsia" w:ascii="仿宋_GB2312" w:hAnsi="仿宋_GB2312" w:eastAsia="仿宋_GB2312" w:cs="仿宋_GB2312"/>
          <w:color w:val="auto"/>
          <w:sz w:val="28"/>
          <w:szCs w:val="28"/>
          <w:highlight w:val="none"/>
          <w:lang w:val="zh-CN"/>
        </w:rPr>
        <w:t>、第二年和第三年监督审核费用，及完成现场审核时审核员发生的必要的食宿和差旅费等在内的所有费用</w:t>
      </w: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报价方式需为每年阶段性报价及总报价</w:t>
      </w:r>
      <w:r>
        <w:rPr>
          <w:rFonts w:hint="eastAsia" w:ascii="仿宋_GB2312" w:hAnsi="仿宋_GB2312" w:eastAsia="仿宋_GB2312" w:cs="仿宋_GB2312"/>
          <w:color w:val="auto"/>
          <w:sz w:val="28"/>
          <w:szCs w:val="28"/>
          <w:highlight w:val="none"/>
          <w:lang w:val="zh-CN"/>
        </w:rPr>
        <w:t>。</w:t>
      </w:r>
    </w:p>
    <w:p>
      <w:pPr>
        <w:ind w:left="0" w:leftChars="0" w:firstLine="638" w:firstLineChars="228"/>
        <w:rPr>
          <w:rFonts w:hint="eastAsia" w:ascii="仿宋_GB2312" w:hAnsi="仿宋_GB2312" w:eastAsia="仿宋_GB2312" w:cs="仿宋_GB2312"/>
          <w:color w:val="auto"/>
          <w:sz w:val="28"/>
          <w:szCs w:val="28"/>
          <w:highlight w:val="none"/>
          <w:lang w:val="zh-CN"/>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ascii="仿宋_GB2312" w:eastAsia="仿宋_GB2312" w:hAnsiTheme="minorEastAsia"/>
          <w:color w:val="auto"/>
          <w:szCs w:val="21"/>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0"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GsFeQ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SZJYMHTj&#10;d5+///r05fbrz9sf31j5PGk0eKwodG234bRDvw2J8KENJv2JCjtkXY9nXeUhMkGHL+eLxZzgxb2r&#10;eMjzAeNr6QxLRs0xBlBdH9fOWro8F2ZZVti/wUiVKfE+IRXVlg0JvpwTONAwtjQEZBpPhNB2ORed&#10;Vs210jplYOh2ax3YHtJA5C/xI9y/wlKRDWA/xmXXOCq9hOaVbVg8elLK0gvhqQUjG860pAeVLAKE&#10;KoLSl0RSaW2pgyTxKGqydq45Zq3zOV1+7vE0qGm6/tzn7IfH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awV5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六</w:t>
      </w:r>
      <w:r>
        <w:rPr>
          <w:rFonts w:hint="eastAsia"/>
          <w:color w:val="auto"/>
          <w:highlight w:val="none"/>
        </w:rPr>
        <w:t>章</w:t>
      </w:r>
    </w:p>
    <w:p>
      <w:pPr>
        <w:pStyle w:val="4"/>
        <w:rPr>
          <w:color w:val="auto"/>
          <w:highlight w:val="none"/>
        </w:rPr>
      </w:pPr>
      <w:bookmarkStart w:id="59" w:name="_Toc13309"/>
      <w:bookmarkStart w:id="60" w:name="_Toc1375"/>
      <w:bookmarkStart w:id="61" w:name="_Toc8183"/>
      <w:bookmarkStart w:id="62" w:name="_Toc88209949"/>
      <w:bookmarkStart w:id="63" w:name="_Toc323"/>
      <w:bookmarkStart w:id="64" w:name="_Toc19088"/>
      <w:bookmarkStart w:id="65" w:name="_Toc22501"/>
      <w:bookmarkStart w:id="66" w:name="_Toc22797"/>
      <w:bookmarkStart w:id="67" w:name="_Toc12721"/>
      <w:bookmarkStart w:id="68" w:name="_Toc12968"/>
      <w:bookmarkStart w:id="69" w:name="_Toc19686"/>
      <w:bookmarkStart w:id="70" w:name="_Toc87616386"/>
      <w:bookmarkStart w:id="71" w:name="_Toc12980"/>
      <w:r>
        <w:rPr>
          <w:rFonts w:hint="eastAsia"/>
          <w:color w:val="auto"/>
          <w:highlight w:val="none"/>
        </w:rPr>
        <w:t>合同</w:t>
      </w:r>
      <w:bookmarkEnd w:id="59"/>
      <w:bookmarkEnd w:id="60"/>
      <w:bookmarkEnd w:id="61"/>
      <w:bookmarkEnd w:id="62"/>
      <w:bookmarkEnd w:id="63"/>
      <w:bookmarkEnd w:id="64"/>
      <w:bookmarkEnd w:id="65"/>
      <w:bookmarkEnd w:id="66"/>
      <w:bookmarkEnd w:id="67"/>
      <w:bookmarkEnd w:id="68"/>
      <w:bookmarkEnd w:id="69"/>
      <w:bookmarkEnd w:id="70"/>
      <w:bookmarkEnd w:id="71"/>
    </w:p>
    <w:p>
      <w:pPr>
        <w:jc w:val="center"/>
        <w:rPr>
          <w:rFonts w:hint="eastAsia" w:ascii="宋体" w:hAnsi="宋体" w:cs="宋体"/>
          <w:b/>
          <w:bCs/>
          <w:color w:val="auto"/>
          <w:sz w:val="48"/>
          <w:szCs w:val="48"/>
          <w:highlight w:val="none"/>
          <w:u w:val="single"/>
        </w:rPr>
      </w:pPr>
    </w:p>
    <w:p>
      <w:pPr>
        <w:jc w:val="center"/>
        <w:rPr>
          <w:rFonts w:hint="eastAsia" w:ascii="宋体" w:hAnsi="宋体" w:cs="宋体"/>
          <w:b/>
          <w:bCs/>
          <w:color w:val="auto"/>
          <w:sz w:val="48"/>
          <w:szCs w:val="48"/>
          <w:highlight w:val="none"/>
          <w:u w:val="single"/>
        </w:rPr>
      </w:pPr>
    </w:p>
    <w:p>
      <w:pPr>
        <w:jc w:val="center"/>
        <w:rPr>
          <w:rFonts w:hint="eastAsia" w:ascii="宋体" w:hAnsi="宋体" w:cs="宋体"/>
          <w:b/>
          <w:bCs/>
          <w:color w:val="auto"/>
          <w:sz w:val="48"/>
          <w:szCs w:val="48"/>
          <w:highlight w:val="none"/>
          <w:u w:val="single"/>
        </w:rPr>
      </w:pPr>
    </w:p>
    <w:p>
      <w:pPr>
        <w:jc w:val="center"/>
        <w:rPr>
          <w:rFonts w:hint="eastAsia" w:ascii="宋体" w:hAnsi="宋体" w:cs="宋体"/>
          <w:b/>
          <w:bCs/>
          <w:color w:val="auto"/>
          <w:sz w:val="48"/>
          <w:szCs w:val="48"/>
          <w:highlight w:val="none"/>
          <w:u w:val="single"/>
        </w:rPr>
      </w:pPr>
    </w:p>
    <w:p>
      <w:pPr>
        <w:pStyle w:val="7"/>
        <w:rPr>
          <w:rFonts w:hint="eastAsia" w:ascii="宋体" w:hAnsi="宋体" w:cs="宋体"/>
          <w:b/>
          <w:bCs/>
          <w:color w:val="auto"/>
          <w:sz w:val="48"/>
          <w:szCs w:val="48"/>
          <w:highlight w:val="none"/>
          <w:u w:val="single"/>
        </w:rPr>
      </w:pPr>
    </w:p>
    <w:p>
      <w:pPr>
        <w:pStyle w:val="7"/>
        <w:rPr>
          <w:rFonts w:hint="eastAsia" w:ascii="宋体" w:hAnsi="宋体" w:cs="宋体"/>
          <w:b/>
          <w:bCs/>
          <w:color w:val="auto"/>
          <w:sz w:val="48"/>
          <w:szCs w:val="48"/>
          <w:highlight w:val="none"/>
          <w:u w:val="single"/>
        </w:rPr>
      </w:pPr>
    </w:p>
    <w:p>
      <w:pPr>
        <w:pStyle w:val="7"/>
        <w:rPr>
          <w:rFonts w:hint="eastAsia" w:ascii="宋体" w:hAnsi="宋体" w:cs="宋体"/>
          <w:b/>
          <w:bCs/>
          <w:color w:val="auto"/>
          <w:sz w:val="48"/>
          <w:szCs w:val="48"/>
          <w:highlight w:val="none"/>
          <w:u w:val="single"/>
        </w:rPr>
      </w:pPr>
    </w:p>
    <w:p>
      <w:pPr>
        <w:jc w:val="center"/>
        <w:rPr>
          <w:rFonts w:hint="eastAsia" w:ascii="宋体" w:hAnsi="宋体" w:cs="宋体"/>
          <w:b/>
          <w:bCs/>
          <w:color w:val="auto"/>
          <w:sz w:val="48"/>
          <w:szCs w:val="48"/>
          <w:highlight w:val="none"/>
          <w:u w:val="single"/>
        </w:rPr>
      </w:pPr>
    </w:p>
    <w:p>
      <w:pPr>
        <w:jc w:val="center"/>
        <w:rPr>
          <w:rFonts w:hint="eastAsia" w:ascii="宋体" w:hAnsi="宋体" w:cs="宋体"/>
          <w:b/>
          <w:bCs/>
          <w:color w:val="auto"/>
          <w:sz w:val="48"/>
          <w:szCs w:val="48"/>
          <w:highlight w:val="none"/>
          <w:u w:val="single"/>
        </w:rPr>
      </w:pPr>
    </w:p>
    <w:p>
      <w:pPr>
        <w:jc w:val="center"/>
        <w:rPr>
          <w:rFonts w:hint="eastAsia" w:ascii="宋体" w:hAnsi="宋体" w:cs="宋体"/>
          <w:b/>
          <w:bCs/>
          <w:color w:val="auto"/>
          <w:sz w:val="48"/>
          <w:szCs w:val="48"/>
          <w:highlight w:val="none"/>
          <w:u w:val="none"/>
        </w:rPr>
      </w:pPr>
      <w:r>
        <w:rPr>
          <w:rFonts w:hint="eastAsia" w:ascii="宋体" w:hAnsi="宋体" w:cs="宋体"/>
          <w:b/>
          <w:bCs/>
          <w:color w:val="auto"/>
          <w:sz w:val="48"/>
          <w:szCs w:val="48"/>
          <w:highlight w:val="none"/>
          <w:u w:val="none"/>
        </w:rPr>
        <w:t>广州</w:t>
      </w:r>
      <w:r>
        <w:rPr>
          <w:rFonts w:hint="eastAsia" w:ascii="宋体" w:hAnsi="宋体" w:cs="宋体"/>
          <w:b/>
          <w:bCs/>
          <w:color w:val="auto"/>
          <w:sz w:val="48"/>
          <w:szCs w:val="48"/>
          <w:highlight w:val="none"/>
          <w:u w:val="none"/>
          <w:lang w:val="en-US" w:eastAsia="zh-CN"/>
        </w:rPr>
        <w:t>市</w:t>
      </w:r>
      <w:r>
        <w:rPr>
          <w:rFonts w:hint="eastAsia" w:ascii="宋体" w:hAnsi="宋体" w:cs="宋体"/>
          <w:b/>
          <w:bCs/>
          <w:color w:val="auto"/>
          <w:sz w:val="48"/>
          <w:szCs w:val="48"/>
          <w:highlight w:val="none"/>
          <w:u w:val="none"/>
        </w:rPr>
        <w:t>净水有限公司2022年-2024年</w:t>
      </w:r>
    </w:p>
    <w:p>
      <w:pPr>
        <w:jc w:val="center"/>
        <w:rPr>
          <w:rFonts w:hint="eastAsia" w:ascii="宋体" w:hAnsi="宋体" w:cs="宋体"/>
          <w:b/>
          <w:bCs/>
          <w:color w:val="auto"/>
          <w:sz w:val="48"/>
          <w:szCs w:val="48"/>
          <w:highlight w:val="none"/>
          <w:u w:val="none"/>
        </w:rPr>
      </w:pPr>
      <w:r>
        <w:rPr>
          <w:rFonts w:hint="eastAsia" w:ascii="宋体" w:hAnsi="宋体" w:cs="宋体"/>
          <w:b/>
          <w:bCs/>
          <w:color w:val="auto"/>
          <w:sz w:val="48"/>
          <w:szCs w:val="48"/>
          <w:highlight w:val="none"/>
          <w:u w:val="none"/>
        </w:rPr>
        <w:t>猎德分公司等6家分公司ISO管理体系</w:t>
      </w:r>
    </w:p>
    <w:p>
      <w:pPr>
        <w:jc w:val="center"/>
        <w:rPr>
          <w:rFonts w:hint="eastAsia" w:ascii="宋体" w:hAnsi="宋体" w:cs="宋体"/>
          <w:b/>
          <w:bCs/>
          <w:color w:val="auto"/>
          <w:sz w:val="48"/>
          <w:szCs w:val="48"/>
          <w:highlight w:val="none"/>
          <w:u w:val="none"/>
        </w:rPr>
      </w:pPr>
      <w:r>
        <w:rPr>
          <w:rFonts w:hint="eastAsia" w:ascii="宋体" w:hAnsi="宋体" w:cs="宋体"/>
          <w:b/>
          <w:bCs/>
          <w:color w:val="auto"/>
          <w:sz w:val="48"/>
          <w:szCs w:val="48"/>
          <w:highlight w:val="none"/>
          <w:u w:val="none"/>
        </w:rPr>
        <w:t>审核及年度监督服务</w:t>
      </w:r>
    </w:p>
    <w:p>
      <w:pPr>
        <w:jc w:val="center"/>
        <w:rPr>
          <w:rFonts w:hint="eastAsia" w:ascii="宋体" w:hAnsi="宋体" w:cs="宋体" w:eastAsiaTheme="minorEastAsia"/>
          <w:b/>
          <w:bCs/>
          <w:color w:val="auto"/>
          <w:sz w:val="48"/>
          <w:szCs w:val="48"/>
          <w:highlight w:val="none"/>
          <w:u w:val="none"/>
          <w:lang w:val="en-US" w:eastAsia="zh-CN"/>
        </w:rPr>
      </w:pPr>
      <w:r>
        <w:rPr>
          <w:rFonts w:hint="eastAsia" w:ascii="宋体" w:hAnsi="宋体" w:cs="宋体"/>
          <w:b/>
          <w:bCs/>
          <w:color w:val="auto"/>
          <w:sz w:val="48"/>
          <w:szCs w:val="48"/>
          <w:highlight w:val="none"/>
          <w:u w:val="none"/>
        </w:rPr>
        <w:t>项目</w:t>
      </w:r>
      <w:r>
        <w:rPr>
          <w:rFonts w:hint="eastAsia" w:ascii="宋体" w:hAnsi="宋体" w:cs="宋体"/>
          <w:b/>
          <w:bCs/>
          <w:color w:val="auto"/>
          <w:sz w:val="48"/>
          <w:szCs w:val="48"/>
          <w:highlight w:val="none"/>
          <w:u w:val="none"/>
          <w:lang w:val="en-US" w:eastAsia="zh-CN"/>
        </w:rPr>
        <w:t>合同</w:t>
      </w:r>
    </w:p>
    <w:p>
      <w:pPr>
        <w:pStyle w:val="7"/>
        <w:rPr>
          <w:rFonts w:hint="eastAsia" w:ascii="宋体" w:hAnsi="宋体" w:cs="宋体"/>
          <w:b/>
          <w:bCs/>
          <w:color w:val="auto"/>
          <w:sz w:val="48"/>
          <w:szCs w:val="48"/>
          <w:highlight w:val="none"/>
          <w:u w:val="single"/>
        </w:rPr>
      </w:pPr>
    </w:p>
    <w:p>
      <w:pPr>
        <w:pStyle w:val="7"/>
        <w:rPr>
          <w:rFonts w:hint="default" w:ascii="宋体" w:hAnsi="宋体" w:cs="宋体"/>
          <w:b/>
          <w:bCs/>
          <w:color w:val="auto"/>
          <w:sz w:val="48"/>
          <w:szCs w:val="48"/>
          <w:highlight w:val="none"/>
          <w:u w:val="single"/>
          <w:lang w:val="en-US" w:eastAsia="zh-CN"/>
        </w:rPr>
      </w:pP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项目名称：广州市净水有限公司2022年-2024年猎德分公司等6家分公司ISO管理体系审核及年度监督服务项目</w:t>
      </w:r>
    </w:p>
    <w:p>
      <w:pPr>
        <w:pStyle w:val="46"/>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color w:val="auto"/>
          <w:sz w:val="32"/>
          <w:szCs w:val="32"/>
          <w:highlight w:val="none"/>
          <w:lang w:val="en-US" w:eastAsia="zh-CN"/>
        </w:rPr>
        <w:t>穗净水合[2022]        号</w:t>
      </w:r>
    </w:p>
    <w:p>
      <w:pPr>
        <w:pStyle w:val="46"/>
        <w:rPr>
          <w:rFonts w:hint="eastAsia" w:ascii="仿宋" w:hAnsi="仿宋" w:eastAsia="仿宋" w:cs="仿宋"/>
          <w:color w:val="auto"/>
          <w:sz w:val="32"/>
          <w:szCs w:val="32"/>
          <w:highlight w:val="none"/>
          <w:lang w:val="en-US" w:eastAsia="zh-CN"/>
        </w:rPr>
      </w:pP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甲    方：</w:t>
      </w:r>
      <w:r>
        <w:rPr>
          <w:rFonts w:hint="eastAsia" w:ascii="仿宋" w:hAnsi="仿宋" w:eastAsia="仿宋" w:cs="仿宋"/>
          <w:color w:val="auto"/>
          <w:sz w:val="32"/>
          <w:szCs w:val="32"/>
          <w:highlight w:val="none"/>
          <w:lang w:val="en-US" w:eastAsia="zh-CN"/>
        </w:rPr>
        <w:t>广州市净水有限公司</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乙    方：</w:t>
      </w: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pP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签订地点：</w:t>
      </w:r>
      <w:r>
        <w:rPr>
          <w:rFonts w:hint="eastAsia" w:ascii="仿宋" w:hAnsi="仿宋" w:eastAsia="仿宋" w:cs="仿宋"/>
          <w:color w:val="auto"/>
          <w:sz w:val="32"/>
          <w:szCs w:val="32"/>
          <w:highlight w:val="none"/>
          <w:lang w:val="en-US" w:eastAsia="zh-CN"/>
        </w:rPr>
        <w:t>广州市</w:t>
      </w:r>
    </w:p>
    <w:p>
      <w:pPr>
        <w:spacing w:line="360" w:lineRule="auto"/>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签订日期：</w:t>
      </w:r>
    </w:p>
    <w:p>
      <w:pPr>
        <w:pStyle w:val="2"/>
        <w:ind w:left="0" w:leftChars="0" w:firstLine="0" w:firstLineChars="0"/>
        <w:rPr>
          <w:rFonts w:hint="eastAsia"/>
          <w:color w:val="auto"/>
          <w:highlight w:val="none"/>
        </w:rPr>
      </w:pPr>
    </w:p>
    <w:p>
      <w:pPr>
        <w:spacing w:line="360" w:lineRule="auto"/>
        <w:ind w:firstLine="480" w:firstLineChars="200"/>
        <w:rPr>
          <w:rFonts w:hint="eastAsia" w:ascii="宋体" w:hAnsi="宋体" w:eastAsia="宋体"/>
          <w:color w:val="auto"/>
          <w:sz w:val="24"/>
          <w:szCs w:val="24"/>
          <w:highlight w:val="none"/>
          <w:lang w:val="en-US" w:eastAsia="zh-CN"/>
        </w:rPr>
      </w:pPr>
    </w:p>
    <w:p>
      <w:pPr>
        <w:pStyle w:val="7"/>
        <w:rPr>
          <w:rFonts w:hint="eastAsia" w:ascii="宋体" w:hAnsi="宋体" w:eastAsia="宋体"/>
          <w:color w:val="auto"/>
          <w:sz w:val="24"/>
          <w:szCs w:val="24"/>
          <w:highlight w:val="none"/>
          <w:lang w:val="en-US" w:eastAsia="zh-CN"/>
        </w:rPr>
      </w:pPr>
    </w:p>
    <w:p>
      <w:pPr>
        <w:spacing w:line="360" w:lineRule="auto"/>
        <w:ind w:firstLine="480" w:firstLineChars="200"/>
        <w:rPr>
          <w:rFonts w:hint="eastAsia" w:ascii="宋体" w:hAnsi="宋体" w:eastAsia="宋体"/>
          <w:color w:val="auto"/>
          <w:sz w:val="24"/>
          <w:szCs w:val="24"/>
          <w:highlight w:val="none"/>
          <w:lang w:val="en-US" w:eastAsia="zh-CN"/>
        </w:rPr>
      </w:pPr>
    </w:p>
    <w:p>
      <w:pPr>
        <w:spacing w:line="360" w:lineRule="auto"/>
        <w:ind w:firstLine="480" w:firstLineChars="200"/>
        <w:rPr>
          <w:rFonts w:hint="eastAsia" w:ascii="宋体" w:hAnsi="宋体" w:eastAsia="宋体"/>
          <w:color w:val="auto"/>
          <w:sz w:val="24"/>
          <w:szCs w:val="24"/>
          <w:highlight w:val="none"/>
          <w:lang w:val="en-US" w:eastAsia="zh-CN"/>
        </w:rPr>
      </w:pPr>
    </w:p>
    <w:p>
      <w:pPr>
        <w:spacing w:line="360" w:lineRule="auto"/>
        <w:ind w:firstLine="480" w:firstLineChars="200"/>
        <w:rPr>
          <w:color w:val="auto"/>
          <w:sz w:val="24"/>
          <w:szCs w:val="24"/>
          <w:highlight w:val="none"/>
        </w:rPr>
      </w:pPr>
      <w:r>
        <w:rPr>
          <w:rFonts w:hint="eastAsia" w:ascii="宋体" w:hAnsi="宋体" w:eastAsia="宋体"/>
          <w:color w:val="auto"/>
          <w:sz w:val="24"/>
          <w:szCs w:val="24"/>
          <w:highlight w:val="none"/>
          <w:lang w:val="en-US" w:eastAsia="zh-CN"/>
        </w:rPr>
        <w:t>根据《中华人民共和国民法典》及其他有关法律、行政法规，</w:t>
      </w:r>
      <w:r>
        <w:rPr>
          <w:rFonts w:hint="eastAsia" w:ascii="宋体" w:hAnsi="宋体" w:eastAsia="宋体"/>
          <w:color w:val="auto"/>
          <w:sz w:val="24"/>
          <w:szCs w:val="24"/>
          <w:highlight w:val="none"/>
          <w:u w:val="single"/>
        </w:rPr>
        <w:t>广州市净水有限公司</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（以下简称“甲方”）委托 </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（以下简称“乙方”）负责</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广州市净水有限公司2022年-2024年猎德分公司等6家分公司ISO管理体系审核及年度监督服务项目</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r>
        <w:rPr>
          <w:rFonts w:hint="eastAsia" w:ascii="宋体" w:hAnsi="宋体" w:cs="宋体"/>
          <w:color w:val="auto"/>
          <w:sz w:val="24"/>
          <w:highlight w:val="none"/>
          <w:lang w:eastAsia="zh-CN"/>
        </w:rPr>
        <w:t>，</w:t>
      </w:r>
      <w:r>
        <w:rPr>
          <w:rFonts w:hint="eastAsia" w:ascii="宋体" w:hAnsi="宋体" w:eastAsia="宋体"/>
          <w:color w:val="auto"/>
          <w:sz w:val="24"/>
          <w:szCs w:val="24"/>
          <w:highlight w:val="none"/>
        </w:rPr>
        <w:t>共同遵守</w:t>
      </w:r>
      <w:r>
        <w:rPr>
          <w:rFonts w:ascii="宋体" w:hAnsi="宋体" w:eastAsia="宋体"/>
          <w:color w:val="auto"/>
          <w:sz w:val="24"/>
          <w:szCs w:val="24"/>
          <w:highlight w:val="none"/>
        </w:rPr>
        <w:t>如下条款：</w:t>
      </w:r>
    </w:p>
    <w:p>
      <w:pPr>
        <w:pStyle w:val="10"/>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一、下列文件均为本合同的组成部分，可视为能相互说明和补充的，如果合同文件存在歧义或相矛盾的地方，则根据以下次序判断：</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①在本合同实施过程中双方签署的补充与修正文件</w:t>
      </w:r>
    </w:p>
    <w:p>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②本合同</w:t>
      </w:r>
      <w:r>
        <w:rPr>
          <w:rFonts w:hint="eastAsia" w:ascii="宋体" w:hAnsi="宋体" w:eastAsia="宋体"/>
          <w:color w:val="auto"/>
          <w:sz w:val="24"/>
          <w:szCs w:val="24"/>
          <w:highlight w:val="none"/>
          <w:lang w:val="en-US" w:eastAsia="zh-CN"/>
        </w:rPr>
        <w:t>及其附件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w:t>
      </w:r>
      <w:r>
        <w:rPr>
          <w:rFonts w:ascii="宋体" w:hAnsi="宋体" w:eastAsia="宋体"/>
          <w:color w:val="auto"/>
          <w:sz w:val="24"/>
          <w:szCs w:val="24"/>
          <w:highlight w:val="none"/>
        </w:rPr>
        <w:t>发包通知书</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④甲方的</w:t>
      </w:r>
      <w:r>
        <w:rPr>
          <w:rFonts w:ascii="宋体" w:hAnsi="宋体" w:eastAsia="宋体"/>
          <w:color w:val="auto"/>
          <w:sz w:val="24"/>
          <w:szCs w:val="24"/>
          <w:highlight w:val="none"/>
        </w:rPr>
        <w:t>询价文件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⑤乙方的</w:t>
      </w:r>
      <w:r>
        <w:rPr>
          <w:rFonts w:ascii="宋体" w:hAnsi="宋体" w:eastAsia="宋体"/>
          <w:color w:val="auto"/>
          <w:sz w:val="24"/>
          <w:szCs w:val="24"/>
          <w:highlight w:val="none"/>
        </w:rPr>
        <w:t>响应文件</w:t>
      </w:r>
    </w:p>
    <w:p>
      <w:pPr>
        <w:spacing w:line="360" w:lineRule="auto"/>
        <w:ind w:firstLine="482" w:firstLineChars="200"/>
        <w:rPr>
          <w:rFonts w:ascii="宋体" w:hAnsi="宋体" w:eastAsia="宋体"/>
          <w:b/>
          <w:color w:val="auto"/>
          <w:sz w:val="24"/>
          <w:szCs w:val="24"/>
          <w:highlight w:val="none"/>
        </w:rPr>
      </w:pPr>
      <w:bookmarkStart w:id="72" w:name="_Toc501057052"/>
      <w:bookmarkStart w:id="73" w:name="_Toc501057138"/>
      <w:r>
        <w:rPr>
          <w:rFonts w:hint="eastAsia" w:ascii="宋体" w:hAnsi="宋体" w:eastAsia="宋体"/>
          <w:b/>
          <w:color w:val="auto"/>
          <w:sz w:val="24"/>
          <w:szCs w:val="24"/>
          <w:highlight w:val="none"/>
        </w:rPr>
        <w:t>二、乙方服务内容</w:t>
      </w:r>
      <w:bookmarkEnd w:id="72"/>
      <w:bookmarkEnd w:id="73"/>
    </w:p>
    <w:p>
      <w:pPr>
        <w:widowControl/>
        <w:spacing w:line="360" w:lineRule="auto"/>
        <w:ind w:firstLine="480" w:firstLineChars="200"/>
        <w:rPr>
          <w:rFonts w:hint="eastAsia" w:ascii="宋体" w:hAnsi="宋体" w:eastAsia="宋体"/>
          <w:color w:val="auto"/>
          <w:kern w:val="28"/>
          <w:sz w:val="24"/>
          <w:szCs w:val="24"/>
          <w:highlight w:val="none"/>
        </w:rPr>
      </w:pPr>
      <w:r>
        <w:rPr>
          <w:rFonts w:hint="eastAsia" w:ascii="宋体" w:hAnsi="宋体" w:eastAsia="宋体"/>
          <w:color w:val="auto"/>
          <w:kern w:val="28"/>
          <w:sz w:val="24"/>
          <w:szCs w:val="24"/>
          <w:highlight w:val="none"/>
          <w:lang w:val="en-US" w:eastAsia="zh-CN"/>
        </w:rPr>
        <w:t>2.</w:t>
      </w:r>
      <w:r>
        <w:rPr>
          <w:rFonts w:hint="eastAsia" w:ascii="宋体" w:hAnsi="宋体" w:eastAsia="宋体"/>
          <w:color w:val="auto"/>
          <w:kern w:val="28"/>
          <w:sz w:val="24"/>
          <w:szCs w:val="24"/>
          <w:highlight w:val="none"/>
        </w:rPr>
        <w:t>1对广州市净水有限公司属下猎德分公司等6家分公司进行2022年-2024年ISO管理体系审核及证书有效期内的年度监督服务。认证领域：质量管理体系GB/T19001-2016、lSO9001-2015；职业健康安全管理体系GB／T45001-2020、ISO45001-2018；环境管理体系GB／T24001-2016、ISO14001-2015。</w:t>
      </w:r>
    </w:p>
    <w:p>
      <w:pPr>
        <w:widowControl/>
        <w:spacing w:line="360" w:lineRule="auto"/>
        <w:ind w:firstLine="480" w:firstLineChars="200"/>
        <w:rPr>
          <w:rFonts w:ascii="宋体" w:hAnsi="宋体" w:eastAsia="宋体" w:cs="仿宋"/>
          <w:color w:val="auto"/>
          <w:kern w:val="0"/>
          <w:sz w:val="24"/>
          <w:szCs w:val="24"/>
          <w:highlight w:val="none"/>
        </w:rPr>
      </w:pPr>
      <w:r>
        <w:rPr>
          <w:rFonts w:hint="eastAsia" w:ascii="宋体" w:hAnsi="宋体" w:eastAsia="宋体"/>
          <w:color w:val="auto"/>
          <w:sz w:val="24"/>
          <w:szCs w:val="24"/>
          <w:highlight w:val="none"/>
          <w:lang w:val="en-US" w:eastAsia="zh-CN"/>
        </w:rPr>
        <w:t>2.2</w:t>
      </w:r>
      <w:r>
        <w:rPr>
          <w:rFonts w:hint="eastAsia" w:ascii="宋体" w:hAnsi="宋体"/>
          <w:color w:val="auto"/>
          <w:sz w:val="24"/>
          <w:szCs w:val="24"/>
          <w:highlight w:val="none"/>
          <w:lang w:val="en-US" w:eastAsia="zh-CN"/>
        </w:rPr>
        <w:t>需</w:t>
      </w:r>
      <w:r>
        <w:rPr>
          <w:rFonts w:hint="eastAsia" w:ascii="宋体" w:hAnsi="宋体" w:eastAsia="宋体"/>
          <w:color w:val="auto"/>
          <w:sz w:val="24"/>
          <w:szCs w:val="24"/>
          <w:highlight w:val="none"/>
        </w:rPr>
        <w:t>在现证书有效期结束前</w:t>
      </w:r>
      <w:bookmarkStart w:id="135" w:name="_GoBack"/>
      <w:bookmarkEnd w:id="135"/>
      <w:r>
        <w:rPr>
          <w:rFonts w:hint="eastAsia" w:ascii="宋体" w:hAnsi="宋体" w:eastAsia="宋体"/>
          <w:color w:val="auto"/>
          <w:sz w:val="24"/>
          <w:szCs w:val="24"/>
          <w:highlight w:val="none"/>
        </w:rPr>
        <w:t>取得下一轮质量管理体系GB/T19001、ISO9001；职业健康安全管理体系GB/T45001、ISO45001；环境管理体系GB/T24001、ISO14001的认证证书，同时在新证书有效期内进行年度监督服务并取得当年监督审核确认证书。</w:t>
      </w:r>
    </w:p>
    <w:tbl>
      <w:tblPr>
        <w:tblStyle w:val="23"/>
        <w:tblW w:w="9894"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3"/>
        <w:gridCol w:w="1478"/>
        <w:gridCol w:w="3072"/>
        <w:gridCol w:w="3286"/>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blHeader/>
        </w:trPr>
        <w:tc>
          <w:tcPr>
            <w:tcW w:w="893"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7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所属单位</w:t>
            </w:r>
          </w:p>
        </w:tc>
        <w:tc>
          <w:tcPr>
            <w:tcW w:w="307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子项目名称</w:t>
            </w:r>
          </w:p>
        </w:tc>
        <w:tc>
          <w:tcPr>
            <w:tcW w:w="3286"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实施内容</w:t>
            </w:r>
          </w:p>
        </w:tc>
        <w:tc>
          <w:tcPr>
            <w:tcW w:w="1165"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体系覆盖人数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blHeader/>
        </w:trPr>
        <w:tc>
          <w:tcPr>
            <w:tcW w:w="893" w:type="dxa"/>
            <w:vMerge w:val="continue"/>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478" w:type="dxa"/>
            <w:vMerge w:val="continue"/>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3072" w:type="dxa"/>
            <w:vMerge w:val="continue"/>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3286" w:type="dxa"/>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165" w:type="dxa"/>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7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猎德分公司</w:t>
            </w:r>
          </w:p>
        </w:tc>
        <w:tc>
          <w:tcPr>
            <w:tcW w:w="30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猎德分公司2022年-2024年ISO管理体系审核及年度监督服务项目</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2022年三体系再认证审核，2023年、2024年年度监督</w:t>
            </w:r>
          </w:p>
        </w:tc>
        <w:tc>
          <w:tcPr>
            <w:tcW w:w="1165" w:type="dxa"/>
            <w:shd w:val="clear" w:color="auto" w:fill="auto"/>
            <w:noWrap/>
            <w:vAlign w:val="center"/>
          </w:tcPr>
          <w:p>
            <w:pPr>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约200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47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沥滘分公司</w:t>
            </w:r>
          </w:p>
        </w:tc>
        <w:tc>
          <w:tcPr>
            <w:tcW w:w="30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沥滘分公司2022年-2024年ISO管理体系认证审核服务项目</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2022年三体系再认证审核，2023年、2024年年度监督</w:t>
            </w:r>
          </w:p>
        </w:tc>
        <w:tc>
          <w:tcPr>
            <w:tcW w:w="1165" w:type="dxa"/>
            <w:shd w:val="clear" w:color="auto" w:fill="auto"/>
            <w:noWrap/>
            <w:vAlign w:val="center"/>
          </w:tcPr>
          <w:p>
            <w:pPr>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约180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47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石井分公司</w:t>
            </w:r>
          </w:p>
        </w:tc>
        <w:tc>
          <w:tcPr>
            <w:tcW w:w="30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石井分公司2022年-2024年ISO管理体系审核及年度监督服务项目</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2022年三体系再认证审核，2023年、2024年年度监督</w:t>
            </w:r>
          </w:p>
        </w:tc>
        <w:tc>
          <w:tcPr>
            <w:tcW w:w="116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约150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47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龙归分公司</w:t>
            </w:r>
          </w:p>
        </w:tc>
        <w:tc>
          <w:tcPr>
            <w:tcW w:w="30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龙归分公司2022年-2024年ISO管理体系审核及年度监督服务</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2022年三体系再认证审核，2023年、2024年年度监督</w:t>
            </w:r>
          </w:p>
        </w:tc>
        <w:tc>
          <w:tcPr>
            <w:tcW w:w="116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约</w:t>
            </w:r>
            <w:r>
              <w:rPr>
                <w:rFonts w:hint="eastAsia" w:ascii="宋体" w:hAnsi="宋体" w:eastAsia="宋体" w:cs="宋体"/>
                <w:i w:val="0"/>
                <w:iCs w:val="0"/>
                <w:color w:val="auto"/>
                <w:kern w:val="0"/>
                <w:sz w:val="18"/>
                <w:szCs w:val="18"/>
                <w:highlight w:val="none"/>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47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石井净水分公司</w:t>
            </w:r>
          </w:p>
        </w:tc>
        <w:tc>
          <w:tcPr>
            <w:tcW w:w="30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石井净水分公司2022年-2024年ISO管理体系审核及年度监督服务</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2022年三体系再认证审核，2023年、2024年年度监督</w:t>
            </w:r>
          </w:p>
        </w:tc>
        <w:tc>
          <w:tcPr>
            <w:tcW w:w="116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约150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9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47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竹料分公司</w:t>
            </w:r>
          </w:p>
        </w:tc>
        <w:tc>
          <w:tcPr>
            <w:tcW w:w="30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竹料分公司2022年至2024年度ISO三管体系年度监督审核、培训、再认证服务项目</w:t>
            </w:r>
          </w:p>
        </w:tc>
        <w:tc>
          <w:tcPr>
            <w:tcW w:w="3286"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2022年三体系再认证培训、再认证审核，2023年、2024年年度培训、监督</w:t>
            </w:r>
          </w:p>
        </w:tc>
        <w:tc>
          <w:tcPr>
            <w:tcW w:w="116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约100</w:t>
            </w:r>
          </w:p>
        </w:tc>
      </w:tr>
    </w:tbl>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（以下分别简称“项目一、项目二、项目三、项目四、项目五、项目六”）</w:t>
      </w:r>
    </w:p>
    <w:p>
      <w:pPr>
        <w:spacing w:line="360" w:lineRule="auto"/>
        <w:ind w:firstLine="470" w:firstLineChars="195"/>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三</w:t>
      </w:r>
      <w:r>
        <w:rPr>
          <w:rFonts w:hint="eastAsia" w:ascii="宋体" w:hAnsi="宋体" w:eastAsia="宋体"/>
          <w:b/>
          <w:color w:val="auto"/>
          <w:sz w:val="24"/>
          <w:szCs w:val="24"/>
          <w:highlight w:val="none"/>
        </w:rPr>
        <w:t>、项目服务期限及实施地点</w:t>
      </w:r>
    </w:p>
    <w:p>
      <w:pPr>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1</w:t>
      </w:r>
      <w:r>
        <w:rPr>
          <w:rFonts w:hint="eastAsia" w:ascii="宋体" w:hAnsi="宋体" w:eastAsia="宋体"/>
          <w:color w:val="auto"/>
          <w:sz w:val="24"/>
          <w:szCs w:val="24"/>
          <w:highlight w:val="none"/>
        </w:rPr>
        <w:t>项目服务期限</w:t>
      </w:r>
      <w:r>
        <w:rPr>
          <w:rFonts w:ascii="宋体" w:hAnsi="宋体" w:eastAsia="宋体"/>
          <w:color w:val="auto"/>
          <w:sz w:val="24"/>
          <w:szCs w:val="24"/>
          <w:highlight w:val="none"/>
        </w:rPr>
        <w:t>：</w:t>
      </w:r>
      <w:r>
        <w:rPr>
          <w:rFonts w:hint="eastAsia" w:ascii="宋体" w:hAnsi="宋体" w:eastAsia="宋体"/>
          <w:bCs/>
          <w:color w:val="auto"/>
          <w:sz w:val="24"/>
          <w:szCs w:val="24"/>
          <w:highlight w:val="none"/>
          <w:lang w:val="en-US" w:eastAsia="zh-CN"/>
        </w:rPr>
        <w:t>自合同签订起至2024年12月31日。</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bCs/>
          <w:color w:val="auto"/>
          <w:sz w:val="24"/>
          <w:szCs w:val="24"/>
          <w:highlight w:val="none"/>
          <w:lang w:val="en-US" w:eastAsia="zh-CN"/>
        </w:rPr>
        <w:t>3.</w:t>
      </w:r>
      <w:r>
        <w:rPr>
          <w:rFonts w:ascii="宋体" w:hAnsi="宋体" w:eastAsia="宋体"/>
          <w:bCs/>
          <w:color w:val="auto"/>
          <w:sz w:val="24"/>
          <w:szCs w:val="24"/>
          <w:highlight w:val="none"/>
        </w:rPr>
        <w:t>2</w:t>
      </w:r>
      <w:r>
        <w:rPr>
          <w:rFonts w:hint="eastAsia" w:ascii="宋体" w:hAnsi="宋体" w:eastAsia="宋体"/>
          <w:color w:val="auto"/>
          <w:sz w:val="24"/>
          <w:szCs w:val="24"/>
          <w:highlight w:val="none"/>
        </w:rPr>
        <w:t>项目服务地点：以甲方属下各分公司通知为准。</w:t>
      </w:r>
    </w:p>
    <w:p>
      <w:pPr>
        <w:spacing w:line="360" w:lineRule="auto"/>
        <w:ind w:firstLine="482" w:firstLineChars="20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四、合同总价及结算支付方式</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4.1预付款的支付：</w:t>
      </w:r>
      <w:r>
        <w:rPr>
          <w:rFonts w:hint="eastAsia" w:ascii="宋体" w:hAnsi="宋体" w:eastAsia="宋体" w:cs="宋体"/>
          <w:color w:val="auto"/>
          <w:sz w:val="24"/>
          <w:highlight w:val="none"/>
          <w:lang w:val="en-US" w:eastAsia="zh-CN"/>
        </w:rPr>
        <w:sym w:font="Wingdings 2" w:char="0052"/>
      </w:r>
      <w:r>
        <w:rPr>
          <w:rFonts w:hint="eastAsia" w:ascii="宋体" w:hAnsi="宋体" w:eastAsia="宋体" w:cs="宋体"/>
          <w:color w:val="auto"/>
          <w:sz w:val="24"/>
          <w:highlight w:val="none"/>
          <w:lang w:val="en-US" w:eastAsia="zh-CN"/>
        </w:rPr>
        <w:t>无；</w:t>
      </w:r>
    </w:p>
    <w:p>
      <w:pPr>
        <w:spacing w:line="360" w:lineRule="auto"/>
        <w:ind w:firstLine="480" w:firstLineChars="200"/>
        <w:rPr>
          <w:rFonts w:ascii="宋体" w:hAnsi="宋体" w:cs="宋体"/>
          <w:color w:val="auto"/>
          <w:kern w:val="0"/>
          <w:sz w:val="24"/>
          <w:highlight w:val="none"/>
          <w:lang w:val="zh-CN"/>
        </w:rPr>
      </w:pPr>
      <w:r>
        <w:rPr>
          <w:rFonts w:hint="eastAsia" w:ascii="宋体" w:hAnsi="宋体" w:eastAsia="宋体" w:cs="宋体"/>
          <w:color w:val="auto"/>
          <w:sz w:val="24"/>
          <w:highlight w:val="none"/>
          <w:lang w:val="en-US" w:eastAsia="zh-CN"/>
        </w:rPr>
        <w:t>4.2</w:t>
      </w:r>
      <w:r>
        <w:rPr>
          <w:rFonts w:hint="eastAsia" w:ascii="宋体" w:hAnsi="宋体" w:eastAsia="宋体"/>
          <w:color w:val="auto"/>
          <w:sz w:val="24"/>
          <w:szCs w:val="24"/>
          <w:highlight w:val="none"/>
        </w:rPr>
        <w:t>合同暂定</w:t>
      </w:r>
      <w:r>
        <w:rPr>
          <w:rFonts w:hint="eastAsia" w:ascii="宋体" w:hAnsi="宋体" w:eastAsia="宋体"/>
          <w:color w:val="auto"/>
          <w:sz w:val="24"/>
          <w:szCs w:val="24"/>
          <w:highlight w:val="none"/>
          <w:lang w:val="en-US" w:eastAsia="zh-CN"/>
        </w:rPr>
        <w:t>总</w:t>
      </w:r>
      <w:r>
        <w:rPr>
          <w:rFonts w:hint="eastAsia" w:ascii="宋体" w:hAnsi="宋体" w:eastAsia="宋体"/>
          <w:color w:val="auto"/>
          <w:sz w:val="24"/>
          <w:szCs w:val="24"/>
          <w:highlight w:val="none"/>
        </w:rPr>
        <w:t>金额为人民币（大写）</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，（小写）：¥ </w:t>
      </w:r>
      <w:r>
        <w:rPr>
          <w:rFonts w:ascii="宋体" w:hAnsi="宋体" w:eastAsia="宋体"/>
          <w:color w:val="auto"/>
          <w:sz w:val="24"/>
          <w:szCs w:val="24"/>
          <w:highlight w:val="none"/>
          <w:u w:val="single"/>
        </w:rPr>
        <w:t xml:space="preserve">                元</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含税</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rPr>
        <w:t>。</w:t>
      </w:r>
    </w:p>
    <w:tbl>
      <w:tblPr>
        <w:tblStyle w:val="23"/>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2867"/>
        <w:gridCol w:w="2196"/>
        <w:gridCol w:w="1418"/>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项目序号</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所属单位</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服务内容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服务金额</w:t>
            </w:r>
          </w:p>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（不含税）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服务金额</w:t>
            </w:r>
          </w:p>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猎德分公司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2022年再认证费用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2023年监督费用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合同暂定金额小计（含税）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沥滘分公司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2022年再认证费用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2023年监督费用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合同暂定金额小计（含税）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石井分公司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2022年再认证费用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2023年监督费用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合同暂定金额小计（含税）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龙归分公司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2022年再认证费用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2023年监督费用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合同暂定金额小计（含税）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五</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石井净分公司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2022年再认证费用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2023年监督费用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合同暂定金额小计（含税）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六</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竹料分公司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2022年再认证费用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2023年监督费用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2024年监督费用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合同暂定金额小计（含税）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合同总价（含税）</w:t>
            </w:r>
          </w:p>
        </w:tc>
        <w:tc>
          <w:tcPr>
            <w:tcW w:w="5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小写（人民币）：￥</w:t>
            </w:r>
          </w:p>
          <w:p>
            <w:pP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w:t>
            </w:r>
          </w:p>
        </w:tc>
        <w:tc>
          <w:tcPr>
            <w:tcW w:w="5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上述费用包含完成现场审核时审核员发生的必要的食宿和差旅费等在内的所有费用</w:t>
            </w:r>
          </w:p>
        </w:tc>
      </w:tr>
    </w:tbl>
    <w:p>
      <w:pPr>
        <w:tabs>
          <w:tab w:val="left" w:pos="851"/>
        </w:tabs>
        <w:adjustRightInd w:val="0"/>
        <w:snapToGrid w:val="0"/>
        <w:spacing w:line="500" w:lineRule="exact"/>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税率为6%</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支付方式：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.1本项目以每年完成的阶段目标进行结算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具体阶段目标如下表。</w:t>
      </w:r>
      <w:r>
        <w:rPr>
          <w:rFonts w:hint="eastAsia" w:ascii="宋体" w:hAnsi="宋体" w:eastAsia="宋体" w:cs="宋体"/>
          <w:color w:val="auto"/>
          <w:sz w:val="24"/>
          <w:szCs w:val="24"/>
          <w:highlight w:val="none"/>
        </w:rPr>
        <w:t>乙方完成合同规定期限的</w:t>
      </w:r>
      <w:r>
        <w:rPr>
          <w:rFonts w:hint="eastAsia" w:ascii="宋体" w:hAnsi="宋体" w:eastAsia="宋体" w:cs="宋体"/>
          <w:color w:val="auto"/>
          <w:sz w:val="24"/>
          <w:szCs w:val="24"/>
          <w:highlight w:val="none"/>
          <w:lang w:val="en-US" w:eastAsia="zh-CN"/>
        </w:rPr>
        <w:t>认证、年度监督并</w:t>
      </w:r>
      <w:r>
        <w:rPr>
          <w:rFonts w:hint="eastAsia" w:ascii="宋体" w:hAnsi="宋体" w:eastAsia="宋体" w:cs="宋体"/>
          <w:color w:val="auto"/>
          <w:sz w:val="24"/>
          <w:szCs w:val="24"/>
          <w:highlight w:val="none"/>
        </w:rPr>
        <w:t>出具证书等</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服务工作后，由甲方</w:t>
      </w:r>
      <w:r>
        <w:rPr>
          <w:rFonts w:hint="eastAsia" w:ascii="宋体" w:hAnsi="宋体" w:eastAsia="宋体" w:cs="宋体"/>
          <w:color w:val="auto"/>
          <w:sz w:val="24"/>
          <w:szCs w:val="24"/>
          <w:highlight w:val="none"/>
          <w:lang w:val="en-US" w:eastAsia="zh-CN"/>
        </w:rPr>
        <w:t>属下各分公司</w:t>
      </w:r>
      <w:r>
        <w:rPr>
          <w:rFonts w:hint="eastAsia" w:ascii="宋体" w:hAnsi="宋体" w:eastAsia="宋体" w:cs="宋体"/>
          <w:color w:val="auto"/>
          <w:sz w:val="24"/>
          <w:szCs w:val="24"/>
          <w:highlight w:val="none"/>
        </w:rPr>
        <w:t>分别按照</w:t>
      </w:r>
      <w:r>
        <w:rPr>
          <w:rFonts w:hint="eastAsia" w:ascii="宋体" w:hAnsi="宋体" w:eastAsia="宋体" w:cs="宋体"/>
          <w:color w:val="auto"/>
          <w:sz w:val="24"/>
          <w:szCs w:val="24"/>
          <w:highlight w:val="none"/>
          <w:lang w:val="en-US" w:eastAsia="zh-CN"/>
        </w:rPr>
        <w:t>阶段目标完成情况审核结算，</w:t>
      </w:r>
      <w:r>
        <w:rPr>
          <w:rFonts w:hint="eastAsia" w:ascii="宋体" w:hAnsi="宋体" w:eastAsia="宋体" w:cs="宋体"/>
          <w:color w:val="auto"/>
          <w:sz w:val="24"/>
          <w:szCs w:val="24"/>
          <w:highlight w:val="none"/>
        </w:rPr>
        <w:t>支付至</w:t>
      </w:r>
      <w:r>
        <w:rPr>
          <w:rFonts w:hint="eastAsia" w:ascii="宋体" w:hAnsi="宋体" w:eastAsia="宋体" w:cs="宋体"/>
          <w:color w:val="auto"/>
          <w:sz w:val="24"/>
          <w:szCs w:val="24"/>
          <w:highlight w:val="none"/>
          <w:lang w:val="en-US" w:eastAsia="zh-CN"/>
        </w:rPr>
        <w:t>当年</w:t>
      </w:r>
      <w:r>
        <w:rPr>
          <w:rFonts w:hint="eastAsia" w:ascii="宋体" w:hAnsi="宋体" w:eastAsia="宋体" w:cs="宋体"/>
          <w:color w:val="auto"/>
          <w:sz w:val="24"/>
          <w:szCs w:val="24"/>
          <w:highlight w:val="none"/>
        </w:rPr>
        <w:t>审核价的100%。</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bidi w:val="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年度</w:t>
            </w:r>
          </w:p>
        </w:tc>
        <w:tc>
          <w:tcPr>
            <w:tcW w:w="7300" w:type="dxa"/>
          </w:tcPr>
          <w:p>
            <w:pPr>
              <w:bidi w:val="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2022年</w:t>
            </w:r>
          </w:p>
        </w:tc>
        <w:tc>
          <w:tcPr>
            <w:tcW w:w="7300" w:type="dxa"/>
          </w:tcPr>
          <w:p>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于现有证书有效期到期前取得三个ISO管理体系认证证书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2023年</w:t>
            </w:r>
          </w:p>
        </w:tc>
        <w:tc>
          <w:tcPr>
            <w:tcW w:w="7300" w:type="dxa"/>
          </w:tcPr>
          <w:p>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于2022年取得的认证证书颁发日期一年周期限期内的前7天取得年度监督确认证书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2024年</w:t>
            </w:r>
          </w:p>
        </w:tc>
        <w:tc>
          <w:tcPr>
            <w:tcW w:w="7300" w:type="dxa"/>
          </w:tcPr>
          <w:p>
            <w:pPr>
              <w:bidi w:val="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于2023年取得的确认证书颁发日期一年周期限期内的前7天取得年度监督确认证书</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4.4.2乙方收款账户：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4.4.3乙方在收款前需提交相应金额增值税专用发票给甲方。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增值税专用发票信息：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名称：广州市净水有限公司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税号：91440101755584729Q ；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地址：广州市天河区临江大道501号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4.5付款方式： </w:t>
      </w: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lang w:val="en-US" w:eastAsia="zh-CN"/>
        </w:rPr>
        <w:t xml:space="preserve">网银支付；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支票；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其他：/      </w:t>
      </w:r>
    </w:p>
    <w:p>
      <w:pPr>
        <w:spacing w:line="360" w:lineRule="auto"/>
        <w:ind w:firstLine="482" w:firstLineChars="200"/>
        <w:rPr>
          <w:rFonts w:ascii="宋体" w:hAnsi="宋体" w:eastAsia="宋体"/>
          <w:b/>
          <w:color w:val="auto"/>
          <w:sz w:val="24"/>
          <w:szCs w:val="24"/>
          <w:highlight w:val="none"/>
        </w:rPr>
      </w:pPr>
      <w:bookmarkStart w:id="74" w:name="_Toc501057148"/>
      <w:bookmarkStart w:id="75" w:name="_Toc501057062"/>
      <w:r>
        <w:rPr>
          <w:rFonts w:hint="eastAsia" w:ascii="宋体" w:hAnsi="宋体"/>
          <w:b/>
          <w:color w:val="auto"/>
          <w:sz w:val="24"/>
          <w:szCs w:val="24"/>
          <w:highlight w:val="none"/>
          <w:lang w:val="en-US" w:eastAsia="zh-CN"/>
        </w:rPr>
        <w:t>五</w:t>
      </w:r>
      <w:r>
        <w:rPr>
          <w:rFonts w:hint="eastAsia" w:ascii="宋体" w:hAnsi="宋体" w:eastAsia="宋体"/>
          <w:b/>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5.1甲乙任何一方不履行合同义务或者履行合同义务不符合约定的，应当承担继续履行、采取补救措施或者赔偿损失等违约责任。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5.2甲乙任何一方违反本合同导致本合同无法继续履行的，违约方需赔偿守约方违约金人民币</w:t>
      </w:r>
      <w:r>
        <w:rPr>
          <w:rFonts w:hint="eastAsia" w:ascii="宋体" w:hAnsi="宋体" w:eastAsia="宋体" w:cs="宋体"/>
          <w:color w:val="auto"/>
          <w:sz w:val="24"/>
          <w:szCs w:val="24"/>
          <w:highlight w:val="none"/>
          <w:u w:val="single"/>
          <w:lang w:val="en-US" w:eastAsia="zh-CN"/>
        </w:rPr>
        <w:t>10000</w:t>
      </w:r>
      <w:r>
        <w:rPr>
          <w:rFonts w:hint="eastAsia" w:ascii="宋体" w:hAnsi="宋体" w:eastAsia="宋体" w:cs="宋体"/>
          <w:color w:val="auto"/>
          <w:sz w:val="24"/>
          <w:szCs w:val="24"/>
          <w:highlight w:val="none"/>
          <w:lang w:val="en-US" w:eastAsia="zh-CN"/>
        </w:rPr>
        <w:t>元，若该违约金不足以弥补守约方实际损失的，违约方应赔偿守约方所有实际损失。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5.3乙方必须在证书到期前向甲方提交相应证书文件，如有逾期的，每逾期一天乙方应向甲方提交合同暂定总金额百分之一的违约金，逾期超过两周的，甲方有权单方解除合同。</w:t>
      </w:r>
    </w:p>
    <w:p>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5.4在合同有效期内，乙方自愿接受甲方按《广州市净水有限公司经营建设项目参建企业不诚信行为管理办法》处理，具体处理标准详见附件3。</w:t>
      </w:r>
    </w:p>
    <w:p>
      <w:pPr>
        <w:spacing w:line="360" w:lineRule="auto"/>
        <w:ind w:firstLine="480" w:firstLineChars="200"/>
        <w:rPr>
          <w:rFonts w:hint="eastAsia"/>
          <w:color w:val="auto"/>
          <w:highlight w:val="none"/>
          <w:lang w:val="en-US" w:eastAsia="zh-CN"/>
        </w:rPr>
      </w:pPr>
      <w:r>
        <w:rPr>
          <w:rFonts w:hint="eastAsia" w:ascii="宋体" w:hAnsi="宋体" w:eastAsia="宋体"/>
          <w:color w:val="auto"/>
          <w:sz w:val="24"/>
          <w:szCs w:val="24"/>
          <w:highlight w:val="none"/>
          <w:lang w:val="en-US" w:eastAsia="zh-CN"/>
        </w:rPr>
        <w:t>5.5乙方在服务期内应确保所持有的《认证机构批准书》有效，批准书内具有本合同内容所需的认证领域。否则，乙方应向甲方支付合同暂定总金额作为违约金，并承担由此给甲方造成的损失。</w:t>
      </w:r>
      <w:bookmarkEnd w:id="74"/>
      <w:bookmarkEnd w:id="75"/>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六、合同的变更、解除及终止</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6.1合同签订以后，经当事人双方协商一致，才能对合同的内容进行修改、补充或调整，并以书面形式确定。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6.2任何一方擅自解除合同，应向另一方支付本合同暂定总金额百分之二十的违约金。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6.3合同执行期间受到不可抗力因素导致合同无法执行的，一方可以向另一方提出变更合同权利与义务的请求，另一方应当在10日内予以答复；逾期未予答复的，视为不同意。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76" w:name="_Toc501057151"/>
      <w:bookmarkStart w:id="77" w:name="_Toc501057065"/>
      <w:r>
        <w:rPr>
          <w:rFonts w:hint="eastAsia" w:ascii="宋体" w:hAnsi="宋体" w:eastAsia="宋体" w:cs="宋体"/>
          <w:b/>
          <w:bCs/>
          <w:color w:val="auto"/>
          <w:sz w:val="24"/>
          <w:szCs w:val="24"/>
          <w:highlight w:val="none"/>
          <w:lang w:val="en-US" w:eastAsia="zh-CN"/>
        </w:rPr>
        <w:t>七、争端的解决</w:t>
      </w:r>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7.1凡与本合同有关而引起的一切争议，合同双方应首先通过友好协商解决，如经协商后仍不能达成协议时，任何一方可以向甲方所在地有管辖权的法院提请诉讼。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7.2在进行法院审理期间，除提交法院审理事项外，合同其他部分仍应当继续履行。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7.3本合同适用中华人民共和国法律。</w:t>
      </w:r>
      <w:r>
        <w:rPr>
          <w:rFonts w:hint="eastAsia" w:ascii="宋体" w:hAnsi="宋体" w:eastAsia="宋体" w:cs="宋体"/>
          <w:color w:val="auto"/>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78" w:name="_Toc501057152"/>
      <w:bookmarkStart w:id="79" w:name="_Toc501057066"/>
      <w:r>
        <w:rPr>
          <w:rFonts w:hint="eastAsia" w:ascii="宋体" w:hAnsi="宋体" w:eastAsia="宋体" w:cs="宋体"/>
          <w:b/>
          <w:bCs/>
          <w:color w:val="auto"/>
          <w:sz w:val="24"/>
          <w:szCs w:val="24"/>
          <w:highlight w:val="none"/>
          <w:lang w:val="en-US" w:eastAsia="zh-CN"/>
        </w:rPr>
        <w:t>八、不可抗力</w:t>
      </w:r>
      <w:bookmarkEnd w:id="78"/>
      <w:bookmarkEnd w:id="79"/>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8.1不可抗力指战争、严重火灾、洪水、台风、地震等或其它双方认可的不可抗力事件。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8.2签约双方中任何一方由于不可抗力影响合同执行时，发生不可抗力一方应尽快将事故通知另一方。在此情况下，乙方仍然有责任采取必要的措施，双方应通过友好协商尽快解决本合同的执行问题。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80" w:name="_Toc501057153"/>
      <w:bookmarkStart w:id="81" w:name="_Toc501057067"/>
      <w:r>
        <w:rPr>
          <w:rFonts w:hint="eastAsia" w:ascii="宋体" w:hAnsi="宋体" w:eastAsia="宋体" w:cs="宋体"/>
          <w:b/>
          <w:bCs/>
          <w:color w:val="auto"/>
          <w:sz w:val="24"/>
          <w:szCs w:val="24"/>
          <w:highlight w:val="none"/>
          <w:lang w:val="en-US" w:eastAsia="zh-CN"/>
        </w:rPr>
        <w:t>九、通知</w:t>
      </w:r>
      <w:bookmarkEnd w:id="80"/>
      <w:bookmarkEnd w:id="81"/>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9.1本合同一方给对方的通知应用书面形式送达合同中对方的地址，电话或传真要经对方的书面确认，以电报形式的通知，从当地邮电局发出电报的第二天视为送达。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ascii="宋体" w:hAnsi="宋体" w:eastAsia="宋体"/>
          <w:color w:val="auto"/>
          <w:sz w:val="24"/>
          <w:szCs w:val="24"/>
          <w:highlight w:val="none"/>
        </w:rPr>
      </w:pPr>
      <w:r>
        <w:rPr>
          <w:rFonts w:hint="eastAsia" w:ascii="宋体" w:hAnsi="宋体" w:eastAsia="宋体" w:cs="宋体"/>
          <w:color w:val="auto"/>
          <w:sz w:val="24"/>
          <w:szCs w:val="24"/>
          <w:highlight w:val="none"/>
          <w:lang w:val="en-US" w:eastAsia="zh-CN"/>
        </w:rPr>
        <w:t>9.2通知以送达日期或通知书的生效日期为生效日期，两者中以晚的一个日期为准。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bookmarkStart w:id="82" w:name="_Toc501057069"/>
      <w:bookmarkStart w:id="83" w:name="_Toc501057155"/>
      <w:r>
        <w:rPr>
          <w:rFonts w:hint="eastAsia" w:ascii="宋体" w:hAnsi="宋体" w:eastAsia="宋体" w:cs="宋体"/>
          <w:b/>
          <w:bCs/>
          <w:color w:val="auto"/>
          <w:sz w:val="24"/>
          <w:szCs w:val="24"/>
          <w:highlight w:val="none"/>
          <w:lang w:val="en-US" w:eastAsia="zh-CN"/>
        </w:rPr>
        <w:t>十、其它</w:t>
      </w:r>
      <w:bookmarkEnd w:id="82"/>
      <w:bookmarkEnd w:id="83"/>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在执行合同过程中，所有经甲乙双方签署确认的文件（包括会议纪要、补充协议、往来信函）即成为本合同的有效组成部分，其生效日期为正式文件确认的日期，若涉及对合同条款实质变更的，应另行签订补充协议，否则无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10.2本合同未尽事宜，双方应本着友好合作的原则，另行签订补充协议。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10.3本合同经双方法定代表人或授权代表签名盖章后生效。本合同一式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份，甲方执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份，乙方执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p>
    <w:p>
      <w:pPr>
        <w:spacing w:line="360" w:lineRule="auto"/>
        <w:ind w:left="420" w:leftChars="200"/>
        <w:rPr>
          <w:rFonts w:ascii="宋体" w:hAnsi="宋体" w:eastAsia="宋体"/>
          <w:color w:val="auto"/>
          <w:sz w:val="24"/>
          <w:szCs w:val="24"/>
          <w:highlight w:val="none"/>
        </w:rPr>
      </w:pPr>
      <w:r>
        <w:rPr>
          <w:rFonts w:hint="eastAsia" w:ascii="宋体" w:hAnsi="宋体" w:eastAsia="宋体"/>
          <w:color w:val="auto"/>
          <w:sz w:val="24"/>
          <w:szCs w:val="24"/>
          <w:highlight w:val="none"/>
        </w:rPr>
        <w:t>（以下无正文）</w:t>
      </w:r>
    </w:p>
    <w:p>
      <w:pPr>
        <w:spacing w:line="360" w:lineRule="auto"/>
        <w:rPr>
          <w:rFonts w:ascii="宋体" w:hAnsi="宋体" w:eastAsia="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2.安全管理协议书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3.廉洁协议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4.不诚信行为的情形及相应被暂停参与投标活动的处理标准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5.防疫管理协议书</w:t>
      </w: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法定代表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c>
          <w:tcPr>
            <w:tcW w:w="4696"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eastAsia="宋体"/>
                <w:color w:val="auto"/>
                <w:sz w:val="24"/>
                <w:szCs w:val="24"/>
                <w:highlight w:val="none"/>
              </w:rPr>
              <w:t>或委托人</w:t>
            </w:r>
            <w:r>
              <w:rPr>
                <w:rFonts w:ascii="宋体" w:hAnsi="宋体" w:eastAsia="宋体"/>
                <w:color w:val="auto"/>
                <w:sz w:val="24"/>
                <w:szCs w:val="24"/>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c>
          <w:tcPr>
            <w:tcW w:w="4696" w:type="dxa"/>
            <w:tcBorders>
              <w:top w:val="nil"/>
              <w:left w:val="nil"/>
              <w:bottom w:val="nil"/>
              <w:right w:val="nil"/>
            </w:tcBorders>
            <w:noWrap w:val="0"/>
            <w:vAlign w:val="center"/>
          </w:tcPr>
          <w:p>
            <w:pPr>
              <w:adjustRightInd w:val="0"/>
              <w:snapToGrid w:val="0"/>
              <w:spacing w:line="420" w:lineRule="exact"/>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办</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c>
          <w:tcPr>
            <w:tcW w:w="4696" w:type="dxa"/>
            <w:tcBorders>
              <w:top w:val="nil"/>
              <w:left w:val="nil"/>
              <w:bottom w:val="nil"/>
              <w:right w:val="nil"/>
            </w:tcBorders>
            <w:noWrap w:val="0"/>
            <w:vAlign w:val="center"/>
          </w:tcPr>
          <w:p>
            <w:pPr>
              <w:adjustRightInd w:val="0"/>
              <w:snapToGrid w:val="0"/>
              <w:spacing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812" w:type="dxa"/>
            <w:tcBorders>
              <w:top w:val="nil"/>
              <w:left w:val="nil"/>
              <w:bottom w:val="nil"/>
              <w:right w:val="nil"/>
            </w:tcBorders>
            <w:noWrap w:val="0"/>
            <w:vAlign w:val="center"/>
          </w:tcPr>
          <w:p>
            <w:pPr>
              <w:adjustRightInd w:val="0"/>
              <w:snapToGrid w:val="0"/>
              <w:spacing w:after="0" w:line="420" w:lineRule="exact"/>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c>
          <w:tcPr>
            <w:tcW w:w="4696" w:type="dxa"/>
            <w:tcBorders>
              <w:top w:val="nil"/>
              <w:left w:val="nil"/>
              <w:bottom w:val="nil"/>
              <w:right w:val="nil"/>
            </w:tcBorders>
            <w:noWrap w:val="0"/>
            <w:vAlign w:val="center"/>
          </w:tcPr>
          <w:p>
            <w:pPr>
              <w:adjustRightInd w:val="0"/>
              <w:snapToGrid w:val="0"/>
              <w:spacing w:line="420" w:lineRule="exact"/>
              <w:ind w:left="4181" w:hanging="4180" w:hangingChars="1742"/>
              <w:jc w:val="both"/>
              <w:rPr>
                <w:rFonts w:ascii="宋体" w:hAnsi="宋体" w:cs="宋体"/>
                <w:color w:val="auto"/>
                <w:sz w:val="24"/>
                <w:szCs w:val="24"/>
                <w:highlight w:val="none"/>
              </w:rPr>
            </w:pPr>
            <w:r>
              <w:rPr>
                <w:rFonts w:hint="eastAsia" w:ascii="宋体" w:hAnsi="宋体" w:eastAsia="宋体" w:cs="宋体"/>
                <w:color w:val="auto"/>
                <w:sz w:val="24"/>
                <w:szCs w:val="24"/>
                <w:highlight w:val="none"/>
              </w:rPr>
              <w:t xml:space="preserve">签约日期：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r>
    </w:tbl>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24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附件1：成交通知书</w:t>
      </w:r>
    </w:p>
    <w:p>
      <w:pPr>
        <w:rPr>
          <w:rFonts w:hint="eastAsia"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br w:type="page"/>
      </w:r>
    </w:p>
    <w:p>
      <w:pPr>
        <w:keepNext w:val="0"/>
        <w:keepLines w:val="0"/>
        <w:pageBreakBefore w:val="0"/>
        <w:kinsoku/>
        <w:wordWrap/>
        <w:overflowPunct/>
        <w:topLinePunct w:val="0"/>
        <w:autoSpaceDE/>
        <w:autoSpaceDN/>
        <w:bidi w:val="0"/>
        <w:spacing w:line="60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附件2</w:t>
      </w:r>
    </w:p>
    <w:p>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安全管理协议书</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bookmarkStart w:id="84"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bookmarkEnd w:id="84"/>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的组成部分，与主合同具有同等法律。</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二、甲方权责</w:t>
      </w:r>
    </w:p>
    <w:p>
      <w:pPr>
        <w:adjustRightInd w:val="0"/>
        <w:snapToGrid w:val="0"/>
        <w:spacing w:line="560" w:lineRule="exact"/>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（四）遵守甲方制定的安全管理要求。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（七）乙方聘请、委托的个人或单位，违反本协议的，全部责任均由乙方承担。</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（七）委托的第三方运输单位或个人，违反本协议的，全部责任均由乙方承担。</w:t>
      </w:r>
    </w:p>
    <w:p>
      <w:pPr>
        <w:pStyle w:val="36"/>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甲方：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pStyle w:val="2"/>
        <w:rPr>
          <w:rFonts w:hint="default"/>
          <w:color w:val="auto"/>
          <w:highlight w:val="none"/>
          <w:lang w:val="en-US" w:eastAsia="zh-CN"/>
        </w:rPr>
      </w:pP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附件3             </w:t>
      </w:r>
    </w:p>
    <w:p>
      <w:pPr>
        <w:keepNext w:val="0"/>
        <w:keepLines w:val="0"/>
        <w:pageBreakBefore w:val="0"/>
        <w:kinsoku/>
        <w:wordWrap/>
        <w:overflowPunct/>
        <w:topLinePunct w:val="0"/>
        <w:bidi w:val="0"/>
        <w:adjustRightInd w:val="0"/>
        <w:snapToGrid w:val="0"/>
        <w:spacing w:line="600" w:lineRule="exact"/>
        <w:jc w:val="center"/>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w:t>
      </w:r>
      <w:r>
        <w:rPr>
          <w:rFonts w:hint="eastAsia" w:ascii="仿宋_GB2312" w:hAnsi="仿宋_GB2312" w:eastAsia="仿宋_GB2312" w:cs="仿宋_GB2312"/>
          <w:color w:val="auto"/>
          <w:sz w:val="28"/>
          <w:szCs w:val="28"/>
          <w:highlight w:val="none"/>
          <w:lang w:val="en-US" w:eastAsia="zh-CN"/>
        </w:rPr>
        <w:t>式</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1、扣除主合同的全部履约保证金；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2、解除</w:t>
      </w:r>
      <w:r>
        <w:rPr>
          <w:rFonts w:hint="eastAsia" w:ascii="仿宋_GB2312" w:hAnsi="仿宋_GB2312" w:eastAsia="仿宋_GB2312" w:cs="仿宋_GB2312"/>
          <w:color w:val="auto"/>
          <w:sz w:val="28"/>
          <w:szCs w:val="28"/>
          <w:highlight w:val="none"/>
          <w:lang w:val="en-US" w:eastAsia="zh-CN"/>
        </w:rPr>
        <w:t>主合同</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3、追究乙方其他违约责任；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beforeAutospacing="0" w:after="0" w:line="360" w:lineRule="auto"/>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rPr>
          <w:rFonts w:hint="eastAsia"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bCs/>
          <w:color w:val="auto"/>
          <w:sz w:val="21"/>
          <w:szCs w:val="21"/>
          <w:highlight w:val="none"/>
        </w:rPr>
        <w:br w:type="page"/>
      </w:r>
      <w:r>
        <w:rPr>
          <w:rFonts w:hint="eastAsia" w:ascii="仿宋_GB2312" w:hAnsi="仿宋_GB2312" w:eastAsia="仿宋_GB2312" w:cs="仿宋_GB2312"/>
          <w:b w:val="0"/>
          <w:bCs w:val="0"/>
          <w:color w:val="auto"/>
          <w:sz w:val="28"/>
          <w:szCs w:val="28"/>
          <w:highlight w:val="none"/>
        </w:rPr>
        <w:t>附件</w:t>
      </w:r>
      <w:r>
        <w:rPr>
          <w:rFonts w:hint="eastAsia" w:ascii="仿宋_GB2312" w:hAnsi="仿宋_GB2312" w:eastAsia="仿宋_GB2312" w:cs="仿宋_GB2312"/>
          <w:b w:val="0"/>
          <w:bCs w:val="0"/>
          <w:color w:val="auto"/>
          <w:sz w:val="28"/>
          <w:szCs w:val="28"/>
          <w:highlight w:val="none"/>
          <w:lang w:val="en-US" w:eastAsia="zh-CN"/>
        </w:rPr>
        <w:t>4</w:t>
      </w:r>
    </w:p>
    <w:p>
      <w:pPr>
        <w:keepNext w:val="0"/>
        <w:keepLines w:val="0"/>
        <w:pageBreakBefore w:val="0"/>
        <w:kinsoku/>
        <w:wordWrap/>
        <w:overflowPunct/>
        <w:topLinePunct w:val="0"/>
        <w:bidi w:val="0"/>
        <w:adjustRightInd w:val="0"/>
        <w:snapToGrid w:val="0"/>
        <w:spacing w:line="600" w:lineRule="exact"/>
        <w:jc w:val="center"/>
        <w:rPr>
          <w:rFonts w:hint="eastAsia" w:ascii="黑体" w:hAnsi="黑体" w:eastAsia="黑体" w:cs="黑体"/>
          <w:b w:val="0"/>
          <w:bCs w:val="0"/>
          <w:color w:val="auto"/>
          <w:sz w:val="32"/>
          <w:szCs w:val="32"/>
          <w:highlight w:val="none"/>
        </w:rPr>
      </w:pPr>
      <w:r>
        <w:rPr>
          <w:rFonts w:hint="eastAsia" w:ascii="仿宋_GB2312" w:eastAsia="仿宋_GB2312"/>
          <w:b/>
          <w:bCs/>
          <w:color w:val="auto"/>
          <w:sz w:val="28"/>
          <w:szCs w:val="28"/>
          <w:highlight w:val="none"/>
          <w:lang w:val="en-US" w:eastAsia="zh-CN"/>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处理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（一）建设生产现场发生人员</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死亡1～2人的，暂停投标1年至2年（含）。</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eastAsia="zh-CN"/>
              </w:rPr>
              <w:t>重伤或</w:t>
            </w:r>
            <w:r>
              <w:rPr>
                <w:rFonts w:hint="eastAsia" w:ascii="仿宋" w:hAnsi="仿宋" w:eastAsia="仿宋" w:cs="仿宋"/>
                <w:color w:val="auto"/>
                <w:sz w:val="20"/>
                <w:szCs w:val="20"/>
                <w:highlight w:val="none"/>
              </w:rPr>
              <w:t>死亡3～9人的，暂停投标2年以上至4年。</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发生</w:t>
            </w:r>
            <w:r>
              <w:rPr>
                <w:rFonts w:hint="eastAsia" w:ascii="仿宋" w:hAnsi="仿宋" w:eastAsia="仿宋" w:cs="仿宋"/>
                <w:color w:val="auto"/>
                <w:sz w:val="20"/>
                <w:szCs w:val="20"/>
                <w:highlight w:val="none"/>
                <w:lang w:val="en-US" w:eastAsia="zh-CN"/>
              </w:rPr>
              <w:t>重伤10人以上（含）、或</w:t>
            </w:r>
            <w:r>
              <w:rPr>
                <w:rFonts w:hint="eastAsia" w:ascii="仿宋" w:hAnsi="仿宋" w:eastAsia="仿宋" w:cs="仿宋"/>
                <w:color w:val="auto"/>
                <w:sz w:val="20"/>
                <w:szCs w:val="20"/>
                <w:highlight w:val="none"/>
              </w:rPr>
              <w:t>重大及以上事故的，暂停投标4年或以上</w:t>
            </w:r>
            <w:r>
              <w:rPr>
                <w:rFonts w:hint="eastAsia" w:ascii="仿宋" w:hAnsi="仿宋" w:eastAsia="仿宋" w:cs="仿宋"/>
                <w:color w:val="auto"/>
                <w:sz w:val="20"/>
                <w:szCs w:val="20"/>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 w:hAnsi="仿宋" w:eastAsia="仿宋" w:cs="仿宋"/>
                <w:color w:val="auto"/>
                <w:sz w:val="20"/>
                <w:szCs w:val="20"/>
                <w:highlight w:val="none"/>
                <w:lang w:eastAsia="zh-CN"/>
              </w:rPr>
              <w:t>大面积运营晚点，</w:t>
            </w:r>
            <w:r>
              <w:rPr>
                <w:rFonts w:hint="eastAsia" w:ascii="仿宋" w:hAnsi="仿宋" w:eastAsia="仿宋" w:cs="仿宋"/>
                <w:color w:val="auto"/>
                <w:sz w:val="20"/>
                <w:szCs w:val="20"/>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w:t>
            </w:r>
            <w:r>
              <w:rPr>
                <w:rFonts w:hint="eastAsia" w:ascii="仿宋" w:hAnsi="仿宋" w:eastAsia="仿宋" w:cs="仿宋"/>
                <w:color w:val="auto"/>
                <w:sz w:val="20"/>
                <w:szCs w:val="20"/>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eastAsia="zh-CN"/>
              </w:rPr>
              <w:t>二</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暂停投标</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年</w:t>
            </w:r>
            <w:r>
              <w:rPr>
                <w:rFonts w:hint="eastAsia" w:ascii="仿宋" w:hAnsi="仿宋" w:eastAsia="仿宋" w:cs="仿宋"/>
                <w:color w:val="auto"/>
                <w:sz w:val="20"/>
                <w:szCs w:val="20"/>
                <w:highlight w:val="none"/>
              </w:rPr>
              <w:t>。若至下一个自然年度项目尚未完结，仍出现该款情形的，继续暂停投标</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年</w:t>
            </w:r>
            <w:r>
              <w:rPr>
                <w:rFonts w:hint="eastAsia" w:ascii="仿宋" w:hAnsi="仿宋" w:eastAsia="仿宋" w:cs="仿宋"/>
                <w:color w:val="auto"/>
                <w:sz w:val="20"/>
                <w:szCs w:val="20"/>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其他不诚信</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w:t>
            </w:r>
            <w:r>
              <w:rPr>
                <w:rFonts w:hint="eastAsia" w:ascii="仿宋" w:hAnsi="仿宋" w:eastAsia="仿宋" w:cs="仿宋"/>
                <w:color w:val="auto"/>
                <w:sz w:val="20"/>
                <w:szCs w:val="20"/>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仿宋" w:hAnsi="仿宋" w:eastAsia="仿宋" w:cs="仿宋"/>
                <w:color w:val="auto"/>
                <w:sz w:val="20"/>
                <w:szCs w:val="20"/>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（十二）</w:t>
            </w:r>
            <w:r>
              <w:rPr>
                <w:rFonts w:hint="eastAsia" w:ascii="仿宋" w:hAnsi="仿宋" w:eastAsia="仿宋" w:cs="仿宋"/>
                <w:color w:val="auto"/>
                <w:sz w:val="20"/>
                <w:szCs w:val="20"/>
                <w:highlight w:val="none"/>
                <w:lang w:val="en-US" w:eastAsia="zh-CN"/>
              </w:rPr>
              <w:t>经发包人认定的其他不诚信行为</w:t>
            </w:r>
            <w:r>
              <w:rPr>
                <w:rFonts w:hint="eastAsia" w:ascii="仿宋" w:hAnsi="仿宋" w:eastAsia="仿宋" w:cs="仿宋"/>
                <w:color w:val="auto"/>
                <w:sz w:val="20"/>
                <w:szCs w:val="20"/>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0"/>
                <w:szCs w:val="20"/>
                <w:highlight w:val="none"/>
              </w:rPr>
            </w:pPr>
          </w:p>
        </w:tc>
      </w:tr>
    </w:tbl>
    <w:p>
      <w:pPr>
        <w:pStyle w:val="2"/>
        <w:keepNext w:val="0"/>
        <w:keepLines w:val="0"/>
        <w:pageBreakBefore w:val="0"/>
        <w:kinsoku/>
        <w:wordWrap/>
        <w:overflowPunct/>
        <w:topLinePunct w:val="0"/>
        <w:bidi w:val="0"/>
        <w:spacing w:line="600" w:lineRule="exact"/>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备注：本处理标准出自</w:t>
      </w:r>
      <w:r>
        <w:rPr>
          <w:rFonts w:hint="eastAsia" w:ascii="仿宋" w:hAnsi="仿宋" w:eastAsia="仿宋" w:cs="仿宋"/>
          <w:color w:val="auto"/>
          <w:sz w:val="21"/>
          <w:szCs w:val="21"/>
          <w:highlight w:val="none"/>
        </w:rPr>
        <w:t>《广州市净水有限公司经营建设项目参建企业不诚信行为管理办法》</w:t>
      </w:r>
      <w:r>
        <w:rPr>
          <w:rFonts w:hint="eastAsia" w:ascii="仿宋" w:hAnsi="仿宋" w:eastAsia="仿宋" w:cs="仿宋"/>
          <w:color w:val="auto"/>
          <w:sz w:val="21"/>
          <w:szCs w:val="21"/>
          <w:highlight w:val="none"/>
          <w:lang w:eastAsia="zh-CN"/>
        </w:rPr>
        <w:t>。</w:t>
      </w:r>
    </w:p>
    <w:p>
      <w:pPr>
        <w:spacing w:line="560" w:lineRule="exact"/>
        <w:ind w:firstLine="140" w:firstLineChars="50"/>
        <w:rPr>
          <w:rFonts w:ascii="仿宋_GB2312" w:eastAsia="仿宋_GB2312"/>
          <w:b w:val="0"/>
          <w:bCs/>
          <w:color w:val="auto"/>
          <w:sz w:val="28"/>
          <w:szCs w:val="28"/>
          <w:highlight w:val="none"/>
        </w:rPr>
      </w:pPr>
      <w:r>
        <w:rPr>
          <w:rFonts w:hint="eastAsia" w:ascii="仿宋_GB2312" w:hAnsi="宋体" w:eastAsia="仿宋_GB2312"/>
          <w:b w:val="0"/>
          <w:bCs/>
          <w:color w:val="auto"/>
          <w:sz w:val="28"/>
          <w:szCs w:val="28"/>
          <w:highlight w:val="none"/>
        </w:rPr>
        <w:t>附件</w:t>
      </w:r>
      <w:r>
        <w:rPr>
          <w:rFonts w:hint="eastAsia" w:ascii="仿宋_GB2312" w:hAnsi="宋体" w:eastAsia="仿宋_GB2312"/>
          <w:b w:val="0"/>
          <w:bCs/>
          <w:color w:val="auto"/>
          <w:sz w:val="28"/>
          <w:szCs w:val="28"/>
          <w:highlight w:val="none"/>
          <w:lang w:val="en-US" w:eastAsia="zh-CN"/>
        </w:rPr>
        <w:t>5</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甲方</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u w:val="single"/>
        </w:rPr>
        <w:t>广州市净水有限公司</w:t>
      </w:r>
    </w:p>
    <w:p>
      <w:pPr>
        <w:adjustRightInd w:val="0"/>
        <w:snapToGrid w:val="0"/>
        <w:spacing w:line="440" w:lineRule="exact"/>
        <w:ind w:firstLine="480" w:firstLineChars="200"/>
        <w:jc w:val="left"/>
        <w:rPr>
          <w:rStyle w:val="26"/>
          <w:rFonts w:ascii="仿宋_GB2312" w:hAnsi="宋体" w:eastAsia="仿宋_GB2312"/>
          <w:b w:val="0"/>
          <w:color w:val="auto"/>
          <w:highlight w:val="none"/>
          <w:u w:val="single"/>
        </w:rPr>
      </w:pPr>
      <w:r>
        <w:rPr>
          <w:rFonts w:hint="eastAsia" w:ascii="仿宋_GB2312" w:hAnsi="宋体" w:eastAsia="仿宋_GB2312"/>
          <w:color w:val="auto"/>
          <w:sz w:val="24"/>
          <w:highlight w:val="none"/>
          <w:lang w:val="en-US" w:eastAsia="zh-CN"/>
        </w:rPr>
        <w:t>乙方</w:t>
      </w:r>
      <w:r>
        <w:rPr>
          <w:rFonts w:hint="eastAsia" w:ascii="仿宋_GB2312" w:hAnsi="宋体" w:eastAsia="仿宋_GB2312"/>
          <w:color w:val="auto"/>
          <w:sz w:val="24"/>
          <w:highlight w:val="none"/>
        </w:rPr>
        <w:t xml:space="preserve">: </w:t>
      </w:r>
      <w:r>
        <w:rPr>
          <w:rFonts w:hint="eastAsia" w:ascii="仿宋_GB2312" w:hAnsi="宋体" w:eastAsia="仿宋_GB2312"/>
          <w:color w:val="auto"/>
          <w:sz w:val="24"/>
          <w:highlight w:val="none"/>
          <w:u w:val="single"/>
        </w:rPr>
        <w:t xml:space="preserve">  </w:t>
      </w:r>
      <w:r>
        <w:rPr>
          <w:rStyle w:val="26"/>
          <w:rFonts w:hint="eastAsia" w:ascii="仿宋_GB2312" w:hAnsi="宋体" w:eastAsia="仿宋_GB2312"/>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一、</w:t>
      </w:r>
      <w:r>
        <w:rPr>
          <w:rFonts w:hint="eastAsia" w:ascii="仿宋_GB2312" w:hAnsi="宋体" w:eastAsia="仿宋_GB2312"/>
          <w:color w:val="auto"/>
          <w:sz w:val="24"/>
          <w:highlight w:val="none"/>
        </w:rPr>
        <w:t>本协议与主协议的关系</w:t>
      </w:r>
    </w:p>
    <w:p>
      <w:pPr>
        <w:adjustRightInd w:val="0"/>
        <w:snapToGrid w:val="0"/>
        <w:spacing w:line="440" w:lineRule="exact"/>
        <w:ind w:left="105"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本协议作为</w:t>
      </w:r>
      <w:r>
        <w:rPr>
          <w:rFonts w:hint="eastAsia" w:ascii="仿宋_GB2312" w:hAnsi="宋体" w:eastAsia="仿宋_GB2312"/>
          <w:bCs/>
          <w:color w:val="auto"/>
          <w:sz w:val="24"/>
          <w:highlight w:val="none"/>
          <w:u w:val="single"/>
        </w:rPr>
        <w:t xml:space="preserve">                           </w:t>
      </w:r>
      <w:r>
        <w:rPr>
          <w:rFonts w:hint="eastAsia" w:ascii="仿宋_GB2312" w:hAnsi="宋体" w:eastAsia="仿宋_GB2312"/>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（一）</w:t>
      </w:r>
      <w:r>
        <w:rPr>
          <w:rFonts w:hint="eastAsia" w:ascii="宋体" w:hAnsi="宋体" w:eastAsia="仿宋"/>
          <w:color w:val="auto"/>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default"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（一）开展疫情防控宣传教育，提高</w:t>
      </w:r>
      <w:r>
        <w:rPr>
          <w:rFonts w:hint="eastAsia" w:ascii="宋体" w:hAnsi="宋体" w:eastAsia="仿宋"/>
          <w:color w:val="auto"/>
          <w:sz w:val="24"/>
          <w:highlight w:val="none"/>
          <w:lang w:val="en-US" w:eastAsia="zh-CN"/>
        </w:rPr>
        <w:t>乙方</w:t>
      </w:r>
      <w:r>
        <w:rPr>
          <w:rFonts w:hint="eastAsia" w:ascii="仿宋_GB2312" w:hAnsi="宋体" w:eastAsia="仿宋_GB2312" w:cs="Times New Roman"/>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default" w:ascii="仿宋_GB2312" w:hAnsi="宋体" w:eastAsia="仿宋_GB2312"/>
          <w:color w:val="auto"/>
          <w:sz w:val="24"/>
          <w:highlight w:val="none"/>
          <w:lang w:val="en-US" w:eastAsia="zh-CN"/>
        </w:rPr>
      </w:pPr>
      <w:r>
        <w:rPr>
          <w:rFonts w:hint="eastAsia" w:ascii="仿宋_GB2312" w:hAnsi="宋体" w:eastAsia="仿宋_GB2312" w:cs="Times New Roman"/>
          <w:color w:val="auto"/>
          <w:kern w:val="2"/>
          <w:sz w:val="24"/>
          <w:szCs w:val="24"/>
          <w:highlight w:val="none"/>
          <w:lang w:val="en-US" w:eastAsia="zh-CN" w:bidi="ar-SA"/>
        </w:rPr>
        <w:t>（二）</w:t>
      </w:r>
      <w:r>
        <w:rPr>
          <w:rFonts w:hint="eastAsia" w:ascii="仿宋_GB2312" w:hAnsi="宋体" w:eastAsia="仿宋_GB2312"/>
          <w:color w:val="auto"/>
          <w:sz w:val="24"/>
          <w:highlight w:val="none"/>
          <w:lang w:val="en-US" w:eastAsia="zh-CN"/>
        </w:rPr>
        <w:t>做好乙方人员防控工作管理，及时提交防疫资料，落实疫情防控备案，必要时需</w:t>
      </w:r>
      <w:r>
        <w:rPr>
          <w:rFonts w:hint="eastAsia" w:ascii="仿宋_GB2312" w:hAnsi="宋体" w:eastAsia="仿宋_GB2312" w:cs="Times New Roman"/>
          <w:color w:val="auto"/>
          <w:kern w:val="2"/>
          <w:sz w:val="24"/>
          <w:szCs w:val="24"/>
          <w:highlight w:val="none"/>
          <w:lang w:val="en-US" w:eastAsia="zh-CN" w:bidi="ar-SA"/>
        </w:rPr>
        <w:t>编制防控管理工作方案</w:t>
      </w:r>
      <w:r>
        <w:rPr>
          <w:rFonts w:hint="eastAsia" w:ascii="仿宋_GB2312" w:hAnsi="仿宋" w:eastAsia="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 xml:space="preserve">    （三）乙方人员须按照</w:t>
      </w:r>
      <w:r>
        <w:rPr>
          <w:rFonts w:hint="eastAsia" w:ascii="仿宋_GB2312" w:hAnsi="宋体" w:eastAsia="仿宋_GB2312" w:cs="Times New Roman"/>
          <w:color w:val="auto"/>
          <w:kern w:val="2"/>
          <w:sz w:val="24"/>
          <w:szCs w:val="24"/>
          <w:highlight w:val="none"/>
          <w:lang w:val="en-US" w:eastAsia="zh-CN" w:bidi="ar-SA"/>
        </w:rPr>
        <w:t>甲方各厂区进厂门岗防控要求</w:t>
      </w:r>
      <w:r>
        <w:rPr>
          <w:rFonts w:hint="eastAsia" w:ascii="仿宋_GB2312" w:hAnsi="宋体" w:eastAsia="仿宋_GB2312"/>
          <w:color w:val="auto"/>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color w:val="auto"/>
          <w:highlight w:val="none"/>
          <w:lang w:val="en-US" w:eastAsia="zh-CN"/>
        </w:rPr>
      </w:pPr>
      <w:r>
        <w:rPr>
          <w:rFonts w:hint="eastAsia" w:ascii="仿宋_GB2312" w:hAnsi="宋体" w:eastAsia="仿宋_GB2312" w:cs="Times New Roman"/>
          <w:color w:val="auto"/>
          <w:kern w:val="2"/>
          <w:sz w:val="24"/>
          <w:szCs w:val="24"/>
          <w:highlight w:val="none"/>
          <w:lang w:val="en-US" w:eastAsia="zh-CN" w:bidi="ar-SA"/>
        </w:rPr>
        <w:t>（五）各级政府、有关部门及甲方的其他</w:t>
      </w:r>
      <w:r>
        <w:rPr>
          <w:rFonts w:hint="eastAsia" w:ascii="宋体" w:hAnsi="宋体" w:eastAsia="仿宋"/>
          <w:color w:val="auto"/>
          <w:sz w:val="24"/>
          <w:highlight w:val="none"/>
          <w:lang w:val="en-US" w:eastAsia="zh-CN"/>
        </w:rPr>
        <w:t>防控要求</w:t>
      </w:r>
      <w:r>
        <w:rPr>
          <w:rFonts w:hint="eastAsia" w:ascii="仿宋_GB2312" w:hAnsi="宋体" w:eastAsia="仿宋_GB2312" w:cs="Times New Roman"/>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（一）乙方人员及其亲属有重点区域、重点场所旅居史未报备的，每发现一人，从乙方当月服务费中扣500元；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（三）乙方</w:t>
      </w:r>
      <w:r>
        <w:rPr>
          <w:rFonts w:hint="eastAsia" w:ascii="宋体" w:hAnsi="宋体" w:eastAsia="仿宋"/>
          <w:strike w:val="0"/>
          <w:dstrike w:val="0"/>
          <w:color w:val="auto"/>
          <w:sz w:val="24"/>
          <w:highlight w:val="none"/>
          <w:lang w:val="en-US" w:eastAsia="zh-CN"/>
        </w:rPr>
        <w:t>项目</w:t>
      </w:r>
      <w:r>
        <w:rPr>
          <w:rFonts w:hint="eastAsia" w:ascii="仿宋_GB2312" w:hAnsi="宋体" w:eastAsia="仿宋_GB2312"/>
          <w:color w:val="auto"/>
          <w:sz w:val="24"/>
          <w:highlight w:val="none"/>
          <w:lang w:val="en-US" w:eastAsia="zh-CN"/>
        </w:rPr>
        <w:t>人员拒不配合甲方疫情防控要求或不满足甲方防疫工作要求的，甲方有权要求乙方3天内更换服务人员。</w:t>
      </w:r>
    </w:p>
    <w:p>
      <w:pPr>
        <w:adjustRightInd w:val="0"/>
        <w:snapToGrid w:val="0"/>
        <w:spacing w:line="440" w:lineRule="exact"/>
        <w:jc w:val="left"/>
        <w:rPr>
          <w:rFonts w:ascii="仿宋_GB2312" w:hAnsi="宋体" w:eastAsia="仿宋_GB2312"/>
          <w:color w:val="auto"/>
          <w:sz w:val="24"/>
          <w:highlight w:val="none"/>
        </w:rPr>
      </w:pPr>
    </w:p>
    <w:p>
      <w:pPr>
        <w:pStyle w:val="36"/>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五</w:t>
      </w:r>
      <w:r>
        <w:rPr>
          <w:rFonts w:hint="eastAsia" w:ascii="仿宋_GB2312" w:hAnsi="宋体" w:eastAsia="仿宋_GB2312"/>
          <w:color w:val="auto"/>
          <w:sz w:val="24"/>
          <w:highlight w:val="none"/>
        </w:rPr>
        <w:t>、补充条款：</w:t>
      </w:r>
      <w:r>
        <w:rPr>
          <w:rFonts w:hint="eastAsia" w:ascii="仿宋_GB2312" w:hAnsi="宋体" w:eastAsia="仿宋_GB2312"/>
          <w:color w:val="auto"/>
          <w:sz w:val="24"/>
          <w:highlight w:val="none"/>
          <w:u w:val="single"/>
        </w:rPr>
        <w:t xml:space="preserve">         /       </w:t>
      </w:r>
      <w:r>
        <w:rPr>
          <w:rFonts w:hint="eastAsia" w:ascii="仿宋_GB2312" w:hAnsi="宋体" w:eastAsia="仿宋_GB2312"/>
          <w:color w:val="auto"/>
          <w:sz w:val="24"/>
          <w:highlight w:val="none"/>
        </w:rPr>
        <w:t>。</w:t>
      </w:r>
    </w:p>
    <w:p>
      <w:pPr>
        <w:adjustRightInd w:val="0"/>
        <w:snapToGrid w:val="0"/>
        <w:spacing w:line="440" w:lineRule="exact"/>
        <w:jc w:val="left"/>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六</w:t>
      </w:r>
      <w:r>
        <w:rPr>
          <w:rFonts w:hint="eastAsia" w:ascii="仿宋_GB2312" w:hAnsi="宋体" w:eastAsia="仿宋_GB2312"/>
          <w:color w:val="auto"/>
          <w:sz w:val="24"/>
          <w:highlight w:val="none"/>
        </w:rPr>
        <w:t>、附则</w:t>
      </w:r>
    </w:p>
    <w:p>
      <w:pPr>
        <w:adjustRightInd w:val="0"/>
        <w:snapToGrid w:val="0"/>
        <w:spacing w:line="440" w:lineRule="exact"/>
        <w:ind w:firstLine="480" w:firstLineChars="200"/>
        <w:jc w:val="left"/>
        <w:rPr>
          <w:rFonts w:ascii="仿宋_GB2312" w:hAnsi="宋体" w:eastAsia="仿宋_GB2312"/>
          <w:color w:val="auto"/>
          <w:sz w:val="24"/>
          <w:highlight w:val="none"/>
        </w:rPr>
      </w:pPr>
      <w:r>
        <w:rPr>
          <w:rFonts w:hint="eastAsia" w:ascii="仿宋_GB2312" w:hAnsi="宋体" w:eastAsia="仿宋_GB2312"/>
          <w:color w:val="auto"/>
          <w:sz w:val="24"/>
          <w:highlight w:val="none"/>
        </w:rPr>
        <w:t>本协议与合同同时签订、同时终止、同时生效，具有相同的法律效力。合同由甲乙双方签字、盖章生效，甲乙双方各</w:t>
      </w:r>
      <w:r>
        <w:rPr>
          <w:rFonts w:hint="eastAsia" w:ascii="仿宋_GB2312" w:hAnsi="宋体" w:eastAsia="仿宋_GB2312"/>
          <w:color w:val="auto"/>
          <w:sz w:val="24"/>
          <w:highlight w:val="none"/>
          <w:u w:val="single"/>
          <w:lang w:val="en-US" w:eastAsia="zh-CN"/>
        </w:rPr>
        <w:t xml:space="preserve">  </w:t>
      </w:r>
      <w:r>
        <w:rPr>
          <w:rFonts w:hint="eastAsia" w:ascii="仿宋_GB2312" w:hAnsi="宋体" w:eastAsia="仿宋_GB2312"/>
          <w:color w:val="auto"/>
          <w:sz w:val="24"/>
          <w:highlight w:val="none"/>
        </w:rPr>
        <w:t>份。</w:t>
      </w:r>
    </w:p>
    <w:p>
      <w:pPr>
        <w:adjustRightInd w:val="0"/>
        <w:snapToGrid w:val="0"/>
        <w:spacing w:line="440" w:lineRule="exact"/>
        <w:rPr>
          <w:rFonts w:ascii="仿宋_GB2312" w:hAnsi="宋体" w:eastAsia="仿宋_GB2312"/>
          <w:color w:val="auto"/>
          <w:sz w:val="24"/>
          <w:highlight w:val="none"/>
        </w:rPr>
      </w:pPr>
    </w:p>
    <w:p>
      <w:pPr>
        <w:adjustRightInd w:val="0"/>
        <w:snapToGrid w:val="0"/>
        <w:spacing w:line="440" w:lineRule="exact"/>
        <w:ind w:left="1330" w:leftChars="5" w:hanging="1320" w:hangingChars="550"/>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r>
        <w:rPr>
          <w:rFonts w:hint="eastAsia" w:ascii="仿宋_GB2312" w:hAnsi="宋体" w:eastAsia="仿宋_GB2312"/>
          <w:color w:val="auto"/>
          <w:sz w:val="24"/>
          <w:highlight w:val="none"/>
          <w:lang w:val="en-US" w:eastAsia="zh-CN"/>
        </w:rPr>
        <w:t>甲方</w:t>
      </w:r>
      <w:r>
        <w:rPr>
          <w:rFonts w:hint="eastAsia" w:ascii="仿宋_GB2312" w:hAnsi="宋体" w:eastAsia="仿宋_GB2312"/>
          <w:color w:val="auto"/>
          <w:sz w:val="24"/>
          <w:highlight w:val="none"/>
        </w:rPr>
        <w:t xml:space="preserve">代表 （章）：                             </w:t>
      </w:r>
      <w:r>
        <w:rPr>
          <w:rFonts w:hint="eastAsia" w:ascii="仿宋_GB2312" w:hAnsi="宋体" w:eastAsia="仿宋_GB2312"/>
          <w:color w:val="auto"/>
          <w:sz w:val="24"/>
          <w:highlight w:val="none"/>
          <w:lang w:val="en-US" w:eastAsia="zh-CN"/>
        </w:rPr>
        <w:t>乙方</w:t>
      </w:r>
      <w:r>
        <w:rPr>
          <w:rFonts w:hint="eastAsia" w:ascii="仿宋_GB2312" w:hAnsi="宋体" w:eastAsia="仿宋_GB2312"/>
          <w:color w:val="auto"/>
          <w:sz w:val="24"/>
          <w:highlight w:val="none"/>
        </w:rPr>
        <w:t>代表（章）：                                                           　　              　　　　　　　</w:t>
      </w:r>
    </w:p>
    <w:p>
      <w:pPr>
        <w:adjustRightInd w:val="0"/>
        <w:snapToGrid w:val="0"/>
        <w:spacing w:line="44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年 　月　  日　　　　　                 年   月  　日</w:t>
      </w:r>
    </w:p>
    <w:p>
      <w:pPr>
        <w:rPr>
          <w:color w:val="auto"/>
          <w:highlight w:val="none"/>
        </w:rPr>
      </w:pPr>
    </w:p>
    <w:p>
      <w:pPr>
        <w:pStyle w:val="2"/>
        <w:keepNext w:val="0"/>
        <w:keepLines w:val="0"/>
        <w:pageBreakBefore w:val="0"/>
        <w:kinsoku/>
        <w:wordWrap/>
        <w:overflowPunct/>
        <w:topLinePunct w:val="0"/>
        <w:bidi w:val="0"/>
        <w:spacing w:line="600" w:lineRule="exact"/>
        <w:ind w:left="0" w:leftChars="0" w:firstLine="0" w:firstLineChars="0"/>
        <w:rPr>
          <w:rFonts w:hint="eastAsia" w:ascii="仿宋" w:hAnsi="仿宋" w:eastAsia="仿宋" w:cs="仿宋"/>
          <w:color w:val="auto"/>
          <w:sz w:val="21"/>
          <w:szCs w:val="21"/>
          <w:highlight w:val="none"/>
          <w:lang w:eastAsia="zh-CN"/>
        </w:rPr>
      </w:pPr>
    </w:p>
    <w:p>
      <w:pPr>
        <w:pStyle w:val="2"/>
        <w:ind w:left="0" w:leftChars="0" w:firstLine="0" w:firstLineChars="0"/>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spacing w:line="560" w:lineRule="exact"/>
        <w:ind w:firstLine="141" w:firstLineChars="50"/>
        <w:rPr>
          <w:rFonts w:ascii="仿宋_GB2312" w:eastAsia="仿宋_GB2312"/>
          <w:b/>
          <w:color w:val="auto"/>
          <w:sz w:val="28"/>
          <w:szCs w:val="28"/>
          <w:highlight w:val="none"/>
        </w:rPr>
      </w:pPr>
    </w:p>
    <w:p>
      <w:pPr>
        <w:pStyle w:val="2"/>
        <w:ind w:left="0" w:leftChars="0" w:firstLine="0" w:firstLineChars="0"/>
        <w:rPr>
          <w:rFonts w:hint="eastAsia" w:ascii="仿宋_GB2312" w:hAnsi="仿宋_GB2312" w:eastAsia="仿宋_GB2312" w:cs="仿宋_GB2312"/>
          <w:color w:val="auto"/>
          <w:highlight w:val="none"/>
        </w:rPr>
      </w:pPr>
    </w:p>
    <w:p>
      <w:pPr>
        <w:pStyle w:val="2"/>
        <w:ind w:left="0" w:leftChars="0" w:firstLine="0" w:firstLineChars="0"/>
        <w:rPr>
          <w:rFonts w:hint="eastAsia" w:ascii="仿宋_GB2312" w:hAnsi="仿宋_GB2312" w:eastAsia="仿宋_GB2312" w:cs="仿宋_GB2312"/>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4"/>
        <w:rPr>
          <w:color w:val="auto"/>
          <w:highlight w:val="none"/>
        </w:rPr>
      </w:pPr>
      <w:bookmarkStart w:id="85" w:name="_Toc3723"/>
      <w:bookmarkStart w:id="86" w:name="_Toc6230"/>
      <w:bookmarkStart w:id="87" w:name="_Toc30824"/>
      <w:bookmarkStart w:id="88" w:name="_Toc16552"/>
      <w:bookmarkStart w:id="89" w:name="_Toc8147"/>
      <w:bookmarkStart w:id="90" w:name="_Toc28358"/>
      <w:bookmarkStart w:id="91" w:name="_Toc23515"/>
      <w:bookmarkStart w:id="92" w:name="_Toc1563"/>
      <w:bookmarkStart w:id="93" w:name="_Toc21847"/>
      <w:bookmarkStart w:id="94" w:name="_Toc12169"/>
      <w:bookmarkStart w:id="95" w:name="_Toc5129"/>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6"/>
        <w:rPr>
          <w:color w:val="auto"/>
          <w:highlight w:val="none"/>
        </w:rPr>
      </w:pPr>
    </w:p>
    <w:p>
      <w:pPr>
        <w:pStyle w:val="4"/>
        <w:rPr>
          <w:color w:val="auto"/>
          <w:highlight w:val="none"/>
        </w:rPr>
      </w:pPr>
      <w:bookmarkStart w:id="96" w:name="_Toc5342"/>
      <w:bookmarkStart w:id="97" w:name="_Toc22764"/>
      <w:bookmarkStart w:id="98" w:name="_Toc87616388"/>
      <w:bookmarkStart w:id="99" w:name="_Toc10840"/>
      <w:bookmarkStart w:id="100" w:name="_Toc12610"/>
      <w:bookmarkStart w:id="101" w:name="_Toc24490"/>
      <w:bookmarkStart w:id="102" w:name="_Toc31564"/>
      <w:bookmarkStart w:id="103" w:name="_Toc30157"/>
      <w:bookmarkStart w:id="104" w:name="_Toc21675"/>
      <w:bookmarkStart w:id="105" w:name="_Toc24815"/>
      <w:bookmarkStart w:id="106" w:name="_Toc17119"/>
      <w:bookmarkStart w:id="107" w:name="_Toc12769"/>
      <w:bookmarkStart w:id="108" w:name="_Toc88209951"/>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7"/>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5" w:name="_Toc12665"/>
      <w:bookmarkStart w:id="116" w:name="_Toc87616394"/>
      <w:bookmarkStart w:id="117" w:name="_Toc6313"/>
      <w:bookmarkStart w:id="118" w:name="_Toc88209957"/>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2527"/>
      <w:bookmarkStart w:id="121" w:name="_Toc87616395"/>
      <w:bookmarkStart w:id="122" w:name="_Toc88209958"/>
      <w:bookmarkStart w:id="123"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19830"/>
      <w:bookmarkStart w:id="125" w:name="_Toc87616400"/>
      <w:bookmarkStart w:id="126" w:name="_Toc88209963"/>
      <w:bookmarkStart w:id="12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广州市净水有限公司2022年-2024年猎德分公司等6家分公司ISO管理体系审核及年度监督服务项目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bookmarkStart w:id="129" w:name="_Toc32430"/>
      <w:bookmarkStart w:id="130" w:name="_Toc19423"/>
      <w:r>
        <w:rPr>
          <w:rFonts w:hint="eastAsia" w:ascii="仿宋_GB2312" w:eastAsia="仿宋_GB2312" w:hAnsiTheme="minorEastAsia"/>
          <w:color w:val="auto"/>
          <w:sz w:val="28"/>
          <w:szCs w:val="28"/>
          <w:highlight w:val="none"/>
          <w:lang w:val="en-US" w:eastAsia="zh-CN"/>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p>
      <w:pPr>
        <w:adjustRightInd w:val="0"/>
        <w:snapToGrid w:val="0"/>
        <w:spacing w:line="600" w:lineRule="exact"/>
        <w:ind w:firstLine="0"/>
        <w:rPr>
          <w:rFonts w:ascii="仿宋_GB2312" w:eastAsia="仿宋_GB2312" w:hAnsiTheme="minorEastAsia"/>
          <w:color w:val="auto"/>
          <w:sz w:val="28"/>
          <w:szCs w:val="28"/>
          <w:highlight w:val="none"/>
        </w:rPr>
      </w:pPr>
    </w:p>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（2）报价表</w:t>
      </w:r>
    </w:p>
    <w:tbl>
      <w:tblPr>
        <w:tblStyle w:val="23"/>
        <w:tblW w:w="8464"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6"/>
        <w:gridCol w:w="1815"/>
        <w:gridCol w:w="3743"/>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项目</w:t>
            </w:r>
          </w:p>
        </w:tc>
        <w:tc>
          <w:tcPr>
            <w:tcW w:w="181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年度</w:t>
            </w:r>
          </w:p>
        </w:tc>
        <w:tc>
          <w:tcPr>
            <w:tcW w:w="374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当年服务内容</w:t>
            </w:r>
          </w:p>
        </w:tc>
        <w:tc>
          <w:tcPr>
            <w:tcW w:w="18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黑体" w:hAnsi="黑体" w:eastAsia="黑体" w:cs="黑体"/>
                <w:i w:val="0"/>
                <w:iCs w:val="0"/>
                <w:color w:val="auto"/>
                <w:sz w:val="28"/>
                <w:szCs w:val="28"/>
                <w:highlight w:val="none"/>
                <w:u w:val="none"/>
                <w:lang w:val="en-US"/>
              </w:rPr>
            </w:pPr>
            <w:r>
              <w:rPr>
                <w:rFonts w:hint="eastAsia" w:ascii="黑体" w:hAnsi="黑体" w:eastAsia="黑体" w:cs="黑体"/>
                <w:i w:val="0"/>
                <w:iCs w:val="0"/>
                <w:color w:val="auto"/>
                <w:kern w:val="0"/>
                <w:sz w:val="28"/>
                <w:szCs w:val="28"/>
                <w:highlight w:val="none"/>
                <w:u w:val="none"/>
                <w:lang w:val="en-US" w:eastAsia="zh-CN" w:bidi="ar"/>
              </w:rPr>
              <w:t>服务金额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0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猎德分公司</w:t>
            </w: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2022年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三个管理体系申请认证</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2023年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2024年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64"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项目小计</w:t>
            </w:r>
          </w:p>
        </w:tc>
        <w:tc>
          <w:tcPr>
            <w:tcW w:w="1800"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0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沥滘分公司</w:t>
            </w: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2022年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三个管理体系申请认证</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2023年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2024年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64"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项目小计</w:t>
            </w:r>
          </w:p>
        </w:tc>
        <w:tc>
          <w:tcPr>
            <w:tcW w:w="1800"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0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石井分公司</w:t>
            </w: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2022年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三个管理体系申请认证</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2023年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2024年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64"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项目小计</w:t>
            </w:r>
          </w:p>
        </w:tc>
        <w:tc>
          <w:tcPr>
            <w:tcW w:w="1800"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0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龙归分公司</w:t>
            </w: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2022年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三个管理体系申请认证</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2023年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2024年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64"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项目小计</w:t>
            </w:r>
          </w:p>
        </w:tc>
        <w:tc>
          <w:tcPr>
            <w:tcW w:w="1800"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0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石井净水分公司</w:t>
            </w: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2022年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三个管理体系申请认证</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2023年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1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2024年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64"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项目小计</w:t>
            </w:r>
          </w:p>
        </w:tc>
        <w:tc>
          <w:tcPr>
            <w:tcW w:w="1800" w:type="dxa"/>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竹料分公司</w:t>
            </w: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2022年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三个管理体系申请培训、认证</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2023年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0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4"/>
                <w:szCs w:val="24"/>
                <w:highlight w:val="none"/>
                <w:u w:val="none"/>
              </w:rPr>
            </w:pPr>
          </w:p>
        </w:tc>
        <w:tc>
          <w:tcPr>
            <w:tcW w:w="181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2024年</w:t>
            </w:r>
          </w:p>
        </w:tc>
        <w:tc>
          <w:tcPr>
            <w:tcW w:w="37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三个管理体系年度监督审核</w:t>
            </w:r>
          </w:p>
        </w:tc>
        <w:tc>
          <w:tcPr>
            <w:tcW w:w="180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664" w:type="dxa"/>
            <w:gridSpan w:val="3"/>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项目小计</w:t>
            </w:r>
          </w:p>
        </w:tc>
        <w:tc>
          <w:tcPr>
            <w:tcW w:w="1800" w:type="dxa"/>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66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top"/>
              <w:rPr>
                <w:rFonts w:hint="default"/>
                <w:color w:val="auto"/>
                <w:highlight w:val="none"/>
                <w:lang w:val="en-US" w:eastAsia="zh-CN"/>
              </w:rPr>
            </w:pPr>
            <w:r>
              <w:rPr>
                <w:rFonts w:hint="eastAsia" w:ascii="仿宋_GB2312" w:hAnsi="宋体" w:eastAsia="仿宋_GB2312" w:cs="仿宋_GB2312"/>
                <w:b/>
                <w:bCs/>
                <w:i w:val="0"/>
                <w:iCs w:val="0"/>
                <w:color w:val="auto"/>
                <w:kern w:val="0"/>
                <w:sz w:val="24"/>
                <w:szCs w:val="24"/>
                <w:highlight w:val="none"/>
                <w:u w:val="none"/>
                <w:lang w:val="en-US" w:eastAsia="zh-CN" w:bidi="ar"/>
              </w:rPr>
              <w:t>项目合计（备注：以上报价含税</w:t>
            </w:r>
            <w:r>
              <w:rPr>
                <w:rFonts w:hint="eastAsia" w:ascii="仿宋_GB2312" w:hAnsi="宋体" w:eastAsia="仿宋_GB2312" w:cs="仿宋_GB2312"/>
                <w:b/>
                <w:bCs/>
                <w:i w:val="0"/>
                <w:iCs w:val="0"/>
                <w:color w:val="auto"/>
                <w:kern w:val="0"/>
                <w:sz w:val="24"/>
                <w:szCs w:val="24"/>
                <w:highlight w:val="none"/>
                <w:u w:val="single"/>
                <w:lang w:val="en-US" w:eastAsia="zh-CN" w:bidi="ar"/>
              </w:rPr>
              <w:t xml:space="preserve">  </w:t>
            </w:r>
            <w:r>
              <w:rPr>
                <w:rFonts w:hint="eastAsia" w:ascii="仿宋_GB2312" w:hAnsi="宋体" w:eastAsia="仿宋_GB2312" w:cs="仿宋_GB2312"/>
                <w:b/>
                <w:bCs/>
                <w:i w:val="0"/>
                <w:iCs w:val="0"/>
                <w:color w:val="auto"/>
                <w:kern w:val="0"/>
                <w:sz w:val="24"/>
                <w:szCs w:val="24"/>
                <w:highlight w:val="none"/>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bl>
    <w:p>
      <w:pPr>
        <w:pStyle w:val="7"/>
        <w:rPr>
          <w:color w:val="auto"/>
          <w:highlight w:val="none"/>
        </w:rPr>
      </w:pPr>
    </w:p>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注：若分项费用的计算依据、过程和公式不便在表中表述，可单独另附表格或描述进行说明。</w:t>
      </w:r>
    </w:p>
    <w:p>
      <w:pPr>
        <w:adjustRightInd w:val="0"/>
        <w:snapToGrid w:val="0"/>
        <w:spacing w:line="600" w:lineRule="exact"/>
        <w:ind w:firstLine="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rPr>
          <w:rFonts w:hint="eastAsia" w:eastAsiaTheme="majorEastAsia"/>
          <w:color w:val="auto"/>
          <w:highlight w:val="none"/>
          <w:lang w:val="en-US" w:eastAsia="zh-CN"/>
        </w:rPr>
      </w:pPr>
      <w:bookmarkStart w:id="131" w:name="_Toc6058"/>
      <w:bookmarkStart w:id="132" w:name="_Toc87616402"/>
      <w:bookmarkStart w:id="133" w:name="_Toc88209965"/>
      <w:bookmarkStart w:id="134" w:name="_Toc16386"/>
      <w:r>
        <w:rPr>
          <w:rFonts w:hint="eastAsia" w:eastAsiaTheme="majorEastAsia"/>
          <w:color w:val="auto"/>
          <w:highlight w:val="none"/>
          <w:lang w:val="en-US" w:eastAsia="zh-CN"/>
        </w:rPr>
        <w:br w:type="page"/>
      </w: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10679F"/>
    <w:rsid w:val="013E3461"/>
    <w:rsid w:val="01B30F94"/>
    <w:rsid w:val="02090C75"/>
    <w:rsid w:val="029A61A0"/>
    <w:rsid w:val="02A23A3C"/>
    <w:rsid w:val="039110A9"/>
    <w:rsid w:val="03AC246A"/>
    <w:rsid w:val="03B23056"/>
    <w:rsid w:val="03DC3EBA"/>
    <w:rsid w:val="03F9794D"/>
    <w:rsid w:val="0402322C"/>
    <w:rsid w:val="046A2461"/>
    <w:rsid w:val="051C2970"/>
    <w:rsid w:val="05A95C41"/>
    <w:rsid w:val="06147101"/>
    <w:rsid w:val="06C64829"/>
    <w:rsid w:val="071F0E7C"/>
    <w:rsid w:val="077D16D2"/>
    <w:rsid w:val="082A69F3"/>
    <w:rsid w:val="08675FC8"/>
    <w:rsid w:val="09973599"/>
    <w:rsid w:val="09B713FD"/>
    <w:rsid w:val="09CF54FF"/>
    <w:rsid w:val="09EF6ACC"/>
    <w:rsid w:val="0A315056"/>
    <w:rsid w:val="0AFB45AD"/>
    <w:rsid w:val="0B351E9B"/>
    <w:rsid w:val="0B4C50D3"/>
    <w:rsid w:val="0B806B92"/>
    <w:rsid w:val="0B827E94"/>
    <w:rsid w:val="0BD070E1"/>
    <w:rsid w:val="0C247926"/>
    <w:rsid w:val="0D794204"/>
    <w:rsid w:val="0D90500D"/>
    <w:rsid w:val="0E114CF1"/>
    <w:rsid w:val="0E2125D1"/>
    <w:rsid w:val="0E214211"/>
    <w:rsid w:val="0E5F2769"/>
    <w:rsid w:val="0F4D75A3"/>
    <w:rsid w:val="0F5B2DCA"/>
    <w:rsid w:val="0FED051E"/>
    <w:rsid w:val="0FEE4C29"/>
    <w:rsid w:val="10046082"/>
    <w:rsid w:val="111703D2"/>
    <w:rsid w:val="112B101A"/>
    <w:rsid w:val="119B53FC"/>
    <w:rsid w:val="12424CDC"/>
    <w:rsid w:val="128D3B5C"/>
    <w:rsid w:val="129A2738"/>
    <w:rsid w:val="12B56BF1"/>
    <w:rsid w:val="12CB1A89"/>
    <w:rsid w:val="131840FB"/>
    <w:rsid w:val="13467417"/>
    <w:rsid w:val="135B25F1"/>
    <w:rsid w:val="136E76CF"/>
    <w:rsid w:val="145F08C6"/>
    <w:rsid w:val="15267B9A"/>
    <w:rsid w:val="15776308"/>
    <w:rsid w:val="15814BA3"/>
    <w:rsid w:val="15BC6B3C"/>
    <w:rsid w:val="163367F6"/>
    <w:rsid w:val="164D40B0"/>
    <w:rsid w:val="1694429A"/>
    <w:rsid w:val="16F02161"/>
    <w:rsid w:val="17635326"/>
    <w:rsid w:val="178D37C6"/>
    <w:rsid w:val="18000C32"/>
    <w:rsid w:val="18236EFD"/>
    <w:rsid w:val="189D5B1F"/>
    <w:rsid w:val="18A34CD0"/>
    <w:rsid w:val="19A53EA8"/>
    <w:rsid w:val="19B64DBC"/>
    <w:rsid w:val="1A373ACF"/>
    <w:rsid w:val="1A895341"/>
    <w:rsid w:val="1B0D071F"/>
    <w:rsid w:val="1B4568CE"/>
    <w:rsid w:val="1B9015B7"/>
    <w:rsid w:val="1BD36172"/>
    <w:rsid w:val="1BF54245"/>
    <w:rsid w:val="1D0E6976"/>
    <w:rsid w:val="1D5A79EE"/>
    <w:rsid w:val="1E0E2CD0"/>
    <w:rsid w:val="1E831280"/>
    <w:rsid w:val="1EBC4704"/>
    <w:rsid w:val="1F172EB5"/>
    <w:rsid w:val="1F94592D"/>
    <w:rsid w:val="1FB860DE"/>
    <w:rsid w:val="203C5A02"/>
    <w:rsid w:val="209D4C94"/>
    <w:rsid w:val="20E84705"/>
    <w:rsid w:val="20E96173"/>
    <w:rsid w:val="218400BA"/>
    <w:rsid w:val="21AB1E2F"/>
    <w:rsid w:val="21BA36E5"/>
    <w:rsid w:val="21D40498"/>
    <w:rsid w:val="22767047"/>
    <w:rsid w:val="23A05588"/>
    <w:rsid w:val="240476A1"/>
    <w:rsid w:val="24987001"/>
    <w:rsid w:val="25431AEB"/>
    <w:rsid w:val="256C4F7F"/>
    <w:rsid w:val="25BF43FD"/>
    <w:rsid w:val="25F86BCD"/>
    <w:rsid w:val="2605748B"/>
    <w:rsid w:val="269E416A"/>
    <w:rsid w:val="272100D3"/>
    <w:rsid w:val="272C72FC"/>
    <w:rsid w:val="275131CB"/>
    <w:rsid w:val="27EB149D"/>
    <w:rsid w:val="27FD3E52"/>
    <w:rsid w:val="28701F2D"/>
    <w:rsid w:val="288B636D"/>
    <w:rsid w:val="28E11370"/>
    <w:rsid w:val="294A756A"/>
    <w:rsid w:val="29581C87"/>
    <w:rsid w:val="295F4916"/>
    <w:rsid w:val="29781BF8"/>
    <w:rsid w:val="29C33ED0"/>
    <w:rsid w:val="29D5322D"/>
    <w:rsid w:val="2A025DD9"/>
    <w:rsid w:val="2A2619CB"/>
    <w:rsid w:val="2A7C2231"/>
    <w:rsid w:val="2ABB753D"/>
    <w:rsid w:val="2B7A49FA"/>
    <w:rsid w:val="2C615D26"/>
    <w:rsid w:val="2CB679ED"/>
    <w:rsid w:val="2D173C07"/>
    <w:rsid w:val="2D424A86"/>
    <w:rsid w:val="2E7B52DB"/>
    <w:rsid w:val="2F324CFE"/>
    <w:rsid w:val="2FBA09F1"/>
    <w:rsid w:val="2FEF2ACF"/>
    <w:rsid w:val="30540211"/>
    <w:rsid w:val="31112A0D"/>
    <w:rsid w:val="311F4B20"/>
    <w:rsid w:val="312D7741"/>
    <w:rsid w:val="316F137F"/>
    <w:rsid w:val="319806B0"/>
    <w:rsid w:val="31DF525F"/>
    <w:rsid w:val="32324C2E"/>
    <w:rsid w:val="327171DF"/>
    <w:rsid w:val="341E3434"/>
    <w:rsid w:val="34BB4442"/>
    <w:rsid w:val="360B7EBA"/>
    <w:rsid w:val="369C32FD"/>
    <w:rsid w:val="37666E72"/>
    <w:rsid w:val="38167A04"/>
    <w:rsid w:val="394B167A"/>
    <w:rsid w:val="394F3226"/>
    <w:rsid w:val="39DA2868"/>
    <w:rsid w:val="3A4E4336"/>
    <w:rsid w:val="3A6007FE"/>
    <w:rsid w:val="3B4E6B23"/>
    <w:rsid w:val="3B7C2CE4"/>
    <w:rsid w:val="3C0B5355"/>
    <w:rsid w:val="3CD4176B"/>
    <w:rsid w:val="3D1F44D9"/>
    <w:rsid w:val="3D5C38CD"/>
    <w:rsid w:val="3E5070F1"/>
    <w:rsid w:val="3F6C3589"/>
    <w:rsid w:val="3F850180"/>
    <w:rsid w:val="3F9004D6"/>
    <w:rsid w:val="400E4D5E"/>
    <w:rsid w:val="40394D27"/>
    <w:rsid w:val="40E1138C"/>
    <w:rsid w:val="413814BA"/>
    <w:rsid w:val="41872511"/>
    <w:rsid w:val="41916FD9"/>
    <w:rsid w:val="42466655"/>
    <w:rsid w:val="42C82F57"/>
    <w:rsid w:val="435707E5"/>
    <w:rsid w:val="43C76AF7"/>
    <w:rsid w:val="446828F0"/>
    <w:rsid w:val="45093E85"/>
    <w:rsid w:val="45171178"/>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A113CF"/>
    <w:rsid w:val="48CA4868"/>
    <w:rsid w:val="48F005D3"/>
    <w:rsid w:val="49733C6A"/>
    <w:rsid w:val="498F4AF1"/>
    <w:rsid w:val="49C05787"/>
    <w:rsid w:val="49CF518D"/>
    <w:rsid w:val="4ADA1F63"/>
    <w:rsid w:val="4AE23D89"/>
    <w:rsid w:val="4B2038D0"/>
    <w:rsid w:val="4B296E7D"/>
    <w:rsid w:val="4B877F28"/>
    <w:rsid w:val="4D916BA6"/>
    <w:rsid w:val="4DC44169"/>
    <w:rsid w:val="4EF0709E"/>
    <w:rsid w:val="4F0469A4"/>
    <w:rsid w:val="4FC27E9C"/>
    <w:rsid w:val="513C6A7B"/>
    <w:rsid w:val="532D486F"/>
    <w:rsid w:val="5333545B"/>
    <w:rsid w:val="538D0E89"/>
    <w:rsid w:val="5450213C"/>
    <w:rsid w:val="54D24048"/>
    <w:rsid w:val="54D64CD5"/>
    <w:rsid w:val="55551EF0"/>
    <w:rsid w:val="55887D69"/>
    <w:rsid w:val="561A0928"/>
    <w:rsid w:val="56423872"/>
    <w:rsid w:val="568E798D"/>
    <w:rsid w:val="56B279F0"/>
    <w:rsid w:val="57905F68"/>
    <w:rsid w:val="579D710E"/>
    <w:rsid w:val="581F22F6"/>
    <w:rsid w:val="586B5077"/>
    <w:rsid w:val="586E1E17"/>
    <w:rsid w:val="58862C35"/>
    <w:rsid w:val="58C14957"/>
    <w:rsid w:val="5AE83A50"/>
    <w:rsid w:val="5B353193"/>
    <w:rsid w:val="5BAB2917"/>
    <w:rsid w:val="5BFC33FA"/>
    <w:rsid w:val="5C3107A4"/>
    <w:rsid w:val="5C3B1B93"/>
    <w:rsid w:val="5C890545"/>
    <w:rsid w:val="5C9220DF"/>
    <w:rsid w:val="5D4A15F3"/>
    <w:rsid w:val="5D69542A"/>
    <w:rsid w:val="5D783B72"/>
    <w:rsid w:val="5E0930EF"/>
    <w:rsid w:val="5E3D4D53"/>
    <w:rsid w:val="5E4717E6"/>
    <w:rsid w:val="5E55774C"/>
    <w:rsid w:val="60045F96"/>
    <w:rsid w:val="60104DDC"/>
    <w:rsid w:val="605C0804"/>
    <w:rsid w:val="6189617B"/>
    <w:rsid w:val="61B52BB6"/>
    <w:rsid w:val="61B749C2"/>
    <w:rsid w:val="62280D20"/>
    <w:rsid w:val="623C02EF"/>
    <w:rsid w:val="62CA2457"/>
    <w:rsid w:val="63141A2A"/>
    <w:rsid w:val="638240A1"/>
    <w:rsid w:val="63833423"/>
    <w:rsid w:val="63A5257B"/>
    <w:rsid w:val="63A71155"/>
    <w:rsid w:val="63BD3DCC"/>
    <w:rsid w:val="63C61741"/>
    <w:rsid w:val="64560967"/>
    <w:rsid w:val="656B1D10"/>
    <w:rsid w:val="65B841F9"/>
    <w:rsid w:val="66022B28"/>
    <w:rsid w:val="664A38E2"/>
    <w:rsid w:val="66581E87"/>
    <w:rsid w:val="66FA11D5"/>
    <w:rsid w:val="674302C7"/>
    <w:rsid w:val="680A5986"/>
    <w:rsid w:val="680D5F4B"/>
    <w:rsid w:val="68113F51"/>
    <w:rsid w:val="68E94770"/>
    <w:rsid w:val="68F949C9"/>
    <w:rsid w:val="695A4290"/>
    <w:rsid w:val="697663E5"/>
    <w:rsid w:val="6A334932"/>
    <w:rsid w:val="6A3353FF"/>
    <w:rsid w:val="6A5D63E6"/>
    <w:rsid w:val="6A5F24D1"/>
    <w:rsid w:val="6AE347EB"/>
    <w:rsid w:val="6B434AF0"/>
    <w:rsid w:val="6B57675A"/>
    <w:rsid w:val="6BDD7B4D"/>
    <w:rsid w:val="6DAB36D3"/>
    <w:rsid w:val="6EA96CE2"/>
    <w:rsid w:val="6EBC0B3A"/>
    <w:rsid w:val="6EF51C7D"/>
    <w:rsid w:val="6F1046DD"/>
    <w:rsid w:val="6F8363E5"/>
    <w:rsid w:val="6FC746F5"/>
    <w:rsid w:val="702E0FB9"/>
    <w:rsid w:val="70317AC6"/>
    <w:rsid w:val="70720533"/>
    <w:rsid w:val="707D2C83"/>
    <w:rsid w:val="70863262"/>
    <w:rsid w:val="70A76ED3"/>
    <w:rsid w:val="71860B17"/>
    <w:rsid w:val="723B27CC"/>
    <w:rsid w:val="72687227"/>
    <w:rsid w:val="72A03FD9"/>
    <w:rsid w:val="73406CFF"/>
    <w:rsid w:val="7383028C"/>
    <w:rsid w:val="73A25E44"/>
    <w:rsid w:val="741F68CF"/>
    <w:rsid w:val="74CC5737"/>
    <w:rsid w:val="75252DF3"/>
    <w:rsid w:val="755C6A28"/>
    <w:rsid w:val="75621536"/>
    <w:rsid w:val="75BF3154"/>
    <w:rsid w:val="764A07CF"/>
    <w:rsid w:val="764F6B3D"/>
    <w:rsid w:val="76832BE1"/>
    <w:rsid w:val="76CD2B7B"/>
    <w:rsid w:val="76D80645"/>
    <w:rsid w:val="76E03371"/>
    <w:rsid w:val="7727026C"/>
    <w:rsid w:val="772C17D9"/>
    <w:rsid w:val="77AE26B3"/>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6C5BA7"/>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9"/>
    <w:semiHidden/>
    <w:qFormat/>
    <w:uiPriority w:val="99"/>
    <w:rPr>
      <w:sz w:val="18"/>
      <w:szCs w:val="18"/>
    </w:rPr>
  </w:style>
  <w:style w:type="character" w:customStyle="1" w:styleId="29">
    <w:name w:val="页脚 Char"/>
    <w:basedOn w:val="25"/>
    <w:link w:val="18"/>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17998</Words>
  <Characters>19362</Characters>
  <Lines>300</Lines>
  <Paragraphs>84</Paragraphs>
  <TotalTime>145</TotalTime>
  <ScaleCrop>false</ScaleCrop>
  <LinksUpToDate>false</LinksUpToDate>
  <CharactersWithSpaces>21438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2022-09-15T04:01:00Z</cp:lastPrinted>
  <dcterms:modified xsi:type="dcterms:W3CDTF">2022-09-16T06:25:42Z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D6BF514D81274EDF9C89DE028A27F584</vt:lpwstr>
  </property>
</Properties>
</file>