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广州市净水有限公司大坦沙分公司干化车间通风除臭改造检验监测服务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hint="eastAsia" w:ascii="仿宋_GB2312" w:eastAsia="仿宋_GB2312"/>
          <w:color w:val="auto"/>
          <w:sz w:val="32"/>
          <w:szCs w:val="32"/>
          <w:highlight w:val="none"/>
          <w:lang w:eastAsia="zh-CN"/>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fmt="decimal" w:start="0"/>
          <w:cols w:space="425" w:num="1"/>
          <w:docGrid w:type="lines" w:linePitch="312" w:charSpace="0"/>
        </w:sectPr>
      </w:pPr>
    </w:p>
    <w:p>
      <w:pPr>
        <w:pStyle w:val="2"/>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7801"/>
      <w:bookmarkStart w:id="5" w:name="_Toc7519"/>
      <w:bookmarkStart w:id="6" w:name="_Toc19609"/>
      <w:bookmarkStart w:id="7" w:name="_Toc11322"/>
      <w:bookmarkStart w:id="8" w:name="_Toc4275"/>
      <w:bookmarkStart w:id="9" w:name="_Toc31938"/>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hAnsi="仿宋_GB2312" w:eastAsia="仿宋_GB2312" w:cs="仿宋_GB2312"/>
          <w:color w:val="auto"/>
          <w:sz w:val="28"/>
          <w:szCs w:val="28"/>
          <w:highlight w:val="none"/>
          <w:u w:val="single"/>
          <w:lang w:val="en-US" w:eastAsia="zh-CN"/>
        </w:rPr>
        <w:t>大坦沙分公司干化车间通风除臭改造检验监测服务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广州市净水有限公司大坦沙分公司干化车间通风除臭改造检验监测服务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XJ-20220916-2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lang w:val="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bookmarkStart w:id="139" w:name="_GoBack"/>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81270</w:t>
      </w:r>
      <w:bookmarkEnd w:id="139"/>
      <w:r>
        <w:rPr>
          <w:rFonts w:hint="eastAsia" w:ascii="仿宋_GB2312" w:eastAsia="仿宋_GB2312"/>
          <w:color w:val="auto"/>
          <w:sz w:val="28"/>
          <w:szCs w:val="28"/>
          <w:highlight w:val="none"/>
          <w:lang w:val="zh-CN"/>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numPr>
          <w:ilvl w:val="0"/>
          <w:numId w:val="2"/>
        </w:numPr>
        <w:spacing w:line="360" w:lineRule="auto"/>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eastAsia="仿宋_GB2312" w:cs="Times New Roman"/>
          <w:color w:val="auto"/>
          <w:sz w:val="28"/>
          <w:szCs w:val="28"/>
          <w:highlight w:val="none"/>
          <w:u w:val="single"/>
          <w:lang w:val="en-US" w:eastAsia="zh-CN"/>
        </w:rPr>
        <w:t>对</w:t>
      </w:r>
      <w:r>
        <w:rPr>
          <w:rFonts w:hint="eastAsia" w:ascii="仿宋_GB2312" w:hAnsi="仿宋_GB2312" w:eastAsia="仿宋_GB2312" w:cs="仿宋_GB2312"/>
          <w:color w:val="auto"/>
          <w:sz w:val="28"/>
          <w:szCs w:val="28"/>
          <w:highlight w:val="none"/>
          <w:u w:val="single"/>
          <w:lang w:val="en-US" w:eastAsia="zh-CN"/>
        </w:rPr>
        <w:t>大坦沙干化车间通风除臭改造项目（穗净水合【2021】1932号）施工完成后，改造的效果进行检验检测，并出具检测报告。检测项目包括改造区域内的粉尘、臭气、有毒有害气体、噪音、废水及其他污染物等。（具体内容见后）。</w:t>
      </w:r>
    </w:p>
    <w:p>
      <w:pPr>
        <w:numPr>
          <w:ilvl w:val="0"/>
          <w:numId w:val="2"/>
        </w:numPr>
        <w:spacing w:line="360" w:lineRule="auto"/>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全程现场参与大坦沙干化车间通风除臭改造的验收工作，并签署相关验收文件并明确验收结论。</w:t>
      </w:r>
    </w:p>
    <w:p>
      <w:pPr>
        <w:numPr>
          <w:ilvl w:val="0"/>
          <w:numId w:val="2"/>
        </w:numPr>
        <w:spacing w:line="360" w:lineRule="auto"/>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如存在检测检验项目不合格，需施工单位整改后重新对不合格项进行复检.</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10个日历日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业主通知检测后5个日历日完成检测，检测完成后5个日历日提交检测报告</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广州市净水有限公司大坦沙分公司                                 </w:t>
      </w:r>
      <w:r>
        <w:rPr>
          <w:rFonts w:hint="eastAsia" w:ascii="仿宋_GB2312" w:eastAsia="仿宋_GB2312"/>
          <w:color w:val="auto"/>
          <w:sz w:val="28"/>
          <w:szCs w:val="28"/>
          <w:highlight w:val="none"/>
          <w:u w:val="single"/>
        </w:rPr>
        <w:t xml:space="preserve">        </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lang w:val="en-US" w:eastAsia="zh-CN"/>
        </w:rPr>
        <w:t>具有 CMA（中国检测机构和实验室强制认证）的检测资质，所认证的检测能力必须包括本次检测所列检测清单的主要项目。（主要项目包括：噪声、氨气、硫化氢、臭气浓度、甲硫醇、甲烷等）</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注：提供有效期内CMA复印件并标注上述所有检测项目，不标注则视为不响应。</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auto"/>
          <w:kern w:val="0"/>
          <w:sz w:val="28"/>
          <w:szCs w:val="28"/>
          <w:highlight w:val="none"/>
          <w:u w:val="none"/>
        </w:rPr>
        <w:t>201</w:t>
      </w:r>
      <w:r>
        <w:rPr>
          <w:rFonts w:hint="eastAsia" w:ascii="仿宋" w:hAnsi="仿宋" w:eastAsia="仿宋" w:cs="仿宋"/>
          <w:color w:val="auto"/>
          <w:kern w:val="0"/>
          <w:sz w:val="28"/>
          <w:szCs w:val="28"/>
          <w:highlight w:val="none"/>
          <w:u w:val="none"/>
          <w:lang w:val="en-US" w:eastAsia="zh-CN"/>
        </w:rPr>
        <w:t>9</w:t>
      </w:r>
      <w:r>
        <w:rPr>
          <w:rFonts w:hint="eastAsia" w:ascii="仿宋" w:hAnsi="仿宋" w:eastAsia="仿宋" w:cs="仿宋"/>
          <w:color w:val="auto"/>
          <w:kern w:val="0"/>
          <w:sz w:val="28"/>
          <w:szCs w:val="28"/>
          <w:highlight w:val="none"/>
          <w:u w:val="none"/>
        </w:rPr>
        <w:t>年1月1日至今</w:t>
      </w:r>
      <w:r>
        <w:rPr>
          <w:rFonts w:hint="eastAsia" w:ascii="仿宋" w:hAnsi="仿宋" w:eastAsia="仿宋" w:cs="仿宋"/>
          <w:color w:val="auto"/>
          <w:kern w:val="0"/>
          <w:sz w:val="28"/>
          <w:szCs w:val="28"/>
          <w:highlight w:val="none"/>
          <w:u w:val="none"/>
          <w:lang w:eastAsia="zh-CN"/>
        </w:rPr>
        <w:t>，</w:t>
      </w:r>
      <w:r>
        <w:rPr>
          <w:rFonts w:hint="eastAsia" w:ascii="仿宋" w:hAnsi="仿宋" w:eastAsia="仿宋" w:cs="仿宋"/>
          <w:color w:val="auto"/>
          <w:kern w:val="0"/>
          <w:sz w:val="28"/>
          <w:szCs w:val="28"/>
          <w:highlight w:val="none"/>
          <w:u w:val="none"/>
          <w:lang w:val="en-US" w:eastAsia="zh-CN"/>
        </w:rPr>
        <w:t>最少</w:t>
      </w:r>
      <w:r>
        <w:rPr>
          <w:rFonts w:hint="eastAsia" w:ascii="仿宋" w:hAnsi="仿宋" w:eastAsia="仿宋" w:cs="仿宋"/>
          <w:color w:val="auto"/>
          <w:kern w:val="0"/>
          <w:sz w:val="28"/>
          <w:szCs w:val="28"/>
          <w:highlight w:val="none"/>
          <w:u w:val="none"/>
        </w:rPr>
        <w:t>具有</w:t>
      </w:r>
      <w:r>
        <w:rPr>
          <w:rFonts w:hint="eastAsia" w:ascii="仿宋" w:hAnsi="仿宋" w:eastAsia="仿宋" w:cs="仿宋"/>
          <w:color w:val="auto"/>
          <w:kern w:val="0"/>
          <w:sz w:val="28"/>
          <w:szCs w:val="28"/>
          <w:highlight w:val="none"/>
          <w:u w:val="none"/>
          <w:lang w:val="en-US" w:eastAsia="zh-CN"/>
        </w:rPr>
        <w:t>一项类似检验检测</w:t>
      </w:r>
      <w:r>
        <w:rPr>
          <w:rFonts w:hint="eastAsia" w:ascii="仿宋" w:hAnsi="仿宋" w:eastAsia="仿宋" w:cs="仿宋"/>
          <w:color w:val="auto"/>
          <w:kern w:val="0"/>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17</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21</w:t>
      </w:r>
      <w:r>
        <w:rPr>
          <w:rFonts w:hint="eastAsia" w:ascii="仿宋" w:hAnsi="仿宋" w:eastAsia="仿宋" w:cs="仿宋"/>
          <w:color w:val="auto"/>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16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pStyle w:val="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749"/>
      <w:bookmarkStart w:id="15" w:name="_Toc16557"/>
      <w:bookmarkStart w:id="16" w:name="_Toc2331"/>
      <w:bookmarkStart w:id="17" w:name="_Toc7340"/>
      <w:bookmarkStart w:id="18" w:name="_Toc32588"/>
      <w:bookmarkStart w:id="19" w:name="_Toc16705"/>
      <w:bookmarkStart w:id="20" w:name="_Toc9448"/>
      <w:bookmarkStart w:id="21" w:name="_Toc25603"/>
      <w:bookmarkStart w:id="22" w:name="_Toc19295"/>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rFonts w:hint="eastAsia"/>
          <w:color w:val="auto"/>
          <w:highlight w:val="none"/>
        </w:rPr>
      </w:pPr>
      <w:bookmarkStart w:id="24" w:name="_Toc3416"/>
      <w:bookmarkStart w:id="25" w:name="_Toc2339"/>
      <w:r>
        <w:rPr>
          <w:rFonts w:hint="eastAsia"/>
          <w:color w:val="auto"/>
          <w:highlight w:val="none"/>
        </w:rPr>
        <w:t>供应商须知</w:t>
      </w:r>
      <w:bookmarkEnd w:id="24"/>
      <w:bookmarkEnd w:id="25"/>
    </w:p>
    <w:p>
      <w:pPr>
        <w:rPr>
          <w:rFonts w:hint="eastAsia"/>
          <w:color w:val="auto"/>
          <w:highlight w:val="none"/>
        </w:rPr>
      </w:pPr>
    </w:p>
    <w:p>
      <w:pPr>
        <w:pStyle w:val="22"/>
        <w:rPr>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asciiTheme="minorEastAsia" w:hAnsiTheme="minorEastAsia"/>
          <w:b/>
          <w:color w:val="auto"/>
          <w:sz w:val="32"/>
          <w:szCs w:val="32"/>
          <w:highlight w:val="none"/>
        </w:rPr>
      </w:pPr>
    </w:p>
    <w:p>
      <w:pPr>
        <w:pStyle w:val="22"/>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3"/>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2336;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131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20594"/>
      <w:bookmarkStart w:id="36" w:name="_Toc23581"/>
      <w:bookmarkStart w:id="37" w:name="_Toc7437"/>
      <w:bookmarkStart w:id="38" w:name="_Toc10930"/>
      <w:bookmarkStart w:id="39" w:name="_Toc19759"/>
      <w:bookmarkStart w:id="40" w:name="_Toc7118"/>
      <w:bookmarkStart w:id="41" w:name="_Toc14870"/>
      <w:bookmarkStart w:id="42" w:name="_Toc3156"/>
      <w:bookmarkStart w:id="43" w:name="_Toc19050"/>
      <w:bookmarkStart w:id="44" w:name="_Toc4952"/>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4"/>
        <w:rPr>
          <w:color w:val="auto"/>
          <w:highlight w:val="none"/>
        </w:rPr>
      </w:pPr>
      <w:bookmarkStart w:id="45" w:name="_Toc87616378"/>
      <w:bookmarkStart w:id="46" w:name="_Toc29484"/>
      <w:bookmarkStart w:id="47" w:name="_Toc88209941"/>
      <w:bookmarkStart w:id="48" w:name="_Toc30530"/>
      <w:bookmarkStart w:id="49" w:name="_Toc13898"/>
      <w:bookmarkStart w:id="50" w:name="_Toc22212"/>
      <w:bookmarkStart w:id="51" w:name="_Toc29345"/>
      <w:bookmarkStart w:id="52" w:name="_Toc7831"/>
      <w:bookmarkStart w:id="53" w:name="_Toc12177"/>
      <w:bookmarkStart w:id="54" w:name="_Toc6308"/>
      <w:bookmarkStart w:id="55" w:name="_Toc32607"/>
      <w:bookmarkStart w:id="56" w:name="_Toc21840"/>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667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564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0"/>
        <w:rPr>
          <w:rFonts w:ascii="仿宋_GB2312" w:eastAsia="仿宋_GB2312"/>
          <w:color w:val="auto"/>
          <w:sz w:val="28"/>
          <w:szCs w:val="28"/>
          <w:highlight w:val="none"/>
        </w:rPr>
      </w:pPr>
    </w:p>
    <w:p>
      <w:pPr>
        <w:pStyle w:val="30"/>
        <w:rPr>
          <w:rFonts w:ascii="仿宋_GB2312" w:eastAsia="仿宋_GB2312"/>
          <w:color w:val="auto"/>
          <w:sz w:val="28"/>
          <w:szCs w:val="28"/>
          <w:highlight w:val="none"/>
        </w:rPr>
      </w:pPr>
    </w:p>
    <w:p>
      <w:pPr>
        <w:pStyle w:val="30"/>
        <w:rPr>
          <w:rFonts w:ascii="仿宋_GB2312" w:eastAsia="仿宋_GB2312"/>
          <w:color w:val="auto"/>
          <w:sz w:val="28"/>
          <w:szCs w:val="28"/>
          <w:highlight w:val="none"/>
        </w:rPr>
      </w:pPr>
    </w:p>
    <w:p>
      <w:pPr>
        <w:numPr>
          <w:ilvl w:val="0"/>
          <w:numId w:val="5"/>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实施方案</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大坦沙干化车间通风除臭改造项目为2021年立项的技改项目，目前正在按计划进行施工。本项目的主要施工内容有：新增一套除臭装置；改造一套除臭装置；对板框脱水机进行加罩；运泥通道区域进行改造等。为了检测项目是否达到设计方案的效果。需要服务单位全程现场参与大坦沙干化车间通风除臭改造的验收工作；并签署相关验收文件并明确验收结论；按照相应检测规范进行检测并出具符合国家检验检测规定的检测报告、计算净化效率、压力差等指标；绘制包含检测位置的相应检测图纸。</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本项目施工完成后进行检验除臭装置验收标准如下：</w:t>
      </w:r>
    </w:p>
    <w:p>
      <w:pPr>
        <w:pStyle w:val="12"/>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处理规模达到设计要求的前提下，除臭装置应连续、稳定有限运行；</w:t>
      </w:r>
    </w:p>
    <w:p>
      <w:pPr>
        <w:pStyle w:val="12"/>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总净化率</w:t>
      </w:r>
      <w:r>
        <w:rPr>
          <w:rFonts w:hint="default" w:ascii="Arial" w:hAnsi="Arial" w:eastAsia="仿宋_GB2312" w:cs="Arial"/>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val="en-US" w:eastAsia="zh-CN"/>
        </w:rPr>
        <w:t>95%，其中硫化氢</w:t>
      </w:r>
      <w:r>
        <w:rPr>
          <w:rFonts w:hint="eastAsia" w:ascii="仿宋_GB2312" w:hAnsi="仿宋_GB2312" w:eastAsia="仿宋_GB2312" w:cs="仿宋_GB2312"/>
          <w:b/>
          <w:bCs/>
          <w:color w:val="auto"/>
          <w:sz w:val="28"/>
          <w:szCs w:val="28"/>
          <w:highlight w:val="none"/>
          <w:u w:val="none"/>
          <w:lang w:val="en-US" w:eastAsia="zh-CN"/>
        </w:rPr>
        <w:t>&gt;</w:t>
      </w:r>
      <w:r>
        <w:rPr>
          <w:rFonts w:hint="eastAsia" w:ascii="仿宋_GB2312" w:hAnsi="仿宋_GB2312" w:eastAsia="仿宋_GB2312" w:cs="仿宋_GB2312"/>
          <w:color w:val="auto"/>
          <w:sz w:val="28"/>
          <w:szCs w:val="28"/>
          <w:highlight w:val="none"/>
          <w:u w:val="none"/>
          <w:lang w:val="en-US" w:eastAsia="zh-CN"/>
        </w:rPr>
        <w:t>99%,氨净化率</w:t>
      </w:r>
      <w:r>
        <w:rPr>
          <w:rFonts w:hint="eastAsia" w:ascii="仿宋_GB2312" w:hAnsi="仿宋_GB2312" w:eastAsia="仿宋_GB2312" w:cs="仿宋_GB2312"/>
          <w:b/>
          <w:bCs/>
          <w:color w:val="auto"/>
          <w:sz w:val="28"/>
          <w:szCs w:val="28"/>
          <w:highlight w:val="none"/>
          <w:u w:val="none"/>
          <w:lang w:val="en-US" w:eastAsia="zh-CN"/>
        </w:rPr>
        <w:t>&gt;</w:t>
      </w:r>
      <w:r>
        <w:rPr>
          <w:rFonts w:hint="eastAsia" w:ascii="仿宋_GB2312" w:hAnsi="仿宋_GB2312" w:eastAsia="仿宋_GB2312" w:cs="仿宋_GB2312"/>
          <w:color w:val="auto"/>
          <w:sz w:val="28"/>
          <w:szCs w:val="28"/>
          <w:highlight w:val="none"/>
          <w:u w:val="none"/>
          <w:lang w:val="en-US" w:eastAsia="zh-CN"/>
        </w:rPr>
        <w:t>99%，臭气（异味）净化效率</w:t>
      </w:r>
      <w:r>
        <w:rPr>
          <w:rFonts w:hint="eastAsia" w:ascii="仿宋_GB2312" w:hAnsi="仿宋_GB2312" w:eastAsia="仿宋_GB2312" w:cs="仿宋_GB2312"/>
          <w:b/>
          <w:bCs/>
          <w:color w:val="auto"/>
          <w:sz w:val="28"/>
          <w:szCs w:val="28"/>
          <w:highlight w:val="none"/>
          <w:u w:val="none"/>
          <w:lang w:val="en-US" w:eastAsia="zh-CN"/>
        </w:rPr>
        <w:t>&gt;</w:t>
      </w:r>
      <w:r>
        <w:rPr>
          <w:rFonts w:hint="eastAsia" w:ascii="仿宋_GB2312" w:hAnsi="仿宋_GB2312" w:eastAsia="仿宋_GB2312" w:cs="仿宋_GB2312"/>
          <w:color w:val="auto"/>
          <w:sz w:val="28"/>
          <w:szCs w:val="28"/>
          <w:highlight w:val="none"/>
          <w:u w:val="none"/>
          <w:lang w:val="en-US" w:eastAsia="zh-CN"/>
        </w:rPr>
        <w:t>95%.</w:t>
      </w:r>
    </w:p>
    <w:p>
      <w:pPr>
        <w:pStyle w:val="12"/>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生物臭气处理装置的压力总损失</w:t>
      </w:r>
      <w:r>
        <w:rPr>
          <w:rFonts w:hint="eastAsia" w:ascii="仿宋_GB2312" w:hAnsi="仿宋_GB2312" w:eastAsia="仿宋_GB2312" w:cs="仿宋_GB2312"/>
          <w:b/>
          <w:bCs/>
          <w:color w:val="auto"/>
          <w:sz w:val="28"/>
          <w:szCs w:val="28"/>
          <w:highlight w:val="none"/>
          <w:u w:val="none"/>
          <w:lang w:val="en-US" w:eastAsia="zh-CN"/>
        </w:rPr>
        <w:t>&lt;</w:t>
      </w:r>
      <w:r>
        <w:rPr>
          <w:rFonts w:hint="eastAsia" w:ascii="仿宋_GB2312" w:hAnsi="仿宋_GB2312" w:eastAsia="仿宋_GB2312" w:cs="仿宋_GB2312"/>
          <w:b w:val="0"/>
          <w:bCs w:val="0"/>
          <w:color w:val="auto"/>
          <w:sz w:val="28"/>
          <w:szCs w:val="28"/>
          <w:highlight w:val="none"/>
          <w:u w:val="none"/>
          <w:lang w:val="en-US" w:eastAsia="zh-CN"/>
        </w:rPr>
        <w:t>500Pa.</w:t>
      </w:r>
    </w:p>
    <w:p>
      <w:pPr>
        <w:pStyle w:val="12"/>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除臭装置排气筒排放值、工程竣工后厂界各臭气指标均满足《恶臭污染物排放标准》（GB 14554）标准值中的二级标准（新改扩建）要求。除臭装置包含预洗段和生物段，各处理段均设置填料。</w:t>
      </w:r>
    </w:p>
    <w:p>
      <w:pPr>
        <w:pStyle w:val="12"/>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检测内容：需要进行检测的项目包括但不限于：温度、粉尘、氨、三甲胺、硫化氢、甲硫醇、甲硫醚、二甲二硫、二硫化碳、苯乙烯、臭气浓度、甲烷、噪声（昼间、夜间两项）等计13项。风量、压力等计2项。共计15项。</w:t>
      </w:r>
    </w:p>
    <w:p>
      <w:pPr>
        <w:pStyle w:val="12"/>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56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检测点设置：在满足规范要求的前提下，检测内容中的前13项每一个检测内容需要在以下位置设置检测点：负一层泵房区、运泥通道、一层干化车间、板框脱水区、二层脱水车间、三层脱水车间、厂区周界上下风向不少于6点，每一项至少检测12个点。后2项检测位置由业主单位指定，每一项的检测位置至少为6个。其中废气和臭气压力等指标需要做处理前后对比，算出净化效率，得出检测结论。</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035"/>
        <w:gridCol w:w="1119"/>
        <w:gridCol w:w="126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序号</w:t>
            </w:r>
          </w:p>
        </w:tc>
        <w:tc>
          <w:tcPr>
            <w:tcW w:w="4035" w:type="dxa"/>
          </w:tcPr>
          <w:p>
            <w:pPr>
              <w:pStyle w:val="13"/>
              <w:ind w:firstLine="1120" w:firstLineChars="400"/>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内容</w:t>
            </w:r>
          </w:p>
        </w:tc>
        <w:tc>
          <w:tcPr>
            <w:tcW w:w="1119" w:type="dxa"/>
            <w:vAlign w:val="center"/>
          </w:tcPr>
          <w:p>
            <w:pPr>
              <w:pStyle w:val="13"/>
              <w:jc w:val="both"/>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数量</w:t>
            </w:r>
          </w:p>
        </w:tc>
        <w:tc>
          <w:tcPr>
            <w:tcW w:w="1260" w:type="dxa"/>
            <w:vAlign w:val="center"/>
          </w:tcPr>
          <w:p>
            <w:pPr>
              <w:pStyle w:val="13"/>
              <w:jc w:val="both"/>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单价</w:t>
            </w:r>
          </w:p>
        </w:tc>
        <w:tc>
          <w:tcPr>
            <w:tcW w:w="1634" w:type="dxa"/>
            <w:vAlign w:val="center"/>
          </w:tcPr>
          <w:p>
            <w:pPr>
              <w:pStyle w:val="13"/>
              <w:jc w:val="both"/>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单项总价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环境温度检测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粉尘检测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氨浓度检测（进出口）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4</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三甲胺检测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硫化氢检测（进出口）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甲硫醇检测（进出口）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甲硫醚检测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8</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二甲二硫检测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9</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二硫化碳检测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10</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苯乙烯检测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11</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臭气浓度（进出口）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12</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甲烷（进出口）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13</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噪声（昼夜两项）</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14</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压力（进出口）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15</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风量</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16</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检测报告及相应图纸</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 项</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944" w:type="dxa"/>
            <w:gridSpan w:val="5"/>
            <w:vAlign w:val="center"/>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总价：</w:t>
            </w:r>
          </w:p>
          <w:p>
            <w:pPr>
              <w:rPr>
                <w:rFonts w:hint="default"/>
                <w:color w:val="auto"/>
                <w:highlight w:val="none"/>
                <w:lang w:val="en-US" w:eastAsia="zh-CN"/>
              </w:rPr>
            </w:pPr>
          </w:p>
        </w:tc>
      </w:tr>
    </w:tbl>
    <w:p>
      <w:pPr>
        <w:pStyle w:val="13"/>
        <w:rPr>
          <w:rFonts w:hint="default"/>
          <w:color w:val="auto"/>
          <w:highlight w:val="none"/>
          <w:lang w:val="en-US"/>
        </w:rPr>
      </w:pPr>
    </w:p>
    <w:p>
      <w:pPr>
        <w:pStyle w:val="12"/>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val="zh-CN"/>
        </w:rPr>
        <w:t>项目技术要求</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auto"/>
          <w:kern w:val="2"/>
          <w:sz w:val="28"/>
          <w:szCs w:val="28"/>
          <w:highlight w:val="none"/>
          <w:lang w:val="en-US" w:eastAsia="zh-CN"/>
        </w:rPr>
        <w:t>技术标准：</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大坦沙干化车间通风除臭改造项目按照以下标准验收：（摘自施工合同）</w:t>
      </w:r>
    </w:p>
    <w:p>
      <w:pPr>
        <w:pStyle w:val="12"/>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《城镇污水处理厂臭气处理技术规程》CJJT 243</w:t>
      </w:r>
    </w:p>
    <w:p>
      <w:pPr>
        <w:pStyle w:val="12"/>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《通风与空调工程质量验收规范》GB 50243</w:t>
      </w:r>
    </w:p>
    <w:p>
      <w:pPr>
        <w:pStyle w:val="12"/>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《城镇地下污水处理设施通风与臭气处理技术标准》DBJ/T 15-202</w:t>
      </w:r>
    </w:p>
    <w:p>
      <w:pPr>
        <w:pStyle w:val="12"/>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《恶臭污染物排放标准》GB 15445</w:t>
      </w:r>
    </w:p>
    <w:p>
      <w:pPr>
        <w:pStyle w:val="12"/>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工作场所臭气浓度 </w:t>
      </w:r>
      <w:r>
        <w:rPr>
          <w:rFonts w:hint="default" w:ascii="Arial" w:hAnsi="Arial" w:eastAsia="仿宋_GB2312" w:cs="Arial"/>
          <w:color w:val="auto"/>
          <w:sz w:val="28"/>
          <w:szCs w:val="28"/>
          <w:highlight w:val="none"/>
          <w:u w:val="none"/>
          <w:lang w:val="en-US" w:eastAsia="zh-CN"/>
        </w:rPr>
        <w:t>≤</w:t>
      </w:r>
      <w:r>
        <w:rPr>
          <w:rFonts w:hint="eastAsia" w:ascii="Arial" w:hAnsi="Arial" w:eastAsia="仿宋_GB2312" w:cs="Arial"/>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20（无量纲）</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_GB2312" w:hAnsi="仿宋_GB2312" w:eastAsia="仿宋_GB2312" w:cs="仿宋_GB2312"/>
          <w:color w:val="auto"/>
          <w:sz w:val="28"/>
          <w:szCs w:val="28"/>
          <w:highlight w:val="none"/>
          <w:u w:val="none"/>
          <w:lang w:val="en-US" w:eastAsia="zh-CN"/>
        </w:rPr>
        <w:t>本服务项目需要依据国家相应的法律法规以及行业标准及相关规范；以及大坦沙干化车间通风除臭改造项目的设计方案、施工图纸、投标文件、项目合同等相关文件以及净水公司的相关规定。</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p>
    <w:p>
      <w:pPr>
        <w:pStyle w:val="30"/>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30"/>
        <w:rPr>
          <w:rFonts w:hint="eastAsia" w:ascii="仿宋" w:hAnsi="仿宋" w:eastAsia="仿宋" w:cs="仿宋"/>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rFonts w:hint="eastAsia"/>
          <w:color w:val="auto"/>
          <w:highlight w:val="none"/>
        </w:rPr>
      </w:pPr>
      <w:bookmarkStart w:id="61" w:name="_Toc23330"/>
      <w:bookmarkStart w:id="62" w:name="_Toc15570"/>
      <w:bookmarkStart w:id="63" w:name="_Toc1284"/>
      <w:bookmarkStart w:id="64" w:name="_Toc4680"/>
      <w:bookmarkStart w:id="65" w:name="_Toc23353"/>
      <w:bookmarkStart w:id="66" w:name="_Toc18538"/>
      <w:bookmarkStart w:id="67" w:name="_Toc1496"/>
      <w:bookmarkStart w:id="68" w:name="_Toc12135"/>
      <w:bookmarkStart w:id="69" w:name="_Toc537"/>
      <w:bookmarkStart w:id="70" w:name="_Toc29835"/>
      <w:bookmarkStart w:id="71" w:name="_Toc25925"/>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4"/>
        <w:rPr>
          <w:color w:val="auto"/>
          <w:highlight w:val="none"/>
        </w:rPr>
      </w:pPr>
      <w:bookmarkStart w:id="72" w:name="_Toc87616386"/>
      <w:bookmarkStart w:id="73" w:name="_Toc323"/>
      <w:bookmarkStart w:id="74" w:name="_Toc22501"/>
      <w:bookmarkStart w:id="75" w:name="_Toc19088"/>
      <w:bookmarkStart w:id="76" w:name="_Toc12968"/>
      <w:bookmarkStart w:id="77" w:name="_Toc88209949"/>
      <w:bookmarkStart w:id="78" w:name="_Toc22797"/>
      <w:bookmarkStart w:id="79" w:name="_Toc1375"/>
      <w:bookmarkStart w:id="80" w:name="_Toc19686"/>
      <w:bookmarkStart w:id="81" w:name="_Toc13309"/>
      <w:bookmarkStart w:id="82" w:name="_Toc12980"/>
      <w:bookmarkStart w:id="83" w:name="_Toc12721"/>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240" w:lineRule="auto"/>
        <w:jc w:val="left"/>
        <w:rPr>
          <w:color w:val="auto"/>
          <w:highlight w:val="none"/>
        </w:rPr>
      </w:pPr>
      <w:r>
        <w:rPr>
          <w:rFonts w:hint="eastAsia" w:ascii="方正小标宋简体" w:eastAsia="方正小标宋简体"/>
          <w:color w:val="auto"/>
          <w:sz w:val="28"/>
          <w:szCs w:val="28"/>
          <w:highlight w:val="none"/>
        </w:rPr>
        <w:br w:type="page"/>
      </w:r>
    </w:p>
    <w:p>
      <w:pPr>
        <w:pStyle w:val="6"/>
        <w:jc w:val="center"/>
        <w:rPr>
          <w:color w:val="auto"/>
          <w:highlight w:val="none"/>
        </w:rPr>
      </w:pPr>
      <w:r>
        <w:rPr>
          <w:rFonts w:hint="eastAsia"/>
          <w:color w:val="auto"/>
          <w:highlight w:val="none"/>
        </w:rPr>
        <w:t>广州市净水有限公司服务项目合同</w:t>
      </w:r>
    </w:p>
    <w:p>
      <w:pPr>
        <w:spacing w:line="400" w:lineRule="atLeast"/>
        <w:rPr>
          <w:rFonts w:ascii="宋体" w:hAnsi="宋体"/>
          <w:b/>
          <w:color w:val="auto"/>
          <w:sz w:val="30"/>
          <w:szCs w:val="30"/>
          <w:highlight w:val="none"/>
          <w:u w:val="single"/>
        </w:rPr>
      </w:pPr>
      <w:r>
        <w:rPr>
          <w:rFonts w:hint="eastAsia" w:ascii="宋体" w:hAnsi="宋体" w:cs="宋体"/>
          <w:b/>
          <w:color w:val="auto"/>
          <w:sz w:val="30"/>
          <w:szCs w:val="30"/>
          <w:highlight w:val="none"/>
        </w:rPr>
        <w:t>项目名称:</w:t>
      </w:r>
      <w:r>
        <w:rPr>
          <w:rFonts w:hint="eastAsia" w:ascii="宋体" w:hAnsi="宋体" w:cs="宋体" w:eastAsiaTheme="minorEastAsia"/>
          <w:b/>
          <w:color w:val="auto"/>
          <w:sz w:val="30"/>
          <w:szCs w:val="30"/>
          <w:highlight w:val="none"/>
          <w:u w:val="single"/>
        </w:rPr>
        <w:t>广州市净水有限公司</w:t>
      </w:r>
      <w:r>
        <w:rPr>
          <w:rFonts w:hint="eastAsia" w:ascii="宋体" w:hAnsi="宋体" w:cs="宋体" w:eastAsiaTheme="minorEastAsia"/>
          <w:b/>
          <w:color w:val="auto"/>
          <w:sz w:val="30"/>
          <w:szCs w:val="30"/>
          <w:highlight w:val="none"/>
          <w:u w:val="single"/>
          <w:lang w:val="en-US" w:eastAsia="zh-CN"/>
        </w:rPr>
        <w:t>大坦沙分公司干化车间通风除臭改造检验监测服务</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穗净水合[2022]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rPr>
          <w:color w:val="auto"/>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p>
    <w:p>
      <w:pPr>
        <w:spacing w:line="400" w:lineRule="atLeast"/>
        <w:rPr>
          <w:rFonts w:ascii="宋体" w:hAnsi="宋体" w:cs="宋体"/>
          <w:color w:val="auto"/>
          <w:sz w:val="24"/>
          <w:highlight w:val="none"/>
        </w:rPr>
      </w:pPr>
      <w:r>
        <w:rPr>
          <w:rFonts w:hint="eastAsia" w:ascii="宋体" w:hAnsi="宋体" w:cs="宋体"/>
          <w:b/>
          <w:color w:val="auto"/>
          <w:sz w:val="30"/>
          <w:highlight w:val="none"/>
        </w:rPr>
        <w:t>签约地点：广州市</w:t>
      </w:r>
    </w:p>
    <w:p>
      <w:pPr>
        <w:ind w:firstLine="228" w:firstLineChars="95"/>
        <w:rPr>
          <w:rFonts w:ascii="宋体" w:hAnsi="宋体"/>
          <w:color w:val="auto"/>
          <w:sz w:val="24"/>
          <w:highlight w:val="none"/>
        </w:rPr>
      </w:pPr>
    </w:p>
    <w:p>
      <w:pPr>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highlight w:val="none"/>
        </w:rPr>
        <w:t>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（以下简称“甲方”）与（以下简称“乙方”）就</w:t>
      </w:r>
      <w:r>
        <w:rPr>
          <w:rFonts w:hint="eastAsia" w:ascii="宋体" w:hAnsi="宋体" w:cs="宋体" w:eastAsiaTheme="minorEastAsia"/>
          <w:color w:val="auto"/>
          <w:sz w:val="24"/>
          <w:szCs w:val="22"/>
          <w:highlight w:val="none"/>
          <w:u w:val="single"/>
        </w:rPr>
        <w:t>广州市净水有限公司</w:t>
      </w:r>
      <w:r>
        <w:rPr>
          <w:rFonts w:hint="eastAsia" w:ascii="宋体" w:hAnsi="宋体" w:cs="宋体" w:eastAsiaTheme="minorEastAsia"/>
          <w:color w:val="auto"/>
          <w:sz w:val="24"/>
          <w:szCs w:val="22"/>
          <w:highlight w:val="none"/>
          <w:u w:val="single"/>
          <w:lang w:val="en-US" w:eastAsia="zh-CN"/>
        </w:rPr>
        <w:t>大坦沙分公司干化车间通风除臭改造检验监测服务</w:t>
      </w:r>
      <w:r>
        <w:rPr>
          <w:rFonts w:hint="eastAsia" w:ascii="宋体" w:hAnsi="宋体" w:cs="宋体"/>
          <w:color w:val="auto"/>
          <w:sz w:val="24"/>
          <w:highlight w:val="none"/>
        </w:rPr>
        <w:t>承接工作事宜，遵循平等、自愿、公平和诚实信用的原则，双方协商一致，订立本合同。</w:t>
      </w:r>
    </w:p>
    <w:p>
      <w:pPr>
        <w:spacing w:beforeLines="30" w:line="360" w:lineRule="auto"/>
        <w:ind w:firstLine="482" w:firstLineChars="200"/>
        <w:rPr>
          <w:rFonts w:ascii="Times New Roman" w:hAnsi="Times New Roman" w:cs="Times New Roman"/>
          <w:color w:val="auto"/>
          <w:highlight w:val="none"/>
        </w:rPr>
      </w:pPr>
      <w:r>
        <w:rPr>
          <w:rFonts w:ascii="Times New Roman" w:hAnsi="Times New Roman" w:cs="Times New Roman"/>
          <w:b/>
          <w:color w:val="auto"/>
          <w:sz w:val="24"/>
          <w:highlight w:val="none"/>
        </w:rPr>
        <w:t>第一条 组成合同的文件及优先顺序</w:t>
      </w:r>
    </w:p>
    <w:p>
      <w:pPr>
        <w:spacing w:line="360"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⑴ </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⑵ 本合同书；</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⑶ 发包通知书/委托函；</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spacing w:line="360"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7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highlight w:val="none"/>
        </w:rPr>
        <w:t>⑺</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工程量清单/</w:t>
      </w:r>
      <w:r>
        <w:rPr>
          <w:rFonts w:hint="eastAsia" w:ascii="宋体" w:hAnsi="宋体" w:eastAsia="宋体" w:cs="宋体"/>
          <w:color w:val="auto"/>
          <w:sz w:val="24"/>
          <w:highlight w:val="none"/>
        </w:rPr>
        <w:t>工程报价单或预算书；</w:t>
      </w:r>
    </w:p>
    <w:p>
      <w:pPr>
        <w:spacing w:line="360" w:lineRule="auto"/>
        <w:ind w:firstLine="482"/>
        <w:rPr>
          <w:rFonts w:ascii="宋体" w:hAnsi="宋体" w:eastAsia="宋体" w:cs="宋体"/>
          <w:b/>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8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highlight w:val="none"/>
        </w:rPr>
        <w:t>⑻</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本合同其他附件；</w:t>
      </w:r>
    </w:p>
    <w:p>
      <w:pPr>
        <w:spacing w:line="360"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项目概况、项目承包范围及要求</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1.项目名称：</w:t>
      </w:r>
      <w:r>
        <w:rPr>
          <w:rFonts w:hint="eastAsia" w:ascii="宋体" w:hAnsi="宋体" w:cs="宋体" w:eastAsiaTheme="minorEastAsia"/>
          <w:color w:val="auto"/>
          <w:sz w:val="24"/>
          <w:szCs w:val="22"/>
          <w:highlight w:val="none"/>
          <w:u w:val="single"/>
        </w:rPr>
        <w:t>广州市净水有限公司</w:t>
      </w:r>
      <w:r>
        <w:rPr>
          <w:rFonts w:hint="eastAsia" w:ascii="宋体" w:hAnsi="宋体" w:cs="宋体" w:eastAsiaTheme="minorEastAsia"/>
          <w:color w:val="auto"/>
          <w:sz w:val="24"/>
          <w:szCs w:val="22"/>
          <w:highlight w:val="none"/>
          <w:u w:val="single"/>
          <w:lang w:val="en-US" w:eastAsia="zh-CN"/>
        </w:rPr>
        <w:t>大坦沙分公司干化车间通风除臭改造检验监测服务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2.检测内容</w:t>
      </w:r>
    </w:p>
    <w:p>
      <w:pPr>
        <w:pStyle w:val="2"/>
        <w:spacing w:line="360" w:lineRule="auto"/>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2.1检测范围、</w:t>
      </w:r>
      <w:r>
        <w:rPr>
          <w:rFonts w:hint="eastAsia"/>
          <w:color w:val="auto"/>
          <w:sz w:val="24"/>
          <w:szCs w:val="24"/>
          <w:highlight w:val="none"/>
        </w:rPr>
        <w:t>检测指标和检测频率详见附件</w:t>
      </w:r>
      <w:r>
        <w:rPr>
          <w:rFonts w:hint="eastAsia"/>
          <w:color w:val="auto"/>
          <w:sz w:val="24"/>
          <w:szCs w:val="24"/>
          <w:highlight w:val="none"/>
          <w:lang w:val="en-US" w:eastAsia="zh-CN"/>
        </w:rPr>
        <w:t>8</w:t>
      </w:r>
      <w:r>
        <w:rPr>
          <w:rFonts w:hint="eastAsia"/>
          <w:color w:val="auto"/>
          <w:sz w:val="24"/>
          <w:szCs w:val="24"/>
          <w:highlight w:val="none"/>
        </w:rPr>
        <w:t>。</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2.1.1检测依据：国家相应的法律法规以及行业标准及相关规范；大坦沙干化车间通风除臭改造项目的设计方案、施工图纸、投标文件、项目合同等相关文件以及净水公司的相关规定。包括但不限于以下内容：</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大坦沙干化车间通风除臭改造项目按照以下标准验收：（摘自施工合同）</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（1）《城镇污水处理厂臭气处理技术规程》CJJT 243</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（2）《通风与空调工程质量验收规范》GB 50243</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（3）《城镇地下污水处理设施通风与臭气处理技术标准》DBJ/T 15-202</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（4）《恶臭污染物排放标准》GB 15445</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（5） 工作场所臭气浓度 </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 xml:space="preserve"> 20（无量纲）</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除臭装置验收标准如下：</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（1）处理规模达到设计要求的前提下，除臭装置应连续、稳定有限运行；</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（2）总净化率</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95%，其中硫化氢&gt;99%,氨净化率&gt;99%，臭气（异味）净化效率&gt;95%.</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（3）生物臭气处理装置的压力总损失&lt;500Pa.</w:t>
      </w:r>
    </w:p>
    <w:p>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（4）除臭装置排气筒排放值、工程竣工后厂界各臭气指标均满足《恶臭污染物排放标准》（GB 14554）标准值中的二级标准（新改扩建）要求。除臭装置包含预洗段和生物段，各处理段均设置填料。</w:t>
      </w:r>
    </w:p>
    <w:p>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2.1.2检测内容：需要进行检测的项目包括但不限于：温度、粉尘、氨、三甲胺、硫化氢、甲硫醇、甲硫醚、二甲二硫、二硫化碳、苯乙烯、臭气浓度、甲烷、噪声（昼间、夜间两项）等计1</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项。风量、压力等计2项。共计1</w:t>
      </w:r>
      <w:r>
        <w:rPr>
          <w:rFonts w:hint="eastAsia" w:ascii="Times New Roman" w:hAnsi="Times New Roman"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项。</w:t>
      </w:r>
    </w:p>
    <w:p>
      <w:pPr>
        <w:pStyle w:val="12"/>
        <w:numPr>
          <w:ilvl w:val="0"/>
          <w:numId w:val="0"/>
        </w:numPr>
        <w:adjustRightInd w:val="0"/>
        <w:snapToGrid w:val="0"/>
        <w:spacing w:line="360" w:lineRule="auto"/>
        <w:ind w:firstLine="480" w:firstLineChars="200"/>
        <w:rPr>
          <w:color w:val="auto"/>
          <w:highlight w:val="none"/>
        </w:rPr>
      </w:pPr>
      <w:r>
        <w:rPr>
          <w:rFonts w:hint="eastAsia" w:ascii="Times New Roman" w:hAnsi="Times New Roman" w:eastAsia="宋体" w:cs="Times New Roman"/>
          <w:color w:val="auto"/>
          <w:kern w:val="2"/>
          <w:sz w:val="24"/>
          <w:szCs w:val="24"/>
          <w:highlight w:val="none"/>
          <w:lang w:val="en-US" w:eastAsia="zh-CN" w:bidi="ar-SA"/>
        </w:rPr>
        <w:t>2.1.3检测点设置：在满足规范要求的前提下，检测内容中的前1</w:t>
      </w:r>
      <w:r>
        <w:rPr>
          <w:rFonts w:hint="eastAsia" w:ascii="Times New Roman" w:hAnsi="Times New Roman"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项每一个检测内容需要在以下位置设置检测点：负一层泵房区、运泥通道、一层干化车间、板框脱水区、二层脱水车间、三层脱水车间、厂区周界上下风向不少于6点，每一项至少检测12个点。后2项检测位置由业主单位指定，每一项的检测位置至少为6个。其中废气</w:t>
      </w:r>
      <w:r>
        <w:rPr>
          <w:rFonts w:hint="eastAsia" w:ascii="Times New Roman" w:hAnsi="Times New Roman"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臭气</w:t>
      </w:r>
      <w:r>
        <w:rPr>
          <w:rFonts w:hint="eastAsia" w:ascii="Times New Roman" w:hAnsi="Times New Roman" w:cs="Times New Roman"/>
          <w:color w:val="auto"/>
          <w:kern w:val="2"/>
          <w:sz w:val="24"/>
          <w:szCs w:val="24"/>
          <w:highlight w:val="none"/>
          <w:lang w:val="en-US" w:eastAsia="zh-CN" w:bidi="ar-SA"/>
        </w:rPr>
        <w:t>和压力</w:t>
      </w:r>
      <w:r>
        <w:rPr>
          <w:rFonts w:hint="eastAsia" w:ascii="Times New Roman" w:hAnsi="Times New Roman" w:eastAsia="宋体" w:cs="Times New Roman"/>
          <w:color w:val="auto"/>
          <w:kern w:val="2"/>
          <w:sz w:val="24"/>
          <w:szCs w:val="24"/>
          <w:highlight w:val="none"/>
          <w:lang w:val="en-US" w:eastAsia="zh-CN" w:bidi="ar-SA"/>
        </w:rPr>
        <w:t>等指标需要做处理前后（进气和出气）对比，算出净化效率，得出检测结论。</w:t>
      </w:r>
    </w:p>
    <w:p>
      <w:pPr>
        <w:widowControl/>
        <w:spacing w:line="360" w:lineRule="auto"/>
        <w:ind w:firstLine="480" w:firstLineChars="200"/>
        <w:jc w:val="left"/>
        <w:rPr>
          <w:rFonts w:ascii="Times New Roman" w:hAnsi="Times New Roman" w:cs="Times New Roman"/>
          <w:color w:val="auto"/>
          <w:sz w:val="24"/>
          <w:highlight w:val="none"/>
        </w:rPr>
      </w:pPr>
      <w:r>
        <w:rPr>
          <w:rFonts w:hint="eastAsia" w:ascii="宋体" w:hAnsi="宋体" w:eastAsia="宋体" w:cs="宋体"/>
          <w:color w:val="auto"/>
          <w:sz w:val="24"/>
          <w:highlight w:val="none"/>
        </w:rPr>
        <w:t>2.2</w:t>
      </w:r>
      <w:r>
        <w:rPr>
          <w:rFonts w:hint="eastAsia" w:ascii="Times New Roman" w:hAnsi="Times New Roman" w:cs="Times New Roman"/>
          <w:color w:val="auto"/>
          <w:sz w:val="24"/>
          <w:highlight w:val="none"/>
        </w:rPr>
        <w:t>检测报告</w:t>
      </w:r>
      <w:r>
        <w:rPr>
          <w:rFonts w:ascii="Times New Roman" w:hAnsi="Times New Roman" w:cs="Times New Roman"/>
          <w:color w:val="auto"/>
          <w:sz w:val="24"/>
          <w:highlight w:val="none"/>
        </w:rPr>
        <w:t>要求</w:t>
      </w:r>
    </w:p>
    <w:p>
      <w:pPr>
        <w:widowControl/>
        <w:numPr>
          <w:ilvl w:val="0"/>
          <w:numId w:val="8"/>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必须具备中国计量认证(简称CMA)资质。如部分检测项目需委托外单位进行检测的，乙方须事先将分包方的CMA资质及相关采样、检测、分析人员等相关资质证书交甲方进行审查，经甲方同意后，方可进行分包。若发生检测问题和事故，相关责任由乙方承担。</w:t>
      </w:r>
    </w:p>
    <w:p>
      <w:pPr>
        <w:pStyle w:val="2"/>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2.3 服务要求：</w:t>
      </w:r>
    </w:p>
    <w:p>
      <w:pPr>
        <w:pStyle w:val="2"/>
        <w:numPr>
          <w:ilvl w:val="0"/>
          <w:numId w:val="9"/>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双方签订《安全管理协议书》，自觉遵守甲方管理单位安全生产相关的管理制度，承担安全主体责任。</w:t>
      </w:r>
    </w:p>
    <w:p>
      <w:pPr>
        <w:pStyle w:val="2"/>
        <w:numPr>
          <w:ilvl w:val="0"/>
          <w:numId w:val="9"/>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乙方每月将取样检测计划报告甲方，经甲方审核同意后开展服务工作。</w:t>
      </w:r>
    </w:p>
    <w:p>
      <w:pPr>
        <w:pStyle w:val="2"/>
        <w:numPr>
          <w:ilvl w:val="0"/>
          <w:numId w:val="9"/>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乙方取样工作须在甲方陪同下进入所辖各污水处理厂，且严格遵守厂区内各项管理规定。</w:t>
      </w:r>
    </w:p>
    <w:p>
      <w:pPr>
        <w:pStyle w:val="2"/>
        <w:numPr>
          <w:ilvl w:val="0"/>
          <w:numId w:val="9"/>
        </w:numPr>
        <w:spacing w:line="360" w:lineRule="auto"/>
        <w:ind w:firstLine="480" w:firstLineChars="200"/>
        <w:rPr>
          <w:rFonts w:eastAsia="宋体"/>
          <w:color w:val="auto"/>
          <w:sz w:val="24"/>
          <w:szCs w:val="24"/>
          <w:highlight w:val="none"/>
        </w:rPr>
      </w:pPr>
      <w:r>
        <w:rPr>
          <w:rFonts w:hint="eastAsia" w:ascii="宋体" w:hAnsi="宋体" w:eastAsia="宋体" w:cs="Times New Roman"/>
          <w:color w:val="auto"/>
          <w:kern w:val="0"/>
          <w:sz w:val="24"/>
          <w:szCs w:val="24"/>
          <w:highlight w:val="none"/>
        </w:rPr>
        <w:t>本合同工作范围应包括提供所有需要的材料、人力以及其他采样、检测设备，双方完成合同文件里规定的工作和检测服务，并达到预期的目标。</w:t>
      </w:r>
    </w:p>
    <w:p>
      <w:pPr>
        <w:pStyle w:val="2"/>
        <w:numPr>
          <w:ilvl w:val="0"/>
          <w:numId w:val="9"/>
        </w:numPr>
        <w:spacing w:line="360" w:lineRule="auto"/>
        <w:ind w:firstLine="480" w:firstLineChars="200"/>
        <w:rPr>
          <w:rFonts w:eastAsia="宋体"/>
          <w:color w:val="auto"/>
          <w:sz w:val="24"/>
          <w:szCs w:val="24"/>
          <w:highlight w:val="none"/>
        </w:rPr>
      </w:pPr>
      <w:r>
        <w:rPr>
          <w:rFonts w:hint="eastAsia" w:ascii="宋体" w:hAnsi="宋体" w:eastAsia="宋体" w:cs="Times New Roman"/>
          <w:color w:val="auto"/>
          <w:kern w:val="0"/>
          <w:sz w:val="24"/>
          <w:szCs w:val="24"/>
          <w:highlight w:val="none"/>
        </w:rPr>
        <w:t>对于甲方提出的临时调整的检测范围、指标和频率，乙方须积极配合完成。</w:t>
      </w:r>
    </w:p>
    <w:p>
      <w:pPr>
        <w:pStyle w:val="2"/>
        <w:numPr>
          <w:ilvl w:val="0"/>
          <w:numId w:val="9"/>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检测结果必须公平公正，不受外界影响；遵守相关保密条约；检测结果提供符合相关标准的纸质版检测报告和提供纸质版检测报告扫描件。</w:t>
      </w:r>
    </w:p>
    <w:p>
      <w:pPr>
        <w:pStyle w:val="2"/>
        <w:numPr>
          <w:ilvl w:val="0"/>
          <w:numId w:val="9"/>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乙方须对检测数据、甲方（其所属各单位）提供的所有资料以及双方履行本项目所交往的资料负有保密义务。未经甲方（其所属各单位）书面同意，乙方不得将上述资料向第三方转让或复制或另作他用。在乙方服务期间，所有甲方和乙方双方签署确认的文件（包括会议纪要、补充协议、往来信函）即成为本项目的有效组成部分。</w:t>
      </w:r>
    </w:p>
    <w:p>
      <w:pPr>
        <w:pStyle w:val="2"/>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2.4质量保证：</w:t>
      </w:r>
    </w:p>
    <w:p>
      <w:pPr>
        <w:pStyle w:val="2"/>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乙方必须严格按照所采用的标准、规范及本技术协议制定取样和检测计划，并按月度报告甲方（其所属各单位）。取样和检测人员须具有检测/监测相关资格证书，取样检测所需车辆、工具、仪器、物料等符合检测规范要求。</w:t>
      </w:r>
    </w:p>
    <w:p>
      <w:pPr>
        <w:pStyle w:val="2"/>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rPr>
        <w:t>）取样检测服务要求：按照广州市净水有限公司安全生产管理规定施工，签订安全生产管理协议书。取样检测服务期间必须做好防护措施，施工人员需具备相关工作上岗证。</w:t>
      </w:r>
    </w:p>
    <w:p>
      <w:pPr>
        <w:pStyle w:val="2"/>
        <w:numPr>
          <w:ilvl w:val="255"/>
          <w:numId w:val="0"/>
        </w:num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w:t>
      </w:r>
      <w:r>
        <w:rPr>
          <w:rFonts w:ascii="Times New Roman" w:hAnsi="Times New Roman"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rPr>
        <w:t>）乙方须安排具有从事相应专业知识和专业技能的技术人员跟踪负责项目的取样、检测、数据审核、报告出具等流程工作，并与甲方（其所属各单位）做好对接工作。乙方技术人员对取样检测、结果评价过程中出现的问题情况，应及时与甲方（其所属各单位）联系，并就甲方（其所属各单位）反映的取样检测、数据审核、报告出具等环节中问题及时作出回应，及时安排取样复测或给出解决办法。</w:t>
      </w:r>
    </w:p>
    <w:p>
      <w:pPr>
        <w:widowControl/>
        <w:numPr>
          <w:ilvl w:val="255"/>
          <w:numId w:val="0"/>
        </w:numPr>
        <w:spacing w:line="360" w:lineRule="auto"/>
        <w:ind w:firstLine="482"/>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第三条 合同金额</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1.合同暂定含税总价为</w:t>
      </w:r>
      <w:r>
        <w:rPr>
          <w:rFonts w:hint="eastAsia" w:ascii="宋体" w:hAnsi="宋体"/>
          <w:color w:val="auto"/>
          <w:sz w:val="24"/>
          <w:szCs w:val="24"/>
          <w:highlight w:val="none"/>
        </w:rPr>
        <w:t>元</w:t>
      </w:r>
      <w:r>
        <w:rPr>
          <w:rFonts w:hint="eastAsia" w:ascii="宋体" w:hAnsi="宋体" w:eastAsia="宋体" w:cs="Times New Roman"/>
          <w:color w:val="auto"/>
          <w:kern w:val="0"/>
          <w:sz w:val="24"/>
          <w:szCs w:val="24"/>
          <w:highlight w:val="none"/>
        </w:rPr>
        <w:t>（大写：），最终按实际检测工作量结算，具体清单报价详见附件。</w:t>
      </w:r>
    </w:p>
    <w:p>
      <w:pPr>
        <w:widowControl/>
        <w:numPr>
          <w:ilvl w:val="255"/>
          <w:numId w:val="0"/>
        </w:numPr>
        <w:spacing w:line="360" w:lineRule="auto"/>
        <w:ind w:firstLine="480" w:firstLineChars="200"/>
        <w:jc w:val="left"/>
        <w:rPr>
          <w:rFonts w:ascii="宋体" w:hAnsi="宋体" w:eastAsia="宋体" w:cs="Times New Roman"/>
          <w:b/>
          <w:color w:val="auto"/>
          <w:kern w:val="0"/>
          <w:sz w:val="24"/>
          <w:szCs w:val="24"/>
          <w:highlight w:val="none"/>
          <w:u w:val="single"/>
        </w:rPr>
      </w:pPr>
      <w:r>
        <w:rPr>
          <w:rFonts w:hint="eastAsia" w:ascii="宋体" w:hAnsi="宋体" w:eastAsia="宋体" w:cs="Times New Roman"/>
          <w:color w:val="auto"/>
          <w:kern w:val="0"/>
          <w:sz w:val="24"/>
          <w:szCs w:val="24"/>
          <w:highlight w:val="none"/>
        </w:rPr>
        <w:t>本合同约定的价格为含税价（税率</w:t>
      </w:r>
      <w:r>
        <w:rPr>
          <w:rFonts w:hint="eastAsia" w:ascii="宋体" w:hAnsi="宋体" w:cs="Times New Roman"/>
          <w:color w:val="auto"/>
          <w:kern w:val="0"/>
          <w:sz w:val="24"/>
          <w:szCs w:val="24"/>
          <w:highlight w:val="none"/>
        </w:rPr>
        <w:t>6</w:t>
      </w:r>
      <w:r>
        <w:rPr>
          <w:rFonts w:hint="eastAsia" w:ascii="宋体" w:hAnsi="宋体" w:eastAsia="宋体" w:cs="Times New Roman"/>
          <w:color w:val="auto"/>
          <w:kern w:val="0"/>
          <w:sz w:val="24"/>
          <w:szCs w:val="24"/>
          <w:highlight w:val="none"/>
        </w:rPr>
        <w:t>%），合同单价在合同有效期内为不变价，乙方已经充分考虑本合同履行期间的市场风险和国家政</w:t>
      </w:r>
      <w:r>
        <w:rPr>
          <w:rFonts w:hint="eastAsia"/>
          <w:color w:val="auto"/>
          <w:sz w:val="24"/>
          <w:szCs w:val="24"/>
          <w:highlight w:val="none"/>
        </w:rPr>
        <w:t>策性调整风险系数，并已计入报价，因此合同单价今后不因任何因素而作调整。</w:t>
      </w:r>
      <w:r>
        <w:rPr>
          <w:rFonts w:hint="eastAsia" w:ascii="宋体" w:hAnsi="宋体" w:eastAsia="宋体" w:cs="Times New Roman"/>
          <w:color w:val="auto"/>
          <w:kern w:val="0"/>
          <w:sz w:val="24"/>
          <w:szCs w:val="24"/>
          <w:highlight w:val="none"/>
        </w:rPr>
        <w:t>合同履行期间国家税率调整或乙方开票的实际税率与前述税率不一致的，价税合计按实际税率相应调整，以开具发票时间为准。</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2.所有的服务价格包括了取样和检测所需车辆、人员、工具、仪器、物料、运输保存、化验检测和复测、报告出具、税费（含税率6%）等的全部费用。</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3.乙方向甲方开具中华人民共和国增值税专用发票。</w:t>
      </w:r>
    </w:p>
    <w:p>
      <w:pPr>
        <w:widowControl/>
        <w:numPr>
          <w:ilvl w:val="255"/>
          <w:numId w:val="0"/>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4.服务期满后，甲方将根按乙方检测服务工作完成情况（包括但不限于取样检测频率和次数、样品和数据数量、出具报告及时性），审定乙方服务工作量，进行验收和结算审核。</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第四条 合同期限</w:t>
      </w:r>
    </w:p>
    <w:p>
      <w:pPr>
        <w:widowControl/>
        <w:spacing w:line="360" w:lineRule="auto"/>
        <w:ind w:firstLine="480" w:firstLineChars="200"/>
        <w:jc w:val="left"/>
        <w:outlineLvl w:val="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接到大坦沙分公司电话通知后，5个工作日内完成检测全部内容。完成检测后5个工作日出具合格的检测报告。如出现检测不合格项，需要</w:t>
      </w:r>
      <w:r>
        <w:rPr>
          <w:rFonts w:hint="eastAsia" w:ascii="Times New Roman" w:hAnsi="Times New Roman" w:cs="Times New Roman"/>
          <w:color w:val="auto"/>
          <w:kern w:val="2"/>
          <w:sz w:val="24"/>
          <w:szCs w:val="24"/>
          <w:highlight w:val="none"/>
          <w:lang w:val="en-US" w:eastAsia="zh-CN" w:bidi="ar-SA"/>
        </w:rPr>
        <w:t>检测单位</w:t>
      </w:r>
      <w:r>
        <w:rPr>
          <w:rFonts w:hint="eastAsia" w:ascii="Times New Roman" w:hAnsi="Times New Roman" w:eastAsia="宋体" w:cs="Times New Roman"/>
          <w:color w:val="auto"/>
          <w:kern w:val="2"/>
          <w:sz w:val="24"/>
          <w:szCs w:val="24"/>
          <w:highlight w:val="none"/>
          <w:lang w:val="en-US" w:eastAsia="zh-CN" w:bidi="ar-SA"/>
        </w:rPr>
        <w:t>提出整改意见与整改方案</w:t>
      </w:r>
      <w:r>
        <w:rPr>
          <w:rFonts w:hint="eastAsia" w:ascii="Times New Roman" w:hAnsi="Times New Roman"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施工单位整改后进行复检，参与复检次数不多于</w:t>
      </w:r>
      <w:r>
        <w:rPr>
          <w:rFonts w:hint="eastAsia" w:cs="Times New Roman"/>
          <w:color w:val="auto"/>
          <w:kern w:val="2"/>
          <w:sz w:val="24"/>
          <w:szCs w:val="24"/>
          <w:highlight w:val="none"/>
          <w:lang w:val="en-US" w:eastAsia="zh-CN" w:bidi="ar-SA"/>
        </w:rPr>
        <w:t>3</w:t>
      </w:r>
      <w:r>
        <w:rPr>
          <w:rFonts w:hint="eastAsia" w:ascii="Times New Roman" w:hAnsi="Times New Roman" w:eastAsia="宋体" w:cs="Times New Roman"/>
          <w:color w:val="auto"/>
          <w:kern w:val="2"/>
          <w:sz w:val="24"/>
          <w:szCs w:val="24"/>
          <w:highlight w:val="none"/>
          <w:lang w:val="en-US" w:eastAsia="zh-CN" w:bidi="ar-SA"/>
        </w:rPr>
        <w:t>次。大坦沙干化车间通风除臭改造项目</w:t>
      </w:r>
      <w:r>
        <w:rPr>
          <w:rFonts w:hint="eastAsia" w:ascii="Times New Roman" w:hAnsi="Times New Roman" w:cs="Times New Roman"/>
          <w:color w:val="auto"/>
          <w:kern w:val="2"/>
          <w:sz w:val="24"/>
          <w:szCs w:val="24"/>
          <w:highlight w:val="none"/>
          <w:lang w:val="en-US" w:eastAsia="zh-CN" w:bidi="ar-SA"/>
        </w:rPr>
        <w:t>验收时，检测单位需要</w:t>
      </w:r>
      <w:r>
        <w:rPr>
          <w:rFonts w:hint="eastAsia" w:ascii="Times New Roman" w:hAnsi="Times New Roman" w:eastAsia="宋体" w:cs="Times New Roman"/>
          <w:color w:val="auto"/>
          <w:kern w:val="2"/>
          <w:sz w:val="24"/>
          <w:szCs w:val="24"/>
          <w:highlight w:val="none"/>
          <w:lang w:val="en-US" w:eastAsia="zh-CN" w:bidi="ar-SA"/>
        </w:rPr>
        <w:t>全程现场参与验收工作，签署相关验收文件并明确验收结论.</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第五条 支付方式</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1、技术服务费由甲方分两期支付给乙方，具体支付方式和时间如下：</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第一期：</w:t>
      </w:r>
      <w:r>
        <w:rPr>
          <w:rFonts w:hint="eastAsia" w:ascii="宋体" w:hAnsi="宋体" w:cs="宋体"/>
          <w:color w:val="auto"/>
          <w:sz w:val="24"/>
          <w:szCs w:val="24"/>
          <w:highlight w:val="none"/>
          <w:lang w:val="en-US" w:eastAsia="zh-CN"/>
        </w:rPr>
        <w:t>完成检测并提供检测报告后</w:t>
      </w:r>
      <w:r>
        <w:rPr>
          <w:rFonts w:hint="eastAsia" w:ascii="宋体" w:hAnsi="宋体" w:cs="宋体"/>
          <w:color w:val="auto"/>
          <w:sz w:val="24"/>
          <w:szCs w:val="24"/>
          <w:highlight w:val="none"/>
        </w:rPr>
        <w:t>乙方向甲方提出支付申请，经甲方审核后，甲方支付至已完成检测服务工作费用的80%。即：元整 （￥）。</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第二期：乙方提交支付申请和经甲方验收合格的检测报告后，经甲方结算审核后，按实际检测服务工作量结算，甲方支付至结算审定价的100%。</w:t>
      </w:r>
      <w:r>
        <w:rPr>
          <w:rFonts w:hint="eastAsia" w:ascii="宋体" w:hAnsi="宋体" w:cs="宋体"/>
          <w:color w:val="auto"/>
          <w:sz w:val="24"/>
          <w:highlight w:val="none"/>
        </w:rPr>
        <w:t>若合同结算价超合同暂定总价，双方另行签订补充协议。</w:t>
      </w:r>
    </w:p>
    <w:p>
      <w:pPr>
        <w:pStyle w:val="52"/>
        <w:spacing w:line="360" w:lineRule="auto"/>
        <w:ind w:firstLine="520" w:firstLineChars="200"/>
        <w:rPr>
          <w:color w:val="auto"/>
          <w:szCs w:val="24"/>
          <w:highlight w:val="none"/>
        </w:rPr>
      </w:pPr>
      <w:r>
        <w:rPr>
          <w:rFonts w:ascii="Times New Roman" w:hAnsi="Times New Roman" w:cs="Times New Roman"/>
          <w:color w:val="auto"/>
          <w:szCs w:val="24"/>
          <w:highlight w:val="none"/>
        </w:rPr>
        <w:t>3</w:t>
      </w:r>
      <w:r>
        <w:rPr>
          <w:rFonts w:hint="eastAsia"/>
          <w:color w:val="auto"/>
          <w:szCs w:val="24"/>
          <w:highlight w:val="none"/>
        </w:rPr>
        <w:t>、付款资料：</w:t>
      </w:r>
    </w:p>
    <w:p>
      <w:pPr>
        <w:pStyle w:val="52"/>
        <w:spacing w:line="360" w:lineRule="auto"/>
        <w:ind w:firstLine="520" w:firstLineChars="200"/>
        <w:rPr>
          <w:color w:val="auto"/>
          <w:szCs w:val="24"/>
          <w:highlight w:val="none"/>
        </w:rPr>
      </w:pPr>
      <w:r>
        <w:rPr>
          <w:rFonts w:hint="eastAsia"/>
          <w:color w:val="auto"/>
          <w:szCs w:val="24"/>
          <w:highlight w:val="none"/>
        </w:rPr>
        <w:t>乙方确认每期工作量与结算金额后，向甲方出具请款报告、发票等资料至甲方属下分公司作为付款资料。甲方确认工作量和结算金额无误后，向乙方支付服务费。</w:t>
      </w:r>
    </w:p>
    <w:p>
      <w:pPr>
        <w:pStyle w:val="52"/>
        <w:spacing w:line="360" w:lineRule="auto"/>
        <w:ind w:firstLine="520" w:firstLineChars="200"/>
        <w:rPr>
          <w:color w:val="auto"/>
          <w:szCs w:val="24"/>
          <w:highlight w:val="none"/>
        </w:rPr>
      </w:pPr>
      <w:r>
        <w:rPr>
          <w:rFonts w:hint="eastAsia" w:ascii="Times New Roman" w:hAnsi="Times New Roman" w:cs="Times New Roman"/>
          <w:color w:val="auto"/>
          <w:szCs w:val="24"/>
          <w:highlight w:val="none"/>
        </w:rPr>
        <w:t>4</w:t>
      </w:r>
      <w:r>
        <w:rPr>
          <w:rFonts w:hint="eastAsia"/>
          <w:color w:val="auto"/>
          <w:szCs w:val="24"/>
          <w:highlight w:val="none"/>
        </w:rPr>
        <w:t>、</w:t>
      </w:r>
      <w:r>
        <w:rPr>
          <w:rFonts w:hint="eastAsia" w:ascii="宋体" w:hAnsi="宋体" w:cs="Times New Roman"/>
          <w:color w:val="auto"/>
          <w:szCs w:val="24"/>
          <w:highlight w:val="none"/>
        </w:rPr>
        <w:t>乙方在收款前需</w:t>
      </w:r>
      <w:r>
        <w:rPr>
          <w:rFonts w:ascii="宋体" w:hAnsi="宋体" w:eastAsia="宋体" w:cs="Times New Roman"/>
          <w:color w:val="auto"/>
          <w:szCs w:val="24"/>
          <w:highlight w:val="none"/>
        </w:rPr>
        <w:t>开具</w:t>
      </w:r>
      <w:r>
        <w:rPr>
          <w:rFonts w:hint="eastAsia" w:ascii="宋体" w:hAnsi="宋体" w:cs="Times New Roman"/>
          <w:color w:val="auto"/>
          <w:szCs w:val="24"/>
          <w:highlight w:val="none"/>
        </w:rPr>
        <w:t>等额</w:t>
      </w:r>
      <w:r>
        <w:rPr>
          <w:rFonts w:hint="eastAsia" w:ascii="宋体" w:hAnsi="宋体" w:eastAsia="宋体" w:cs="Times New Roman"/>
          <w:color w:val="auto"/>
          <w:szCs w:val="24"/>
          <w:highlight w:val="none"/>
        </w:rPr>
        <w:t>增值税专用发票</w:t>
      </w:r>
      <w:r>
        <w:rPr>
          <w:rFonts w:ascii="宋体" w:hAnsi="宋体" w:eastAsia="宋体" w:cs="Times New Roman"/>
          <w:color w:val="auto"/>
          <w:szCs w:val="24"/>
          <w:highlight w:val="none"/>
        </w:rPr>
        <w:t>。</w:t>
      </w:r>
    </w:p>
    <w:p>
      <w:pPr>
        <w:spacing w:line="360" w:lineRule="auto"/>
        <w:ind w:firstLine="480" w:firstLineChars="200"/>
        <w:rPr>
          <w:color w:val="auto"/>
          <w:sz w:val="24"/>
          <w:szCs w:val="24"/>
          <w:highlight w:val="none"/>
        </w:rPr>
      </w:pPr>
      <w:r>
        <w:rPr>
          <w:color w:val="auto"/>
          <w:sz w:val="24"/>
          <w:szCs w:val="24"/>
          <w:highlight w:val="none"/>
        </w:rPr>
        <w:t>付款方式：</w:t>
      </w:r>
      <w:r>
        <w:rPr>
          <w:rFonts w:hint="eastAsia"/>
          <w:color w:val="auto"/>
          <w:sz w:val="24"/>
          <w:szCs w:val="24"/>
          <w:highlight w:val="none"/>
        </w:rPr>
        <w:t>网银转账</w:t>
      </w:r>
      <w:r>
        <w:rPr>
          <w:color w:val="auto"/>
          <w:sz w:val="24"/>
          <w:szCs w:val="24"/>
          <w:highlight w:val="none"/>
        </w:rPr>
        <w:t>。</w:t>
      </w:r>
    </w:p>
    <w:p>
      <w:pPr>
        <w:snapToGrid w:val="0"/>
        <w:spacing w:line="360" w:lineRule="auto"/>
        <w:ind w:firstLine="480" w:firstLineChars="200"/>
        <w:rPr>
          <w:color w:val="auto"/>
          <w:sz w:val="24"/>
          <w:szCs w:val="24"/>
          <w:highlight w:val="none"/>
        </w:rPr>
      </w:pPr>
      <w:r>
        <w:rPr>
          <w:rFonts w:hint="eastAsia"/>
          <w:color w:val="auto"/>
          <w:sz w:val="24"/>
          <w:szCs w:val="24"/>
          <w:highlight w:val="none"/>
        </w:rPr>
        <w:t>付款单位：广州市净水有限公司</w:t>
      </w:r>
    </w:p>
    <w:p>
      <w:pPr>
        <w:pStyle w:val="52"/>
        <w:spacing w:line="360" w:lineRule="auto"/>
        <w:ind w:firstLine="520" w:firstLineChars="200"/>
        <w:rPr>
          <w:color w:val="auto"/>
          <w:szCs w:val="24"/>
          <w:highlight w:val="none"/>
        </w:rPr>
      </w:pPr>
      <w:r>
        <w:rPr>
          <w:rFonts w:hint="eastAsia"/>
          <w:color w:val="auto"/>
          <w:szCs w:val="24"/>
          <w:highlight w:val="none"/>
        </w:rPr>
        <w:t>乙方在收款前需提交相应金额的十个分公司的增值税专用发票给甲方。</w:t>
      </w:r>
    </w:p>
    <w:p>
      <w:pPr>
        <w:snapToGrid w:val="0"/>
        <w:spacing w:line="360" w:lineRule="auto"/>
        <w:ind w:firstLine="480" w:firstLineChars="200"/>
        <w:rPr>
          <w:color w:val="auto"/>
          <w:sz w:val="24"/>
          <w:szCs w:val="24"/>
          <w:highlight w:val="none"/>
        </w:rPr>
      </w:pPr>
      <w:r>
        <w:rPr>
          <w:rFonts w:hint="eastAsia"/>
          <w:color w:val="auto"/>
          <w:sz w:val="24"/>
          <w:szCs w:val="24"/>
          <w:highlight w:val="none"/>
        </w:rPr>
        <w:t>甲方开票资料</w:t>
      </w:r>
    </w:p>
    <w:p>
      <w:pPr>
        <w:snapToGrid w:val="0"/>
        <w:spacing w:line="360" w:lineRule="auto"/>
        <w:ind w:firstLine="480" w:firstLineChars="200"/>
        <w:jc w:val="left"/>
        <w:rPr>
          <w:rFonts w:ascii="宋体" w:hAnsi="宋体" w:cs="宋体"/>
          <w:color w:val="auto"/>
          <w:sz w:val="24"/>
          <w:szCs w:val="24"/>
          <w:highlight w:val="none"/>
        </w:rPr>
      </w:pPr>
      <w:r>
        <w:rPr>
          <w:rFonts w:hint="eastAsia"/>
          <w:color w:val="auto"/>
          <w:sz w:val="24"/>
          <w:szCs w:val="24"/>
          <w:highlight w:val="none"/>
        </w:rPr>
        <w:t>单位名称</w:t>
      </w:r>
      <w:r>
        <w:rPr>
          <w:rFonts w:hint="eastAsia" w:ascii="宋体" w:hAnsi="宋体" w:cs="宋体"/>
          <w:color w:val="auto"/>
          <w:sz w:val="24"/>
          <w:szCs w:val="24"/>
          <w:highlight w:val="none"/>
        </w:rPr>
        <w:t>：广州市净水有限公司</w:t>
      </w:r>
    </w:p>
    <w:p>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91440101755584729Q</w:t>
      </w:r>
    </w:p>
    <w:p>
      <w:pPr>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广州市天河区临江大道501号 020-38890283</w:t>
      </w:r>
      <w:r>
        <w:rPr>
          <w:rFonts w:hint="eastAsia" w:ascii="宋体" w:hAnsi="宋体" w:eastAsia="宋体" w:cs="宋体"/>
          <w:color w:val="auto"/>
          <w:sz w:val="24"/>
          <w:szCs w:val="24"/>
          <w:highlight w:val="none"/>
        </w:rPr>
        <w:t>；</w:t>
      </w:r>
    </w:p>
    <w:p>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rPr>
        <w:t>民生银行广州分行0301014140006932</w:t>
      </w:r>
      <w:r>
        <w:rPr>
          <w:rFonts w:hint="eastAsia" w:ascii="宋体" w:hAnsi="宋体" w:eastAsia="宋体" w:cs="宋体"/>
          <w:color w:val="auto"/>
          <w:sz w:val="24"/>
          <w:szCs w:val="24"/>
          <w:highlight w:val="none"/>
        </w:rPr>
        <w:t>。</w:t>
      </w:r>
    </w:p>
    <w:p>
      <w:pPr>
        <w:widowControl/>
        <w:snapToGrid w:val="0"/>
        <w:spacing w:line="360" w:lineRule="auto"/>
        <w:ind w:firstLine="480" w:firstLineChars="200"/>
        <w:jc w:val="left"/>
        <w:rPr>
          <w:rFonts w:ascii="宋体" w:hAnsi="宋体" w:eastAsia="宋体"/>
          <w:color w:val="auto"/>
          <w:kern w:val="0"/>
          <w:sz w:val="24"/>
          <w:szCs w:val="24"/>
          <w:highlight w:val="none"/>
        </w:rPr>
      </w:pPr>
      <w:r>
        <w:rPr>
          <w:rFonts w:hint="eastAsia" w:ascii="宋体" w:hAnsi="宋体"/>
          <w:color w:val="auto"/>
          <w:kern w:val="0"/>
          <w:sz w:val="24"/>
          <w:szCs w:val="24"/>
          <w:highlight w:val="none"/>
        </w:rPr>
        <w:t>乙方开户银行名称和帐号：</w:t>
      </w:r>
    </w:p>
    <w:p>
      <w:pPr>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eastAsia="宋体" w:cs="宋体"/>
          <w:color w:val="auto"/>
          <w:sz w:val="24"/>
          <w:szCs w:val="24"/>
          <w:highlight w:val="none"/>
        </w:rPr>
        <w:t>单位名称：</w:t>
      </w:r>
    </w:p>
    <w:p>
      <w:pPr>
        <w:widowControl/>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单位纳税人识别号：</w:t>
      </w:r>
    </w:p>
    <w:p>
      <w:pPr>
        <w:widowControl/>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单位开户行：</w:t>
      </w:r>
    </w:p>
    <w:p>
      <w:pPr>
        <w:widowControl/>
        <w:snapToGrid w:val="0"/>
        <w:spacing w:line="360" w:lineRule="auto"/>
        <w:ind w:firstLine="480" w:firstLineChars="200"/>
        <w:rPr>
          <w:rFonts w:ascii="宋体" w:hAnsi="宋体" w:eastAsia="宋体" w:cs="Times New Roman"/>
          <w:b/>
          <w:color w:val="auto"/>
          <w:kern w:val="0"/>
          <w:sz w:val="24"/>
          <w:szCs w:val="24"/>
          <w:highlight w:val="none"/>
        </w:rPr>
      </w:pPr>
      <w:r>
        <w:rPr>
          <w:rFonts w:hint="eastAsia" w:ascii="宋体" w:hAnsi="宋体"/>
          <w:color w:val="auto"/>
          <w:kern w:val="0"/>
          <w:sz w:val="24"/>
          <w:szCs w:val="24"/>
          <w:highlight w:val="none"/>
        </w:rPr>
        <w:t>单位帐号：</w:t>
      </w:r>
      <w:bookmarkStart w:id="85" w:name="_Toc474245229"/>
      <w:bookmarkStart w:id="86" w:name="_Toc518993003"/>
      <w:bookmarkStart w:id="87" w:name="_Toc520190043"/>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第六条 保密条款</w:t>
      </w:r>
    </w:p>
    <w:p>
      <w:pPr>
        <w:widowControl/>
        <w:spacing w:line="360" w:lineRule="auto"/>
        <w:ind w:firstLine="480" w:firstLineChars="200"/>
        <w:jc w:val="left"/>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1.保密内容:乙方未经甲方同意不得将甲方提供的资料以及向甲方提供的其他资料向任何第三方提供、不得用于乙方本单位盈利性开发利用。</w:t>
      </w:r>
    </w:p>
    <w:p>
      <w:pPr>
        <w:widowControl/>
        <w:spacing w:line="360" w:lineRule="auto"/>
        <w:ind w:firstLine="480" w:firstLineChars="200"/>
        <w:jc w:val="left"/>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2.涉密人员范围:乙方能接触到资料的所有人员。</w:t>
      </w:r>
    </w:p>
    <w:p>
      <w:pPr>
        <w:widowControl/>
        <w:spacing w:line="360" w:lineRule="auto"/>
        <w:ind w:firstLine="480"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Cs/>
          <w:color w:val="auto"/>
          <w:kern w:val="0"/>
          <w:sz w:val="24"/>
          <w:szCs w:val="24"/>
          <w:highlight w:val="none"/>
        </w:rPr>
        <w:t>3.泄密责任:因乙方原因给甲方、第三方造成损失的，其各项行政责任、法律责任及经济损失，或导致任何第三方对甲方提出索赔和追责，其法律和行政责任、经济损失和费用均由乙方承担。</w:t>
      </w:r>
    </w:p>
    <w:p>
      <w:pPr>
        <w:widowControl/>
        <w:spacing w:line="360" w:lineRule="auto"/>
        <w:ind w:firstLine="482" w:firstLineChars="200"/>
        <w:jc w:val="left"/>
        <w:outlineLvl w:val="0"/>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第七条 违约责任</w:t>
      </w:r>
    </w:p>
    <w:p>
      <w:pPr>
        <w:widowControl/>
        <w:spacing w:line="360" w:lineRule="auto"/>
        <w:ind w:firstLine="480" w:firstLineChars="200"/>
        <w:jc w:val="left"/>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1.因人力不可抗拒因素(如战争、台风、洪水或双方同意的其它情况)引起检测进度延误，在此情况下，检测进度应相应顺延，如延期超过30天，任何一方有权终止合同，但双方继续履行在合同终止生效日期之前的责任和义务。</w:t>
      </w:r>
    </w:p>
    <w:p>
      <w:pPr>
        <w:widowControl/>
        <w:numPr>
          <w:ilvl w:val="255"/>
          <w:numId w:val="0"/>
        </w:numPr>
        <w:spacing w:line="360" w:lineRule="auto"/>
        <w:ind w:firstLine="480" w:firstLineChars="200"/>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2.若违反本合同的约定，违约方应当按照当时生效的《中华人民共和国民法典》及相关法律法规，承担违约责任。</w:t>
      </w:r>
    </w:p>
    <w:p>
      <w:pPr>
        <w:widowControl/>
        <w:spacing w:line="360" w:lineRule="auto"/>
        <w:ind w:firstLine="480" w:firstLineChars="200"/>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3.在合同有效期内，若乙方发生不诚信行为情形的，乙方自愿接受甲方按《广州市净水有限公司经营建设项目参建企业不诚信行为管理办法》处理。具体处理标准详见附件4。</w:t>
      </w:r>
    </w:p>
    <w:p>
      <w:pPr>
        <w:widowControl/>
        <w:spacing w:line="360" w:lineRule="auto"/>
        <w:ind w:firstLine="480" w:firstLineChars="200"/>
        <w:outlineLvl w:val="0"/>
        <w:rPr>
          <w:color w:val="auto"/>
          <w:highlight w:val="none"/>
        </w:rPr>
      </w:pPr>
      <w:r>
        <w:rPr>
          <w:rFonts w:hint="eastAsia" w:ascii="宋体" w:hAnsi="宋体" w:eastAsia="宋体" w:cs="Times New Roman"/>
          <w:bCs/>
          <w:color w:val="auto"/>
          <w:kern w:val="0"/>
          <w:sz w:val="24"/>
          <w:szCs w:val="24"/>
          <w:highlight w:val="none"/>
        </w:rPr>
        <w:t>4.若乙方未按合同要求进行检测且没有事先与甲方沟通，造成甲方损失的，应由乙方赔偿甲方损失。如果原样品在有效期内且甲方明确要求重检，乙方免费安排重新检测。</w:t>
      </w:r>
    </w:p>
    <w:p>
      <w:pPr>
        <w:pStyle w:val="2"/>
        <w:numPr>
          <w:ilvl w:val="255"/>
          <w:numId w:val="0"/>
        </w:numPr>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5.乙方应自觉维护甲方利益，对本项目咨询内容及所检测数据信息严格保密，未经甲方同意不得向任何单位或个人泄露。如因乙方泄密造成甲方损失，由乙方承担赔偿责任。</w:t>
      </w:r>
    </w:p>
    <w:p>
      <w:pPr>
        <w:pStyle w:val="2"/>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6.非乙方原因造成违反合同条款或不能按时向甲方提交服务材料的，乙方需提前以信息或书面形式告知甲方项目联系人，甲方核实情况后可免除扣罚。</w:t>
      </w:r>
    </w:p>
    <w:p>
      <w:pPr>
        <w:pStyle w:val="2"/>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7.除本合同约定的违约责任外，因乙方原因给甲方、第三方造成损失的，其各项行政责任、法律责任及经济损失，或导致任何第三方对甲方提出索赔和追责，其法律和行政责任、经济损失和费用均由乙方承担。</w:t>
      </w:r>
    </w:p>
    <w:p>
      <w:pPr>
        <w:pStyle w:val="2"/>
        <w:spacing w:line="360" w:lineRule="auto"/>
        <w:ind w:firstLine="480" w:firstLineChars="20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8.甲方有权从当期支付乙方的服务费用中优先扣除本合同所涉及的乙方应支付的违约金和赔偿金。</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第八条</w:t>
      </w:r>
      <w:r>
        <w:rPr>
          <w:rFonts w:ascii="宋体" w:hAnsi="宋体"/>
          <w:b/>
          <w:color w:val="auto"/>
          <w:sz w:val="24"/>
          <w:highlight w:val="none"/>
        </w:rPr>
        <w:t xml:space="preserve"> 合同</w:t>
      </w:r>
      <w:r>
        <w:rPr>
          <w:rFonts w:hint="eastAsia" w:ascii="宋体" w:hAnsi="宋体"/>
          <w:b/>
          <w:color w:val="auto"/>
          <w:sz w:val="24"/>
          <w:highlight w:val="none"/>
        </w:rPr>
        <w:t>的解除</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甲方解除合同</w:t>
      </w:r>
    </w:p>
    <w:p>
      <w:pPr>
        <w:spacing w:line="360" w:lineRule="auto"/>
        <w:ind w:firstLine="482"/>
        <w:rPr>
          <w:rFonts w:ascii="宋体" w:hAnsi="宋体"/>
          <w:bCs/>
          <w:color w:val="auto"/>
          <w:sz w:val="24"/>
          <w:highlight w:val="none"/>
        </w:rPr>
      </w:pPr>
      <w:r>
        <w:rPr>
          <w:rFonts w:ascii="宋体" w:hAnsi="宋体"/>
          <w:bCs/>
          <w:color w:val="auto"/>
          <w:sz w:val="24"/>
          <w:highlight w:val="none"/>
        </w:rPr>
        <w:t>如乙方存在下述情况</w:t>
      </w:r>
      <w:r>
        <w:rPr>
          <w:rFonts w:hint="eastAsia" w:ascii="宋体" w:hAnsi="宋体"/>
          <w:bCs/>
          <w:color w:val="auto"/>
          <w:sz w:val="24"/>
          <w:highlight w:val="none"/>
        </w:rPr>
        <w:t>之一</w:t>
      </w:r>
      <w:r>
        <w:rPr>
          <w:rFonts w:ascii="宋体" w:hAnsi="宋体"/>
          <w:bCs/>
          <w:color w:val="auto"/>
          <w:sz w:val="24"/>
          <w:highlight w:val="none"/>
        </w:rPr>
        <w:t>，甲方有权向乙方发出书面通知，全部或部分解除本合同：</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1.1</w:t>
      </w:r>
      <w:r>
        <w:rPr>
          <w:rFonts w:ascii="宋体" w:hAnsi="宋体"/>
          <w:bCs/>
          <w:color w:val="auto"/>
          <w:sz w:val="24"/>
          <w:highlight w:val="none"/>
        </w:rPr>
        <w:t>乙方未能在本合同约定或甲方另行指定的期限内提供部分或全部</w:t>
      </w:r>
      <w:r>
        <w:rPr>
          <w:rFonts w:hint="eastAsia" w:ascii="宋体" w:hAnsi="宋体"/>
          <w:bCs/>
          <w:color w:val="auto"/>
          <w:sz w:val="24"/>
          <w:highlight w:val="none"/>
        </w:rPr>
        <w:t>服务，</w:t>
      </w:r>
      <w:r>
        <w:rPr>
          <w:rFonts w:ascii="宋体" w:hAnsi="宋体"/>
          <w:bCs/>
          <w:color w:val="auto"/>
          <w:sz w:val="24"/>
          <w:highlight w:val="none"/>
        </w:rPr>
        <w:t>并经甲方催告后在合理期限内仍未</w:t>
      </w:r>
      <w:r>
        <w:rPr>
          <w:rFonts w:hint="eastAsia" w:ascii="宋体" w:hAnsi="宋体"/>
          <w:bCs/>
          <w:color w:val="auto"/>
          <w:sz w:val="24"/>
          <w:highlight w:val="none"/>
        </w:rPr>
        <w:t>提供</w:t>
      </w:r>
      <w:r>
        <w:rPr>
          <w:rFonts w:ascii="宋体" w:hAnsi="宋体"/>
          <w:bCs/>
          <w:color w:val="auto"/>
          <w:sz w:val="24"/>
          <w:highlight w:val="none"/>
        </w:rPr>
        <w:t>；</w:t>
      </w:r>
    </w:p>
    <w:p>
      <w:pPr>
        <w:spacing w:line="360" w:lineRule="auto"/>
        <w:ind w:firstLine="482"/>
        <w:rPr>
          <w:rFonts w:ascii="宋体" w:hAnsi="宋体"/>
          <w:bCs/>
          <w:color w:val="auto"/>
          <w:sz w:val="24"/>
          <w:highlight w:val="none"/>
        </w:rPr>
      </w:pPr>
      <w:r>
        <w:rPr>
          <w:rFonts w:ascii="宋体" w:hAnsi="宋体"/>
          <w:bCs/>
          <w:color w:val="auto"/>
          <w:sz w:val="24"/>
          <w:highlight w:val="none"/>
        </w:rPr>
        <w:t>1.2 乙方</w:t>
      </w:r>
      <w:r>
        <w:rPr>
          <w:rFonts w:hint="eastAsia" w:ascii="宋体" w:hAnsi="宋体"/>
          <w:bCs/>
          <w:color w:val="auto"/>
          <w:sz w:val="24"/>
          <w:highlight w:val="none"/>
        </w:rPr>
        <w:t>提供服务</w:t>
      </w:r>
      <w:r>
        <w:rPr>
          <w:rFonts w:ascii="宋体" w:hAnsi="宋体"/>
          <w:bCs/>
          <w:color w:val="auto"/>
          <w:sz w:val="24"/>
          <w:highlight w:val="none"/>
        </w:rPr>
        <w:t>存在严重的质量问题，导致本合同目的不能实现；</w:t>
      </w:r>
    </w:p>
    <w:p>
      <w:pPr>
        <w:spacing w:line="360" w:lineRule="auto"/>
        <w:ind w:firstLine="482"/>
        <w:rPr>
          <w:rFonts w:ascii="宋体" w:hAnsi="宋体"/>
          <w:bCs/>
          <w:color w:val="auto"/>
          <w:sz w:val="24"/>
          <w:highlight w:val="none"/>
        </w:rPr>
      </w:pPr>
      <w:r>
        <w:rPr>
          <w:rFonts w:ascii="宋体" w:hAnsi="宋体"/>
          <w:bCs/>
          <w:color w:val="auto"/>
          <w:sz w:val="24"/>
          <w:highlight w:val="none"/>
        </w:rPr>
        <w:t>1.3 乙方存在违反合同义务的其他情形；</w:t>
      </w:r>
    </w:p>
    <w:p>
      <w:pPr>
        <w:spacing w:line="360" w:lineRule="auto"/>
        <w:ind w:firstLine="482"/>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w:t>
      </w:r>
      <w:r>
        <w:rPr>
          <w:rFonts w:ascii="宋体" w:hAnsi="宋体"/>
          <w:bCs/>
          <w:color w:val="auto"/>
          <w:sz w:val="24"/>
          <w:highlight w:val="none"/>
        </w:rPr>
        <w:t>乙方解除合同</w:t>
      </w:r>
    </w:p>
    <w:p>
      <w:pPr>
        <w:spacing w:line="360" w:lineRule="auto"/>
        <w:ind w:firstLine="482"/>
        <w:rPr>
          <w:rFonts w:ascii="宋体" w:hAnsi="宋体"/>
          <w:bCs/>
          <w:color w:val="auto"/>
          <w:sz w:val="24"/>
          <w:highlight w:val="none"/>
        </w:rPr>
      </w:pPr>
      <w:r>
        <w:rPr>
          <w:rFonts w:ascii="宋体" w:hAnsi="宋体"/>
          <w:bCs/>
          <w:color w:val="auto"/>
          <w:sz w:val="24"/>
          <w:highlight w:val="none"/>
        </w:rPr>
        <w:t>如甲方</w:t>
      </w:r>
      <w:r>
        <w:rPr>
          <w:rFonts w:hint="eastAsia" w:ascii="宋体" w:hAnsi="宋体"/>
          <w:bCs/>
          <w:color w:val="auto"/>
          <w:sz w:val="24"/>
          <w:highlight w:val="none"/>
        </w:rPr>
        <w:t>无正当理由</w:t>
      </w:r>
      <w:r>
        <w:rPr>
          <w:rFonts w:ascii="宋体" w:hAnsi="宋体"/>
          <w:bCs/>
          <w:color w:val="auto"/>
          <w:sz w:val="24"/>
          <w:highlight w:val="none"/>
        </w:rPr>
        <w:t>未能按本合同约定期限向乙方支付合同款，并经乙方催告后在合理期限内仍未支付，乙方有权以书面通知解除本合同。</w:t>
      </w:r>
    </w:p>
    <w:p>
      <w:pPr>
        <w:spacing w:line="360" w:lineRule="auto"/>
        <w:ind w:firstLine="482"/>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w:t>
      </w:r>
      <w:r>
        <w:rPr>
          <w:rFonts w:ascii="宋体" w:hAnsi="宋体"/>
          <w:bCs/>
          <w:color w:val="auto"/>
          <w:sz w:val="24"/>
          <w:highlight w:val="none"/>
        </w:rPr>
        <w:t xml:space="preserve">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auto"/>
          <w:sz w:val="24"/>
          <w:highlight w:val="none"/>
        </w:rPr>
        <w:t>支付违约金、</w:t>
      </w:r>
      <w:r>
        <w:rPr>
          <w:rFonts w:ascii="宋体" w:hAnsi="宋体"/>
          <w:bCs/>
          <w:color w:val="auto"/>
          <w:sz w:val="24"/>
          <w:highlight w:val="none"/>
        </w:rPr>
        <w:t>赔偿</w:t>
      </w:r>
      <w:r>
        <w:rPr>
          <w:rFonts w:hint="eastAsia" w:ascii="宋体" w:hAnsi="宋体"/>
          <w:bCs/>
          <w:color w:val="auto"/>
          <w:sz w:val="24"/>
          <w:highlight w:val="none"/>
        </w:rPr>
        <w:t>守约方</w:t>
      </w:r>
      <w:r>
        <w:rPr>
          <w:rFonts w:ascii="宋体" w:hAnsi="宋体"/>
          <w:bCs/>
          <w:color w:val="auto"/>
          <w:sz w:val="24"/>
          <w:highlight w:val="none"/>
        </w:rPr>
        <w:t>因执行本合同而发生的一切支出</w:t>
      </w:r>
      <w:r>
        <w:rPr>
          <w:rFonts w:hint="eastAsia" w:ascii="宋体" w:hAnsi="宋体"/>
          <w:bCs/>
          <w:color w:val="auto"/>
          <w:sz w:val="24"/>
          <w:highlight w:val="none"/>
        </w:rPr>
        <w:t>费用及由此造成的</w:t>
      </w:r>
      <w:r>
        <w:rPr>
          <w:rFonts w:ascii="宋体" w:hAnsi="宋体"/>
          <w:bCs/>
          <w:color w:val="auto"/>
          <w:sz w:val="24"/>
          <w:highlight w:val="none"/>
        </w:rPr>
        <w:t>一切损失。</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第九条</w:t>
      </w:r>
      <w:r>
        <w:rPr>
          <w:rFonts w:ascii="宋体" w:hAnsi="宋体"/>
          <w:b/>
          <w:color w:val="auto"/>
          <w:sz w:val="24"/>
          <w:highlight w:val="none"/>
        </w:rPr>
        <w:t xml:space="preserve"> 不可抗力</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在本合同履行期间，</w:t>
      </w:r>
      <w:r>
        <w:rPr>
          <w:rFonts w:hint="eastAsia" w:ascii="宋体" w:hAnsi="宋体"/>
          <w:bCs/>
          <w:color w:val="auto"/>
          <w:sz w:val="24"/>
          <w:highlight w:val="none"/>
        </w:rPr>
        <w:t>甲乙</w:t>
      </w:r>
      <w:r>
        <w:rPr>
          <w:rFonts w:ascii="宋体" w:hAnsi="宋体"/>
          <w:bCs/>
          <w:color w:val="auto"/>
          <w:sz w:val="24"/>
          <w:highlight w:val="none"/>
        </w:rPr>
        <w:t>任何一方因不可抗力事件，致使该方不能全部或部分履行其合同义务或延迟履行合同义务，免除该方的违约责任。</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受不可抗力事件影响的一方应在</w:t>
      </w:r>
      <w:r>
        <w:rPr>
          <w:rFonts w:hint="eastAsia" w:ascii="宋体" w:hAnsi="宋体"/>
          <w:bCs/>
          <w:color w:val="auto"/>
          <w:sz w:val="24"/>
          <w:highlight w:val="none"/>
        </w:rPr>
        <w:t>其后</w:t>
      </w:r>
      <w:r>
        <w:rPr>
          <w:rFonts w:ascii="宋体" w:hAnsi="宋体"/>
          <w:bCs/>
          <w:color w:val="auto"/>
          <w:sz w:val="24"/>
          <w:highlight w:val="none"/>
        </w:rPr>
        <w:t xml:space="preserve">5日内的时间内用传真或电子邮件通知另一方，说明事件发生的详情和对合同履行的影响程度； </w:t>
      </w:r>
    </w:p>
    <w:p>
      <w:pPr>
        <w:spacing w:line="360" w:lineRule="auto"/>
        <w:ind w:firstLine="482"/>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受不可抗力影响的一方应尽量设法缩小不可抗力事件对合同履行的影响。</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第十条 </w:t>
      </w:r>
      <w:r>
        <w:rPr>
          <w:rFonts w:ascii="宋体" w:hAnsi="宋体"/>
          <w:b/>
          <w:color w:val="auto"/>
          <w:sz w:val="24"/>
          <w:highlight w:val="none"/>
        </w:rPr>
        <w:t>争议解决</w:t>
      </w:r>
    </w:p>
    <w:p>
      <w:pPr>
        <w:pStyle w:val="2"/>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1.甲、乙</w:t>
      </w:r>
      <w:r>
        <w:rPr>
          <w:rFonts w:ascii="宋体" w:hAnsi="宋体"/>
          <w:bCs/>
          <w:color w:val="auto"/>
          <w:sz w:val="24"/>
          <w:highlight w:val="none"/>
        </w:rPr>
        <w:t>双方应通过友好协商，解决在执行本合同所发生的或与本合同有关的一切争议。如协商不能解决争议，任何一方均可</w:t>
      </w:r>
      <w:r>
        <w:rPr>
          <w:rFonts w:hint="eastAsia" w:ascii="宋体" w:hAnsi="宋体"/>
          <w:bCs/>
          <w:color w:val="auto"/>
          <w:sz w:val="24"/>
          <w:highlight w:val="none"/>
        </w:rPr>
        <w:t>甲方所在人民法院起诉。</w:t>
      </w:r>
    </w:p>
    <w:p>
      <w:pPr>
        <w:pStyle w:val="2"/>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2.在进行法院审理期间，除提交法院审理的事项外，合同其他部分仍应继续履行。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第十条 </w:t>
      </w:r>
      <w:r>
        <w:rPr>
          <w:rFonts w:ascii="宋体" w:hAnsi="宋体"/>
          <w:b/>
          <w:color w:val="auto"/>
          <w:sz w:val="24"/>
          <w:highlight w:val="none"/>
        </w:rPr>
        <w:t>合同生效及其他</w:t>
      </w:r>
    </w:p>
    <w:p>
      <w:pPr>
        <w:spacing w:line="360" w:lineRule="auto"/>
        <w:ind w:firstLine="480"/>
        <w:rPr>
          <w:rFonts w:ascii="宋体" w:hAnsi="宋体"/>
          <w:color w:val="auto"/>
          <w:sz w:val="24"/>
          <w:highlight w:val="none"/>
        </w:rPr>
      </w:pPr>
      <w:r>
        <w:rPr>
          <w:rFonts w:hint="eastAsia" w:ascii="宋体" w:hAnsi="宋体"/>
          <w:color w:val="auto"/>
          <w:sz w:val="24"/>
          <w:highlight w:val="none"/>
        </w:rPr>
        <w:t>本合同经甲、乙双方法定代表人或授权代表签字并加盖章后生效。</w:t>
      </w:r>
    </w:p>
    <w:p>
      <w:pPr>
        <w:widowControl/>
        <w:spacing w:line="360" w:lineRule="auto"/>
        <w:ind w:firstLine="480"/>
        <w:jc w:val="left"/>
        <w:rPr>
          <w:rFonts w:ascii="宋体" w:hAnsi="宋体" w:eastAsia="宋体" w:cs="Times New Roman"/>
          <w:b/>
          <w:bCs/>
          <w:color w:val="auto"/>
          <w:kern w:val="0"/>
          <w:sz w:val="24"/>
          <w:szCs w:val="24"/>
          <w:highlight w:val="none"/>
        </w:rPr>
      </w:pPr>
      <w:r>
        <w:rPr>
          <w:rFonts w:hint="eastAsia" w:ascii="宋体" w:hAnsi="宋体"/>
          <w:b/>
          <w:color w:val="auto"/>
          <w:sz w:val="24"/>
          <w:highlight w:val="none"/>
        </w:rPr>
        <w:t>第十条</w:t>
      </w:r>
      <w:r>
        <w:rPr>
          <w:rFonts w:hint="eastAsia" w:ascii="宋体" w:hAnsi="宋体" w:eastAsia="宋体" w:cs="Times New Roman"/>
          <w:b/>
          <w:bCs/>
          <w:color w:val="auto"/>
          <w:kern w:val="0"/>
          <w:sz w:val="24"/>
          <w:szCs w:val="24"/>
          <w:highlight w:val="none"/>
        </w:rPr>
        <w:t>其它</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1.本合同之所有附件均为合同的有效组成部分，与本合同具有同样法律效力。</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2.执行本合同的过程中，所有经甲乙双方签署确认的文件（包括会议纪要、补充协议、往来信函）即成为本合同的有效组成部分。</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3.除甲方事先书面同意外，乙方不得将部分或全部转让其应履行的合同项下的义务。</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4.本合同正本一式  </w:t>
      </w:r>
      <w:r>
        <w:rPr>
          <w:rFonts w:hint="eastAsia" w:ascii="宋体" w:hAnsi="宋体" w:eastAsia="宋体" w:cs="Times New Roman"/>
          <w:color w:val="auto"/>
          <w:kern w:val="0"/>
          <w:sz w:val="24"/>
          <w:szCs w:val="24"/>
          <w:highlight w:val="none"/>
          <w:lang w:val="en-US" w:eastAsia="zh-CN"/>
        </w:rPr>
        <w:t>陆</w:t>
      </w:r>
      <w:r>
        <w:rPr>
          <w:rFonts w:hint="eastAsia" w:ascii="宋体" w:hAnsi="宋体" w:eastAsia="宋体" w:cs="Times New Roman"/>
          <w:color w:val="auto"/>
          <w:kern w:val="0"/>
          <w:sz w:val="24"/>
          <w:szCs w:val="24"/>
          <w:highlight w:val="none"/>
        </w:rPr>
        <w:t xml:space="preserve">  份，甲方执</w:t>
      </w:r>
      <w:r>
        <w:rPr>
          <w:rFonts w:hint="eastAsia" w:ascii="宋体" w:hAnsi="宋体" w:eastAsia="宋体" w:cs="Times New Roman"/>
          <w:color w:val="auto"/>
          <w:kern w:val="0"/>
          <w:sz w:val="24"/>
          <w:szCs w:val="24"/>
          <w:highlight w:val="none"/>
          <w:lang w:val="en-US" w:eastAsia="zh-CN"/>
        </w:rPr>
        <w:t xml:space="preserve"> 肆</w:t>
      </w:r>
      <w:r>
        <w:rPr>
          <w:rFonts w:hint="eastAsia" w:ascii="宋体" w:hAnsi="宋体" w:eastAsia="宋体" w:cs="Times New Roman"/>
          <w:color w:val="auto"/>
          <w:kern w:val="0"/>
          <w:sz w:val="24"/>
          <w:szCs w:val="24"/>
          <w:highlight w:val="none"/>
        </w:rPr>
        <w:t xml:space="preserve">  份，乙方执 </w:t>
      </w:r>
      <w:r>
        <w:rPr>
          <w:rFonts w:hint="eastAsia" w:ascii="宋体" w:hAnsi="宋体" w:eastAsia="宋体" w:cs="Times New Roman"/>
          <w:color w:val="auto"/>
          <w:kern w:val="0"/>
          <w:sz w:val="24"/>
          <w:szCs w:val="24"/>
          <w:highlight w:val="none"/>
          <w:lang w:val="en-US" w:eastAsia="zh-CN"/>
        </w:rPr>
        <w:t>贰</w:t>
      </w:r>
      <w:r>
        <w:rPr>
          <w:rFonts w:hint="eastAsia" w:ascii="宋体" w:hAnsi="宋体" w:eastAsia="宋体" w:cs="Times New Roman"/>
          <w:color w:val="auto"/>
          <w:kern w:val="0"/>
          <w:sz w:val="24"/>
          <w:szCs w:val="24"/>
          <w:highlight w:val="none"/>
        </w:rPr>
        <w:t xml:space="preserve"> 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5</w:t>
      </w:r>
      <w:r>
        <w:rPr>
          <w:rFonts w:hint="eastAsia" w:ascii="宋体" w:hAnsi="宋体" w:eastAsia="宋体" w:cs="Times New Roman"/>
          <w:color w:val="auto"/>
          <w:kern w:val="0"/>
          <w:sz w:val="24"/>
          <w:szCs w:val="24"/>
          <w:highlight w:val="none"/>
        </w:rPr>
        <w:t>.附件：</w:t>
      </w:r>
      <w:bookmarkEnd w:id="85"/>
      <w:bookmarkEnd w:id="86"/>
      <w:bookmarkEnd w:id="87"/>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rPr>
        <w:t>中标通知书/发包通知书/成交通知书/委托函（如有）</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2、廉洁协议</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3、安全协议书</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4、安全生产承诺书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5、投入服务人员架构表</w:t>
      </w:r>
    </w:p>
    <w:p>
      <w:pPr>
        <w:keepNext w:val="0"/>
        <w:keepLines w:val="0"/>
        <w:pageBreakBefore w:val="0"/>
        <w:widowControl/>
        <w:kinsoku/>
        <w:wordWrap/>
        <w:overflowPunct/>
        <w:topLinePunct w:val="0"/>
        <w:autoSpaceDE/>
        <w:autoSpaceDN/>
        <w:bidi w:val="0"/>
        <w:adjustRightInd/>
        <w:snapToGrid/>
        <w:spacing w:line="360" w:lineRule="auto"/>
        <w:ind w:firstLine="480" w:firstLineChars="0"/>
        <w:jc w:val="left"/>
        <w:textAlignment w:val="auto"/>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6、不诚信行为的情形及相应被暂停参与投标活动的处理标准</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7、防疫管理协议书</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8、工程量报价单</w:t>
      </w:r>
    </w:p>
    <w:p>
      <w:pPr>
        <w:pStyle w:val="15"/>
        <w:spacing w:line="360" w:lineRule="auto"/>
        <w:ind w:left="584" w:leftChars="278" w:firstLine="120" w:firstLineChars="50"/>
        <w:rPr>
          <w:rFonts w:ascii="宋体" w:hAnsi="宋体" w:cs="宋体"/>
          <w:sz w:val="24"/>
          <w:szCs w:val="24"/>
          <w:highlight w:val="none"/>
        </w:rPr>
      </w:pPr>
      <w:r>
        <w:rPr>
          <w:rFonts w:hint="eastAsia" w:ascii="宋体" w:hAnsi="宋体" w:cs="宋体"/>
          <w:sz w:val="24"/>
          <w:szCs w:val="24"/>
          <w:highlight w:val="none"/>
        </w:rPr>
        <w:t>（以下无正文）</w:t>
      </w:r>
    </w:p>
    <w:p>
      <w:pPr>
        <w:pStyle w:val="15"/>
        <w:spacing w:line="360" w:lineRule="auto"/>
        <w:ind w:left="0" w:leftChars="0"/>
        <w:rPr>
          <w:rFonts w:ascii="宋体" w:hAnsi="宋体" w:cs="宋体"/>
          <w:sz w:val="24"/>
          <w:szCs w:val="24"/>
          <w:highlight w:val="none"/>
        </w:rPr>
      </w:pPr>
    </w:p>
    <w:p>
      <w:pPr>
        <w:pStyle w:val="15"/>
        <w:spacing w:line="360" w:lineRule="auto"/>
        <w:ind w:left="0" w:leftChars="0"/>
        <w:rPr>
          <w:rFonts w:ascii="宋体" w:hAnsi="宋体" w:cs="宋体"/>
          <w:sz w:val="24"/>
          <w:szCs w:val="24"/>
          <w:highlight w:val="none"/>
        </w:rPr>
      </w:pPr>
    </w:p>
    <w:tbl>
      <w:tblPr>
        <w:tblStyle w:val="23"/>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甲方：广州市净水有限公司</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ind w:right="-19" w:rightChars="-9"/>
              <w:rPr>
                <w:rFonts w:ascii="宋体" w:hAnsi="宋体" w:cs="宋体"/>
                <w:color w:val="auto"/>
                <w:sz w:val="24"/>
                <w:szCs w:val="24"/>
                <w:highlight w:val="none"/>
              </w:rPr>
            </w:pPr>
            <w:r>
              <w:rPr>
                <w:rFonts w:hint="eastAsia" w:ascii="宋体" w:hAnsi="宋体" w:cs="宋体"/>
                <w:color w:val="auto"/>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地址：广州市天河区临江大道501号</w:t>
            </w: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邮政编码：510655</w:t>
            </w:r>
            <w:r>
              <w:rPr>
                <w:rFonts w:hint="eastAsia" w:ascii="宋体" w:hAnsi="宋体" w:cs="宋体"/>
                <w:color w:val="auto"/>
                <w:sz w:val="24"/>
                <w:szCs w:val="24"/>
                <w:highlight w:val="none"/>
              </w:rPr>
              <w:tab/>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 月 日</w:t>
            </w:r>
          </w:p>
        </w:tc>
        <w:tc>
          <w:tcPr>
            <w:tcW w:w="562" w:type="dxa"/>
            <w:vAlign w:val="center"/>
          </w:tcPr>
          <w:p>
            <w:pPr>
              <w:rPr>
                <w:rFonts w:ascii="宋体" w:hAnsi="宋体" w:cs="宋体"/>
                <w:color w:val="auto"/>
                <w:sz w:val="24"/>
                <w:szCs w:val="24"/>
                <w:highlight w:val="none"/>
              </w:rPr>
            </w:pPr>
          </w:p>
        </w:tc>
        <w:tc>
          <w:tcPr>
            <w:tcW w:w="400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tc>
      </w:tr>
    </w:tbl>
    <w:p>
      <w:pPr>
        <w:jc w:val="both"/>
        <w:rPr>
          <w:rFonts w:hint="eastAsia"/>
          <w:b/>
          <w:color w:val="auto"/>
          <w:sz w:val="52"/>
          <w:szCs w:val="84"/>
          <w:highlight w:val="none"/>
          <w:lang w:val="en-US" w:eastAsia="zh-CN"/>
        </w:rPr>
      </w:pPr>
    </w:p>
    <w:p>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中标通知书/</w:t>
      </w:r>
      <w:r>
        <w:rPr>
          <w:rFonts w:hint="eastAsia" w:ascii="宋体" w:hAnsi="宋体" w:cs="宋体"/>
          <w:b/>
          <w:bCs/>
          <w:color w:val="auto"/>
          <w:szCs w:val="21"/>
          <w:highlight w:val="none"/>
        </w:rPr>
        <w:t>发包通知书</w:t>
      </w:r>
      <w:r>
        <w:rPr>
          <w:rFonts w:hint="eastAsia" w:ascii="宋体" w:hAnsi="宋体" w:cs="宋体"/>
          <w:b/>
          <w:bCs/>
          <w:color w:val="auto"/>
          <w:szCs w:val="21"/>
          <w:highlight w:val="none"/>
          <w:lang w:val="en-US" w:eastAsia="zh-CN"/>
        </w:rPr>
        <w:t>/委托函（如有）</w:t>
      </w:r>
    </w:p>
    <w:p>
      <w:pPr>
        <w:rPr>
          <w:rFonts w:hint="eastAsia" w:ascii="宋体" w:hAnsi="宋体"/>
          <w:b/>
          <w:color w:val="auto"/>
          <w:sz w:val="24"/>
          <w:highlight w:val="none"/>
        </w:rPr>
      </w:pPr>
      <w:r>
        <w:rPr>
          <w:rFonts w:hint="eastAsia" w:ascii="宋体" w:hAnsi="宋体"/>
          <w:b/>
          <w:color w:val="auto"/>
          <w:sz w:val="24"/>
          <w:highlight w:val="none"/>
        </w:rPr>
        <w:br w:type="page"/>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 xml:space="preserve">：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88"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6"/>
          <w:rFonts w:hint="eastAsia" w:ascii="宋体" w:hAnsi="宋体" w:eastAsia="宋体" w:cs="宋体"/>
          <w:b w:val="0"/>
          <w:color w:val="auto"/>
          <w:sz w:val="24"/>
          <w:szCs w:val="24"/>
          <w:highlight w:val="none"/>
          <w:u w:val="single"/>
        </w:rPr>
      </w:pPr>
    </w:p>
    <w:bookmarkEnd w:id="88"/>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39"/>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附件5</w:t>
      </w:r>
      <w:r>
        <w:rPr>
          <w:rFonts w:hint="eastAsia" w:ascii="宋体" w:hAnsi="宋体" w:eastAsia="宋体" w:cs="宋体"/>
          <w:b/>
          <w:bCs/>
          <w:color w:val="auto"/>
          <w:sz w:val="24"/>
          <w:szCs w:val="24"/>
          <w:highlight w:val="none"/>
        </w:rPr>
        <w:t>.投入</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人员架构表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检测人员1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auto"/>
          <w:sz w:val="24"/>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b/>
          <w:bCs/>
          <w:color w:val="auto"/>
          <w:szCs w:val="21"/>
          <w:highlight w:val="none"/>
        </w:rPr>
      </w:pPr>
    </w:p>
    <w:p>
      <w:pPr>
        <w:pStyle w:val="30"/>
        <w:rPr>
          <w:rFonts w:hint="eastAsia" w:ascii="宋体" w:hAnsi="宋体" w:cs="宋体"/>
          <w:color w:val="auto"/>
          <w:szCs w:val="21"/>
          <w:highlight w:val="none"/>
        </w:rPr>
      </w:pPr>
      <w:r>
        <w:rPr>
          <w:rFonts w:hint="eastAsia" w:ascii="宋体" w:hAnsi="宋体" w:cs="宋体"/>
          <w:b/>
          <w:bCs/>
          <w:color w:val="auto"/>
          <w:szCs w:val="21"/>
          <w:highlight w:val="none"/>
        </w:rPr>
        <w:t>附件</w:t>
      </w:r>
      <w:r>
        <w:rPr>
          <w:rFonts w:hint="eastAsia" w:hAnsi="宋体" w:cs="宋体"/>
          <w:b/>
          <w:bCs/>
          <w:color w:val="auto"/>
          <w:szCs w:val="21"/>
          <w:highlight w:val="none"/>
          <w:lang w:val="en-US" w:eastAsia="zh-CN"/>
        </w:rPr>
        <w:t>6</w:t>
      </w:r>
      <w:r>
        <w:rPr>
          <w:rFonts w:hint="eastAsia" w:ascii="宋体" w:hAnsi="宋体" w:cs="宋体"/>
          <w:b/>
          <w:bCs/>
          <w:color w:val="auto"/>
          <w:szCs w:val="21"/>
          <w:highlight w:val="none"/>
        </w:rPr>
        <w:t>：</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（一）建设生产现场发生人员</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死亡1～2人的，暂停投标1年至2年（含）。</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eastAsia="zh-CN"/>
              </w:rPr>
              <w:t>重伤或</w:t>
            </w:r>
            <w:r>
              <w:rPr>
                <w:rFonts w:hint="eastAsia" w:ascii="宋体" w:hAnsi="宋体" w:eastAsia="宋体" w:cs="宋体"/>
                <w:color w:val="auto"/>
                <w:sz w:val="21"/>
                <w:szCs w:val="21"/>
                <w:highlight w:val="none"/>
              </w:rPr>
              <w:t>死亡3～9人的，暂停投标2年以上至4年。</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w:t>
            </w:r>
            <w:r>
              <w:rPr>
                <w:rFonts w:hint="eastAsia" w:ascii="宋体" w:hAnsi="宋体" w:eastAsia="宋体" w:cs="宋体"/>
                <w:color w:val="auto"/>
                <w:sz w:val="21"/>
                <w:szCs w:val="21"/>
                <w:highlight w:val="none"/>
                <w:lang w:val="en-US" w:eastAsia="zh-CN"/>
              </w:rPr>
              <w:t>重伤10人以上（含）、或</w:t>
            </w:r>
            <w:r>
              <w:rPr>
                <w:rFonts w:hint="eastAsia" w:ascii="宋体" w:hAnsi="宋体" w:eastAsia="宋体" w:cs="宋体"/>
                <w:color w:val="auto"/>
                <w:sz w:val="21"/>
                <w:szCs w:val="21"/>
                <w:highlight w:val="none"/>
              </w:rPr>
              <w:t>重大及以上事故的，暂停投标4年或以上</w:t>
            </w:r>
            <w:r>
              <w:rPr>
                <w:rFonts w:hint="eastAsia" w:ascii="宋体" w:hAnsi="宋体" w:eastAsia="宋体" w:cs="宋体"/>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 w:val="21"/>
                <w:szCs w:val="21"/>
                <w:highlight w:val="none"/>
                <w:lang w:eastAsia="zh-CN"/>
              </w:rPr>
              <w:t>大面积运营晚点，</w:t>
            </w:r>
            <w:r>
              <w:rPr>
                <w:rFonts w:hint="eastAsia" w:ascii="宋体" w:hAnsi="宋体" w:eastAsia="宋体" w:cs="宋体"/>
                <w:color w:val="auto"/>
                <w:sz w:val="21"/>
                <w:szCs w:val="21"/>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。若至下一个自然年度项目尚未完结，仍出现该款情形的，继续暂停投标</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其他不诚信</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 w:val="21"/>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w:t>
            </w:r>
            <w:r>
              <w:rPr>
                <w:rFonts w:hint="eastAsia" w:ascii="宋体" w:hAnsi="宋体" w:eastAsia="宋体" w:cs="宋体"/>
                <w:color w:val="auto"/>
                <w:sz w:val="21"/>
                <w:szCs w:val="21"/>
                <w:highlight w:val="none"/>
                <w:lang w:val="en-US" w:eastAsia="zh-CN"/>
              </w:rPr>
              <w:t>经发包人认定的其他不诚信行为</w:t>
            </w:r>
            <w:r>
              <w:rPr>
                <w:rFonts w:hint="eastAsia" w:ascii="宋体" w:hAnsi="宋体" w:eastAsia="宋体" w:cs="宋体"/>
                <w:color w:val="auto"/>
                <w:sz w:val="21"/>
                <w:szCs w:val="21"/>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 w:val="21"/>
                <w:szCs w:val="21"/>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color w:val="auto"/>
          <w:sz w:val="21"/>
          <w:szCs w:val="21"/>
          <w:highlight w:val="none"/>
          <w:lang w:val="en-US" w:eastAsia="zh-CN"/>
        </w:rPr>
        <w:t>备注：本处罚标准出自</w:t>
      </w:r>
      <w:r>
        <w:rPr>
          <w:rFonts w:hint="eastAsia" w:ascii="宋体" w:hAnsi="宋体" w:eastAsia="宋体" w:cs="宋体"/>
          <w:color w:val="auto"/>
          <w:sz w:val="21"/>
          <w:szCs w:val="21"/>
          <w:highlight w:val="none"/>
        </w:rPr>
        <w:t>《广州市净水有限公司经营建设项目参建企业不诚信行为管理办法》</w:t>
      </w:r>
      <w:r>
        <w:rPr>
          <w:rFonts w:hint="eastAsia" w:ascii="宋体" w:hAnsi="宋体" w:eastAsia="宋体" w:cs="宋体"/>
          <w:color w:val="auto"/>
          <w:sz w:val="21"/>
          <w:szCs w:val="21"/>
          <w:highlight w:val="none"/>
          <w:lang w:eastAsia="zh-CN"/>
        </w:rPr>
        <w:t>。</w:t>
      </w:r>
    </w:p>
    <w:tbl>
      <w:tblPr>
        <w:tblStyle w:val="23"/>
        <w:tblpPr w:leftFromText="180" w:rightFromText="180" w:vertAnchor="text" w:horzAnchor="page" w:tblpX="690" w:tblpY="344"/>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pStyle w:val="22"/>
        <w:ind w:left="0" w:leftChars="0" w:firstLine="0" w:firstLineChars="0"/>
        <w:rPr>
          <w:rFonts w:hint="eastAsia" w:ascii="宋体" w:hAnsi="宋体" w:cs="宋体"/>
          <w:b/>
          <w:bCs/>
          <w:color w:val="auto"/>
          <w:sz w:val="24"/>
          <w:szCs w:val="24"/>
          <w:highlight w:val="none"/>
          <w:lang w:val="en-US" w:eastAsia="zh-CN"/>
        </w:rPr>
      </w:pPr>
    </w:p>
    <w:p>
      <w:pPr>
        <w:pStyle w:val="22"/>
        <w:ind w:left="0" w:leftChars="0" w:firstLine="0" w:firstLineChars="0"/>
        <w:rPr>
          <w:rFonts w:hint="eastAsia" w:ascii="宋体" w:hAnsi="宋体" w:cs="宋体"/>
          <w:b/>
          <w:bCs/>
          <w:color w:val="auto"/>
          <w:sz w:val="24"/>
          <w:szCs w:val="24"/>
          <w:highlight w:val="none"/>
          <w:lang w:val="en-US" w:eastAsia="zh-CN"/>
        </w:rPr>
      </w:pPr>
    </w:p>
    <w:tbl>
      <w:tblPr>
        <w:tblStyle w:val="23"/>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2、监理单位考评只作为参考及履职依据，不计入考评，无监理单位不需填写；</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4、各分公司考评填写相应的得（扣）分数值，如奖2分则填写“2”，扣2分则填写“-2”；</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5、单项“综合考评”=项目部考评+公司考评；综合考评总分=各单项“综合考评”+100</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6、最后得分=综合考评总分X类别系数；</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2"/>
              <w:rPr>
                <w:rFonts w:hint="eastAsia"/>
                <w:color w:val="auto"/>
                <w:highlight w:val="none"/>
              </w:rPr>
            </w:pPr>
          </w:p>
        </w:tc>
      </w:tr>
    </w:tbl>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val="0"/>
        <w:kinsoku/>
        <w:wordWrap/>
        <w:overflowPunct/>
        <w:bidi w:val="0"/>
        <w:spacing w:line="360" w:lineRule="exact"/>
        <w:ind w:firstLine="0" w:firstLineChars="0"/>
        <w:jc w:val="left"/>
        <w:rPr>
          <w:rFonts w:hint="eastAsia" w:ascii="宋体" w:hAnsi="宋体" w:eastAsia="宋体" w:cs="宋体"/>
          <w:b/>
          <w:bCs/>
          <w:color w:val="auto"/>
          <w:sz w:val="21"/>
          <w:szCs w:val="21"/>
          <w:highlight w:val="none"/>
          <w:lang w:val="en-US" w:eastAsia="zh-CN"/>
        </w:rPr>
      </w:pPr>
    </w:p>
    <w:p>
      <w:pPr>
        <w:keepNext w:val="0"/>
        <w:keepLines w:val="0"/>
        <w:pageBreakBefore w:val="0"/>
        <w:widowControl/>
        <w:kinsoku/>
        <w:wordWrap/>
        <w:overflowPunct/>
        <w:bidi w:val="0"/>
        <w:spacing w:line="240" w:lineRule="auto"/>
        <w:ind w:firstLine="0" w:firstLineChars="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br w:type="page"/>
      </w:r>
    </w:p>
    <w:p>
      <w:pPr>
        <w:spacing w:line="560" w:lineRule="exact"/>
        <w:ind w:firstLine="105" w:firstLineChars="50"/>
        <w:rPr>
          <w:rFonts w:ascii="仿宋_GB2312" w:eastAsia="仿宋_GB2312"/>
          <w:b/>
          <w:color w:val="auto"/>
          <w:sz w:val="28"/>
          <w:szCs w:val="28"/>
          <w:highlight w:val="none"/>
        </w:rPr>
      </w:pPr>
      <w:r>
        <w:rPr>
          <w:rFonts w:hint="eastAsia" w:ascii="宋体" w:hAnsi="宋体" w:eastAsia="宋体" w:cs="宋体"/>
          <w:b/>
          <w:bCs/>
          <w:color w:val="auto"/>
          <w:szCs w:val="21"/>
          <w:highlight w:val="none"/>
          <w:lang w:val="en-US" w:eastAsia="zh-CN"/>
        </w:rPr>
        <w:t>附件7：</w:t>
      </w:r>
      <w:r>
        <w:rPr>
          <w:rFonts w:hint="eastAsia" w:ascii="仿宋_GB2312" w:hAnsi="宋体" w:eastAsia="仿宋_GB2312"/>
          <w:b/>
          <w:color w:val="auto"/>
          <w:sz w:val="28"/>
          <w:szCs w:val="28"/>
          <w:highlight w:val="none"/>
          <w:lang w:val="en-US" w:eastAsia="zh-CN"/>
        </w:rPr>
        <w:t>防疫</w:t>
      </w:r>
      <w:r>
        <w:rPr>
          <w:rFonts w:hint="eastAsia" w:ascii="仿宋_GB2312" w:hAnsi="宋体" w:eastAsia="仿宋_GB2312"/>
          <w:b/>
          <w:color w:val="auto"/>
          <w:sz w:val="28"/>
          <w:szCs w:val="28"/>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甲方</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u w:val="single"/>
        </w:rPr>
        <w:t>广州市净水有限公司</w:t>
      </w:r>
    </w:p>
    <w:p>
      <w:pPr>
        <w:adjustRightInd w:val="0"/>
        <w:snapToGrid w:val="0"/>
        <w:spacing w:line="440" w:lineRule="exact"/>
        <w:ind w:firstLine="480" w:firstLineChars="200"/>
        <w:jc w:val="left"/>
        <w:rPr>
          <w:rStyle w:val="26"/>
          <w:rFonts w:hint="default" w:ascii="仿宋_GB2312" w:hAnsi="宋体" w:eastAsia="仿宋_GB2312"/>
          <w:b w:val="0"/>
          <w:color w:val="auto"/>
          <w:highlight w:val="none"/>
          <w:u w:val="single"/>
          <w:lang w:val="en-US" w:eastAsia="zh-CN"/>
        </w:rPr>
      </w:pPr>
      <w:r>
        <w:rPr>
          <w:rFonts w:hint="eastAsia" w:ascii="仿宋_GB2312" w:hAnsi="宋体" w:eastAsia="仿宋_GB2312"/>
          <w:color w:val="auto"/>
          <w:sz w:val="24"/>
          <w:highlight w:val="none"/>
          <w:lang w:val="en-US" w:eastAsia="zh-CN"/>
        </w:rPr>
        <w:t>乙方</w:t>
      </w: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一、</w:t>
      </w:r>
      <w:r>
        <w:rPr>
          <w:rFonts w:hint="eastAsia" w:ascii="仿宋_GB2312" w:hAnsi="宋体" w:eastAsia="仿宋_GB2312"/>
          <w:color w:val="auto"/>
          <w:sz w:val="24"/>
          <w:highlight w:val="none"/>
        </w:rPr>
        <w:t>本协议与主协议的关系</w:t>
      </w:r>
    </w:p>
    <w:p>
      <w:pPr>
        <w:adjustRightInd w:val="0"/>
        <w:snapToGrid w:val="0"/>
        <w:spacing w:line="440" w:lineRule="exact"/>
        <w:ind w:left="105"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本协议作为</w:t>
      </w:r>
      <w:r>
        <w:rPr>
          <w:rFonts w:hint="eastAsia" w:ascii="仿宋_GB2312" w:hAnsi="宋体" w:eastAsia="仿宋_GB2312"/>
          <w:bCs/>
          <w:color w:val="auto"/>
          <w:sz w:val="24"/>
          <w:highlight w:val="none"/>
          <w:u w:val="single"/>
        </w:rPr>
        <w:t xml:space="preserve"> </w:t>
      </w:r>
      <w:r>
        <w:rPr>
          <w:rFonts w:hint="eastAsia" w:ascii="宋体" w:hAnsi="宋体" w:cs="宋体"/>
          <w:b/>
          <w:bCs/>
          <w:color w:val="auto"/>
          <w:sz w:val="24"/>
          <w:highlight w:val="none"/>
          <w:u w:val="single"/>
          <w:lang w:val="en-US" w:eastAsia="zh-CN"/>
        </w:rPr>
        <w:t>大坦沙干化车间通风除臭改造检验监测服务</w:t>
      </w:r>
      <w:r>
        <w:rPr>
          <w:rFonts w:hint="eastAsia" w:ascii="宋体" w:hAnsi="宋体" w:eastAsia="仿宋"/>
          <w:color w:val="auto"/>
          <w:sz w:val="24"/>
          <w:highlight w:val="none"/>
          <w:u w:val="single"/>
          <w:lang w:val="en-US" w:eastAsia="zh-CN"/>
        </w:rPr>
        <w:t>（穗净水合[2022]       号</w:t>
      </w:r>
      <w:r>
        <w:rPr>
          <w:rFonts w:hint="eastAsia" w:ascii="仿宋_GB2312" w:hAnsi="宋体" w:eastAsia="仿宋_GB2312"/>
          <w:bCs/>
          <w:color w:val="auto"/>
          <w:sz w:val="24"/>
          <w:highlight w:val="none"/>
          <w:u w:val="single"/>
        </w:rPr>
        <w:t xml:space="preserve">  </w:t>
      </w:r>
      <w:r>
        <w:rPr>
          <w:rFonts w:hint="eastAsia" w:ascii="仿宋_GB2312" w:hAnsi="宋体" w:eastAsia="仿宋_GB2312"/>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（一）</w:t>
      </w:r>
      <w:r>
        <w:rPr>
          <w:rFonts w:hint="eastAsia" w:ascii="宋体" w:hAnsi="宋体" w:eastAsia="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（一）开展疫情防控宣传教育，提高</w:t>
      </w:r>
      <w:r>
        <w:rPr>
          <w:rFonts w:hint="eastAsia" w:ascii="宋体" w:hAnsi="宋体" w:eastAsia="仿宋"/>
          <w:color w:val="auto"/>
          <w:sz w:val="24"/>
          <w:highlight w:val="none"/>
          <w:lang w:val="en-US" w:eastAsia="zh-CN"/>
        </w:rPr>
        <w:t>乙方</w:t>
      </w:r>
      <w:r>
        <w:rPr>
          <w:rFonts w:hint="eastAsia" w:ascii="仿宋_GB2312" w:hAnsi="宋体" w:eastAsia="仿宋_GB2312" w:cs="Times New Roman"/>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s="Times New Roman"/>
          <w:color w:val="auto"/>
          <w:kern w:val="2"/>
          <w:sz w:val="24"/>
          <w:szCs w:val="24"/>
          <w:highlight w:val="none"/>
          <w:lang w:val="en-US" w:eastAsia="zh-CN" w:bidi="ar-SA"/>
        </w:rPr>
        <w:t>（二）</w:t>
      </w:r>
      <w:r>
        <w:rPr>
          <w:rFonts w:hint="eastAsia" w:ascii="仿宋_GB2312" w:hAnsi="宋体" w:eastAsia="仿宋_GB2312"/>
          <w:color w:val="auto"/>
          <w:sz w:val="24"/>
          <w:highlight w:val="none"/>
          <w:lang w:val="en-US" w:eastAsia="zh-CN"/>
        </w:rPr>
        <w:t>做好乙方人员防控工作管理，及时提交防疫资料，落实疫情防控备案，必要时需</w:t>
      </w:r>
      <w:r>
        <w:rPr>
          <w:rFonts w:hint="eastAsia" w:ascii="仿宋_GB2312" w:hAnsi="宋体" w:eastAsia="仿宋_GB2312" w:cs="Times New Roman"/>
          <w:color w:val="auto"/>
          <w:kern w:val="2"/>
          <w:sz w:val="24"/>
          <w:szCs w:val="24"/>
          <w:highlight w:val="none"/>
          <w:lang w:val="en-US" w:eastAsia="zh-CN" w:bidi="ar-SA"/>
        </w:rPr>
        <w:t>编制防控管理工作方案</w:t>
      </w:r>
      <w:r>
        <w:rPr>
          <w:rFonts w:hint="eastAsia" w:ascii="仿宋_GB2312" w:hAnsi="仿宋"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 xml:space="preserve">    （三）乙方人员须按照</w:t>
      </w:r>
      <w:r>
        <w:rPr>
          <w:rFonts w:hint="eastAsia" w:ascii="仿宋_GB2312" w:hAnsi="宋体" w:eastAsia="仿宋_GB2312" w:cs="Times New Roman"/>
          <w:color w:val="auto"/>
          <w:kern w:val="2"/>
          <w:sz w:val="24"/>
          <w:szCs w:val="24"/>
          <w:highlight w:val="none"/>
          <w:lang w:val="en-US" w:eastAsia="zh-CN" w:bidi="ar-SA"/>
        </w:rPr>
        <w:t>甲方各厂区进厂门岗防控要求</w:t>
      </w:r>
      <w:r>
        <w:rPr>
          <w:rFonts w:hint="eastAsia" w:ascii="仿宋_GB2312" w:hAnsi="宋体" w:eastAsia="仿宋_GB2312"/>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color w:val="auto"/>
          <w:highlight w:val="none"/>
          <w:lang w:val="en-US" w:eastAsia="zh-CN"/>
        </w:rPr>
      </w:pPr>
      <w:r>
        <w:rPr>
          <w:rFonts w:hint="eastAsia" w:ascii="仿宋_GB2312" w:hAnsi="宋体" w:eastAsia="仿宋_GB2312" w:cs="Times New Roman"/>
          <w:color w:val="auto"/>
          <w:kern w:val="2"/>
          <w:sz w:val="24"/>
          <w:szCs w:val="24"/>
          <w:highlight w:val="none"/>
          <w:lang w:val="en-US" w:eastAsia="zh-CN" w:bidi="ar-SA"/>
        </w:rPr>
        <w:t>（五）各级政府、有关部门及甲方的其他</w:t>
      </w:r>
      <w:r>
        <w:rPr>
          <w:rFonts w:hint="eastAsia" w:ascii="宋体" w:hAnsi="宋体" w:eastAsia="仿宋"/>
          <w:color w:val="auto"/>
          <w:sz w:val="24"/>
          <w:highlight w:val="none"/>
          <w:lang w:val="en-US" w:eastAsia="zh-CN"/>
        </w:rPr>
        <w:t>防控要求</w:t>
      </w:r>
      <w:r>
        <w:rPr>
          <w:rFonts w:hint="eastAsia" w:ascii="仿宋_GB2312" w:hAnsi="宋体" w:eastAsia="仿宋_GB2312" w:cs="Times New Roman"/>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（一）乙方人员及其亲属有重点区域、重点场所旅居史未报备的，每发现一人，从乙方当月服务费中扣500元；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（三）乙方</w:t>
      </w:r>
      <w:r>
        <w:rPr>
          <w:rFonts w:hint="eastAsia" w:ascii="宋体" w:hAnsi="宋体" w:eastAsia="仿宋"/>
          <w:color w:val="auto"/>
          <w:sz w:val="24"/>
          <w:highlight w:val="none"/>
          <w:lang w:val="en-US" w:eastAsia="zh-CN"/>
        </w:rPr>
        <w:t>项目维修施工</w:t>
      </w:r>
      <w:r>
        <w:rPr>
          <w:rFonts w:hint="eastAsia" w:ascii="仿宋_GB2312" w:hAnsi="宋体" w:eastAsia="仿宋_GB2312"/>
          <w:color w:val="auto"/>
          <w:sz w:val="24"/>
          <w:highlight w:val="none"/>
          <w:lang w:val="en-US" w:eastAsia="zh-CN"/>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color w:val="auto"/>
          <w:sz w:val="24"/>
          <w:highlight w:val="none"/>
        </w:rPr>
      </w:pPr>
    </w:p>
    <w:p>
      <w:pPr>
        <w:pStyle w:val="39"/>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、补充条款：</w:t>
      </w:r>
      <w:r>
        <w:rPr>
          <w:rFonts w:hint="eastAsia" w:ascii="仿宋_GB2312" w:hAnsi="宋体" w:eastAsia="仿宋_GB2312"/>
          <w:color w:val="auto"/>
          <w:sz w:val="24"/>
          <w:highlight w:val="none"/>
          <w:u w:val="single"/>
        </w:rPr>
        <w:t xml:space="preserve">         /       </w:t>
      </w:r>
      <w:r>
        <w:rPr>
          <w:rFonts w:hint="eastAsia" w:ascii="仿宋_GB2312" w:hAnsi="宋体" w:eastAsia="仿宋_GB2312"/>
          <w:color w:val="auto"/>
          <w:sz w:val="24"/>
          <w:highlight w:val="none"/>
        </w:rPr>
        <w:t>。</w:t>
      </w:r>
    </w:p>
    <w:p>
      <w:pPr>
        <w:adjustRightInd w:val="0"/>
        <w:snapToGrid w:val="0"/>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六</w:t>
      </w:r>
      <w:r>
        <w:rPr>
          <w:rFonts w:hint="eastAsia" w:ascii="仿宋_GB2312" w:hAnsi="宋体" w:eastAsia="仿宋_GB2312"/>
          <w:color w:val="auto"/>
          <w:sz w:val="24"/>
          <w:highlight w:val="none"/>
        </w:rPr>
        <w:t>、附则</w:t>
      </w:r>
    </w:p>
    <w:p>
      <w:pPr>
        <w:adjustRightInd w:val="0"/>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本协议与合同同时签订、同时终止、同时生效，具有相同的法律效力。合同由甲乙双方签字、盖章生效，</w:t>
      </w:r>
      <w:r>
        <w:rPr>
          <w:rFonts w:hint="eastAsia" w:ascii="仿宋_GB2312" w:hAnsi="宋体" w:eastAsia="仿宋_GB2312" w:cs="Times New Roman"/>
          <w:color w:val="auto"/>
          <w:sz w:val="24"/>
          <w:highlight w:val="none"/>
        </w:rPr>
        <w:t>甲方、乙方双方执持数量与主合同一致。</w:t>
      </w:r>
    </w:p>
    <w:p>
      <w:pPr>
        <w:adjustRightInd w:val="0"/>
        <w:snapToGrid w:val="0"/>
        <w:spacing w:line="440" w:lineRule="exact"/>
        <w:rPr>
          <w:rFonts w:ascii="仿宋_GB2312" w:hAnsi="宋体" w:eastAsia="仿宋_GB2312"/>
          <w:color w:val="auto"/>
          <w:sz w:val="24"/>
          <w:highlight w:val="none"/>
        </w:rPr>
      </w:pPr>
    </w:p>
    <w:p>
      <w:pPr>
        <w:adjustRightInd w:val="0"/>
        <w:snapToGrid w:val="0"/>
        <w:spacing w:line="440" w:lineRule="exact"/>
        <w:ind w:left="1330" w:leftChars="5" w:hanging="1320" w:hangingChars="55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lang w:val="en-US" w:eastAsia="zh-CN"/>
        </w:rPr>
        <w:t>甲方</w:t>
      </w:r>
      <w:r>
        <w:rPr>
          <w:rFonts w:hint="eastAsia" w:ascii="仿宋_GB2312" w:hAnsi="宋体" w:eastAsia="仿宋_GB2312"/>
          <w:color w:val="auto"/>
          <w:sz w:val="24"/>
          <w:highlight w:val="none"/>
        </w:rPr>
        <w:t xml:space="preserve">代表 （章）：                          </w:t>
      </w:r>
      <w:r>
        <w:rPr>
          <w:rFonts w:hint="eastAsia" w:ascii="仿宋_GB2312" w:hAnsi="宋体" w:eastAsia="仿宋_GB2312"/>
          <w:color w:val="auto"/>
          <w:sz w:val="24"/>
          <w:highlight w:val="none"/>
          <w:lang w:val="en-US" w:eastAsia="zh-CN"/>
        </w:rPr>
        <w:t>乙方</w:t>
      </w:r>
      <w:r>
        <w:rPr>
          <w:rFonts w:hint="eastAsia" w:ascii="仿宋_GB2312" w:hAnsi="宋体" w:eastAsia="仿宋_GB2312"/>
          <w:color w:val="auto"/>
          <w:sz w:val="24"/>
          <w:highlight w:val="none"/>
        </w:rPr>
        <w:t>代表（章）：                                                           　　              　　　　　　　</w:t>
      </w:r>
    </w:p>
    <w:p>
      <w:pPr>
        <w:adjustRightInd w:val="0"/>
        <w:snapToGrid w:val="0"/>
        <w:spacing w:line="440" w:lineRule="exac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年 　月　  日　　　　　                 </w:t>
      </w:r>
      <w:r>
        <w:rPr>
          <w:rFonts w:hint="eastAsia" w:ascii="仿宋_GB2312" w:hAnsi="宋体" w:eastAsia="仿宋_GB2312"/>
          <w:color w:val="auto"/>
          <w:sz w:val="24"/>
          <w:highlight w:val="none"/>
          <w:lang w:val="en-US" w:eastAsia="zh-CN"/>
        </w:rPr>
        <w:t xml:space="preserve">   </w:t>
      </w:r>
      <w:r>
        <w:rPr>
          <w:rFonts w:hint="eastAsia" w:ascii="仿宋_GB2312" w:hAnsi="宋体" w:eastAsia="仿宋_GB2312"/>
          <w:color w:val="auto"/>
          <w:sz w:val="24"/>
          <w:highlight w:val="none"/>
        </w:rPr>
        <w:t>年   月  　日</w:t>
      </w:r>
    </w:p>
    <w:p>
      <w:pPr>
        <w:pStyle w:val="2"/>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pStyle w:val="3"/>
        <w:rPr>
          <w:rFonts w:hint="eastAsia" w:ascii="仿宋_GB2312" w:hAnsi="宋体" w:eastAsia="仿宋_GB2312"/>
          <w:color w:val="auto"/>
          <w:sz w:val="24"/>
          <w:highlight w:val="none"/>
        </w:rPr>
      </w:pPr>
    </w:p>
    <w:p>
      <w:pPr>
        <w:keepNext w:val="0"/>
        <w:keepLines w:val="0"/>
        <w:pageBreakBefore w:val="0"/>
        <w:widowControl w:val="0"/>
        <w:kinsoku/>
        <w:wordWrap/>
        <w:overflowPunct/>
        <w:bidi w:val="0"/>
        <w:spacing w:line="360" w:lineRule="exact"/>
        <w:ind w:firstLine="0" w:firstLineChars="0"/>
        <w:jc w:val="left"/>
        <w:rPr>
          <w:rFonts w:ascii="方正小标宋简体" w:eastAsia="方正小标宋简体"/>
          <w:color w:val="auto"/>
          <w:sz w:val="44"/>
          <w:szCs w:val="44"/>
          <w:highlight w:val="none"/>
        </w:rPr>
      </w:pPr>
      <w:r>
        <w:rPr>
          <w:rFonts w:hint="eastAsia" w:ascii="宋体" w:hAnsi="宋体" w:cs="宋体"/>
          <w:b/>
          <w:bCs/>
          <w:color w:val="auto"/>
          <w:sz w:val="21"/>
          <w:szCs w:val="21"/>
          <w:highlight w:val="none"/>
          <w:lang w:val="en-US" w:eastAsia="zh-CN"/>
        </w:rPr>
        <w:t>附件</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.工程量报价单/工程量清单</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须与第七章报价清单保持一致</w:t>
      </w:r>
      <w:r>
        <w:rPr>
          <w:rFonts w:hint="eastAsia" w:ascii="宋体" w:hAnsi="宋体" w:eastAsia="宋体" w:cs="宋体"/>
          <w:b/>
          <w:bCs/>
          <w:color w:val="auto"/>
          <w:sz w:val="21"/>
          <w:szCs w:val="21"/>
          <w:highlight w:val="none"/>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035"/>
        <w:gridCol w:w="1119"/>
        <w:gridCol w:w="126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序号</w:t>
            </w:r>
          </w:p>
        </w:tc>
        <w:tc>
          <w:tcPr>
            <w:tcW w:w="4035" w:type="dxa"/>
          </w:tcPr>
          <w:p>
            <w:pPr>
              <w:pStyle w:val="13"/>
              <w:ind w:firstLine="1120" w:firstLineChars="400"/>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内容</w:t>
            </w:r>
          </w:p>
        </w:tc>
        <w:tc>
          <w:tcPr>
            <w:tcW w:w="1119" w:type="dxa"/>
            <w:vAlign w:val="center"/>
          </w:tcPr>
          <w:p>
            <w:pPr>
              <w:pStyle w:val="13"/>
              <w:jc w:val="both"/>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数量</w:t>
            </w:r>
          </w:p>
        </w:tc>
        <w:tc>
          <w:tcPr>
            <w:tcW w:w="1260" w:type="dxa"/>
            <w:vAlign w:val="center"/>
          </w:tcPr>
          <w:p>
            <w:pPr>
              <w:pStyle w:val="13"/>
              <w:jc w:val="both"/>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单价</w:t>
            </w:r>
          </w:p>
        </w:tc>
        <w:tc>
          <w:tcPr>
            <w:tcW w:w="1634" w:type="dxa"/>
            <w:vAlign w:val="center"/>
          </w:tcPr>
          <w:p>
            <w:pPr>
              <w:pStyle w:val="13"/>
              <w:jc w:val="both"/>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单项总价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环境温度检测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粉尘检测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氨浓度检测（进出口）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4</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三甲胺检测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硫化氢检测（进出口）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甲硫醇检测（进出口）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甲硫醚检测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8</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二甲二硫检测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9</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二硫化碳检测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10</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苯乙烯检测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11</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臭气浓度（进出口）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12</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甲烷（进出口）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13</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噪声（昼夜两项）</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14</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压力（进出口）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15</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风量</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16</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检测报告及相应图纸</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 项</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944" w:type="dxa"/>
            <w:gridSpan w:val="5"/>
            <w:vAlign w:val="center"/>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总价：</w:t>
            </w:r>
          </w:p>
          <w:p>
            <w:pPr>
              <w:rPr>
                <w:rFonts w:hint="default"/>
                <w:color w:val="auto"/>
                <w:highlight w:val="none"/>
                <w:lang w:val="en-US" w:eastAsia="zh-CN"/>
              </w:rPr>
            </w:pPr>
          </w:p>
        </w:tc>
      </w:tr>
    </w:tbl>
    <w:p>
      <w:pPr>
        <w:rPr>
          <w:rFonts w:hint="eastAsia"/>
          <w:color w:val="auto"/>
          <w:highlight w:val="none"/>
        </w:rPr>
      </w:pPr>
      <w:bookmarkStart w:id="89" w:name="_Toc6230"/>
      <w:bookmarkStart w:id="90" w:name="_Toc12169"/>
      <w:bookmarkStart w:id="91" w:name="_Toc8147"/>
      <w:bookmarkStart w:id="92" w:name="_Toc16552"/>
      <w:bookmarkStart w:id="93" w:name="_Toc3723"/>
      <w:bookmarkStart w:id="94" w:name="_Toc28358"/>
      <w:bookmarkStart w:id="95" w:name="_Toc23515"/>
      <w:bookmarkStart w:id="96" w:name="_Toc5129"/>
      <w:bookmarkStart w:id="97" w:name="_Toc1563"/>
      <w:bookmarkStart w:id="98" w:name="_Toc21847"/>
      <w:bookmarkStart w:id="99" w:name="_Toc30824"/>
      <w:r>
        <w:rPr>
          <w:rFonts w:hint="eastAsia"/>
          <w:color w:val="auto"/>
          <w:highlight w:val="none"/>
        </w:rPr>
        <w:br w:type="page"/>
      </w: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2411095</wp:posOffset>
                </wp:positionH>
                <wp:positionV relativeFrom="paragraph">
                  <wp:posOffset>83185</wp:posOffset>
                </wp:positionV>
                <wp:extent cx="958850" cy="5715"/>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57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9.85pt;margin-top:6.55pt;height:0.45pt;width:75.5pt;z-index:251667456;mso-width-relative:page;mso-height-relative:page;" filled="f" stroked="t" coordsize="21600,21600" o:gfxdata="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NxwftcAAAAJAQAADwAAAAAAAAABACAAAAAiAAAAZHJzL2Rvd25yZXYueG1sUEsBAhQA&#10;FAAAAAgAh07iQA2TZUzzAQAA5g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2406015</wp:posOffset>
                </wp:positionH>
                <wp:positionV relativeFrom="paragraph">
                  <wp:posOffset>479425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9.45pt;margin-top:37.75pt;height:0pt;width:75.5pt;z-index:251668480;mso-width-relative:page;mso-height-relative:page;" filled="f" stroked="t" coordsize="21600,21600" o:gfxdata="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cnIA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9"/>
        <w:rPr>
          <w:color w:val="auto"/>
          <w:highlight w:val="none"/>
        </w:rPr>
      </w:pPr>
    </w:p>
    <w:p>
      <w:pPr>
        <w:pStyle w:val="4"/>
        <w:rPr>
          <w:color w:val="auto"/>
          <w:highlight w:val="none"/>
        </w:rPr>
      </w:pPr>
      <w:bookmarkStart w:id="100" w:name="_Toc21675"/>
      <w:bookmarkStart w:id="101" w:name="_Toc5342"/>
      <w:bookmarkStart w:id="102" w:name="_Toc24815"/>
      <w:bookmarkStart w:id="103" w:name="_Toc88209951"/>
      <w:bookmarkStart w:id="104" w:name="_Toc10840"/>
      <w:bookmarkStart w:id="105" w:name="_Toc12769"/>
      <w:bookmarkStart w:id="106" w:name="_Toc87616388"/>
      <w:bookmarkStart w:id="107" w:name="_Toc22764"/>
      <w:bookmarkStart w:id="108" w:name="_Toc30157"/>
      <w:bookmarkStart w:id="109" w:name="_Toc17119"/>
      <w:bookmarkStart w:id="110" w:name="_Toc12610"/>
      <w:bookmarkStart w:id="111" w:name="_Toc24490"/>
      <w:bookmarkStart w:id="112" w:name="_Toc31564"/>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30"/>
        <w:rPr>
          <w:rFonts w:ascii="方正小标宋简体" w:eastAsia="方正小标宋简体"/>
          <w:color w:val="auto"/>
          <w:sz w:val="44"/>
          <w:szCs w:val="44"/>
          <w:highlight w:val="none"/>
        </w:rPr>
      </w:pPr>
    </w:p>
    <w:p>
      <w:pPr>
        <w:pStyle w:val="30"/>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9" w:name="_Toc12665"/>
      <w:bookmarkStart w:id="120" w:name="_Toc88209957"/>
      <w:bookmarkStart w:id="121" w:name="_Toc87616394"/>
      <w:bookmarkStart w:id="122" w:name="_Toc28619645"/>
      <w:bookmarkStart w:id="123" w:name="_Toc6313"/>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22527"/>
      <w:bookmarkStart w:id="125" w:name="_Toc87616395"/>
      <w:bookmarkStart w:id="126" w:name="_Toc88209958"/>
      <w:bookmarkStart w:id="127" w:name="_Toc29833"/>
    </w:p>
    <w:p>
      <w:pPr>
        <w:pStyle w:val="6"/>
        <w:numPr>
          <w:ilvl w:val="0"/>
          <w:numId w:val="4"/>
        </w:numPr>
        <w:ind w:left="562" w:leftChars="0" w:hanging="562" w:hanging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法定代表人证明或授权委托书</w:t>
      </w:r>
      <w:bookmarkEnd w:id="124"/>
      <w:bookmarkEnd w:id="125"/>
      <w:bookmarkEnd w:id="126"/>
      <w:bookmarkEnd w:id="127"/>
    </w:p>
    <w:p>
      <w:pPr>
        <w:pStyle w:val="6"/>
        <w:numPr>
          <w:ilvl w:val="0"/>
          <w:numId w:val="4"/>
        </w:numPr>
        <w:ind w:left="562" w:leftChars="0" w:hanging="562" w:hangingChars="200"/>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7616400"/>
      <w:bookmarkStart w:id="129" w:name="_Toc88209963"/>
      <w:bookmarkStart w:id="130" w:name="_Toc19830"/>
      <w:bookmarkStart w:id="131"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w:t>
      </w:r>
      <w:r>
        <w:rPr>
          <w:rFonts w:hint="eastAsia" w:ascii="宋体" w:hAnsi="宋体" w:eastAsia="宋体" w:cs="宋体"/>
          <w:color w:val="auto"/>
          <w:kern w:val="2"/>
          <w:sz w:val="24"/>
          <w:szCs w:val="24"/>
          <w:highlight w:val="none"/>
          <w:lang w:val="en-GB" w:eastAsia="zh-CN"/>
        </w:rPr>
        <w:t>大坦沙分公司监控系统服务器扩容项目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2"/>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33" w:name="_Toc19423"/>
      <w:bookmarkStart w:id="134" w:name="_Toc32430"/>
      <w:r>
        <w:rPr>
          <w:rFonts w:hint="eastAsia" w:ascii="仿宋_GB2312" w:eastAsia="仿宋_GB2312" w:hAnsiTheme="minorEastAsia"/>
          <w:color w:val="auto"/>
          <w:sz w:val="28"/>
          <w:szCs w:val="28"/>
          <w:highlight w:val="none"/>
          <w:lang w:val="en-US" w:eastAsia="zh-CN"/>
        </w:rPr>
        <w:br w:type="page"/>
      </w:r>
    </w:p>
    <w:p>
      <w:pPr>
        <w:pStyle w:val="6"/>
        <w:numPr>
          <w:ilvl w:val="0"/>
          <w:numId w:val="10"/>
        </w:numPr>
        <w:rPr>
          <w:color w:val="auto"/>
          <w:highlight w:val="none"/>
        </w:rPr>
      </w:pPr>
      <w:r>
        <w:rPr>
          <w:rFonts w:hint="eastAsia" w:asciiTheme="minorEastAsia" w:hAnsiTheme="minorEastAsia" w:eastAsiaTheme="minorEastAsia"/>
          <w:color w:val="auto"/>
          <w:sz w:val="28"/>
          <w:szCs w:val="28"/>
          <w:highlight w:val="none"/>
        </w:rPr>
        <w:t>报价表</w:t>
      </w:r>
      <w:bookmarkEnd w:id="133"/>
      <w:bookmarkEnd w:id="134"/>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035"/>
        <w:gridCol w:w="1119"/>
        <w:gridCol w:w="126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序号</w:t>
            </w:r>
          </w:p>
        </w:tc>
        <w:tc>
          <w:tcPr>
            <w:tcW w:w="4035" w:type="dxa"/>
          </w:tcPr>
          <w:p>
            <w:pPr>
              <w:pStyle w:val="13"/>
              <w:ind w:firstLine="1120" w:firstLineChars="400"/>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内容</w:t>
            </w:r>
          </w:p>
        </w:tc>
        <w:tc>
          <w:tcPr>
            <w:tcW w:w="1119" w:type="dxa"/>
            <w:vAlign w:val="center"/>
          </w:tcPr>
          <w:p>
            <w:pPr>
              <w:pStyle w:val="13"/>
              <w:jc w:val="both"/>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数量</w:t>
            </w:r>
          </w:p>
        </w:tc>
        <w:tc>
          <w:tcPr>
            <w:tcW w:w="1260" w:type="dxa"/>
            <w:vAlign w:val="center"/>
          </w:tcPr>
          <w:p>
            <w:pPr>
              <w:pStyle w:val="13"/>
              <w:jc w:val="both"/>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单价</w:t>
            </w:r>
          </w:p>
        </w:tc>
        <w:tc>
          <w:tcPr>
            <w:tcW w:w="1634" w:type="dxa"/>
            <w:vAlign w:val="center"/>
          </w:tcPr>
          <w:p>
            <w:pPr>
              <w:pStyle w:val="13"/>
              <w:jc w:val="both"/>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单项总价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环境温度检测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粉尘检测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氨浓度检测（进出口）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4</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三甲胺检测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w:t>
            </w:r>
          </w:p>
        </w:tc>
        <w:tc>
          <w:tcPr>
            <w:tcW w:w="4035" w:type="dxa"/>
          </w:tcPr>
          <w:p>
            <w:pPr>
              <w:pStyle w:val="13"/>
              <w:rPr>
                <w:rFonts w:hint="default"/>
                <w:color w:val="auto"/>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硫化氢检测（进出口）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甲硫醇检测（进出口）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甲硫醚检测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8</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二甲二硫检测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9</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二硫化碳检测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10</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苯乙烯检测</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11</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臭气浓度（进出口）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12</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甲烷（进出口）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13</w:t>
            </w:r>
          </w:p>
        </w:tc>
        <w:tc>
          <w:tcPr>
            <w:tcW w:w="4035" w:type="dxa"/>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噪声（昼夜两项）</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14</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压力（进出口）</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15</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风量</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13"/>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16</w:t>
            </w:r>
          </w:p>
        </w:tc>
        <w:tc>
          <w:tcPr>
            <w:tcW w:w="4035" w:type="dxa"/>
          </w:tcPr>
          <w:p>
            <w:pPr>
              <w:pStyle w:val="13"/>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检测报告及相应图纸</w:t>
            </w:r>
          </w:p>
        </w:tc>
        <w:tc>
          <w:tcPr>
            <w:tcW w:w="1119" w:type="dxa"/>
            <w:vAlign w:val="center"/>
          </w:tcPr>
          <w:p>
            <w:pPr>
              <w:pStyle w:val="13"/>
              <w:jc w:val="center"/>
              <w:rPr>
                <w:rFonts w:hint="default"/>
                <w:color w:val="auto"/>
                <w:highlight w:val="none"/>
                <w:vertAlign w:val="baseline"/>
                <w:lang w:val="en-US" w:eastAsia="zh-CN"/>
              </w:rPr>
            </w:pPr>
            <w:r>
              <w:rPr>
                <w:rFonts w:hint="eastAsia"/>
                <w:color w:val="auto"/>
                <w:highlight w:val="none"/>
                <w:vertAlign w:val="baseline"/>
                <w:lang w:val="en-US" w:eastAsia="zh-CN"/>
              </w:rPr>
              <w:t>1 项</w:t>
            </w:r>
          </w:p>
        </w:tc>
        <w:tc>
          <w:tcPr>
            <w:tcW w:w="1260" w:type="dxa"/>
          </w:tcPr>
          <w:p>
            <w:pPr>
              <w:pStyle w:val="13"/>
              <w:rPr>
                <w:rFonts w:hint="default"/>
                <w:color w:val="auto"/>
                <w:highlight w:val="none"/>
                <w:vertAlign w:val="baseline"/>
                <w:lang w:val="en-US" w:eastAsia="zh-CN"/>
              </w:rPr>
            </w:pPr>
          </w:p>
        </w:tc>
        <w:tc>
          <w:tcPr>
            <w:tcW w:w="1634" w:type="dxa"/>
          </w:tcPr>
          <w:p>
            <w:pPr>
              <w:pStyle w:val="13"/>
              <w:rPr>
                <w:rFonts w:hint="default"/>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944" w:type="dxa"/>
            <w:gridSpan w:val="5"/>
            <w:vAlign w:val="center"/>
          </w:tcPr>
          <w:p>
            <w:pPr>
              <w:pStyle w:val="13"/>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总价：</w:t>
            </w:r>
          </w:p>
          <w:p>
            <w:pPr>
              <w:rPr>
                <w:rFonts w:hint="default"/>
                <w:color w:val="auto"/>
                <w:highlight w:val="none"/>
                <w:lang w:val="en-US" w:eastAsia="zh-CN"/>
              </w:rPr>
            </w:pPr>
          </w:p>
        </w:tc>
      </w:tr>
    </w:tbl>
    <w:p>
      <w:pPr>
        <w:pStyle w:val="6"/>
        <w:rPr>
          <w:rFonts w:asciiTheme="majorEastAsia" w:hAnsiTheme="majorEastAsia" w:eastAsiaTheme="majorEastAsia"/>
          <w:color w:val="auto"/>
          <w:sz w:val="28"/>
          <w:szCs w:val="28"/>
          <w:highlight w:val="none"/>
        </w:rPr>
      </w:pPr>
      <w:bookmarkStart w:id="135" w:name="_Toc16386"/>
      <w:bookmarkStart w:id="136" w:name="_Toc88209965"/>
      <w:bookmarkStart w:id="137" w:name="_Toc87616402"/>
      <w:bookmarkStart w:id="138"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6" w:type="default"/>
      <w:footerReference r:id="rId7" w:type="even"/>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qY5s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sz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KqmOb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8DAC3"/>
    <w:multiLevelType w:val="singleLevel"/>
    <w:tmpl w:val="97A8DAC3"/>
    <w:lvl w:ilvl="0" w:tentative="0">
      <w:start w:val="1"/>
      <w:numFmt w:val="decimal"/>
      <w:suff w:val="nothing"/>
      <w:lvlText w:val="%1）"/>
      <w:lvlJc w:val="left"/>
    </w:lvl>
  </w:abstractNum>
  <w:abstractNum w:abstractNumId="1">
    <w:nsid w:val="B28DA13F"/>
    <w:multiLevelType w:val="singleLevel"/>
    <w:tmpl w:val="B28DA13F"/>
    <w:lvl w:ilvl="0" w:tentative="0">
      <w:start w:val="1"/>
      <w:numFmt w:val="decimal"/>
      <w:suff w:val="nothing"/>
      <w:lvlText w:val="（%1）"/>
      <w:lvlJc w:val="left"/>
    </w:lvl>
  </w:abstractNum>
  <w:abstractNum w:abstractNumId="2">
    <w:nsid w:val="C1E5C79A"/>
    <w:multiLevelType w:val="singleLevel"/>
    <w:tmpl w:val="C1E5C79A"/>
    <w:lvl w:ilvl="0" w:tentative="0">
      <w:start w:val="1"/>
      <w:numFmt w:val="decimal"/>
      <w:suff w:val="nothing"/>
      <w:lvlText w:val="（%1）"/>
      <w:lvlJc w:val="left"/>
      <w:rPr>
        <w:rFonts w:hint="default" w:ascii="Times New Roman" w:hAnsi="Times New Roman" w:cs="Times New Roman"/>
      </w:rPr>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F95BBED0"/>
    <w:multiLevelType w:val="singleLevel"/>
    <w:tmpl w:val="F95BBED0"/>
    <w:lvl w:ilvl="0" w:tentative="0">
      <w:start w:val="1"/>
      <w:numFmt w:val="decimal"/>
      <w:suff w:val="nothing"/>
      <w:lvlText w:val="（%1）"/>
      <w:lvlJc w:val="left"/>
    </w:lvl>
  </w:abstractNum>
  <w:abstractNum w:abstractNumId="5">
    <w:nsid w:val="FE55B1F8"/>
    <w:multiLevelType w:val="singleLevel"/>
    <w:tmpl w:val="FE55B1F8"/>
    <w:lvl w:ilvl="0" w:tentative="0">
      <w:start w:val="1"/>
      <w:numFmt w:val="decimal"/>
      <w:suff w:val="nothing"/>
      <w:lvlText w:val="（%1）"/>
      <w:lvlJc w:val="left"/>
      <w:rPr>
        <w:rFonts w:hint="default" w:ascii="Times New Roman" w:hAnsi="Times New Roman" w:cs="Times New Roman"/>
      </w:rPr>
    </w:lvl>
  </w:abstractNum>
  <w:abstractNum w:abstractNumId="6">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5EF2DBFF"/>
    <w:multiLevelType w:val="singleLevel"/>
    <w:tmpl w:val="5EF2DBFF"/>
    <w:lvl w:ilvl="0" w:tentative="0">
      <w:start w:val="5"/>
      <w:numFmt w:val="decimal"/>
      <w:lvlText w:val="%1."/>
      <w:lvlJc w:val="left"/>
      <w:pPr>
        <w:tabs>
          <w:tab w:val="left" w:pos="312"/>
        </w:tabs>
      </w:pPr>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3"/>
  </w:num>
  <w:num w:numId="2">
    <w:abstractNumId w:val="0"/>
  </w:num>
  <w:num w:numId="3">
    <w:abstractNumId w:val="9"/>
  </w:num>
  <w:num w:numId="4">
    <w:abstractNumId w:val="7"/>
  </w:num>
  <w:num w:numId="5">
    <w:abstractNumId w:val="6"/>
  </w:num>
  <w:num w:numId="6">
    <w:abstractNumId w:val="4"/>
  </w:num>
  <w:num w:numId="7">
    <w:abstractNumId w:val="1"/>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80DFF"/>
    <w:rsid w:val="00855987"/>
    <w:rsid w:val="00911ECD"/>
    <w:rsid w:val="00A042E0"/>
    <w:rsid w:val="00B26BB1"/>
    <w:rsid w:val="00B26E21"/>
    <w:rsid w:val="00D12D7E"/>
    <w:rsid w:val="00F83B64"/>
    <w:rsid w:val="013E3461"/>
    <w:rsid w:val="02090C75"/>
    <w:rsid w:val="0253516A"/>
    <w:rsid w:val="02A23A3C"/>
    <w:rsid w:val="035D130A"/>
    <w:rsid w:val="039110A9"/>
    <w:rsid w:val="03AC246A"/>
    <w:rsid w:val="03B23056"/>
    <w:rsid w:val="03DC3EBA"/>
    <w:rsid w:val="03F9794D"/>
    <w:rsid w:val="046A2461"/>
    <w:rsid w:val="051C2970"/>
    <w:rsid w:val="060C3611"/>
    <w:rsid w:val="06427EF5"/>
    <w:rsid w:val="06C64829"/>
    <w:rsid w:val="077D16D2"/>
    <w:rsid w:val="082A69F3"/>
    <w:rsid w:val="08675FC8"/>
    <w:rsid w:val="09B713FD"/>
    <w:rsid w:val="09EF6ACC"/>
    <w:rsid w:val="0A315056"/>
    <w:rsid w:val="0AA213B4"/>
    <w:rsid w:val="0ACB18C0"/>
    <w:rsid w:val="0AF61C7E"/>
    <w:rsid w:val="0AFB45AD"/>
    <w:rsid w:val="0B351E9B"/>
    <w:rsid w:val="0B4C50D3"/>
    <w:rsid w:val="0B806B92"/>
    <w:rsid w:val="0B827E94"/>
    <w:rsid w:val="0B842F76"/>
    <w:rsid w:val="0BD070E1"/>
    <w:rsid w:val="0C247926"/>
    <w:rsid w:val="0D232081"/>
    <w:rsid w:val="0D794204"/>
    <w:rsid w:val="0DBD73B9"/>
    <w:rsid w:val="0E2125D1"/>
    <w:rsid w:val="0E214211"/>
    <w:rsid w:val="0E5F2769"/>
    <w:rsid w:val="0EEC14F9"/>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5776308"/>
    <w:rsid w:val="15BC6B3C"/>
    <w:rsid w:val="164D40B0"/>
    <w:rsid w:val="1694429A"/>
    <w:rsid w:val="17635326"/>
    <w:rsid w:val="18236EFD"/>
    <w:rsid w:val="18430166"/>
    <w:rsid w:val="189D5B1F"/>
    <w:rsid w:val="18A34CD0"/>
    <w:rsid w:val="19A53EA8"/>
    <w:rsid w:val="19B64DBC"/>
    <w:rsid w:val="1A373ACF"/>
    <w:rsid w:val="1A895341"/>
    <w:rsid w:val="1B0D071F"/>
    <w:rsid w:val="1B4568CE"/>
    <w:rsid w:val="1B9015B7"/>
    <w:rsid w:val="1BF54245"/>
    <w:rsid w:val="1C605B42"/>
    <w:rsid w:val="1C673A86"/>
    <w:rsid w:val="1D0E6976"/>
    <w:rsid w:val="1D5A79EE"/>
    <w:rsid w:val="1DA72AA2"/>
    <w:rsid w:val="1E0E2CD0"/>
    <w:rsid w:val="1E831280"/>
    <w:rsid w:val="1EBC4704"/>
    <w:rsid w:val="1F172EB5"/>
    <w:rsid w:val="1F6856FC"/>
    <w:rsid w:val="1F94592D"/>
    <w:rsid w:val="1FB860DE"/>
    <w:rsid w:val="203C5A02"/>
    <w:rsid w:val="209D4C94"/>
    <w:rsid w:val="20E84705"/>
    <w:rsid w:val="21154D5A"/>
    <w:rsid w:val="218400BA"/>
    <w:rsid w:val="21AB1E2F"/>
    <w:rsid w:val="21D40498"/>
    <w:rsid w:val="22767047"/>
    <w:rsid w:val="23A05588"/>
    <w:rsid w:val="23DE3F1D"/>
    <w:rsid w:val="240476A1"/>
    <w:rsid w:val="25431AEB"/>
    <w:rsid w:val="25BF43FD"/>
    <w:rsid w:val="25CB59E7"/>
    <w:rsid w:val="25F86BCD"/>
    <w:rsid w:val="2605748B"/>
    <w:rsid w:val="267D1603"/>
    <w:rsid w:val="269E416A"/>
    <w:rsid w:val="272100D3"/>
    <w:rsid w:val="272C72FC"/>
    <w:rsid w:val="275131CB"/>
    <w:rsid w:val="27EB149D"/>
    <w:rsid w:val="27FD3E52"/>
    <w:rsid w:val="28E11370"/>
    <w:rsid w:val="294A756A"/>
    <w:rsid w:val="29781BF8"/>
    <w:rsid w:val="29C33ED0"/>
    <w:rsid w:val="29D5322D"/>
    <w:rsid w:val="2A025DD9"/>
    <w:rsid w:val="2A2619CB"/>
    <w:rsid w:val="2A7C2231"/>
    <w:rsid w:val="2ABB753D"/>
    <w:rsid w:val="2B7A49FA"/>
    <w:rsid w:val="2C615D26"/>
    <w:rsid w:val="2CB679ED"/>
    <w:rsid w:val="2D173C07"/>
    <w:rsid w:val="2D424A86"/>
    <w:rsid w:val="2DA845B3"/>
    <w:rsid w:val="2E7B52DB"/>
    <w:rsid w:val="2F324CFE"/>
    <w:rsid w:val="2F343D8C"/>
    <w:rsid w:val="2FBA09F1"/>
    <w:rsid w:val="2FEF2ACF"/>
    <w:rsid w:val="30540211"/>
    <w:rsid w:val="31112A0D"/>
    <w:rsid w:val="311F4B20"/>
    <w:rsid w:val="312D7741"/>
    <w:rsid w:val="316F137F"/>
    <w:rsid w:val="31CD5E8B"/>
    <w:rsid w:val="31DF525F"/>
    <w:rsid w:val="31EC162B"/>
    <w:rsid w:val="32324C2E"/>
    <w:rsid w:val="327171DF"/>
    <w:rsid w:val="33904AB6"/>
    <w:rsid w:val="341E3434"/>
    <w:rsid w:val="34BB4442"/>
    <w:rsid w:val="360B7EBA"/>
    <w:rsid w:val="36116865"/>
    <w:rsid w:val="369C32FD"/>
    <w:rsid w:val="37666E72"/>
    <w:rsid w:val="38081EA3"/>
    <w:rsid w:val="38167A04"/>
    <w:rsid w:val="394B167A"/>
    <w:rsid w:val="39C07139"/>
    <w:rsid w:val="39DA2868"/>
    <w:rsid w:val="3A4E4336"/>
    <w:rsid w:val="3A6007FE"/>
    <w:rsid w:val="3AF93D6C"/>
    <w:rsid w:val="3B7C2CE4"/>
    <w:rsid w:val="3BAF716B"/>
    <w:rsid w:val="3C0B5355"/>
    <w:rsid w:val="3C2B1DB1"/>
    <w:rsid w:val="3CD4176B"/>
    <w:rsid w:val="3D1F44D9"/>
    <w:rsid w:val="3D5C38CD"/>
    <w:rsid w:val="3D94162C"/>
    <w:rsid w:val="3E5070F1"/>
    <w:rsid w:val="3F6C3589"/>
    <w:rsid w:val="3F850180"/>
    <w:rsid w:val="3F9004D6"/>
    <w:rsid w:val="3FD371E4"/>
    <w:rsid w:val="400E4D5E"/>
    <w:rsid w:val="40B12B1D"/>
    <w:rsid w:val="40E1138C"/>
    <w:rsid w:val="413814BA"/>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3E5341"/>
    <w:rsid w:val="475023F8"/>
    <w:rsid w:val="479D361E"/>
    <w:rsid w:val="47B74789"/>
    <w:rsid w:val="480F2B9D"/>
    <w:rsid w:val="48282920"/>
    <w:rsid w:val="485321E0"/>
    <w:rsid w:val="48546AD3"/>
    <w:rsid w:val="48CA4868"/>
    <w:rsid w:val="48F005D3"/>
    <w:rsid w:val="49547ADD"/>
    <w:rsid w:val="49732351"/>
    <w:rsid w:val="498F4AF1"/>
    <w:rsid w:val="49C05787"/>
    <w:rsid w:val="49CF518D"/>
    <w:rsid w:val="49EB623E"/>
    <w:rsid w:val="4ADA1F63"/>
    <w:rsid w:val="4AE23D89"/>
    <w:rsid w:val="4B2038D0"/>
    <w:rsid w:val="4B296E7D"/>
    <w:rsid w:val="4B79394E"/>
    <w:rsid w:val="4B877F28"/>
    <w:rsid w:val="4C9C17E3"/>
    <w:rsid w:val="4D916BA6"/>
    <w:rsid w:val="4DC44169"/>
    <w:rsid w:val="4DE24E21"/>
    <w:rsid w:val="4E1B19A3"/>
    <w:rsid w:val="4EF0709E"/>
    <w:rsid w:val="4F0469A4"/>
    <w:rsid w:val="513C6A7B"/>
    <w:rsid w:val="529B324A"/>
    <w:rsid w:val="532D486F"/>
    <w:rsid w:val="5333545B"/>
    <w:rsid w:val="538D0E89"/>
    <w:rsid w:val="5450213C"/>
    <w:rsid w:val="54D24048"/>
    <w:rsid w:val="54D64CD5"/>
    <w:rsid w:val="55347222"/>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D4A15F3"/>
    <w:rsid w:val="5D69542A"/>
    <w:rsid w:val="5D783B72"/>
    <w:rsid w:val="5E0930EF"/>
    <w:rsid w:val="5E3D4D53"/>
    <w:rsid w:val="5E4717E6"/>
    <w:rsid w:val="5E55774C"/>
    <w:rsid w:val="60045F96"/>
    <w:rsid w:val="60104DDC"/>
    <w:rsid w:val="605C0804"/>
    <w:rsid w:val="61880C00"/>
    <w:rsid w:val="6189617B"/>
    <w:rsid w:val="61B52BB6"/>
    <w:rsid w:val="61B749C2"/>
    <w:rsid w:val="61FA4799"/>
    <w:rsid w:val="62280D20"/>
    <w:rsid w:val="629B43B7"/>
    <w:rsid w:val="62A065CE"/>
    <w:rsid w:val="62CA2457"/>
    <w:rsid w:val="638240A1"/>
    <w:rsid w:val="63833423"/>
    <w:rsid w:val="63A5257B"/>
    <w:rsid w:val="63BD3DCC"/>
    <w:rsid w:val="63C61741"/>
    <w:rsid w:val="64560967"/>
    <w:rsid w:val="64613150"/>
    <w:rsid w:val="64E15548"/>
    <w:rsid w:val="656B1D10"/>
    <w:rsid w:val="65B841F9"/>
    <w:rsid w:val="65B97588"/>
    <w:rsid w:val="66022B28"/>
    <w:rsid w:val="66120F31"/>
    <w:rsid w:val="664A38E2"/>
    <w:rsid w:val="66581E87"/>
    <w:rsid w:val="66FA11D5"/>
    <w:rsid w:val="674302C7"/>
    <w:rsid w:val="680A5986"/>
    <w:rsid w:val="680D5F4B"/>
    <w:rsid w:val="68113F51"/>
    <w:rsid w:val="68AB4E03"/>
    <w:rsid w:val="68E94770"/>
    <w:rsid w:val="68F949C9"/>
    <w:rsid w:val="695A4290"/>
    <w:rsid w:val="6A334932"/>
    <w:rsid w:val="6A3353FF"/>
    <w:rsid w:val="6A5D63E6"/>
    <w:rsid w:val="6A5F24D1"/>
    <w:rsid w:val="6AE347EB"/>
    <w:rsid w:val="6B434AF0"/>
    <w:rsid w:val="6B57675A"/>
    <w:rsid w:val="6BDD7B4D"/>
    <w:rsid w:val="6D1C5CAB"/>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451678"/>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A416F0"/>
    <w:rsid w:val="79B03EB6"/>
    <w:rsid w:val="7A291B9A"/>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B327B8"/>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Char"/>
    <w:basedOn w:val="25"/>
    <w:link w:val="18"/>
    <w:semiHidden/>
    <w:qFormat/>
    <w:uiPriority w:val="99"/>
    <w:rPr>
      <w:sz w:val="18"/>
      <w:szCs w:val="18"/>
    </w:rPr>
  </w:style>
  <w:style w:type="character" w:customStyle="1" w:styleId="32">
    <w:name w:val="页脚 Char"/>
    <w:basedOn w:val="25"/>
    <w:link w:val="17"/>
    <w:qFormat/>
    <w:uiPriority w:val="99"/>
    <w:rPr>
      <w:sz w:val="18"/>
      <w:szCs w:val="18"/>
    </w:rPr>
  </w:style>
  <w:style w:type="character" w:customStyle="1" w:styleId="33">
    <w:name w:val="标题 1 Char"/>
    <w:basedOn w:val="25"/>
    <w:link w:val="4"/>
    <w:qFormat/>
    <w:uiPriority w:val="9"/>
    <w:rPr>
      <w:rFonts w:eastAsia="方正小标宋简体"/>
      <w:bCs/>
      <w:kern w:val="44"/>
      <w:sz w:val="44"/>
      <w:szCs w:val="44"/>
    </w:rPr>
  </w:style>
  <w:style w:type="character" w:customStyle="1" w:styleId="34">
    <w:name w:val="标题 2 Char"/>
    <w:basedOn w:val="25"/>
    <w:link w:val="5"/>
    <w:qFormat/>
    <w:uiPriority w:val="9"/>
    <w:rPr>
      <w:rFonts w:eastAsia="方正小标宋简体" w:asciiTheme="majorHAnsi" w:hAnsiTheme="majorHAnsi" w:cstheme="majorBidi"/>
      <w:bCs/>
      <w:sz w:val="36"/>
      <w:szCs w:val="32"/>
    </w:rPr>
  </w:style>
  <w:style w:type="character" w:customStyle="1" w:styleId="35">
    <w:name w:val="标题 3 Char"/>
    <w:basedOn w:val="25"/>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5"/>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5"/>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1">
    <w:name w:val="Body text|1"/>
    <w:basedOn w:val="1"/>
    <w:qFormat/>
    <w:uiPriority w:val="0"/>
    <w:pPr>
      <w:widowControl w:val="0"/>
      <w:shd w:val="clear" w:color="auto" w:fill="auto"/>
      <w:spacing w:line="324" w:lineRule="auto"/>
      <w:ind w:firstLine="230"/>
    </w:pPr>
    <w:rPr>
      <w:rFonts w:ascii="宋体" w:hAnsi="宋体" w:eastAsia="宋体" w:cs="宋体"/>
      <w:sz w:val="22"/>
      <w:szCs w:val="22"/>
      <w:u w:val="none"/>
      <w:shd w:val="clear" w:color="auto" w:fill="auto"/>
      <w:lang w:val="zh-TW" w:eastAsia="zh-TW" w:bidi="zh-TW"/>
    </w:rPr>
  </w:style>
  <w:style w:type="paragraph" w:customStyle="1" w:styleId="52">
    <w:name w:val="表格文字"/>
    <w:basedOn w:val="1"/>
    <w:next w:val="2"/>
    <w:qFormat/>
    <w:uiPriority w:val="0"/>
    <w:pPr>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25528</Words>
  <Characters>26843</Characters>
  <Lines>300</Lines>
  <Paragraphs>84</Paragraphs>
  <TotalTime>31</TotalTime>
  <ScaleCrop>false</ScaleCrop>
  <LinksUpToDate>false</LinksUpToDate>
  <CharactersWithSpaces>28828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2022-09-14T08:15:00Z</cp:lastPrinted>
  <dcterms:modified xsi:type="dcterms:W3CDTF">2022-09-16T07:38:16Z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9D798DBCA0A84E378A3C5EFA68229EDB</vt:lpwstr>
  </property>
</Properties>
</file>