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广州市净水有限公司成立检测监测子公司可行性研究报告咨询服务项目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0" w:name="_Toc18145"/>
      <w:bookmarkStart w:id="1" w:name="_Toc1711"/>
      <w:bookmarkStart w:id="2" w:name="_Toc26148"/>
      <w:bookmarkStart w:id="3" w:name="_Toc17696"/>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4"/>
        <w:jc w:val="center"/>
        <w:rPr>
          <w:color w:val="auto"/>
          <w:highlight w:val="none"/>
        </w:rPr>
      </w:pPr>
      <w:bookmarkStart w:id="4" w:name="_Toc1669"/>
      <w:bookmarkStart w:id="5" w:name="_Toc7519"/>
      <w:bookmarkStart w:id="6" w:name="_Toc19609"/>
      <w:bookmarkStart w:id="7" w:name="_Toc11322"/>
      <w:bookmarkStart w:id="8" w:name="_Toc31938"/>
      <w:bookmarkStart w:id="9" w:name="_Toc4275"/>
      <w:bookmarkStart w:id="10" w:name="_Toc17801"/>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2472690</wp:posOffset>
                </wp:positionH>
                <wp:positionV relativeFrom="paragraph">
                  <wp:posOffset>464820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4.7pt;margin-top:36.6pt;height:0pt;width:75.5pt;z-index:251673600;mso-width-relative:page;mso-height-relative:page;" filled="f" stroked="t" coordsize="21600,21600" o:gfxdata="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nqkM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2463800</wp:posOffset>
                </wp:positionH>
                <wp:positionV relativeFrom="paragraph">
                  <wp:posOffset>25400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4pt;margin-top:2pt;height:0pt;width:75.5pt;z-index:251672576;mso-width-relative:page;mso-height-relative:page;" filled="f" stroked="t" coordsize="21600,21600" o:gfxdata="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bcFJ1gAAAAc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color w:val="auto"/>
          <w:highlight w:val="none"/>
        </w:rPr>
      </w:pPr>
      <w:bookmarkStart w:id="11" w:name="_Toc999"/>
      <w:bookmarkStart w:id="12" w:name="_Toc5230"/>
      <w:bookmarkStart w:id="13" w:name="_Toc30131"/>
      <w:bookmarkStart w:id="14" w:name="_Toc2659"/>
      <w:bookmarkStart w:id="15" w:name="_Toc26363"/>
      <w:bookmarkStart w:id="16" w:name="_Toc28995"/>
      <w:bookmarkStart w:id="17" w:name="_Toc30989"/>
      <w:bookmarkStart w:id="18" w:name="_Toc14238"/>
      <w:bookmarkStart w:id="19" w:name="_Toc10122"/>
      <w:bookmarkStart w:id="20" w:name="_Toc15709"/>
      <w:bookmarkStart w:id="21" w:name="_Toc88209924"/>
      <w:bookmarkStart w:id="22" w:name="_Toc8201"/>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pStyle w:val="2"/>
        <w:rPr>
          <w:rFonts w:hint="eastAsia"/>
          <w:color w:val="auto"/>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jc w:val="center"/>
        <w:rPr>
          <w:rFonts w:hint="eastAsia" w:eastAsia="方正小标宋简体" w:asciiTheme="majorHAnsi" w:hAnsiTheme="majorHAnsi" w:cstheme="majorBidi"/>
          <w:bCs/>
          <w:color w:val="auto"/>
          <w:sz w:val="36"/>
          <w:szCs w:val="32"/>
          <w:highlight w:val="none"/>
          <w:lang w:eastAsia="zh-CN"/>
        </w:rPr>
      </w:pPr>
      <w:bookmarkStart w:id="23" w:name="_Toc9680"/>
      <w:bookmarkStart w:id="24" w:name="_Toc21373"/>
      <w:r>
        <w:rPr>
          <w:rFonts w:hint="eastAsia" w:eastAsia="方正小标宋简体" w:asciiTheme="majorHAnsi" w:hAnsiTheme="majorHAnsi" w:cstheme="majorBidi"/>
          <w:bCs/>
          <w:color w:val="auto"/>
          <w:sz w:val="36"/>
          <w:szCs w:val="32"/>
          <w:highlight w:val="none"/>
          <w:lang w:eastAsia="zh-CN"/>
        </w:rPr>
        <w:t>广州市净水有限公司成立检测监测子公司可行性</w:t>
      </w:r>
    </w:p>
    <w:p>
      <w:pPr>
        <w:jc w:val="center"/>
        <w:rPr>
          <w:rFonts w:hint="eastAsia" w:eastAsia="方正小标宋简体" w:asciiTheme="majorHAnsi" w:hAnsiTheme="majorHAnsi" w:cstheme="majorBidi"/>
          <w:bCs/>
          <w:color w:val="auto"/>
          <w:sz w:val="36"/>
          <w:szCs w:val="32"/>
          <w:highlight w:val="none"/>
          <w:lang w:eastAsia="zh-CN"/>
        </w:rPr>
      </w:pPr>
      <w:r>
        <w:rPr>
          <w:rFonts w:hint="eastAsia" w:eastAsia="方正小标宋简体" w:asciiTheme="majorHAnsi" w:hAnsiTheme="majorHAnsi" w:cstheme="majorBidi"/>
          <w:bCs/>
          <w:color w:val="auto"/>
          <w:sz w:val="36"/>
          <w:szCs w:val="32"/>
          <w:highlight w:val="none"/>
          <w:lang w:eastAsia="zh-CN"/>
        </w:rPr>
        <w:t>研究报告咨询服务项目</w:t>
      </w:r>
      <w:bookmarkStart w:id="148" w:name="_GoBack"/>
      <w:bookmarkEnd w:id="148"/>
    </w:p>
    <w:p>
      <w:pPr>
        <w:pStyle w:val="5"/>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广州市净水有限公司成立检测监测子公司可行性研究报告咨询服务项目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广州市净水有限公司成立检测监测子公司可行性研究报告咨询服务项目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XJ-20220914-2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198</w:t>
      </w:r>
      <w:r>
        <w:rPr>
          <w:rFonts w:hint="eastAsia" w:ascii="仿宋_GB2312" w:eastAsia="仿宋_GB2312"/>
          <w:color w:val="auto"/>
          <w:sz w:val="28"/>
          <w:szCs w:val="28"/>
          <w:highlight w:val="none"/>
          <w:u w:val="single"/>
        </w:rPr>
        <w:t xml:space="preserve">,000.00元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收集、整理与本项目相关的法律法规、政策及同行案例等;审慎梳理了解检测监测子公司可承接的检测监测业务量及未来发展规划等工作，并进行投资必要性、投资市场预测、投资规模、投资方式、投资效益及投资风险等综合分析、评估;撰写《广州市净水有限公司成立</w:t>
      </w:r>
      <w:r>
        <w:rPr>
          <w:rFonts w:hint="eastAsia" w:ascii="仿宋_GB2312" w:eastAsia="仿宋_GB2312"/>
          <w:color w:val="auto"/>
          <w:sz w:val="28"/>
          <w:szCs w:val="28"/>
          <w:highlight w:val="none"/>
          <w:u w:val="single"/>
        </w:rPr>
        <w:t>检测监测</w:t>
      </w:r>
      <w:r>
        <w:rPr>
          <w:rFonts w:hint="eastAsia" w:ascii="仿宋_GB2312" w:eastAsia="仿宋_GB2312"/>
          <w:color w:val="auto"/>
          <w:sz w:val="28"/>
          <w:szCs w:val="28"/>
          <w:highlight w:val="none"/>
          <w:u w:val="single"/>
          <w:lang w:val="en-US" w:eastAsia="zh-CN"/>
        </w:rPr>
        <w:t>子公司可行性研究报告》，提出可行性研究的结论及建议。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自合同签订之日起4</w:t>
      </w:r>
      <w:r>
        <w:rPr>
          <w:rFonts w:hint="eastAsia" w:ascii="仿宋_GB2312" w:eastAsia="仿宋_GB2312"/>
          <w:color w:val="auto"/>
          <w:sz w:val="28"/>
          <w:szCs w:val="28"/>
          <w:highlight w:val="none"/>
          <w:u w:val="single"/>
        </w:rPr>
        <w:t xml:space="preserve">个月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水质中心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形成《广州市净水有限公司成立</w:t>
      </w:r>
      <w:r>
        <w:rPr>
          <w:rFonts w:hint="eastAsia" w:ascii="仿宋_GB2312" w:eastAsia="仿宋_GB2312"/>
          <w:color w:val="auto"/>
          <w:sz w:val="28"/>
          <w:szCs w:val="28"/>
          <w:highlight w:val="none"/>
          <w:u w:val="single"/>
        </w:rPr>
        <w:t>检测监测</w:t>
      </w:r>
      <w:r>
        <w:rPr>
          <w:rFonts w:hint="eastAsia" w:ascii="仿宋_GB2312" w:eastAsia="仿宋_GB2312"/>
          <w:color w:val="auto"/>
          <w:sz w:val="28"/>
          <w:szCs w:val="28"/>
          <w:highlight w:val="none"/>
          <w:u w:val="single"/>
          <w:lang w:val="en-US" w:eastAsia="zh-CN"/>
        </w:rPr>
        <w:t>子公司可行性研究报告》，提出可行性研究的结论及建议。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资质</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2019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rPr>
        <w:t xml:space="preserve">  单项合同金额不少于</w:t>
      </w:r>
      <w:r>
        <w:rPr>
          <w:rFonts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万元的</w:t>
      </w:r>
      <w:r>
        <w:rPr>
          <w:rFonts w:hint="eastAsia" w:ascii="仿宋_GB2312" w:eastAsia="仿宋_GB2312"/>
          <w:color w:val="auto"/>
          <w:sz w:val="28"/>
          <w:szCs w:val="28"/>
          <w:highlight w:val="none"/>
          <w:u w:val="single"/>
          <w:lang w:val="en-US" w:eastAsia="zh-CN"/>
        </w:rPr>
        <w:t>可行性研究报告</w:t>
      </w:r>
      <w:r>
        <w:rPr>
          <w:rFonts w:hint="eastAsia" w:ascii="仿宋_GB2312" w:eastAsia="仿宋_GB2312"/>
          <w:color w:val="auto"/>
          <w:sz w:val="28"/>
          <w:szCs w:val="28"/>
          <w:highlight w:val="none"/>
          <w:u w:val="single"/>
        </w:rPr>
        <w:t xml:space="preserve">咨询服务 </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（6）其他要求：</w:t>
      </w:r>
      <w:r>
        <w:rPr>
          <w:rFonts w:hint="eastAsia" w:ascii="仿宋_GB2312" w:eastAsia="仿宋_GB2312"/>
          <w:color w:val="auto"/>
          <w:sz w:val="28"/>
          <w:szCs w:val="28"/>
          <w:highlight w:val="none"/>
          <w:lang w:val="en-US" w:eastAsia="zh-CN"/>
        </w:rPr>
        <w:t>1.通过全国投资项目在线审批监管平台备案告知有关信息，并提供证明；</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2.本项目须</w:t>
      </w:r>
      <w:r>
        <w:rPr>
          <w:rFonts w:hint="eastAsia" w:ascii="仿宋_GB2312" w:eastAsia="仿宋_GB2312"/>
          <w:color w:val="auto"/>
          <w:sz w:val="28"/>
          <w:szCs w:val="28"/>
          <w:highlight w:val="none"/>
          <w:u w:val="single"/>
        </w:rPr>
        <w:t>配备中、高级专业技术职称咨询人员不少于</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人</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提供在本单位近三个月社保记录（以加盖社会保险基金管理中心印章的《缴费历史明细表》或《社会保险参保人员证明》为准，加盖单位公章。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ind w:firstLine="0"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踏勘时间：                     </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 xml:space="preserve">踏勘集中地点：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25" w:name="_Toc32588"/>
      <w:bookmarkStart w:id="26" w:name="_Toc23749"/>
      <w:bookmarkStart w:id="27" w:name="_Toc16557"/>
      <w:bookmarkStart w:id="28" w:name="_Toc10891"/>
      <w:bookmarkStart w:id="29" w:name="_Toc7340"/>
      <w:bookmarkStart w:id="30" w:name="_Toc16705"/>
      <w:bookmarkStart w:id="31" w:name="_Toc19295"/>
      <w:bookmarkStart w:id="32" w:name="_Toc25603"/>
      <w:bookmarkStart w:id="33" w:name="_Toc2331"/>
      <w:bookmarkStart w:id="34" w:name="_Toc9448"/>
      <w:bookmarkStart w:id="35" w:name="_Toc2324"/>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2489200</wp:posOffset>
                </wp:positionH>
                <wp:positionV relativeFrom="paragraph">
                  <wp:posOffset>497840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96pt;margin-top:39.2pt;height:0pt;width:75.5pt;z-index:251675648;mso-width-relative:page;mso-height-relative:page;" filled="f" stroked="t" coordsize="21600,21600" o:gfxdata="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i21kbYAAAACQEAAA8AAAAAAAAAAQAgAAAAIgAAAGRycy9kb3ducmV2LnhtbFBLAQIU&#10;ABQAAAAIAIdO4kCXp1Xa8wEAAOQDAAAOAAAAAAAAAAEAIAAAACc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2447290</wp:posOffset>
                </wp:positionH>
                <wp:positionV relativeFrom="paragraph">
                  <wp:posOffset>33655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2.7pt;margin-top:2.65pt;height:0pt;width:75.5pt;z-index:251674624;mso-width-relative:page;mso-height-relative:page;" filled="f" stroked="t" coordsize="21600,21600" o:gfxdata="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rPEl9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color w:val="auto"/>
          <w:highlight w:val="none"/>
        </w:rPr>
      </w:pPr>
    </w:p>
    <w:p>
      <w:pPr>
        <w:pStyle w:val="5"/>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asciiTheme="minorEastAsia" w:hAnsiTheme="minorEastAsia"/>
          <w:b/>
          <w:color w:val="auto"/>
          <w:sz w:val="32"/>
          <w:szCs w:val="32"/>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2466975</wp:posOffset>
                </wp:positionH>
                <wp:positionV relativeFrom="paragraph">
                  <wp:posOffset>447040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4.25pt;margin-top:35.2pt;height:0pt;width:75.5pt;z-index:251663360;mso-width-relative:page;mso-height-relative:page;" filled="f" stroked="t" coordsize="21600,21600" o:gfxdata="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jjPo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2465705</wp:posOffset>
                </wp:positionH>
                <wp:positionV relativeFrom="paragraph">
                  <wp:posOffset>38735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4.15pt;margin-top:3.05pt;height:0pt;width:75.5pt;z-index:251662336;mso-width-relative:page;mso-height-relative:page;" filled="f" stroked="t" coordsize="21600,21600" o:gfxdata="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1Fj6D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8"/>
      <w:bookmarkEnd w:id="39"/>
    </w:p>
    <w:p>
      <w:pPr>
        <w:pStyle w:val="5"/>
        <w:rPr>
          <w:color w:val="auto"/>
          <w:highlight w:val="none"/>
        </w:rPr>
      </w:pPr>
      <w:bookmarkStart w:id="40" w:name="_Toc88209934"/>
      <w:bookmarkStart w:id="41" w:name="_Toc87616371"/>
      <w:bookmarkStart w:id="42" w:name="_Toc7040"/>
      <w:bookmarkStart w:id="43" w:name="_Toc7303"/>
      <w:r>
        <w:rPr>
          <w:rFonts w:hint="eastAsia"/>
          <w:color w:val="auto"/>
          <w:highlight w:val="none"/>
        </w:rPr>
        <w:t>采购方法</w:t>
      </w:r>
      <w:bookmarkEnd w:id="40"/>
      <w:bookmarkEnd w:id="41"/>
      <w:bookmarkEnd w:id="42"/>
      <w:bookmarkEnd w:id="43"/>
    </w:p>
    <w:p>
      <w:pPr>
        <w:pStyle w:val="5"/>
        <w:rPr>
          <w:rFonts w:hint="eastAsia"/>
          <w:color w:val="auto"/>
          <w:highlight w:val="none"/>
        </w:rPr>
      </w:pPr>
      <w:bookmarkStart w:id="44" w:name="_Toc3789"/>
      <w:bookmarkStart w:id="45" w:name="_Toc24895"/>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pStyle w:val="4"/>
        <w:rPr>
          <w:rFonts w:hint="eastAsia"/>
          <w:color w:val="auto"/>
          <w:highlight w:val="none"/>
        </w:rPr>
      </w:pPr>
      <w:bookmarkStart w:id="46" w:name="_Toc14870"/>
      <w:bookmarkStart w:id="47" w:name="_Toc7118"/>
      <w:bookmarkStart w:id="48" w:name="_Toc19050"/>
      <w:bookmarkStart w:id="49" w:name="_Toc7437"/>
      <w:bookmarkStart w:id="50" w:name="_Toc4952"/>
      <w:bookmarkStart w:id="51" w:name="_Toc20594"/>
      <w:bookmarkStart w:id="52" w:name="_Toc14552"/>
      <w:bookmarkStart w:id="53" w:name="_Toc19759"/>
      <w:bookmarkStart w:id="54" w:name="_Toc10930"/>
      <w:bookmarkStart w:id="55" w:name="_Toc23581"/>
      <w:bookmarkStart w:id="56" w:name="_Toc3156"/>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2463165</wp:posOffset>
                </wp:positionH>
                <wp:positionV relativeFrom="paragraph">
                  <wp:posOffset>373380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3.95pt;margin-top:29.4pt;height:0pt;width:75.5pt;z-index:251665408;mso-width-relative:page;mso-height-relative:page;" filled="f" stroked="t" coordsize="21600,21600" o:gfxdata="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h93gTWAAAACQ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2457450</wp:posOffset>
                </wp:positionH>
                <wp:positionV relativeFrom="paragraph">
                  <wp:posOffset>22860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3.5pt;margin-top:1.8pt;height:0pt;width:75.5pt;z-index:251664384;mso-width-relative:page;mso-height-relative:page;" filled="f" stroked="t" coordsize="21600,21600" o:gfxdata="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fm0kNUAAAAHAQAADwAAAAAAAAABACAAAAAiAAAAZHJzL2Rvd25yZXYueG1sUEsBAhQAFAAA&#10;AAgAh07iQJAxwLDyAQAA4gMAAA4AAAAAAAAAAQAgAAAAJA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35"/>
        <w:rPr>
          <w:color w:val="auto"/>
          <w:highlight w:val="none"/>
        </w:rPr>
      </w:pPr>
    </w:p>
    <w:p>
      <w:pPr>
        <w:pStyle w:val="4"/>
        <w:rPr>
          <w:rFonts w:ascii="方正小标宋简体" w:eastAsia="方正小标宋简体"/>
          <w:color w:val="auto"/>
          <w:sz w:val="44"/>
          <w:szCs w:val="44"/>
          <w:highlight w:val="none"/>
        </w:rPr>
      </w:pPr>
      <w:bookmarkStart w:id="57" w:name="_Toc12177"/>
      <w:bookmarkStart w:id="58" w:name="_Toc87616378"/>
      <w:bookmarkStart w:id="59" w:name="_Toc6308"/>
      <w:bookmarkStart w:id="60" w:name="_Toc29345"/>
      <w:bookmarkStart w:id="61" w:name="_Toc29484"/>
      <w:bookmarkStart w:id="62" w:name="_Toc7831"/>
      <w:bookmarkStart w:id="63" w:name="_Toc88209941"/>
      <w:bookmarkStart w:id="64" w:name="_Toc21840"/>
      <w:bookmarkStart w:id="65" w:name="_Toc32607"/>
      <w:bookmarkStart w:id="66" w:name="_Toc30530"/>
      <w:bookmarkStart w:id="67" w:name="_Toc22212"/>
      <w:bookmarkStart w:id="68" w:name="_Toc21079"/>
      <w:bookmarkStart w:id="69" w:name="_Toc13898"/>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pStyle w:val="5"/>
        <w:rPr>
          <w:rFonts w:hint="eastAsia"/>
          <w:color w:val="auto"/>
          <w:highlight w:val="none"/>
        </w:rPr>
      </w:pPr>
      <w:bookmarkStart w:id="70" w:name="_Toc23033"/>
      <w:bookmarkStart w:id="71" w:name="_Toc2682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p>
    <w:p>
      <w:pPr>
        <w:rPr>
          <w:rFonts w:hint="eastAsia"/>
          <w:color w:val="auto"/>
          <w:sz w:val="15"/>
          <w:szCs w:val="15"/>
          <w:highlight w:val="none"/>
        </w:rPr>
      </w:pPr>
    </w:p>
    <w:p>
      <w:pPr>
        <w:pStyle w:val="2"/>
        <w:rPr>
          <w:rFonts w:hint="default"/>
          <w:color w:val="auto"/>
          <w:highlight w:val="none"/>
        </w:rPr>
      </w:pPr>
    </w:p>
    <w:p>
      <w:pPr>
        <w:pStyle w:val="5"/>
        <w:jc w:val="both"/>
        <w:rPr>
          <w:rFonts w:hint="eastAsia"/>
          <w:color w:val="auto"/>
          <w:highlight w:val="none"/>
        </w:rPr>
      </w:pPr>
    </w:p>
    <w:p>
      <w:pPr>
        <w:pStyle w:val="5"/>
        <w:rPr>
          <w:color w:val="auto"/>
          <w:highlight w:val="none"/>
        </w:rPr>
      </w:pPr>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2456180</wp:posOffset>
                </wp:positionH>
                <wp:positionV relativeFrom="paragraph">
                  <wp:posOffset>440055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93.4pt;margin-top:34.65pt;height:0pt;width:75.5pt;z-index:251677696;mso-width-relative:page;mso-height-relative:page;" filled="f" stroked="t" coordsize="21600,21600" o:gfxdata="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Kch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2455545</wp:posOffset>
                </wp:positionH>
                <wp:positionV relativeFrom="paragraph">
                  <wp:posOffset>17145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3.35pt;margin-top:1.35pt;height:0pt;width:75.5pt;z-index:251676672;mso-width-relative:page;mso-height-relative:page;" filled="f" stroked="t" coordsize="21600,21600" o:gfxdata="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w4WJtUAAAAH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第五章</w:t>
      </w:r>
    </w:p>
    <w:p>
      <w:pPr>
        <w:pStyle w:val="4"/>
        <w:rPr>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研究方向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通过体制改革和优化管理架构模式，充分利用公司在水质检测监测方面积累的经验、技术优势和人才队伍，将中心实验室建设打造为华南地区一流的标准化实验室，重点培育高精尖的专业检测与在线监测技术运维机构队伍，在服务公司主营业务的基础上，逐步探索对外发展，将公司水质检测、在线监测运维管理水平提升至新台阶，全面提升公司在环保监测领域的核心竞争力和辐射力，着力打造国内一流环保</w:t>
      </w:r>
      <w:r>
        <w:rPr>
          <w:rFonts w:hint="eastAsia" w:ascii="仿宋_GB2312" w:eastAsia="仿宋_GB2312"/>
          <w:color w:val="auto"/>
          <w:sz w:val="32"/>
          <w:szCs w:val="32"/>
          <w:highlight w:val="none"/>
          <w:lang w:val="en-US" w:eastAsia="zh-CN"/>
        </w:rPr>
        <w:t>检测</w:t>
      </w:r>
      <w:r>
        <w:rPr>
          <w:rFonts w:hint="eastAsia" w:ascii="仿宋_GB2312" w:eastAsia="仿宋_GB2312"/>
          <w:color w:val="auto"/>
          <w:sz w:val="32"/>
          <w:szCs w:val="32"/>
          <w:highlight w:val="none"/>
        </w:rPr>
        <w:t>监测服务团队。</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（一）收集、整理与本项目相关的法律法规、政策及同行案例等;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（二）审慎梳理了解检测监测子公司可承接的检测监测业务量及未来发展规划等工作，并进行投资必要性、投资市场预测、投资规模、投资方式、投资效益及投资风险等综合分析、评估;</w:t>
      </w:r>
    </w:p>
    <w:p>
      <w:pPr>
        <w:spacing w:line="560" w:lineRule="exact"/>
        <w:ind w:firstLine="640" w:firstLineChars="200"/>
        <w:textAlignment w:val="auto"/>
        <w:rPr>
          <w:color w:val="auto"/>
          <w:szCs w:val="44"/>
          <w:highlight w:val="none"/>
        </w:rPr>
      </w:pPr>
      <w:r>
        <w:rPr>
          <w:rFonts w:hint="eastAsia" w:ascii="仿宋_GB2312" w:eastAsia="仿宋_GB2312"/>
          <w:color w:val="auto"/>
          <w:sz w:val="32"/>
          <w:szCs w:val="32"/>
          <w:highlight w:val="none"/>
          <w:lang w:val="en-US" w:eastAsia="zh-CN"/>
        </w:rPr>
        <w:t>（三）撰写《广州市净水有限公司成立</w:t>
      </w:r>
      <w:r>
        <w:rPr>
          <w:rFonts w:hint="eastAsia" w:ascii="仿宋_GB2312" w:eastAsia="仿宋_GB2312"/>
          <w:color w:val="auto"/>
          <w:sz w:val="32"/>
          <w:szCs w:val="32"/>
          <w:highlight w:val="none"/>
        </w:rPr>
        <w:t>检测监测</w:t>
      </w:r>
      <w:r>
        <w:rPr>
          <w:rFonts w:hint="eastAsia" w:ascii="仿宋_GB2312" w:eastAsia="仿宋_GB2312"/>
          <w:color w:val="auto"/>
          <w:sz w:val="32"/>
          <w:szCs w:val="32"/>
          <w:highlight w:val="none"/>
          <w:lang w:val="en-US" w:eastAsia="zh-CN"/>
        </w:rPr>
        <w:t>子公司可行性研究报告》，提出可行性研究的结论及建议。</w:t>
      </w:r>
    </w:p>
    <w:p>
      <w:pPr>
        <w:pStyle w:val="5"/>
        <w:rPr>
          <w:color w:val="auto"/>
          <w:szCs w:val="44"/>
          <w:highlight w:val="none"/>
        </w:rPr>
      </w:pPr>
      <w:r>
        <w:rPr>
          <w:rFonts w:hint="eastAsia"/>
          <w:color w:val="auto"/>
          <w:szCs w:val="44"/>
          <w:highlight w:val="none"/>
        </w:rPr>
        <w:t>采购需求编制说明</w:t>
      </w:r>
      <w:bookmarkEnd w:id="7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color w:val="auto"/>
          <w:highlight w:val="none"/>
        </w:rPr>
      </w:pPr>
    </w:p>
    <w:p>
      <w:pPr>
        <w:pStyle w:val="2"/>
        <w:ind w:firstLine="0"/>
        <w:rPr>
          <w:color w:val="auto"/>
          <w:highlight w:val="none"/>
        </w:rPr>
      </w:pPr>
    </w:p>
    <w:p>
      <w:pPr>
        <w:pStyle w:val="2"/>
        <w:rPr>
          <w:color w:val="auto"/>
          <w:highlight w:val="none"/>
        </w:rPr>
      </w:pPr>
    </w:p>
    <w:p>
      <w:pPr>
        <w:pStyle w:val="4"/>
        <w:ind w:firstLine="3960" w:firstLineChars="900"/>
        <w:jc w:val="both"/>
        <w:rPr>
          <w:color w:val="auto"/>
          <w:highlight w:val="none"/>
        </w:rPr>
      </w:pPr>
      <w:bookmarkStart w:id="73" w:name="_Toc537"/>
      <w:bookmarkStart w:id="74" w:name="_Toc12135"/>
      <w:bookmarkStart w:id="75" w:name="_Toc29835"/>
      <w:bookmarkStart w:id="76" w:name="_Toc1284"/>
      <w:bookmarkStart w:id="77" w:name="_Toc25925"/>
      <w:bookmarkStart w:id="78" w:name="_Toc18538"/>
      <w:bookmarkStart w:id="79" w:name="_Toc4680"/>
      <w:bookmarkStart w:id="80" w:name="_Toc15570"/>
      <w:bookmarkStart w:id="81" w:name="_Toc23353"/>
      <w:bookmarkStart w:id="82" w:name="_Toc1496"/>
      <w:bookmarkStart w:id="83" w:name="_Toc23330"/>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2413000</wp:posOffset>
                </wp:positionH>
                <wp:positionV relativeFrom="paragraph">
                  <wp:posOffset>106680</wp:posOffset>
                </wp:positionV>
                <wp:extent cx="93599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359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0pt;margin-top:8.4pt;height:0pt;width:73.7pt;z-index:251666432;mso-width-relative:page;mso-height-relative:page;" filled="f" stroked="t" coordsize="21600,21600" o:gfxdata="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UP3n1wAAAAkBAAAPAAAAAAAAAAEAIAAAACIAAABkcnMvZG93bnJldi54bWxQSwECFAAU&#10;AAAACACHTuJA9q6sU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2397125</wp:posOffset>
                </wp:positionH>
                <wp:positionV relativeFrom="paragraph">
                  <wp:posOffset>607060</wp:posOffset>
                </wp:positionV>
                <wp:extent cx="1039495" cy="7620"/>
                <wp:effectExtent l="0" t="0" r="0" b="0"/>
                <wp:wrapNone/>
                <wp:docPr id="6" name="自选图形 9"/>
                <wp:cNvGraphicFramePr/>
                <a:graphic xmlns:a="http://schemas.openxmlformats.org/drawingml/2006/main">
                  <a:graphicData uri="http://schemas.microsoft.com/office/word/2010/wordprocessingShape">
                    <wps:wsp>
                      <wps:cNvCnPr/>
                      <wps:spPr>
                        <a:xfrm>
                          <a:off x="0" y="0"/>
                          <a:ext cx="1039495"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8.75pt;margin-top:47.8pt;height:0.6pt;width:81.85pt;z-index:251667456;mso-width-relative:page;mso-height-relative:page;" filled="f" stroked="t" coordsize="21600,21600" o:gfxdata="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lBwAzYAAAACQEAAA8AAAAAAAAAAQAgAAAAIgAAAGRycy9kb3ducmV2Lnht&#10;bFBLAQIUABQAAAAIAIdO4kAbVsde+QEAAOYDAAAOAAAAAAAAAAEAIAAAACc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4"/>
        <w:rPr>
          <w:rFonts w:hint="eastAsia"/>
          <w:color w:val="auto"/>
          <w:highlight w:val="none"/>
        </w:rPr>
      </w:pPr>
      <w:bookmarkStart w:id="84" w:name="_Toc19088"/>
      <w:bookmarkStart w:id="85" w:name="_Toc1375"/>
      <w:bookmarkStart w:id="86" w:name="_Toc88209949"/>
      <w:bookmarkStart w:id="87" w:name="_Toc22501"/>
      <w:bookmarkStart w:id="88" w:name="_Toc12968"/>
      <w:bookmarkStart w:id="89" w:name="_Toc8183"/>
      <w:bookmarkStart w:id="90" w:name="_Toc87616386"/>
      <w:bookmarkStart w:id="91" w:name="_Toc12721"/>
      <w:bookmarkStart w:id="92" w:name="_Toc13309"/>
      <w:bookmarkStart w:id="93" w:name="_Toc22797"/>
      <w:bookmarkStart w:id="94" w:name="_Toc19686"/>
      <w:bookmarkStart w:id="95" w:name="_Toc12980"/>
      <w:bookmarkStart w:id="96" w:name="_Toc323"/>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jc w:val="center"/>
        <w:rPr>
          <w:rFonts w:hint="eastAsia" w:eastAsia="黑体"/>
          <w:b/>
          <w:bCs/>
          <w:color w:val="auto"/>
          <w:sz w:val="72"/>
          <w:highlight w:val="none"/>
        </w:rPr>
      </w:pPr>
      <w:r>
        <w:rPr>
          <w:rFonts w:hint="eastAsia" w:eastAsia="黑体"/>
          <w:b/>
          <w:bCs/>
          <w:color w:val="auto"/>
          <w:sz w:val="72"/>
          <w:highlight w:val="none"/>
        </w:rPr>
        <w:t>可行性研究报告编制合同</w:t>
      </w:r>
    </w:p>
    <w:p>
      <w:pPr>
        <w:jc w:val="center"/>
        <w:rPr>
          <w:rFonts w:hint="eastAsia" w:ascii="宋体" w:hAnsi="宋体"/>
          <w:color w:val="auto"/>
          <w:sz w:val="44"/>
          <w:szCs w:val="44"/>
          <w:highlight w:val="none"/>
        </w:rPr>
      </w:pPr>
    </w:p>
    <w:p>
      <w:pPr>
        <w:jc w:val="center"/>
        <w:rPr>
          <w:rFonts w:hint="eastAsia"/>
          <w:color w:val="auto"/>
          <w:sz w:val="44"/>
          <w:szCs w:val="44"/>
          <w:highlight w:val="none"/>
        </w:rPr>
      </w:pPr>
    </w:p>
    <w:p>
      <w:pPr>
        <w:jc w:val="center"/>
        <w:rPr>
          <w:rFonts w:hint="eastAsia"/>
          <w:color w:val="auto"/>
          <w:sz w:val="44"/>
          <w:szCs w:val="44"/>
          <w:highlight w:val="none"/>
        </w:rPr>
      </w:pPr>
    </w:p>
    <w:p>
      <w:pPr>
        <w:spacing w:line="600" w:lineRule="auto"/>
        <w:ind w:left="2326" w:hanging="2326" w:hangingChars="500"/>
        <w:rPr>
          <w:rFonts w:hint="eastAsia" w:ascii="宋体" w:hAnsi="宋体"/>
          <w:color w:val="auto"/>
          <w:sz w:val="30"/>
          <w:szCs w:val="30"/>
          <w:highlight w:val="none"/>
          <w:u w:val="single"/>
        </w:rPr>
      </w:pPr>
      <w:r>
        <w:rPr>
          <w:rFonts w:hint="eastAsia"/>
          <w:b/>
          <w:bCs/>
          <w:color w:val="auto"/>
          <w:spacing w:val="82"/>
          <w:sz w:val="30"/>
          <w:highlight w:val="none"/>
        </w:rPr>
        <w:t>合同名称：</w:t>
      </w:r>
      <w:r>
        <w:rPr>
          <w:rFonts w:hint="eastAsia" w:ascii="宋体" w:hAnsi="宋体"/>
          <w:color w:val="auto"/>
          <w:sz w:val="30"/>
          <w:szCs w:val="30"/>
          <w:highlight w:val="none"/>
          <w:u w:val="single"/>
          <w:lang w:val="en-US" w:eastAsia="zh-CN"/>
        </w:rPr>
        <w:t xml:space="preserve"> 广州市净水有限公司成立检测监测子公司</w:t>
      </w:r>
      <w:r>
        <w:rPr>
          <w:rFonts w:hint="eastAsia" w:ascii="宋体" w:hAnsi="宋体"/>
          <w:color w:val="auto"/>
          <w:sz w:val="30"/>
          <w:szCs w:val="30"/>
          <w:highlight w:val="none"/>
          <w:u w:val="single"/>
        </w:rPr>
        <w:t>可行性</w:t>
      </w:r>
      <w:r>
        <w:rPr>
          <w:rFonts w:hint="eastAsia"/>
          <w:bCs/>
          <w:color w:val="auto"/>
          <w:sz w:val="30"/>
          <w:szCs w:val="30"/>
          <w:highlight w:val="none"/>
          <w:u w:val="single"/>
        </w:rPr>
        <w:t>研究报告编制</w:t>
      </w:r>
      <w:r>
        <w:rPr>
          <w:rFonts w:hint="eastAsia"/>
          <w:bCs/>
          <w:color w:val="auto"/>
          <w:sz w:val="30"/>
          <w:szCs w:val="30"/>
          <w:highlight w:val="none"/>
          <w:u w:val="single"/>
          <w:lang w:val="en-US" w:eastAsia="zh-CN"/>
        </w:rPr>
        <w:t>合同</w:t>
      </w:r>
    </w:p>
    <w:p>
      <w:pPr>
        <w:spacing w:line="600" w:lineRule="auto"/>
        <w:rPr>
          <w:rFonts w:hint="eastAsia"/>
          <w:b/>
          <w:bCs/>
          <w:color w:val="auto"/>
          <w:sz w:val="30"/>
          <w:highlight w:val="none"/>
          <w:u w:val="single"/>
        </w:rPr>
      </w:pPr>
      <w:r>
        <w:rPr>
          <w:rFonts w:hint="eastAsia"/>
          <w:b/>
          <w:bCs/>
          <w:color w:val="auto"/>
          <w:spacing w:val="82"/>
          <w:sz w:val="30"/>
          <w:highlight w:val="none"/>
        </w:rPr>
        <w:t>工程地点：</w:t>
      </w:r>
      <w:r>
        <w:rPr>
          <w:rFonts w:hint="eastAsia" w:ascii="宋体" w:hAnsi="宋体"/>
          <w:color w:val="auto"/>
          <w:sz w:val="30"/>
          <w:szCs w:val="30"/>
          <w:highlight w:val="none"/>
          <w:u w:val="single"/>
        </w:rPr>
        <w:t>广州市</w:t>
      </w:r>
    </w:p>
    <w:p>
      <w:pPr>
        <w:spacing w:line="600" w:lineRule="auto"/>
        <w:rPr>
          <w:b/>
          <w:bCs/>
          <w:color w:val="auto"/>
          <w:spacing w:val="-14"/>
          <w:sz w:val="28"/>
          <w:highlight w:val="none"/>
          <w:u w:val="single"/>
        </w:rPr>
      </w:pPr>
      <w:r>
        <w:rPr>
          <w:rFonts w:hint="eastAsia"/>
          <w:b/>
          <w:bCs/>
          <w:color w:val="auto"/>
          <w:spacing w:val="82"/>
          <w:sz w:val="30"/>
          <w:highlight w:val="none"/>
        </w:rPr>
        <w:t>合同编号：</w:t>
      </w:r>
      <w:r>
        <w:rPr>
          <w:rFonts w:hint="eastAsia" w:ascii="宋体" w:hAnsi="宋体" w:cs="宋体"/>
          <w:bCs/>
          <w:color w:val="auto"/>
          <w:sz w:val="30"/>
          <w:szCs w:val="30"/>
          <w:highlight w:val="none"/>
          <w:u w:val="single"/>
        </w:rPr>
        <w:t>穗净水合[2022]    号</w:t>
      </w:r>
    </w:p>
    <w:p>
      <w:pPr>
        <w:spacing w:line="600" w:lineRule="auto"/>
        <w:rPr>
          <w:rFonts w:hint="eastAsia"/>
          <w:b/>
          <w:bCs/>
          <w:color w:val="auto"/>
          <w:sz w:val="30"/>
          <w:highlight w:val="none"/>
        </w:rPr>
      </w:pPr>
      <w:r>
        <w:rPr>
          <w:b/>
          <w:bCs/>
          <w:color w:val="auto"/>
          <w:spacing w:val="-14"/>
          <w:sz w:val="28"/>
          <w:highlight w:val="none"/>
        </w:rPr>
        <w:t xml:space="preserve">                   </w:t>
      </w:r>
    </w:p>
    <w:p>
      <w:pPr>
        <w:spacing w:line="600" w:lineRule="auto"/>
        <w:rPr>
          <w:rFonts w:hint="eastAsia"/>
          <w:b/>
          <w:bCs/>
          <w:color w:val="auto"/>
          <w:sz w:val="30"/>
          <w:highlight w:val="none"/>
        </w:rPr>
      </w:pPr>
      <w:r>
        <w:rPr>
          <w:rFonts w:hint="eastAsia"/>
          <w:b/>
          <w:bCs/>
          <w:color w:val="auto"/>
          <w:sz w:val="30"/>
          <w:highlight w:val="none"/>
        </w:rPr>
        <w:t>发   包    人</w:t>
      </w:r>
      <w:r>
        <w:rPr>
          <w:rFonts w:hint="eastAsia"/>
          <w:b/>
          <w:bCs/>
          <w:color w:val="auto"/>
          <w:spacing w:val="82"/>
          <w:sz w:val="30"/>
          <w:highlight w:val="none"/>
        </w:rPr>
        <w:t>：</w:t>
      </w:r>
      <w:r>
        <w:rPr>
          <w:rFonts w:hint="eastAsia" w:ascii="宋体" w:hAnsi="宋体" w:cs="宋体"/>
          <w:bCs/>
          <w:color w:val="auto"/>
          <w:sz w:val="30"/>
          <w:szCs w:val="30"/>
          <w:highlight w:val="none"/>
          <w:u w:val="single"/>
        </w:rPr>
        <w:t>广州市净水有限公司</w:t>
      </w:r>
    </w:p>
    <w:p>
      <w:pPr>
        <w:spacing w:line="600" w:lineRule="auto"/>
        <w:rPr>
          <w:rFonts w:hint="default" w:eastAsia="宋体"/>
          <w:b/>
          <w:bCs/>
          <w:color w:val="auto"/>
          <w:sz w:val="30"/>
          <w:highlight w:val="none"/>
          <w:u w:val="single"/>
          <w:lang w:val="en-US" w:eastAsia="zh-CN"/>
        </w:rPr>
      </w:pPr>
      <w:r>
        <w:rPr>
          <w:rFonts w:hint="eastAsia"/>
          <w:b/>
          <w:bCs/>
          <w:color w:val="auto"/>
          <w:sz w:val="30"/>
          <w:highlight w:val="none"/>
        </w:rPr>
        <w:t>承   包    人</w:t>
      </w:r>
      <w:r>
        <w:rPr>
          <w:rFonts w:hint="eastAsia"/>
          <w:b/>
          <w:bCs/>
          <w:color w:val="auto"/>
          <w:spacing w:val="82"/>
          <w:sz w:val="30"/>
          <w:highlight w:val="none"/>
        </w:rPr>
        <w:t>：</w:t>
      </w:r>
      <w:r>
        <w:rPr>
          <w:rFonts w:hint="eastAsia" w:ascii="宋体" w:hAnsi="宋体" w:cs="宋体"/>
          <w:bCs/>
          <w:color w:val="auto"/>
          <w:sz w:val="30"/>
          <w:szCs w:val="30"/>
          <w:highlight w:val="none"/>
          <w:u w:val="single"/>
          <w:lang w:val="en-US" w:eastAsia="zh-CN"/>
        </w:rPr>
        <w:t xml:space="preserve">                           </w:t>
      </w:r>
    </w:p>
    <w:p>
      <w:pPr>
        <w:rPr>
          <w:rFonts w:hint="eastAsia" w:ascii="宋体" w:hAnsi="宋体" w:cs="宋体"/>
          <w:bCs/>
          <w:color w:val="auto"/>
          <w:sz w:val="30"/>
          <w:szCs w:val="30"/>
          <w:highlight w:val="none"/>
          <w:u w:val="single"/>
        </w:rPr>
      </w:pPr>
      <w:r>
        <w:rPr>
          <w:rFonts w:hint="eastAsia"/>
          <w:b/>
          <w:bCs/>
          <w:color w:val="auto"/>
          <w:spacing w:val="82"/>
          <w:sz w:val="30"/>
          <w:highlight w:val="none"/>
        </w:rPr>
        <w:t>签订日期：</w:t>
      </w:r>
      <w:r>
        <w:rPr>
          <w:rFonts w:hint="eastAsia" w:ascii="宋体" w:hAnsi="宋体" w:cs="宋体"/>
          <w:bCs/>
          <w:color w:val="auto"/>
          <w:sz w:val="30"/>
          <w:szCs w:val="30"/>
          <w:highlight w:val="none"/>
          <w:u w:val="single"/>
        </w:rPr>
        <w:t>2022年  月  日</w:t>
      </w:r>
    </w:p>
    <w:p>
      <w:pPr>
        <w:pStyle w:val="2"/>
        <w:rPr>
          <w:rFonts w:hint="eastAsia"/>
          <w:color w:val="auto"/>
          <w:highlight w:val="none"/>
        </w:rPr>
      </w:pPr>
    </w:p>
    <w:p>
      <w:pPr>
        <w:jc w:val="center"/>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ind w:firstLine="0"/>
        <w:rPr>
          <w:rFonts w:hint="eastAsia" w:ascii="宋体" w:hAnsi="宋体"/>
          <w:color w:val="auto"/>
          <w:sz w:val="44"/>
          <w:szCs w:val="44"/>
          <w:highlight w:val="none"/>
        </w:rPr>
      </w:pPr>
    </w:p>
    <w:p>
      <w:pPr>
        <w:jc w:val="center"/>
        <w:rPr>
          <w:rFonts w:hint="eastAsia" w:ascii="宋体" w:hAnsi="宋体"/>
          <w:color w:val="auto"/>
          <w:sz w:val="44"/>
          <w:szCs w:val="44"/>
          <w:highlight w:val="none"/>
        </w:rPr>
      </w:pPr>
      <w:r>
        <w:rPr>
          <w:rFonts w:hint="eastAsia" w:ascii="宋体" w:hAnsi="宋体"/>
          <w:color w:val="auto"/>
          <w:sz w:val="44"/>
          <w:szCs w:val="44"/>
          <w:highlight w:val="none"/>
        </w:rPr>
        <w:t>合同文件</w:t>
      </w:r>
    </w:p>
    <w:p>
      <w:pPr>
        <w:rPr>
          <w:rFonts w:hint="eastAsia" w:ascii="宋体" w:hAnsi="宋体"/>
          <w:color w:val="auto"/>
          <w:sz w:val="24"/>
          <w:highlight w:val="none"/>
        </w:rPr>
      </w:pPr>
    </w:p>
    <w:p>
      <w:pPr>
        <w:adjustRightInd w:val="0"/>
        <w:spacing w:line="360" w:lineRule="auto"/>
        <w:ind w:firstLine="480" w:firstLineChars="2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甲方（发包人） ：</w:t>
      </w:r>
      <w:r>
        <w:rPr>
          <w:rFonts w:hint="eastAsia" w:ascii="宋体" w:hAnsi="宋体" w:cs="宋体"/>
          <w:color w:val="auto"/>
          <w:sz w:val="24"/>
          <w:highlight w:val="none"/>
          <w:u w:val="single"/>
        </w:rPr>
        <w:t>广州市</w:t>
      </w:r>
      <w:r>
        <w:rPr>
          <w:rFonts w:hint="eastAsia" w:ascii="宋体" w:hAnsi="宋体" w:cs="宋体"/>
          <w:bCs/>
          <w:color w:val="auto"/>
          <w:sz w:val="24"/>
          <w:highlight w:val="none"/>
          <w:u w:val="single"/>
        </w:rPr>
        <w:t>净水有限公司</w:t>
      </w:r>
    </w:p>
    <w:p>
      <w:pPr>
        <w:adjustRightInd w:val="0"/>
        <w:spacing w:line="360" w:lineRule="auto"/>
        <w:ind w:firstLine="480" w:firstLineChars="200"/>
        <w:jc w:val="left"/>
        <w:textAlignment w:val="baseline"/>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乙方（承包人） ：</w:t>
      </w:r>
      <w:r>
        <w:rPr>
          <w:rFonts w:hint="eastAsia" w:hAnsi="宋体" w:cs="宋体"/>
          <w:color w:val="auto"/>
          <w:sz w:val="24"/>
          <w:highlight w:val="none"/>
          <w:u w:val="single"/>
          <w:lang w:val="en-US" w:eastAsia="zh-CN"/>
        </w:rPr>
        <w:t xml:space="preserve">                     </w:t>
      </w:r>
    </w:p>
    <w:p>
      <w:pPr>
        <w:adjustRightInd w:val="0"/>
        <w:spacing w:line="360" w:lineRule="auto"/>
        <w:ind w:firstLine="228" w:firstLineChars="95"/>
        <w:jc w:val="left"/>
        <w:textAlignment w:val="baseline"/>
        <w:rPr>
          <w:rFonts w:ascii="宋体" w:hAnsi="宋体" w:cs="宋体"/>
          <w:color w:val="auto"/>
          <w:sz w:val="24"/>
          <w:highlight w:val="none"/>
          <w:u w:val="single"/>
        </w:rPr>
      </w:pPr>
    </w:p>
    <w:p>
      <w:pPr>
        <w:adjustRightInd w:val="0"/>
        <w:spacing w:line="360" w:lineRule="auto"/>
        <w:ind w:firstLine="480" w:firstLineChars="2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广州市净水有限公司（委托方，以下称“甲方”）就</w:t>
      </w:r>
      <w:r>
        <w:rPr>
          <w:rFonts w:hint="eastAsia" w:hAnsi="宋体" w:cs="宋体"/>
          <w:color w:val="auto"/>
          <w:sz w:val="24"/>
          <w:highlight w:val="none"/>
          <w:u w:val="single"/>
          <w:lang w:val="en-US" w:eastAsia="zh-CN"/>
        </w:rPr>
        <w:t xml:space="preserve"> 成立检测监测子公司</w:t>
      </w:r>
      <w:r>
        <w:rPr>
          <w:rFonts w:hint="eastAsia" w:hAnsi="宋体" w:cs="宋体"/>
          <w:color w:val="auto"/>
          <w:sz w:val="24"/>
          <w:highlight w:val="none"/>
          <w:u w:val="single"/>
        </w:rPr>
        <w:t>可行性研究报告编制</w:t>
      </w:r>
      <w:r>
        <w:rPr>
          <w:rFonts w:hint="eastAsia" w:hAnsi="宋体" w:cs="宋体"/>
          <w:color w:val="auto"/>
          <w:sz w:val="24"/>
          <w:highlight w:val="none"/>
          <w:u w:val="single"/>
          <w:lang w:val="en-US" w:eastAsia="zh-CN"/>
        </w:rPr>
        <w:t xml:space="preserve"> </w:t>
      </w:r>
      <w:r>
        <w:rPr>
          <w:rFonts w:hint="eastAsia" w:ascii="宋体" w:hAnsi="宋体" w:cs="宋体"/>
          <w:color w:val="auto"/>
          <w:sz w:val="24"/>
          <w:highlight w:val="none"/>
        </w:rPr>
        <w:t>项目</w:t>
      </w:r>
      <w:r>
        <w:rPr>
          <w:rFonts w:hint="eastAsia" w:hAnsi="宋体" w:cs="宋体"/>
          <w:color w:val="auto"/>
          <w:sz w:val="24"/>
          <w:highlight w:val="none"/>
          <w:u w:val="single"/>
        </w:rPr>
        <w:t>（下称可研）委</w:t>
      </w:r>
      <w:r>
        <w:rPr>
          <w:rFonts w:hint="eastAsia" w:ascii="宋体" w:hAnsi="宋体" w:cs="宋体"/>
          <w:color w:val="auto"/>
          <w:sz w:val="24"/>
          <w:highlight w:val="none"/>
        </w:rPr>
        <w:t>托</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（受托方，</w:t>
      </w:r>
      <w:r>
        <w:rPr>
          <w:rFonts w:hint="eastAsia" w:ascii="宋体" w:hAnsi="宋体" w:cs="宋体"/>
          <w:color w:val="auto"/>
          <w:sz w:val="24"/>
          <w:highlight w:val="none"/>
        </w:rPr>
        <w:t>以下称“乙方”）提供相应</w:t>
      </w:r>
      <w:r>
        <w:rPr>
          <w:rFonts w:hint="eastAsia" w:hAnsi="宋体" w:cs="宋体"/>
          <w:color w:val="auto"/>
          <w:sz w:val="24"/>
          <w:highlight w:val="none"/>
        </w:rPr>
        <w:t>咨询服务</w:t>
      </w:r>
      <w:r>
        <w:rPr>
          <w:rFonts w:hint="eastAsia" w:ascii="宋体" w:hAnsi="宋体" w:cs="宋体"/>
          <w:color w:val="auto"/>
          <w:sz w:val="24"/>
          <w:highlight w:val="none"/>
        </w:rPr>
        <w:t>。</w:t>
      </w:r>
      <w:r>
        <w:rPr>
          <w:rFonts w:hint="eastAsia" w:hAnsi="宋体" w:cs="宋体"/>
          <w:color w:val="auto"/>
          <w:sz w:val="24"/>
          <w:highlight w:val="none"/>
        </w:rPr>
        <w:t>经</w:t>
      </w:r>
      <w:r>
        <w:rPr>
          <w:rFonts w:hint="eastAsia" w:ascii="宋体" w:hAnsi="宋体" w:cs="宋体"/>
          <w:color w:val="auto"/>
          <w:sz w:val="24"/>
          <w:highlight w:val="none"/>
        </w:rPr>
        <w:t>双方经协商一致，签订本合同。</w:t>
      </w:r>
    </w:p>
    <w:p>
      <w:pPr>
        <w:pStyle w:val="12"/>
        <w:spacing w:line="360" w:lineRule="auto"/>
        <w:rPr>
          <w:rFonts w:hint="eastAsia" w:hAnsi="宋体" w:cs="宋体"/>
          <w:color w:val="auto"/>
          <w:sz w:val="24"/>
          <w:szCs w:val="24"/>
          <w:highlight w:val="none"/>
        </w:rPr>
      </w:pPr>
    </w:p>
    <w:p>
      <w:pPr>
        <w:adjustRightInd w:val="0"/>
        <w:spacing w:line="360" w:lineRule="auto"/>
        <w:jc w:val="left"/>
        <w:textAlignment w:val="baseline"/>
        <w:rPr>
          <w:rFonts w:ascii="宋体" w:hAnsi="宋体" w:cs="宋体"/>
          <w:b/>
          <w:color w:val="auto"/>
          <w:sz w:val="24"/>
          <w:highlight w:val="none"/>
        </w:rPr>
      </w:pPr>
      <w:r>
        <w:rPr>
          <w:rFonts w:hint="eastAsia" w:ascii="宋体" w:hAnsi="宋体" w:cs="宋体"/>
          <w:b/>
          <w:bCs/>
          <w:color w:val="auto"/>
          <w:sz w:val="24"/>
          <w:highlight w:val="none"/>
        </w:rPr>
        <w:t>第一条</w:t>
      </w:r>
      <w:r>
        <w:rPr>
          <w:rFonts w:hint="eastAsia" w:ascii="宋体" w:hAnsi="宋体" w:cs="宋体"/>
          <w:b/>
          <w:color w:val="auto"/>
          <w:sz w:val="24"/>
          <w:highlight w:val="none"/>
        </w:rPr>
        <w:t xml:space="preserve">  签订依据 </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《中华人民共和国民法典》、《中华人民共和国</w:t>
      </w:r>
      <w:r>
        <w:rPr>
          <w:rFonts w:hint="eastAsia" w:ascii="宋体" w:hAnsi="宋体" w:cs="宋体"/>
          <w:color w:val="auto"/>
          <w:sz w:val="24"/>
          <w:highlight w:val="none"/>
          <w:lang w:val="en-US" w:eastAsia="zh-CN"/>
        </w:rPr>
        <w:t>公司</w:t>
      </w:r>
      <w:r>
        <w:rPr>
          <w:rFonts w:hint="eastAsia" w:ascii="宋体" w:hAnsi="宋体" w:cs="宋体"/>
          <w:color w:val="auto"/>
          <w:sz w:val="24"/>
          <w:highlight w:val="none"/>
        </w:rPr>
        <w:t>法》。</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第二条  编制依据</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2.1甲方给乙方的发包通知书</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2.2甲方提交的基础资料</w:t>
      </w:r>
    </w:p>
    <w:p>
      <w:pPr>
        <w:overflowPunct w:val="0"/>
        <w:spacing w:line="360" w:lineRule="auto"/>
        <w:ind w:firstLine="480" w:firstLineChars="200"/>
        <w:rPr>
          <w:rFonts w:ascii="宋体" w:hAnsi="宋体"/>
          <w:color w:val="auto"/>
          <w:sz w:val="24"/>
          <w:highlight w:val="none"/>
        </w:rPr>
      </w:pPr>
      <w:r>
        <w:rPr>
          <w:rFonts w:hint="eastAsia" w:ascii="宋体"/>
          <w:color w:val="auto"/>
          <w:sz w:val="24"/>
          <w:highlight w:val="none"/>
        </w:rPr>
        <w:t>2.3</w:t>
      </w:r>
      <w:r>
        <w:rPr>
          <w:rFonts w:hint="eastAsia" w:ascii="宋体" w:hAnsi="宋体"/>
          <w:color w:val="auto"/>
          <w:sz w:val="24"/>
          <w:highlight w:val="none"/>
        </w:rPr>
        <w:t xml:space="preserve"> 乙方采用的主要技术标准包括但不限于：（1）按国家计委、建设部2006年颁布《建设项目经济评价办法与参数》(第三版)中的要求执行；(2)按国家计委办公厅2002年批准试用的《投资项目可行性研究指南(试用版)》中的有关要求执行；（3）《建设项目安全设施“三同时”监督管理办法》；（4）《关于印发申请审批项目建议书和可行性研究报告文件格式文本（试用）的通知》（穗发改投资〔2012〕50号）；（5）《检验检测机构资质认定能力评价检验检测机构通用要求》（RB/T 214—2017）；（6）《检验检测机构监督管理办法》（国家市场监督管理总局39号令）</w:t>
      </w:r>
      <w:r>
        <w:rPr>
          <w:rFonts w:hint="eastAsia" w:ascii="宋体" w:hAnsi="宋体"/>
          <w:color w:val="auto"/>
          <w:sz w:val="24"/>
          <w:highlight w:val="none"/>
          <w:lang w:eastAsia="zh-CN"/>
        </w:rPr>
        <w:t>。</w:t>
      </w:r>
    </w:p>
    <w:p>
      <w:pPr>
        <w:overflowPunct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上述规范如有更新的，以最新版本为准。</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第三条  合同文件的优先次序</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3.1合同书</w:t>
      </w:r>
    </w:p>
    <w:p>
      <w:pPr>
        <w:adjustRightInd w:val="0"/>
        <w:spacing w:line="360" w:lineRule="auto"/>
        <w:ind w:firstLine="480" w:firstLineChars="200"/>
        <w:jc w:val="left"/>
        <w:textAlignment w:val="baseline"/>
        <w:rPr>
          <w:rFonts w:ascii="宋体" w:hAnsi="宋体" w:cs="宋体"/>
          <w:color w:val="auto"/>
          <w:sz w:val="24"/>
          <w:highlight w:val="none"/>
          <w:shd w:val="pct10" w:color="auto" w:fill="FFFFFF"/>
        </w:rPr>
      </w:pPr>
      <w:r>
        <w:rPr>
          <w:rFonts w:hint="eastAsia" w:ascii="宋体" w:hAnsi="宋体" w:cs="宋体"/>
          <w:color w:val="auto"/>
          <w:sz w:val="24"/>
          <w:highlight w:val="none"/>
        </w:rPr>
        <w:t>3.2发包通知书</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 xml:space="preserve">3.3 甲方的要求 </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3.4技术规范</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第四条  项目概况</w:t>
      </w:r>
    </w:p>
    <w:p>
      <w:pPr>
        <w:spacing w:line="360" w:lineRule="auto"/>
        <w:ind w:left="1" w:firstLine="480" w:firstLineChars="200"/>
        <w:rPr>
          <w:rFonts w:ascii="宋体" w:hAnsi="宋体"/>
          <w:color w:val="auto"/>
          <w:sz w:val="24"/>
          <w:highlight w:val="none"/>
        </w:rPr>
      </w:pPr>
      <w:r>
        <w:rPr>
          <w:rFonts w:hint="eastAsia" w:ascii="宋体" w:hAnsi="宋体"/>
          <w:color w:val="auto"/>
          <w:sz w:val="24"/>
          <w:highlight w:val="none"/>
        </w:rPr>
        <w:t>4.1</w:t>
      </w:r>
      <w:r>
        <w:rPr>
          <w:rFonts w:hint="eastAsia" w:hAnsi="宋体"/>
          <w:color w:val="auto"/>
          <w:sz w:val="24"/>
          <w:highlight w:val="none"/>
        </w:rPr>
        <w:t xml:space="preserve"> 甲方委托乙方承担</w:t>
      </w:r>
      <w:r>
        <w:rPr>
          <w:rFonts w:hint="eastAsia" w:ascii="宋体" w:hAnsi="宋体"/>
          <w:color w:val="auto"/>
          <w:sz w:val="24"/>
          <w:highlight w:val="none"/>
          <w:u w:val="single"/>
          <w:lang w:val="en-US" w:eastAsia="zh-CN"/>
        </w:rPr>
        <w:t xml:space="preserve"> 成立检测监测子公司 </w:t>
      </w:r>
      <w:r>
        <w:rPr>
          <w:rFonts w:hint="eastAsia" w:hAnsi="宋体"/>
          <w:color w:val="auto"/>
          <w:sz w:val="24"/>
          <w:highlight w:val="none"/>
        </w:rPr>
        <w:t>的可行性研究报告编制工作。</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4.2</w:t>
      </w:r>
      <w:r>
        <w:rPr>
          <w:rFonts w:hint="eastAsia" w:ascii="宋体"/>
          <w:color w:val="auto"/>
          <w:sz w:val="24"/>
          <w:highlight w:val="none"/>
        </w:rPr>
        <w:t xml:space="preserve"> 可行性研究报告要对成立公司的可行性必要性进行分析，并对公司组织架构，经营模式，投资方案，投资价值分析等进行初步规划</w:t>
      </w:r>
      <w:r>
        <w:rPr>
          <w:rFonts w:ascii="宋体"/>
          <w:color w:val="auto"/>
          <w:sz w:val="24"/>
          <w:highlight w:val="none"/>
        </w:rPr>
        <w:t>，供领导决策和为下阶段工作提供依据。</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5.1本合同签订后，乙方应在</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日内提交编制计划及参编人员名单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在60日内出具</w:t>
      </w:r>
      <w:r>
        <w:rPr>
          <w:rFonts w:hint="eastAsia" w:ascii="宋体" w:hAnsi="宋体" w:cs="宋体"/>
          <w:color w:val="auto"/>
          <w:sz w:val="24"/>
          <w:highlight w:val="none"/>
        </w:rPr>
        <w:t>可行性研究报告(第一次成果)</w:t>
      </w:r>
      <w:r>
        <w:rPr>
          <w:rFonts w:hint="eastAsia" w:ascii="宋体" w:hAnsi="宋体" w:cs="宋体"/>
          <w:color w:val="auto"/>
          <w:sz w:val="24"/>
          <w:highlight w:val="none"/>
          <w:lang w:eastAsia="zh-CN"/>
        </w:rPr>
        <w:t>，</w:t>
      </w:r>
      <w:r>
        <w:rPr>
          <w:rFonts w:hint="eastAsia" w:ascii="宋体" w:hAnsi="宋体" w:cs="宋体"/>
          <w:color w:val="auto"/>
          <w:sz w:val="24"/>
          <w:highlight w:val="none"/>
        </w:rPr>
        <w:t>用于与甲方</w:t>
      </w:r>
      <w:r>
        <w:rPr>
          <w:rFonts w:hint="eastAsia" w:ascii="宋体" w:hAnsi="宋体" w:cs="宋体"/>
          <w:color w:val="auto"/>
          <w:sz w:val="24"/>
          <w:highlight w:val="none"/>
          <w:lang w:val="en-US" w:eastAsia="zh-CN"/>
        </w:rPr>
        <w:t>中段</w:t>
      </w:r>
      <w:r>
        <w:rPr>
          <w:rFonts w:hint="eastAsia" w:ascii="宋体" w:hAnsi="宋体" w:cs="宋体"/>
          <w:color w:val="auto"/>
          <w:sz w:val="24"/>
          <w:highlight w:val="none"/>
        </w:rPr>
        <w:t>沟通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在90日内完成可行性研究报告（最终成果）。</w:t>
      </w:r>
      <w:r>
        <w:rPr>
          <w:rFonts w:hint="eastAsia" w:ascii="宋体" w:hAnsi="宋体" w:cs="宋体"/>
          <w:color w:val="auto"/>
          <w:sz w:val="24"/>
          <w:highlight w:val="none"/>
        </w:rPr>
        <w:t>合同执行中，乙方如需更换工作人员的，需征得甲方书面同意。</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5.2可行性研究报告(最终成果)纸质打印一式拾贰份，电子档一份（未加密且可编辑格式），具体以甲方通知为准。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3</w:t>
      </w:r>
      <w:r>
        <w:rPr>
          <w:rFonts w:hint="eastAsia" w:ascii="宋体"/>
          <w:color w:val="auto"/>
          <w:sz w:val="24"/>
          <w:highlight w:val="none"/>
        </w:rPr>
        <w:t>乙方须将可研报告及投资估算汇总成一册出版。</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5.4乙方应配合甲方开展结算工作并提交结算的相关资料,若乙方在接到甲方通知后逾期超过30天未提交完整的结算资料和结算报告等，甲方有权单方自行结算，由此产生的一切责任由乙方承担。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 xml:space="preserve">第六条 费用 </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.1本合同暂定总价为</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rPr>
        <w:t>万元，（大写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w:t>
      </w:r>
      <w:r>
        <w:rPr>
          <w:rFonts w:hint="eastAsia" w:ascii="宋体" w:hAnsi="宋体" w:eastAsia="宋体" w:cs="宋体"/>
          <w:color w:val="auto"/>
          <w:sz w:val="24"/>
          <w:highlight w:val="none"/>
        </w:rPr>
        <w:t>；经甲方或甲方委托有资质第三方机构审核后，若结算审核价比合同暂定总价低，则以结算审核价作为合同结算价，否则以合同暂定总价为合同结算价。</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此费用在项目实施期间费用均不得调整（如项目实施内容变更，需调整合同暂定价，双方另行协商签订补充协议）。</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.2本合同约定的价格为含税价价格（税率 …%），合同履行期间国家税率调整或乙方开票的实际税率与前述税率不一致的，不含税价不变，价税合计按实际税率相应调整，以开具发票时间为准。</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第七条 支付方式</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 乙方将可行性研究报告提交给甲方，经有关单位评审并按评审意见修改完善，</w:t>
      </w:r>
      <w:r>
        <w:rPr>
          <w:rFonts w:hint="eastAsia" w:ascii="宋体" w:hAnsi="宋体" w:cs="宋体"/>
          <w:color w:val="auto"/>
          <w:sz w:val="24"/>
          <w:highlight w:val="none"/>
          <w:lang w:val="en-US" w:eastAsia="zh-CN"/>
        </w:rPr>
        <w:t>双方通过最终版确认后</w:t>
      </w:r>
      <w:r>
        <w:rPr>
          <w:rFonts w:hint="eastAsia" w:ascii="宋体" w:hAnsi="宋体" w:cs="宋体"/>
          <w:color w:val="auto"/>
          <w:sz w:val="24"/>
          <w:highlight w:val="none"/>
        </w:rPr>
        <w:t>，乙方应</w:t>
      </w:r>
      <w:r>
        <w:rPr>
          <w:rFonts w:hint="eastAsia" w:ascii="宋体" w:hAnsi="宋体" w:cs="宋体"/>
          <w:color w:val="auto"/>
          <w:sz w:val="24"/>
          <w:highlight w:val="none"/>
          <w:lang w:val="en-US" w:eastAsia="zh-CN"/>
        </w:rPr>
        <w:t>在10个工作</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内</w:t>
      </w:r>
      <w:r>
        <w:rPr>
          <w:rFonts w:hint="eastAsia" w:ascii="宋体" w:hAnsi="宋体" w:cs="宋体"/>
          <w:color w:val="auto"/>
          <w:sz w:val="24"/>
          <w:highlight w:val="none"/>
        </w:rPr>
        <w:t>将工程支付申请书一式四份报送给甲方，甲方向乙方支付至合同费用暂定价的80%。</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待</w:t>
      </w:r>
      <w:r>
        <w:rPr>
          <w:rFonts w:hint="eastAsia" w:ascii="宋体" w:hAnsi="宋体" w:cs="宋体"/>
          <w:color w:val="auto"/>
          <w:sz w:val="24"/>
          <w:highlight w:val="none"/>
          <w:lang w:val="en-US" w:eastAsia="zh-CN"/>
        </w:rPr>
        <w:t>乙方将</w:t>
      </w:r>
      <w:r>
        <w:rPr>
          <w:rFonts w:hint="eastAsia" w:ascii="宋体" w:hAnsi="宋体" w:cs="宋体"/>
          <w:color w:val="auto"/>
          <w:sz w:val="24"/>
          <w:highlight w:val="none"/>
        </w:rPr>
        <w:t>可行性研究报告(最终成果)纸质打印一式拾贰份</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电子档一份（未加密且可编辑格式）</w:t>
      </w:r>
      <w:r>
        <w:rPr>
          <w:rFonts w:hint="eastAsia" w:ascii="宋体" w:hAnsi="宋体" w:cs="宋体"/>
          <w:color w:val="auto"/>
          <w:sz w:val="24"/>
          <w:highlight w:val="none"/>
          <w:lang w:val="en-US" w:eastAsia="zh-CN"/>
        </w:rPr>
        <w:t>交甲方后，并</w:t>
      </w:r>
      <w:r>
        <w:rPr>
          <w:rFonts w:hint="eastAsia" w:ascii="宋体" w:hAnsi="宋体" w:eastAsia="宋体" w:cs="宋体"/>
          <w:color w:val="auto"/>
          <w:sz w:val="24"/>
          <w:highlight w:val="none"/>
        </w:rPr>
        <w:t>经甲方或甲方委托有资质第三方机构审核后</w:t>
      </w:r>
      <w:r>
        <w:rPr>
          <w:rFonts w:hint="eastAsia" w:ascii="宋体" w:hAnsi="宋体" w:cs="宋体"/>
          <w:color w:val="auto"/>
          <w:sz w:val="24"/>
          <w:highlight w:val="none"/>
        </w:rPr>
        <w:t>，乙方应</w:t>
      </w:r>
      <w:r>
        <w:rPr>
          <w:rFonts w:hint="eastAsia" w:ascii="宋体" w:hAnsi="宋体" w:cs="宋体"/>
          <w:color w:val="auto"/>
          <w:sz w:val="24"/>
          <w:highlight w:val="none"/>
          <w:lang w:val="en-US" w:eastAsia="zh-CN"/>
        </w:rPr>
        <w:t>在10个工作</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内</w:t>
      </w:r>
      <w:r>
        <w:rPr>
          <w:rFonts w:hint="eastAsia" w:ascii="宋体" w:hAnsi="宋体" w:cs="宋体"/>
          <w:color w:val="auto"/>
          <w:sz w:val="24"/>
          <w:highlight w:val="none"/>
        </w:rPr>
        <w:t>将工程支付申请书一式四份报送给甲方，甲方向乙方按结算价支付至</w:t>
      </w:r>
      <w:r>
        <w:rPr>
          <w:rFonts w:ascii="宋体" w:hAnsi="宋体" w:cs="宋体"/>
          <w:color w:val="auto"/>
          <w:sz w:val="24"/>
          <w:highlight w:val="none"/>
        </w:rPr>
        <w:t>100%</w:t>
      </w:r>
      <w:r>
        <w:rPr>
          <w:rFonts w:hint="eastAsia" w:ascii="宋体" w:hAnsi="宋体" w:cs="宋体"/>
          <w:color w:val="auto"/>
          <w:sz w:val="24"/>
          <w:highlight w:val="none"/>
        </w:rPr>
        <w:t>。</w:t>
      </w:r>
    </w:p>
    <w:p>
      <w:pPr>
        <w:pStyle w:val="45"/>
        <w:ind w:firstLine="480" w:firstLineChars="200"/>
        <w:rPr>
          <w:rFonts w:hAnsi="宋体" w:eastAsia="宋体"/>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eastAsia="宋体"/>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税号：91440101755584729Q</w:t>
      </w:r>
    </w:p>
    <w:p>
      <w:pPr>
        <w:spacing w:line="384"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地址：广州市天河区临江大道501号。</w:t>
      </w:r>
    </w:p>
    <w:p>
      <w:pPr>
        <w:spacing w:line="360" w:lineRule="auto"/>
        <w:ind w:firstLine="480" w:firstLineChars="200"/>
        <w:rPr>
          <w:color w:val="auto"/>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付款方式：</w:t>
      </w:r>
      <w:r>
        <w:rPr>
          <w:rFonts w:hint="eastAsia" w:ascii="宋体" w:hAnsi="宋体" w:cs="宋体"/>
          <w:color w:val="auto"/>
          <w:sz w:val="24"/>
          <w:highlight w:val="none"/>
        </w:rPr>
        <w:sym w:font="Wingdings" w:char="00FE"/>
      </w:r>
      <w:r>
        <w:rPr>
          <w:rFonts w:hint="eastAsia" w:ascii="宋体" w:hAnsi="宋体" w:cs="宋体"/>
          <w:color w:val="auto"/>
          <w:sz w:val="24"/>
          <w:highlight w:val="none"/>
        </w:rPr>
        <w:t>网银支付；</w:t>
      </w:r>
      <w:r>
        <w:rPr>
          <w:rFonts w:hint="eastAsia" w:ascii="宋体" w:hAnsi="宋体" w:cs="宋体"/>
          <w:color w:val="auto"/>
          <w:sz w:val="24"/>
          <w:highlight w:val="none"/>
        </w:rPr>
        <w:sym w:font="Wingdings" w:char="00A8"/>
      </w:r>
      <w:r>
        <w:rPr>
          <w:rFonts w:hint="eastAsia" w:ascii="宋体" w:hAnsi="宋体" w:cs="宋体"/>
          <w:color w:val="auto"/>
          <w:sz w:val="24"/>
          <w:highlight w:val="none"/>
        </w:rPr>
        <w:t>支票；</w:t>
      </w:r>
      <w:r>
        <w:rPr>
          <w:rFonts w:hint="eastAsia" w:ascii="宋体" w:hAnsi="宋体" w:cs="宋体"/>
          <w:color w:val="auto"/>
          <w:sz w:val="24"/>
          <w:highlight w:val="none"/>
        </w:rPr>
        <w:sym w:font="Wingdings" w:char="00A8"/>
      </w:r>
      <w:r>
        <w:rPr>
          <w:rFonts w:hint="eastAsia" w:ascii="宋体" w:hAnsi="宋体" w:cs="宋体"/>
          <w:color w:val="auto"/>
          <w:sz w:val="24"/>
          <w:highlight w:val="none"/>
        </w:rPr>
        <w:t>其他：/</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第八条 双方责任</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8.1甲方责任</w:t>
      </w:r>
      <w:r>
        <w:rPr>
          <w:rFonts w:hint="eastAsia" w:ascii="宋体" w:hAnsi="宋体" w:cs="宋体"/>
          <w:color w:val="auto"/>
          <w:sz w:val="24"/>
          <w:highlight w:val="none"/>
        </w:rPr>
        <w:t xml:space="preserve"> </w:t>
      </w:r>
    </w:p>
    <w:p>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8.1.2有权根据需要调整工作内容和工作计划。</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8.1.3对乙方的服务进行监督检查，对乙方不符合要求的</w:t>
      </w:r>
      <w:r>
        <w:rPr>
          <w:rFonts w:hint="eastAsia" w:ascii="宋体" w:hAnsi="宋体"/>
          <w:color w:val="auto"/>
          <w:sz w:val="24"/>
          <w:highlight w:val="none"/>
          <w:lang w:val="en-US" w:eastAsia="zh-CN"/>
        </w:rPr>
        <w:t>内容</w:t>
      </w:r>
      <w:r>
        <w:rPr>
          <w:rFonts w:hint="eastAsia" w:ascii="宋体" w:hAnsi="宋体"/>
          <w:color w:val="auto"/>
          <w:sz w:val="24"/>
          <w:highlight w:val="none"/>
        </w:rPr>
        <w:t>，甲方有权要求乙方进行返工，乙方承担返工费用。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8.1.4如乙方团队人员不符合合同工作，甲方有权要求更换，乙方在收到更换通知的3日内完成人员更换。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8.1.5合同生效后，由于不可抗力或客观原因导致合同提前终止的，甲方按实际完成工作量支付相关费用，不承担任何责任。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8.1.6 甲方配合乙方开展项目前期调研工作，并根据项目需求向乙方提供相应的工作协助。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8.1.7甲方向乙方提供本项目工作所必需的资料及文件等。</w:t>
      </w:r>
    </w:p>
    <w:p>
      <w:pPr>
        <w:pStyle w:val="6"/>
        <w:keepNext w:val="0"/>
        <w:keepLines w:val="0"/>
        <w:spacing w:before="0" w:after="0" w:line="360" w:lineRule="auto"/>
        <w:ind w:firstLine="482" w:firstLineChars="200"/>
        <w:rPr>
          <w:rFonts w:ascii="宋体" w:hAnsi="宋体" w:cs="宋体"/>
          <w:bCs w:val="0"/>
          <w:color w:val="auto"/>
          <w:sz w:val="24"/>
          <w:szCs w:val="24"/>
          <w:highlight w:val="none"/>
        </w:rPr>
      </w:pPr>
      <w:r>
        <w:rPr>
          <w:rFonts w:hint="eastAsia" w:ascii="宋体" w:hAnsi="宋体" w:cs="宋体"/>
          <w:bCs w:val="0"/>
          <w:color w:val="auto"/>
          <w:sz w:val="24"/>
          <w:szCs w:val="24"/>
          <w:highlight w:val="none"/>
        </w:rPr>
        <w:t>8.2乙方责任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8.2.1有权要求甲方提供项目所必需的前期资料。</w:t>
      </w:r>
    </w:p>
    <w:p>
      <w:pPr>
        <w:adjustRightIn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　　8.2.2发现甲方提供的上述资料或工作条件不符合合同约定时，须在接到上述资料或开始工作的3日内，</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通知甲方改进或者更换。超过上述期限不提出改进或更换要求的，视为甲方提供的资料和工作条件已符合合同约定。</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8.2.3乙方在合同签订后3日内书面向甲方提交项目计划书、组织人员架构表，负责合同实施期间的联络人员名单及联系方式。项目计划书（计划书需包含以下方案：</w:t>
      </w:r>
      <w:r>
        <w:rPr>
          <w:rFonts w:hint="eastAsia" w:ascii="宋体" w:hAnsi="宋体" w:cs="宋体"/>
          <w:color w:val="auto"/>
          <w:sz w:val="24"/>
          <w:highlight w:val="none"/>
          <w:lang w:val="en-US" w:eastAsia="zh-CN"/>
        </w:rPr>
        <w:t>前期调研工作时间，出具可行性研究报告时间</w:t>
      </w:r>
      <w:r>
        <w:rPr>
          <w:rFonts w:hint="eastAsia" w:ascii="宋体" w:hAnsi="宋体" w:cs="宋体"/>
          <w:color w:val="auto"/>
          <w:sz w:val="24"/>
          <w:highlight w:val="none"/>
        </w:rPr>
        <w:t>）经甲方同意后实施。</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8.2.4乙方应按甲方确认的项目计划书开展服务，按合同规定的进度要求</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质量合格的服务，确保项目符合</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要求。</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2.5乙方应保证团队成员的稳定，不得更换团队成员或更换团队成员的工作职责。如须更换成员时，应书面报甲方同意且更换成员需与原成员有同等或以上资质或经验。如未经甲方同意，每人次扣合同暂定总价5%作为违约金。</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8.2.6乙方为完成</w:t>
      </w:r>
      <w:r>
        <w:rPr>
          <w:rFonts w:hint="eastAsia" w:ascii="宋体" w:hAnsi="宋体" w:cs="宋体"/>
          <w:color w:val="auto"/>
          <w:sz w:val="24"/>
          <w:highlight w:val="none"/>
          <w:lang w:val="en-US" w:eastAsia="zh-CN"/>
        </w:rPr>
        <w:t>可行性研究报告项目</w:t>
      </w:r>
      <w:r>
        <w:rPr>
          <w:rFonts w:hint="eastAsia" w:ascii="宋体" w:hAnsi="宋体" w:cs="宋体"/>
          <w:color w:val="auto"/>
          <w:sz w:val="24"/>
          <w:highlight w:val="none"/>
        </w:rPr>
        <w:t xml:space="preserve">而向甲方收取的重要证件、文件、资料时，应向甲方开具规范的收件清单，并妥善保管；项目验收合格后，乙方应在  …日内将上述证件、文件、资料退还甲方。 </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8.2.7乙方对项目中涉及的甲方商业秘密应予以保护，禁止向任何第三方公开，否则应向甲方承担相应赔偿责任。</w:t>
      </w:r>
    </w:p>
    <w:p>
      <w:pPr>
        <w:adjustRightInd w:val="0"/>
        <w:spacing w:line="360" w:lineRule="auto"/>
        <w:ind w:firstLine="482" w:firstLineChars="200"/>
        <w:jc w:val="lef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第九条 </w:t>
      </w:r>
      <w:r>
        <w:rPr>
          <w:rFonts w:hint="eastAsia" w:ascii="宋体" w:hAnsi="宋体" w:eastAsia="宋体" w:cs="宋体"/>
          <w:b/>
          <w:bCs/>
          <w:color w:val="auto"/>
          <w:sz w:val="24"/>
          <w:highlight w:val="none"/>
          <w:lang w:val="en-US" w:eastAsia="zh-CN"/>
        </w:rPr>
        <w:t>违约责任</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乙方不履行合同义务、或履行合同义务不符合合同约定、或违反国家、省、市行业标准的，甲方有权要求乙方限期整改。乙方逾期未完成整改的，每项每超过1日支付违约金人民币1万元，超过…日，甲方有权解除合同并要求乙方支付合同暂定总价的20%作为违约金，由此造成的责任及损失由乙方承担。（如合同另行约定违约责任，从其约定）。</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9.2乙方无法按合同进度要求完成工作，逾期交付工作成果，每超过1日支付违约金合同暂定总价的1%，超过…日，甲方有权解除合同并要求乙方支付合同暂定总价的20%作为违约金。</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9.3乙方违反本合同保密协议的，甲方有权解除合同，乙方应返还已收的合同款项，并赔偿由此给甲方造成的损失。</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9.4在合同有效期内，若乙方发生不诚信行为情形的，乙方自愿接受甲方按《广州市净水有限公司经营建设项目参建企业不诚信行为管理办法》处理，具体处罚标准详见附件2。</w:t>
      </w:r>
    </w:p>
    <w:p>
      <w:pPr>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条  知识产权</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ind w:firstLine="482" w:firstLineChars="200"/>
        <w:jc w:val="left"/>
        <w:textAlignment w:val="baseline"/>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 xml:space="preserve">条  </w:t>
      </w:r>
      <w:r>
        <w:rPr>
          <w:rFonts w:hint="eastAsia" w:ascii="宋体" w:hAnsi="宋体" w:cs="宋体"/>
          <w:b/>
          <w:bCs/>
          <w:color w:val="auto"/>
          <w:sz w:val="24"/>
          <w:highlight w:val="none"/>
          <w:lang w:val="en-US" w:eastAsia="zh-CN"/>
        </w:rPr>
        <w:t>不可抗力</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⑴ 地震、火山爆发、滑坡、暴雨（橙色预警及以上）、台风（黄色预警及以上）、海啸、龙卷风、大面积流行病或瘟疫；</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⑵ 战争行为、入侵、武装冲突或外敌行为、封锁、暴乱、恐怖行为或军事演习；</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条  争议解决</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.1甲乙双方应通过友好协商，解决在执行本合同所发生的或与本合同有关的一切争议。如协商不能解决争议，任何一方均可依法向甲方所在地人民法院提起诉讼。</w:t>
      </w:r>
    </w:p>
    <w:p>
      <w:pPr>
        <w:adjustRightInd w:val="0"/>
        <w:spacing w:line="360" w:lineRule="auto"/>
        <w:ind w:firstLine="480" w:firstLineChars="200"/>
        <w:jc w:val="left"/>
        <w:textAlignment w:val="baseline"/>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.2在甲方同意的情况下，除有争端之外的合同其它部分在争端解决前应继续执行。</w:t>
      </w: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条  合同生效及其他</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hint="eastAsia" w:ascii="宋体" w:hAnsi="宋体" w:cs="宋体"/>
          <w:color w:val="auto"/>
          <w:sz w:val="24"/>
          <w:highlight w:val="none"/>
        </w:rPr>
        <w:t>。</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本合同正本一式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份，双方所执合同具同等法律效力。</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未尽事宜，双方协商一致，可签订补充协议，补充协议与本合同具有同等效力。</w:t>
      </w:r>
    </w:p>
    <w:p>
      <w:pPr>
        <w:pStyle w:val="15"/>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本合同附件是合同不可分割的一部分，具有相同的法律效力，具体附件如下：</w:t>
      </w:r>
    </w:p>
    <w:p>
      <w:pPr>
        <w:pStyle w:val="15"/>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附件1：廉洁协议</w:t>
      </w:r>
    </w:p>
    <w:p>
      <w:pPr>
        <w:pStyle w:val="15"/>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附件2：不诚信行为的情形及相应被暂停参与投标活动的处理标准</w:t>
      </w:r>
    </w:p>
    <w:p>
      <w:pPr>
        <w:pStyle w:val="15"/>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附件3：防疫管理协议书</w:t>
      </w:r>
    </w:p>
    <w:p>
      <w:pPr>
        <w:pStyle w:val="15"/>
        <w:spacing w:line="360" w:lineRule="auto"/>
        <w:ind w:left="465" w:leftChars="50" w:hanging="360" w:hangingChars="150"/>
        <w:rPr>
          <w:rFonts w:hint="eastAsia" w:ascii="宋体" w:hAnsi="宋体" w:cs="宋体"/>
          <w:color w:val="auto"/>
          <w:sz w:val="24"/>
          <w:highlight w:val="none"/>
        </w:rPr>
      </w:pPr>
      <w:r>
        <w:rPr>
          <w:rFonts w:hint="eastAsia" w:ascii="宋体" w:hAnsi="宋体" w:cs="宋体"/>
          <w:color w:val="auto"/>
          <w:sz w:val="24"/>
          <w:highlight w:val="none"/>
        </w:rPr>
        <w:t>（以下无正文）</w:t>
      </w:r>
    </w:p>
    <w:p>
      <w:pPr>
        <w:pStyle w:val="15"/>
        <w:spacing w:line="360" w:lineRule="auto"/>
        <w:ind w:left="465" w:leftChars="50" w:hanging="360" w:hangingChars="150"/>
        <w:rPr>
          <w:rFonts w:hint="eastAsia" w:ascii="宋体" w:hAnsi="宋体" w:cs="宋体"/>
          <w:color w:val="auto"/>
          <w:sz w:val="24"/>
          <w:highlight w:val="none"/>
        </w:rPr>
      </w:pPr>
    </w:p>
    <w:p>
      <w:pPr>
        <w:pStyle w:val="15"/>
        <w:spacing w:line="360" w:lineRule="auto"/>
        <w:ind w:left="465" w:leftChars="50" w:hanging="360" w:hangingChars="150"/>
        <w:rPr>
          <w:rFonts w:hint="eastAsia" w:ascii="宋体" w:hAnsi="宋体" w:cs="宋体"/>
          <w:color w:val="auto"/>
          <w:sz w:val="24"/>
          <w:highlight w:val="none"/>
        </w:rPr>
      </w:pPr>
    </w:p>
    <w:p>
      <w:pPr>
        <w:pStyle w:val="15"/>
        <w:spacing w:line="360" w:lineRule="auto"/>
        <w:ind w:left="465" w:leftChars="50" w:hanging="360" w:hangingChars="150"/>
        <w:rPr>
          <w:rFonts w:hint="eastAsia" w:ascii="宋体" w:hAnsi="宋体" w:cs="宋体"/>
          <w:color w:val="auto"/>
          <w:sz w:val="24"/>
          <w:highlight w:val="none"/>
        </w:rPr>
      </w:pPr>
    </w:p>
    <w:tbl>
      <w:tblPr>
        <w:tblStyle w:val="22"/>
        <w:tblpPr w:leftFromText="180" w:rightFromText="180" w:vertAnchor="text" w:horzAnchor="page" w:tblpX="1492" w:tblpY="57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甲方：广州市净水有限公司</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乙方： </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马程晴</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ind w:right="-19" w:rightChars="-9"/>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地址：广州市天河区临江大道501号</w:t>
            </w: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tabs>
                <w:tab w:val="right" w:pos="4098"/>
              </w:tabs>
              <w:spacing w:line="360" w:lineRule="auto"/>
              <w:rPr>
                <w:rFonts w:ascii="宋体" w:hAnsi="宋体" w:cs="宋体"/>
                <w:color w:val="auto"/>
                <w:sz w:val="24"/>
                <w:highlight w:val="none"/>
              </w:rPr>
            </w:pPr>
            <w:r>
              <w:rPr>
                <w:rFonts w:hint="eastAsia" w:ascii="宋体" w:hAnsi="宋体" w:cs="宋体"/>
                <w:color w:val="auto"/>
                <w:sz w:val="24"/>
                <w:highlight w:val="none"/>
              </w:rPr>
              <w:t>邮政编码：510655</w:t>
            </w:r>
            <w:r>
              <w:rPr>
                <w:rFonts w:hint="eastAsia" w:ascii="宋体" w:hAnsi="宋体" w:cs="宋体"/>
                <w:color w:val="auto"/>
                <w:sz w:val="24"/>
                <w:highlight w:val="none"/>
              </w:rPr>
              <w:tab/>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邮政编码：</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trHeight w:val="453" w:hRule="atLeast"/>
          <w:jc w:val="center"/>
        </w:trPr>
        <w:tc>
          <w:tcPr>
            <w:tcW w:w="3857"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81793097</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银行帐户：</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银行帐号：</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trHeight w:val="41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签约日期：2022年  月  日</w:t>
            </w:r>
          </w:p>
        </w:tc>
        <w:tc>
          <w:tcPr>
            <w:tcW w:w="562" w:type="dxa"/>
            <w:noWrap w:val="0"/>
            <w:vAlign w:val="center"/>
          </w:tcPr>
          <w:p>
            <w:pPr>
              <w:rPr>
                <w:rFonts w:ascii="宋体" w:hAnsi="宋体" w:cs="宋体"/>
                <w:color w:val="auto"/>
                <w:sz w:val="24"/>
                <w:highlight w:val="none"/>
              </w:rPr>
            </w:pPr>
          </w:p>
        </w:tc>
        <w:tc>
          <w:tcPr>
            <w:tcW w:w="400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签约日期：2022年  月  日</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45"/>
        <w:rPr>
          <w:rFonts w:hint="eastAsia" w:hAnsi="宋体"/>
          <w:b/>
          <w:bCs/>
          <w:color w:val="auto"/>
          <w:szCs w:val="21"/>
          <w:highlight w:val="none"/>
        </w:rPr>
        <w:sectPr>
          <w:pgSz w:w="11906" w:h="16838"/>
          <w:pgMar w:top="1089" w:right="1469" w:bottom="1089" w:left="1077" w:header="851" w:footer="992" w:gutter="0"/>
          <w:cols w:space="720" w:num="1"/>
          <w:docGrid w:linePitch="312" w:charSpace="0"/>
        </w:sectPr>
      </w:pPr>
    </w:p>
    <w:p>
      <w:pPr>
        <w:spacing w:line="360" w:lineRule="auto"/>
        <w:jc w:val="left"/>
        <w:rPr>
          <w:rFonts w:hint="eastAsia" w:ascii="仿宋_GB2312" w:hAnsi="仿宋_GB2312" w:eastAsia="仿宋_GB2312" w:cs="仿宋_GB2312"/>
          <w:bCs/>
          <w:color w:val="auto"/>
          <w:sz w:val="30"/>
          <w:szCs w:val="30"/>
          <w:highlight w:val="none"/>
        </w:rPr>
      </w:pPr>
      <w:r>
        <w:rPr>
          <w:rFonts w:hint="eastAsia" w:ascii="宋体" w:hAnsi="宋体" w:cs="宋体"/>
          <w:b/>
          <w:bCs/>
          <w:color w:val="auto"/>
          <w:szCs w:val="21"/>
          <w:highlight w:val="none"/>
        </w:rPr>
        <w:t>附件1  廉洁协议</w:t>
      </w:r>
      <w:r>
        <w:rPr>
          <w:rFonts w:hint="eastAsia" w:ascii="仿宋_GB2312" w:hAnsi="仿宋_GB2312" w:eastAsia="仿宋_GB2312" w:cs="仿宋_GB2312"/>
          <w:bCs/>
          <w:color w:val="auto"/>
          <w:sz w:val="30"/>
          <w:szCs w:val="30"/>
          <w:highlight w:val="none"/>
        </w:rPr>
        <w:t xml:space="preserve">             </w:t>
      </w:r>
    </w:p>
    <w:p>
      <w:pPr>
        <w:spacing w:line="5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广州市净水有限公司</w:t>
      </w:r>
      <w:r>
        <w:rPr>
          <w:rFonts w:hint="eastAsia" w:ascii="仿宋" w:hAnsi="仿宋" w:eastAsia="仿宋" w:cs="仿宋"/>
          <w:bCs/>
          <w:color w:val="auto"/>
          <w:sz w:val="28"/>
          <w:szCs w:val="28"/>
          <w:highlight w:val="none"/>
        </w:rPr>
        <w:t>(以下称甲方)与</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(以下称乙方)，特此订立本协议共同遵照执行。</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w:t>
      </w:r>
      <w:r>
        <w:rPr>
          <w:rFonts w:hint="eastAsia" w:ascii="仿宋" w:hAnsi="仿宋" w:eastAsia="仿宋" w:cs="仿宋"/>
          <w:bCs/>
          <w:color w:val="auto"/>
          <w:sz w:val="28"/>
          <w:szCs w:val="28"/>
          <w:highlight w:val="none"/>
          <w:u w:val="single"/>
          <w:lang w:val="en-US" w:eastAsia="zh-CN"/>
        </w:rPr>
        <w:t xml:space="preserve"> 成立检测监测子公司</w:t>
      </w:r>
      <w:r>
        <w:rPr>
          <w:rFonts w:hint="eastAsia" w:ascii="仿宋" w:hAnsi="仿宋" w:eastAsia="仿宋" w:cs="仿宋"/>
          <w:bCs/>
          <w:color w:val="auto"/>
          <w:sz w:val="28"/>
          <w:szCs w:val="28"/>
          <w:highlight w:val="none"/>
          <w:u w:val="single"/>
        </w:rPr>
        <w:t>可行性研究报告编制</w:t>
      </w:r>
      <w:r>
        <w:rPr>
          <w:rFonts w:hint="eastAsia" w:ascii="仿宋" w:hAnsi="仿宋" w:eastAsia="仿宋" w:cs="仿宋"/>
          <w:bCs/>
          <w:color w:val="auto"/>
          <w:sz w:val="28"/>
          <w:szCs w:val="28"/>
          <w:highlight w:val="none"/>
        </w:rPr>
        <w:t>合同（以下简称：主合同），自觉履行合同约定的相关义务。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pStyle w:val="15"/>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成立检测监测子公司</w:t>
      </w:r>
      <w:r>
        <w:rPr>
          <w:rFonts w:hint="eastAsia" w:ascii="仿宋" w:hAnsi="仿宋" w:eastAsia="仿宋" w:cs="仿宋"/>
          <w:bCs/>
          <w:color w:val="auto"/>
          <w:sz w:val="28"/>
          <w:szCs w:val="28"/>
          <w:highlight w:val="none"/>
          <w:u w:val="single"/>
        </w:rPr>
        <w:t>可行性研究报告编制（含可研勘测）合同（穗净水合[2022]   号）</w:t>
      </w:r>
      <w:r>
        <w:rPr>
          <w:rFonts w:hint="eastAsia" w:ascii="仿宋" w:hAnsi="仿宋" w:eastAsia="仿宋" w:cs="仿宋"/>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第七条本协议一式 </w:t>
      </w:r>
      <w:r>
        <w:rPr>
          <w:rFonts w:hint="eastAsia" w:ascii="仿宋" w:hAnsi="仿宋" w:eastAsia="仿宋" w:cs="仿宋"/>
          <w:bCs/>
          <w:color w:val="auto"/>
          <w:sz w:val="28"/>
          <w:szCs w:val="28"/>
          <w:highlight w:val="none"/>
          <w:lang w:val="en-US" w:eastAsia="zh-CN"/>
        </w:rPr>
        <w:t>伍</w:t>
      </w:r>
      <w:r>
        <w:rPr>
          <w:rFonts w:hint="eastAsia" w:ascii="仿宋" w:hAnsi="仿宋" w:eastAsia="仿宋" w:cs="仿宋"/>
          <w:bCs/>
          <w:color w:val="auto"/>
          <w:sz w:val="28"/>
          <w:szCs w:val="28"/>
          <w:highlight w:val="none"/>
        </w:rPr>
        <w:t xml:space="preserve"> 份，甲方执 </w:t>
      </w:r>
      <w:r>
        <w:rPr>
          <w:rFonts w:hint="eastAsia" w:ascii="仿宋" w:hAnsi="仿宋" w:eastAsia="仿宋" w:cs="仿宋"/>
          <w:bCs/>
          <w:color w:val="auto"/>
          <w:sz w:val="28"/>
          <w:szCs w:val="28"/>
          <w:highlight w:val="none"/>
          <w:lang w:val="en-US" w:eastAsia="zh-CN"/>
        </w:rPr>
        <w:t>肆</w:t>
      </w:r>
      <w:r>
        <w:rPr>
          <w:rFonts w:hint="eastAsia" w:ascii="仿宋" w:hAnsi="仿宋" w:eastAsia="仿宋" w:cs="仿宋"/>
          <w:bCs/>
          <w:color w:val="auto"/>
          <w:sz w:val="28"/>
          <w:szCs w:val="28"/>
          <w:highlight w:val="none"/>
        </w:rPr>
        <w:t xml:space="preserve"> 份，乙方执 壹</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份。</w:t>
      </w:r>
    </w:p>
    <w:p>
      <w:pPr>
        <w:spacing w:line="520" w:lineRule="exact"/>
        <w:ind w:firstLine="560" w:firstLineChars="200"/>
        <w:rPr>
          <w:rFonts w:hint="eastAsia" w:ascii="仿宋" w:hAnsi="仿宋" w:eastAsia="仿宋" w:cs="仿宋"/>
          <w:bCs/>
          <w:color w:val="auto"/>
          <w:sz w:val="28"/>
          <w:szCs w:val="28"/>
          <w:highlight w:val="none"/>
        </w:rPr>
      </w:pPr>
    </w:p>
    <w:p>
      <w:pPr>
        <w:spacing w:line="520" w:lineRule="exact"/>
        <w:rPr>
          <w:rFonts w:hint="eastAsia" w:ascii="仿宋" w:hAnsi="仿宋" w:eastAsia="仿宋" w:cs="仿宋"/>
          <w:bCs/>
          <w:color w:val="auto"/>
          <w:sz w:val="28"/>
          <w:szCs w:val="28"/>
          <w:highlight w:val="none"/>
        </w:rPr>
      </w:pPr>
    </w:p>
    <w:p>
      <w:pPr>
        <w:pStyle w:val="2"/>
        <w:rPr>
          <w:rFonts w:hint="eastAsia"/>
          <w:color w:val="auto"/>
          <w:highlight w:val="none"/>
        </w:rPr>
      </w:pPr>
    </w:p>
    <w:p>
      <w:pPr>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甲方（盖章）：                     乙方（盖章）：</w:t>
      </w:r>
    </w:p>
    <w:p>
      <w:pPr>
        <w:pStyle w:val="32"/>
        <w:tabs>
          <w:tab w:val="left" w:pos="5100"/>
        </w:tabs>
        <w:spacing w:line="520" w:lineRule="exact"/>
        <w:ind w:left="7200" w:firstLine="0" w:firstLineChars="0"/>
        <w:jc w:val="left"/>
        <w:rPr>
          <w:rFonts w:hint="eastAsia" w:ascii="仿宋" w:hAnsi="仿宋" w:eastAsia="仿宋" w:cs="仿宋"/>
          <w:bCs/>
          <w:color w:val="auto"/>
          <w:sz w:val="28"/>
          <w:szCs w:val="28"/>
          <w:highlight w:val="none"/>
        </w:rPr>
      </w:pPr>
    </w:p>
    <w:p>
      <w:pPr>
        <w:tabs>
          <w:tab w:val="left" w:pos="5100"/>
        </w:tabs>
        <w:spacing w:line="520" w:lineRule="exact"/>
        <w:ind w:left="8400" w:hanging="8400" w:hangingChars="30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auto"/>
          <w:sz w:val="28"/>
          <w:szCs w:val="28"/>
          <w:highlight w:val="none"/>
        </w:rPr>
      </w:pPr>
      <w:r>
        <w:rPr>
          <w:rFonts w:hint="eastAsia" w:ascii="仿宋" w:hAnsi="仿宋" w:eastAsia="仿宋" w:cs="仿宋"/>
          <w:bCs/>
          <w:color w:val="auto"/>
          <w:sz w:val="28"/>
          <w:szCs w:val="28"/>
          <w:highlight w:val="none"/>
        </w:rPr>
        <w:t>日期:2022年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rPr>
        <w:t xml:space="preserve">     日期：2022年  月  日</w:t>
      </w:r>
    </w:p>
    <w:p>
      <w:pPr>
        <w:spacing w:line="560" w:lineRule="exact"/>
        <w:jc w:val="both"/>
        <w:rPr>
          <w:rFonts w:ascii="黑体" w:hAnsi="Batang" w:eastAsia="黑体" w:cs="Batang"/>
          <w:bCs/>
          <w:color w:val="auto"/>
          <w:kern w:val="0"/>
          <w:sz w:val="44"/>
          <w:szCs w:val="44"/>
          <w:highlight w:val="none"/>
        </w:rPr>
        <w:sectPr>
          <w:pgSz w:w="11906" w:h="16838"/>
          <w:pgMar w:top="1089" w:right="1469" w:bottom="1089" w:left="1077" w:header="851" w:footer="992" w:gutter="0"/>
          <w:cols w:space="720" w:num="1"/>
          <w:docGrid w:linePitch="312" w:charSpace="0"/>
        </w:sectPr>
      </w:pPr>
    </w:p>
    <w:p>
      <w:pPr>
        <w:spacing w:line="5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2</w:t>
      </w:r>
    </w:p>
    <w:p>
      <w:pPr>
        <w:pStyle w:val="45"/>
        <w:rPr>
          <w:rFonts w:hint="eastAsia" w:hAnsi="宋体"/>
          <w:color w:val="auto"/>
          <w:szCs w:val="21"/>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bl>
    <w:p>
      <w:pPr>
        <w:contextualSpacing/>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备注：本处理标准出自《广州市净水有限公司经营建设项目参建企业不诚信行为管理办法》。</w:t>
      </w:r>
    </w:p>
    <w:p>
      <w:pPr>
        <w:widowControl/>
        <w:jc w:val="left"/>
        <w:rPr>
          <w:rFonts w:hint="eastAsia" w:ascii="宋体" w:hAnsi="宋体" w:cs="宋体"/>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pPr>
    </w:p>
    <w:p>
      <w:pPr>
        <w:adjustRightInd w:val="0"/>
        <w:snapToGrid w:val="0"/>
        <w:rPr>
          <w:rFonts w:hint="eastAsia" w:ascii="宋体" w:hAnsi="宋体" w:cs="宋体"/>
          <w:b/>
          <w:bCs/>
          <w:color w:val="auto"/>
          <w:szCs w:val="21"/>
          <w:highlight w:val="none"/>
        </w:rPr>
        <w:sectPr>
          <w:headerReference r:id="rId3" w:type="default"/>
          <w:footerReference r:id="rId4" w:type="default"/>
          <w:pgSz w:w="11907" w:h="16840"/>
          <w:pgMar w:top="1588" w:right="1021" w:bottom="779" w:left="1134" w:header="737" w:footer="454" w:gutter="0"/>
          <w:pgNumType w:start="1"/>
          <w:cols w:space="720" w:num="1"/>
          <w:docGrid w:type="linesAndChars" w:linePitch="312" w:charSpace="0"/>
        </w:sectPr>
      </w:pPr>
    </w:p>
    <w:p>
      <w:pPr>
        <w:rPr>
          <w:rFonts w:ascii="仿宋_GB2312" w:eastAsia="仿宋_GB2312"/>
          <w:b/>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3  </w:t>
      </w:r>
      <w:r>
        <w:rPr>
          <w:rFonts w:hint="eastAsia" w:ascii="宋体" w:hAnsi="宋体" w:cs="宋体"/>
          <w:b/>
          <w:bCs/>
          <w:color w:val="auto"/>
          <w:szCs w:val="21"/>
          <w:highlight w:val="none"/>
        </w:rPr>
        <w:t>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5"/>
          <w:rFonts w:hint="default" w:ascii="仿宋" w:hAnsi="仿宋" w:eastAsia="仿宋" w:cs="仿宋"/>
          <w:b w:val="0"/>
          <w:color w:val="auto"/>
          <w:highlight w:val="none"/>
          <w:u w:val="single"/>
          <w:lang w:val="en-US" w:eastAsia="zh-CN"/>
        </w:rPr>
      </w:pPr>
      <w:bookmarkStart w:id="97" w:name="_Toc21391"/>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bookmarkEnd w:id="97"/>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lang w:val="en-US" w:eastAsia="zh-CN"/>
        </w:rPr>
        <w:t xml:space="preserve">   成立检测监测子公司</w:t>
      </w:r>
      <w:r>
        <w:rPr>
          <w:rFonts w:hint="eastAsia" w:ascii="仿宋" w:hAnsi="仿宋" w:eastAsia="仿宋" w:cs="仿宋"/>
          <w:color w:val="auto"/>
          <w:sz w:val="24"/>
          <w:highlight w:val="none"/>
          <w:u w:val="single"/>
        </w:rPr>
        <w:t>可行性研究报告编制合</w:t>
      </w:r>
      <w:r>
        <w:rPr>
          <w:rFonts w:hint="eastAsia" w:ascii="仿宋" w:hAnsi="仿宋" w:eastAsia="仿宋" w:cs="仿宋"/>
          <w:bCs/>
          <w:color w:val="auto"/>
          <w:sz w:val="24"/>
          <w:highlight w:val="none"/>
          <w:u w:val="single"/>
        </w:rPr>
        <w:t>同</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二、甲方的义务</w:t>
      </w:r>
    </w:p>
    <w:p>
      <w:pPr>
        <w:adjustRightInd w:val="0"/>
        <w:snapToGrid w:val="0"/>
        <w:spacing w:line="44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（一）与建设主管部门和属地疫情防控指挥部门形成联防联控机制，建立快速有效的处置工作流程。</w:t>
      </w:r>
    </w:p>
    <w:p>
      <w:pPr>
        <w:pStyle w:val="7"/>
        <w:spacing w:line="44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三、乙方的义务</w:t>
      </w:r>
    </w:p>
    <w:p>
      <w:pPr>
        <w:pStyle w:val="7"/>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（一）开展疫情防控宣传教育，提高乙方人员自我防护意识，最大限度减少人员暴露和感染的风险。</w:t>
      </w:r>
    </w:p>
    <w:p>
      <w:pPr>
        <w:pStyle w:val="7"/>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（二）做好乙方人员防控工作管理，及时提交防疫资料，落实疫情防控备案，必要时需编制防控管理工作方案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（三）乙方人员须按照甲方各厂区进厂门岗防控要求进行疫苗接种及核酸检测，未满足相关要求的人员甲方有权限制进入厂区。</w:t>
      </w:r>
    </w:p>
    <w:p>
      <w:pPr>
        <w:pStyle w:val="7"/>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highlight w:val="none"/>
        </w:rPr>
        <w:t>（五）各级政府、有关部门及甲方的其他防控要求。</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color w:val="auto"/>
          <w:sz w:val="24"/>
          <w:highlight w:val="none"/>
        </w:rPr>
      </w:pPr>
    </w:p>
    <w:p>
      <w:pPr>
        <w:pStyle w:val="35"/>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本协议与合同同时签订、同时终止、同时生效，具有相同的法律效力。合同由甲乙双方签字、盖章生效，一式</w:t>
      </w:r>
      <w:r>
        <w:rPr>
          <w:rFonts w:hint="eastAsia" w:ascii="仿宋" w:hAnsi="仿宋" w:eastAsia="仿宋" w:cs="仿宋"/>
          <w:color w:val="auto"/>
          <w:sz w:val="24"/>
          <w:highlight w:val="none"/>
          <w:lang w:val="en-US" w:eastAsia="zh-CN"/>
        </w:rPr>
        <w:t>伍</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lang w:val="en-US" w:eastAsia="zh-CN"/>
        </w:rPr>
        <w:t>肆</w:t>
      </w:r>
      <w:r>
        <w:rPr>
          <w:rFonts w:hint="eastAsia" w:ascii="仿宋" w:hAnsi="仿宋" w:eastAsia="仿宋" w:cs="仿宋"/>
          <w:color w:val="auto"/>
          <w:sz w:val="24"/>
          <w:highlight w:val="none"/>
        </w:rPr>
        <w:t>份，乙方执壹份。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2022年  月  日　　　　　                      2022年  月  日</w:t>
      </w:r>
    </w:p>
    <w:p>
      <w:pPr>
        <w:rPr>
          <w:color w:val="auto"/>
          <w:highlight w:val="none"/>
        </w:rPr>
      </w:pPr>
    </w:p>
    <w:p>
      <w:pPr>
        <w:pStyle w:val="45"/>
        <w:rPr>
          <w:color w:val="auto"/>
          <w:highlight w:val="none"/>
        </w:rPr>
      </w:pPr>
    </w:p>
    <w:p>
      <w:pPr>
        <w:widowControl/>
        <w:jc w:val="left"/>
        <w:rPr>
          <w:rFonts w:ascii="宋体" w:hAnsi="宋体" w:cs="宋体"/>
          <w:bCs/>
          <w:color w:val="auto"/>
          <w:sz w:val="24"/>
          <w:highlight w:val="none"/>
        </w:rPr>
      </w:pPr>
    </w:p>
    <w:p>
      <w:pPr>
        <w:pStyle w:val="2"/>
        <w:ind w:firstLine="0"/>
        <w:rPr>
          <w:rFonts w:hint="eastAsia"/>
          <w:color w:val="auto"/>
          <w:highlight w:val="none"/>
        </w:rPr>
      </w:pPr>
    </w:p>
    <w:p>
      <w:pPr>
        <w:spacing w:line="360" w:lineRule="auto"/>
        <w:rPr>
          <w:rFonts w:hint="eastAsia" w:ascii="宋体"/>
          <w:color w:val="auto"/>
          <w:sz w:val="24"/>
          <w:highlight w:val="none"/>
        </w:rPr>
      </w:pPr>
    </w:p>
    <w:p>
      <w:pPr>
        <w:pStyle w:val="2"/>
        <w:rPr>
          <w:rFonts w:hint="eastAsia" w:ascii="宋体"/>
          <w:color w:val="auto"/>
          <w:sz w:val="24"/>
          <w:highlight w:val="none"/>
        </w:rPr>
      </w:pPr>
    </w:p>
    <w:p>
      <w:pPr>
        <w:pStyle w:val="2"/>
        <w:rPr>
          <w:rFonts w:hint="eastAsia" w:ascii="宋体"/>
          <w:color w:val="auto"/>
          <w:sz w:val="24"/>
          <w:highlight w:val="none"/>
        </w:rPr>
      </w:pPr>
    </w:p>
    <w:p>
      <w:pPr>
        <w:pStyle w:val="2"/>
        <w:rPr>
          <w:rFonts w:hint="eastAsia" w:ascii="宋体"/>
          <w:color w:val="auto"/>
          <w:sz w:val="24"/>
          <w:highlight w:val="none"/>
        </w:rPr>
      </w:pPr>
    </w:p>
    <w:p>
      <w:pPr>
        <w:pStyle w:val="2"/>
        <w:rPr>
          <w:rFonts w:hint="eastAsia" w:ascii="宋体"/>
          <w:color w:val="auto"/>
          <w:sz w:val="24"/>
          <w:highlight w:val="none"/>
        </w:rPr>
      </w:pPr>
    </w:p>
    <w:p>
      <w:pPr>
        <w:pStyle w:val="2"/>
        <w:rPr>
          <w:rFonts w:hint="eastAsia" w:ascii="宋体"/>
          <w:color w:val="auto"/>
          <w:sz w:val="24"/>
          <w:highlight w:val="none"/>
        </w:rPr>
      </w:pPr>
    </w:p>
    <w:p>
      <w:pPr>
        <w:pStyle w:val="2"/>
        <w:rPr>
          <w:rFonts w:hint="eastAsia" w:ascii="宋体"/>
          <w:color w:val="auto"/>
          <w:sz w:val="24"/>
          <w:highlight w:val="none"/>
        </w:rPr>
      </w:pPr>
    </w:p>
    <w:p>
      <w:pPr>
        <w:pStyle w:val="2"/>
        <w:rPr>
          <w:rFonts w:hint="eastAsia" w:ascii="宋体"/>
          <w:color w:val="auto"/>
          <w:sz w:val="24"/>
          <w:highlight w:val="none"/>
        </w:rPr>
      </w:pPr>
    </w:p>
    <w:p>
      <w:pPr>
        <w:pStyle w:val="2"/>
        <w:rPr>
          <w:rFonts w:hint="eastAsia" w:ascii="宋体"/>
          <w:color w:val="auto"/>
          <w:sz w:val="24"/>
          <w:highlight w:val="none"/>
        </w:rPr>
      </w:pPr>
    </w:p>
    <w:p>
      <w:pPr>
        <w:pStyle w:val="2"/>
        <w:spacing w:line="160" w:lineRule="exact"/>
        <w:ind w:firstLine="0"/>
        <w:rPr>
          <w:rFonts w:hint="eastAsia" w:ascii="宋体"/>
          <w:color w:val="auto"/>
          <w:szCs w:val="21"/>
          <w:highlight w:val="none"/>
        </w:rPr>
      </w:pPr>
    </w:p>
    <w:p>
      <w:pPr>
        <w:pStyle w:val="2"/>
        <w:spacing w:line="160" w:lineRule="exact"/>
        <w:ind w:firstLine="0"/>
        <w:rPr>
          <w:rFonts w:hint="eastAsia" w:eastAsia="宋体"/>
          <w:b/>
          <w:bCs/>
          <w:color w:val="auto"/>
          <w:szCs w:val="21"/>
          <w:highlight w:val="none"/>
        </w:rPr>
      </w:pPr>
    </w:p>
    <w:p>
      <w:pPr>
        <w:pStyle w:val="2"/>
        <w:spacing w:line="160" w:lineRule="exact"/>
        <w:ind w:firstLine="0"/>
        <w:rPr>
          <w:rFonts w:hint="eastAsia" w:eastAsia="宋体"/>
          <w:b/>
          <w:bCs/>
          <w:color w:val="auto"/>
          <w:szCs w:val="21"/>
          <w:highlight w:val="none"/>
        </w:rPr>
      </w:pPr>
    </w:p>
    <w:p>
      <w:pPr>
        <w:pStyle w:val="2"/>
        <w:ind w:firstLine="0"/>
        <w:rPr>
          <w:rFonts w:ascii="宋体"/>
          <w:color w:val="auto"/>
          <w:sz w:val="24"/>
          <w:highlight w:val="none"/>
        </w:rPr>
      </w:pPr>
    </w:p>
    <w:p>
      <w:pPr>
        <w:pStyle w:val="4"/>
        <w:rPr>
          <w:color w:val="auto"/>
          <w:highlight w:val="none"/>
        </w:rPr>
      </w:pPr>
      <w:bookmarkStart w:id="98" w:name="_Toc16552"/>
      <w:bookmarkStart w:id="99" w:name="_Toc1563"/>
      <w:bookmarkStart w:id="100" w:name="_Toc21847"/>
      <w:bookmarkStart w:id="101" w:name="_Toc8147"/>
      <w:bookmarkStart w:id="102" w:name="_Toc30824"/>
      <w:bookmarkStart w:id="103" w:name="_Toc6230"/>
      <w:bookmarkStart w:id="104" w:name="_Toc12169"/>
      <w:bookmarkStart w:id="105" w:name="_Toc23515"/>
      <w:bookmarkStart w:id="106" w:name="_Toc5129"/>
      <w:bookmarkStart w:id="107" w:name="_Toc3723"/>
      <w:bookmarkStart w:id="108"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8"/>
      <w:bookmarkEnd w:id="99"/>
      <w:bookmarkEnd w:id="100"/>
      <w:bookmarkEnd w:id="101"/>
      <w:bookmarkEnd w:id="102"/>
      <w:bookmarkEnd w:id="103"/>
      <w:bookmarkEnd w:id="104"/>
      <w:bookmarkEnd w:id="105"/>
      <w:bookmarkEnd w:id="106"/>
      <w:bookmarkEnd w:id="107"/>
      <w:bookmarkEnd w:id="108"/>
    </w:p>
    <w:p>
      <w:pPr>
        <w:pStyle w:val="35"/>
        <w:rPr>
          <w:color w:val="auto"/>
          <w:highlight w:val="none"/>
        </w:rPr>
      </w:pPr>
    </w:p>
    <w:p>
      <w:pPr>
        <w:pStyle w:val="4"/>
        <w:rPr>
          <w:color w:val="auto"/>
          <w:highlight w:val="none"/>
        </w:rPr>
      </w:pPr>
      <w:bookmarkStart w:id="109" w:name="_Toc12769"/>
      <w:bookmarkStart w:id="110" w:name="_Toc17119"/>
      <w:bookmarkStart w:id="111" w:name="_Toc21675"/>
      <w:bookmarkStart w:id="112" w:name="_Toc88209951"/>
      <w:bookmarkStart w:id="113" w:name="_Toc5342"/>
      <w:bookmarkStart w:id="114" w:name="_Toc10840"/>
      <w:bookmarkStart w:id="115" w:name="_Toc30157"/>
      <w:bookmarkStart w:id="116" w:name="_Toc22764"/>
      <w:bookmarkStart w:id="117" w:name="_Toc87616388"/>
      <w:bookmarkStart w:id="118" w:name="_Toc24815"/>
      <w:bookmarkStart w:id="119" w:name="_Toc24490"/>
      <w:bookmarkStart w:id="120" w:name="_Toc12610"/>
      <w:bookmarkStart w:id="121" w:name="_Toc31564"/>
      <w:r>
        <w:rPr>
          <w:rFonts w:hint="eastAsia"/>
          <w:color w:val="auto"/>
          <w:highlight w:val="none"/>
        </w:rPr>
        <w:t>响应文件格式要求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2" w:name="_Toc88209952"/>
      <w:bookmarkStart w:id="123" w:name="_Toc87616389"/>
      <w:r>
        <w:rPr>
          <w:rFonts w:hint="eastAsia" w:ascii="仿宋_GB2312" w:eastAsia="仿宋_GB2312"/>
          <w:color w:val="auto"/>
          <w:sz w:val="28"/>
          <w:szCs w:val="28"/>
          <w:highlight w:val="none"/>
        </w:rPr>
        <w:t>1.响应函</w:t>
      </w:r>
      <w:bookmarkEnd w:id="122"/>
      <w:bookmarkEnd w:id="123"/>
    </w:p>
    <w:p>
      <w:pPr>
        <w:spacing w:line="600" w:lineRule="exact"/>
        <w:rPr>
          <w:rFonts w:ascii="仿宋_GB2312" w:eastAsia="仿宋_GB2312"/>
          <w:color w:val="auto"/>
          <w:sz w:val="28"/>
          <w:szCs w:val="28"/>
          <w:highlight w:val="none"/>
        </w:rPr>
      </w:pPr>
      <w:bookmarkStart w:id="124" w:name="_Toc88209953"/>
      <w:bookmarkStart w:id="125" w:name="_Toc87616390"/>
      <w:r>
        <w:rPr>
          <w:rFonts w:hint="eastAsia" w:ascii="仿宋_GB2312" w:eastAsia="仿宋_GB2312"/>
          <w:color w:val="auto"/>
          <w:sz w:val="28"/>
          <w:szCs w:val="28"/>
          <w:highlight w:val="none"/>
        </w:rPr>
        <w:t>2.法定代表人证明或授权委托书</w:t>
      </w:r>
      <w:bookmarkEnd w:id="124"/>
      <w:bookmarkEnd w:id="125"/>
      <w:bookmarkStart w:id="126" w:name="_Toc87616393"/>
      <w:bookmarkStart w:id="12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26"/>
      <w:bookmarkEnd w:id="127"/>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28" w:name="_Toc12665"/>
      <w:bookmarkStart w:id="129" w:name="_Toc28619645"/>
      <w:bookmarkStart w:id="130" w:name="_Toc88209957"/>
      <w:bookmarkStart w:id="131" w:name="_Toc6313"/>
      <w:bookmarkStart w:id="132" w:name="_Toc87616394"/>
      <w:r>
        <w:rPr>
          <w:rFonts w:hint="eastAsia" w:asciiTheme="minorEastAsia" w:hAnsiTheme="minorEastAsia" w:eastAsiaTheme="minorEastAsia"/>
          <w:color w:val="auto"/>
          <w:sz w:val="28"/>
          <w:szCs w:val="28"/>
          <w:highlight w:val="none"/>
        </w:rPr>
        <w:t>1.响应函</w:t>
      </w:r>
      <w:bookmarkEnd w:id="128"/>
      <w:bookmarkEnd w:id="129"/>
      <w:bookmarkEnd w:id="130"/>
      <w:bookmarkEnd w:id="131"/>
      <w:bookmarkEnd w:id="13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33" w:name="_Toc87616395"/>
      <w:bookmarkStart w:id="134" w:name="_Toc29833"/>
      <w:bookmarkStart w:id="135" w:name="_Toc88209958"/>
      <w:bookmarkStart w:id="136"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3"/>
      <w:bookmarkEnd w:id="134"/>
      <w:bookmarkEnd w:id="135"/>
      <w:bookmarkEnd w:id="13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5"/>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7" w:name="_Toc88209963"/>
      <w:bookmarkStart w:id="138" w:name="_Toc87616400"/>
      <w:bookmarkStart w:id="139" w:name="_Toc8086"/>
      <w:bookmarkStart w:id="140"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37"/>
      <w:bookmarkEnd w:id="138"/>
      <w:bookmarkEnd w:id="139"/>
      <w:bookmarkEnd w:id="14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41"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41"/>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eastAsia="zh-CN"/>
        </w:rPr>
        <w:t>广州市净水有限公司成立检测监测子公司可行性研究报告咨询服务项目项目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sz w:val="24"/>
          <w:szCs w:val="24"/>
          <w:highlight w:val="none"/>
          <w:lang w:val="en-GB"/>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lang w:eastAsia="zh-CN"/>
        </w:rPr>
      </w:pPr>
      <w:bookmarkStart w:id="142" w:name="_Toc19423"/>
      <w:bookmarkStart w:id="143"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42"/>
      <w:bookmarkEnd w:id="143"/>
      <w:r>
        <w:rPr>
          <w:rFonts w:hint="eastAsia" w:asciiTheme="minorEastAsia" w:hAnsiTheme="minorEastAsia" w:eastAsiaTheme="minorEastAsia"/>
          <w:color w:val="auto"/>
          <w:sz w:val="28"/>
          <w:szCs w:val="28"/>
          <w:highlight w:val="none"/>
          <w:u w:val="single"/>
          <w:lang w:eastAsia="zh-CN"/>
        </w:rPr>
        <w:t>（</w:t>
      </w:r>
      <w:r>
        <w:rPr>
          <w:rFonts w:hint="eastAsia" w:asciiTheme="minorEastAsia" w:hAnsiTheme="minorEastAsia" w:eastAsiaTheme="minorEastAsia"/>
          <w:color w:val="auto"/>
          <w:sz w:val="28"/>
          <w:szCs w:val="28"/>
          <w:highlight w:val="none"/>
          <w:u w:val="single"/>
          <w:lang w:val="en-US" w:eastAsia="zh-CN"/>
        </w:rPr>
        <w:t>无报价清单？</w:t>
      </w:r>
      <w:r>
        <w:rPr>
          <w:rFonts w:hint="eastAsia" w:asciiTheme="minorEastAsia" w:hAnsiTheme="minorEastAsia" w:eastAsiaTheme="minorEastAsia"/>
          <w:color w:val="auto"/>
          <w:sz w:val="28"/>
          <w:szCs w:val="28"/>
          <w:highlight w:val="none"/>
          <w:u w:val="single"/>
          <w:lang w:eastAsia="zh-CN"/>
        </w:rPr>
        <w:t>）</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□施工类</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采购人根据国家</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行业</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地方发布的计价办法</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施工图纸等设计文件</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施工现场实际情况</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项目报价要求等</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编制适合采购项目的报价表</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□货物类</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（1）报价表说明</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3"/>
        <w:tblW w:w="9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1054"/>
        <w:gridCol w:w="992"/>
        <w:gridCol w:w="425"/>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序号</w:t>
            </w:r>
          </w:p>
        </w:tc>
        <w:tc>
          <w:tcPr>
            <w:tcW w:w="705"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名称</w:t>
            </w:r>
          </w:p>
        </w:tc>
        <w:tc>
          <w:tcPr>
            <w:tcW w:w="1054"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产地、品牌</w:t>
            </w:r>
          </w:p>
        </w:tc>
        <w:tc>
          <w:tcPr>
            <w:tcW w:w="425"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color w:val="auto"/>
                <w:sz w:val="28"/>
                <w:szCs w:val="28"/>
                <w:highlight w:val="none"/>
              </w:rPr>
            </w:pPr>
          </w:p>
        </w:tc>
        <w:tc>
          <w:tcPr>
            <w:tcW w:w="705" w:type="dxa"/>
            <w:vMerge w:val="continue"/>
          </w:tcPr>
          <w:p>
            <w:pPr>
              <w:adjustRightInd w:val="0"/>
              <w:snapToGrid w:val="0"/>
              <w:rPr>
                <w:rFonts w:ascii="仿宋_GB2312" w:eastAsia="仿宋_GB2312" w:hAnsiTheme="minorEastAsia"/>
                <w:color w:val="auto"/>
                <w:sz w:val="28"/>
                <w:szCs w:val="28"/>
                <w:highlight w:val="none"/>
              </w:rPr>
            </w:pPr>
          </w:p>
        </w:tc>
        <w:tc>
          <w:tcPr>
            <w:tcW w:w="1054" w:type="dxa"/>
            <w:vMerge w:val="continue"/>
          </w:tcPr>
          <w:p>
            <w:pPr>
              <w:adjustRightInd w:val="0"/>
              <w:snapToGrid w:val="0"/>
              <w:rPr>
                <w:rFonts w:ascii="仿宋_GB2312" w:eastAsia="仿宋_GB2312" w:hAnsiTheme="minorEastAsia"/>
                <w:color w:val="auto"/>
                <w:sz w:val="28"/>
                <w:szCs w:val="28"/>
                <w:highlight w:val="none"/>
              </w:rPr>
            </w:pPr>
          </w:p>
        </w:tc>
        <w:tc>
          <w:tcPr>
            <w:tcW w:w="992"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425"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567" w:type="dxa"/>
            <w:vMerge w:val="continue"/>
            <w:tcBorders>
              <w:left w:val="single" w:color="auto" w:sz="4" w:space="0"/>
            </w:tcBorders>
          </w:tcPr>
          <w:p>
            <w:pPr>
              <w:adjustRightInd w:val="0"/>
              <w:snapToGrid w:val="0"/>
              <w:rPr>
                <w:rFonts w:ascii="仿宋_GB2312" w:eastAsia="仿宋_GB2312" w:hAnsiTheme="minorEastAsia"/>
                <w:color w:val="auto"/>
                <w:sz w:val="28"/>
                <w:szCs w:val="28"/>
                <w:highlight w:val="none"/>
              </w:rPr>
            </w:pPr>
          </w:p>
        </w:tc>
        <w:tc>
          <w:tcPr>
            <w:tcW w:w="880" w:type="dxa"/>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566"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566" w:type="dxa"/>
            <w:tcBorders>
              <w:lef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982"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510" w:type="dxa"/>
            <w:tcBorders>
              <w:left w:val="single" w:color="auto" w:sz="4" w:space="0"/>
            </w:tcBorders>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color w:val="auto"/>
                <w:sz w:val="28"/>
                <w:szCs w:val="28"/>
                <w:highlight w:val="none"/>
              </w:rPr>
            </w:pPr>
          </w:p>
        </w:tc>
        <w:tc>
          <w:tcPr>
            <w:tcW w:w="705" w:type="dxa"/>
          </w:tcPr>
          <w:p>
            <w:pPr>
              <w:adjustRightInd w:val="0"/>
              <w:snapToGrid w:val="0"/>
              <w:spacing w:line="600" w:lineRule="exact"/>
              <w:rPr>
                <w:rFonts w:ascii="仿宋_GB2312" w:eastAsia="仿宋_GB2312" w:hAnsiTheme="minorEastAsia"/>
                <w:color w:val="auto"/>
                <w:sz w:val="28"/>
                <w:szCs w:val="28"/>
                <w:highlight w:val="none"/>
              </w:rPr>
            </w:pPr>
          </w:p>
        </w:tc>
        <w:tc>
          <w:tcPr>
            <w:tcW w:w="1054"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color w:val="auto"/>
                <w:sz w:val="28"/>
                <w:szCs w:val="28"/>
                <w:highlight w:val="none"/>
              </w:rPr>
            </w:pPr>
          </w:p>
        </w:tc>
        <w:tc>
          <w:tcPr>
            <w:tcW w:w="705" w:type="dxa"/>
          </w:tcPr>
          <w:p>
            <w:pPr>
              <w:adjustRightInd w:val="0"/>
              <w:snapToGrid w:val="0"/>
              <w:spacing w:line="600" w:lineRule="exact"/>
              <w:rPr>
                <w:rFonts w:ascii="仿宋_GB2312" w:eastAsia="仿宋_GB2312" w:hAnsiTheme="minorEastAsia"/>
                <w:color w:val="auto"/>
                <w:sz w:val="28"/>
                <w:szCs w:val="28"/>
                <w:highlight w:val="none"/>
              </w:rPr>
            </w:pPr>
          </w:p>
        </w:tc>
        <w:tc>
          <w:tcPr>
            <w:tcW w:w="1054"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color w:val="auto"/>
                <w:sz w:val="28"/>
                <w:szCs w:val="28"/>
                <w:highlight w:val="none"/>
              </w:rPr>
            </w:pPr>
          </w:p>
        </w:tc>
        <w:tc>
          <w:tcPr>
            <w:tcW w:w="705" w:type="dxa"/>
          </w:tcPr>
          <w:p>
            <w:pPr>
              <w:adjustRightInd w:val="0"/>
              <w:snapToGrid w:val="0"/>
              <w:spacing w:line="600" w:lineRule="exact"/>
              <w:rPr>
                <w:rFonts w:ascii="仿宋_GB2312" w:eastAsia="仿宋_GB2312" w:hAnsiTheme="minorEastAsia"/>
                <w:color w:val="auto"/>
                <w:sz w:val="28"/>
                <w:szCs w:val="28"/>
                <w:highlight w:val="none"/>
              </w:rPr>
            </w:pPr>
          </w:p>
        </w:tc>
        <w:tc>
          <w:tcPr>
            <w:tcW w:w="1054"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color w:val="auto"/>
                <w:sz w:val="28"/>
                <w:szCs w:val="28"/>
                <w:highlight w:val="none"/>
              </w:rPr>
            </w:pPr>
          </w:p>
        </w:tc>
        <w:tc>
          <w:tcPr>
            <w:tcW w:w="705" w:type="dxa"/>
          </w:tcPr>
          <w:p>
            <w:pPr>
              <w:adjustRightInd w:val="0"/>
              <w:snapToGrid w:val="0"/>
              <w:spacing w:line="600" w:lineRule="exact"/>
              <w:rPr>
                <w:rFonts w:ascii="仿宋_GB2312" w:eastAsia="仿宋_GB2312" w:hAnsiTheme="minorEastAsia"/>
                <w:color w:val="auto"/>
                <w:sz w:val="28"/>
                <w:szCs w:val="28"/>
                <w:highlight w:val="none"/>
              </w:rPr>
            </w:pPr>
          </w:p>
        </w:tc>
        <w:tc>
          <w:tcPr>
            <w:tcW w:w="1054"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color w:val="auto"/>
                <w:sz w:val="28"/>
                <w:szCs w:val="28"/>
                <w:highlight w:val="none"/>
              </w:rPr>
            </w:pPr>
          </w:p>
        </w:tc>
        <w:tc>
          <w:tcPr>
            <w:tcW w:w="705" w:type="dxa"/>
          </w:tcPr>
          <w:p>
            <w:pPr>
              <w:adjustRightInd w:val="0"/>
              <w:snapToGrid w:val="0"/>
              <w:spacing w:line="600" w:lineRule="exact"/>
              <w:rPr>
                <w:rFonts w:ascii="仿宋_GB2312" w:eastAsia="仿宋_GB2312" w:hAnsiTheme="minorEastAsia"/>
                <w:color w:val="auto"/>
                <w:sz w:val="28"/>
                <w:szCs w:val="28"/>
                <w:highlight w:val="none"/>
              </w:rPr>
            </w:pPr>
          </w:p>
        </w:tc>
        <w:tc>
          <w:tcPr>
            <w:tcW w:w="1054"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color w:val="auto"/>
                <w:sz w:val="28"/>
                <w:szCs w:val="28"/>
                <w:highlight w:val="none"/>
              </w:rPr>
            </w:pPr>
          </w:p>
        </w:tc>
        <w:tc>
          <w:tcPr>
            <w:tcW w:w="705" w:type="dxa"/>
          </w:tcPr>
          <w:p>
            <w:pPr>
              <w:adjustRightInd w:val="0"/>
              <w:snapToGrid w:val="0"/>
              <w:spacing w:line="600" w:lineRule="exact"/>
              <w:rPr>
                <w:rFonts w:ascii="仿宋_GB2312" w:eastAsia="仿宋_GB2312" w:hAnsiTheme="minorEastAsia"/>
                <w:color w:val="auto"/>
                <w:sz w:val="28"/>
                <w:szCs w:val="28"/>
                <w:highlight w:val="none"/>
              </w:rPr>
            </w:pPr>
          </w:p>
        </w:tc>
        <w:tc>
          <w:tcPr>
            <w:tcW w:w="1054"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p>
        </w:tc>
        <w:tc>
          <w:tcPr>
            <w:tcW w:w="705" w:type="dxa"/>
          </w:tcPr>
          <w:p>
            <w:pPr>
              <w:adjustRightInd w:val="0"/>
              <w:snapToGrid w:val="0"/>
              <w:spacing w:line="600" w:lineRule="exact"/>
              <w:rPr>
                <w:rFonts w:ascii="仿宋_GB2312" w:eastAsia="仿宋_GB2312" w:hAnsiTheme="minorEastAsia"/>
                <w:color w:val="auto"/>
                <w:sz w:val="28"/>
                <w:szCs w:val="28"/>
                <w:highlight w:val="none"/>
              </w:rPr>
            </w:pPr>
          </w:p>
        </w:tc>
        <w:tc>
          <w:tcPr>
            <w:tcW w:w="1054"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□服务类</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（1）报价表说明</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3"/>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序号</w:t>
            </w:r>
          </w:p>
        </w:tc>
        <w:tc>
          <w:tcPr>
            <w:tcW w:w="850"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服务费用分项名称</w:t>
            </w:r>
          </w:p>
        </w:tc>
        <w:tc>
          <w:tcPr>
            <w:tcW w:w="567"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color w:val="auto"/>
                <w:sz w:val="28"/>
                <w:szCs w:val="28"/>
                <w:highlight w:val="none"/>
              </w:rPr>
            </w:pPr>
          </w:p>
        </w:tc>
        <w:tc>
          <w:tcPr>
            <w:tcW w:w="850" w:type="dxa"/>
            <w:vMerge w:val="continue"/>
          </w:tcPr>
          <w:p>
            <w:pPr>
              <w:adjustRightInd w:val="0"/>
              <w:snapToGrid w:val="0"/>
              <w:rPr>
                <w:rFonts w:ascii="仿宋_GB2312" w:eastAsia="仿宋_GB2312" w:hAnsiTheme="minorEastAsia"/>
                <w:color w:val="auto"/>
                <w:sz w:val="28"/>
                <w:szCs w:val="28"/>
                <w:highlight w:val="none"/>
              </w:rPr>
            </w:pPr>
          </w:p>
        </w:tc>
        <w:tc>
          <w:tcPr>
            <w:tcW w:w="567" w:type="dxa"/>
            <w:vMerge w:val="continue"/>
          </w:tcPr>
          <w:p>
            <w:pPr>
              <w:adjustRightInd w:val="0"/>
              <w:snapToGrid w:val="0"/>
              <w:rPr>
                <w:rFonts w:ascii="仿宋_GB2312" w:eastAsia="仿宋_GB2312" w:hAnsiTheme="minorEastAsia"/>
                <w:color w:val="auto"/>
                <w:sz w:val="28"/>
                <w:szCs w:val="28"/>
                <w:highlight w:val="none"/>
              </w:rPr>
            </w:pPr>
          </w:p>
        </w:tc>
        <w:tc>
          <w:tcPr>
            <w:tcW w:w="851" w:type="dxa"/>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850"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992"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602" w:type="dxa"/>
            <w:tcBorders>
              <w:left w:val="single" w:color="auto" w:sz="4" w:space="0"/>
            </w:tcBorders>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Pr>
          <w:p>
            <w:pPr>
              <w:adjustRightInd w:val="0"/>
              <w:snapToGrid w:val="0"/>
              <w:spacing w:line="600" w:lineRule="exact"/>
              <w:rPr>
                <w:rFonts w:ascii="仿宋_GB2312" w:eastAsia="仿宋_GB2312" w:hAnsiTheme="minorEastAsia"/>
                <w:color w:val="auto"/>
                <w:sz w:val="28"/>
                <w:szCs w:val="28"/>
                <w:highlight w:val="none"/>
              </w:rPr>
            </w:pPr>
          </w:p>
        </w:tc>
        <w:tc>
          <w:tcPr>
            <w:tcW w:w="567" w:type="dxa"/>
          </w:tcPr>
          <w:p>
            <w:pPr>
              <w:adjustRightInd w:val="0"/>
              <w:snapToGrid w:val="0"/>
              <w:spacing w:line="600" w:lineRule="exact"/>
              <w:rPr>
                <w:rFonts w:ascii="仿宋_GB2312" w:eastAsia="仿宋_GB2312" w:hAnsiTheme="minorEastAsia"/>
                <w:color w:val="auto"/>
                <w:sz w:val="28"/>
                <w:szCs w:val="28"/>
                <w:highlight w:val="none"/>
              </w:rPr>
            </w:pPr>
          </w:p>
        </w:tc>
        <w:tc>
          <w:tcPr>
            <w:tcW w:w="851"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Pr>
          <w:p>
            <w:pPr>
              <w:adjustRightInd w:val="0"/>
              <w:snapToGrid w:val="0"/>
              <w:spacing w:line="600" w:lineRule="exact"/>
              <w:rPr>
                <w:rFonts w:ascii="仿宋_GB2312" w:eastAsia="仿宋_GB2312" w:hAnsiTheme="minorEastAsia"/>
                <w:color w:val="auto"/>
                <w:sz w:val="28"/>
                <w:szCs w:val="28"/>
                <w:highlight w:val="none"/>
              </w:rPr>
            </w:pPr>
          </w:p>
        </w:tc>
        <w:tc>
          <w:tcPr>
            <w:tcW w:w="567" w:type="dxa"/>
          </w:tcPr>
          <w:p>
            <w:pPr>
              <w:adjustRightInd w:val="0"/>
              <w:snapToGrid w:val="0"/>
              <w:spacing w:line="600" w:lineRule="exact"/>
              <w:rPr>
                <w:rFonts w:ascii="仿宋_GB2312" w:eastAsia="仿宋_GB2312" w:hAnsiTheme="minorEastAsia"/>
                <w:color w:val="auto"/>
                <w:sz w:val="28"/>
                <w:szCs w:val="28"/>
                <w:highlight w:val="none"/>
              </w:rPr>
            </w:pPr>
          </w:p>
        </w:tc>
        <w:tc>
          <w:tcPr>
            <w:tcW w:w="851"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Pr>
          <w:p>
            <w:pPr>
              <w:adjustRightInd w:val="0"/>
              <w:snapToGrid w:val="0"/>
              <w:spacing w:line="600" w:lineRule="exact"/>
              <w:rPr>
                <w:rFonts w:ascii="仿宋_GB2312" w:eastAsia="仿宋_GB2312" w:hAnsiTheme="minorEastAsia"/>
                <w:color w:val="auto"/>
                <w:sz w:val="28"/>
                <w:szCs w:val="28"/>
                <w:highlight w:val="none"/>
              </w:rPr>
            </w:pPr>
          </w:p>
        </w:tc>
        <w:tc>
          <w:tcPr>
            <w:tcW w:w="567" w:type="dxa"/>
          </w:tcPr>
          <w:p>
            <w:pPr>
              <w:adjustRightInd w:val="0"/>
              <w:snapToGrid w:val="0"/>
              <w:spacing w:line="600" w:lineRule="exact"/>
              <w:rPr>
                <w:rFonts w:ascii="仿宋_GB2312" w:eastAsia="仿宋_GB2312" w:hAnsiTheme="minorEastAsia"/>
                <w:color w:val="auto"/>
                <w:sz w:val="28"/>
                <w:szCs w:val="28"/>
                <w:highlight w:val="none"/>
              </w:rPr>
            </w:pPr>
          </w:p>
        </w:tc>
        <w:tc>
          <w:tcPr>
            <w:tcW w:w="851"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Pr>
          <w:p>
            <w:pPr>
              <w:adjustRightInd w:val="0"/>
              <w:snapToGrid w:val="0"/>
              <w:spacing w:line="600" w:lineRule="exact"/>
              <w:rPr>
                <w:rFonts w:ascii="仿宋_GB2312" w:eastAsia="仿宋_GB2312" w:hAnsiTheme="minorEastAsia"/>
                <w:color w:val="auto"/>
                <w:sz w:val="28"/>
                <w:szCs w:val="28"/>
                <w:highlight w:val="none"/>
              </w:rPr>
            </w:pPr>
          </w:p>
        </w:tc>
        <w:tc>
          <w:tcPr>
            <w:tcW w:w="567" w:type="dxa"/>
          </w:tcPr>
          <w:p>
            <w:pPr>
              <w:adjustRightInd w:val="0"/>
              <w:snapToGrid w:val="0"/>
              <w:spacing w:line="600" w:lineRule="exact"/>
              <w:rPr>
                <w:rFonts w:ascii="仿宋_GB2312" w:eastAsia="仿宋_GB2312" w:hAnsiTheme="minorEastAsia"/>
                <w:color w:val="auto"/>
                <w:sz w:val="28"/>
                <w:szCs w:val="28"/>
                <w:highlight w:val="none"/>
              </w:rPr>
            </w:pPr>
          </w:p>
        </w:tc>
        <w:tc>
          <w:tcPr>
            <w:tcW w:w="851"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Pr>
          <w:p>
            <w:pPr>
              <w:adjustRightInd w:val="0"/>
              <w:snapToGrid w:val="0"/>
              <w:spacing w:line="600" w:lineRule="exact"/>
              <w:rPr>
                <w:rFonts w:ascii="仿宋_GB2312" w:eastAsia="仿宋_GB2312" w:hAnsiTheme="minorEastAsia"/>
                <w:color w:val="auto"/>
                <w:sz w:val="28"/>
                <w:szCs w:val="28"/>
                <w:highlight w:val="none"/>
              </w:rPr>
            </w:pPr>
          </w:p>
        </w:tc>
        <w:tc>
          <w:tcPr>
            <w:tcW w:w="567" w:type="dxa"/>
          </w:tcPr>
          <w:p>
            <w:pPr>
              <w:adjustRightInd w:val="0"/>
              <w:snapToGrid w:val="0"/>
              <w:spacing w:line="600" w:lineRule="exact"/>
              <w:rPr>
                <w:rFonts w:ascii="仿宋_GB2312" w:eastAsia="仿宋_GB2312" w:hAnsiTheme="minorEastAsia"/>
                <w:color w:val="auto"/>
                <w:sz w:val="28"/>
                <w:szCs w:val="28"/>
                <w:highlight w:val="none"/>
              </w:rPr>
            </w:pPr>
          </w:p>
        </w:tc>
        <w:tc>
          <w:tcPr>
            <w:tcW w:w="851"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Pr>
          <w:p>
            <w:pPr>
              <w:adjustRightInd w:val="0"/>
              <w:snapToGrid w:val="0"/>
              <w:spacing w:line="600" w:lineRule="exact"/>
              <w:rPr>
                <w:rFonts w:ascii="仿宋_GB2312" w:eastAsia="仿宋_GB2312" w:hAnsiTheme="minorEastAsia"/>
                <w:color w:val="auto"/>
                <w:sz w:val="28"/>
                <w:szCs w:val="28"/>
                <w:highlight w:val="none"/>
              </w:rPr>
            </w:pPr>
          </w:p>
        </w:tc>
        <w:tc>
          <w:tcPr>
            <w:tcW w:w="567" w:type="dxa"/>
          </w:tcPr>
          <w:p>
            <w:pPr>
              <w:adjustRightInd w:val="0"/>
              <w:snapToGrid w:val="0"/>
              <w:spacing w:line="600" w:lineRule="exact"/>
              <w:rPr>
                <w:rFonts w:ascii="仿宋_GB2312" w:eastAsia="仿宋_GB2312" w:hAnsiTheme="minorEastAsia"/>
                <w:color w:val="auto"/>
                <w:sz w:val="28"/>
                <w:szCs w:val="28"/>
                <w:highlight w:val="none"/>
              </w:rPr>
            </w:pPr>
          </w:p>
        </w:tc>
        <w:tc>
          <w:tcPr>
            <w:tcW w:w="851"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p>
        </w:tc>
        <w:tc>
          <w:tcPr>
            <w:tcW w:w="850" w:type="dxa"/>
          </w:tcPr>
          <w:p>
            <w:pPr>
              <w:adjustRightInd w:val="0"/>
              <w:snapToGrid w:val="0"/>
              <w:spacing w:line="600" w:lineRule="exact"/>
              <w:rPr>
                <w:rFonts w:ascii="仿宋_GB2312" w:eastAsia="仿宋_GB2312" w:hAnsiTheme="minorEastAsia"/>
                <w:color w:val="auto"/>
                <w:sz w:val="28"/>
                <w:szCs w:val="28"/>
                <w:highlight w:val="none"/>
              </w:rPr>
            </w:pPr>
          </w:p>
        </w:tc>
        <w:tc>
          <w:tcPr>
            <w:tcW w:w="567" w:type="dxa"/>
          </w:tcPr>
          <w:p>
            <w:pPr>
              <w:adjustRightInd w:val="0"/>
              <w:snapToGrid w:val="0"/>
              <w:spacing w:line="600" w:lineRule="exact"/>
              <w:rPr>
                <w:rFonts w:ascii="仿宋_GB2312" w:eastAsia="仿宋_GB2312" w:hAnsiTheme="minorEastAsia"/>
                <w:color w:val="auto"/>
                <w:sz w:val="28"/>
                <w:szCs w:val="28"/>
                <w:highlight w:val="none"/>
              </w:rPr>
            </w:pPr>
          </w:p>
        </w:tc>
        <w:tc>
          <w:tcPr>
            <w:tcW w:w="851" w:type="dxa"/>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color w:val="auto"/>
          <w:highlight w:val="none"/>
        </w:rPr>
      </w:pPr>
    </w:p>
    <w:p>
      <w:pPr>
        <w:pStyle w:val="6"/>
        <w:rPr>
          <w:rFonts w:asciiTheme="majorEastAsia" w:hAnsiTheme="majorEastAsia" w:eastAsiaTheme="majorEastAsia"/>
          <w:color w:val="auto"/>
          <w:sz w:val="28"/>
          <w:szCs w:val="28"/>
          <w:highlight w:val="none"/>
        </w:rPr>
      </w:pPr>
      <w:bookmarkStart w:id="144" w:name="_Toc87616402"/>
      <w:bookmarkStart w:id="145" w:name="_Toc16386"/>
      <w:bookmarkStart w:id="146" w:name="_Toc88209965"/>
      <w:bookmarkStart w:id="147" w:name="_Toc6058"/>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44"/>
      <w:bookmarkEnd w:id="145"/>
      <w:bookmarkEnd w:id="146"/>
      <w:bookmarkEnd w:id="14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&#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1C5A/TAQAApQMAAA4AAAAAAAAAAQAgAAAA&#10;IgEAAGRycy9lMm9Eb2MueG1sUEsFBgAAAAAGAAYAWQEAAGcFA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CFEF0804"/>
    <w:multiLevelType w:val="singleLevel"/>
    <w:tmpl w:val="CFEF0804"/>
    <w:lvl w:ilvl="0" w:tentative="0">
      <w:start w:val="2"/>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216EB"/>
    <w:rsid w:val="00227C6D"/>
    <w:rsid w:val="003D60BA"/>
    <w:rsid w:val="00411689"/>
    <w:rsid w:val="005D618A"/>
    <w:rsid w:val="008C66C5"/>
    <w:rsid w:val="00911ECD"/>
    <w:rsid w:val="00A042E0"/>
    <w:rsid w:val="00A81047"/>
    <w:rsid w:val="00B26BB1"/>
    <w:rsid w:val="00B26E21"/>
    <w:rsid w:val="00F4436A"/>
    <w:rsid w:val="00F83B64"/>
    <w:rsid w:val="02090C75"/>
    <w:rsid w:val="02A23A3C"/>
    <w:rsid w:val="03AC246A"/>
    <w:rsid w:val="03B23056"/>
    <w:rsid w:val="03DC3EBA"/>
    <w:rsid w:val="03F9794D"/>
    <w:rsid w:val="046A2461"/>
    <w:rsid w:val="046B70EF"/>
    <w:rsid w:val="04C0205D"/>
    <w:rsid w:val="06C64829"/>
    <w:rsid w:val="077D16D2"/>
    <w:rsid w:val="08675FC8"/>
    <w:rsid w:val="09B713FD"/>
    <w:rsid w:val="09EF6ACC"/>
    <w:rsid w:val="0A315056"/>
    <w:rsid w:val="0AFB45AD"/>
    <w:rsid w:val="0B351E9B"/>
    <w:rsid w:val="0B4C50D3"/>
    <w:rsid w:val="0B802C50"/>
    <w:rsid w:val="0B806B92"/>
    <w:rsid w:val="0B827E94"/>
    <w:rsid w:val="0BC168DE"/>
    <w:rsid w:val="0BD070E1"/>
    <w:rsid w:val="0C247926"/>
    <w:rsid w:val="0C5C70EA"/>
    <w:rsid w:val="0D216DDA"/>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43D07D7"/>
    <w:rsid w:val="14BC2F95"/>
    <w:rsid w:val="15BC6B3C"/>
    <w:rsid w:val="1694429A"/>
    <w:rsid w:val="17635326"/>
    <w:rsid w:val="18236EFD"/>
    <w:rsid w:val="189D5B1F"/>
    <w:rsid w:val="18A34CD0"/>
    <w:rsid w:val="19B64DBC"/>
    <w:rsid w:val="1A373ACF"/>
    <w:rsid w:val="1A895341"/>
    <w:rsid w:val="1B0D071F"/>
    <w:rsid w:val="1B4568CE"/>
    <w:rsid w:val="1B5E7A79"/>
    <w:rsid w:val="1B9015B7"/>
    <w:rsid w:val="1BB25D8C"/>
    <w:rsid w:val="1D5A79EE"/>
    <w:rsid w:val="1E0E2CD0"/>
    <w:rsid w:val="1E831280"/>
    <w:rsid w:val="1EBC4704"/>
    <w:rsid w:val="1F172EB5"/>
    <w:rsid w:val="1F94592D"/>
    <w:rsid w:val="1FA42DE2"/>
    <w:rsid w:val="1FB860DE"/>
    <w:rsid w:val="203978D9"/>
    <w:rsid w:val="203C5A02"/>
    <w:rsid w:val="209D4C94"/>
    <w:rsid w:val="20E84705"/>
    <w:rsid w:val="21721A15"/>
    <w:rsid w:val="218400BA"/>
    <w:rsid w:val="21AB1E2F"/>
    <w:rsid w:val="21D40498"/>
    <w:rsid w:val="22767047"/>
    <w:rsid w:val="23A05588"/>
    <w:rsid w:val="25431AEB"/>
    <w:rsid w:val="25BF43FD"/>
    <w:rsid w:val="25F86BCD"/>
    <w:rsid w:val="2605748B"/>
    <w:rsid w:val="269E416A"/>
    <w:rsid w:val="272100D3"/>
    <w:rsid w:val="272C72FC"/>
    <w:rsid w:val="27EB149D"/>
    <w:rsid w:val="27FD3E52"/>
    <w:rsid w:val="28E11370"/>
    <w:rsid w:val="294A756A"/>
    <w:rsid w:val="29D5322D"/>
    <w:rsid w:val="2A025DD9"/>
    <w:rsid w:val="2A7C2231"/>
    <w:rsid w:val="2ABB753D"/>
    <w:rsid w:val="2B7A49FA"/>
    <w:rsid w:val="2BBA743B"/>
    <w:rsid w:val="2C1B54BD"/>
    <w:rsid w:val="2C615D26"/>
    <w:rsid w:val="2CB679ED"/>
    <w:rsid w:val="2CBA782B"/>
    <w:rsid w:val="2D173C07"/>
    <w:rsid w:val="2D424A86"/>
    <w:rsid w:val="2D784F1D"/>
    <w:rsid w:val="2E7B52DB"/>
    <w:rsid w:val="2F324CFE"/>
    <w:rsid w:val="2F961124"/>
    <w:rsid w:val="2FBA09F1"/>
    <w:rsid w:val="2FEF2ACF"/>
    <w:rsid w:val="30540211"/>
    <w:rsid w:val="312D7741"/>
    <w:rsid w:val="316F137F"/>
    <w:rsid w:val="31DF525F"/>
    <w:rsid w:val="32094BCD"/>
    <w:rsid w:val="32324C2E"/>
    <w:rsid w:val="327171DF"/>
    <w:rsid w:val="341452E5"/>
    <w:rsid w:val="341E3434"/>
    <w:rsid w:val="35386B71"/>
    <w:rsid w:val="360B7EBA"/>
    <w:rsid w:val="369C32FD"/>
    <w:rsid w:val="37666E72"/>
    <w:rsid w:val="38167A04"/>
    <w:rsid w:val="394B167A"/>
    <w:rsid w:val="3A305C0D"/>
    <w:rsid w:val="3A4E4336"/>
    <w:rsid w:val="3A6007FE"/>
    <w:rsid w:val="3AE410F0"/>
    <w:rsid w:val="3B7C2CE4"/>
    <w:rsid w:val="3C0B5355"/>
    <w:rsid w:val="3CD4176B"/>
    <w:rsid w:val="3D1F44D9"/>
    <w:rsid w:val="3D5C38CD"/>
    <w:rsid w:val="3E5070F1"/>
    <w:rsid w:val="3F6C3589"/>
    <w:rsid w:val="3F850180"/>
    <w:rsid w:val="3F9004D6"/>
    <w:rsid w:val="3FBA4016"/>
    <w:rsid w:val="400E4D5E"/>
    <w:rsid w:val="405B7755"/>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9D20AFA"/>
    <w:rsid w:val="4ADA1F63"/>
    <w:rsid w:val="4AE23D89"/>
    <w:rsid w:val="4B2038D0"/>
    <w:rsid w:val="4B296E7D"/>
    <w:rsid w:val="4B877F28"/>
    <w:rsid w:val="4D6327E6"/>
    <w:rsid w:val="4D916BA6"/>
    <w:rsid w:val="4DC44169"/>
    <w:rsid w:val="4EF0709E"/>
    <w:rsid w:val="5094058F"/>
    <w:rsid w:val="513C6A7B"/>
    <w:rsid w:val="5333545B"/>
    <w:rsid w:val="5450213C"/>
    <w:rsid w:val="54D24048"/>
    <w:rsid w:val="54D64CD5"/>
    <w:rsid w:val="55887D69"/>
    <w:rsid w:val="561A0928"/>
    <w:rsid w:val="56423872"/>
    <w:rsid w:val="56B279F0"/>
    <w:rsid w:val="56EE3CD8"/>
    <w:rsid w:val="5728779F"/>
    <w:rsid w:val="579D710E"/>
    <w:rsid w:val="57B961F9"/>
    <w:rsid w:val="5800262E"/>
    <w:rsid w:val="581F22F6"/>
    <w:rsid w:val="586E1E17"/>
    <w:rsid w:val="58862C35"/>
    <w:rsid w:val="589A7288"/>
    <w:rsid w:val="58C14957"/>
    <w:rsid w:val="5AE83A50"/>
    <w:rsid w:val="5BAB2917"/>
    <w:rsid w:val="5BF2642D"/>
    <w:rsid w:val="5BFC33FA"/>
    <w:rsid w:val="5C3107A4"/>
    <w:rsid w:val="5C3B1B93"/>
    <w:rsid w:val="5C9220DF"/>
    <w:rsid w:val="5D4A15F3"/>
    <w:rsid w:val="5D69542A"/>
    <w:rsid w:val="5E0930EF"/>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465D66"/>
    <w:rsid w:val="656B1D10"/>
    <w:rsid w:val="66022B28"/>
    <w:rsid w:val="66581E87"/>
    <w:rsid w:val="66FA11D5"/>
    <w:rsid w:val="674302C7"/>
    <w:rsid w:val="680A5986"/>
    <w:rsid w:val="680D5F4B"/>
    <w:rsid w:val="68113F51"/>
    <w:rsid w:val="68E94770"/>
    <w:rsid w:val="68F949C9"/>
    <w:rsid w:val="695A4290"/>
    <w:rsid w:val="695F74E2"/>
    <w:rsid w:val="6A334932"/>
    <w:rsid w:val="6A3353FF"/>
    <w:rsid w:val="6A5D63E6"/>
    <w:rsid w:val="6A5F24D1"/>
    <w:rsid w:val="6AC43B6C"/>
    <w:rsid w:val="6AE347EB"/>
    <w:rsid w:val="6B434AF0"/>
    <w:rsid w:val="6B57675A"/>
    <w:rsid w:val="6BDD7B4D"/>
    <w:rsid w:val="6EBC0B3A"/>
    <w:rsid w:val="6EC6586E"/>
    <w:rsid w:val="6EF51C7D"/>
    <w:rsid w:val="6F245F0A"/>
    <w:rsid w:val="6F8363E5"/>
    <w:rsid w:val="6FBC60C6"/>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DC25CB8"/>
    <w:rsid w:val="7E382D5E"/>
    <w:rsid w:val="7E394207"/>
    <w:rsid w:val="7E4007A2"/>
    <w:rsid w:val="7E791CAD"/>
    <w:rsid w:val="7EA50DFB"/>
    <w:rsid w:val="7EC86878"/>
    <w:rsid w:val="7ED476E5"/>
    <w:rsid w:val="7F16390D"/>
    <w:rsid w:val="7F752917"/>
    <w:rsid w:val="7FD34F9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字符"/>
    <w:basedOn w:val="24"/>
    <w:link w:val="18"/>
    <w:qFormat/>
    <w:uiPriority w:val="99"/>
    <w:rPr>
      <w:sz w:val="18"/>
      <w:szCs w:val="18"/>
    </w:rPr>
  </w:style>
  <w:style w:type="character" w:customStyle="1" w:styleId="28">
    <w:name w:val="页脚 字符"/>
    <w:basedOn w:val="24"/>
    <w:link w:val="17"/>
    <w:qFormat/>
    <w:uiPriority w:val="99"/>
    <w:rPr>
      <w:sz w:val="18"/>
      <w:szCs w:val="18"/>
    </w:rPr>
  </w:style>
  <w:style w:type="character" w:customStyle="1" w:styleId="29">
    <w:name w:val="标题 1 字符"/>
    <w:basedOn w:val="24"/>
    <w:link w:val="4"/>
    <w:qFormat/>
    <w:uiPriority w:val="9"/>
    <w:rPr>
      <w:rFonts w:eastAsia="方正小标宋简体"/>
      <w:bCs/>
      <w:kern w:val="44"/>
      <w:sz w:val="44"/>
      <w:szCs w:val="44"/>
    </w:rPr>
  </w:style>
  <w:style w:type="character" w:customStyle="1" w:styleId="30">
    <w:name w:val="标题 2 字符"/>
    <w:basedOn w:val="24"/>
    <w:link w:val="5"/>
    <w:qFormat/>
    <w:uiPriority w:val="9"/>
    <w:rPr>
      <w:rFonts w:eastAsia="方正小标宋简体" w:asciiTheme="majorHAnsi" w:hAnsiTheme="majorHAnsi" w:cstheme="majorBidi"/>
      <w:bCs/>
      <w:sz w:val="36"/>
      <w:szCs w:val="32"/>
    </w:rPr>
  </w:style>
  <w:style w:type="character" w:customStyle="1" w:styleId="31">
    <w:name w:val="标题 3 字符"/>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qFormat/>
    <w:uiPriority w:val="99"/>
    <w:rPr>
      <w:sz w:val="16"/>
      <w:szCs w:val="16"/>
    </w:rPr>
  </w:style>
  <w:style w:type="character" w:customStyle="1" w:styleId="39">
    <w:name w:val="正文文本 3 字符"/>
    <w:basedOn w:val="24"/>
    <w:link w:val="8"/>
    <w:semiHidden/>
    <w:qFormat/>
    <w:uiPriority w:val="99"/>
    <w:rPr>
      <w:sz w:val="16"/>
      <w:szCs w:val="16"/>
    </w:rPr>
  </w:style>
  <w:style w:type="character" w:customStyle="1" w:styleId="40">
    <w:name w:val="列表段落 字符"/>
    <w:link w:val="32"/>
    <w:qFormat/>
    <w:uiPriority w:val="34"/>
  </w:style>
  <w:style w:type="paragraph" w:customStyle="1" w:styleId="41">
    <w:name w:val="1"/>
    <w:basedOn w:val="1"/>
    <w:next w:val="12"/>
    <w:qFormat/>
    <w:uiPriority w:val="99"/>
    <w:rPr>
      <w:rFonts w:ascii="宋体" w:hAnsi="Courier New"/>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5">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16374</Words>
  <Characters>17019</Characters>
  <Lines>84</Lines>
  <Paragraphs>23</Paragraphs>
  <TotalTime>8</TotalTime>
  <ScaleCrop>false</ScaleCrop>
  <LinksUpToDate>false</LinksUpToDate>
  <CharactersWithSpaces>18960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2022-09-14T03:07:33Z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2DEB2EB9F64F48CC9330ECF18E632F1B</vt:lpwstr>
  </property>
</Properties>
</file>