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10" w:name="_GoBack"/>
      <w:bookmarkEnd w:id="110"/>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广州市净水有限公司2022-2023年度</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雇主责任保险项目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53"/>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1"/>
        <w:numPr>
          <w:ilvl w:val="0"/>
          <w:numId w:val="1"/>
        </w:numPr>
        <w:tabs>
          <w:tab w:val="right" w:pos="8844"/>
        </w:tabs>
        <w:rPr>
          <w:color w:val="auto"/>
          <w:highlight w:val="none"/>
        </w:rPr>
      </w:pPr>
      <w:r>
        <w:rPr>
          <w:rFonts w:hint="eastAsia"/>
          <w:color w:val="auto"/>
          <w:highlight w:val="none"/>
        </w:rPr>
        <w:t>采购公告</w:t>
      </w:r>
    </w:p>
    <w:p>
      <w:pPr>
        <w:pStyle w:val="21"/>
        <w:numPr>
          <w:ilvl w:val="0"/>
          <w:numId w:val="1"/>
        </w:numPr>
        <w:tabs>
          <w:tab w:val="right" w:pos="8844"/>
        </w:tabs>
        <w:rPr>
          <w:color w:val="auto"/>
          <w:highlight w:val="none"/>
        </w:rPr>
      </w:pPr>
      <w:r>
        <w:rPr>
          <w:rFonts w:hint="eastAsia"/>
          <w:color w:val="auto"/>
          <w:highlight w:val="none"/>
        </w:rPr>
        <w:t>供应商须知</w:t>
      </w:r>
    </w:p>
    <w:p>
      <w:pPr>
        <w:pStyle w:val="21"/>
        <w:numPr>
          <w:ilvl w:val="0"/>
          <w:numId w:val="1"/>
        </w:numPr>
        <w:tabs>
          <w:tab w:val="right" w:pos="8844"/>
        </w:tabs>
        <w:rPr>
          <w:color w:val="auto"/>
          <w:highlight w:val="none"/>
        </w:rPr>
      </w:pPr>
      <w:r>
        <w:rPr>
          <w:rFonts w:hint="eastAsia"/>
          <w:color w:val="auto"/>
          <w:highlight w:val="none"/>
        </w:rPr>
        <w:t>采购方法</w:t>
      </w:r>
    </w:p>
    <w:p>
      <w:pPr>
        <w:pStyle w:val="21"/>
        <w:numPr>
          <w:ilvl w:val="0"/>
          <w:numId w:val="1"/>
        </w:numPr>
        <w:tabs>
          <w:tab w:val="right" w:pos="8844"/>
        </w:tabs>
        <w:rPr>
          <w:color w:val="auto"/>
          <w:highlight w:val="none"/>
        </w:rPr>
      </w:pPr>
      <w:r>
        <w:rPr>
          <w:rFonts w:hint="eastAsia"/>
          <w:color w:val="auto"/>
          <w:highlight w:val="none"/>
        </w:rPr>
        <w:t>评审方法</w:t>
      </w:r>
    </w:p>
    <w:p>
      <w:pPr>
        <w:pStyle w:val="21"/>
        <w:numPr>
          <w:ilvl w:val="0"/>
          <w:numId w:val="1"/>
        </w:numPr>
        <w:tabs>
          <w:tab w:val="right" w:pos="8844"/>
        </w:tabs>
        <w:rPr>
          <w:color w:val="auto"/>
          <w:highlight w:val="none"/>
        </w:rPr>
      </w:pPr>
      <w:r>
        <w:rPr>
          <w:rFonts w:hint="eastAsia"/>
          <w:color w:val="auto"/>
          <w:highlight w:val="none"/>
        </w:rPr>
        <w:t>采购需求</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26148"/>
      <w:bookmarkStart w:id="1" w:name="_Toc17696"/>
      <w:bookmarkStart w:id="2" w:name="_Toc1711"/>
      <w:bookmarkStart w:id="3" w:name="_Toc18145"/>
    </w:p>
    <w:p>
      <w:pPr>
        <w:widowControl/>
        <w:jc w:val="left"/>
        <w:rPr>
          <w:rFonts w:ascii="宋体" w:hAnsi="宋体" w:eastAsia="等线" w:cs="Times New Roman"/>
          <w:color w:val="auto"/>
          <w:kern w:val="0"/>
          <w:sz w:val="24"/>
          <w:szCs w:val="24"/>
          <w:highlight w:val="none"/>
        </w:rPr>
      </w:pPr>
      <w:r>
        <w:rPr>
          <w:color w:val="auto"/>
          <w:highlight w:val="none"/>
        </w:rPr>
        <w:br w:type="page"/>
      </w:r>
    </w:p>
    <w:p>
      <w:pPr>
        <w:pStyle w:val="4"/>
        <w:rPr>
          <w:color w:val="auto"/>
          <w:highlight w:val="none"/>
        </w:rPr>
      </w:pPr>
      <w:bookmarkStart w:id="4" w:name="_Toc11322"/>
      <w:bookmarkStart w:id="5" w:name="_Toc17801"/>
      <w:bookmarkStart w:id="6" w:name="_Toc1669"/>
      <w:bookmarkStart w:id="7" w:name="_Toc19609"/>
      <w:bookmarkStart w:id="8" w:name="_Toc4275"/>
      <w:bookmarkStart w:id="9" w:name="_Toc31938"/>
      <w:bookmarkStart w:id="10" w:name="_Toc7519"/>
    </w:p>
    <w:bookmarkEnd w:id="0"/>
    <w:bookmarkEnd w:id="1"/>
    <w:bookmarkEnd w:id="2"/>
    <w:bookmarkEnd w:id="3"/>
    <w:bookmarkEnd w:id="4"/>
    <w:bookmarkEnd w:id="5"/>
    <w:bookmarkEnd w:id="6"/>
    <w:bookmarkEnd w:id="7"/>
    <w:bookmarkEnd w:id="8"/>
    <w:bookmarkEnd w:id="9"/>
    <w:bookmarkEnd w:id="10"/>
    <w:p>
      <w:pPr>
        <w:pStyle w:val="4"/>
        <w:rPr>
          <w:color w:val="auto"/>
          <w:highlight w:val="none"/>
        </w:rPr>
      </w:pPr>
      <w:r>
        <w:rPr>
          <w:color w:val="auto"/>
          <w:highlight w:val="none"/>
        </w:rPr>
        <w:t>第一章</w:t>
      </w:r>
    </w:p>
    <w:p>
      <w:pPr>
        <w:pStyle w:val="4"/>
        <w:rPr>
          <w:color w:val="auto"/>
          <w:highlight w:val="none"/>
        </w:rPr>
      </w:pPr>
      <w:bookmarkStart w:id="11" w:name="_Toc5230"/>
      <w:bookmarkStart w:id="12" w:name="_Toc88209924"/>
      <w:bookmarkStart w:id="13" w:name="_Toc8201"/>
      <w:bookmarkStart w:id="14" w:name="_Toc15709"/>
      <w:bookmarkStart w:id="15" w:name="_Toc14238"/>
      <w:bookmarkStart w:id="16" w:name="_Toc30989"/>
      <w:bookmarkStart w:id="17" w:name="_Toc2659"/>
      <w:bookmarkStart w:id="18" w:name="_Toc28995"/>
      <w:bookmarkStart w:id="19" w:name="_Toc999"/>
      <w:bookmarkStart w:id="20" w:name="_Toc10122"/>
      <w:bookmarkStart w:id="21" w:name="_Toc30131"/>
      <w:bookmarkStart w:id="22" w:name="_Toc26363"/>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color w:val="auto"/>
          <w:kern w:val="0"/>
          <w:sz w:val="44"/>
          <w:szCs w:val="44"/>
          <w:highlight w:val="none"/>
        </w:rPr>
      </w:pPr>
      <w:r>
        <w:rPr>
          <w:rFonts w:ascii="方正小标宋简体" w:eastAsia="方正小标宋简体"/>
          <w:color w:val="auto"/>
          <w:sz w:val="44"/>
          <w:szCs w:val="44"/>
          <w:highlight w:val="none"/>
        </w:rPr>
        <w:br w:type="page"/>
      </w:r>
    </w:p>
    <w:p>
      <w:pPr>
        <w:pStyle w:val="5"/>
        <w:spacing w:line="600" w:lineRule="exact"/>
        <w:rPr>
          <w:rFonts w:hint="eastAsia"/>
          <w:color w:val="auto"/>
          <w:highlight w:val="none"/>
        </w:rPr>
      </w:pPr>
      <w:bookmarkStart w:id="23" w:name="_Toc9680"/>
      <w:bookmarkStart w:id="24" w:name="_Toc21373"/>
      <w:r>
        <w:rPr>
          <w:rFonts w:hint="eastAsia"/>
          <w:color w:val="auto"/>
          <w:highlight w:val="none"/>
        </w:rPr>
        <w:t>广州市净水有限公司2022-2023年度</w:t>
      </w:r>
    </w:p>
    <w:p>
      <w:pPr>
        <w:pStyle w:val="5"/>
        <w:spacing w:line="600" w:lineRule="exact"/>
        <w:rPr>
          <w:rFonts w:hint="eastAsia" w:eastAsia="方正小标宋简体" w:asciiTheme="majorHAnsi"/>
          <w:color w:val="auto"/>
          <w:sz w:val="36"/>
          <w:szCs w:val="32"/>
          <w:highlight w:val="none"/>
          <w:u w:val="none"/>
          <w:lang w:val="en-US" w:eastAsia="zh-CN"/>
        </w:rPr>
      </w:pPr>
      <w:r>
        <w:rPr>
          <w:rFonts w:hint="eastAsia"/>
          <w:color w:val="auto"/>
          <w:highlight w:val="none"/>
        </w:rPr>
        <w:t>雇主责任保险</w:t>
      </w:r>
      <w:r>
        <w:rPr>
          <w:rFonts w:hint="eastAsia" w:eastAsia="方正小标宋简体" w:asciiTheme="majorHAnsi"/>
          <w:color w:val="auto"/>
          <w:sz w:val="36"/>
          <w:szCs w:val="32"/>
          <w:highlight w:val="none"/>
          <w:u w:val="none"/>
          <w:lang w:val="en-US" w:eastAsia="zh-CN"/>
        </w:rPr>
        <w:t>项目</w:t>
      </w:r>
    </w:p>
    <w:p>
      <w:pPr>
        <w:pStyle w:val="5"/>
        <w:spacing w:line="600" w:lineRule="exact"/>
        <w:rPr>
          <w:color w:val="auto"/>
          <w:highlight w:val="none"/>
        </w:rPr>
      </w:pPr>
      <w:r>
        <w:rPr>
          <w:rFonts w:hint="eastAsia"/>
          <w:color w:val="auto"/>
          <w:highlight w:val="none"/>
          <w:lang w:val="en-US" w:eastAsia="zh-CN"/>
        </w:rPr>
        <w:t>采购</w:t>
      </w:r>
      <w:r>
        <w:rPr>
          <w:rFonts w:hint="eastAsia"/>
          <w:color w:val="auto"/>
          <w:highlight w:val="none"/>
        </w:rPr>
        <w:t>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广州市净水有限公司2022-2023年度雇主责任保险项目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广州市净水有限公司2022-2023年度雇主责任保险项目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XJ-20220908-3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76.25万元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本采购项目是针对</w:t>
      </w:r>
      <w:r>
        <w:rPr>
          <w:rFonts w:hint="eastAsia" w:ascii="仿宋_GB2312" w:eastAsia="仿宋_GB2312"/>
          <w:color w:val="auto"/>
          <w:sz w:val="28"/>
          <w:szCs w:val="28"/>
          <w:highlight w:val="none"/>
          <w:u w:val="single"/>
          <w:lang w:val="en-US" w:eastAsia="zh-CN"/>
        </w:rPr>
        <w:t>我</w:t>
      </w:r>
      <w:r>
        <w:rPr>
          <w:rFonts w:hint="eastAsia" w:ascii="仿宋_GB2312" w:eastAsia="仿宋_GB2312"/>
          <w:color w:val="auto"/>
          <w:sz w:val="28"/>
          <w:szCs w:val="28"/>
          <w:highlight w:val="none"/>
          <w:u w:val="single"/>
        </w:rPr>
        <w:t>公司及其下属企业投保雇主责任保险进行询价，报价人应对询价方案进行报价，不允许只对部分询价内容进行报价</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color w:val="auto"/>
          <w:sz w:val="28"/>
          <w:szCs w:val="28"/>
          <w:highlight w:val="none"/>
          <w:u w:val="single"/>
        </w:rPr>
        <w:t>1年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（2）供应商应当具备资质如下：</w:t>
      </w:r>
    </w:p>
    <w:p>
      <w:pPr>
        <w:autoSpaceDE w:val="0"/>
        <w:autoSpaceDN w:val="0"/>
        <w:ind w:firstLine="560" w:firstLineChars="20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①报价人应为具有独立法人资格的财产保险总公司或经其唯一授权的省级分公司（或分支机构），分公司须获得总公司同意分公司针对本项目的独家授权书，并加盖总公司公章。</w:t>
      </w:r>
    </w:p>
    <w:p>
      <w:pPr>
        <w:pStyle w:val="27"/>
        <w:ind w:firstLine="28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注：一个保险主体仅允许一家机构参与，如出现一个保险主体有两个及以上机构授权的，询价人有权取消该保险主体的所有机构报价资格。</w:t>
      </w:r>
    </w:p>
    <w:p>
      <w:pPr>
        <w:autoSpaceDE w:val="0"/>
        <w:autoSpaceDN w:val="0"/>
        <w:ind w:firstLine="560" w:firstLineChars="20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②报价人为独立法人时，须提供中国银行保险监督管理委员会颁发的《经营保险业务许可证》；报价人为独立法人所合法成立的分支机构时，须同时提供中国银行保险监督管理委员会颁发的《分支机构经营保险业务许可证》以及其总公司的《保险公司法人许可证》，且证书处于有效期。</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年1月1日至今，供应商最少具有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rPr>
        <w:t>单项</w:t>
      </w:r>
      <w:r>
        <w:rPr>
          <w:rFonts w:hint="eastAsia" w:ascii="仿宋_GB2312" w:eastAsia="仿宋_GB2312"/>
          <w:color w:val="auto"/>
          <w:sz w:val="28"/>
          <w:szCs w:val="28"/>
          <w:highlight w:val="none"/>
          <w:u w:val="none"/>
          <w:lang w:val="en-US" w:eastAsia="zh-CN"/>
        </w:rPr>
        <w:t>合同</w:t>
      </w:r>
      <w:r>
        <w:rPr>
          <w:rFonts w:hint="eastAsia" w:ascii="仿宋_GB2312" w:eastAsia="仿宋_GB2312"/>
          <w:color w:val="auto"/>
          <w:sz w:val="28"/>
          <w:szCs w:val="28"/>
          <w:highlight w:val="none"/>
          <w:u w:val="none"/>
        </w:rPr>
        <w:t>金额不低于人民币50万元</w:t>
      </w:r>
      <w:r>
        <w:rPr>
          <w:rFonts w:hint="eastAsia" w:ascii="仿宋_GB2312" w:eastAsia="仿宋_GB2312"/>
          <w:color w:val="auto"/>
          <w:sz w:val="28"/>
          <w:szCs w:val="28"/>
          <w:highlight w:val="none"/>
          <w:u w:val="none"/>
          <w:lang w:val="en-US" w:eastAsia="zh-CN"/>
        </w:rPr>
        <w:t>雇主责任保险</w:t>
      </w:r>
      <w:r>
        <w:rPr>
          <w:rFonts w:hint="eastAsia" w:ascii="仿宋_GB2312" w:eastAsia="仿宋_GB2312"/>
          <w:color w:val="auto"/>
          <w:sz w:val="28"/>
          <w:szCs w:val="28"/>
          <w:highlight w:val="none"/>
          <w:u w:val="none"/>
        </w:rPr>
        <w:t xml:space="preserve">承保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rPr>
        <w:t xml:space="preserve">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本项目采购公告同时在广州市净水有限公司门户网站和阳光平台上发布。本公告的补充、修改，在</w:t>
      </w:r>
      <w:r>
        <w:rPr>
          <w:rFonts w:hint="eastAsia" w:ascii="仿宋_GB2312" w:hAnsi="Calibri" w:eastAsia="仿宋_GB2312" w:cs="Times New Roman"/>
          <w:color w:val="auto"/>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hint="eastAsia" w:ascii="仿宋_GB2312" w:hAnsi="仿宋" w:eastAsia="仿宋_GB2312"/>
          <w:color w:val="auto"/>
          <w:sz w:val="28"/>
          <w:szCs w:val="28"/>
          <w:highlight w:val="none"/>
          <w:lang w:val="en-US" w:eastAsia="zh-CN"/>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402"/>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pacing w:line="600" w:lineRule="exact"/>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序号</w:t>
            </w:r>
          </w:p>
        </w:tc>
        <w:tc>
          <w:tcPr>
            <w:tcW w:w="3402" w:type="dxa"/>
          </w:tcPr>
          <w:p>
            <w:pPr>
              <w:adjustRightInd w:val="0"/>
              <w:spacing w:line="600" w:lineRule="exact"/>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单位名称</w:t>
            </w:r>
          </w:p>
        </w:tc>
        <w:tc>
          <w:tcPr>
            <w:tcW w:w="4557" w:type="dxa"/>
          </w:tcPr>
          <w:p>
            <w:pPr>
              <w:adjustRightInd w:val="0"/>
              <w:spacing w:line="600" w:lineRule="exact"/>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被书面限制参与采购活动的期限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1</w:t>
            </w:r>
          </w:p>
        </w:tc>
        <w:tc>
          <w:tcPr>
            <w:tcW w:w="3402"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广州市水电建设工程有限公司</w:t>
            </w:r>
          </w:p>
        </w:tc>
        <w:tc>
          <w:tcPr>
            <w:tcW w:w="4557"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2021年11月18至2022年5月17日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2</w:t>
            </w:r>
          </w:p>
        </w:tc>
        <w:tc>
          <w:tcPr>
            <w:tcW w:w="3402"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广州市南粤工程建设监理有限公司</w:t>
            </w:r>
          </w:p>
        </w:tc>
        <w:tc>
          <w:tcPr>
            <w:tcW w:w="4557"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2021年11月18至2023年5月17日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3</w:t>
            </w:r>
          </w:p>
        </w:tc>
        <w:tc>
          <w:tcPr>
            <w:tcW w:w="3402" w:type="dxa"/>
            <w:vAlign w:val="center"/>
          </w:tcPr>
          <w:p>
            <w:pPr>
              <w:jc w:val="center"/>
              <w:rPr>
                <w:rFonts w:ascii="仿宋" w:hAnsi="仿宋" w:eastAsia="仿宋" w:cs="宋体"/>
                <w:color w:val="auto"/>
                <w:sz w:val="24"/>
                <w:szCs w:val="28"/>
                <w:highlight w:val="none"/>
              </w:rPr>
            </w:pPr>
            <w:r>
              <w:rPr>
                <w:rFonts w:ascii="仿宋" w:hAnsi="仿宋" w:eastAsia="仿宋" w:cs="宋体"/>
                <w:color w:val="auto"/>
                <w:sz w:val="24"/>
                <w:szCs w:val="28"/>
                <w:highlight w:val="none"/>
              </w:rPr>
              <w:t>广州市自来水工程有限公司</w:t>
            </w:r>
          </w:p>
        </w:tc>
        <w:tc>
          <w:tcPr>
            <w:tcW w:w="4557" w:type="dxa"/>
            <w:vAlign w:val="center"/>
          </w:tcPr>
          <w:p>
            <w:pPr>
              <w:jc w:val="cente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2022年1月1至2022年12月31日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p>
          <w:p>
            <w:pPr>
              <w:adjustRightIn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bookmarkStart w:id="25" w:name="_Toc10891"/>
    </w:p>
    <w:bookmarkEnd w:id="25"/>
    <w:p>
      <w:pPr>
        <w:pStyle w:val="5"/>
        <w:rPr>
          <w:color w:val="auto"/>
          <w:sz w:val="44"/>
          <w:szCs w:val="44"/>
          <w:highlight w:val="none"/>
        </w:rPr>
      </w:pPr>
    </w:p>
    <w:p>
      <w:pPr>
        <w:pStyle w:val="5"/>
        <w:rPr>
          <w:color w:val="auto"/>
          <w:sz w:val="44"/>
          <w:szCs w:val="44"/>
          <w:highlight w:val="none"/>
        </w:rPr>
      </w:pPr>
      <w:r>
        <w:rPr>
          <w:color w:val="auto"/>
          <w:sz w:val="44"/>
          <w:szCs w:val="44"/>
          <w:highlight w:val="none"/>
        </w:rPr>
        <w:t>第二章</w:t>
      </w:r>
    </w:p>
    <w:p>
      <w:pPr>
        <w:pStyle w:val="5"/>
        <w:rPr>
          <w:color w:val="auto"/>
          <w:sz w:val="44"/>
          <w:szCs w:val="44"/>
          <w:highlight w:val="none"/>
        </w:rPr>
      </w:pPr>
      <w:bookmarkStart w:id="26" w:name="_Toc2339"/>
      <w:bookmarkStart w:id="27" w:name="_Toc3416"/>
      <w:r>
        <w:rPr>
          <w:rFonts w:hint="eastAsia"/>
          <w:color w:val="auto"/>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widowControl/>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jc w:val="center"/>
              <w:rPr>
                <w:color w:val="auto"/>
                <w:sz w:val="24"/>
                <w:szCs w:val="24"/>
                <w:highlight w:val="none"/>
              </w:rPr>
            </w:pPr>
          </w:p>
        </w:tc>
        <w:tc>
          <w:tcPr>
            <w:tcW w:w="1263" w:type="dxa"/>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jc w:val="center"/>
              <w:rPr>
                <w:rFonts w:ascii="仿宋_GB2312" w:eastAsia="仿宋_GB2312"/>
                <w:color w:val="auto"/>
                <w:sz w:val="24"/>
                <w:szCs w:val="24"/>
                <w:highlight w:val="none"/>
              </w:rPr>
            </w:pP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（1）响应文件未按规定签字/签章、盖章的。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4"/>
        <w:rPr>
          <w:color w:val="auto"/>
          <w:highlight w:val="none"/>
        </w:rPr>
      </w:pPr>
    </w:p>
    <w:p>
      <w:pPr>
        <w:pStyle w:val="5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hAnsi="宋体" w:eastAsia="仿宋_GB2312" w:cs="Times New Roman"/>
          <w:color w:val="auto"/>
          <w:kern w:val="0"/>
          <w:sz w:val="28"/>
          <w:szCs w:val="28"/>
          <w:highlight w:val="none"/>
        </w:rPr>
      </w:pPr>
      <w:r>
        <w:rPr>
          <w:rFonts w:ascii="仿宋_GB2312" w:eastAsia="仿宋_GB2312"/>
          <w:color w:val="auto"/>
          <w:sz w:val="28"/>
          <w:szCs w:val="28"/>
          <w:highlight w:val="none"/>
        </w:rPr>
        <w:br w:type="page"/>
      </w:r>
    </w:p>
    <w:p>
      <w:pPr>
        <w:pStyle w:val="4"/>
        <w:rPr>
          <w:color w:val="auto"/>
          <w:highlight w:val="none"/>
        </w:rPr>
      </w:pPr>
    </w:p>
    <w:p>
      <w:pPr>
        <w:pStyle w:val="4"/>
        <w:rPr>
          <w:color w:val="auto"/>
          <w:highlight w:val="none"/>
        </w:rPr>
      </w:pPr>
      <w:r>
        <w:rPr>
          <w:color w:val="auto"/>
          <w:highlight w:val="none"/>
        </w:rPr>
        <w:t>第三章</w:t>
      </w: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color w:val="auto"/>
          <w:sz w:val="36"/>
          <w:szCs w:val="32"/>
          <w:highlight w:val="none"/>
        </w:rPr>
      </w:pPr>
      <w:bookmarkStart w:id="32" w:name="_Toc24895"/>
      <w:bookmarkStart w:id="33" w:name="_Toc3789"/>
      <w:r>
        <w:rPr>
          <w:color w:val="auto"/>
          <w:highlight w:val="none"/>
        </w:rPr>
        <w:br w:type="page"/>
      </w: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color w:val="auto"/>
          <w:highlight w:val="none"/>
        </w:rPr>
      </w:pPr>
    </w:p>
    <w:p>
      <w:pPr>
        <w:pStyle w:val="4"/>
        <w:rPr>
          <w:color w:val="auto"/>
          <w:highlight w:val="none"/>
        </w:rPr>
      </w:pPr>
      <w:r>
        <w:rPr>
          <w:color w:val="auto"/>
          <w:highlight w:val="none"/>
        </w:rPr>
        <w:t>第四章</w:t>
      </w:r>
    </w:p>
    <w:p>
      <w:pPr>
        <w:pStyle w:val="4"/>
        <w:rPr>
          <w:color w:val="auto"/>
          <w:highlight w:val="none"/>
        </w:rPr>
      </w:pPr>
      <w:bookmarkStart w:id="34" w:name="_Toc29345"/>
      <w:bookmarkStart w:id="35" w:name="_Toc13898"/>
      <w:bookmarkStart w:id="36" w:name="_Toc87616378"/>
      <w:bookmarkStart w:id="37" w:name="_Toc7831"/>
      <w:bookmarkStart w:id="38" w:name="_Toc29484"/>
      <w:bookmarkStart w:id="39" w:name="_Toc30530"/>
      <w:bookmarkStart w:id="40" w:name="_Toc6308"/>
      <w:bookmarkStart w:id="41" w:name="_Toc21840"/>
      <w:bookmarkStart w:id="42" w:name="_Toc22212"/>
      <w:bookmarkStart w:id="43" w:name="_Toc21079"/>
      <w:bookmarkStart w:id="44" w:name="_Toc88209941"/>
      <w:bookmarkStart w:id="45" w:name="_Toc12177"/>
      <w:bookmarkStart w:id="46" w:name="_Toc32607"/>
      <w:r>
        <w:rPr>
          <w:rFonts w:hint="eastAsia"/>
          <w:color w:val="auto"/>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47" w:name="_Toc23033"/>
      <w:bookmarkStart w:id="48" w:name="_Toc26826"/>
      <w:r>
        <w:rPr>
          <w:rFonts w:hint="eastAsia"/>
          <w:color w:val="auto"/>
          <w:highlight w:val="none"/>
        </w:rPr>
        <w:t>经评审的最低价法</w:t>
      </w:r>
      <w:bookmarkEnd w:id="47"/>
      <w:bookmarkEnd w:id="48"/>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授权书有法定代表人及其委托代理人签字或签章并加盖单位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w:t>
      </w:r>
      <w:r>
        <w:rPr>
          <w:rFonts w:hint="eastAsia" w:ascii="仿宋_GB2312" w:eastAsia="仿宋_GB2312" w:hAnsiTheme="minorEastAsia"/>
          <w:b/>
          <w:color w:val="auto"/>
          <w:sz w:val="28"/>
          <w:szCs w:val="28"/>
          <w:highlight w:val="none"/>
        </w:rPr>
        <w:t>评审价格最低的供应商为成交供应商。</w:t>
      </w:r>
      <w:r>
        <w:rPr>
          <w:rFonts w:hint="eastAsia" w:ascii="仿宋_GB2312" w:eastAsia="仿宋_GB2312" w:hAnsiTheme="minorEastAsia"/>
          <w:color w:val="auto"/>
          <w:sz w:val="28"/>
          <w:szCs w:val="28"/>
          <w:highlight w:val="none"/>
        </w:rPr>
        <w:t>如评审价格相同，以供应商2021年原保费收入最高者排列在前</w:t>
      </w:r>
      <w:bookmarkStart w:id="49" w:name="_Hlk111221467"/>
      <w:r>
        <w:rPr>
          <w:rFonts w:hint="eastAsia" w:ascii="仿宋_GB2312" w:eastAsia="仿宋_GB2312" w:hAnsiTheme="minorEastAsia"/>
          <w:color w:val="auto"/>
          <w:sz w:val="28"/>
          <w:szCs w:val="28"/>
          <w:highlight w:val="none"/>
        </w:rPr>
        <w:t>优先为成交供应商</w:t>
      </w:r>
      <w:bookmarkEnd w:id="49"/>
      <w:r>
        <w:rPr>
          <w:rFonts w:hint="eastAsia" w:ascii="仿宋_GB2312" w:eastAsia="仿宋_GB2312" w:hAnsiTheme="minorEastAsia"/>
          <w:color w:val="auto"/>
          <w:sz w:val="28"/>
          <w:szCs w:val="28"/>
          <w:highlight w:val="none"/>
        </w:rPr>
        <w:t>；如评审分值、2021年原保费收入均相同，可由评审小组根据评审情况以记名投票方式确定供应商排名，并将推荐理由写入评审报告。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jc w:val="left"/>
        <w:rPr>
          <w:rFonts w:ascii="仿宋_GB2312" w:eastAsia="仿宋_GB2312" w:cs="Times New Roman" w:hAnsiTheme="minorEastAsia"/>
          <w:color w:val="auto"/>
          <w:kern w:val="0"/>
          <w:sz w:val="24"/>
          <w:szCs w:val="21"/>
          <w:highlight w:val="none"/>
        </w:rPr>
      </w:pPr>
      <w:r>
        <w:rPr>
          <w:rFonts w:ascii="仿宋_GB2312" w:eastAsia="仿宋_GB2312" w:hAnsiTheme="minorEastAsia"/>
          <w:color w:val="auto"/>
          <w:szCs w:val="21"/>
          <w:highlight w:val="none"/>
        </w:rPr>
        <w:br w:type="page"/>
      </w:r>
    </w:p>
    <w:p>
      <w:pPr>
        <w:pStyle w:val="2"/>
        <w:ind w:firstLine="0"/>
        <w:rPr>
          <w:rFonts w:ascii="仿宋_GB2312" w:eastAsia="仿宋_GB2312" w:hAnsiTheme="minorEastAsia"/>
          <w:color w:val="auto"/>
          <w:szCs w:val="21"/>
          <w:highlight w:val="none"/>
        </w:rPr>
      </w:pPr>
    </w:p>
    <w:p>
      <w:pPr>
        <w:pStyle w:val="54"/>
        <w:jc w:val="center"/>
        <w:rPr>
          <w:rFonts w:eastAsia="方正小标宋简体"/>
          <w:bCs/>
          <w:color w:val="auto"/>
          <w:kern w:val="44"/>
          <w:sz w:val="44"/>
          <w:szCs w:val="44"/>
          <w:highlight w:val="none"/>
        </w:rPr>
      </w:pPr>
      <w:bookmarkStart w:id="50" w:name="_Toc88209947"/>
    </w:p>
    <w:p>
      <w:pPr>
        <w:pStyle w:val="54"/>
        <w:jc w:val="center"/>
        <w:rPr>
          <w:rFonts w:eastAsia="方正小标宋简体"/>
          <w:bCs/>
          <w:color w:val="auto"/>
          <w:kern w:val="44"/>
          <w:sz w:val="44"/>
          <w:szCs w:val="44"/>
          <w:highlight w:val="none"/>
        </w:rPr>
      </w:pPr>
      <w:r>
        <w:rPr>
          <w:rFonts w:eastAsia="方正小标宋简体"/>
          <w:bCs/>
          <w:color w:val="auto"/>
          <w:kern w:val="44"/>
          <w:sz w:val="44"/>
          <w:szCs w:val="44"/>
          <w:highlight w:val="none"/>
        </w:rPr>
        <w:t>第五章</w:t>
      </w:r>
    </w:p>
    <w:p>
      <w:pPr>
        <w:pStyle w:val="54"/>
        <w:jc w:val="center"/>
        <w:rPr>
          <w:rFonts w:eastAsia="方正小标宋简体"/>
          <w:bCs/>
          <w:color w:val="auto"/>
          <w:kern w:val="44"/>
          <w:sz w:val="44"/>
          <w:szCs w:val="44"/>
          <w:highlight w:val="none"/>
        </w:rPr>
      </w:pPr>
    </w:p>
    <w:p>
      <w:pPr>
        <w:pStyle w:val="54"/>
        <w:jc w:val="center"/>
        <w:rPr>
          <w:rFonts w:eastAsia="方正小标宋简体"/>
          <w:bCs/>
          <w:color w:val="auto"/>
          <w:kern w:val="44"/>
          <w:sz w:val="44"/>
          <w:szCs w:val="44"/>
          <w:highlight w:val="none"/>
        </w:rPr>
      </w:pPr>
      <w:r>
        <w:rPr>
          <w:rFonts w:hint="eastAsia" w:eastAsia="方正小标宋简体"/>
          <w:bCs/>
          <w:color w:val="auto"/>
          <w:kern w:val="44"/>
          <w:sz w:val="44"/>
          <w:szCs w:val="44"/>
          <w:highlight w:val="none"/>
        </w:rPr>
        <w:t>采购需求</w:t>
      </w:r>
    </w:p>
    <w:p>
      <w:pPr>
        <w:widowControl/>
        <w:jc w:val="left"/>
        <w:rPr>
          <w:rFonts w:eastAsia="方正小标宋简体" w:asciiTheme="majorHAnsi" w:hAnsiTheme="majorHAnsi" w:cstheme="majorBidi"/>
          <w:bCs/>
          <w:color w:val="auto"/>
          <w:sz w:val="36"/>
          <w:szCs w:val="44"/>
          <w:highlight w:val="none"/>
        </w:rPr>
      </w:pPr>
      <w:r>
        <w:rPr>
          <w:color w:val="auto"/>
          <w:szCs w:val="44"/>
          <w:highlight w:val="none"/>
        </w:rPr>
        <w:br w:type="page"/>
      </w:r>
    </w:p>
    <w:bookmarkEnd w:id="50"/>
    <w:p>
      <w:pPr>
        <w:pStyle w:val="5"/>
        <w:rPr>
          <w:color w:val="auto"/>
          <w:highlight w:val="none"/>
        </w:rPr>
      </w:pPr>
      <w:r>
        <w:rPr>
          <w:rFonts w:hint="eastAsia"/>
          <w:color w:val="auto"/>
          <w:highlight w:val="none"/>
        </w:rPr>
        <w:t>项目内容</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lang w:val="zh-CN"/>
        </w:rPr>
      </w:pPr>
      <w:r>
        <w:rPr>
          <w:rFonts w:hint="eastAsia" w:ascii="仿宋_GB2312" w:eastAsia="仿宋_GB2312" w:cs="仿宋_GB2312"/>
          <w:color w:val="auto"/>
          <w:sz w:val="28"/>
          <w:szCs w:val="28"/>
          <w:highlight w:val="none"/>
          <w:lang w:val="zh-CN"/>
        </w:rPr>
        <w:t xml:space="preserve">报价单位须对本项目为单位的服务进行整体响应，任何只对其中一部分内容进行的响应都被视为无效响应。 </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lang w:val="zh-CN"/>
        </w:rPr>
      </w:pPr>
      <w:r>
        <w:rPr>
          <w:rFonts w:hint="eastAsia" w:ascii="仿宋_GB2312" w:eastAsia="仿宋_GB2312" w:cs="仿宋_GB2312"/>
          <w:color w:val="auto"/>
          <w:sz w:val="28"/>
          <w:szCs w:val="28"/>
          <w:highlight w:val="none"/>
          <w:lang w:val="zh-CN"/>
        </w:rPr>
        <w:t>询价文件中所有要求均为实质性响应条款，供应商如有任何一条负偏离则导致响应文件无效。</w:t>
      </w:r>
    </w:p>
    <w:p>
      <w:pPr>
        <w:pStyle w:val="14"/>
        <w:keepNext w:val="0"/>
        <w:keepLines w:val="0"/>
        <w:pageBreakBefore w:val="0"/>
        <w:widowControl w:val="0"/>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p>
    <w:p>
      <w:pPr>
        <w:pStyle w:val="14"/>
        <w:keepNext w:val="0"/>
        <w:keepLines w:val="0"/>
        <w:pageBreakBefore w:val="0"/>
        <w:widowControl w:val="0"/>
        <w:numPr>
          <w:ilvl w:val="0"/>
          <w:numId w:val="4"/>
        </w:numPr>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项目情况介绍</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ascii="仿宋_GB2312" w:eastAsia="仿宋_GB2312" w:cs="仿宋_GB2312"/>
          <w:color w:val="auto"/>
          <w:sz w:val="28"/>
          <w:szCs w:val="28"/>
          <w:highlight w:val="none"/>
          <w:lang w:val="zh-CN" w:eastAsia="zh-CN"/>
        </w:rPr>
      </w:pPr>
      <w:r>
        <w:rPr>
          <w:rFonts w:hint="eastAsia" w:ascii="仿宋_GB2312" w:eastAsia="仿宋_GB2312" w:cs="仿宋_GB2312"/>
          <w:color w:val="auto"/>
          <w:sz w:val="28"/>
          <w:szCs w:val="28"/>
          <w:highlight w:val="none"/>
          <w:lang w:val="zh-CN"/>
        </w:rPr>
        <w:t>广州市净水有限公司本次询价的雇主责任保险涵盖下属企业的员工，</w:t>
      </w:r>
      <w:r>
        <w:rPr>
          <w:rFonts w:hint="eastAsia" w:ascii="仿宋_GB2312" w:eastAsia="仿宋_GB2312" w:cs="仿宋_GB2312"/>
          <w:color w:val="auto"/>
          <w:sz w:val="28"/>
          <w:szCs w:val="28"/>
          <w:highlight w:val="none"/>
          <w:lang w:val="zh-CN" w:eastAsia="zh-CN"/>
        </w:rPr>
        <w:t>总人数</w:t>
      </w:r>
      <w:r>
        <w:rPr>
          <w:rFonts w:hint="eastAsia" w:ascii="仿宋_GB2312" w:eastAsia="仿宋_GB2312" w:cs="仿宋_GB2312"/>
          <w:color w:val="auto"/>
          <w:sz w:val="28"/>
          <w:szCs w:val="28"/>
          <w:highlight w:val="none"/>
          <w:lang w:val="en-US" w:eastAsia="zh-CN"/>
        </w:rPr>
        <w:t>约</w:t>
      </w:r>
      <w:r>
        <w:rPr>
          <w:rFonts w:hint="eastAsia" w:ascii="仿宋_GB2312" w:eastAsia="仿宋_GB2312" w:cs="仿宋_GB2312"/>
          <w:color w:val="auto"/>
          <w:sz w:val="28"/>
          <w:szCs w:val="28"/>
          <w:highlight w:val="none"/>
          <w:lang w:val="zh-CN" w:eastAsia="zh-CN"/>
        </w:rPr>
        <w:t>2</w:t>
      </w:r>
      <w:r>
        <w:rPr>
          <w:rFonts w:hint="eastAsia" w:ascii="仿宋_GB2312" w:eastAsia="仿宋_GB2312" w:cs="仿宋_GB2312"/>
          <w:color w:val="auto"/>
          <w:sz w:val="28"/>
          <w:szCs w:val="28"/>
          <w:highlight w:val="none"/>
          <w:lang w:val="en-US" w:eastAsia="zh-CN"/>
        </w:rPr>
        <w:t>50</w:t>
      </w:r>
      <w:r>
        <w:rPr>
          <w:rFonts w:hint="eastAsia" w:ascii="仿宋_GB2312" w:eastAsia="仿宋_GB2312" w:cs="仿宋_GB2312"/>
          <w:color w:val="auto"/>
          <w:sz w:val="28"/>
          <w:szCs w:val="28"/>
          <w:highlight w:val="none"/>
          <w:lang w:val="zh-CN" w:eastAsia="zh-CN"/>
        </w:rPr>
        <w:t>0人，</w:t>
      </w:r>
      <w:r>
        <w:rPr>
          <w:rFonts w:hint="eastAsia" w:ascii="仿宋_GB2312" w:eastAsia="仿宋_GB2312" w:cs="仿宋_GB2312"/>
          <w:color w:val="auto"/>
          <w:sz w:val="28"/>
          <w:szCs w:val="28"/>
          <w:highlight w:val="none"/>
          <w:lang w:val="en-US" w:eastAsia="zh-CN"/>
        </w:rPr>
        <w:t>具体参保人数以实际参保人数为准，投保期内人员替换无限制</w:t>
      </w:r>
      <w:r>
        <w:rPr>
          <w:rFonts w:hint="eastAsia" w:ascii="仿宋_GB2312" w:eastAsia="仿宋_GB2312" w:cs="仿宋_GB2312"/>
          <w:color w:val="auto"/>
          <w:sz w:val="28"/>
          <w:szCs w:val="28"/>
          <w:highlight w:val="none"/>
          <w:lang w:val="zh-CN" w:eastAsia="zh-CN"/>
        </w:rPr>
        <w:t>。</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rPr>
      </w:pPr>
    </w:p>
    <w:p>
      <w:pPr>
        <w:pStyle w:val="14"/>
        <w:keepNext w:val="0"/>
        <w:keepLines w:val="0"/>
        <w:pageBreakBefore w:val="0"/>
        <w:widowControl w:val="0"/>
        <w:numPr>
          <w:ilvl w:val="0"/>
          <w:numId w:val="5"/>
        </w:numPr>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投保险种范围</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lang w:val="zh-CN"/>
        </w:rPr>
      </w:pPr>
      <w:r>
        <w:rPr>
          <w:rFonts w:hint="eastAsia" w:ascii="仿宋_GB2312" w:eastAsia="仿宋_GB2312" w:cs="仿宋_GB2312"/>
          <w:color w:val="auto"/>
          <w:sz w:val="28"/>
          <w:szCs w:val="28"/>
          <w:highlight w:val="none"/>
          <w:lang w:val="zh-CN"/>
        </w:rPr>
        <w:t>凡被保险人所聘用的员工，在保险有效期内，在受雇过程中（包括上下班途中），从事与本保险单所载明的被保险人的业务工作而遭受意外或患与业务有关的国家规定的职业性疾病，所致伤、残或死亡，对被保险人根据劳动合同和中华人民共和国法律、法规，须承担的医疗费及经济赔偿责任，保险人依据保险单的规定，在约定的赔偿限额内予以赔付。</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rPr>
      </w:pPr>
    </w:p>
    <w:p>
      <w:pPr>
        <w:pStyle w:val="14"/>
        <w:keepNext w:val="0"/>
        <w:keepLines w:val="0"/>
        <w:pageBreakBefore w:val="0"/>
        <w:widowControl w:val="0"/>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三、保险期限</w:t>
      </w:r>
    </w:p>
    <w:p>
      <w:pPr>
        <w:keepNext w:val="0"/>
        <w:keepLines w:val="0"/>
        <w:pageBreakBefore w:val="0"/>
        <w:widowControl w:val="0"/>
        <w:kinsoku/>
        <w:wordWrap/>
        <w:overflowPunct/>
        <w:topLinePunct w:val="0"/>
        <w:autoSpaceDE w:val="0"/>
        <w:autoSpaceDN w:val="0"/>
        <w:bidi w:val="0"/>
        <w:spacing w:line="240" w:lineRule="auto"/>
        <w:ind w:left="560"/>
        <w:textAlignment w:val="auto"/>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自合同签订之日起</w:t>
      </w:r>
      <w:r>
        <w:rPr>
          <w:rFonts w:hint="eastAsia" w:ascii="仿宋_GB2312" w:eastAsia="仿宋_GB2312" w:cs="仿宋_GB2312"/>
          <w:color w:val="auto"/>
          <w:sz w:val="28"/>
          <w:szCs w:val="28"/>
          <w:highlight w:val="none"/>
        </w:rPr>
        <w:t>一年。</w:t>
      </w:r>
    </w:p>
    <w:p>
      <w:pPr>
        <w:pStyle w:val="15"/>
        <w:keepNext w:val="0"/>
        <w:keepLines w:val="0"/>
        <w:pageBreakBefore w:val="0"/>
        <w:widowControl w:val="0"/>
        <w:kinsoku/>
        <w:wordWrap/>
        <w:overflowPunct/>
        <w:topLinePunct w:val="0"/>
        <w:bidi w:val="0"/>
        <w:spacing w:line="240" w:lineRule="auto"/>
        <w:ind w:left="840"/>
        <w:textAlignment w:val="auto"/>
        <w:rPr>
          <w:color w:val="auto"/>
          <w:highlight w:val="none"/>
        </w:rPr>
      </w:pPr>
    </w:p>
    <w:p>
      <w:pPr>
        <w:pStyle w:val="14"/>
        <w:keepNext w:val="0"/>
        <w:keepLines w:val="0"/>
        <w:pageBreakBefore w:val="0"/>
        <w:widowControl w:val="0"/>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四、承保方式</w:t>
      </w:r>
    </w:p>
    <w:p>
      <w:pPr>
        <w:pStyle w:val="14"/>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ascii="仿宋_GB2312" w:eastAsia="仿宋_GB2312" w:cs="仿宋_GB2312"/>
          <w:color w:val="auto"/>
          <w:sz w:val="28"/>
          <w:szCs w:val="28"/>
          <w:highlight w:val="none"/>
          <w:lang w:val="zh-CN"/>
        </w:rPr>
      </w:pPr>
      <w:r>
        <w:rPr>
          <w:rFonts w:hint="eastAsia" w:ascii="仿宋_GB2312" w:eastAsia="仿宋_GB2312" w:cs="仿宋_GB2312"/>
          <w:color w:val="auto"/>
          <w:sz w:val="28"/>
          <w:szCs w:val="28"/>
          <w:highlight w:val="none"/>
          <w:lang w:val="zh-CN"/>
        </w:rPr>
        <w:t>本项目将通过公开询价方式确定广州市净水有限公司保险采购项目的独家承保人。</w:t>
      </w:r>
    </w:p>
    <w:p>
      <w:pPr>
        <w:keepNext w:val="0"/>
        <w:keepLines w:val="0"/>
        <w:pageBreakBefore w:val="0"/>
        <w:widowControl w:val="0"/>
        <w:kinsoku/>
        <w:wordWrap/>
        <w:overflowPunct/>
        <w:topLinePunct w:val="0"/>
        <w:autoSpaceDE w:val="0"/>
        <w:autoSpaceDN w:val="0"/>
        <w:bidi w:val="0"/>
        <w:spacing w:line="240" w:lineRule="auto"/>
        <w:ind w:left="560"/>
        <w:textAlignment w:val="auto"/>
        <w:rPr>
          <w:rFonts w:ascii="仿宋_GB2312" w:eastAsia="仿宋_GB2312" w:cs="仿宋_GB2312"/>
          <w:color w:val="auto"/>
          <w:sz w:val="28"/>
          <w:szCs w:val="28"/>
          <w:highlight w:val="none"/>
        </w:rPr>
      </w:pPr>
    </w:p>
    <w:p>
      <w:pPr>
        <w:pStyle w:val="14"/>
        <w:keepNext w:val="0"/>
        <w:keepLines w:val="0"/>
        <w:pageBreakBefore w:val="0"/>
        <w:widowControl w:val="0"/>
        <w:kinsoku/>
        <w:wordWrap/>
        <w:overflowPunct/>
        <w:topLinePunct w:val="0"/>
        <w:bidi w:val="0"/>
        <w:adjustRightInd w:val="0"/>
        <w:snapToGrid w:val="0"/>
        <w:spacing w:line="240" w:lineRule="auto"/>
        <w:textAlignment w:val="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五、保险方案</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4"/>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投保险种</w:t>
            </w:r>
          </w:p>
          <w:p>
            <w:pPr>
              <w:spacing w:line="320" w:lineRule="exact"/>
              <w:rPr>
                <w:rFonts w:ascii="仿宋" w:hAnsi="仿宋" w:eastAsia="仿宋"/>
                <w:b/>
                <w:color w:val="auto"/>
                <w:sz w:val="28"/>
                <w:szCs w:val="28"/>
                <w:highlight w:val="none"/>
              </w:rPr>
            </w:pP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雇主责任保险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保单形式</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根据保险公司标准保单条款及附加扩展条款</w:t>
            </w:r>
          </w:p>
          <w:p>
            <w:pPr>
              <w:spacing w:line="320" w:lineRule="exact"/>
              <w:rPr>
                <w:rStyle w:val="64"/>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被保险人</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广州市净水有限公司和/或</w:t>
            </w:r>
          </w:p>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属下各个企业和/或</w:t>
            </w:r>
          </w:p>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其它相关权益人</w:t>
            </w:r>
          </w:p>
          <w:p>
            <w:pPr>
              <w:spacing w:line="320" w:lineRule="exact"/>
              <w:rPr>
                <w:rStyle w:val="64"/>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业务性质</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从事污水处理、建设、运营、资产经营及研发相关业务</w:t>
            </w:r>
          </w:p>
          <w:p>
            <w:pPr>
              <w:spacing w:line="320" w:lineRule="exact"/>
              <w:rPr>
                <w:rStyle w:val="64"/>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联系地址</w:t>
            </w:r>
          </w:p>
          <w:p>
            <w:pPr>
              <w:spacing w:line="320" w:lineRule="exact"/>
              <w:rPr>
                <w:rFonts w:ascii="仿宋" w:hAnsi="仿宋" w:eastAsia="仿宋"/>
                <w:b/>
                <w:color w:val="auto"/>
                <w:sz w:val="28"/>
                <w:szCs w:val="28"/>
                <w:highlight w:val="none"/>
              </w:rPr>
            </w:pP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保险期限</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Style w:val="64"/>
                <w:rFonts w:ascii="仿宋" w:hAnsi="仿宋" w:eastAsia="仿宋"/>
                <w:color w:val="auto"/>
                <w:sz w:val="28"/>
                <w:szCs w:val="28"/>
                <w:highlight w:val="none"/>
              </w:rPr>
            </w:pPr>
            <w:r>
              <w:rPr>
                <w:rStyle w:val="64"/>
                <w:rFonts w:hint="eastAsia" w:ascii="仿宋" w:hAnsi="仿宋" w:eastAsia="仿宋"/>
                <w:color w:val="auto"/>
                <w:sz w:val="28"/>
                <w:szCs w:val="28"/>
                <w:highlight w:val="none"/>
              </w:rPr>
              <w:t>一年期，具体时间待定</w:t>
            </w:r>
          </w:p>
          <w:p>
            <w:pPr>
              <w:pStyle w:val="67"/>
              <w:tabs>
                <w:tab w:val="left" w:pos="0"/>
                <w:tab w:val="left" w:pos="1980"/>
                <w:tab w:val="clear" w:pos="2160"/>
                <w:tab w:val="clear" w:pos="2520"/>
              </w:tabs>
              <w:spacing w:line="320" w:lineRule="exact"/>
              <w:rPr>
                <w:rFonts w:ascii="仿宋" w:hAnsi="仿宋" w:eastAsia="仿宋"/>
                <w:color w:val="auto"/>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承保范围</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凡被保险人所聘用的员工，于本保险有效期内，在受雇过程中（包括上下班途中），从事与本保险单所载明的被保险人的业务工作而遭受意外或患与业务有关的国家规定的职业性疾病，所致伤、残或死亡，对被保险人根据劳动合同和中华人民共和国法律、法规，须承担的医疗费及经济赔偿责任，保险人依据本保险单的规定，在约定的赔偿限额内予以赔付。</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投保人数</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pStyle w:val="14"/>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snapToGrid w:val="0"/>
                <w:color w:val="auto"/>
                <w:kern w:val="24"/>
                <w:sz w:val="28"/>
                <w:szCs w:val="28"/>
                <w:highlight w:val="none"/>
                <w:lang w:eastAsia="zh-CN"/>
              </w:rPr>
            </w:pPr>
            <w:r>
              <w:rPr>
                <w:rFonts w:hint="eastAsia" w:ascii="仿宋" w:hAnsi="仿宋" w:eastAsia="仿宋"/>
                <w:snapToGrid w:val="0"/>
                <w:color w:val="auto"/>
                <w:kern w:val="24"/>
                <w:sz w:val="28"/>
                <w:szCs w:val="28"/>
                <w:highlight w:val="none"/>
                <w:lang w:val="en-US" w:eastAsia="zh-CN"/>
              </w:rPr>
              <w:t>约</w:t>
            </w:r>
            <w:r>
              <w:rPr>
                <w:rFonts w:hint="eastAsia" w:ascii="仿宋" w:hAnsi="仿宋" w:eastAsia="仿宋"/>
                <w:snapToGrid w:val="0"/>
                <w:color w:val="auto"/>
                <w:kern w:val="24"/>
                <w:sz w:val="28"/>
                <w:szCs w:val="28"/>
                <w:highlight w:val="none"/>
              </w:rPr>
              <w:t>2</w:t>
            </w:r>
            <w:r>
              <w:rPr>
                <w:rFonts w:hint="eastAsia" w:ascii="仿宋" w:hAnsi="仿宋" w:eastAsia="仿宋"/>
                <w:snapToGrid w:val="0"/>
                <w:color w:val="auto"/>
                <w:kern w:val="24"/>
                <w:sz w:val="28"/>
                <w:szCs w:val="28"/>
                <w:highlight w:val="none"/>
                <w:lang w:val="en-US" w:eastAsia="zh-CN"/>
              </w:rPr>
              <w:t>50</w:t>
            </w:r>
            <w:r>
              <w:rPr>
                <w:rFonts w:hint="eastAsia" w:ascii="仿宋" w:hAnsi="仿宋" w:eastAsia="仿宋"/>
                <w:snapToGrid w:val="0"/>
                <w:color w:val="auto"/>
                <w:kern w:val="24"/>
                <w:sz w:val="28"/>
                <w:szCs w:val="28"/>
                <w:highlight w:val="none"/>
              </w:rPr>
              <w:t>0人</w:t>
            </w:r>
            <w:r>
              <w:rPr>
                <w:rFonts w:hint="eastAsia" w:ascii="仿宋" w:hAnsi="仿宋" w:eastAsia="仿宋"/>
                <w:snapToGrid w:val="0"/>
                <w:color w:val="auto"/>
                <w:kern w:val="24"/>
                <w:sz w:val="28"/>
                <w:szCs w:val="28"/>
                <w:highlight w:val="none"/>
                <w:lang w:eastAsia="zh-CN"/>
              </w:rPr>
              <w:t>，</w:t>
            </w:r>
            <w:r>
              <w:rPr>
                <w:rFonts w:hint="eastAsia" w:ascii="仿宋_GB2312" w:eastAsia="仿宋_GB2312" w:cs="仿宋_GB2312"/>
                <w:color w:val="auto"/>
                <w:sz w:val="28"/>
                <w:szCs w:val="28"/>
                <w:highlight w:val="none"/>
                <w:lang w:val="en-US" w:eastAsia="zh-CN"/>
              </w:rPr>
              <w:t>具体参保人数以实际参保人数为准，投保期内人员替换无限制</w:t>
            </w:r>
            <w:r>
              <w:rPr>
                <w:rFonts w:hint="eastAsia" w:ascii="仿宋_GB2312" w:eastAsia="仿宋_GB2312" w:cs="仿宋_GB2312"/>
                <w:color w:val="auto"/>
                <w:sz w:val="28"/>
                <w:szCs w:val="28"/>
                <w:highlight w:val="none"/>
                <w:lang w:val="zh-CN" w:eastAsia="zh-CN"/>
              </w:rPr>
              <w:t>。</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赔偿限额</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每人伤残、死亡赔偿限额：人民币200,000元</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每人医疗费用赔偿限额：人民币20,000元</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每人误工费用:暂时丧失工作能力在治疗期间，每天按人民币200元/人的工资标准补助误工费用，以医疗期满为限，最长不超过1年</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保险期限内年度诉讼费用累计赔偿限额：人民币500,000元</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特别约定</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本特别约定与雇主责任保险条款相抵触之处，以本特别约定为准：</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本保险所述</w:t>
            </w:r>
            <w:r>
              <w:rPr>
                <w:rFonts w:ascii="仿宋" w:hAnsi="仿宋" w:eastAsia="仿宋"/>
                <w:color w:val="auto"/>
                <w:sz w:val="28"/>
                <w:szCs w:val="28"/>
                <w:highlight w:val="none"/>
              </w:rPr>
              <w:t>雇员是指</w:t>
            </w:r>
            <w:r>
              <w:rPr>
                <w:rFonts w:hint="eastAsia" w:ascii="仿宋" w:hAnsi="仿宋" w:eastAsia="仿宋"/>
                <w:color w:val="auto"/>
                <w:sz w:val="28"/>
                <w:szCs w:val="28"/>
                <w:highlight w:val="none"/>
              </w:rPr>
              <w:t>与被保险人存在劳动关系、事实劳动关系的年满十六周岁的劳动者及其他按国家规定和法定途径审批的劳动者，不仅包括</w:t>
            </w:r>
            <w:r>
              <w:rPr>
                <w:rFonts w:ascii="仿宋" w:hAnsi="仿宋" w:eastAsia="仿宋"/>
                <w:color w:val="auto"/>
                <w:sz w:val="28"/>
                <w:szCs w:val="28"/>
                <w:highlight w:val="none"/>
              </w:rPr>
              <w:t>正式在册职工、短期工、临时工、季节工和徒工等</w:t>
            </w:r>
            <w:r>
              <w:rPr>
                <w:rFonts w:hint="eastAsia" w:ascii="仿宋" w:hAnsi="仿宋" w:eastAsia="仿宋"/>
                <w:color w:val="auto"/>
                <w:sz w:val="28"/>
                <w:szCs w:val="28"/>
                <w:highlight w:val="none"/>
              </w:rPr>
              <w:t>，也包括实习生、退休返聘人员、借调人员和劳务派遣人员等</w:t>
            </w:r>
            <w:r>
              <w:rPr>
                <w:rFonts w:ascii="仿宋" w:hAnsi="仿宋" w:eastAsia="仿宋"/>
                <w:color w:val="auto"/>
                <w:sz w:val="28"/>
                <w:szCs w:val="28"/>
                <w:highlight w:val="none"/>
              </w:rPr>
              <w:t>。</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本保险按不记名方式进行投保，保险期间被保险人因其员工变动,可替换人员,实际被保险人员工以其在岗人员名单为准。索赔时，被保险人只需提供出险员工的相关雇佣关系证明文件或有效的劳动合同。约定增收或退还的未满期保费于合同到期后一个月内进行结算。被保险人员工在初保人数规模5%以内的增、减变动，保费不变。尽管有上述约定，为方便保险人统计投保人数，投保人应在每季度后第一个月十号前向保险人更新投保名单。</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本保险所约定的误工费用为一项独立于死亡赔偿金和残疾赔偿金的赔偿项目。经二级以上（含）或保险人认可的医疗机构证明，因工伤或意外原因暂时丧失工作能力期间，保险人按照每人／天人民币</w:t>
            </w:r>
            <w:r>
              <w:rPr>
                <w:rFonts w:ascii="仿宋" w:hAnsi="仿宋" w:eastAsia="仿宋"/>
                <w:color w:val="auto"/>
                <w:sz w:val="28"/>
                <w:szCs w:val="28"/>
                <w:highlight w:val="none"/>
              </w:rPr>
              <w:t>200</w:t>
            </w:r>
            <w:r>
              <w:rPr>
                <w:rFonts w:hint="eastAsia" w:ascii="仿宋" w:hAnsi="仿宋" w:eastAsia="仿宋"/>
                <w:color w:val="auto"/>
                <w:sz w:val="28"/>
                <w:szCs w:val="28"/>
                <w:highlight w:val="none"/>
              </w:rPr>
              <w:t>元的工资标准补助误工费用，医疗期满或确定残疾程度后停发，最长不超过365天；如最终鉴定为残疾的，保险人对残疾赔偿金的赔偿金额按照本保险合同约定赔偿方式在每人伤亡责任限额内另外进行赔偿，而不扣减已赔偿的误工费用。</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对于本保险项下所有因意外事故导致的意外医疗费用将由保险人根据保单约定的赔偿限额直接进行赔付。</w:t>
            </w:r>
          </w:p>
          <w:p>
            <w:pPr>
              <w:spacing w:line="320" w:lineRule="exact"/>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5</w:t>
            </w:r>
            <w:r>
              <w:rPr>
                <w:rFonts w:hint="eastAsia" w:ascii="仿宋" w:hAnsi="仿宋" w:eastAsia="仿宋"/>
                <w:color w:val="auto"/>
                <w:sz w:val="28"/>
                <w:szCs w:val="28"/>
                <w:highlight w:val="none"/>
                <w:lang w:val="en-US" w:eastAsia="zh-CN"/>
              </w:rPr>
              <w:t>.自费药扩展条款。</w:t>
            </w:r>
          </w:p>
          <w:p>
            <w:pPr>
              <w:spacing w:line="320" w:lineRule="exac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兹经双方同意并约定，医疗责任扩展自费药，且每人每次事故自费药品责任限额为2000元。</w:t>
            </w:r>
          </w:p>
          <w:p>
            <w:pPr>
              <w:spacing w:line="320" w:lineRule="exac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在以保单条款、除外责任、条件及其批单等其他规定为准的同时，被保险人的雇员因本保险合同列明的原因所致伤残、死亡时，本保单扩展承保医疗费用项下自费药品部分。</w:t>
            </w:r>
          </w:p>
          <w:p>
            <w:pPr>
              <w:spacing w:line="320" w:lineRule="exac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自费药品定义为：治疗被保险人雇员意外受伤后除社保甲乙类用药以外的必须药品，但不包括各种营养类、滋补类药品、保健品、中药和中药饮片、受伤员工的陪护费、伙食费、营养费、交通费、取暖费、空调费及安装假肢、假牙、假眼和残疾用具费用。除紧急抢救外，受伤雇员均应在保险人指定或认可的医疗机构，即：当地卫生医疗行政部门评审认可的二级及以上(三级)医疗机构或保险人认可的医疗机构就诊。</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本附加险条款与雇主责任保险条款相抵触之处，以本附加险条款为准，其他未尽事项以雇主责任保险条款为准。本保险单所载的其他条件不变。</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除紧急抢救外，受伤工作人员均应在二级以上（含二级）医院或保险人认可的医疗机构就诊。</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7</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本保险在保险事故发生时不需要即时报案。对于所有保险事故，保险人承诺在被保险人索赔手续准备齐全并提交到保险人审核后七个工作日内结案并支付赔款。</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扩展条款</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24小时意外险特别扩展条款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临时海外工作条款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恐怖主义条款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急救费用条款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就餐时间条款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员工宿舍条款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运动或娱乐活动条款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8</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附加职业病责任保险条款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扩展工伤责任认定条款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10</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附加误工补助补充责任保险条款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扩展伤残赔偿金补充责任保险条款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附加被保险人条款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免检条款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14</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索赔费用条款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15</w:t>
            </w:r>
            <w:r>
              <w:rPr>
                <w:rFonts w:hint="eastAsia" w:ascii="仿宋" w:hAnsi="仿宋" w:eastAsia="仿宋"/>
                <w:color w:val="auto"/>
                <w:sz w:val="28"/>
                <w:szCs w:val="28"/>
                <w:highlight w:val="none"/>
                <w:lang w:val="en-US" w:eastAsia="zh-CN"/>
              </w:rPr>
              <w:t>.</w:t>
            </w:r>
            <w:r>
              <w:rPr>
                <w:rFonts w:ascii="仿宋" w:hAnsi="仿宋" w:eastAsia="仿宋"/>
                <w:color w:val="auto"/>
                <w:sz w:val="28"/>
                <w:szCs w:val="28"/>
                <w:highlight w:val="none"/>
              </w:rPr>
              <w:t>索赔单据条款</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w:t>
            </w:r>
            <w:r>
              <w:rPr>
                <w:rFonts w:ascii="仿宋" w:hAnsi="仿宋" w:eastAsia="仿宋"/>
                <w:color w:val="auto"/>
                <w:sz w:val="28"/>
                <w:szCs w:val="28"/>
                <w:highlight w:val="none"/>
              </w:rPr>
              <w:t>弃权与禁止反言条款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17</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不受控制条款</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8</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违反条件条款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19</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主要保险条款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20</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放弃代位追偿扩展条款</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错误及遗漏条款</w:t>
            </w:r>
          </w:p>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九十天取消保单条款</w:t>
            </w:r>
          </w:p>
          <w:p>
            <w:pPr>
              <w:spacing w:line="320" w:lineRule="exact"/>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预付赔款条款</w:t>
            </w:r>
          </w:p>
          <w:p>
            <w:pPr>
              <w:pStyle w:val="68"/>
              <w:tabs>
                <w:tab w:val="left" w:pos="362"/>
                <w:tab w:val="clear" w:pos="2160"/>
                <w:tab w:val="clear" w:pos="2520"/>
                <w:tab w:val="clear" w:pos="2880"/>
                <w:tab w:val="clear" w:pos="3240"/>
              </w:tabs>
              <w:spacing w:line="320" w:lineRule="exact"/>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24</w:t>
            </w:r>
            <w:r>
              <w:rPr>
                <w:rFonts w:hint="eastAsia" w:ascii="仿宋" w:hAnsi="仿宋" w:eastAsia="仿宋"/>
                <w:color w:val="auto"/>
                <w:sz w:val="28"/>
                <w:szCs w:val="28"/>
                <w:highlight w:val="none"/>
                <w:lang w:val="en-US" w:eastAsia="zh-CN"/>
              </w:rPr>
              <w:t>.</w:t>
            </w:r>
            <w:r>
              <w:rPr>
                <w:rFonts w:ascii="仿宋" w:hAnsi="仿宋" w:eastAsia="仿宋"/>
                <w:color w:val="auto"/>
                <w:sz w:val="28"/>
                <w:szCs w:val="28"/>
                <w:highlight w:val="none"/>
                <w:lang w:eastAsia="zh-CN"/>
              </w:rPr>
              <w:t>预定损失理算师条款</w:t>
            </w:r>
          </w:p>
          <w:p>
            <w:pPr>
              <w:pStyle w:val="68"/>
              <w:tabs>
                <w:tab w:val="left" w:pos="362"/>
                <w:tab w:val="clear" w:pos="2160"/>
                <w:tab w:val="clear" w:pos="2520"/>
                <w:tab w:val="clear" w:pos="2880"/>
                <w:tab w:val="clear" w:pos="3240"/>
              </w:tabs>
              <w:spacing w:line="320" w:lineRule="exact"/>
              <w:rPr>
                <w:rFonts w:ascii="仿宋" w:hAnsi="仿宋" w:eastAsia="仿宋"/>
                <w:color w:val="auto"/>
                <w:kern w:val="2"/>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免赔额</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uppressAutoHyphens/>
              <w:spacing w:line="32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ascii="仿宋" w:hAnsi="仿宋" w:eastAsia="仿宋"/>
                <w:color w:val="auto"/>
                <w:sz w:val="28"/>
                <w:szCs w:val="28"/>
                <w:highlight w:val="none"/>
              </w:rPr>
              <w:t>误工补助：每人每次事故暂时丧失工作能力</w:t>
            </w:r>
            <w:r>
              <w:rPr>
                <w:rFonts w:hint="eastAsia" w:ascii="仿宋" w:hAnsi="仿宋" w:eastAsia="仿宋"/>
                <w:color w:val="auto"/>
                <w:sz w:val="28"/>
                <w:szCs w:val="28"/>
                <w:highlight w:val="none"/>
              </w:rPr>
              <w:t>三</w:t>
            </w:r>
            <w:r>
              <w:rPr>
                <w:rFonts w:ascii="仿宋" w:hAnsi="仿宋" w:eastAsia="仿宋"/>
                <w:color w:val="auto"/>
                <w:sz w:val="28"/>
                <w:szCs w:val="28"/>
                <w:highlight w:val="none"/>
              </w:rPr>
              <w:t>天(包括</w:t>
            </w:r>
            <w:r>
              <w:rPr>
                <w:rFonts w:hint="eastAsia" w:ascii="仿宋" w:hAnsi="仿宋" w:eastAsia="仿宋"/>
                <w:color w:val="auto"/>
                <w:sz w:val="28"/>
                <w:szCs w:val="28"/>
                <w:highlight w:val="none"/>
              </w:rPr>
              <w:t>三</w:t>
            </w:r>
            <w:r>
              <w:rPr>
                <w:rFonts w:ascii="仿宋" w:hAnsi="仿宋" w:eastAsia="仿宋"/>
                <w:color w:val="auto"/>
                <w:sz w:val="28"/>
                <w:szCs w:val="28"/>
                <w:highlight w:val="none"/>
              </w:rPr>
              <w:t>天)</w:t>
            </w:r>
          </w:p>
          <w:p>
            <w:pPr>
              <w:suppressAutoHyphens/>
              <w:spacing w:line="32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其它无免赔</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司法管辖</w:t>
            </w:r>
          </w:p>
        </w:tc>
        <w:tc>
          <w:tcPr>
            <w:tcW w:w="284"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7228" w:type="dxa"/>
          </w:tcPr>
          <w:p>
            <w:pPr>
              <w:spacing w:line="3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中华人民共和国司法管辖</w:t>
            </w:r>
          </w:p>
          <w:p>
            <w:pPr>
              <w:spacing w:line="320" w:lineRule="exact"/>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其他要求</w:t>
            </w:r>
          </w:p>
        </w:tc>
        <w:tc>
          <w:tcPr>
            <w:tcW w:w="284" w:type="dxa"/>
          </w:tcPr>
          <w:p>
            <w:pPr>
              <w:spacing w:line="32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p>
        </w:tc>
        <w:tc>
          <w:tcPr>
            <w:tcW w:w="7228" w:type="dxa"/>
          </w:tcPr>
          <w:p>
            <w:pPr>
              <w:spacing w:line="3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风险管理与保险知识培训</w:t>
            </w:r>
          </w:p>
          <w:p>
            <w:pPr>
              <w:spacing w:line="3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本协议有效期内，</w:t>
            </w:r>
            <w:r>
              <w:rPr>
                <w:rFonts w:hint="eastAsia" w:ascii="仿宋" w:hAnsi="仿宋" w:eastAsia="仿宋"/>
                <w:color w:val="auto"/>
                <w:sz w:val="28"/>
                <w:szCs w:val="28"/>
                <w:highlight w:val="none"/>
                <w:lang w:val="en-US" w:eastAsia="zh-CN"/>
              </w:rPr>
              <w:t>保险人</w:t>
            </w:r>
            <w:r>
              <w:rPr>
                <w:rFonts w:hint="eastAsia" w:ascii="仿宋" w:hAnsi="仿宋" w:eastAsia="仿宋"/>
                <w:color w:val="auto"/>
                <w:sz w:val="28"/>
                <w:szCs w:val="28"/>
                <w:highlight w:val="none"/>
              </w:rPr>
              <w:t>应根据</w:t>
            </w:r>
            <w:r>
              <w:rPr>
                <w:rFonts w:hint="eastAsia" w:ascii="仿宋" w:hAnsi="仿宋" w:eastAsia="仿宋"/>
                <w:color w:val="auto"/>
                <w:sz w:val="28"/>
                <w:szCs w:val="28"/>
                <w:highlight w:val="none"/>
                <w:lang w:val="en-US" w:eastAsia="zh-CN"/>
              </w:rPr>
              <w:t>被保险人</w:t>
            </w:r>
            <w:r>
              <w:rPr>
                <w:rFonts w:hint="eastAsia" w:ascii="仿宋" w:hAnsi="仿宋" w:eastAsia="仿宋"/>
                <w:color w:val="auto"/>
                <w:sz w:val="28"/>
                <w:szCs w:val="28"/>
                <w:highlight w:val="none"/>
              </w:rPr>
              <w:t>的统一安排至少组织一次保险与风险管理培训或交流会议，以提高</w:t>
            </w:r>
            <w:r>
              <w:rPr>
                <w:rFonts w:hint="eastAsia" w:ascii="仿宋" w:hAnsi="仿宋" w:eastAsia="仿宋"/>
                <w:color w:val="auto"/>
                <w:sz w:val="28"/>
                <w:szCs w:val="28"/>
                <w:highlight w:val="none"/>
                <w:lang w:val="en-US" w:eastAsia="zh-CN"/>
              </w:rPr>
              <w:t>被保险人</w:t>
            </w:r>
            <w:r>
              <w:rPr>
                <w:rFonts w:hint="eastAsia" w:ascii="仿宋" w:hAnsi="仿宋" w:eastAsia="仿宋"/>
                <w:color w:val="auto"/>
                <w:sz w:val="28"/>
                <w:szCs w:val="28"/>
                <w:highlight w:val="none"/>
              </w:rPr>
              <w:t>财务与保险管理人员、安全技术人员等的风险管理和防灾防损技能，相关费用由</w:t>
            </w:r>
            <w:r>
              <w:rPr>
                <w:rFonts w:hint="eastAsia" w:ascii="仿宋" w:hAnsi="仿宋" w:eastAsia="仿宋"/>
                <w:color w:val="auto"/>
                <w:sz w:val="28"/>
                <w:szCs w:val="28"/>
                <w:highlight w:val="none"/>
                <w:lang w:val="en-US" w:eastAsia="zh-CN"/>
              </w:rPr>
              <w:t>保险人</w:t>
            </w:r>
            <w:r>
              <w:rPr>
                <w:rFonts w:hint="eastAsia" w:ascii="仿宋" w:hAnsi="仿宋" w:eastAsia="仿宋"/>
                <w:color w:val="auto"/>
                <w:sz w:val="28"/>
                <w:szCs w:val="28"/>
                <w:highlight w:val="none"/>
              </w:rPr>
              <w:t>承担，但以总保费的3%为限并据实列支。具体内容、实施方案、举办时间和地点由</w:t>
            </w:r>
            <w:r>
              <w:rPr>
                <w:rFonts w:hint="eastAsia" w:ascii="仿宋" w:hAnsi="仿宋" w:eastAsia="仿宋"/>
                <w:color w:val="auto"/>
                <w:sz w:val="28"/>
                <w:szCs w:val="28"/>
                <w:highlight w:val="none"/>
                <w:lang w:val="en-US" w:eastAsia="zh-CN"/>
              </w:rPr>
              <w:t>双方</w:t>
            </w:r>
            <w:r>
              <w:rPr>
                <w:rFonts w:hint="eastAsia" w:ascii="仿宋" w:hAnsi="仿宋" w:eastAsia="仿宋"/>
                <w:color w:val="auto"/>
                <w:sz w:val="28"/>
                <w:szCs w:val="28"/>
                <w:highlight w:val="none"/>
              </w:rPr>
              <w:t>共同协商确定。</w:t>
            </w:r>
          </w:p>
          <w:p>
            <w:pPr>
              <w:spacing w:line="320" w:lineRule="exact"/>
              <w:rPr>
                <w:rFonts w:hint="eastAsia" w:ascii="仿宋" w:hAnsi="仿宋" w:eastAsia="仿宋"/>
                <w:color w:val="auto"/>
                <w:sz w:val="28"/>
                <w:szCs w:val="28"/>
                <w:highlight w:val="none"/>
              </w:rPr>
            </w:pPr>
          </w:p>
          <w:p>
            <w:pPr>
              <w:spacing w:line="3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防灾防损服务</w:t>
            </w:r>
          </w:p>
          <w:p>
            <w:pPr>
              <w:spacing w:line="3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本协议有效期内，</w:t>
            </w:r>
            <w:r>
              <w:rPr>
                <w:rFonts w:hint="eastAsia" w:ascii="仿宋" w:hAnsi="仿宋" w:eastAsia="仿宋"/>
                <w:color w:val="auto"/>
                <w:sz w:val="28"/>
                <w:szCs w:val="28"/>
                <w:highlight w:val="none"/>
                <w:lang w:val="en-US" w:eastAsia="zh-CN"/>
              </w:rPr>
              <w:t>保险人</w:t>
            </w:r>
            <w:r>
              <w:rPr>
                <w:rFonts w:hint="eastAsia" w:ascii="仿宋" w:hAnsi="仿宋" w:eastAsia="仿宋"/>
                <w:color w:val="auto"/>
                <w:sz w:val="28"/>
                <w:szCs w:val="28"/>
                <w:highlight w:val="none"/>
              </w:rPr>
              <w:t>应组织对</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进行至少两次专项风险查勘，如聘请专业检测公司对</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的房屋建筑和机器设备进行抗防雷及电气安全检测，向</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提交相关风险查勘报告，以提出有针对性的防灾防损建议，并协助</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建立风险管理档案，相关费用由</w:t>
            </w:r>
            <w:r>
              <w:rPr>
                <w:rFonts w:hint="eastAsia" w:ascii="仿宋" w:hAnsi="仿宋" w:eastAsia="仿宋"/>
                <w:color w:val="auto"/>
                <w:sz w:val="28"/>
                <w:szCs w:val="28"/>
                <w:highlight w:val="none"/>
                <w:lang w:val="en-US" w:eastAsia="zh-CN"/>
              </w:rPr>
              <w:t>保险人</w:t>
            </w:r>
            <w:r>
              <w:rPr>
                <w:rFonts w:hint="eastAsia" w:ascii="仿宋" w:hAnsi="仿宋" w:eastAsia="仿宋"/>
                <w:color w:val="auto"/>
                <w:sz w:val="28"/>
                <w:szCs w:val="28"/>
                <w:highlight w:val="none"/>
              </w:rPr>
              <w:t>承担。</w:t>
            </w:r>
          </w:p>
          <w:p>
            <w:pPr>
              <w:spacing w:line="3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保险人</w:t>
            </w:r>
            <w:r>
              <w:rPr>
                <w:rFonts w:hint="eastAsia" w:ascii="仿宋" w:hAnsi="仿宋" w:eastAsia="仿宋"/>
                <w:color w:val="auto"/>
                <w:sz w:val="28"/>
                <w:szCs w:val="28"/>
                <w:highlight w:val="none"/>
              </w:rPr>
              <w:t>应协同国家气象、水文、地震等部门建立气象及地震灾害预警系统，定期或在</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需要时随时提供气象等自然灾害的年度趋势预报、汛期预报，提供火灾相关信息，并与</w:t>
            </w:r>
            <w:r>
              <w:rPr>
                <w:rFonts w:hint="eastAsia" w:ascii="仿宋" w:hAnsi="仿宋" w:eastAsia="仿宋"/>
                <w:color w:val="auto"/>
                <w:sz w:val="28"/>
                <w:szCs w:val="28"/>
                <w:highlight w:val="none"/>
                <w:lang w:eastAsia="zh-CN"/>
              </w:rPr>
              <w:t>被保险人</w:t>
            </w:r>
            <w:r>
              <w:rPr>
                <w:rFonts w:hint="eastAsia" w:ascii="仿宋" w:hAnsi="仿宋" w:eastAsia="仿宋"/>
                <w:color w:val="auto"/>
                <w:sz w:val="28"/>
                <w:szCs w:val="28"/>
                <w:highlight w:val="none"/>
              </w:rPr>
              <w:t>一起做好这些灾害的风险控制工作。在季节性、周期性灾害发生前，组织专家进行风险评估，提出风险管理建议。</w:t>
            </w:r>
          </w:p>
          <w:p>
            <w:pPr>
              <w:spacing w:line="320" w:lineRule="exact"/>
              <w:rPr>
                <w:rFonts w:hint="eastAsia"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20" w:lineRule="exact"/>
              <w:rPr>
                <w:rFonts w:ascii="仿宋" w:hAnsi="仿宋" w:eastAsia="仿宋"/>
                <w:b/>
                <w:color w:val="auto"/>
                <w:sz w:val="28"/>
                <w:szCs w:val="28"/>
                <w:highlight w:val="none"/>
              </w:rPr>
            </w:pPr>
            <w:r>
              <w:rPr>
                <w:rFonts w:ascii="仿宋" w:hAnsi="仿宋" w:eastAsia="仿宋"/>
                <w:b/>
                <w:color w:val="auto"/>
                <w:sz w:val="28"/>
                <w:szCs w:val="28"/>
                <w:highlight w:val="none"/>
              </w:rPr>
              <w:t>备注</w:t>
            </w:r>
          </w:p>
        </w:tc>
        <w:tc>
          <w:tcPr>
            <w:tcW w:w="284"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w:t>
            </w:r>
          </w:p>
        </w:tc>
        <w:tc>
          <w:tcPr>
            <w:tcW w:w="7228" w:type="dxa"/>
          </w:tcPr>
          <w:p>
            <w:pPr>
              <w:spacing w:line="32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其它根据约定的保单条款及扩展条款内容</w:t>
            </w:r>
          </w:p>
        </w:tc>
      </w:tr>
    </w:tbl>
    <w:p>
      <w:pPr>
        <w:pStyle w:val="14"/>
        <w:adjustRightInd w:val="0"/>
        <w:snapToGrid w:val="0"/>
        <w:spacing w:line="300" w:lineRule="auto"/>
        <w:rPr>
          <w:rFonts w:ascii="仿宋_GB2312" w:eastAsia="仿宋_GB2312" w:cs="仿宋_GB2312"/>
          <w:b/>
          <w:color w:val="auto"/>
          <w:sz w:val="28"/>
          <w:szCs w:val="28"/>
          <w:highlight w:val="none"/>
        </w:rPr>
      </w:pPr>
    </w:p>
    <w:p>
      <w:pPr>
        <w:pStyle w:val="5"/>
        <w:spacing w:before="0" w:line="360" w:lineRule="auto"/>
        <w:jc w:val="left"/>
        <w:rPr>
          <w:rFonts w:ascii="仿宋" w:hAnsi="仿宋" w:eastAsia="仿宋"/>
          <w:bCs w:val="0"/>
          <w:color w:val="auto"/>
          <w:sz w:val="28"/>
          <w:szCs w:val="28"/>
          <w:highlight w:val="none"/>
        </w:rPr>
      </w:pPr>
      <w:r>
        <w:rPr>
          <w:rFonts w:hint="eastAsia" w:ascii="Times New Roman" w:hAnsi="Times New Roman"/>
          <w:bCs w:val="0"/>
          <w:color w:val="auto"/>
          <w:sz w:val="28"/>
          <w:szCs w:val="28"/>
          <w:highlight w:val="none"/>
        </w:rPr>
        <w:br w:type="page"/>
      </w:r>
      <w:r>
        <w:rPr>
          <w:rFonts w:hint="eastAsia" w:ascii="仿宋" w:hAnsi="仿宋" w:eastAsia="仿宋"/>
          <w:bCs w:val="0"/>
          <w:color w:val="auto"/>
          <w:sz w:val="28"/>
          <w:szCs w:val="28"/>
          <w:highlight w:val="none"/>
        </w:rPr>
        <w:t>附件</w:t>
      </w:r>
    </w:p>
    <w:p>
      <w:pPr>
        <w:pStyle w:val="5"/>
        <w:spacing w:before="0" w:line="360" w:lineRule="auto"/>
        <w:rPr>
          <w:rFonts w:ascii="仿宋" w:hAnsi="仿宋" w:eastAsia="仿宋"/>
          <w:color w:val="auto"/>
          <w:sz w:val="28"/>
          <w:szCs w:val="28"/>
          <w:highlight w:val="none"/>
        </w:rPr>
      </w:pPr>
      <w:r>
        <w:rPr>
          <w:rFonts w:hint="eastAsia" w:ascii="仿宋" w:hAnsi="仿宋" w:eastAsia="仿宋"/>
          <w:bCs w:val="0"/>
          <w:color w:val="auto"/>
          <w:sz w:val="28"/>
          <w:szCs w:val="28"/>
          <w:highlight w:val="none"/>
        </w:rPr>
        <w:t>适用保单条款及扩展条款内容</w:t>
      </w:r>
    </w:p>
    <w:p>
      <w:pPr>
        <w:spacing w:line="360" w:lineRule="exact"/>
        <w:jc w:val="center"/>
        <w:rPr>
          <w:rFonts w:ascii="宋体" w:hAnsi="宋体"/>
          <w:b/>
          <w:color w:val="auto"/>
          <w:sz w:val="28"/>
          <w:szCs w:val="28"/>
          <w:highlight w:val="none"/>
        </w:rPr>
      </w:pPr>
      <w:r>
        <w:rPr>
          <w:rFonts w:hint="eastAsia" w:ascii="宋体" w:hAnsi="宋体"/>
          <w:b/>
          <w:color w:val="auto"/>
          <w:sz w:val="28"/>
          <w:szCs w:val="28"/>
          <w:highlight w:val="none"/>
        </w:rPr>
        <w:t>雇主责任保险条款（2015版）</w:t>
      </w:r>
    </w:p>
    <w:p>
      <w:pPr>
        <w:spacing w:line="360" w:lineRule="exact"/>
        <w:jc w:val="center"/>
        <w:rPr>
          <w:rFonts w:ascii="宋体" w:hAnsi="宋体"/>
          <w:b/>
          <w:color w:val="auto"/>
          <w:sz w:val="24"/>
          <w:szCs w:val="24"/>
          <w:highlight w:val="none"/>
        </w:rPr>
      </w:pPr>
    </w:p>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总则</w:t>
      </w:r>
    </w:p>
    <w:p>
      <w:pPr>
        <w:numPr>
          <w:ilvl w:val="0"/>
          <w:numId w:val="6"/>
        </w:numPr>
        <w:spacing w:line="360" w:lineRule="exact"/>
        <w:ind w:left="0" w:firstLine="482" w:firstLineChars="201"/>
        <w:rPr>
          <w:rFonts w:ascii="宋体" w:hAnsi="宋体"/>
          <w:b/>
          <w:color w:val="auto"/>
          <w:sz w:val="24"/>
          <w:szCs w:val="24"/>
          <w:highlight w:val="none"/>
        </w:rPr>
      </w:pPr>
      <w:r>
        <w:rPr>
          <w:rFonts w:hint="eastAsia" w:ascii="宋体" w:hAnsi="宋体"/>
          <w:color w:val="auto"/>
          <w:sz w:val="24"/>
          <w:szCs w:val="24"/>
          <w:highlight w:val="none"/>
        </w:rPr>
        <w:t>本保险合同由保险条款、投保单、保险单、保险凭证以及批单组成。凡涉及本保险合同的约定，均应采用书面形式。</w:t>
      </w:r>
    </w:p>
    <w:p>
      <w:pPr>
        <w:numPr>
          <w:ilvl w:val="0"/>
          <w:numId w:val="6"/>
        </w:numPr>
        <w:spacing w:line="360" w:lineRule="exact"/>
        <w:ind w:left="0" w:firstLine="482" w:firstLineChars="201"/>
        <w:rPr>
          <w:rFonts w:ascii="宋体" w:hAnsi="宋体"/>
          <w:color w:val="auto"/>
          <w:sz w:val="24"/>
          <w:szCs w:val="24"/>
          <w:highlight w:val="none"/>
        </w:rPr>
      </w:pPr>
      <w:r>
        <w:rPr>
          <w:rFonts w:hint="eastAsia" w:ascii="宋体" w:hAnsi="宋体"/>
          <w:color w:val="auto"/>
          <w:sz w:val="24"/>
          <w:szCs w:val="24"/>
          <w:highlight w:val="none"/>
        </w:rPr>
        <w:t>凡</w:t>
      </w:r>
      <w:r>
        <w:rPr>
          <w:rFonts w:hint="eastAsia" w:ascii="宋体" w:hAnsi="宋体"/>
          <w:b/>
          <w:color w:val="auto"/>
          <w:sz w:val="24"/>
          <w:szCs w:val="24"/>
          <w:highlight w:val="none"/>
        </w:rPr>
        <w:t>依法</w:t>
      </w:r>
      <w:r>
        <w:rPr>
          <w:rFonts w:hint="eastAsia" w:ascii="宋体" w:hAnsi="宋体"/>
          <w:color w:val="auto"/>
          <w:sz w:val="24"/>
          <w:szCs w:val="24"/>
          <w:highlight w:val="none"/>
        </w:rPr>
        <w:t>设立的</w:t>
      </w:r>
      <w:bookmarkStart w:id="51" w:name="OLE_LINK1"/>
      <w:r>
        <w:rPr>
          <w:rFonts w:hint="eastAsia" w:ascii="宋体" w:hAnsi="宋体"/>
          <w:color w:val="auto"/>
          <w:sz w:val="24"/>
          <w:szCs w:val="24"/>
          <w:highlight w:val="none"/>
        </w:rPr>
        <w:t>企事业单位、国家机关、社会团体及其他组织，有雇工的个体工商户，均可作为本保险合同的被保险人。</w:t>
      </w:r>
    </w:p>
    <w:p>
      <w:pPr>
        <w:spacing w:line="360" w:lineRule="exact"/>
        <w:jc w:val="center"/>
        <w:rPr>
          <w:rFonts w:ascii="宋体" w:hAnsi="宋体"/>
          <w:b/>
          <w:color w:val="auto"/>
          <w:sz w:val="24"/>
          <w:szCs w:val="24"/>
          <w:highlight w:val="none"/>
        </w:rPr>
      </w:pPr>
    </w:p>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保险责任</w:t>
      </w:r>
    </w:p>
    <w:bookmarkEnd w:id="51"/>
    <w:p>
      <w:pPr>
        <w:numPr>
          <w:ilvl w:val="0"/>
          <w:numId w:val="6"/>
        </w:numPr>
        <w:spacing w:line="360" w:lineRule="exact"/>
        <w:ind w:left="0" w:firstLine="482" w:firstLineChars="201"/>
        <w:rPr>
          <w:rFonts w:ascii="宋体" w:hAnsi="宋体"/>
          <w:color w:val="auto"/>
          <w:sz w:val="24"/>
          <w:szCs w:val="24"/>
          <w:highlight w:val="none"/>
        </w:rPr>
      </w:pPr>
      <w:r>
        <w:rPr>
          <w:rFonts w:hint="eastAsia" w:ascii="宋体" w:hAnsi="宋体"/>
          <w:color w:val="auto"/>
          <w:sz w:val="24"/>
          <w:szCs w:val="24"/>
          <w:highlight w:val="none"/>
        </w:rPr>
        <w:t>在保险期间内，被保险人的</w:t>
      </w:r>
      <w:r>
        <w:rPr>
          <w:rFonts w:hint="eastAsia" w:ascii="宋体" w:hAnsi="宋体"/>
          <w:b/>
          <w:color w:val="auto"/>
          <w:sz w:val="24"/>
          <w:szCs w:val="24"/>
          <w:highlight w:val="none"/>
        </w:rPr>
        <w:t>雇员</w:t>
      </w:r>
      <w:r>
        <w:rPr>
          <w:rFonts w:hint="eastAsia" w:ascii="宋体" w:hAnsi="宋体"/>
          <w:color w:val="auto"/>
          <w:sz w:val="24"/>
          <w:szCs w:val="24"/>
          <w:highlight w:val="none"/>
        </w:rPr>
        <w:t>因从事保险单载明的业务工作而遭受意外，包括但不限于下列情形，导致负伤、残疾或死亡，依法应由被保险人承担的经济赔偿责任，保险人按照本保险合同约定负责赔偿：</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（一）在工作时间和工作场所内，因工作原因受到事故伤害；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（二）工作时间前后在工作场所内，从事与工作有关的预备性或者收尾性工作受到事故伤害；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（三）在工作时间和工作场所内，因履行工作职责受到暴力等意外伤害；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（四）因工外出期间，由于工作原因受到伤害或者发生事故下落不明；</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（五）在上下班途中，受到非本人主要责任的交通事故或者城市轨道交通、客运轮渡、火车事故伤害；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（六）在工作时间和工作岗位，突发疾病死亡或者在48小时之内经抢救无效死亡；</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（七）在抢险救灾等维护国家利益、公共利益活动中受到伤害；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（八）原在军队服役，因战、因公负伤致残，已取得革命伤残军人证，到用人单位后旧伤复发；</w:t>
      </w:r>
    </w:p>
    <w:p>
      <w:pPr>
        <w:tabs>
          <w:tab w:val="left" w:pos="1560"/>
        </w:tabs>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（九）法律、行政法规规定应当认定为工伤的其他情形。</w:t>
      </w:r>
    </w:p>
    <w:p>
      <w:pPr>
        <w:numPr>
          <w:ilvl w:val="0"/>
          <w:numId w:val="6"/>
        </w:numPr>
        <w:spacing w:line="360" w:lineRule="exact"/>
        <w:ind w:left="0" w:firstLine="482" w:firstLineChars="201"/>
        <w:rPr>
          <w:rFonts w:ascii="宋体" w:hAnsi="宋体"/>
          <w:color w:val="auto"/>
          <w:sz w:val="24"/>
          <w:szCs w:val="24"/>
          <w:highlight w:val="none"/>
        </w:rPr>
      </w:pPr>
      <w:r>
        <w:rPr>
          <w:rFonts w:hint="eastAsia" w:ascii="宋体" w:hAnsi="宋体"/>
          <w:color w:val="auto"/>
          <w:sz w:val="24"/>
          <w:szCs w:val="24"/>
          <w:highlight w:val="none"/>
        </w:rPr>
        <w:t>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pPr>
        <w:spacing w:line="360" w:lineRule="exact"/>
        <w:jc w:val="center"/>
        <w:rPr>
          <w:rFonts w:ascii="宋体" w:hAnsi="宋体"/>
          <w:b/>
          <w:color w:val="auto"/>
          <w:sz w:val="24"/>
          <w:szCs w:val="24"/>
          <w:highlight w:val="none"/>
        </w:rPr>
      </w:pPr>
    </w:p>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责任免除</w:t>
      </w:r>
    </w:p>
    <w:p>
      <w:pPr>
        <w:numPr>
          <w:ilvl w:val="0"/>
          <w:numId w:val="6"/>
        </w:numPr>
        <w:spacing w:line="360" w:lineRule="exact"/>
        <w:ind w:left="0" w:firstLine="482" w:firstLineChars="201"/>
        <w:rPr>
          <w:rFonts w:ascii="宋体" w:hAnsi="宋体"/>
          <w:b w:val="0"/>
          <w:bCs/>
          <w:color w:val="auto"/>
          <w:sz w:val="24"/>
          <w:szCs w:val="24"/>
          <w:highlight w:val="none"/>
        </w:rPr>
      </w:pPr>
      <w:r>
        <w:rPr>
          <w:rFonts w:hint="eastAsia" w:ascii="宋体" w:hAnsi="宋体"/>
          <w:b w:val="0"/>
          <w:bCs/>
          <w:color w:val="auto"/>
          <w:sz w:val="24"/>
          <w:szCs w:val="24"/>
          <w:highlight w:val="none"/>
        </w:rPr>
        <w:t>下列原因造成的损失、费用和责任，保险人不负责赔偿：</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（一）投保人、被保险人的故意行为、重大过失行为；</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（二）战争、敌对行动、军事行为、武装冲突、罢工、骚乱、暴动、恐怖活动；</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（三）核辐射、核爆炸、核污染及其他放射性污染；</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（四）行政行为或司法行为；</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（五）地震及其次生灾害；</w:t>
      </w:r>
    </w:p>
    <w:p>
      <w:pPr>
        <w:adjustRightInd w:val="0"/>
        <w:snapToGrid w:val="0"/>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（六）雇员犯罪、自杀自残、斗殴，或因受酒精、毒品、药品影响造成自身人身伤亡的；</w:t>
      </w:r>
    </w:p>
    <w:p>
      <w:pPr>
        <w:spacing w:line="360" w:lineRule="exact"/>
        <w:ind w:firstLine="480" w:firstLineChars="200"/>
        <w:rPr>
          <w:rFonts w:ascii="宋体" w:hAnsi="宋体"/>
          <w:b w:val="0"/>
          <w:bCs/>
          <w:color w:val="auto"/>
          <w:sz w:val="24"/>
          <w:szCs w:val="24"/>
          <w:highlight w:val="none"/>
          <w:lang w:val="zh-CN"/>
        </w:rPr>
      </w:pPr>
      <w:r>
        <w:rPr>
          <w:rFonts w:hint="eastAsia" w:ascii="宋体" w:hAnsi="宋体"/>
          <w:b w:val="0"/>
          <w:bCs/>
          <w:color w:val="auto"/>
          <w:sz w:val="24"/>
          <w:szCs w:val="24"/>
          <w:highlight w:val="none"/>
        </w:rPr>
        <w:t>（七）雇员因疾病（包括职业病）、分娩、流产以及因上述原因接受医疗救治的，但属于本条款第三条第（六）项约定的不在此限；</w:t>
      </w:r>
    </w:p>
    <w:p>
      <w:pPr>
        <w:spacing w:line="360" w:lineRule="exact"/>
        <w:ind w:firstLine="480" w:firstLineChars="200"/>
        <w:rPr>
          <w:rFonts w:ascii="宋体" w:hAnsi="宋体"/>
          <w:b w:val="0"/>
          <w:bCs/>
          <w:snapToGrid w:val="0"/>
          <w:color w:val="auto"/>
          <w:sz w:val="24"/>
          <w:szCs w:val="24"/>
          <w:highlight w:val="none"/>
        </w:rPr>
      </w:pPr>
      <w:r>
        <w:rPr>
          <w:rFonts w:hint="eastAsia" w:ascii="宋体" w:hAnsi="宋体"/>
          <w:b w:val="0"/>
          <w:bCs/>
          <w:color w:val="auto"/>
          <w:sz w:val="24"/>
          <w:szCs w:val="24"/>
          <w:highlight w:val="none"/>
        </w:rPr>
        <w:t>（八）雇员无有效驾驶证驾驶机动车辆或</w:t>
      </w:r>
      <w:r>
        <w:rPr>
          <w:rFonts w:hint="eastAsia" w:ascii="宋体" w:hAnsi="宋体"/>
          <w:b w:val="0"/>
          <w:bCs/>
          <w:snapToGrid w:val="0"/>
          <w:color w:val="auto"/>
          <w:sz w:val="24"/>
          <w:szCs w:val="24"/>
          <w:highlight w:val="none"/>
        </w:rPr>
        <w:t>无有效资格证书而使用各种专用机械、特种设备、特种车辆或类似设备装置，造成自身人身伤亡的。</w:t>
      </w:r>
    </w:p>
    <w:p>
      <w:pPr>
        <w:numPr>
          <w:ilvl w:val="0"/>
          <w:numId w:val="6"/>
        </w:numPr>
        <w:spacing w:line="360" w:lineRule="exact"/>
        <w:ind w:left="0" w:firstLine="482" w:firstLineChars="201"/>
        <w:rPr>
          <w:rFonts w:ascii="宋体" w:hAnsi="宋体"/>
          <w:b w:val="0"/>
          <w:bCs/>
          <w:color w:val="auto"/>
          <w:sz w:val="24"/>
          <w:szCs w:val="24"/>
          <w:highlight w:val="none"/>
        </w:rPr>
      </w:pPr>
      <w:r>
        <w:rPr>
          <w:rFonts w:hint="eastAsia" w:ascii="宋体" w:hAnsi="宋体"/>
          <w:b w:val="0"/>
          <w:bCs/>
          <w:color w:val="auto"/>
          <w:sz w:val="24"/>
          <w:szCs w:val="24"/>
          <w:highlight w:val="none"/>
        </w:rPr>
        <w:t>下列损失、费用和责任，保险人不负责赔偿：</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（一）罚款、罚金及惩罚性赔款；</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（二）精神损害赔偿；</w:t>
      </w:r>
    </w:p>
    <w:p>
      <w:pPr>
        <w:spacing w:line="360" w:lineRule="exact"/>
        <w:ind w:firstLine="480" w:firstLineChars="200"/>
        <w:rPr>
          <w:rFonts w:ascii="宋体" w:hAnsi="宋体"/>
          <w:b w:val="0"/>
          <w:bCs/>
          <w:snapToGrid w:val="0"/>
          <w:color w:val="auto"/>
          <w:sz w:val="24"/>
          <w:szCs w:val="24"/>
          <w:highlight w:val="none"/>
        </w:rPr>
      </w:pPr>
      <w:r>
        <w:rPr>
          <w:rFonts w:hint="eastAsia" w:ascii="宋体" w:hAnsi="宋体"/>
          <w:b w:val="0"/>
          <w:bCs/>
          <w:color w:val="auto"/>
          <w:sz w:val="24"/>
          <w:szCs w:val="24"/>
          <w:highlight w:val="none"/>
        </w:rPr>
        <w:t>（三）超出雇员所在地工伤保险诊疗项目目录、工伤保险药品目录、工伤保险住院服务标准的</w:t>
      </w:r>
      <w:r>
        <w:rPr>
          <w:rFonts w:hint="eastAsia" w:ascii="宋体" w:hAnsi="宋体"/>
          <w:b w:val="0"/>
          <w:bCs/>
          <w:snapToGrid w:val="0"/>
          <w:color w:val="auto"/>
          <w:sz w:val="24"/>
          <w:szCs w:val="24"/>
          <w:highlight w:val="none"/>
        </w:rPr>
        <w:t>医疗费用；</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（四）</w:t>
      </w:r>
      <w:r>
        <w:rPr>
          <w:rFonts w:hint="eastAsia" w:ascii="宋体" w:hAnsi="宋体"/>
          <w:b w:val="0"/>
          <w:bCs/>
          <w:snapToGrid w:val="0"/>
          <w:color w:val="auto"/>
          <w:sz w:val="24"/>
          <w:szCs w:val="24"/>
          <w:highlight w:val="none"/>
        </w:rPr>
        <w:t>工伤保险已经支付的医疗费用；</w:t>
      </w:r>
    </w:p>
    <w:p>
      <w:pPr>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（五）雇员在中华人民共和国境外（包括港、澳、台地区）发生的人身伤亡；</w:t>
      </w:r>
    </w:p>
    <w:p>
      <w:pPr>
        <w:adjustRightInd w:val="0"/>
        <w:snapToGrid w:val="0"/>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（六）被保险人对其承包商的雇员的赔偿责任；</w:t>
      </w:r>
    </w:p>
    <w:p>
      <w:pPr>
        <w:adjustRightInd w:val="0"/>
        <w:snapToGrid w:val="0"/>
        <w:spacing w:line="360" w:lineRule="exact"/>
        <w:ind w:firstLine="480"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（七）保险单载明的免赔额。</w:t>
      </w:r>
    </w:p>
    <w:p>
      <w:pPr>
        <w:spacing w:line="360" w:lineRule="exact"/>
        <w:jc w:val="center"/>
        <w:rPr>
          <w:rFonts w:ascii="宋体" w:hAnsi="宋体"/>
          <w:b/>
          <w:bCs/>
          <w:color w:val="auto"/>
          <w:sz w:val="24"/>
          <w:szCs w:val="24"/>
          <w:highlight w:val="none"/>
        </w:rPr>
      </w:pPr>
    </w:p>
    <w:p>
      <w:pPr>
        <w:spacing w:line="36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责任限额与免赔额</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除另有约定外，责任限额包括</w:t>
      </w:r>
      <w:bookmarkStart w:id="52" w:name="OLE_LINK12"/>
      <w:bookmarkStart w:id="53" w:name="OLE_LINK16"/>
      <w:r>
        <w:rPr>
          <w:rFonts w:hint="eastAsia" w:ascii="宋体" w:hAnsi="宋体"/>
          <w:color w:val="auto"/>
          <w:sz w:val="24"/>
          <w:szCs w:val="24"/>
          <w:highlight w:val="none"/>
        </w:rPr>
        <w:t>每人伤亡责任限额、每人医疗费用责任限额、法律费用责任限额、每次事故责任限额</w:t>
      </w:r>
      <w:bookmarkEnd w:id="52"/>
      <w:bookmarkEnd w:id="53"/>
      <w:r>
        <w:rPr>
          <w:rFonts w:hint="eastAsia" w:ascii="宋体" w:hAnsi="宋体"/>
          <w:color w:val="auto"/>
          <w:sz w:val="24"/>
          <w:szCs w:val="24"/>
          <w:highlight w:val="none"/>
        </w:rPr>
        <w:t>及累计责任限额。</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各项责任限额由投保人和保险人协商确定，并在保险单中载明。</w:t>
      </w:r>
    </w:p>
    <w:p>
      <w:pPr>
        <w:numPr>
          <w:ilvl w:val="0"/>
          <w:numId w:val="6"/>
        </w:numPr>
        <w:spacing w:line="360" w:lineRule="exact"/>
        <w:ind w:left="0" w:firstLine="482" w:firstLineChars="200"/>
        <w:rPr>
          <w:rFonts w:ascii="宋体" w:hAnsi="宋体"/>
          <w:b/>
          <w:color w:val="auto"/>
          <w:sz w:val="24"/>
          <w:szCs w:val="24"/>
          <w:highlight w:val="none"/>
        </w:rPr>
      </w:pPr>
      <w:r>
        <w:rPr>
          <w:rFonts w:hint="eastAsia" w:ascii="宋体" w:hAnsi="宋体"/>
          <w:b/>
          <w:color w:val="auto"/>
          <w:sz w:val="24"/>
          <w:szCs w:val="24"/>
          <w:highlight w:val="none"/>
        </w:rPr>
        <w:t>每次事故每人医疗费用免赔额由投保人和保险人协商确定，并在保险单中载明。</w:t>
      </w:r>
    </w:p>
    <w:p>
      <w:pPr>
        <w:spacing w:line="360" w:lineRule="exact"/>
        <w:jc w:val="center"/>
        <w:rPr>
          <w:rFonts w:ascii="宋体" w:hAnsi="宋体"/>
          <w:b/>
          <w:color w:val="auto"/>
          <w:sz w:val="24"/>
          <w:szCs w:val="24"/>
          <w:highlight w:val="none"/>
        </w:rPr>
      </w:pPr>
    </w:p>
    <w:p>
      <w:pPr>
        <w:spacing w:line="360" w:lineRule="exact"/>
        <w:jc w:val="center"/>
        <w:rPr>
          <w:rFonts w:ascii="宋体" w:hAnsi="宋体"/>
          <w:color w:val="auto"/>
          <w:sz w:val="24"/>
          <w:szCs w:val="24"/>
          <w:highlight w:val="none"/>
        </w:rPr>
      </w:pPr>
      <w:r>
        <w:rPr>
          <w:rFonts w:hint="eastAsia" w:ascii="宋体" w:hAnsi="宋体"/>
          <w:b/>
          <w:color w:val="auto"/>
          <w:sz w:val="24"/>
          <w:szCs w:val="24"/>
          <w:highlight w:val="none"/>
        </w:rPr>
        <w:t>保险期间</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除另有约定外，保险期间为一年，以保险单载明的起讫时间为准。</w:t>
      </w:r>
    </w:p>
    <w:p>
      <w:pPr>
        <w:spacing w:line="360" w:lineRule="exact"/>
        <w:jc w:val="center"/>
        <w:rPr>
          <w:rFonts w:ascii="宋体" w:hAnsi="宋体"/>
          <w:b/>
          <w:color w:val="auto"/>
          <w:sz w:val="24"/>
          <w:szCs w:val="24"/>
          <w:highlight w:val="none"/>
        </w:rPr>
      </w:pPr>
    </w:p>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保险人义务</w:t>
      </w:r>
    </w:p>
    <w:p>
      <w:pPr>
        <w:numPr>
          <w:ilvl w:val="0"/>
          <w:numId w:val="6"/>
        </w:numPr>
        <w:spacing w:line="360" w:lineRule="exact"/>
        <w:ind w:left="0" w:firstLine="567"/>
        <w:rPr>
          <w:rFonts w:ascii="宋体" w:hAnsi="宋体"/>
          <w:b/>
          <w:bCs/>
          <w:color w:val="auto"/>
          <w:sz w:val="24"/>
          <w:szCs w:val="24"/>
          <w:highlight w:val="none"/>
        </w:rPr>
      </w:pPr>
      <w:r>
        <w:rPr>
          <w:rFonts w:hint="eastAsia" w:ascii="宋体" w:hAnsi="宋体" w:cs="仿宋_GB2312"/>
          <w:color w:val="auto"/>
          <w:sz w:val="24"/>
          <w:szCs w:val="24"/>
          <w:highlight w:val="none"/>
        </w:rPr>
        <w:t>本保险合同成立后，保险人应当及时向投保人签发保险单或其他保险凭证。</w:t>
      </w:r>
    </w:p>
    <w:p>
      <w:pPr>
        <w:numPr>
          <w:ilvl w:val="0"/>
          <w:numId w:val="6"/>
        </w:numPr>
        <w:spacing w:line="360" w:lineRule="exact"/>
        <w:ind w:left="0"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保险人依本保险条款第十五条取得的合同解除权，自保险人知道有解除事由之日起，超过三十日不行使而消灭。</w:t>
      </w:r>
    </w:p>
    <w:p>
      <w:pPr>
        <w:spacing w:line="360" w:lineRule="exact"/>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保险人在保险合同订立时已经知道投保人未如实告知的情况的，保险人不得解除合同；发生保险事故的，保险人应当承担赔偿责任。</w:t>
      </w:r>
    </w:p>
    <w:p>
      <w:pPr>
        <w:numPr>
          <w:ilvl w:val="0"/>
          <w:numId w:val="6"/>
        </w:numPr>
        <w:spacing w:line="360" w:lineRule="exact"/>
        <w:ind w:left="0" w:firstLine="480" w:firstLineChars="200"/>
        <w:rPr>
          <w:rStyle w:val="65"/>
          <w:rFonts w:ascii="宋体" w:hAnsi="宋体"/>
          <w:b/>
          <w:bCs/>
          <w:color w:val="auto"/>
          <w:sz w:val="24"/>
          <w:szCs w:val="24"/>
          <w:highlight w:val="none"/>
        </w:rPr>
      </w:pPr>
      <w:r>
        <w:rPr>
          <w:rFonts w:hint="eastAsia" w:ascii="宋体" w:hAnsi="宋体" w:cs="仿宋_GB2312"/>
          <w:bCs/>
          <w:color w:val="auto"/>
          <w:sz w:val="24"/>
          <w:szCs w:val="24"/>
          <w:highlight w:val="none"/>
        </w:rPr>
        <w:t>保险事故发生后，投保人、</w:t>
      </w:r>
      <w:r>
        <w:rPr>
          <w:rStyle w:val="65"/>
          <w:rFonts w:hint="eastAsia" w:ascii="宋体" w:hAnsi="宋体" w:cs="仿宋_GB2312"/>
          <w:color w:val="auto"/>
          <w:sz w:val="24"/>
          <w:szCs w:val="24"/>
          <w:highlight w:val="none"/>
        </w:rPr>
        <w:t>被保险人提供的有关索赔的证明和资料不完整的，保险人应当及时一次性通知投保人、被保险人补充提供。</w:t>
      </w:r>
    </w:p>
    <w:p>
      <w:pPr>
        <w:numPr>
          <w:ilvl w:val="0"/>
          <w:numId w:val="6"/>
        </w:numPr>
        <w:spacing w:line="360" w:lineRule="exact"/>
        <w:ind w:left="0" w:firstLine="480" w:firstLineChars="200"/>
        <w:rPr>
          <w:rStyle w:val="65"/>
          <w:rFonts w:ascii="宋体" w:hAnsi="宋体"/>
          <w:b/>
          <w:bCs/>
          <w:color w:val="auto"/>
          <w:sz w:val="24"/>
          <w:szCs w:val="24"/>
          <w:highlight w:val="none"/>
        </w:rPr>
      </w:pPr>
      <w:r>
        <w:rPr>
          <w:rStyle w:val="65"/>
          <w:rFonts w:hint="eastAsia" w:ascii="宋体" w:hAnsi="宋体" w:cs="仿宋_GB2312"/>
          <w:color w:val="auto"/>
          <w:sz w:val="24"/>
          <w:szCs w:val="24"/>
          <w:highlight w:val="none"/>
        </w:rPr>
        <w:t>保险人收到被保险人的赔偿请求后，应当及时就是否属于保险责任作出核定，并将核定结果通知被保险人。</w:t>
      </w:r>
      <w:r>
        <w:rPr>
          <w:rFonts w:hint="eastAsia" w:ascii="宋体" w:hAnsi="宋体" w:cs="仿宋_GB2312"/>
          <w:color w:val="auto"/>
          <w:sz w:val="24"/>
          <w:szCs w:val="24"/>
          <w:highlight w:val="none"/>
        </w:rPr>
        <w:t>情形复杂的，</w:t>
      </w:r>
      <w:r>
        <w:rPr>
          <w:rStyle w:val="65"/>
          <w:rFonts w:hint="eastAsia" w:ascii="宋体" w:hAnsi="宋体"/>
          <w:color w:val="auto"/>
          <w:sz w:val="24"/>
          <w:szCs w:val="24"/>
          <w:highlight w:val="none"/>
        </w:rPr>
        <w:t>保险人在收到被保险人的赔偿请求后三十日内未能核定保险责任的，保险人与被保险人根据实际情形商议合理期间，保险人在商定的期间内作出核定结果并通知被保险人。</w:t>
      </w:r>
    </w:p>
    <w:p>
      <w:pPr>
        <w:spacing w:line="360" w:lineRule="exact"/>
        <w:ind w:firstLine="560"/>
        <w:rPr>
          <w:rFonts w:ascii="宋体" w:hAnsi="宋体"/>
          <w:b/>
          <w:bCs/>
          <w:color w:val="auto"/>
          <w:sz w:val="24"/>
          <w:szCs w:val="24"/>
          <w:highlight w:val="none"/>
        </w:rPr>
      </w:pPr>
      <w:r>
        <w:rPr>
          <w:rStyle w:val="65"/>
          <w:rFonts w:hint="eastAsia" w:ascii="宋体" w:hAnsi="宋体"/>
          <w:color w:val="auto"/>
          <w:sz w:val="24"/>
          <w:szCs w:val="24"/>
          <w:highlight w:val="none"/>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pPr>
        <w:numPr>
          <w:ilvl w:val="0"/>
          <w:numId w:val="6"/>
        </w:numPr>
        <w:spacing w:line="360" w:lineRule="exact"/>
        <w:ind w:left="0"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pPr>
        <w:spacing w:line="360" w:lineRule="exact"/>
        <w:ind w:firstLine="482" w:firstLineChars="200"/>
        <w:jc w:val="center"/>
        <w:rPr>
          <w:rFonts w:ascii="宋体" w:hAnsi="宋体"/>
          <w:b/>
          <w:color w:val="auto"/>
          <w:sz w:val="24"/>
          <w:szCs w:val="24"/>
          <w:highlight w:val="none"/>
        </w:rPr>
      </w:pPr>
    </w:p>
    <w:p>
      <w:pPr>
        <w:spacing w:line="360" w:lineRule="exac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投保人、被保险人义务</w:t>
      </w:r>
    </w:p>
    <w:p>
      <w:pPr>
        <w:numPr>
          <w:ilvl w:val="0"/>
          <w:numId w:val="6"/>
        </w:numPr>
        <w:spacing w:line="360" w:lineRule="exact"/>
        <w:ind w:left="0" w:firstLine="480" w:firstLineChars="200"/>
        <w:rPr>
          <w:rFonts w:ascii="宋体" w:hAnsi="宋体"/>
          <w:bCs/>
          <w:color w:val="auto"/>
          <w:sz w:val="24"/>
          <w:szCs w:val="24"/>
          <w:highlight w:val="none"/>
        </w:rPr>
      </w:pPr>
      <w:r>
        <w:rPr>
          <w:rFonts w:hint="eastAsia" w:ascii="宋体" w:hAnsi="宋体"/>
          <w:bCs/>
          <w:color w:val="auto"/>
          <w:sz w:val="24"/>
          <w:szCs w:val="24"/>
          <w:highlight w:val="none"/>
        </w:rPr>
        <w:t>投保人应履行如实告知义务，如实回答保险人就被保险人的有关情况提出的询问，并如实填写投保单。</w:t>
      </w:r>
    </w:p>
    <w:p>
      <w:pPr>
        <w:spacing w:line="3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投保人故意或者因重大过失未履行前款规定的如实告知义务，足以影响保险人决定是否同意承保或者提高保险费率的，保险人有权解除保险合同。</w:t>
      </w:r>
    </w:p>
    <w:p>
      <w:pPr>
        <w:spacing w:line="3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投保人故意不履行如实告知义务的，保险人对于保险合同解除前发生的保险事故，不承担赔偿责任，并不退还保险费。</w:t>
      </w:r>
    </w:p>
    <w:p>
      <w:pPr>
        <w:spacing w:line="3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投保人因重大过失未履行如实告知义务，对保险事故的发生有严重影响的，保险人对于保险合同解除前发生的保险事故，不承担赔偿责任，但应当退还保险费。</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如未约定分期交付保险费的，投保人应当在保险合同成立时交清保险费。</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bCs/>
          <w:color w:val="auto"/>
          <w:sz w:val="24"/>
          <w:szCs w:val="24"/>
          <w:highlight w:val="none"/>
        </w:rPr>
        <w:t>被保险人</w:t>
      </w:r>
      <w:r>
        <w:rPr>
          <w:rFonts w:hint="eastAsia" w:ascii="宋体" w:hAnsi="宋体"/>
          <w:color w:val="auto"/>
          <w:sz w:val="24"/>
          <w:szCs w:val="24"/>
          <w:highlight w:val="none"/>
        </w:rPr>
        <w:t>应严格遵守国家有关消防、安全、生产操作、劳动保护等方面的规定，加强安全管理，采取合理的预防措施，尽力避免或减少雇员伤害事故的发生。</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保险人可以对被保险人遵守前款约定的情况进行检查，向投保人、被保险人提出消除不安全因素和隐患的书面建议，投保人、被保险人应该认真付诸实施。</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投保人、被保险人未按照约定履行上述安全义务的，保险人有权要求增加保险费或者解除合同。</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在保险期间内，如保险标的的危险程度显著增加的，被保险人应当按照合同约定及时通知保险人，保险人可以按照合同约定增加保险费或者解除合同。</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被保险人未履行前款约定的通知义务的，因保险标的的危险程度显著增加而发生的保险事故，保险人不承担赔偿责任。</w:t>
      </w:r>
    </w:p>
    <w:p>
      <w:pPr>
        <w:numPr>
          <w:ilvl w:val="0"/>
          <w:numId w:val="6"/>
        </w:numPr>
        <w:spacing w:line="360" w:lineRule="exact"/>
        <w:ind w:left="0" w:firstLine="480" w:firstLineChars="200"/>
        <w:rPr>
          <w:rFonts w:ascii="宋体" w:hAnsi="宋体"/>
          <w:b/>
          <w:bCs/>
          <w:color w:val="auto"/>
          <w:sz w:val="24"/>
          <w:szCs w:val="24"/>
          <w:highlight w:val="none"/>
        </w:rPr>
      </w:pPr>
      <w:r>
        <w:rPr>
          <w:rFonts w:hint="eastAsia" w:ascii="宋体" w:hAnsi="宋体"/>
          <w:color w:val="auto"/>
          <w:sz w:val="24"/>
          <w:szCs w:val="24"/>
          <w:highlight w:val="none"/>
        </w:rPr>
        <w:t>发生可能引起本保险项下索赔的损害事故，被保险人应该：</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（一）尽力采取必要、合理的措施，防止或减少损失，</w:t>
      </w:r>
      <w:r>
        <w:rPr>
          <w:rFonts w:hint="eastAsia" w:ascii="宋体" w:hAnsi="宋体"/>
          <w:b/>
          <w:color w:val="auto"/>
          <w:sz w:val="24"/>
          <w:szCs w:val="24"/>
          <w:highlight w:val="none"/>
        </w:rPr>
        <w:t>否则，对因此扩大的损失，保险人不承担赔偿责任；</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（二）及时通知保险人，并书面说明事故发生的原因、经过和损失情况；</w:t>
      </w:r>
      <w:r>
        <w:rPr>
          <w:rStyle w:val="65"/>
          <w:rFonts w:hint="eastAsia" w:ascii="宋体" w:hAnsi="宋体"/>
          <w:color w:val="auto"/>
          <w:sz w:val="24"/>
          <w:szCs w:val="24"/>
          <w:highlight w:val="none"/>
        </w:rPr>
        <w:t>故意或者因重大过失未及时通知，致使保险事故的性质、原因、损失程度等难以确定的，</w:t>
      </w:r>
      <w:bookmarkStart w:id="54" w:name="OLE_LINK10"/>
      <w:bookmarkStart w:id="55" w:name="OLE_LINK9"/>
      <w:bookmarkStart w:id="56" w:name="OLE_LINK11"/>
      <w:r>
        <w:rPr>
          <w:rStyle w:val="65"/>
          <w:rFonts w:hint="eastAsia" w:ascii="宋体" w:hAnsi="宋体"/>
          <w:color w:val="auto"/>
          <w:sz w:val="24"/>
          <w:szCs w:val="24"/>
          <w:highlight w:val="none"/>
        </w:rPr>
        <w:t>保险人对无法确定的部分</w:t>
      </w:r>
      <w:bookmarkEnd w:id="54"/>
      <w:bookmarkEnd w:id="55"/>
      <w:bookmarkEnd w:id="56"/>
      <w:r>
        <w:rPr>
          <w:rStyle w:val="65"/>
          <w:rFonts w:hint="eastAsia" w:ascii="宋体" w:hAnsi="宋体"/>
          <w:color w:val="auto"/>
          <w:sz w:val="24"/>
          <w:szCs w:val="24"/>
          <w:highlight w:val="none"/>
        </w:rPr>
        <w:t>，不承担赔偿责任，但保险人通过其他途径已经及时知道或者应当及时知道保险事故发生的除外；</w:t>
      </w:r>
    </w:p>
    <w:p>
      <w:pPr>
        <w:spacing w:line="3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（三）保护事故现场，允许并且协助保险人进行事故调查；对于拒绝或者妨碍保险人进行事故调查导致无法确定事故原因或核实损失情况的，保险人对无法确定或核实的部分不承担赔偿责任</w:t>
      </w:r>
      <w:r>
        <w:rPr>
          <w:rFonts w:hint="eastAsia" w:ascii="宋体" w:hAnsi="宋体"/>
          <w:b/>
          <w:color w:val="auto"/>
          <w:sz w:val="24"/>
          <w:szCs w:val="24"/>
          <w:highlight w:val="none"/>
        </w:rPr>
        <w:t>。</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被保险人收到受伤害雇员或其代理人的损害赔偿请求时，应立即通知保险人。</w:t>
      </w:r>
      <w:r>
        <w:rPr>
          <w:rStyle w:val="65"/>
          <w:rFonts w:hint="eastAsia" w:ascii="宋体" w:hAnsi="宋体" w:cs="仿宋_GB2312"/>
          <w:bCs/>
          <w:color w:val="auto"/>
          <w:sz w:val="24"/>
          <w:szCs w:val="24"/>
          <w:highlight w:val="none"/>
        </w:rPr>
        <w:t>未经保险人书面同意，</w:t>
      </w:r>
      <w:r>
        <w:rPr>
          <w:rFonts w:hint="eastAsia" w:ascii="宋体" w:hAnsi="宋体" w:cs="仿宋_GB2312"/>
          <w:b/>
          <w:bCs/>
          <w:color w:val="auto"/>
          <w:sz w:val="24"/>
          <w:szCs w:val="24"/>
          <w:highlight w:val="none"/>
        </w:rPr>
        <w:t>被保险人对该雇员或其代理人作出的任何承诺、拒绝、出价、约定、付款或赔偿，保险人不受其约束。</w:t>
      </w:r>
      <w:r>
        <w:rPr>
          <w:rStyle w:val="65"/>
          <w:rFonts w:hint="eastAsia" w:ascii="宋体" w:hAnsi="宋体" w:cs="仿宋_GB2312"/>
          <w:bCs/>
          <w:color w:val="auto"/>
          <w:sz w:val="24"/>
          <w:szCs w:val="24"/>
          <w:highlight w:val="none"/>
        </w:rPr>
        <w:t>对于被保险人自行承诺或支付的赔偿金额，保险人有权重新核定，不属于本保险责任范围或超出应赔偿限额的，保险人不承担赔偿责任。</w:t>
      </w:r>
      <w:r>
        <w:rPr>
          <w:rStyle w:val="65"/>
          <w:rFonts w:hint="eastAsia" w:ascii="宋体" w:hAnsi="宋体" w:cs="仿宋_GB2312"/>
          <w:color w:val="auto"/>
          <w:sz w:val="24"/>
          <w:szCs w:val="24"/>
          <w:highlight w:val="none"/>
        </w:rPr>
        <w:t>在处理索赔过程中，保险人有权自行处理由其承担最终赔偿责任的任何索赔案件，被保险人有义务向保险人提供其所能提供的资料和协助</w:t>
      </w:r>
      <w:r>
        <w:rPr>
          <w:rFonts w:hint="eastAsia" w:ascii="宋体" w:hAnsi="宋体" w:cs="仿宋_GB2312"/>
          <w:b/>
          <w:bCs/>
          <w:color w:val="auto"/>
          <w:sz w:val="24"/>
          <w:szCs w:val="24"/>
          <w:highlight w:val="none"/>
        </w:rPr>
        <w:t>。</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对因未及时提供上述通知或必要协助引起或扩大的损失，保险人不承担赔偿责任。</w:t>
      </w:r>
    </w:p>
    <w:p>
      <w:pPr>
        <w:numPr>
          <w:ilvl w:val="0"/>
          <w:numId w:val="6"/>
        </w:numPr>
        <w:spacing w:line="360" w:lineRule="exact"/>
        <w:ind w:left="0" w:firstLine="480" w:firstLineChars="200"/>
        <w:rPr>
          <w:rFonts w:ascii="宋体" w:hAnsi="宋体"/>
          <w:bCs/>
          <w:color w:val="auto"/>
          <w:sz w:val="24"/>
          <w:szCs w:val="24"/>
          <w:highlight w:val="none"/>
        </w:rPr>
      </w:pPr>
      <w:r>
        <w:rPr>
          <w:rFonts w:hint="eastAsia" w:ascii="宋体" w:hAnsi="宋体"/>
          <w:bCs/>
          <w:color w:val="auto"/>
          <w:sz w:val="24"/>
          <w:szCs w:val="24"/>
          <w:highlight w:val="none"/>
        </w:rPr>
        <w:t>被保险人请求赔偿时，应向保险人提交下列索赔文件：</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（一）保险单正本；</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（二）索赔申请书；</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（三）能够确认被保险人与受伤害雇员存在劳动关系的人事、薪资证明；</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（四）公安等有关主管部门出具的事故证明；</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（五）该雇员就医治疗的诊疗证明、病历（原件）及医疗费用原始单据；该雇员残疾的，由</w:t>
      </w:r>
      <w:r>
        <w:rPr>
          <w:rFonts w:hint="eastAsia" w:ascii="宋体" w:hAnsi="宋体"/>
          <w:b/>
          <w:bCs/>
          <w:color w:val="auto"/>
          <w:sz w:val="24"/>
          <w:szCs w:val="24"/>
          <w:highlight w:val="none"/>
        </w:rPr>
        <w:t>保险人认可的伤残鉴定机构</w:t>
      </w:r>
      <w:r>
        <w:rPr>
          <w:rFonts w:hint="eastAsia" w:ascii="宋体" w:hAnsi="宋体"/>
          <w:bCs/>
          <w:color w:val="auto"/>
          <w:sz w:val="24"/>
          <w:szCs w:val="24"/>
          <w:highlight w:val="none"/>
        </w:rPr>
        <w:t>出具的伤残程度证明；该雇员死亡的，由公安机关或医疗机构出具的死亡证明；宣告死亡的，由人民法院出具的宣告死亡判决；</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（六）被保险人与</w:t>
      </w:r>
      <w:r>
        <w:rPr>
          <w:rFonts w:hint="eastAsia" w:ascii="宋体" w:hAnsi="宋体"/>
          <w:color w:val="auto"/>
          <w:sz w:val="24"/>
          <w:szCs w:val="24"/>
          <w:highlight w:val="none"/>
        </w:rPr>
        <w:t>该</w:t>
      </w:r>
      <w:r>
        <w:rPr>
          <w:rFonts w:hint="eastAsia" w:ascii="宋体" w:hAnsi="宋体"/>
          <w:bCs/>
          <w:color w:val="auto"/>
          <w:sz w:val="24"/>
          <w:szCs w:val="24"/>
          <w:highlight w:val="none"/>
        </w:rPr>
        <w:t>雇员或其代理人签订的赔偿协议书或和解书，</w:t>
      </w:r>
      <w:r>
        <w:rPr>
          <w:rFonts w:hint="eastAsia" w:ascii="宋体" w:hAnsi="宋体"/>
          <w:color w:val="auto"/>
          <w:sz w:val="24"/>
          <w:szCs w:val="24"/>
          <w:highlight w:val="none"/>
        </w:rPr>
        <w:t>经判决或仲裁的，应提供判决文书或仲裁裁决文书；</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（七）投保人、被保险人所能提供的其他与确认保险事故的性质、原因、损失程度等有关的证明和资料。</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被保险人未履行前款约定的索赔材料提供义务，导致保险人无法核实损失情况的，保险人对无法核实部分不承担赔偿责任。</w:t>
      </w:r>
    </w:p>
    <w:p>
      <w:pPr>
        <w:numPr>
          <w:ilvl w:val="0"/>
          <w:numId w:val="6"/>
        </w:numPr>
        <w:spacing w:line="360" w:lineRule="exact"/>
        <w:ind w:left="0" w:firstLine="480" w:firstLineChars="200"/>
        <w:rPr>
          <w:rFonts w:ascii="宋体" w:hAnsi="宋体"/>
          <w:color w:val="auto"/>
          <w:sz w:val="24"/>
          <w:szCs w:val="24"/>
          <w:highlight w:val="none"/>
        </w:rPr>
      </w:pPr>
      <w:bookmarkStart w:id="57" w:name="OLE_LINK43"/>
      <w:bookmarkStart w:id="58" w:name="OLE_LINK42"/>
      <w:r>
        <w:rPr>
          <w:rFonts w:hint="eastAsia" w:ascii="宋体" w:hAnsi="宋体"/>
          <w:color w:val="auto"/>
          <w:sz w:val="24"/>
          <w:szCs w:val="24"/>
          <w:highlight w:val="none"/>
        </w:rPr>
        <w:t>发生保险责任范围内的损失，</w:t>
      </w:r>
      <w:bookmarkEnd w:id="57"/>
      <w:bookmarkEnd w:id="58"/>
      <w:r>
        <w:rPr>
          <w:rFonts w:hint="eastAsia" w:ascii="宋体" w:hAnsi="宋体"/>
          <w:color w:val="auto"/>
          <w:sz w:val="24"/>
          <w:szCs w:val="24"/>
          <w:highlight w:val="none"/>
        </w:rPr>
        <w:t>应由有关责任方负责赔偿的，被保险人应行使或保留向该责任方请求赔偿的权利。</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保险事故发生后，保险人未履行赔偿义务之前，被保险人放弃对有关责任方请求赔偿的权利的，保险人不承担赔偿责任。</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保险人向被保险人赔偿保险金后，在赔偿金额范围内</w:t>
      </w:r>
      <w:bookmarkStart w:id="59" w:name="OLE_LINK47"/>
      <w:bookmarkStart w:id="60" w:name="OLE_LINK46"/>
      <w:bookmarkStart w:id="61" w:name="OLE_LINK48"/>
      <w:r>
        <w:rPr>
          <w:rFonts w:hint="eastAsia" w:ascii="宋体" w:hAnsi="宋体"/>
          <w:color w:val="auto"/>
          <w:sz w:val="24"/>
          <w:szCs w:val="24"/>
          <w:highlight w:val="none"/>
        </w:rPr>
        <w:t>代位行使被</w:t>
      </w:r>
      <w:bookmarkEnd w:id="59"/>
      <w:bookmarkEnd w:id="60"/>
      <w:bookmarkEnd w:id="61"/>
      <w:r>
        <w:rPr>
          <w:rFonts w:hint="eastAsia" w:ascii="宋体" w:hAnsi="宋体"/>
          <w:color w:val="auto"/>
          <w:sz w:val="24"/>
          <w:szCs w:val="24"/>
          <w:highlight w:val="none"/>
        </w:rPr>
        <w:t>保险人对有关责任方请求赔偿的权利，被保险人未经保险人同意放弃对有关责任方请求赔偿的权利的，该行为无效。</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在保险人向有关责任方行使代位请求赔偿权利时，被保险人应当向保险人提供必要的文件和其所知道的有关情况。</w:t>
      </w:r>
    </w:p>
    <w:p>
      <w:pPr>
        <w:spacing w:line="3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由于被保险人的故意或者重大过失致使保险人不能行使代位请求赔偿的权利的，保险人可以扣减或者要求返还相应的赔偿金额。</w:t>
      </w:r>
    </w:p>
    <w:p>
      <w:pPr>
        <w:spacing w:line="360" w:lineRule="exact"/>
        <w:ind w:firstLine="482" w:firstLineChars="200"/>
        <w:jc w:val="center"/>
        <w:rPr>
          <w:rFonts w:ascii="宋体" w:hAnsi="宋体"/>
          <w:b/>
          <w:color w:val="auto"/>
          <w:sz w:val="24"/>
          <w:szCs w:val="24"/>
          <w:highlight w:val="none"/>
        </w:rPr>
      </w:pPr>
    </w:p>
    <w:p>
      <w:pPr>
        <w:spacing w:line="360" w:lineRule="exac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赔偿处理</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保险人的赔偿以下列方式之一确定的被保险人的赔偿责任为基础：</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（一）被保险人和受伤害雇员或其代理人协商并经保险人确认；</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（二）仲裁机构裁决；</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（三）人民法院判决；</w:t>
      </w:r>
    </w:p>
    <w:p>
      <w:pPr>
        <w:spacing w:line="3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（四）保险人认可的其他方式。</w:t>
      </w:r>
    </w:p>
    <w:p>
      <w:pPr>
        <w:numPr>
          <w:ilvl w:val="0"/>
          <w:numId w:val="6"/>
        </w:numPr>
        <w:spacing w:line="360" w:lineRule="exact"/>
        <w:ind w:left="0" w:firstLine="482" w:firstLineChars="200"/>
        <w:rPr>
          <w:rFonts w:ascii="宋体" w:hAnsi="宋体" w:cs="仿宋_GB2312"/>
          <w:b/>
          <w:bCs/>
          <w:color w:val="auto"/>
          <w:sz w:val="24"/>
          <w:szCs w:val="24"/>
          <w:highlight w:val="none"/>
        </w:rPr>
      </w:pPr>
      <w:r>
        <w:rPr>
          <w:rFonts w:hint="eastAsia" w:ascii="宋体" w:hAnsi="宋体" w:cs="仿宋_GB2312"/>
          <w:b/>
          <w:color w:val="auto"/>
          <w:sz w:val="24"/>
          <w:szCs w:val="24"/>
          <w:highlight w:val="none"/>
        </w:rPr>
        <w:t>除另有约定外，雇员遭受保险责任范围内的事故伤害</w:t>
      </w:r>
      <w:r>
        <w:rPr>
          <w:rFonts w:hint="eastAsia" w:ascii="宋体" w:hAnsi="宋体" w:cs="仿宋_GB2312"/>
          <w:b/>
          <w:bCs/>
          <w:color w:val="auto"/>
          <w:sz w:val="24"/>
          <w:szCs w:val="24"/>
          <w:highlight w:val="none"/>
        </w:rPr>
        <w:t>，被保险人未向该雇员赔偿的，保险人不负责向被保险人赔偿保险金。</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在保险责任范围内，保险人按照以下方式计算赔偿：</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（一）雇员死亡的，保险人按照保险单载明的每人伤亡责任限额赔偿；</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（二）雇员残疾的，由</w:t>
      </w:r>
      <w:r>
        <w:rPr>
          <w:rFonts w:hint="eastAsia" w:ascii="宋体" w:hAnsi="宋体"/>
          <w:bCs/>
          <w:color w:val="auto"/>
          <w:sz w:val="24"/>
          <w:szCs w:val="24"/>
          <w:highlight w:val="none"/>
        </w:rPr>
        <w:t>保险人认可的伤残鉴定机构</w:t>
      </w:r>
      <w:r>
        <w:rPr>
          <w:rFonts w:hint="eastAsia" w:ascii="宋体" w:hAnsi="宋体"/>
          <w:color w:val="auto"/>
          <w:sz w:val="24"/>
          <w:szCs w:val="24"/>
          <w:highlight w:val="none"/>
        </w:rPr>
        <w:t>依据职工工伤与职业病致残等级的现行国家标准鉴定残疾程度，保险人按照本保险合同所附伤残赔偿比例表规定的百分比，乘以每人伤亡责任限额赔偿；</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雇员暂时丧失工作能力超过五天（不包括五天）的，经二级以上（含）或保险人认可的医疗机构证明，保险人依据所在地的最低工资标准，按照每人／天补助误工费用，医疗期满或确定残疾程度后停发，最长不超过365天；如最终鉴定为残疾的，保险人对残疾赔偿金与误工费用的赔偿金额之和，以本条第（二）款计算的责任限额为限；</w:t>
      </w:r>
    </w:p>
    <w:p>
      <w:pPr>
        <w:spacing w:line="360" w:lineRule="exact"/>
        <w:ind w:firstLine="480" w:firstLineChars="200"/>
        <w:rPr>
          <w:rFonts w:ascii="宋体" w:hAnsi="宋体"/>
          <w:snapToGrid w:val="0"/>
          <w:color w:val="auto"/>
          <w:sz w:val="24"/>
          <w:szCs w:val="24"/>
          <w:highlight w:val="none"/>
        </w:rPr>
      </w:pPr>
      <w:r>
        <w:rPr>
          <w:rFonts w:hint="eastAsia" w:ascii="宋体" w:hAnsi="宋体"/>
          <w:color w:val="auto"/>
          <w:sz w:val="24"/>
          <w:szCs w:val="24"/>
          <w:highlight w:val="none"/>
        </w:rPr>
        <w:t>（四）被保险人承担的诊疗项目、药品、住院服务及辅助器具配置费用，保险人均按照国家工伤保险待遇规定的标准，在依据本款下列第1项至第4项计算的基础上，扣除每次事故每人医疗费用免赔额，在每人医疗费用责任限额内据实赔偿。除另有约定外，医疗费用具体项目包括：</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1.挂号费、治疗费、手术费、检查费、医药费；</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2.住院期间的床位费、陪护费、伙食费、取暖费、空调费；</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3.就（转）诊交通费、急救车费；</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4.安装假肢、假牙、假眼和残疾用具费用。</w:t>
      </w:r>
    </w:p>
    <w:p>
      <w:pPr>
        <w:spacing w:line="360" w:lineRule="exact"/>
        <w:ind w:firstLine="480" w:firstLineChars="200"/>
        <w:rPr>
          <w:rFonts w:ascii="宋体" w:hAnsi="宋体"/>
          <w:snapToGrid w:val="0"/>
          <w:color w:val="auto"/>
          <w:sz w:val="24"/>
          <w:szCs w:val="24"/>
          <w:highlight w:val="none"/>
        </w:rPr>
      </w:pPr>
      <w:r>
        <w:rPr>
          <w:rFonts w:hint="eastAsia" w:ascii="宋体" w:hAnsi="宋体"/>
          <w:color w:val="auto"/>
          <w:sz w:val="24"/>
          <w:szCs w:val="24"/>
          <w:highlight w:val="none"/>
        </w:rPr>
        <w:t>除紧急抢救外，雇员均应在二级以上（含）或保险人认可的医疗机构就诊</w:t>
      </w:r>
      <w:r>
        <w:rPr>
          <w:rFonts w:hint="eastAsia" w:ascii="宋体" w:hAnsi="宋体"/>
          <w:snapToGrid w:val="0"/>
          <w:color w:val="auto"/>
          <w:sz w:val="24"/>
          <w:szCs w:val="24"/>
          <w:highlight w:val="none"/>
        </w:rPr>
        <w:t>。</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在保险期间内，发生一次或多次保险事故时，保险人按照以下方式处理：</w:t>
      </w:r>
    </w:p>
    <w:p>
      <w:pPr>
        <w:spacing w:line="36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 xml:space="preserve">（一）保险人针对每名雇员赔偿的伤亡赔偿金、误工费用之和不超过每人伤亡责任限额；针对每名雇员赔偿的医疗费用不超过每人医疗费用责任限额； </w:t>
      </w:r>
    </w:p>
    <w:p>
      <w:pPr>
        <w:spacing w:line="36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（二）对应由被保险人支付的法律费用的累计赔偿金额不超过法律费用责任限额；</w:t>
      </w:r>
    </w:p>
    <w:p>
      <w:pPr>
        <w:adjustRightInd w:val="0"/>
        <w:snapToGrid w:val="0"/>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（三）发生一次保险事故造成一名及以上雇员伤害的，保险人针对雇员伤亡赔偿金、误工费用、医疗费用以及法律费用的赔偿金额之和不超过每次事故责任限额；</w:t>
      </w:r>
    </w:p>
    <w:p>
      <w:pPr>
        <w:spacing w:line="36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（四）保险人对多次保险事故的累计赔偿金额不超过累计责任限额。</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保险人按照被保险人提供的雇员名单承担赔偿责任。</w:t>
      </w:r>
    </w:p>
    <w:p>
      <w:pPr>
        <w:spacing w:line="360" w:lineRule="exact"/>
        <w:ind w:firstLine="484" w:firstLineChars="201"/>
        <w:rPr>
          <w:rFonts w:ascii="宋体" w:hAnsi="宋体"/>
          <w:b/>
          <w:color w:val="auto"/>
          <w:sz w:val="24"/>
          <w:szCs w:val="24"/>
          <w:highlight w:val="none"/>
        </w:rPr>
      </w:pPr>
      <w:r>
        <w:rPr>
          <w:rFonts w:hint="eastAsia" w:ascii="宋体" w:hAnsi="宋体"/>
          <w:b/>
          <w:color w:val="auto"/>
          <w:sz w:val="24"/>
          <w:szCs w:val="24"/>
          <w:highlight w:val="none"/>
        </w:rPr>
        <w:t>被保险人对名单以外的雇员承担的赔偿责任，保险人不负责赔偿。</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被保险人向保险人请求赔偿保险金的诉讼时效期间为二年，自其知道或者应当知道保险事故发生之日起计算。</w:t>
      </w:r>
    </w:p>
    <w:p>
      <w:pPr>
        <w:spacing w:line="360" w:lineRule="exact"/>
        <w:jc w:val="center"/>
        <w:rPr>
          <w:rFonts w:ascii="宋体" w:hAnsi="宋体"/>
          <w:b/>
          <w:color w:val="auto"/>
          <w:sz w:val="24"/>
          <w:szCs w:val="24"/>
          <w:highlight w:val="none"/>
        </w:rPr>
      </w:pPr>
    </w:p>
    <w:p>
      <w:pPr>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争议处理</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合同争议解决方式由当事人在保险合同中约定的下列两种方式中选择一种：</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（一）因履行本保险合同发生的争议，由当事人协商解决，协商不成的，提交保险单载明的仲裁委员会仲裁；</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（二）因履行本保险合同发生的争议，由当事人协商解决，协商不成的，依法向人民法院起诉。</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本保险合同的争议处理适用中华人民共和国法律（不包</w:t>
      </w:r>
      <w:r>
        <w:rPr>
          <w:rFonts w:hint="eastAsia" w:ascii="宋体" w:hAnsi="宋体" w:cs="仿宋_GB2312"/>
          <w:color w:val="auto"/>
          <w:sz w:val="24"/>
          <w:szCs w:val="24"/>
          <w:highlight w:val="none"/>
          <w:lang w:val="zh-CN"/>
        </w:rPr>
        <w:t>括港、澳、台地区法律）</w:t>
      </w:r>
      <w:r>
        <w:rPr>
          <w:rFonts w:hint="eastAsia" w:ascii="宋体" w:hAnsi="宋体"/>
          <w:color w:val="auto"/>
          <w:sz w:val="24"/>
          <w:szCs w:val="24"/>
          <w:highlight w:val="none"/>
        </w:rPr>
        <w:t>。</w:t>
      </w:r>
    </w:p>
    <w:p>
      <w:pPr>
        <w:spacing w:line="360" w:lineRule="exact"/>
        <w:jc w:val="center"/>
        <w:rPr>
          <w:rFonts w:ascii="宋体" w:hAnsi="宋体"/>
          <w:b/>
          <w:bCs/>
          <w:color w:val="auto"/>
          <w:sz w:val="24"/>
          <w:szCs w:val="24"/>
          <w:highlight w:val="none"/>
        </w:rPr>
      </w:pPr>
    </w:p>
    <w:p>
      <w:pPr>
        <w:spacing w:line="36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其他事项</w:t>
      </w:r>
    </w:p>
    <w:p>
      <w:pPr>
        <w:numPr>
          <w:ilvl w:val="0"/>
          <w:numId w:val="6"/>
        </w:numPr>
        <w:spacing w:line="360" w:lineRule="exact"/>
        <w:ind w:left="0" w:firstLine="567"/>
        <w:rPr>
          <w:rFonts w:ascii="宋体" w:hAnsi="宋体"/>
          <w:color w:val="auto"/>
          <w:sz w:val="24"/>
          <w:szCs w:val="24"/>
          <w:highlight w:val="none"/>
        </w:rPr>
      </w:pPr>
      <w:r>
        <w:rPr>
          <w:rFonts w:hint="eastAsia" w:ascii="宋体" w:hAnsi="宋体"/>
          <w:color w:val="auto"/>
          <w:sz w:val="24"/>
          <w:szCs w:val="24"/>
          <w:highlight w:val="none"/>
        </w:rPr>
        <w:t>保险责任开始前，投保人要求解除保险合同的，应当向保险人支付相当于保险费5%的退保手续费，保险人应当退还剩余部分保险费；保险人要求解除保险合同的，不得向投保人收取手续费并应退还已收取的保险费。</w:t>
      </w:r>
    </w:p>
    <w:p>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保险责任开始后，投保人要求解除保险合同的，自通知保险人之日起，保险合同解除，保险人按照保险责任开始之日起至合同解除之日止期间与保险期间的日比例计收保险费，并退还剩余部分保险费；保险人也可提前十五日向投保人发出解约通知书解除保险合同，并按保险责任开始之日起至合同解除之日止期间与保险期间的日比例计收保险费，并退还剩余部分保险费。</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本保险合同约定与《中华人民共和国保险法》等法律规定相悖之处，以法律规定为准。本保险合同未尽事宜，以法律规定为准。</w:t>
      </w:r>
    </w:p>
    <w:p>
      <w:pPr>
        <w:spacing w:line="360" w:lineRule="exact"/>
        <w:jc w:val="center"/>
        <w:rPr>
          <w:rFonts w:ascii="宋体" w:hAnsi="宋体"/>
          <w:b/>
          <w:bCs/>
          <w:color w:val="auto"/>
          <w:sz w:val="24"/>
          <w:szCs w:val="24"/>
          <w:highlight w:val="none"/>
        </w:rPr>
      </w:pPr>
    </w:p>
    <w:p>
      <w:pPr>
        <w:spacing w:line="36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释义</w:t>
      </w:r>
    </w:p>
    <w:p>
      <w:pPr>
        <w:numPr>
          <w:ilvl w:val="0"/>
          <w:numId w:val="6"/>
        </w:numPr>
        <w:spacing w:line="360" w:lineRule="exact"/>
        <w:ind w:left="0" w:firstLine="480" w:firstLineChars="200"/>
        <w:rPr>
          <w:rFonts w:ascii="宋体" w:hAnsi="宋体"/>
          <w:color w:val="auto"/>
          <w:sz w:val="24"/>
          <w:szCs w:val="24"/>
          <w:highlight w:val="none"/>
        </w:rPr>
      </w:pPr>
      <w:r>
        <w:rPr>
          <w:rFonts w:hint="eastAsia" w:ascii="宋体" w:hAnsi="宋体"/>
          <w:color w:val="auto"/>
          <w:sz w:val="24"/>
          <w:szCs w:val="24"/>
          <w:highlight w:val="none"/>
        </w:rPr>
        <w:t>本保险合同涉及下列术语时，适用下列释义：</w:t>
      </w:r>
    </w:p>
    <w:p>
      <w:pPr>
        <w:spacing w:line="3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【雇员】</w:t>
      </w:r>
      <w:r>
        <w:rPr>
          <w:rFonts w:hint="eastAsia" w:ascii="宋体" w:hAnsi="宋体"/>
          <w:color w:val="auto"/>
          <w:sz w:val="24"/>
          <w:szCs w:val="24"/>
          <w:highlight w:val="none"/>
        </w:rPr>
        <w:t>指与被保险人存在劳动关系、事实劳动关系的年满十六周岁的劳动者及其他按国家规定和法定途径审批的劳动者。</w:t>
      </w:r>
    </w:p>
    <w:p>
      <w:pPr>
        <w:spacing w:line="360" w:lineRule="exact"/>
        <w:ind w:firstLine="482" w:firstLineChars="200"/>
        <w:rPr>
          <w:rFonts w:ascii="宋体" w:hAnsi="宋体"/>
          <w:color w:val="auto"/>
          <w:sz w:val="24"/>
          <w:szCs w:val="24"/>
          <w:highlight w:val="none"/>
        </w:rPr>
      </w:pPr>
      <w:r>
        <w:rPr>
          <w:rFonts w:hint="eastAsia" w:ascii="宋体" w:hAnsi="宋体"/>
          <w:b/>
          <w:color w:val="auto"/>
          <w:sz w:val="24"/>
          <w:szCs w:val="24"/>
          <w:highlight w:val="none"/>
        </w:rPr>
        <w:t>【依法】</w:t>
      </w:r>
      <w:r>
        <w:rPr>
          <w:rFonts w:hint="eastAsia" w:ascii="宋体" w:hAnsi="宋体"/>
          <w:color w:val="auto"/>
          <w:sz w:val="24"/>
          <w:szCs w:val="24"/>
          <w:highlight w:val="none"/>
        </w:rPr>
        <w:t>指依照中华人民共和国法律（不包括港、澳、台地区法律）。</w:t>
      </w:r>
    </w:p>
    <w:p>
      <w:pPr>
        <w:spacing w:line="360" w:lineRule="exact"/>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【无有效驾驶证驾驶】</w:t>
      </w:r>
      <w:r>
        <w:rPr>
          <w:rFonts w:hint="eastAsia" w:ascii="宋体" w:hAnsi="宋体"/>
          <w:bCs/>
          <w:color w:val="auto"/>
          <w:sz w:val="24"/>
          <w:szCs w:val="24"/>
          <w:highlight w:val="none"/>
        </w:rPr>
        <w:t>指下列情形之一：</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（一）无驾驶证，驾驶证被依法扣留、暂扣、吊销、注销期间；</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（二）驾驶与驾驶证载明的准驾车型不相符合的车辆；</w:t>
      </w:r>
    </w:p>
    <w:p>
      <w:pPr>
        <w:spacing w:line="3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（三）持审验不合格的驾驶证驾驶。</w:t>
      </w:r>
    </w:p>
    <w:p>
      <w:pPr>
        <w:spacing w:line="3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【职业病】</w:t>
      </w:r>
      <w:r>
        <w:rPr>
          <w:rFonts w:hint="eastAsia" w:ascii="宋体" w:hAnsi="宋体"/>
          <w:bCs/>
          <w:color w:val="auto"/>
          <w:sz w:val="24"/>
          <w:szCs w:val="24"/>
          <w:highlight w:val="none"/>
        </w:rPr>
        <w:t>指</w:t>
      </w:r>
      <w:r>
        <w:rPr>
          <w:rFonts w:hint="eastAsia" w:ascii="宋体" w:hAnsi="宋体" w:cs="宋体"/>
          <w:color w:val="auto"/>
          <w:sz w:val="24"/>
          <w:szCs w:val="24"/>
          <w:highlight w:val="none"/>
        </w:rPr>
        <w:t>符合国家现行的职业病分类和目录的疾病</w:t>
      </w:r>
      <w:r>
        <w:rPr>
          <w:rFonts w:hint="eastAsia" w:ascii="宋体" w:hAnsi="宋体"/>
          <w:bCs/>
          <w:color w:val="auto"/>
          <w:sz w:val="24"/>
          <w:szCs w:val="24"/>
          <w:highlight w:val="none"/>
        </w:rPr>
        <w:t>。</w:t>
      </w:r>
    </w:p>
    <w:p>
      <w:pPr>
        <w:spacing w:line="360" w:lineRule="exact"/>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【保险人认可的伤残鉴定机构】</w:t>
      </w:r>
      <w:r>
        <w:rPr>
          <w:rFonts w:hint="eastAsia" w:ascii="宋体" w:hAnsi="宋体"/>
          <w:bCs/>
          <w:color w:val="auto"/>
          <w:sz w:val="24"/>
          <w:szCs w:val="24"/>
          <w:highlight w:val="none"/>
        </w:rPr>
        <w:t>指司法鉴定机构以及国家卫生部医院等级分类中的二级以上（含）的医疗机构。</w:t>
      </w:r>
    </w:p>
    <w:p>
      <w:pPr>
        <w:spacing w:line="360" w:lineRule="exact"/>
        <w:ind w:firstLine="480" w:firstLineChars="200"/>
        <w:rPr>
          <w:rFonts w:ascii="宋体" w:hAnsi="宋体"/>
          <w:bCs/>
          <w:color w:val="auto"/>
          <w:sz w:val="24"/>
          <w:szCs w:val="24"/>
          <w:highlight w:val="none"/>
        </w:rPr>
      </w:pPr>
    </w:p>
    <w:p>
      <w:pPr>
        <w:spacing w:line="3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附表：伤残赔偿比例表</w:t>
      </w:r>
    </w:p>
    <w:tbl>
      <w:tblPr>
        <w:tblStyle w:val="28"/>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4785"/>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项目</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伤残程度</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（一）</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一级伤残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（二）</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二级伤残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（三）</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三级伤残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（四）</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四级伤残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（五）</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五级伤残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（六）</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六级伤残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（七）</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七级伤残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（八）</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八级伤残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（九）</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九级伤残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（十）</w:t>
            </w:r>
          </w:p>
        </w:tc>
        <w:tc>
          <w:tcPr>
            <w:tcW w:w="3918"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十级伤残</w:t>
            </w:r>
          </w:p>
        </w:tc>
        <w:tc>
          <w:tcPr>
            <w:tcW w:w="1450" w:type="dxa"/>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r>
    </w:tbl>
    <w:p>
      <w:pPr>
        <w:spacing w:line="360" w:lineRule="exact"/>
        <w:rPr>
          <w:rFonts w:ascii="宋体" w:hAnsi="宋体"/>
          <w:color w:val="auto"/>
          <w:sz w:val="24"/>
          <w:szCs w:val="24"/>
          <w:highlight w:val="none"/>
        </w:rPr>
      </w:pPr>
    </w:p>
    <w:p>
      <w:pPr>
        <w:autoSpaceDE w:val="0"/>
        <w:autoSpaceDN w:val="0"/>
        <w:adjustRightInd w:val="0"/>
        <w:spacing w:line="360" w:lineRule="exact"/>
        <w:jc w:val="center"/>
        <w:rPr>
          <w:rFonts w:ascii="宋体" w:hAnsi="宋体"/>
          <w:b/>
          <w:color w:val="auto"/>
          <w:sz w:val="24"/>
          <w:szCs w:val="24"/>
          <w:highlight w:val="none"/>
        </w:rPr>
      </w:pPr>
    </w:p>
    <w:p>
      <w:pPr>
        <w:autoSpaceDE w:val="0"/>
        <w:autoSpaceDN w:val="0"/>
        <w:adjustRightInd w:val="0"/>
        <w:spacing w:line="360" w:lineRule="exact"/>
        <w:jc w:val="center"/>
        <w:rPr>
          <w:rFonts w:ascii="宋体" w:hAnsi="宋体"/>
          <w:b/>
          <w:color w:val="auto"/>
          <w:sz w:val="24"/>
          <w:szCs w:val="24"/>
          <w:highlight w:val="none"/>
        </w:rPr>
      </w:pPr>
    </w:p>
    <w:p>
      <w:pPr>
        <w:autoSpaceDE w:val="0"/>
        <w:autoSpaceDN w:val="0"/>
        <w:adjustRightInd w:val="0"/>
        <w:spacing w:line="360" w:lineRule="exact"/>
        <w:jc w:val="center"/>
        <w:rPr>
          <w:rFonts w:ascii="宋体" w:hAnsi="宋体"/>
          <w:b/>
          <w:color w:val="auto"/>
          <w:sz w:val="24"/>
          <w:szCs w:val="24"/>
          <w:highlight w:val="none"/>
        </w:rPr>
      </w:pPr>
      <w:r>
        <w:rPr>
          <w:rFonts w:hint="eastAsia" w:ascii="宋体" w:hAnsi="宋体"/>
          <w:b/>
          <w:color w:val="auto"/>
          <w:sz w:val="24"/>
          <w:szCs w:val="24"/>
          <w:highlight w:val="none"/>
        </w:rPr>
        <w:t>扩展条款</w:t>
      </w:r>
    </w:p>
    <w:p>
      <w:pPr>
        <w:autoSpaceDE w:val="0"/>
        <w:autoSpaceDN w:val="0"/>
        <w:adjustRightInd w:val="0"/>
        <w:spacing w:line="360" w:lineRule="exact"/>
        <w:jc w:val="center"/>
        <w:rPr>
          <w:rFonts w:ascii="宋体" w:hAnsi="宋体"/>
          <w:b/>
          <w:color w:val="auto"/>
          <w:sz w:val="24"/>
          <w:szCs w:val="24"/>
          <w:highlight w:val="none"/>
        </w:rPr>
      </w:pPr>
    </w:p>
    <w:p>
      <w:pPr>
        <w:spacing w:line="360" w:lineRule="exact"/>
        <w:ind w:firstLine="480"/>
        <w:rPr>
          <w:rFonts w:ascii="宋体" w:hAnsi="宋体"/>
          <w:color w:val="auto"/>
          <w:sz w:val="24"/>
          <w:szCs w:val="24"/>
          <w:highlight w:val="none"/>
        </w:rPr>
      </w:pPr>
      <w:r>
        <w:rPr>
          <w:rFonts w:hint="eastAsia" w:ascii="宋体" w:hAnsi="宋体"/>
          <w:color w:val="auto"/>
          <w:sz w:val="24"/>
          <w:szCs w:val="24"/>
          <w:highlight w:val="none"/>
        </w:rPr>
        <w:t>下列扩展条款适用于本保险单的各个部分，若其与本保险单的其他规定相冲突，则以下列特别条款为准。</w:t>
      </w:r>
    </w:p>
    <w:p>
      <w:pPr>
        <w:spacing w:line="360" w:lineRule="exact"/>
        <w:ind w:firstLine="480"/>
        <w:rPr>
          <w:rFonts w:ascii="宋体" w:hAnsi="宋体"/>
          <w:b/>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1、24小时意外伤害</w:t>
      </w:r>
      <w:r>
        <w:rPr>
          <w:rFonts w:ascii="宋体" w:hAnsi="宋体"/>
          <w:b/>
          <w:color w:val="auto"/>
          <w:sz w:val="24"/>
          <w:szCs w:val="24"/>
          <w:highlight w:val="none"/>
        </w:rPr>
        <w:t>保</w:t>
      </w:r>
      <w:r>
        <w:rPr>
          <w:rFonts w:hint="eastAsia" w:ascii="宋体" w:hAnsi="宋体"/>
          <w:b/>
          <w:color w:val="auto"/>
          <w:sz w:val="24"/>
          <w:szCs w:val="24"/>
          <w:highlight w:val="none"/>
        </w:rPr>
        <w:t>险特别扩展条款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合同双方同意，本保险单的承保时间范围扩展至保险期间内全天24小时，而不论是否在工作期间。被保险人之雇员在此期间因意外事故而导致的死亡赔偿金、伤残赔偿金(或自伤残发生之日起在180个日内发生死亡)以及因此而引起的意外伤害医药费用和误工补助，保险人承担赔偿责任，但以本保险单明细表中列明的限额为限。被保险人承诺在发生保险事故时，只选择本扩展责任或主险责任之一进行索赔，放弃由于责任重叠而产生的另一索赔权利。</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除外责任:</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本批单对以下原因直接或间接导致被保险人之雇员死亡或人身伤害不负赔偿责任：</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（1）战争、战乱、反叛、罢工、暴乱、动乱以及核辐射等；</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（2）疾病、传染病、生育、怀孕、医疗以及手术等；</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（3）故意自残、自杀以及因药物或酒精导致的犯罪或失常行为；</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（4）打架、酗酒、吸毒、精神错乱以及高危险运动；</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高风险运动包括但不仅限于：</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-航空飞行，乘坐民航飞机除外；</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-使用呼吸器具的潜水活动；</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-足球，以业余身份参加除外；</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-滑翔运动；</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-冰上曲棍球；</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-摩托车竞赛；</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-驾驶或乘坐50cc以上摩托车；</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-登山、攀岩、攀崖；</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-跳伞；</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-地穴探险；</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-汽车竞赛；</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-以运动为职业；</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-出于商业目的使用木制家具机器；</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-滑水、跳水及水上竞技；</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-冬季运动，冰上溜石活动和溜冰除外；</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本附加险条款与主险条款内容相悖之处，以本附加险条款为准；未尽之处，以主险条款为准。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2、临时海外工作条款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兹经双方同意，本保险扩展承保被保险人所聘用的员工临时海外（包括前往我国香港、澳门和台湾地区）工作过程中遭受意外伤害或疾病时依照中华人民共和国法律应由被保险人承担的经济赔偿责任。</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3、恐怖主义条款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兹经双方同意，本保险扩展承保本保险单明细表列明的雇员，因任何恐怖分子或组织进行恐怖活动直接造成的人身伤亡时依法应由被保险人承担的经济赔偿责任。</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4、急救费用条款</w:t>
      </w:r>
    </w:p>
    <w:p>
      <w:pPr>
        <w:spacing w:line="360" w:lineRule="exact"/>
        <w:ind w:left="254" w:leftChars="121" w:firstLine="2"/>
        <w:rPr>
          <w:rFonts w:ascii="宋体" w:hAnsi="宋体"/>
          <w:color w:val="auto"/>
          <w:sz w:val="24"/>
          <w:szCs w:val="24"/>
          <w:highlight w:val="none"/>
        </w:rPr>
      </w:pPr>
      <w:r>
        <w:rPr>
          <w:rFonts w:ascii="宋体" w:hAnsi="宋体"/>
          <w:color w:val="auto"/>
          <w:sz w:val="24"/>
          <w:szCs w:val="24"/>
          <w:highlight w:val="none"/>
        </w:rPr>
        <w:t>兹经合同双方同意，本保险扩展承保被保险人雇员在发生意外事故后需要进行急救时应支付的合理急救费用，包括交通费和医疗费。 </w:t>
      </w:r>
    </w:p>
    <w:p>
      <w:pPr>
        <w:spacing w:line="360" w:lineRule="exact"/>
        <w:ind w:left="254" w:leftChars="121" w:firstLine="2"/>
        <w:rPr>
          <w:rFonts w:ascii="宋体" w:hAnsi="宋体"/>
          <w:color w:val="auto"/>
          <w:sz w:val="24"/>
          <w:szCs w:val="24"/>
          <w:highlight w:val="none"/>
        </w:rPr>
      </w:pPr>
      <w:r>
        <w:rPr>
          <w:rFonts w:ascii="宋体" w:hAnsi="宋体"/>
          <w:color w:val="auto"/>
          <w:sz w:val="24"/>
          <w:szCs w:val="24"/>
          <w:highlight w:val="none"/>
        </w:rPr>
        <w:t>本附加险条款与主险条款内容相悖之处，以本附加险条款为准；未尽之处，以主险条款为准。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5、就餐时间条款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兹经双方同意，如果被保险人的任何雇员在被保险场所就餐时受伤或死亡，此种伤害或死亡应被视为在受雇过程中发生。</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6、员工宿舍条款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兹经双方同意，如果被保险人的任何雇员在被保险人所提供的宿舍内受伤或死亡，此种伤害或死亡应被视为在受雇过程中发生。</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ind w:left="254" w:leftChars="121" w:firstLine="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7、运动或娱乐活动条款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兹经双方同意，本保险扩展承保被保险员工参加由被保险人组织的福利性活动及体育运动期间发生意外事故导致人身伤亡时依法应由被保险人承担的经济赔偿责任。</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8、附加职业病责任保险条款</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总则</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第一条 本条款为《雇主责任保险（2015版）》（以下简称主险）的附加险条款，只有在投保了主险的基础上，方可投保本附加险。</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保险责任及责任免除</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第二条 在保险期间内，被保险人的雇员首次被诊断、鉴定为职业病，依法应由被保险人承担的经济赔偿责任，保险人按照本附加险合同约定负责赔偿。</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第三条 雇员因接触、使用石棉、石棉制品或含有石棉成分的物质造成的损失、费用和责任，保险人不负责赔偿。</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赔偿处理</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第四条 被保险人向保险人请求赔偿时，应提供依法承担职业病诊断的医疗卫生机构出具的职业病诊断证明书，或者职业病诊断鉴定委员会出具的职业病鉴定书，以及投保人、被保险人所能提供的其他与确认保险事故的性质、原因、损失程度等有关的证明和资料。</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其他事项</w:t>
      </w:r>
    </w:p>
    <w:p>
      <w:pPr>
        <w:spacing w:line="360" w:lineRule="exact"/>
        <w:ind w:left="254" w:leftChars="121" w:firstLine="2"/>
        <w:rPr>
          <w:rFonts w:ascii="宋体" w:hAnsi="宋体"/>
          <w:color w:val="auto"/>
          <w:sz w:val="24"/>
          <w:szCs w:val="24"/>
          <w:highlight w:val="none"/>
        </w:rPr>
      </w:pPr>
      <w:r>
        <w:rPr>
          <w:rFonts w:hint="eastAsia" w:ascii="宋体" w:hAnsi="宋体"/>
          <w:color w:val="auto"/>
          <w:sz w:val="24"/>
          <w:szCs w:val="24"/>
          <w:highlight w:val="none"/>
        </w:rPr>
        <w:t>第五条 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pPr>
        <w:spacing w:line="360" w:lineRule="exact"/>
        <w:rPr>
          <w:rFonts w:ascii="宋体" w:hAnsi="宋体"/>
          <w:b/>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9、扩展工伤责任认定条款</w:t>
      </w:r>
    </w:p>
    <w:p>
      <w:pPr>
        <w:spacing w:line="360" w:lineRule="exact"/>
        <w:ind w:left="296" w:leftChars="141"/>
        <w:rPr>
          <w:rFonts w:ascii="宋体" w:hAnsi="宋体"/>
          <w:color w:val="auto"/>
          <w:sz w:val="24"/>
          <w:szCs w:val="24"/>
          <w:highlight w:val="none"/>
        </w:rPr>
      </w:pPr>
      <w:r>
        <w:rPr>
          <w:rFonts w:hint="eastAsia" w:ascii="宋体" w:hAnsi="宋体"/>
          <w:color w:val="auto"/>
          <w:sz w:val="24"/>
          <w:szCs w:val="24"/>
          <w:highlight w:val="none"/>
        </w:rPr>
        <w:t>兹经双方同意并约定，对经国家相关部门依法已认定为工伤的情形，即使未在保单中特别约定，保险人仍可依据保单有关赔偿方式以及赔偿限额的约定来作出赔付处理。</w:t>
      </w:r>
    </w:p>
    <w:p>
      <w:pPr>
        <w:spacing w:line="360" w:lineRule="exact"/>
        <w:ind w:left="296" w:leftChars="141"/>
        <w:rPr>
          <w:rFonts w:ascii="宋体" w:hAnsi="宋体"/>
          <w:color w:val="auto"/>
          <w:sz w:val="24"/>
          <w:szCs w:val="24"/>
          <w:highlight w:val="none"/>
        </w:rPr>
      </w:pPr>
      <w:r>
        <w:rPr>
          <w:rFonts w:hint="eastAsia" w:ascii="宋体" w:hAnsi="宋体"/>
          <w:color w:val="auto"/>
          <w:sz w:val="24"/>
          <w:szCs w:val="24"/>
          <w:highlight w:val="none"/>
        </w:rPr>
        <w:t>主险条款与本附加险条款相抵触之处，以本附加险条款为准；本附加险条款未约定事项，以主险条款为准。</w:t>
      </w:r>
    </w:p>
    <w:p>
      <w:pPr>
        <w:spacing w:line="360" w:lineRule="exact"/>
        <w:ind w:left="235" w:leftChars="112"/>
        <w:rPr>
          <w:rFonts w:ascii="宋体" w:hAnsi="宋体"/>
          <w:color w:val="auto"/>
          <w:sz w:val="24"/>
          <w:szCs w:val="24"/>
          <w:highlight w:val="none"/>
        </w:rPr>
      </w:pPr>
    </w:p>
    <w:p>
      <w:pPr>
        <w:spacing w:line="360" w:lineRule="exact"/>
        <w:rPr>
          <w:rFonts w:ascii="宋体" w:hAnsi="宋体"/>
          <w:b/>
          <w:color w:val="auto"/>
          <w:sz w:val="24"/>
          <w:szCs w:val="24"/>
          <w:highlight w:val="none"/>
        </w:rPr>
      </w:pPr>
      <w:r>
        <w:rPr>
          <w:rFonts w:hint="eastAsia" w:ascii="宋体" w:hAnsi="宋体"/>
          <w:b/>
          <w:color w:val="auto"/>
          <w:sz w:val="24"/>
          <w:szCs w:val="24"/>
          <w:highlight w:val="none"/>
        </w:rPr>
        <w:t>10、附加误工补助补充责任保险条款</w:t>
      </w:r>
    </w:p>
    <w:p>
      <w:pPr>
        <w:spacing w:line="360" w:lineRule="exact"/>
        <w:ind w:left="296" w:leftChars="141"/>
        <w:rPr>
          <w:rFonts w:ascii="宋体" w:hAnsi="宋体"/>
          <w:color w:val="auto"/>
          <w:sz w:val="24"/>
          <w:szCs w:val="24"/>
          <w:highlight w:val="none"/>
        </w:rPr>
      </w:pPr>
      <w:r>
        <w:rPr>
          <w:rFonts w:hint="eastAsia" w:ascii="宋体" w:hAnsi="宋体"/>
          <w:color w:val="auto"/>
          <w:sz w:val="24"/>
          <w:szCs w:val="24"/>
          <w:highlight w:val="none"/>
        </w:rPr>
        <w:t>兹经保险合同双方特别约定，在保险期间内发生雇主责任保险条款第二十六条（三）款下赔偿时，若在保险单中约定的员工每人/天工资标准高于当地政府公布的最低工资标准，保险人按照在保险单约定的员工每人/天工资标准，补足差额。</w:t>
      </w:r>
    </w:p>
    <w:p>
      <w:pPr>
        <w:spacing w:line="360" w:lineRule="exact"/>
        <w:ind w:left="296" w:leftChars="141"/>
        <w:rPr>
          <w:rFonts w:ascii="宋体" w:hAnsi="宋体"/>
          <w:color w:val="auto"/>
          <w:sz w:val="24"/>
          <w:szCs w:val="24"/>
          <w:highlight w:val="none"/>
        </w:rPr>
      </w:pPr>
      <w:r>
        <w:rPr>
          <w:rFonts w:hint="eastAsia" w:ascii="宋体" w:hAnsi="宋体"/>
          <w:color w:val="auto"/>
          <w:sz w:val="24"/>
          <w:szCs w:val="24"/>
          <w:highlight w:val="none"/>
        </w:rPr>
        <w:t>本附加险条款与雇主责任保险条款相抵触之处，以本附加险条款为准；其他未尽事项以雇主责任保险条款为准。</w:t>
      </w:r>
    </w:p>
    <w:p>
      <w:pPr>
        <w:spacing w:line="360" w:lineRule="exact"/>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11、扩展伤残赔偿金补充责任保险条款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保险合同双方特别约定，在保险期间内发生雇主责任保险条款第二十六条（二）款下赔偿时，若按保险单约定赔偿方式核算的伤残赔偿金金额低于依据当地工伤保险条例规定核算出的伤残赔偿金额，保险人按照当地工伤保险条例规定核算出的伤残赔偿金额标准，补足差额，但不得超出保单中约定的每人伤残赔偿限额。</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本附加险条款与雇主责任保险条款相抵触之处，以本附加险条款为准；其他未尽事项以雇主责任保险条款为准。</w:t>
      </w:r>
    </w:p>
    <w:p>
      <w:pPr>
        <w:spacing w:line="360" w:lineRule="exact"/>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2</w:t>
      </w:r>
      <w:r>
        <w:rPr>
          <w:rFonts w:hint="eastAsia" w:ascii="宋体" w:hAnsi="宋体"/>
          <w:b/>
          <w:color w:val="auto"/>
          <w:sz w:val="24"/>
          <w:highlight w:val="none"/>
        </w:rPr>
        <w:t>、附加被保险人条款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如果指定被保险人与任何个人或组织所签定的合同，要求将该个人或组织列于本保险单项下，则本保险单将视该个人或组织为附加被保险人，而适用所提供的人身伤害责任、人身侵害责任及财产损失责任保险，但仅限于指定被保险人所有的或掌管的为其工作而引起的相关责任。</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在此提供的保险以下列规定为条件：</w:t>
      </w:r>
    </w:p>
    <w:p>
      <w:pPr>
        <w:spacing w:line="360" w:lineRule="exact"/>
        <w:ind w:left="475" w:leftChars="226"/>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一</w:t>
      </w:r>
      <w:r>
        <w:rPr>
          <w:rFonts w:ascii="宋体" w:hAnsi="宋体"/>
          <w:color w:val="auto"/>
          <w:sz w:val="24"/>
          <w:highlight w:val="none"/>
        </w:rPr>
        <w:t xml:space="preserve">) </w:t>
      </w:r>
      <w:r>
        <w:rPr>
          <w:rFonts w:hint="eastAsia" w:ascii="宋体" w:hAnsi="宋体"/>
          <w:color w:val="auto"/>
          <w:sz w:val="24"/>
          <w:highlight w:val="none"/>
        </w:rPr>
        <w:t>此保险不适用于上述附加被保险人在任何合同或协议项下承担的责任；</w:t>
      </w:r>
    </w:p>
    <w:p>
      <w:pPr>
        <w:spacing w:line="360" w:lineRule="exact"/>
        <w:ind w:left="475" w:leftChars="226"/>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二</w:t>
      </w:r>
      <w:r>
        <w:rPr>
          <w:rFonts w:ascii="宋体" w:hAnsi="宋体"/>
          <w:color w:val="auto"/>
          <w:sz w:val="24"/>
          <w:highlight w:val="none"/>
        </w:rPr>
        <w:t xml:space="preserve">) </w:t>
      </w:r>
      <w:r>
        <w:rPr>
          <w:rFonts w:hint="eastAsia" w:ascii="宋体" w:hAnsi="宋体"/>
          <w:color w:val="auto"/>
          <w:sz w:val="24"/>
          <w:highlight w:val="none"/>
        </w:rPr>
        <w:t>无论何种情况，此保险的限额不得超过本保险单中列明的责任限额；</w:t>
      </w:r>
    </w:p>
    <w:p>
      <w:pPr>
        <w:spacing w:line="360" w:lineRule="exact"/>
        <w:ind w:left="475" w:leftChars="226"/>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三</w:t>
      </w:r>
      <w:r>
        <w:rPr>
          <w:rFonts w:ascii="宋体" w:hAnsi="宋体"/>
          <w:color w:val="auto"/>
          <w:sz w:val="24"/>
          <w:highlight w:val="none"/>
        </w:rPr>
        <w:t xml:space="preserve">) </w:t>
      </w:r>
      <w:r>
        <w:rPr>
          <w:rFonts w:hint="eastAsia" w:ascii="宋体" w:hAnsi="宋体"/>
          <w:color w:val="auto"/>
          <w:sz w:val="24"/>
          <w:highlight w:val="none"/>
        </w:rPr>
        <w:t>本保险的责任限额不得与本保险单合同责任保险部分列明的责任限额相累积；</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(四)附加被保险人如有其他类似的保险保障，本保单将被视为该保单的超赔保障。</w:t>
      </w:r>
    </w:p>
    <w:p>
      <w:pPr>
        <w:spacing w:line="360" w:lineRule="exact"/>
        <w:ind w:left="475" w:leftChars="226"/>
        <w:rPr>
          <w:rFonts w:ascii="宋体" w:hAnsi="宋体"/>
          <w:color w:val="auto"/>
          <w:sz w:val="24"/>
          <w:highlight w:val="none"/>
        </w:rPr>
      </w:pPr>
    </w:p>
    <w:p>
      <w:pPr>
        <w:tabs>
          <w:tab w:val="left" w:pos="1980"/>
          <w:tab w:val="left" w:pos="2520"/>
        </w:tabs>
        <w:spacing w:line="360" w:lineRule="exact"/>
        <w:rPr>
          <w:rFonts w:ascii="宋体" w:hAnsi="宋体"/>
          <w:color w:val="auto"/>
          <w:sz w:val="24"/>
          <w:highlight w:val="none"/>
        </w:rPr>
      </w:pPr>
      <w:r>
        <w:rPr>
          <w:rFonts w:hint="eastAsia" w:ascii="宋体" w:hAnsi="宋体"/>
          <w:b/>
          <w:color w:val="auto"/>
          <w:sz w:val="24"/>
          <w:highlight w:val="none"/>
        </w:rPr>
        <w:t>1</w:t>
      </w:r>
      <w:r>
        <w:rPr>
          <w:rFonts w:ascii="宋体" w:hAnsi="宋体"/>
          <w:b/>
          <w:color w:val="auto"/>
          <w:sz w:val="24"/>
          <w:highlight w:val="none"/>
        </w:rPr>
        <w:t>3</w:t>
      </w:r>
      <w:r>
        <w:rPr>
          <w:rFonts w:hint="eastAsia" w:ascii="宋体" w:hAnsi="宋体"/>
          <w:b/>
          <w:color w:val="auto"/>
          <w:sz w:val="24"/>
          <w:highlight w:val="none"/>
        </w:rPr>
        <w:t>、免检条款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本附加条款与主条款相悖之处，以本附加条款为准；未尽之处，以主条款为准。</w:t>
      </w:r>
    </w:p>
    <w:p>
      <w:pPr>
        <w:spacing w:line="360" w:lineRule="exact"/>
        <w:ind w:left="475" w:leftChars="226"/>
        <w:rPr>
          <w:rFonts w:ascii="宋体" w:hAnsi="宋体"/>
          <w:color w:val="auto"/>
          <w:sz w:val="24"/>
          <w:highlight w:val="none"/>
        </w:rPr>
      </w:pPr>
    </w:p>
    <w:p>
      <w:pPr>
        <w:tabs>
          <w:tab w:val="left" w:pos="1980"/>
          <w:tab w:val="left" w:pos="2520"/>
        </w:tabs>
        <w:spacing w:line="360" w:lineRule="exact"/>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4</w:t>
      </w:r>
      <w:r>
        <w:rPr>
          <w:rFonts w:hint="eastAsia" w:ascii="宋体" w:hAnsi="宋体"/>
          <w:b/>
          <w:color w:val="auto"/>
          <w:sz w:val="24"/>
          <w:highlight w:val="none"/>
        </w:rPr>
        <w:t>、索赔费用条款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兹经双方同意，本保险扩展承保被保险人在准备索赔过程中为制作或证明保险公司所需的任何记录、信息、证据或其他证明材料而所花费的合理的材料和人工费用。但每次事故赔偿限额为人民币300万元。</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本附加条款与主条款内容相悖之处，以本附加条款为准；未尽之处，以主条款为准。</w:t>
      </w:r>
    </w:p>
    <w:p>
      <w:pPr>
        <w:spacing w:line="360" w:lineRule="exact"/>
        <w:ind w:left="475" w:leftChars="226"/>
        <w:rPr>
          <w:rFonts w:ascii="宋体" w:hAnsi="宋体"/>
          <w:color w:val="auto"/>
          <w:sz w:val="24"/>
          <w:highlight w:val="none"/>
        </w:rPr>
      </w:pPr>
    </w:p>
    <w:p>
      <w:pPr>
        <w:tabs>
          <w:tab w:val="left" w:pos="1980"/>
          <w:tab w:val="left" w:pos="2520"/>
        </w:tabs>
        <w:spacing w:line="360" w:lineRule="exact"/>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5</w:t>
      </w:r>
      <w:r>
        <w:rPr>
          <w:rFonts w:hint="eastAsia" w:ascii="宋体" w:hAnsi="宋体"/>
          <w:b/>
          <w:color w:val="auto"/>
          <w:sz w:val="24"/>
          <w:highlight w:val="none"/>
        </w:rPr>
        <w:t>、</w:t>
      </w:r>
      <w:r>
        <w:rPr>
          <w:rFonts w:ascii="宋体" w:hAnsi="宋体"/>
          <w:b/>
          <w:color w:val="auto"/>
          <w:sz w:val="24"/>
          <w:highlight w:val="none"/>
        </w:rPr>
        <w:t>索赔单据条款</w:t>
      </w:r>
    </w:p>
    <w:p>
      <w:pPr>
        <w:spacing w:line="360" w:lineRule="exact"/>
        <w:ind w:left="475" w:leftChars="226"/>
        <w:rPr>
          <w:rFonts w:ascii="宋体" w:hAnsi="宋体"/>
          <w:color w:val="auto"/>
          <w:sz w:val="24"/>
          <w:highlight w:val="none"/>
        </w:rPr>
      </w:pPr>
      <w:r>
        <w:rPr>
          <w:rFonts w:ascii="宋体" w:hAnsi="宋体"/>
          <w:color w:val="auto"/>
          <w:sz w:val="24"/>
          <w:highlight w:val="none"/>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pPr>
        <w:spacing w:line="360" w:lineRule="exact"/>
        <w:ind w:left="475" w:leftChars="226"/>
        <w:rPr>
          <w:rFonts w:ascii="宋体" w:hAnsi="宋体"/>
          <w:color w:val="auto"/>
          <w:sz w:val="24"/>
          <w:highlight w:val="none"/>
        </w:rPr>
      </w:pPr>
      <w:r>
        <w:rPr>
          <w:rFonts w:ascii="宋体" w:hAnsi="宋体"/>
          <w:color w:val="auto"/>
          <w:sz w:val="24"/>
          <w:highlight w:val="none"/>
        </w:rPr>
        <w:t>本附加险条款与主险条款内容相悖之处，以本附加险条款为准；未尽之处，以主险条款为准。</w:t>
      </w:r>
    </w:p>
    <w:p>
      <w:pPr>
        <w:tabs>
          <w:tab w:val="left" w:pos="1980"/>
          <w:tab w:val="left" w:pos="2520"/>
        </w:tabs>
        <w:spacing w:line="360" w:lineRule="exact"/>
        <w:rPr>
          <w:rFonts w:ascii="宋体" w:hAnsi="宋体"/>
          <w:b/>
          <w:color w:val="auto"/>
          <w:sz w:val="24"/>
          <w:highlight w:val="none"/>
        </w:rPr>
      </w:pPr>
    </w:p>
    <w:p>
      <w:pPr>
        <w:tabs>
          <w:tab w:val="left" w:pos="1980"/>
          <w:tab w:val="left" w:pos="2520"/>
        </w:tabs>
        <w:spacing w:line="360" w:lineRule="exact"/>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6</w:t>
      </w:r>
      <w:r>
        <w:rPr>
          <w:rFonts w:hint="eastAsia" w:ascii="宋体" w:hAnsi="宋体"/>
          <w:b/>
          <w:color w:val="auto"/>
          <w:sz w:val="24"/>
          <w:highlight w:val="none"/>
        </w:rPr>
        <w:t>、</w:t>
      </w:r>
      <w:r>
        <w:rPr>
          <w:rFonts w:ascii="宋体" w:hAnsi="宋体"/>
          <w:b/>
          <w:color w:val="auto"/>
          <w:sz w:val="24"/>
          <w:highlight w:val="none"/>
        </w:rPr>
        <w:t>弃权与禁止反言条款</w:t>
      </w:r>
    </w:p>
    <w:p>
      <w:pPr>
        <w:spacing w:line="360" w:lineRule="exact"/>
        <w:ind w:left="475" w:leftChars="226"/>
        <w:rPr>
          <w:rFonts w:ascii="宋体" w:hAnsi="宋体"/>
          <w:color w:val="auto"/>
          <w:sz w:val="24"/>
          <w:highlight w:val="none"/>
        </w:rPr>
      </w:pPr>
      <w:r>
        <w:rPr>
          <w:rFonts w:ascii="宋体" w:hAnsi="宋体"/>
          <w:color w:val="auto"/>
          <w:sz w:val="24"/>
          <w:highlight w:val="none"/>
        </w:rPr>
        <w:t>双方一致同意，被保险人或投保人告知义务的履行仅限于保险人在承保前的书面询问，保险人签发保险单，表明保险人对保险标的的风险已有完全了解，因此，在发生事故损失时，保险人不得以投保人未对书面询问外的其他信息履行告知义务而拒赔。</w:t>
      </w:r>
    </w:p>
    <w:p>
      <w:pPr>
        <w:spacing w:line="360" w:lineRule="exact"/>
        <w:ind w:left="475" w:leftChars="226"/>
        <w:rPr>
          <w:rFonts w:ascii="宋体" w:hAnsi="宋体"/>
          <w:color w:val="auto"/>
          <w:sz w:val="24"/>
          <w:highlight w:val="none"/>
        </w:rPr>
      </w:pPr>
      <w:r>
        <w:rPr>
          <w:rFonts w:ascii="宋体" w:hAnsi="宋体"/>
          <w:color w:val="auto"/>
          <w:sz w:val="24"/>
          <w:highlight w:val="none"/>
        </w:rPr>
        <w:t>本保险单所载其他条件不变。</w:t>
      </w:r>
    </w:p>
    <w:p>
      <w:pPr>
        <w:spacing w:line="360" w:lineRule="exact"/>
        <w:ind w:left="475" w:leftChars="226"/>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7</w:t>
      </w:r>
      <w:r>
        <w:rPr>
          <w:rFonts w:hint="eastAsia" w:ascii="宋体" w:hAnsi="宋体"/>
          <w:b/>
          <w:color w:val="auto"/>
          <w:sz w:val="24"/>
          <w:highlight w:val="none"/>
        </w:rPr>
        <w:t>、不受控制条款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经双方同意，被保险人在无法控制或不存在过错的情况下违反本保险合同的条件和保证，本保险合同的保障不受影响。</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本附加条款与主条款内容相悖之处，以本附加条款为准；未尽之处，以主条款为准。</w:t>
      </w:r>
    </w:p>
    <w:p>
      <w:pPr>
        <w:spacing w:line="180" w:lineRule="exact"/>
        <w:ind w:left="475" w:leftChars="226"/>
        <w:rPr>
          <w:rFonts w:ascii="宋体" w:hAnsi="宋体"/>
          <w:color w:val="auto"/>
          <w:sz w:val="24"/>
          <w:highlight w:val="none"/>
        </w:rPr>
      </w:pPr>
    </w:p>
    <w:p>
      <w:pPr>
        <w:spacing w:line="360" w:lineRule="exact"/>
        <w:rPr>
          <w:rFonts w:ascii="宋体" w:hAnsi="宋体"/>
          <w:color w:val="auto"/>
          <w:sz w:val="24"/>
          <w:highlight w:val="none"/>
        </w:rPr>
      </w:pPr>
      <w:r>
        <w:rPr>
          <w:rFonts w:ascii="宋体" w:hAnsi="宋体"/>
          <w:b/>
          <w:color w:val="auto"/>
          <w:sz w:val="24"/>
          <w:highlight w:val="none"/>
        </w:rPr>
        <w:t>18</w:t>
      </w:r>
      <w:r>
        <w:rPr>
          <w:rFonts w:hint="eastAsia" w:ascii="宋体" w:hAnsi="宋体"/>
          <w:b/>
          <w:color w:val="auto"/>
          <w:sz w:val="24"/>
          <w:highlight w:val="none"/>
        </w:rPr>
        <w:t>、违反条件条款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本保险单的条件和保证将分别适用于每一承保风险，而非共同适用于所有承保风险。因此，对某些条件和保证的违反仅使该违反所适用风险的那一部分保障失效，不影响有关其他风险保障的有效性。</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本保险单所载其他条件不变。</w:t>
      </w:r>
    </w:p>
    <w:p>
      <w:pPr>
        <w:tabs>
          <w:tab w:val="left" w:pos="1980"/>
          <w:tab w:val="left" w:pos="2520"/>
        </w:tabs>
        <w:spacing w:line="360" w:lineRule="exact"/>
        <w:rPr>
          <w:rFonts w:ascii="宋体" w:hAnsi="宋体"/>
          <w:b/>
          <w:color w:val="auto"/>
          <w:sz w:val="24"/>
          <w:highlight w:val="none"/>
        </w:rPr>
      </w:pPr>
    </w:p>
    <w:p>
      <w:pPr>
        <w:tabs>
          <w:tab w:val="left" w:pos="1980"/>
          <w:tab w:val="left" w:pos="2520"/>
        </w:tabs>
        <w:spacing w:line="360" w:lineRule="exact"/>
        <w:rPr>
          <w:rFonts w:ascii="宋体" w:hAnsi="宋体"/>
          <w:b/>
          <w:color w:val="auto"/>
          <w:sz w:val="24"/>
          <w:highlight w:val="none"/>
        </w:rPr>
      </w:pPr>
      <w:r>
        <w:rPr>
          <w:rFonts w:ascii="宋体" w:hAnsi="宋体"/>
          <w:b/>
          <w:color w:val="auto"/>
          <w:sz w:val="24"/>
          <w:highlight w:val="none"/>
        </w:rPr>
        <w:t>19</w:t>
      </w:r>
      <w:r>
        <w:rPr>
          <w:rFonts w:hint="eastAsia" w:ascii="宋体" w:hAnsi="宋体"/>
          <w:b/>
          <w:color w:val="auto"/>
          <w:sz w:val="24"/>
          <w:highlight w:val="none"/>
        </w:rPr>
        <w:t>、主要保险条款</w:t>
      </w:r>
    </w:p>
    <w:p>
      <w:pPr>
        <w:spacing w:line="360" w:lineRule="exact"/>
        <w:ind w:left="462" w:leftChars="220" w:firstLine="12" w:firstLineChars="5"/>
        <w:rPr>
          <w:rFonts w:ascii="宋体" w:hAnsi="宋体"/>
          <w:color w:val="auto"/>
          <w:sz w:val="24"/>
          <w:highlight w:val="none"/>
        </w:rPr>
      </w:pPr>
      <w:r>
        <w:rPr>
          <w:rFonts w:hint="eastAsia" w:ascii="宋体" w:hAnsi="宋体"/>
          <w:color w:val="auto"/>
          <w:sz w:val="24"/>
          <w:highlight w:val="none"/>
        </w:rPr>
        <w:t>兹经双方同意,对本保险明细表内列出的被保险人来说，本保单提供的保险居首要地位。如果在任何时间提出在本保单下索赔的同时，存在对同一损失、损坏或责任予以保险的任何其它保险，则此其它保险应仅是独立于本保单之外的并不与本保单分担赔偿。</w:t>
      </w:r>
    </w:p>
    <w:p>
      <w:pPr>
        <w:spacing w:line="360" w:lineRule="exact"/>
        <w:ind w:left="462" w:leftChars="220" w:firstLine="12" w:firstLineChars="5"/>
        <w:rPr>
          <w:rFonts w:ascii="宋体" w:hAnsi="宋体"/>
          <w:color w:val="auto"/>
          <w:sz w:val="24"/>
          <w:highlight w:val="none"/>
        </w:rPr>
      </w:pPr>
      <w:r>
        <w:rPr>
          <w:rFonts w:hint="eastAsia" w:ascii="宋体" w:hAnsi="宋体"/>
          <w:color w:val="auto"/>
          <w:sz w:val="24"/>
          <w:highlight w:val="none"/>
        </w:rPr>
        <w:t>本保险单所载其它条件不变。</w:t>
      </w:r>
    </w:p>
    <w:p>
      <w:pPr>
        <w:spacing w:line="180" w:lineRule="exact"/>
        <w:ind w:left="475" w:leftChars="226"/>
        <w:rPr>
          <w:rFonts w:ascii="宋体" w:hAnsi="宋体"/>
          <w:color w:val="auto"/>
          <w:sz w:val="24"/>
          <w:highlight w:val="none"/>
        </w:rPr>
      </w:pPr>
    </w:p>
    <w:p>
      <w:pPr>
        <w:spacing w:line="360" w:lineRule="exact"/>
        <w:rPr>
          <w:rFonts w:ascii="宋体" w:hAnsi="宋体"/>
          <w:b/>
          <w:color w:val="auto"/>
          <w:sz w:val="24"/>
          <w:highlight w:val="none"/>
        </w:rPr>
      </w:pPr>
      <w:r>
        <w:rPr>
          <w:rFonts w:ascii="宋体" w:hAnsi="宋体"/>
          <w:b/>
          <w:color w:val="auto"/>
          <w:sz w:val="24"/>
          <w:highlight w:val="none"/>
        </w:rPr>
        <w:t>20</w:t>
      </w:r>
      <w:r>
        <w:rPr>
          <w:rFonts w:hint="eastAsia" w:ascii="宋体" w:hAnsi="宋体"/>
          <w:b/>
          <w:color w:val="auto"/>
          <w:sz w:val="24"/>
          <w:highlight w:val="none"/>
        </w:rPr>
        <w:t>、放弃代位追偿扩展条款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经双方同意，保险人同意放弃对下列各方可能拥有的代位请求赔偿的权利：</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（一）被保险人的关联或联营公司；</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（二）被保险人的子公司或控股公司；</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（三）被保险人的董事、合伙人；</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（四）被保险人的雇员。</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但上述各方的故意行为造成保险事故的，保险人保留代位请求赔偿的权利。</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本附加条款与主条款内容相悖之处，以本附加条款为准；未尽之处，以主条款为准。</w:t>
      </w:r>
    </w:p>
    <w:p>
      <w:pPr>
        <w:spacing w:line="180" w:lineRule="exact"/>
        <w:ind w:left="475" w:leftChars="226"/>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1</w:t>
      </w:r>
      <w:r>
        <w:rPr>
          <w:rFonts w:hint="eastAsia" w:ascii="宋体" w:hAnsi="宋体"/>
          <w:b/>
          <w:color w:val="auto"/>
          <w:sz w:val="24"/>
          <w:highlight w:val="none"/>
        </w:rPr>
        <w:t>、错误及遗漏条款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本附加条款与主条款内容相悖之处，以本附加条款为准；未尽之处，以主条款为准。</w:t>
      </w:r>
    </w:p>
    <w:p>
      <w:pPr>
        <w:spacing w:line="360" w:lineRule="exact"/>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2</w:t>
      </w:r>
      <w:r>
        <w:rPr>
          <w:rFonts w:hint="eastAsia" w:ascii="宋体" w:hAnsi="宋体"/>
          <w:b/>
          <w:color w:val="auto"/>
          <w:sz w:val="24"/>
          <w:highlight w:val="none"/>
        </w:rPr>
        <w:t>、九十天取消保单条款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兹经双方同意，保险人可提前九十天书面通知被保险人注销本保险单，对未到期的保险费保险人应按日比例退回给被保险人。</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被保险人可提前七天书面通知申请注销本保险单，对本保险单已生效期间的保险费按短期费率计收。</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本保单所载其它条件不变。</w:t>
      </w:r>
    </w:p>
    <w:p>
      <w:pPr>
        <w:spacing w:line="180" w:lineRule="exact"/>
        <w:ind w:left="475" w:leftChars="226"/>
        <w:rPr>
          <w:rFonts w:ascii="宋体" w:hAnsi="宋体"/>
          <w:b/>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3</w:t>
      </w:r>
      <w:r>
        <w:rPr>
          <w:rFonts w:hint="eastAsia" w:ascii="宋体" w:hAnsi="宋体"/>
          <w:b/>
          <w:color w:val="auto"/>
          <w:sz w:val="24"/>
          <w:highlight w:val="none"/>
        </w:rPr>
        <w:t>、预付赔款条款</w:t>
      </w:r>
    </w:p>
    <w:p>
      <w:pPr>
        <w:spacing w:line="360" w:lineRule="exact"/>
        <w:ind w:left="479" w:leftChars="228"/>
        <w:rPr>
          <w:rFonts w:ascii="宋体" w:hAnsi="宋体"/>
          <w:color w:val="auto"/>
          <w:sz w:val="24"/>
          <w:highlight w:val="none"/>
        </w:rPr>
      </w:pPr>
      <w:r>
        <w:rPr>
          <w:rFonts w:hint="eastAsia" w:ascii="宋体" w:hAnsi="宋体"/>
          <w:color w:val="auto"/>
          <w:sz w:val="24"/>
          <w:highlight w:val="none"/>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pPr>
        <w:spacing w:line="360" w:lineRule="exact"/>
        <w:ind w:left="479" w:leftChars="228"/>
        <w:rPr>
          <w:rFonts w:ascii="宋体" w:hAnsi="宋体"/>
          <w:color w:val="auto"/>
          <w:sz w:val="24"/>
          <w:highlight w:val="none"/>
        </w:rPr>
      </w:pPr>
      <w:r>
        <w:rPr>
          <w:rFonts w:hint="eastAsia" w:ascii="宋体" w:hAnsi="宋体"/>
          <w:color w:val="auto"/>
          <w:sz w:val="24"/>
          <w:highlight w:val="none"/>
        </w:rPr>
        <w:t>本附加条款与主条款内容相悖之处，以本附加条款为准；未尽之处，以主条款为准。</w:t>
      </w:r>
    </w:p>
    <w:p>
      <w:pPr>
        <w:spacing w:line="360" w:lineRule="exact"/>
        <w:ind w:left="479" w:leftChars="228"/>
        <w:rPr>
          <w:rFonts w:ascii="宋体" w:hAnsi="宋体"/>
          <w:color w:val="auto"/>
          <w:sz w:val="24"/>
          <w:highlight w:val="none"/>
        </w:rPr>
      </w:pPr>
    </w:p>
    <w:p>
      <w:pPr>
        <w:spacing w:line="36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4</w:t>
      </w:r>
      <w:r>
        <w:rPr>
          <w:rFonts w:hint="eastAsia" w:ascii="宋体" w:hAnsi="宋体"/>
          <w:b/>
          <w:color w:val="auto"/>
          <w:sz w:val="24"/>
          <w:highlight w:val="none"/>
        </w:rPr>
        <w:t>、预定损失理算师条款</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pPr>
        <w:spacing w:line="360" w:lineRule="exact"/>
        <w:ind w:left="475" w:leftChars="226"/>
        <w:rPr>
          <w:rFonts w:ascii="宋体" w:hAnsi="宋体"/>
          <w:color w:val="auto"/>
          <w:sz w:val="24"/>
          <w:highlight w:val="none"/>
        </w:rPr>
      </w:pPr>
      <w:r>
        <w:rPr>
          <w:rFonts w:hint="eastAsia" w:ascii="宋体" w:hAnsi="宋体"/>
          <w:color w:val="auto"/>
          <w:sz w:val="24"/>
          <w:highlight w:val="none"/>
        </w:rPr>
        <w:t>本保险单所载其它条件不变。</w:t>
      </w:r>
    </w:p>
    <w:p>
      <w:pPr>
        <w:rPr>
          <w:color w:val="auto"/>
          <w:highlight w:val="none"/>
        </w:rPr>
      </w:pPr>
    </w:p>
    <w:p>
      <w:pPr>
        <w:pStyle w:val="54"/>
        <w:jc w:val="center"/>
        <w:rPr>
          <w:rFonts w:ascii="仿宋_GB2312" w:eastAsia="仿宋_GB2312" w:cs="仿宋_GB2312"/>
          <w:color w:val="auto"/>
          <w:sz w:val="28"/>
          <w:szCs w:val="28"/>
          <w:highlight w:val="none"/>
        </w:rPr>
      </w:pPr>
      <w:r>
        <w:rPr>
          <w:rFonts w:ascii="仿宋_GB2312" w:eastAsia="仿宋_GB2312" w:cs="仿宋_GB2312"/>
          <w:color w:val="auto"/>
          <w:sz w:val="28"/>
          <w:szCs w:val="28"/>
          <w:highlight w:val="none"/>
        </w:rPr>
        <w:br w:type="page"/>
      </w:r>
    </w:p>
    <w:p>
      <w:pPr>
        <w:pStyle w:val="4"/>
        <w:rPr>
          <w:color w:val="auto"/>
          <w:highlight w:val="none"/>
        </w:rPr>
      </w:pPr>
      <w:bookmarkStart w:id="62" w:name="_Toc5129"/>
      <w:bookmarkStart w:id="63" w:name="_Toc1563"/>
      <w:bookmarkStart w:id="64" w:name="_Toc30824"/>
      <w:bookmarkStart w:id="65" w:name="_Toc8147"/>
      <w:bookmarkStart w:id="66" w:name="_Toc3723"/>
      <w:bookmarkStart w:id="67" w:name="_Toc16552"/>
      <w:bookmarkStart w:id="68" w:name="_Toc21847"/>
      <w:bookmarkStart w:id="69" w:name="_Toc6230"/>
      <w:bookmarkStart w:id="70" w:name="_Toc23515"/>
      <w:bookmarkStart w:id="71" w:name="_Toc12169"/>
      <w:bookmarkStart w:id="72" w:name="_Toc28358"/>
    </w:p>
    <w:bookmarkEnd w:id="62"/>
    <w:bookmarkEnd w:id="63"/>
    <w:bookmarkEnd w:id="64"/>
    <w:bookmarkEnd w:id="65"/>
    <w:bookmarkEnd w:id="66"/>
    <w:bookmarkEnd w:id="67"/>
    <w:bookmarkEnd w:id="68"/>
    <w:bookmarkEnd w:id="69"/>
    <w:bookmarkEnd w:id="70"/>
    <w:bookmarkEnd w:id="71"/>
    <w:bookmarkEnd w:id="72"/>
    <w:p>
      <w:pPr>
        <w:pStyle w:val="54"/>
        <w:jc w:val="center"/>
        <w:rPr>
          <w:rFonts w:eastAsia="方正小标宋简体"/>
          <w:bCs/>
          <w:color w:val="auto"/>
          <w:kern w:val="44"/>
          <w:sz w:val="44"/>
          <w:szCs w:val="44"/>
          <w:highlight w:val="none"/>
        </w:rPr>
      </w:pPr>
      <w:r>
        <w:rPr>
          <w:rFonts w:eastAsia="方正小标宋简体"/>
          <w:bCs/>
          <w:color w:val="auto"/>
          <w:kern w:val="44"/>
          <w:sz w:val="44"/>
          <w:szCs w:val="44"/>
          <w:highlight w:val="none"/>
        </w:rPr>
        <w:t>第</w:t>
      </w:r>
      <w:r>
        <w:rPr>
          <w:rFonts w:hint="eastAsia" w:eastAsia="方正小标宋简体"/>
          <w:bCs/>
          <w:color w:val="auto"/>
          <w:kern w:val="44"/>
          <w:sz w:val="44"/>
          <w:szCs w:val="44"/>
          <w:highlight w:val="none"/>
          <w:lang w:val="en-US" w:eastAsia="zh-CN"/>
        </w:rPr>
        <w:t>六</w:t>
      </w:r>
      <w:r>
        <w:rPr>
          <w:rFonts w:eastAsia="方正小标宋简体"/>
          <w:bCs/>
          <w:color w:val="auto"/>
          <w:kern w:val="44"/>
          <w:sz w:val="44"/>
          <w:szCs w:val="44"/>
          <w:highlight w:val="none"/>
        </w:rPr>
        <w:t>章</w:t>
      </w:r>
    </w:p>
    <w:p>
      <w:pPr>
        <w:pStyle w:val="4"/>
        <w:rPr>
          <w:color w:val="auto"/>
          <w:highlight w:val="none"/>
        </w:rPr>
      </w:pPr>
      <w:bookmarkStart w:id="73" w:name="_Toc17119"/>
      <w:bookmarkStart w:id="74" w:name="_Toc5342"/>
      <w:bookmarkStart w:id="75" w:name="_Toc12769"/>
      <w:bookmarkStart w:id="76" w:name="_Toc24490"/>
      <w:bookmarkStart w:id="77" w:name="_Toc31564"/>
      <w:bookmarkStart w:id="78" w:name="_Toc12610"/>
      <w:bookmarkStart w:id="79" w:name="_Toc10840"/>
      <w:bookmarkStart w:id="80" w:name="_Toc88209951"/>
      <w:bookmarkStart w:id="81" w:name="_Toc21675"/>
      <w:bookmarkStart w:id="82" w:name="_Toc24815"/>
      <w:bookmarkStart w:id="83" w:name="_Toc87616388"/>
      <w:bookmarkStart w:id="84" w:name="_Toc22764"/>
      <w:bookmarkStart w:id="85" w:name="_Toc30157"/>
      <w:r>
        <w:rPr>
          <w:rFonts w:hint="eastAsia"/>
          <w:color w:val="auto"/>
          <w:highlight w:val="none"/>
        </w:rPr>
        <w:t>响应文件格式要求</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eastAsia="zh-CN"/>
        </w:rPr>
        <w:t>广州市净水有限公司2022-2023年度雇主责任保险项目</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widowControl/>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6" w:name="_Toc88209952"/>
      <w:bookmarkStart w:id="87" w:name="_Toc87616389"/>
      <w:r>
        <w:rPr>
          <w:rFonts w:hint="eastAsia" w:ascii="仿宋_GB2312" w:eastAsia="仿宋_GB2312"/>
          <w:color w:val="auto"/>
          <w:sz w:val="28"/>
          <w:szCs w:val="28"/>
          <w:highlight w:val="none"/>
        </w:rPr>
        <w:t>1.响应函</w:t>
      </w:r>
      <w:bookmarkEnd w:id="86"/>
      <w:bookmarkEnd w:id="87"/>
    </w:p>
    <w:p>
      <w:pPr>
        <w:spacing w:line="600" w:lineRule="exact"/>
        <w:rPr>
          <w:rFonts w:ascii="仿宋_GB2312" w:eastAsia="仿宋_GB2312"/>
          <w:color w:val="auto"/>
          <w:sz w:val="28"/>
          <w:szCs w:val="28"/>
          <w:highlight w:val="none"/>
        </w:rPr>
      </w:pPr>
      <w:bookmarkStart w:id="88" w:name="_Toc88209953"/>
      <w:bookmarkStart w:id="89" w:name="_Toc87616390"/>
      <w:r>
        <w:rPr>
          <w:rFonts w:hint="eastAsia" w:ascii="仿宋_GB2312" w:eastAsia="仿宋_GB2312"/>
          <w:color w:val="auto"/>
          <w:sz w:val="28"/>
          <w:szCs w:val="28"/>
          <w:highlight w:val="none"/>
        </w:rPr>
        <w:t>2.法定代表人证明或授权委托书</w:t>
      </w:r>
      <w:bookmarkEnd w:id="88"/>
      <w:bookmarkEnd w:id="89"/>
      <w:bookmarkStart w:id="90" w:name="_Toc87616393"/>
      <w:bookmarkStart w:id="9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90"/>
      <w:bookmarkEnd w:id="91"/>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widowControl/>
        <w:jc w:val="left"/>
        <w:rPr>
          <w:rFonts w:cs="Times New Roman" w:asciiTheme="minorEastAsia" w:hAnsiTheme="minorEastAsia"/>
          <w:b/>
          <w:bCs/>
          <w:color w:val="auto"/>
          <w:sz w:val="28"/>
          <w:szCs w:val="28"/>
          <w:highlight w:val="none"/>
        </w:rPr>
      </w:pPr>
      <w:bookmarkStart w:id="92" w:name="_Toc6313"/>
      <w:bookmarkStart w:id="93" w:name="_Toc12665"/>
      <w:bookmarkStart w:id="94" w:name="_Toc28619645"/>
      <w:bookmarkStart w:id="95" w:name="_Toc87616394"/>
      <w:bookmarkStart w:id="96" w:name="_Toc88209957"/>
      <w:r>
        <w:rPr>
          <w:rFonts w:asciiTheme="minorEastAsia"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92"/>
      <w:bookmarkEnd w:id="93"/>
      <w:bookmarkEnd w:id="94"/>
      <w:bookmarkEnd w:id="95"/>
      <w:bookmarkEnd w:id="9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w:t>
      </w:r>
      <w:r>
        <w:rPr>
          <w:rFonts w:ascii="仿宋_GB2312" w:hAnsi="黑体" w:eastAsia="仿宋_GB2312"/>
          <w:color w:val="auto"/>
          <w:sz w:val="28"/>
          <w:szCs w:val="28"/>
          <w:highlight w:val="none"/>
        </w:rPr>
        <w:t>）在合同约定的期限内完成合同规定的全部义务。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97" w:name="_Toc22527"/>
      <w:bookmarkStart w:id="98" w:name="_Toc88209958"/>
      <w:bookmarkStart w:id="99" w:name="_Toc87616395"/>
      <w:bookmarkStart w:id="100" w:name="_Toc29833"/>
    </w:p>
    <w:p>
      <w:pPr>
        <w:widowControl/>
        <w:jc w:val="left"/>
        <w:rPr>
          <w:rFonts w:cs="Times New Roman" w:asciiTheme="minorEastAsia" w:hAnsiTheme="minorEastAsia"/>
          <w:b/>
          <w:bCs/>
          <w:color w:val="auto"/>
          <w:sz w:val="28"/>
          <w:szCs w:val="28"/>
          <w:highlight w:val="none"/>
        </w:rPr>
      </w:pPr>
      <w:r>
        <w:rPr>
          <w:rFonts w:asciiTheme="minorEastAsia"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7"/>
      <w:bookmarkEnd w:id="98"/>
      <w:bookmarkEnd w:id="99"/>
      <w:bookmarkEnd w:id="10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5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54"/>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pStyle w:val="2"/>
        <w:rPr>
          <w:color w:val="auto"/>
          <w:highlight w:val="none"/>
        </w:rPr>
      </w:pPr>
    </w:p>
    <w:p>
      <w:pPr>
        <w:widowControl/>
        <w:jc w:val="left"/>
        <w:rPr>
          <w:rFonts w:ascii="仿宋_GB2312" w:eastAsia="仿宋_GB2312" w:cs="Times New Roman" w:hAnsiTheme="minorEastAsia"/>
          <w:b/>
          <w:bCs/>
          <w:color w:val="auto"/>
          <w:sz w:val="28"/>
          <w:szCs w:val="28"/>
          <w:highlight w:val="none"/>
        </w:rPr>
      </w:pPr>
      <w:r>
        <w:rPr>
          <w:rFonts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1" w:name="_Toc8086"/>
      <w:bookmarkStart w:id="102" w:name="_Toc19830"/>
      <w:bookmarkStart w:id="103" w:name="_Toc88209963"/>
      <w:bookmarkStart w:id="104"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01"/>
      <w:bookmarkEnd w:id="102"/>
      <w:bookmarkEnd w:id="103"/>
      <w:bookmarkEnd w:id="10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bookmarkStart w:id="105" w:name="_Hlk59025866"/>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pStyle w:val="15"/>
        <w:ind w:firstLine="0"/>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pStyle w:val="16"/>
        <w:rPr>
          <w:rFonts w:hint="default"/>
          <w:color w:val="auto"/>
          <w:highlight w:val="none"/>
          <w:lang w:val="en-US"/>
        </w:rPr>
      </w:pPr>
      <w:r>
        <w:rPr>
          <w:rFonts w:hint="eastAsia" w:ascii="宋体" w:hAnsi="宋体" w:cs="Times New Roman"/>
          <w:b/>
          <w:bCs/>
          <w:color w:val="auto"/>
          <w:sz w:val="28"/>
          <w:szCs w:val="28"/>
          <w:highlight w:val="none"/>
          <w:lang w:val="en-US" w:eastAsia="zh-CN"/>
        </w:rPr>
        <w:t>3.2</w:t>
      </w:r>
    </w:p>
    <w:tbl>
      <w:tblPr>
        <w:tblStyle w:val="28"/>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7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728" w:type="dxa"/>
            <w:tcBorders>
              <w:top w:val="single" w:color="auto" w:sz="4" w:space="0"/>
              <w:left w:val="single" w:color="auto" w:sz="4" w:space="0"/>
              <w:right w:val="single" w:color="auto" w:sz="4" w:space="0"/>
            </w:tcBorders>
            <w:noWrap w:val="0"/>
            <w:vAlign w:val="center"/>
          </w:tcPr>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财产保险</w:t>
            </w:r>
          </w:p>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总公司注册资本金</w:t>
            </w:r>
          </w:p>
        </w:tc>
        <w:tc>
          <w:tcPr>
            <w:tcW w:w="7452" w:type="dxa"/>
            <w:tcBorders>
              <w:top w:val="single" w:color="auto" w:sz="4" w:space="0"/>
              <w:left w:val="single" w:color="auto" w:sz="4" w:space="0"/>
              <w:right w:val="single" w:color="auto" w:sz="4" w:space="0"/>
            </w:tcBorders>
            <w:noWrap w:val="0"/>
            <w:vAlign w:val="center"/>
          </w:tcPr>
          <w:p>
            <w:pPr>
              <w:widowControl/>
              <w:topLinePunct/>
              <w:spacing w:line="440" w:lineRule="exact"/>
              <w:jc w:val="left"/>
              <w:rPr>
                <w:rFonts w:ascii="仿宋" w:hAnsi="仿宋" w:eastAsia="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728" w:type="dxa"/>
            <w:tcBorders>
              <w:top w:val="single" w:color="auto" w:sz="4" w:space="0"/>
              <w:left w:val="single" w:color="auto" w:sz="4" w:space="0"/>
              <w:right w:val="single" w:color="auto" w:sz="4" w:space="0"/>
            </w:tcBorders>
            <w:noWrap w:val="0"/>
            <w:vAlign w:val="center"/>
          </w:tcPr>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财产保险</w:t>
            </w:r>
          </w:p>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总公司2021年度原保险费收入</w:t>
            </w:r>
          </w:p>
        </w:tc>
        <w:tc>
          <w:tcPr>
            <w:tcW w:w="7452" w:type="dxa"/>
            <w:tcBorders>
              <w:top w:val="single" w:color="auto" w:sz="4" w:space="0"/>
              <w:left w:val="single" w:color="auto" w:sz="4" w:space="0"/>
              <w:right w:val="single" w:color="auto" w:sz="4" w:space="0"/>
            </w:tcBorders>
            <w:noWrap w:val="0"/>
            <w:vAlign w:val="center"/>
          </w:tcPr>
          <w:p>
            <w:pPr>
              <w:widowControl/>
              <w:topLinePunct/>
              <w:spacing w:line="44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（原保险费收入=保险业务收入－分保费收入）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728" w:type="dxa"/>
            <w:tcBorders>
              <w:top w:val="single" w:color="auto" w:sz="4" w:space="0"/>
              <w:left w:val="single" w:color="auto" w:sz="4" w:space="0"/>
              <w:right w:val="single" w:color="auto" w:sz="4" w:space="0"/>
            </w:tcBorders>
            <w:noWrap w:val="0"/>
            <w:vAlign w:val="center"/>
          </w:tcPr>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财产保险</w:t>
            </w:r>
          </w:p>
          <w:p>
            <w:pPr>
              <w:widowControl/>
              <w:topLinePunct/>
              <w:ind w:firstLine="240" w:firstLineChars="100"/>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总公司2021年度末综合偿付能力充足率</w:t>
            </w:r>
          </w:p>
        </w:tc>
        <w:tc>
          <w:tcPr>
            <w:tcW w:w="7452" w:type="dxa"/>
            <w:tcBorders>
              <w:top w:val="single" w:color="auto" w:sz="4" w:space="0"/>
              <w:left w:val="single" w:color="auto" w:sz="4" w:space="0"/>
              <w:right w:val="single" w:color="auto" w:sz="4" w:space="0"/>
            </w:tcBorders>
            <w:noWrap w:val="0"/>
            <w:vAlign w:val="center"/>
          </w:tcPr>
          <w:p>
            <w:pPr>
              <w:widowControl/>
              <w:topLinePunct/>
              <w:spacing w:line="440" w:lineRule="exact"/>
              <w:jc w:val="center"/>
              <w:rPr>
                <w:rFonts w:ascii="仿宋" w:hAnsi="仿宋" w:eastAsia="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line="440" w:lineRule="exact"/>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t>备注</w:t>
            </w:r>
          </w:p>
        </w:tc>
        <w:tc>
          <w:tcPr>
            <w:tcW w:w="7452" w:type="dxa"/>
            <w:tcBorders>
              <w:top w:val="single" w:color="auto" w:sz="4" w:space="0"/>
              <w:left w:val="single" w:color="auto" w:sz="4" w:space="0"/>
              <w:bottom w:val="single" w:color="auto" w:sz="4" w:space="0"/>
              <w:right w:val="single" w:color="auto" w:sz="4" w:space="0"/>
            </w:tcBorders>
            <w:noWrap w:val="0"/>
            <w:vAlign w:val="center"/>
          </w:tcPr>
          <w:p>
            <w:pPr>
              <w:widowControl/>
              <w:topLinePunct/>
              <w:spacing w:line="440" w:lineRule="exact"/>
              <w:jc w:val="center"/>
              <w:rPr>
                <w:rFonts w:ascii="仿宋" w:hAnsi="仿宋" w:eastAsia="仿宋"/>
                <w:color w:val="auto"/>
                <w:kern w:val="0"/>
                <w:sz w:val="24"/>
                <w:szCs w:val="24"/>
                <w:highlight w:val="none"/>
              </w:rPr>
            </w:pPr>
          </w:p>
        </w:tc>
      </w:tr>
    </w:tbl>
    <w:p>
      <w:pPr>
        <w:adjustRightInd w:val="0"/>
        <w:snapToGrid w:val="0"/>
        <w:spacing w:line="300" w:lineRule="auto"/>
        <w:ind w:firstLine="480" w:firstLineChars="200"/>
        <w:rPr>
          <w:rFonts w:ascii="仿宋" w:eastAsia="仿宋" w:cs="仿宋_GB2312"/>
          <w:color w:val="auto"/>
          <w:sz w:val="24"/>
          <w:szCs w:val="24"/>
          <w:highlight w:val="none"/>
        </w:rPr>
      </w:pPr>
      <w:r>
        <w:rPr>
          <w:rFonts w:hint="eastAsia" w:ascii="仿宋" w:eastAsia="仿宋" w:cs="仿宋_GB2312"/>
          <w:color w:val="auto"/>
          <w:sz w:val="24"/>
          <w:szCs w:val="24"/>
          <w:highlight w:val="none"/>
        </w:rPr>
        <w:t>注：1、后附营业执照副本、保险业务许可证，如投标人不是财产保险总公司投标的，还须提供财产保险总公司的唯一授权书（格式自拟）及财产保险总公司营业执照副本等的复印件并加盖投标人公章。</w:t>
      </w:r>
    </w:p>
    <w:p>
      <w:pPr>
        <w:adjustRightInd w:val="0"/>
        <w:snapToGrid w:val="0"/>
        <w:spacing w:line="300" w:lineRule="auto"/>
        <w:ind w:firstLine="480" w:firstLineChars="200"/>
        <w:rPr>
          <w:rFonts w:ascii="仿宋" w:eastAsia="仿宋" w:cs="仿宋_GB2312"/>
          <w:color w:val="auto"/>
          <w:sz w:val="24"/>
          <w:szCs w:val="24"/>
          <w:highlight w:val="none"/>
        </w:rPr>
      </w:pPr>
      <w:r>
        <w:rPr>
          <w:rFonts w:hint="eastAsia" w:ascii="仿宋" w:eastAsia="仿宋" w:cs="仿宋_GB2312"/>
          <w:color w:val="auto"/>
          <w:sz w:val="24"/>
          <w:szCs w:val="24"/>
          <w:highlight w:val="none"/>
        </w:rPr>
        <w:t>2、提供的复印件资料必须清晰、明辨，否则投标人须自行承担后果。</w:t>
      </w:r>
    </w:p>
    <w:p>
      <w:pPr>
        <w:widowControl/>
        <w:jc w:val="left"/>
        <w:rPr>
          <w:rFonts w:ascii="仿宋_GB2312" w:hAnsi="仿宋_GB2312" w:eastAsia="仿宋_GB2312" w:cs="仿宋_GB2312"/>
          <w:b/>
          <w:bCs/>
          <w:color w:val="auto"/>
          <w:sz w:val="28"/>
          <w:szCs w:val="28"/>
          <w:highlight w:val="none"/>
        </w:rPr>
      </w:pPr>
      <w:r>
        <w:rPr>
          <w:rFonts w:ascii="仿宋_GB2312" w:hAnsi="仿宋_GB2312" w:eastAsia="仿宋_GB2312" w:cs="仿宋_GB2312"/>
          <w:b/>
          <w:bCs/>
          <w:color w:val="auto"/>
          <w:sz w:val="28"/>
          <w:szCs w:val="28"/>
          <w:highlight w:val="none"/>
        </w:rPr>
        <w:br w:type="page"/>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05"/>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u w:val="single"/>
          <w:lang w:val="en-GB" w:eastAsia="zh-CN"/>
        </w:rPr>
        <w:t>广州市净水有限公司2022-2023年度雇主责任保险项目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4"/>
        <w:gridCol w:w="720"/>
        <w:gridCol w:w="927"/>
        <w:gridCol w:w="1072"/>
        <w:gridCol w:w="701"/>
        <w:gridCol w:w="1261"/>
        <w:gridCol w:w="166"/>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184" w:type="dxa"/>
            <w:gridSpan w:val="2"/>
            <w:vAlign w:val="center"/>
          </w:tcPr>
          <w:p>
            <w:pPr>
              <w:rPr>
                <w:rFonts w:ascii="仿宋" w:hAnsi="仿宋" w:eastAsia="仿宋" w:cs="仿宋"/>
                <w:color w:val="auto"/>
                <w:sz w:val="24"/>
                <w:szCs w:val="24"/>
                <w:highlight w:val="none"/>
              </w:rPr>
            </w:pPr>
          </w:p>
        </w:tc>
        <w:tc>
          <w:tcPr>
            <w:tcW w:w="92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1072" w:type="dxa"/>
            <w:vAlign w:val="center"/>
          </w:tcPr>
          <w:p>
            <w:pPr>
              <w:rPr>
                <w:rFonts w:ascii="仿宋" w:hAnsi="仿宋" w:eastAsia="仿宋" w:cs="仿宋"/>
                <w:color w:val="auto"/>
                <w:sz w:val="24"/>
                <w:szCs w:val="24"/>
                <w:highlight w:val="none"/>
              </w:rPr>
            </w:pPr>
          </w:p>
        </w:tc>
        <w:tc>
          <w:tcPr>
            <w:tcW w:w="2128" w:type="dxa"/>
            <w:gridSpan w:val="3"/>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2135" w:type="dxa"/>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184" w:type="dxa"/>
            <w:gridSpan w:val="2"/>
            <w:vAlign w:val="center"/>
          </w:tcPr>
          <w:p>
            <w:pPr>
              <w:rPr>
                <w:rFonts w:ascii="仿宋" w:hAnsi="仿宋" w:eastAsia="仿宋" w:cs="仿宋"/>
                <w:color w:val="auto"/>
                <w:sz w:val="24"/>
                <w:szCs w:val="24"/>
                <w:highlight w:val="none"/>
              </w:rPr>
            </w:pPr>
          </w:p>
        </w:tc>
        <w:tc>
          <w:tcPr>
            <w:tcW w:w="927"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072" w:type="dxa"/>
            <w:vAlign w:val="center"/>
          </w:tcPr>
          <w:p>
            <w:pPr>
              <w:rPr>
                <w:rFonts w:ascii="仿宋" w:hAnsi="仿宋" w:eastAsia="仿宋" w:cs="仿宋"/>
                <w:color w:val="auto"/>
                <w:sz w:val="24"/>
                <w:szCs w:val="24"/>
                <w:highlight w:val="none"/>
              </w:rPr>
            </w:pPr>
          </w:p>
        </w:tc>
        <w:tc>
          <w:tcPr>
            <w:tcW w:w="2128" w:type="dxa"/>
            <w:gridSpan w:val="3"/>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拟在本合同任职</w:t>
            </w:r>
          </w:p>
        </w:tc>
        <w:tc>
          <w:tcPr>
            <w:tcW w:w="2135"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专  业</w:t>
            </w:r>
          </w:p>
        </w:tc>
        <w:tc>
          <w:tcPr>
            <w:tcW w:w="7446" w:type="dxa"/>
            <w:gridSpan w:val="8"/>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保险工作经历年限</w:t>
            </w:r>
          </w:p>
        </w:tc>
        <w:tc>
          <w:tcPr>
            <w:tcW w:w="7446" w:type="dxa"/>
            <w:gridSpan w:val="8"/>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47" w:type="dxa"/>
            <w:gridSpan w:val="9"/>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r>
              <w:rPr>
                <w:rFonts w:hint="eastAsia" w:ascii="仿宋" w:hAnsi="仿宋" w:eastAsia="仿宋" w:cs="仿宋"/>
                <w:snapToGrid w:val="0"/>
                <w:color w:val="auto"/>
                <w:sz w:val="24"/>
                <w:szCs w:val="24"/>
                <w:highlight w:val="none"/>
              </w:rPr>
              <w:t>（何时在哪些项目中任何职务）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gridSpan w:val="2"/>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20" w:type="dxa"/>
            <w:gridSpan w:val="4"/>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261" w:type="dxa"/>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301" w:type="dxa"/>
            <w:gridSpan w:val="2"/>
            <w:vAlign w:val="center"/>
          </w:tcPr>
          <w:p>
            <w:pPr>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color w:val="auto"/>
                <w:sz w:val="24"/>
                <w:szCs w:val="24"/>
                <w:highlight w:val="none"/>
              </w:rPr>
            </w:pPr>
          </w:p>
        </w:tc>
        <w:tc>
          <w:tcPr>
            <w:tcW w:w="3420" w:type="dxa"/>
            <w:gridSpan w:val="4"/>
          </w:tcPr>
          <w:p>
            <w:pPr>
              <w:rPr>
                <w:rFonts w:ascii="仿宋" w:hAnsi="仿宋" w:eastAsia="仿宋" w:cs="仿宋"/>
                <w:color w:val="auto"/>
                <w:sz w:val="24"/>
                <w:szCs w:val="24"/>
                <w:highlight w:val="none"/>
              </w:rPr>
            </w:pPr>
          </w:p>
        </w:tc>
        <w:tc>
          <w:tcPr>
            <w:tcW w:w="1261" w:type="dxa"/>
          </w:tcPr>
          <w:p>
            <w:pPr>
              <w:rPr>
                <w:rFonts w:ascii="仿宋" w:hAnsi="仿宋" w:eastAsia="仿宋" w:cs="仿宋"/>
                <w:color w:val="auto"/>
                <w:sz w:val="24"/>
                <w:szCs w:val="24"/>
                <w:highlight w:val="none"/>
              </w:rPr>
            </w:pPr>
          </w:p>
        </w:tc>
        <w:tc>
          <w:tcPr>
            <w:tcW w:w="2301" w:type="dxa"/>
            <w:gridSpan w:val="2"/>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color w:val="auto"/>
                <w:sz w:val="24"/>
                <w:szCs w:val="24"/>
                <w:highlight w:val="none"/>
              </w:rPr>
            </w:pPr>
          </w:p>
        </w:tc>
        <w:tc>
          <w:tcPr>
            <w:tcW w:w="3420" w:type="dxa"/>
            <w:gridSpan w:val="4"/>
          </w:tcPr>
          <w:p>
            <w:pPr>
              <w:rPr>
                <w:rFonts w:ascii="仿宋" w:hAnsi="仿宋" w:eastAsia="仿宋" w:cs="仿宋"/>
                <w:color w:val="auto"/>
                <w:sz w:val="24"/>
                <w:szCs w:val="24"/>
                <w:highlight w:val="none"/>
              </w:rPr>
            </w:pPr>
          </w:p>
        </w:tc>
        <w:tc>
          <w:tcPr>
            <w:tcW w:w="1261" w:type="dxa"/>
          </w:tcPr>
          <w:p>
            <w:pPr>
              <w:rPr>
                <w:rFonts w:ascii="仿宋" w:hAnsi="仿宋" w:eastAsia="仿宋" w:cs="仿宋"/>
                <w:color w:val="auto"/>
                <w:sz w:val="24"/>
                <w:szCs w:val="24"/>
                <w:highlight w:val="none"/>
              </w:rPr>
            </w:pPr>
          </w:p>
        </w:tc>
        <w:tc>
          <w:tcPr>
            <w:tcW w:w="2301" w:type="dxa"/>
            <w:gridSpan w:val="2"/>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7" w:type="dxa"/>
            <w:gridSpan w:val="9"/>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snapToGrid w:val="0"/>
                <w:color w:val="auto"/>
                <w:sz w:val="24"/>
                <w:szCs w:val="24"/>
                <w:highlight w:val="none"/>
              </w:rPr>
              <w:t>（有何其他特殊才能，受过哪些奖励等）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color w:val="auto"/>
                <w:sz w:val="24"/>
                <w:szCs w:val="24"/>
                <w:highlight w:val="none"/>
              </w:rPr>
            </w:pPr>
          </w:p>
        </w:tc>
        <w:tc>
          <w:tcPr>
            <w:tcW w:w="3420" w:type="dxa"/>
            <w:gridSpan w:val="4"/>
            <w:vAlign w:val="center"/>
          </w:tcPr>
          <w:p>
            <w:pPr>
              <w:rPr>
                <w:rFonts w:ascii="仿宋" w:hAnsi="仿宋" w:eastAsia="仿宋" w:cs="仿宋"/>
                <w:color w:val="auto"/>
                <w:sz w:val="24"/>
                <w:szCs w:val="24"/>
                <w:highlight w:val="none"/>
              </w:rPr>
            </w:pPr>
          </w:p>
        </w:tc>
        <w:tc>
          <w:tcPr>
            <w:tcW w:w="1261" w:type="dxa"/>
            <w:vAlign w:val="center"/>
          </w:tcPr>
          <w:p>
            <w:pPr>
              <w:rPr>
                <w:rFonts w:ascii="仿宋" w:hAnsi="仿宋" w:eastAsia="仿宋" w:cs="仿宋"/>
                <w:color w:val="auto"/>
                <w:sz w:val="24"/>
                <w:szCs w:val="24"/>
                <w:highlight w:val="none"/>
              </w:rPr>
            </w:pPr>
          </w:p>
        </w:tc>
        <w:tc>
          <w:tcPr>
            <w:tcW w:w="2301" w:type="dxa"/>
            <w:gridSpan w:val="2"/>
            <w:vAlign w:val="center"/>
          </w:tcPr>
          <w:p>
            <w:pPr>
              <w:rPr>
                <w:rFonts w:ascii="仿宋" w:hAnsi="仿宋" w:eastAsia="仿宋" w:cs="仿宋"/>
                <w:color w:val="auto"/>
                <w:sz w:val="24"/>
                <w:szCs w:val="24"/>
                <w:highlight w:val="none"/>
              </w:rPr>
            </w:pPr>
          </w:p>
        </w:tc>
      </w:tr>
    </w:tbl>
    <w:p>
      <w:pPr>
        <w:pStyle w:val="6"/>
        <w:rPr>
          <w:rFonts w:eastAsiaTheme="majorEastAsia"/>
          <w:color w:val="auto"/>
          <w:highlight w:val="none"/>
        </w:rPr>
        <w:sectPr>
          <w:footerReference r:id="rId3" w:type="default"/>
          <w:pgSz w:w="11906" w:h="16838"/>
          <w:pgMar w:top="2098" w:right="1474" w:bottom="1985" w:left="1588" w:header="851" w:footer="992" w:gutter="0"/>
          <w:pgNumType w:start="0"/>
          <w:cols w:space="425" w:num="1"/>
          <w:titlePg/>
          <w:docGrid w:type="lines" w:linePitch="312" w:charSpace="0"/>
        </w:sectPr>
      </w:pPr>
      <w:bookmarkStart w:id="106" w:name="_Toc88209965"/>
      <w:bookmarkStart w:id="107" w:name="_Toc87616402"/>
      <w:bookmarkStart w:id="108" w:name="_Toc16386"/>
      <w:bookmarkStart w:id="109" w:name="_Toc6058"/>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5.报价表</w:t>
      </w:r>
    </w:p>
    <w:p>
      <w:pPr>
        <w:spacing w:line="360" w:lineRule="exact"/>
        <w:jc w:val="center"/>
        <w:rPr>
          <w:rFonts w:ascii="仿宋" w:eastAsia="仿宋" w:cs="仿宋_GB2312"/>
          <w:b/>
          <w:color w:val="auto"/>
          <w:sz w:val="28"/>
          <w:szCs w:val="28"/>
          <w:highlight w:val="none"/>
        </w:rPr>
      </w:pPr>
    </w:p>
    <w:p>
      <w:pPr>
        <w:spacing w:line="360" w:lineRule="exact"/>
        <w:jc w:val="center"/>
        <w:rPr>
          <w:rFonts w:ascii="仿宋" w:hAnsi="仿宋" w:eastAsia="仿宋"/>
          <w:b/>
          <w:bCs/>
          <w:color w:val="auto"/>
          <w:sz w:val="28"/>
          <w:highlight w:val="none"/>
        </w:rPr>
      </w:pPr>
      <w:r>
        <w:rPr>
          <w:rFonts w:hint="eastAsia" w:ascii="仿宋" w:hAnsi="仿宋" w:eastAsia="仿宋"/>
          <w:b/>
          <w:bCs/>
          <w:color w:val="auto"/>
          <w:sz w:val="28"/>
          <w:highlight w:val="none"/>
        </w:rPr>
        <w:t>雇主责任保险报价表</w:t>
      </w:r>
    </w:p>
    <w:p>
      <w:pPr>
        <w:pStyle w:val="16"/>
        <w:rPr>
          <w:color w:val="auto"/>
          <w:highlight w:val="none"/>
        </w:rPr>
      </w:pPr>
    </w:p>
    <w:tbl>
      <w:tblPr>
        <w:tblStyle w:val="28"/>
        <w:tblpPr w:leftFromText="180" w:rightFromText="180" w:vertAnchor="text" w:horzAnchor="page" w:tblpX="1352" w:tblpY="288"/>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686"/>
        <w:gridCol w:w="1972"/>
        <w:gridCol w:w="143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 w:type="dxa"/>
            <w:vAlign w:val="center"/>
          </w:tcPr>
          <w:p>
            <w:pPr>
              <w:spacing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险 种</w:t>
            </w:r>
          </w:p>
        </w:tc>
        <w:tc>
          <w:tcPr>
            <w:tcW w:w="3686" w:type="dxa"/>
            <w:vAlign w:val="center"/>
          </w:tcPr>
          <w:p>
            <w:pPr>
              <w:spacing w:line="360" w:lineRule="exact"/>
              <w:ind w:firstLine="34"/>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保险金额</w:t>
            </w:r>
          </w:p>
        </w:tc>
        <w:tc>
          <w:tcPr>
            <w:tcW w:w="1972" w:type="dxa"/>
            <w:vAlign w:val="center"/>
          </w:tcPr>
          <w:p>
            <w:pPr>
              <w:spacing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免赔额</w:t>
            </w:r>
          </w:p>
        </w:tc>
        <w:tc>
          <w:tcPr>
            <w:tcW w:w="1430" w:type="dxa"/>
            <w:vAlign w:val="center"/>
          </w:tcPr>
          <w:p>
            <w:pPr>
              <w:spacing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费率</w:t>
            </w:r>
          </w:p>
        </w:tc>
        <w:tc>
          <w:tcPr>
            <w:tcW w:w="1276" w:type="dxa"/>
            <w:vAlign w:val="center"/>
          </w:tcPr>
          <w:p>
            <w:pPr>
              <w:spacing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总保险费报价（元）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 w:type="dxa"/>
            <w:vAlign w:val="center"/>
          </w:tcPr>
          <w:p>
            <w:pPr>
              <w:spacing w:line="36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雇主责任险</w:t>
            </w:r>
          </w:p>
        </w:tc>
        <w:tc>
          <w:tcPr>
            <w:tcW w:w="3686" w:type="dxa"/>
            <w:vAlign w:val="center"/>
          </w:tcPr>
          <w:p>
            <w:pPr>
              <w:pStyle w:val="67"/>
              <w:tabs>
                <w:tab w:val="left" w:pos="0"/>
                <w:tab w:val="left" w:pos="1980"/>
              </w:tabs>
              <w:spacing w:line="32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1、每人伤残、死亡赔偿限额：人民币200,000元</w:t>
            </w:r>
          </w:p>
          <w:p>
            <w:pPr>
              <w:pStyle w:val="67"/>
              <w:tabs>
                <w:tab w:val="left" w:pos="0"/>
                <w:tab w:val="left" w:pos="1980"/>
              </w:tabs>
              <w:spacing w:line="32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2、每人医疗费用赔偿限额：人民币20,000元</w:t>
            </w:r>
          </w:p>
          <w:p>
            <w:pPr>
              <w:pStyle w:val="67"/>
              <w:tabs>
                <w:tab w:val="left" w:pos="0"/>
                <w:tab w:val="left" w:pos="1980"/>
              </w:tabs>
              <w:spacing w:line="32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3、每人误工费用:暂时丧失工作能力在治疗期间，每天按人民币200元/人的工资标准补助误工费用，以医疗期满为限，最长不超过1年</w:t>
            </w:r>
          </w:p>
          <w:p>
            <w:pPr>
              <w:pStyle w:val="67"/>
              <w:tabs>
                <w:tab w:val="left" w:pos="0"/>
                <w:tab w:val="left" w:pos="1980"/>
                <w:tab w:val="clear" w:pos="2160"/>
                <w:tab w:val="clear" w:pos="2520"/>
              </w:tabs>
              <w:spacing w:line="32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4、保险期限内年度诉讼费用累计赔偿限额：人民币500,000元</w:t>
            </w:r>
          </w:p>
        </w:tc>
        <w:tc>
          <w:tcPr>
            <w:tcW w:w="1972" w:type="dxa"/>
            <w:vAlign w:val="center"/>
          </w:tcPr>
          <w:p>
            <w:pPr>
              <w:spacing w:line="32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误工补助：每人每次事故暂时丧失工作能力三天(包括三天)</w:t>
            </w:r>
          </w:p>
          <w:p>
            <w:pPr>
              <w:spacing w:line="32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其它无免赔</w:t>
            </w:r>
          </w:p>
        </w:tc>
        <w:tc>
          <w:tcPr>
            <w:tcW w:w="1430" w:type="dxa"/>
            <w:vAlign w:val="center"/>
          </w:tcPr>
          <w:p>
            <w:pPr>
              <w:spacing w:line="3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u w:val="single"/>
              </w:rPr>
              <w:t xml:space="preserve">     </w:t>
            </w:r>
            <w:r>
              <w:rPr>
                <w:rFonts w:ascii="仿宋" w:hAnsi="仿宋" w:eastAsia="仿宋" w:cs="仿宋"/>
                <w:b/>
                <w:color w:val="auto"/>
                <w:sz w:val="24"/>
                <w:szCs w:val="24"/>
                <w:highlight w:val="none"/>
              </w:rPr>
              <w:t>元</w:t>
            </w:r>
            <w:r>
              <w:rPr>
                <w:rFonts w:hint="eastAsia" w:ascii="仿宋" w:hAnsi="仿宋" w:eastAsia="仿宋" w:cs="仿宋"/>
                <w:b/>
                <w:color w:val="auto"/>
                <w:sz w:val="24"/>
                <w:szCs w:val="24"/>
                <w:highlight w:val="none"/>
              </w:rPr>
              <w:t>/人/年</w:t>
            </w:r>
          </w:p>
        </w:tc>
        <w:tc>
          <w:tcPr>
            <w:tcW w:w="1276" w:type="dxa"/>
            <w:vAlign w:val="center"/>
          </w:tcPr>
          <w:p>
            <w:pPr>
              <w:spacing w:line="3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大写（人民币）：</w:t>
            </w:r>
          </w:p>
          <w:p>
            <w:pPr>
              <w:spacing w:line="360" w:lineRule="exact"/>
              <w:rPr>
                <w:rFonts w:ascii="仿宋" w:hAnsi="仿宋" w:eastAsia="仿宋" w:cs="仿宋"/>
                <w:b/>
                <w:color w:val="auto"/>
                <w:sz w:val="24"/>
                <w:szCs w:val="24"/>
                <w:highlight w:val="none"/>
              </w:rPr>
            </w:pPr>
          </w:p>
          <w:p>
            <w:pPr>
              <w:spacing w:line="360" w:lineRule="exact"/>
              <w:rPr>
                <w:rFonts w:ascii="仿宋" w:hAnsi="仿宋" w:eastAsia="仿宋" w:cs="仿宋"/>
                <w:b/>
                <w:color w:val="auto"/>
                <w:sz w:val="24"/>
                <w:szCs w:val="24"/>
                <w:highlight w:val="none"/>
              </w:rPr>
            </w:pPr>
          </w:p>
          <w:p>
            <w:pPr>
              <w:spacing w:line="360" w:lineRule="exact"/>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 写（</w:t>
            </w:r>
            <w:r>
              <w:rPr>
                <w:rFonts w:hint="eastAsia" w:ascii="宋体" w:hAnsi="宋体" w:cs="宋体"/>
                <w:b/>
                <w:color w:val="auto"/>
                <w:sz w:val="24"/>
                <w:szCs w:val="24"/>
                <w:highlight w:val="none"/>
              </w:rPr>
              <w:t>¥</w:t>
            </w: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56" w:type="dxa"/>
            <w:gridSpan w:val="5"/>
            <w:vAlign w:val="center"/>
          </w:tcPr>
          <w:p>
            <w:pPr>
              <w:spacing w:line="3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说明：上述报价均为费率报价且单项报价须精确至小数点后</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位。</w:t>
            </w:r>
          </w:p>
        </w:tc>
      </w:tr>
    </w:tbl>
    <w:p>
      <w:pPr>
        <w:adjustRightInd w:val="0"/>
        <w:snapToGrid w:val="0"/>
        <w:spacing w:line="600" w:lineRule="exact"/>
        <w:ind w:left="0" w:firstLine="0" w:firstLineChars="0"/>
        <w:jc w:val="both"/>
        <w:rPr>
          <w:rFonts w:ascii="仿宋_GB2312" w:eastAsia="仿宋_GB2312" w:hAnsiTheme="minorEastAsia"/>
          <w:color w:val="auto"/>
          <w:sz w:val="30"/>
          <w:szCs w:val="30"/>
          <w:highlight w:val="none"/>
        </w:rPr>
      </w:pPr>
      <w:r>
        <w:rPr>
          <w:rFonts w:hint="eastAsia" w:ascii="仿宋_GB2312" w:eastAsia="仿宋_GB2312" w:hAnsiTheme="minorEastAsia"/>
          <w:color w:val="auto"/>
          <w:sz w:val="30"/>
          <w:szCs w:val="30"/>
          <w:highlight w:val="none"/>
        </w:rPr>
        <w:t>供应商：</w:t>
      </w:r>
      <w:r>
        <w:rPr>
          <w:rFonts w:hint="eastAsia" w:ascii="仿宋_GB2312" w:eastAsia="仿宋_GB2312" w:hAnsiTheme="minorEastAsia"/>
          <w:color w:val="auto"/>
          <w:sz w:val="30"/>
          <w:szCs w:val="30"/>
          <w:highlight w:val="none"/>
          <w:u w:val="single"/>
        </w:rPr>
        <w:t xml:space="preserve">                 </w:t>
      </w:r>
      <w:r>
        <w:rPr>
          <w:rFonts w:hint="eastAsia" w:ascii="仿宋_GB2312" w:eastAsia="仿宋_GB2312" w:hAnsiTheme="minorEastAsia"/>
          <w:color w:val="auto"/>
          <w:sz w:val="30"/>
          <w:szCs w:val="30"/>
          <w:highlight w:val="none"/>
        </w:rPr>
        <w:t>（单位公章）</w:t>
      </w:r>
    </w:p>
    <w:p>
      <w:pPr>
        <w:widowControl/>
        <w:jc w:val="left"/>
        <w:rPr>
          <w:rFonts w:hint="eastAsia" w:cs="Times New Roman" w:asciiTheme="minorEastAsia" w:hAnsiTheme="minorEastAsia"/>
          <w:b/>
          <w:bCs/>
          <w:color w:val="auto"/>
          <w:sz w:val="28"/>
          <w:szCs w:val="28"/>
          <w:highlight w:val="none"/>
        </w:rPr>
      </w:pPr>
      <w:r>
        <w:rPr>
          <w:rFonts w:hint="eastAsia" w:ascii="仿宋_GB2312" w:eastAsia="仿宋_GB2312" w:hAnsiTheme="minorEastAsia"/>
          <w:color w:val="auto"/>
          <w:sz w:val="30"/>
          <w:szCs w:val="30"/>
          <w:highlight w:val="none"/>
        </w:rPr>
        <w:t>年</w:t>
      </w:r>
      <w:r>
        <w:rPr>
          <w:rFonts w:hint="eastAsia" w:ascii="仿宋_GB2312" w:eastAsia="仿宋_GB2312" w:hAnsiTheme="minorEastAsia"/>
          <w:color w:val="auto"/>
          <w:sz w:val="30"/>
          <w:szCs w:val="30"/>
          <w:highlight w:val="none"/>
          <w:u w:val="single"/>
        </w:rPr>
        <w:t xml:space="preserve">    </w:t>
      </w:r>
      <w:r>
        <w:rPr>
          <w:rFonts w:hint="eastAsia" w:ascii="仿宋_GB2312" w:eastAsia="仿宋_GB2312" w:hAnsiTheme="minorEastAsia"/>
          <w:color w:val="auto"/>
          <w:sz w:val="30"/>
          <w:szCs w:val="30"/>
          <w:highlight w:val="none"/>
        </w:rPr>
        <w:t>月</w:t>
      </w:r>
      <w:r>
        <w:rPr>
          <w:rFonts w:hint="eastAsia" w:ascii="仿宋_GB2312" w:eastAsia="仿宋_GB2312" w:hAnsiTheme="minorEastAsia"/>
          <w:color w:val="auto"/>
          <w:sz w:val="30"/>
          <w:szCs w:val="30"/>
          <w:highlight w:val="none"/>
          <w:u w:val="single"/>
        </w:rPr>
        <w:t xml:space="preserve">    </w:t>
      </w:r>
      <w:r>
        <w:rPr>
          <w:rFonts w:hint="eastAsia" w:ascii="仿宋_GB2312" w:eastAsia="仿宋_GB2312" w:hAnsiTheme="minorEastAsia"/>
          <w:color w:val="auto"/>
          <w:sz w:val="30"/>
          <w:szCs w:val="30"/>
          <w:highlight w:val="none"/>
        </w:rPr>
        <w:t>日</w:t>
      </w:r>
    </w:p>
    <w:p>
      <w:pPr>
        <w:widowControl/>
        <w:jc w:val="left"/>
        <w:rPr>
          <w:rFonts w:hint="eastAsia" w:cs="Times New Roman" w:asciiTheme="minorEastAsia" w:hAnsiTheme="minorEastAsia"/>
          <w:b/>
          <w:bCs/>
          <w:color w:val="auto"/>
          <w:sz w:val="28"/>
          <w:szCs w:val="28"/>
          <w:highlight w:val="none"/>
        </w:rPr>
      </w:pPr>
    </w:p>
    <w:p>
      <w:pPr>
        <w:rPr>
          <w:rFonts w:hint="eastAsia"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br w:type="page"/>
      </w:r>
    </w:p>
    <w:p>
      <w:pPr>
        <w:widowControl/>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6.其他资料</w:t>
      </w:r>
      <w:bookmarkEnd w:id="106"/>
      <w:bookmarkEnd w:id="107"/>
      <w:bookmarkEnd w:id="108"/>
      <w:bookmarkEnd w:id="10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如</w:t>
      </w:r>
      <w:r>
        <w:rPr>
          <w:rFonts w:ascii="仿宋_GB2312" w:eastAsia="仿宋_GB2312" w:hAnsiTheme="minorEastAsia"/>
          <w:b/>
          <w:color w:val="auto"/>
          <w:sz w:val="28"/>
          <w:szCs w:val="28"/>
          <w:highlight w:val="none"/>
        </w:rPr>
        <w:t>业绩证明资料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299042"/>
      <w:docPartObj>
        <w:docPartGallery w:val="autotext"/>
      </w:docPartObj>
    </w:sdtPr>
    <w:sdtContent>
      <w:p>
        <w:pPr>
          <w:pStyle w:val="19"/>
          <w:jc w:val="center"/>
        </w:pPr>
        <w:r>
          <w:fldChar w:fldCharType="begin"/>
        </w:r>
        <w:r>
          <w:instrText xml:space="preserve">PAGE   \* MERGEFORMAT</w:instrText>
        </w:r>
        <w:r>
          <w:fldChar w:fldCharType="separate"/>
        </w:r>
        <w:r>
          <w:rPr>
            <w:lang w:val="zh-CN"/>
          </w:rPr>
          <w:t>4</w:t>
        </w:r>
        <w: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pPr>
        <w:tabs>
          <w:tab w:val="left" w:pos="0"/>
        </w:tabs>
        <w:ind w:left="0" w:firstLine="0"/>
      </w:pPr>
    </w:lvl>
  </w:abstractNum>
  <w:abstractNum w:abstractNumId="3">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AB8422F"/>
    <w:multiLevelType w:val="multilevel"/>
    <w:tmpl w:val="7AB8422F"/>
    <w:lvl w:ilvl="0" w:tentative="0">
      <w:start w:val="1"/>
      <w:numFmt w:val="japaneseCounting"/>
      <w:lvlText w:val="第%1条"/>
      <w:lvlJc w:val="left"/>
      <w:pPr>
        <w:ind w:left="1635" w:hanging="1005"/>
      </w:pPr>
      <w:rPr>
        <w:rFonts w:hint="eastAsia" w:ascii="等线" w:hAnsi="等线" w:eastAsia="等线"/>
        <w:b/>
        <w:sz w:val="24"/>
        <w:szCs w:val="24"/>
        <w:lang w:val="en-US"/>
      </w:rPr>
    </w:lvl>
    <w:lvl w:ilvl="1" w:tentative="0">
      <w:start w:val="1"/>
      <w:numFmt w:val="lowerLetter"/>
      <w:lvlText w:val="%2)"/>
      <w:lvlJc w:val="left"/>
      <w:pPr>
        <w:ind w:left="3029" w:hanging="420"/>
      </w:pPr>
    </w:lvl>
    <w:lvl w:ilvl="2" w:tentative="0">
      <w:start w:val="1"/>
      <w:numFmt w:val="lowerRoman"/>
      <w:lvlText w:val="%3."/>
      <w:lvlJc w:val="right"/>
      <w:pPr>
        <w:ind w:left="3449" w:hanging="420"/>
      </w:pPr>
    </w:lvl>
    <w:lvl w:ilvl="3" w:tentative="0">
      <w:start w:val="1"/>
      <w:numFmt w:val="decimal"/>
      <w:lvlText w:val="%4."/>
      <w:lvlJc w:val="left"/>
      <w:pPr>
        <w:ind w:left="3869" w:hanging="420"/>
      </w:pPr>
    </w:lvl>
    <w:lvl w:ilvl="4" w:tentative="0">
      <w:start w:val="1"/>
      <w:numFmt w:val="lowerLetter"/>
      <w:lvlText w:val="%5)"/>
      <w:lvlJc w:val="left"/>
      <w:pPr>
        <w:ind w:left="4289" w:hanging="420"/>
      </w:pPr>
    </w:lvl>
    <w:lvl w:ilvl="5" w:tentative="0">
      <w:start w:val="1"/>
      <w:numFmt w:val="lowerRoman"/>
      <w:lvlText w:val="%6."/>
      <w:lvlJc w:val="right"/>
      <w:pPr>
        <w:ind w:left="4709" w:hanging="420"/>
      </w:pPr>
    </w:lvl>
    <w:lvl w:ilvl="6" w:tentative="0">
      <w:start w:val="1"/>
      <w:numFmt w:val="decimal"/>
      <w:lvlText w:val="%7."/>
      <w:lvlJc w:val="left"/>
      <w:pPr>
        <w:ind w:left="5129" w:hanging="420"/>
      </w:pPr>
    </w:lvl>
    <w:lvl w:ilvl="7" w:tentative="0">
      <w:start w:val="1"/>
      <w:numFmt w:val="lowerLetter"/>
      <w:lvlText w:val="%8)"/>
      <w:lvlJc w:val="left"/>
      <w:pPr>
        <w:ind w:left="5549" w:hanging="420"/>
      </w:pPr>
    </w:lvl>
    <w:lvl w:ilvl="8" w:tentative="0">
      <w:start w:val="1"/>
      <w:numFmt w:val="lowerRoman"/>
      <w:lvlText w:val="%9."/>
      <w:lvlJc w:val="right"/>
      <w:pPr>
        <w:ind w:left="5969"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305F7"/>
    <w:rsid w:val="00045F7B"/>
    <w:rsid w:val="00061B28"/>
    <w:rsid w:val="000B5134"/>
    <w:rsid w:val="000B64F6"/>
    <w:rsid w:val="000C2445"/>
    <w:rsid w:val="000D0DB0"/>
    <w:rsid w:val="000D3F4C"/>
    <w:rsid w:val="000E5E28"/>
    <w:rsid w:val="000F0914"/>
    <w:rsid w:val="001073DA"/>
    <w:rsid w:val="0014704B"/>
    <w:rsid w:val="00154275"/>
    <w:rsid w:val="001624B7"/>
    <w:rsid w:val="00173D34"/>
    <w:rsid w:val="0019614A"/>
    <w:rsid w:val="001A203D"/>
    <w:rsid w:val="001A6C1A"/>
    <w:rsid w:val="001B0248"/>
    <w:rsid w:val="001D3D8B"/>
    <w:rsid w:val="001F4C1D"/>
    <w:rsid w:val="0020071E"/>
    <w:rsid w:val="00207AF3"/>
    <w:rsid w:val="002253EF"/>
    <w:rsid w:val="002406C2"/>
    <w:rsid w:val="00272B56"/>
    <w:rsid w:val="002B5F42"/>
    <w:rsid w:val="0038603C"/>
    <w:rsid w:val="00391F5B"/>
    <w:rsid w:val="003B780E"/>
    <w:rsid w:val="003D108B"/>
    <w:rsid w:val="003D60BA"/>
    <w:rsid w:val="003E0080"/>
    <w:rsid w:val="003F093B"/>
    <w:rsid w:val="00411689"/>
    <w:rsid w:val="004239E4"/>
    <w:rsid w:val="00444F96"/>
    <w:rsid w:val="0046489A"/>
    <w:rsid w:val="004A07AB"/>
    <w:rsid w:val="004C4EB8"/>
    <w:rsid w:val="004D0CEC"/>
    <w:rsid w:val="0052560B"/>
    <w:rsid w:val="00533D0E"/>
    <w:rsid w:val="00543F6F"/>
    <w:rsid w:val="00552834"/>
    <w:rsid w:val="00573D74"/>
    <w:rsid w:val="005B6E31"/>
    <w:rsid w:val="005D618A"/>
    <w:rsid w:val="00622D50"/>
    <w:rsid w:val="006321FE"/>
    <w:rsid w:val="00647534"/>
    <w:rsid w:val="0068412D"/>
    <w:rsid w:val="00696B46"/>
    <w:rsid w:val="006A53BD"/>
    <w:rsid w:val="006B35E2"/>
    <w:rsid w:val="006C2793"/>
    <w:rsid w:val="006E4291"/>
    <w:rsid w:val="006E4E86"/>
    <w:rsid w:val="006E516F"/>
    <w:rsid w:val="00794281"/>
    <w:rsid w:val="007C2B8F"/>
    <w:rsid w:val="007C3F13"/>
    <w:rsid w:val="008409E6"/>
    <w:rsid w:val="00843F48"/>
    <w:rsid w:val="0085167A"/>
    <w:rsid w:val="0085484D"/>
    <w:rsid w:val="00857946"/>
    <w:rsid w:val="008855F8"/>
    <w:rsid w:val="00886F42"/>
    <w:rsid w:val="008B2F13"/>
    <w:rsid w:val="00911ECD"/>
    <w:rsid w:val="00935CD9"/>
    <w:rsid w:val="0096231A"/>
    <w:rsid w:val="00967402"/>
    <w:rsid w:val="00967B3E"/>
    <w:rsid w:val="00976C84"/>
    <w:rsid w:val="009814CB"/>
    <w:rsid w:val="009B5921"/>
    <w:rsid w:val="00A042E0"/>
    <w:rsid w:val="00A170B9"/>
    <w:rsid w:val="00A2465F"/>
    <w:rsid w:val="00A40AF5"/>
    <w:rsid w:val="00A67F36"/>
    <w:rsid w:val="00AD3451"/>
    <w:rsid w:val="00B26BB1"/>
    <w:rsid w:val="00B26E21"/>
    <w:rsid w:val="00B33BB7"/>
    <w:rsid w:val="00B54A80"/>
    <w:rsid w:val="00B56270"/>
    <w:rsid w:val="00B917D3"/>
    <w:rsid w:val="00B94570"/>
    <w:rsid w:val="00BB57C7"/>
    <w:rsid w:val="00BD29B1"/>
    <w:rsid w:val="00BF7807"/>
    <w:rsid w:val="00C15E07"/>
    <w:rsid w:val="00CA46C6"/>
    <w:rsid w:val="00CE6864"/>
    <w:rsid w:val="00D15E18"/>
    <w:rsid w:val="00D23511"/>
    <w:rsid w:val="00DF1BCE"/>
    <w:rsid w:val="00E06CF7"/>
    <w:rsid w:val="00ED1646"/>
    <w:rsid w:val="00EE4C75"/>
    <w:rsid w:val="00EF1F7D"/>
    <w:rsid w:val="00EF713E"/>
    <w:rsid w:val="00F27BAF"/>
    <w:rsid w:val="00F63104"/>
    <w:rsid w:val="00F64243"/>
    <w:rsid w:val="00F83B64"/>
    <w:rsid w:val="00F91646"/>
    <w:rsid w:val="00FB59A7"/>
    <w:rsid w:val="00FC513F"/>
    <w:rsid w:val="02090C75"/>
    <w:rsid w:val="02A23A3C"/>
    <w:rsid w:val="03AC246A"/>
    <w:rsid w:val="03B23056"/>
    <w:rsid w:val="03DC3EBA"/>
    <w:rsid w:val="03F9794D"/>
    <w:rsid w:val="046A2461"/>
    <w:rsid w:val="0649303A"/>
    <w:rsid w:val="06C64829"/>
    <w:rsid w:val="077D16D2"/>
    <w:rsid w:val="08675FC8"/>
    <w:rsid w:val="094D0BFE"/>
    <w:rsid w:val="09B713FD"/>
    <w:rsid w:val="09EF6ACC"/>
    <w:rsid w:val="0A315056"/>
    <w:rsid w:val="0A8034D2"/>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164481"/>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E84705"/>
    <w:rsid w:val="215E0340"/>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7C2231"/>
    <w:rsid w:val="2ABB753D"/>
    <w:rsid w:val="2B7A49FA"/>
    <w:rsid w:val="2BF44073"/>
    <w:rsid w:val="2BFC7821"/>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7666E72"/>
    <w:rsid w:val="37FD1A96"/>
    <w:rsid w:val="38167A04"/>
    <w:rsid w:val="394B167A"/>
    <w:rsid w:val="3A4E4336"/>
    <w:rsid w:val="3A6007FE"/>
    <w:rsid w:val="3B7C2CE4"/>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5F0690"/>
    <w:rsid w:val="4ADA1F63"/>
    <w:rsid w:val="4AE23D89"/>
    <w:rsid w:val="4B2038D0"/>
    <w:rsid w:val="4B296E7D"/>
    <w:rsid w:val="4B2F7E2E"/>
    <w:rsid w:val="4B877F28"/>
    <w:rsid w:val="4D916BA6"/>
    <w:rsid w:val="4DC44169"/>
    <w:rsid w:val="4E324212"/>
    <w:rsid w:val="4EF0709E"/>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ED48F7"/>
    <w:rsid w:val="5BFC33FA"/>
    <w:rsid w:val="5C3107A4"/>
    <w:rsid w:val="5C3B1B93"/>
    <w:rsid w:val="5C9220DF"/>
    <w:rsid w:val="5C9C2D4D"/>
    <w:rsid w:val="5D4A15F3"/>
    <w:rsid w:val="5D69542A"/>
    <w:rsid w:val="5E0930EF"/>
    <w:rsid w:val="5E3D4D53"/>
    <w:rsid w:val="5E4717E6"/>
    <w:rsid w:val="5E55774C"/>
    <w:rsid w:val="60104DDC"/>
    <w:rsid w:val="605C0804"/>
    <w:rsid w:val="6189617B"/>
    <w:rsid w:val="61B52BB6"/>
    <w:rsid w:val="61B749C2"/>
    <w:rsid w:val="62280D20"/>
    <w:rsid w:val="628B62BB"/>
    <w:rsid w:val="62CA2457"/>
    <w:rsid w:val="638240A1"/>
    <w:rsid w:val="63A5257B"/>
    <w:rsid w:val="63BD3DCC"/>
    <w:rsid w:val="63C61741"/>
    <w:rsid w:val="64560967"/>
    <w:rsid w:val="65360172"/>
    <w:rsid w:val="656B1D10"/>
    <w:rsid w:val="66022B28"/>
    <w:rsid w:val="66581E87"/>
    <w:rsid w:val="66A17C34"/>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9F409E"/>
    <w:rsid w:val="6FC746F5"/>
    <w:rsid w:val="70317AC6"/>
    <w:rsid w:val="70863262"/>
    <w:rsid w:val="70A76ED3"/>
    <w:rsid w:val="713B2D49"/>
    <w:rsid w:val="71860B17"/>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2"/>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3"/>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4"/>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5"/>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1"/>
    <w:qFormat/>
    <w:uiPriority w:val="99"/>
    <w:pPr>
      <w:spacing w:line="360" w:lineRule="auto"/>
      <w:ind w:firstLine="420"/>
    </w:pPr>
    <w:rPr>
      <w:rFonts w:eastAsia="等线"/>
      <w:color w:val="000000"/>
      <w:szCs w:val="24"/>
    </w:rPr>
  </w:style>
  <w:style w:type="paragraph" w:styleId="3">
    <w:name w:val="Body Text Indent"/>
    <w:basedOn w:val="1"/>
    <w:link w:val="40"/>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77"/>
    <w:qFormat/>
    <w:uiPriority w:val="0"/>
    <w:pPr>
      <w:jc w:val="left"/>
    </w:pPr>
    <w:rPr>
      <w:rFonts w:ascii="Times New Roman" w:hAnsi="Times New Roman" w:eastAsia="宋体" w:cs="Times New Roman"/>
      <w:szCs w:val="20"/>
    </w:rPr>
  </w:style>
  <w:style w:type="paragraph" w:styleId="10">
    <w:name w:val="Body Text 3"/>
    <w:basedOn w:val="1"/>
    <w:link w:val="46"/>
    <w:unhideWhenUsed/>
    <w:qFormat/>
    <w:uiPriority w:val="99"/>
    <w:pPr>
      <w:spacing w:after="120"/>
    </w:pPr>
    <w:rPr>
      <w:sz w:val="16"/>
      <w:szCs w:val="16"/>
    </w:rPr>
  </w:style>
  <w:style w:type="paragraph" w:styleId="11">
    <w:name w:val="Body Text"/>
    <w:basedOn w:val="1"/>
    <w:next w:val="12"/>
    <w:link w:val="47"/>
    <w:qFormat/>
    <w:uiPriority w:val="0"/>
    <w:pPr>
      <w:spacing w:after="120"/>
    </w:pPr>
  </w:style>
  <w:style w:type="paragraph" w:styleId="12">
    <w:name w:val="Body Text 2"/>
    <w:basedOn w:val="1"/>
    <w:qFormat/>
    <w:uiPriority w:val="99"/>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63"/>
    <w:unhideWhenUsed/>
    <w:qFormat/>
    <w:uiPriority w:val="0"/>
    <w:pPr>
      <w:spacing w:after="120" w:line="480" w:lineRule="auto"/>
      <w:ind w:left="420" w:leftChars="200"/>
    </w:pPr>
  </w:style>
  <w:style w:type="paragraph" w:styleId="18">
    <w:name w:val="Balloon Text"/>
    <w:basedOn w:val="1"/>
    <w:link w:val="48"/>
    <w:unhideWhenUsed/>
    <w:qFormat/>
    <w:uiPriority w:val="0"/>
    <w:rPr>
      <w:sz w:val="18"/>
      <w:szCs w:val="18"/>
    </w:rPr>
  </w:style>
  <w:style w:type="paragraph" w:styleId="19">
    <w:name w:val="footer"/>
    <w:basedOn w:val="1"/>
    <w:link w:val="49"/>
    <w:unhideWhenUsed/>
    <w:qFormat/>
    <w:uiPriority w:val="99"/>
    <w:pPr>
      <w:tabs>
        <w:tab w:val="center" w:pos="4153"/>
        <w:tab w:val="right" w:pos="8306"/>
      </w:tabs>
      <w:snapToGrid w:val="0"/>
      <w:jc w:val="left"/>
    </w:pPr>
    <w:rPr>
      <w:sz w:val="18"/>
      <w:szCs w:val="18"/>
    </w:rPr>
  </w:style>
  <w:style w:type="paragraph" w:styleId="20">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kern w:val="0"/>
      <w:sz w:val="22"/>
    </w:rPr>
  </w:style>
  <w:style w:type="paragraph" w:styleId="22">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6">
    <w:name w:val="annotation subject"/>
    <w:basedOn w:val="9"/>
    <w:next w:val="9"/>
    <w:link w:val="96"/>
    <w:semiHidden/>
    <w:unhideWhenUsed/>
    <w:qFormat/>
    <w:uiPriority w:val="99"/>
    <w:rPr>
      <w:rFonts w:asciiTheme="minorHAnsi" w:hAnsiTheme="minorHAnsi" w:eastAsiaTheme="minorEastAsia" w:cstheme="minorBidi"/>
      <w:b/>
      <w:bCs/>
      <w:szCs w:val="22"/>
    </w:rPr>
  </w:style>
  <w:style w:type="paragraph" w:styleId="27">
    <w:name w:val="Body Text First Indent"/>
    <w:basedOn w:val="11"/>
    <w:link w:val="62"/>
    <w:unhideWhenUsed/>
    <w:qFormat/>
    <w:uiPriority w:val="99"/>
    <w:pPr>
      <w:ind w:firstLine="420" w:firstLineChars="100"/>
    </w:p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character" w:customStyle="1" w:styleId="40">
    <w:name w:val="正文文本缩进 字符"/>
    <w:basedOn w:val="30"/>
    <w:link w:val="3"/>
    <w:qFormat/>
    <w:uiPriority w:val="99"/>
    <w:rPr>
      <w:rFonts w:ascii="宋体" w:hAnsi="宋体" w:cs="Times New Roman"/>
      <w:sz w:val="24"/>
    </w:rPr>
  </w:style>
  <w:style w:type="character" w:customStyle="1" w:styleId="41">
    <w:name w:val="正文文本首行缩进 2 字符"/>
    <w:basedOn w:val="40"/>
    <w:link w:val="2"/>
    <w:qFormat/>
    <w:uiPriority w:val="99"/>
    <w:rPr>
      <w:rFonts w:ascii="宋体" w:hAnsi="宋体" w:eastAsia="等线" w:cs="Times New Roman"/>
      <w:color w:val="000000"/>
      <w:sz w:val="24"/>
      <w:szCs w:val="24"/>
    </w:rPr>
  </w:style>
  <w:style w:type="character" w:customStyle="1" w:styleId="42">
    <w:name w:val="标题 1 字符"/>
    <w:basedOn w:val="30"/>
    <w:link w:val="4"/>
    <w:qFormat/>
    <w:uiPriority w:val="9"/>
    <w:rPr>
      <w:rFonts w:eastAsia="方正小标宋简体"/>
      <w:bCs/>
      <w:kern w:val="44"/>
      <w:sz w:val="44"/>
      <w:szCs w:val="44"/>
    </w:rPr>
  </w:style>
  <w:style w:type="character" w:customStyle="1" w:styleId="43">
    <w:name w:val="标题 2 字符"/>
    <w:basedOn w:val="30"/>
    <w:link w:val="5"/>
    <w:qFormat/>
    <w:uiPriority w:val="9"/>
    <w:rPr>
      <w:rFonts w:eastAsia="方正小标宋简体" w:asciiTheme="majorHAnsi" w:hAnsiTheme="majorHAnsi" w:cstheme="majorBidi"/>
      <w:bCs/>
      <w:sz w:val="36"/>
      <w:szCs w:val="32"/>
    </w:rPr>
  </w:style>
  <w:style w:type="character" w:customStyle="1" w:styleId="44">
    <w:name w:val="标题 3 字符"/>
    <w:basedOn w:val="30"/>
    <w:link w:val="6"/>
    <w:qFormat/>
    <w:uiPriority w:val="9"/>
    <w:rPr>
      <w:rFonts w:ascii="Calibri" w:hAnsi="Calibri" w:eastAsia="宋体" w:cs="Times New Roman"/>
      <w:b/>
      <w:bCs/>
      <w:sz w:val="32"/>
      <w:szCs w:val="32"/>
    </w:rPr>
  </w:style>
  <w:style w:type="character" w:customStyle="1" w:styleId="45">
    <w:name w:val="标题 4 字符"/>
    <w:basedOn w:val="30"/>
    <w:link w:val="7"/>
    <w:qFormat/>
    <w:uiPriority w:val="0"/>
    <w:rPr>
      <w:rFonts w:ascii="Arial" w:hAnsi="Arial" w:eastAsia="黑体" w:cs="Times New Roman"/>
      <w:b/>
      <w:bCs/>
      <w:kern w:val="2"/>
      <w:sz w:val="28"/>
      <w:szCs w:val="28"/>
    </w:rPr>
  </w:style>
  <w:style w:type="character" w:customStyle="1" w:styleId="46">
    <w:name w:val="正文文本 3 字符"/>
    <w:basedOn w:val="30"/>
    <w:link w:val="10"/>
    <w:semiHidden/>
    <w:qFormat/>
    <w:uiPriority w:val="99"/>
    <w:rPr>
      <w:sz w:val="16"/>
      <w:szCs w:val="16"/>
    </w:rPr>
  </w:style>
  <w:style w:type="character" w:customStyle="1" w:styleId="47">
    <w:name w:val="正文文本 字符"/>
    <w:basedOn w:val="30"/>
    <w:link w:val="11"/>
    <w:qFormat/>
    <w:uiPriority w:val="0"/>
    <w:rPr>
      <w:kern w:val="2"/>
      <w:sz w:val="21"/>
      <w:szCs w:val="22"/>
    </w:rPr>
  </w:style>
  <w:style w:type="character" w:customStyle="1" w:styleId="48">
    <w:name w:val="批注框文本 字符"/>
    <w:basedOn w:val="30"/>
    <w:link w:val="18"/>
    <w:semiHidden/>
    <w:qFormat/>
    <w:uiPriority w:val="99"/>
    <w:rPr>
      <w:sz w:val="18"/>
      <w:szCs w:val="18"/>
    </w:rPr>
  </w:style>
  <w:style w:type="character" w:customStyle="1" w:styleId="49">
    <w:name w:val="页脚 字符"/>
    <w:basedOn w:val="30"/>
    <w:link w:val="19"/>
    <w:qFormat/>
    <w:uiPriority w:val="99"/>
    <w:rPr>
      <w:sz w:val="18"/>
      <w:szCs w:val="18"/>
    </w:rPr>
  </w:style>
  <w:style w:type="character" w:customStyle="1" w:styleId="50">
    <w:name w:val="页眉 字符1"/>
    <w:basedOn w:val="30"/>
    <w:link w:val="20"/>
    <w:qFormat/>
    <w:uiPriority w:val="0"/>
    <w:rPr>
      <w:sz w:val="18"/>
      <w:szCs w:val="18"/>
    </w:rPr>
  </w:style>
  <w:style w:type="paragraph" w:styleId="51">
    <w:name w:val="List Paragraph"/>
    <w:basedOn w:val="1"/>
    <w:link w:val="52"/>
    <w:qFormat/>
    <w:uiPriority w:val="0"/>
    <w:pPr>
      <w:ind w:firstLine="420" w:firstLineChars="200"/>
    </w:pPr>
  </w:style>
  <w:style w:type="character" w:customStyle="1" w:styleId="52">
    <w:name w:val="列表段落 字符"/>
    <w:link w:val="51"/>
    <w:qFormat/>
    <w:uiPriority w:val="34"/>
  </w:style>
  <w:style w:type="paragraph" w:customStyle="1" w:styleId="5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M97"/>
    <w:basedOn w:val="15"/>
    <w:next w:val="15"/>
    <w:qFormat/>
    <w:uiPriority w:val="0"/>
    <w:pPr>
      <w:spacing w:after="373"/>
    </w:pPr>
    <w:rPr>
      <w:color w:val="auto"/>
    </w:rPr>
  </w:style>
  <w:style w:type="paragraph" w:customStyle="1" w:styleId="56">
    <w:name w:val="CM91"/>
    <w:basedOn w:val="15"/>
    <w:next w:val="15"/>
    <w:qFormat/>
    <w:uiPriority w:val="0"/>
    <w:pPr>
      <w:spacing w:after="160"/>
    </w:pPr>
    <w:rPr>
      <w:color w:val="auto"/>
    </w:rPr>
  </w:style>
  <w:style w:type="character" w:customStyle="1" w:styleId="57">
    <w:name w:val="正文文本 3 Char"/>
    <w:qFormat/>
    <w:uiPriority w:val="99"/>
    <w:rPr>
      <w:sz w:val="16"/>
      <w:szCs w:val="16"/>
    </w:rPr>
  </w:style>
  <w:style w:type="paragraph" w:customStyle="1" w:styleId="58">
    <w:name w:val="1"/>
    <w:basedOn w:val="1"/>
    <w:next w:val="14"/>
    <w:qFormat/>
    <w:uiPriority w:val="99"/>
    <w:rPr>
      <w:rFonts w:ascii="宋体" w:hAnsi="Courier New"/>
    </w:rPr>
  </w:style>
  <w:style w:type="paragraph" w:customStyle="1" w:styleId="59">
    <w:name w:val="WPSOffice手动目录 1"/>
    <w:qFormat/>
    <w:uiPriority w:val="0"/>
    <w:rPr>
      <w:rFonts w:asciiTheme="minorHAnsi" w:hAnsiTheme="minorHAnsi" w:eastAsiaTheme="minorEastAsia" w:cstheme="minorBidi"/>
      <w:lang w:val="en-US" w:eastAsia="zh-CN" w:bidi="ar-SA"/>
    </w:rPr>
  </w:style>
  <w:style w:type="paragraph" w:customStyle="1" w:styleId="6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2">
    <w:name w:val="正文文本首行缩进 字符"/>
    <w:basedOn w:val="47"/>
    <w:link w:val="27"/>
    <w:semiHidden/>
    <w:qFormat/>
    <w:uiPriority w:val="99"/>
    <w:rPr>
      <w:kern w:val="2"/>
      <w:sz w:val="21"/>
      <w:szCs w:val="22"/>
    </w:rPr>
  </w:style>
  <w:style w:type="character" w:customStyle="1" w:styleId="63">
    <w:name w:val="正文文本缩进 2 字符"/>
    <w:basedOn w:val="30"/>
    <w:link w:val="17"/>
    <w:semiHidden/>
    <w:qFormat/>
    <w:uiPriority w:val="99"/>
    <w:rPr>
      <w:kern w:val="2"/>
      <w:sz w:val="21"/>
      <w:szCs w:val="22"/>
    </w:rPr>
  </w:style>
  <w:style w:type="character" w:customStyle="1" w:styleId="64">
    <w:name w:val="sbody1"/>
    <w:qFormat/>
    <w:uiPriority w:val="0"/>
    <w:rPr>
      <w:sz w:val="24"/>
      <w:szCs w:val="24"/>
    </w:rPr>
  </w:style>
  <w:style w:type="character" w:customStyle="1" w:styleId="65">
    <w:name w:val="apple-style-span"/>
    <w:qFormat/>
    <w:uiPriority w:val="0"/>
  </w:style>
  <w:style w:type="paragraph" w:customStyle="1" w:styleId="6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字符"/>
    <w:basedOn w:val="30"/>
    <w:link w:val="9"/>
    <w:qFormat/>
    <w:uiPriority w:val="0"/>
    <w:rPr>
      <w:rFonts w:ascii="Times New Roman" w:hAnsi="Times New Roman" w:eastAsia="宋体" w:cs="Times New Roman"/>
      <w:kern w:val="2"/>
      <w:sz w:val="21"/>
    </w:rPr>
  </w:style>
  <w:style w:type="character" w:customStyle="1" w:styleId="78">
    <w:name w:val="正文文本缩进 3 字符"/>
    <w:basedOn w:val="30"/>
    <w:link w:val="22"/>
    <w:qFormat/>
    <w:uiPriority w:val="99"/>
    <w:rPr>
      <w:rFonts w:ascii="楷体_GB2312" w:hAnsi="Calibri" w:eastAsia="楷体_GB2312" w:cs="Times New Roman"/>
      <w:kern w:val="2"/>
      <w:sz w:val="24"/>
    </w:rPr>
  </w:style>
  <w:style w:type="paragraph" w:customStyle="1" w:styleId="79">
    <w:name w:val="_Style 4"/>
    <w:basedOn w:val="4"/>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字符"/>
    <w:basedOn w:val="30"/>
    <w:link w:val="24"/>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7"/>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字符"/>
    <w:basedOn w:val="77"/>
    <w:link w:val="26"/>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BEE2C-CC84-46D7-A72E-08DD4D7AC1F8}">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20454</Words>
  <Characters>21059</Characters>
  <Lines>199</Lines>
  <Paragraphs>56</Paragraphs>
  <TotalTime>1</TotalTime>
  <ScaleCrop>false</ScaleCrop>
  <LinksUpToDate>false</LinksUpToDate>
  <CharactersWithSpaces>22197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刘琳</cp:lastModifiedBy>
  <cp:lastPrinted>2022-09-02T01:49:00Z</cp:lastPrinted>
  <dcterms:modified xsi:type="dcterms:W3CDTF">2022-09-08T07:10:05Z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6591C48667AC411BB78ED1AFBEE9E406</vt:lpwstr>
  </property>
</Properties>
</file>