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广州市净水有限公司尾水管道探测及地质隐患排查项目（第二次）</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4"/>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二〇二二年九月</w:t>
      </w: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color w:val="auto"/>
          <w:highlight w:val="none"/>
        </w:rPr>
      </w:pPr>
      <w:bookmarkStart w:id="0" w:name="_Toc26148"/>
      <w:bookmarkStart w:id="1" w:name="_Toc18145"/>
    </w:p>
    <w:p>
      <w:pPr>
        <w:rPr>
          <w:rFonts w:hint="eastAsia"/>
          <w:color w:val="auto"/>
          <w:highlight w:val="none"/>
        </w:rPr>
      </w:pPr>
    </w:p>
    <w:p>
      <w:pPr>
        <w:pStyle w:val="6"/>
        <w:rPr>
          <w:rFonts w:hint="eastAsia"/>
          <w:color w:val="auto"/>
          <w:highlight w:val="none"/>
        </w:rPr>
      </w:pPr>
      <w:bookmarkStart w:id="2" w:name="_Toc17696"/>
      <w:bookmarkStart w:id="3" w:name="_Toc1711"/>
    </w:p>
    <w:p>
      <w:pPr>
        <w:rPr>
          <w:rFonts w:hint="eastAsia"/>
          <w:color w:val="auto"/>
          <w:highlight w:val="none"/>
          <w:lang w:eastAsia="zh-CN"/>
        </w:rPr>
      </w:pPr>
      <w:r>
        <w:rPr>
          <w:rFonts w:hint="eastAsia"/>
          <w:color w:val="auto"/>
          <w:highlight w:val="none"/>
          <w:lang w:eastAsia="zh-CN"/>
        </w:rPr>
        <w:t>、</w:t>
      </w:r>
    </w:p>
    <w:p>
      <w:pPr>
        <w:pStyle w:val="6"/>
        <w:jc w:val="both"/>
        <w:rPr>
          <w:rFonts w:hint="eastAsia"/>
          <w:color w:val="auto"/>
          <w:highlight w:val="none"/>
        </w:rPr>
      </w:pPr>
      <w:bookmarkStart w:id="4" w:name="_Toc19609"/>
      <w:bookmarkStart w:id="5" w:name="_Toc17801"/>
      <w:bookmarkStart w:id="6" w:name="_Toc1669"/>
      <w:bookmarkStart w:id="7" w:name="_Toc7519"/>
      <w:bookmarkStart w:id="8" w:name="_Toc31938"/>
      <w:bookmarkStart w:id="9" w:name="_Toc4275"/>
      <w:bookmarkStart w:id="10" w:name="_Toc11322"/>
    </w:p>
    <w:p>
      <w:pPr>
        <w:pStyle w:val="6"/>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6"/>
        <w:rPr>
          <w:color w:val="auto"/>
          <w:highlight w:val="none"/>
        </w:rPr>
      </w:pPr>
      <w:bookmarkStart w:id="11" w:name="_Toc30989"/>
      <w:bookmarkStart w:id="12" w:name="_Toc5230"/>
      <w:bookmarkStart w:id="13" w:name="_Toc88209924"/>
      <w:bookmarkStart w:id="14" w:name="_Toc28995"/>
      <w:bookmarkStart w:id="15" w:name="_Toc26363"/>
      <w:bookmarkStart w:id="16" w:name="_Toc2659"/>
      <w:bookmarkStart w:id="17" w:name="_Toc14238"/>
      <w:bookmarkStart w:id="18" w:name="_Toc15709"/>
      <w:bookmarkStart w:id="19" w:name="_Toc8201"/>
      <w:bookmarkStart w:id="20" w:name="_Toc10122"/>
      <w:bookmarkStart w:id="21" w:name="_Toc30131"/>
      <w:bookmarkStart w:id="22" w:name="_Toc99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7"/>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u w:val="single"/>
          <w:lang w:eastAsia="zh-CN"/>
        </w:rPr>
        <w:t>广州市净水有限公司尾水管道探测及地质隐患排查项目（第二次）</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广州市净水有限公司尾水管道探测及地质隐患排查项目（第二次）</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广州市净水有限公司尾水管道探测及地质隐患排查项目（第二次）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XJ-20220906-1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599040.55</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对广州市净水有限公司属下大坦沙净水厂、沥滘净水厂、大沙地净水厂、均禾净水厂、京溪净水厂、石井净水厂、竹料净水厂、健康城净水厂、江高净水厂、大观净水厂</w:t>
      </w:r>
      <w:r>
        <w:rPr>
          <w:rFonts w:hint="eastAsia" w:ascii="仿宋_GB2312" w:eastAsia="仿宋_GB2312"/>
          <w:color w:val="auto"/>
          <w:sz w:val="28"/>
          <w:szCs w:val="28"/>
          <w:highlight w:val="none"/>
          <w:u w:val="none"/>
          <w:lang w:val="en-US" w:eastAsia="zh-CN"/>
        </w:rPr>
        <w:t>进行</w:t>
      </w:r>
      <w:r>
        <w:rPr>
          <w:rFonts w:hint="eastAsia" w:ascii="仿宋_GB2312" w:eastAsia="仿宋_GB2312"/>
          <w:color w:val="auto"/>
          <w:sz w:val="28"/>
          <w:szCs w:val="28"/>
          <w:highlight w:val="none"/>
          <w:u w:val="none"/>
          <w:lang w:eastAsia="zh-CN"/>
        </w:rPr>
        <w:t>尾水管道探测及地质隐患排查项目</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 ；2.综合管线数据库；2.综合管线探测成果图；3.地质病害成果表；4.数据U盘（电子版）。上述成果资料纸质版部分提交成果13套，电子数据13套，成果资料纸质版部分每套各4份，电子数据每套各2份。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合同签订之日起60个日历天内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广州市净水有限公司属下大坦沙净水厂、沥滘净水厂、大沙地净水厂、均禾净水厂、京溪净水厂、石井净水厂、竹料净水厂、健康城净水厂、江高净水厂、大观净水厂尾水管道范围</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尾水管道</w:t>
      </w:r>
      <w:r>
        <w:rPr>
          <w:rFonts w:hint="eastAsia" w:ascii="仿宋_GB2312" w:eastAsia="仿宋_GB2312"/>
          <w:color w:val="auto"/>
          <w:sz w:val="28"/>
          <w:szCs w:val="28"/>
          <w:highlight w:val="none"/>
          <w:u w:val="single"/>
        </w:rPr>
        <w:t>探测、地质隐患排查需出具报告成果包括：1.管线点成果表 ；2.综合管线数据库；2.综合管线探测成果图；3.地质病害成果表；4.数据U盘（电子版）。上述成果资料纸质版部分提交成果13套，电子数据13套，成果资料纸质版部分每套各4份，电子数据每套各2份。</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工程勘察专业</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w:t>
      </w:r>
      <w:bookmarkStart w:id="158" w:name="_GoBack"/>
      <w:bookmarkEnd w:id="158"/>
      <w:r>
        <w:rPr>
          <w:rFonts w:hint="eastAsia" w:ascii="仿宋_GB2312" w:eastAsia="仿宋_GB2312"/>
          <w:color w:val="auto"/>
          <w:sz w:val="28"/>
          <w:szCs w:val="28"/>
          <w:highlight w:val="none"/>
          <w:lang w:val="en-US" w:eastAsia="zh-CN"/>
        </w:rPr>
        <w:t>质隐患排查</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4"/>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4"/>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eastAsia="仿宋_GB2312"/>
          <w:color w:val="auto"/>
          <w:sz w:val="28"/>
          <w:szCs w:val="28"/>
          <w:highlight w:val="none"/>
          <w:u w:val="single"/>
          <w:lang w:val="en-US" w:eastAsia="zh-CN"/>
        </w:rPr>
        <w:t>38890467/</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25" w:name="_Toc10891"/>
    </w:p>
    <w:p>
      <w:pPr>
        <w:pStyle w:val="2"/>
        <w:rPr>
          <w:rFonts w:hint="eastAsia"/>
          <w:color w:val="auto"/>
          <w:highlight w:val="none"/>
        </w:rPr>
      </w:pPr>
    </w:p>
    <w:p>
      <w:pPr>
        <w:pStyle w:val="4"/>
        <w:rPr>
          <w:rFonts w:hint="eastAsia"/>
          <w:color w:val="auto"/>
          <w:highlight w:val="none"/>
        </w:rPr>
      </w:pPr>
    </w:p>
    <w:p>
      <w:pPr>
        <w:pStyle w:val="6"/>
        <w:rPr>
          <w:color w:val="auto"/>
          <w:highlight w:val="none"/>
        </w:rPr>
      </w:pPr>
      <w:bookmarkStart w:id="26" w:name="_Toc32588"/>
      <w:bookmarkStart w:id="27" w:name="_Toc23749"/>
      <w:bookmarkStart w:id="28" w:name="_Toc9448"/>
      <w:bookmarkStart w:id="29" w:name="_Toc25603"/>
      <w:bookmarkStart w:id="30" w:name="_Toc16705"/>
      <w:bookmarkStart w:id="31" w:name="_Toc2331"/>
      <w:bookmarkStart w:id="32" w:name="_Toc19295"/>
      <w:bookmarkStart w:id="33" w:name="_Toc16557"/>
      <w:bookmarkStart w:id="34" w:name="_Toc7340"/>
      <w:bookmarkStart w:id="35" w:name="_Toc2324"/>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7"/>
        <w:rPr>
          <w:rFonts w:hint="eastAsia"/>
          <w:color w:val="auto"/>
          <w:highlight w:val="none"/>
        </w:rPr>
      </w:pPr>
    </w:p>
    <w:p>
      <w:pPr>
        <w:pStyle w:val="7"/>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7"/>
        <w:rPr>
          <w:rFonts w:hint="eastAsia" w:asciiTheme="minorHAnsi" w:hAnsiTheme="minorHAnsi" w:cstheme="minorBidi"/>
          <w:color w:val="auto"/>
          <w:kern w:val="44"/>
          <w:sz w:val="44"/>
          <w:szCs w:val="44"/>
          <w:highlight w:val="none"/>
        </w:rPr>
      </w:pPr>
      <w:bookmarkStart w:id="38" w:name="_Toc21455"/>
      <w:bookmarkStart w:id="39"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9"/>
        <w:rPr>
          <w:color w:val="auto"/>
          <w:highlight w:val="none"/>
        </w:rPr>
      </w:pPr>
    </w:p>
    <w:p>
      <w:pPr>
        <w:pStyle w:val="7"/>
        <w:rPr>
          <w:color w:val="auto"/>
          <w:highlight w:val="none"/>
        </w:rPr>
      </w:pPr>
      <w:bookmarkStart w:id="40" w:name="_Toc88209934"/>
      <w:bookmarkStart w:id="41" w:name="_Toc7303"/>
      <w:bookmarkStart w:id="42" w:name="_Toc7040"/>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7"/>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color w:val="auto"/>
          <w:highlight w:val="none"/>
        </w:rPr>
      </w:pPr>
    </w:p>
    <w:p>
      <w:pPr>
        <w:pStyle w:val="6"/>
        <w:rPr>
          <w:color w:val="auto"/>
          <w:highlight w:val="none"/>
        </w:rPr>
      </w:pPr>
      <w:bookmarkStart w:id="46" w:name="_Toc19050"/>
      <w:bookmarkStart w:id="47" w:name="_Toc14552"/>
      <w:bookmarkStart w:id="48" w:name="_Toc10930"/>
      <w:bookmarkStart w:id="49" w:name="_Toc19759"/>
      <w:bookmarkStart w:id="50" w:name="_Toc4952"/>
      <w:bookmarkStart w:id="51" w:name="_Toc14870"/>
      <w:bookmarkStart w:id="52" w:name="_Toc3156"/>
      <w:bookmarkStart w:id="53" w:name="_Toc7118"/>
      <w:bookmarkStart w:id="54" w:name="_Toc20594"/>
      <w:bookmarkStart w:id="55" w:name="_Toc23581"/>
      <w:bookmarkStart w:id="56"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9"/>
        <w:rPr>
          <w:color w:val="auto"/>
          <w:highlight w:val="none"/>
        </w:rPr>
      </w:pPr>
    </w:p>
    <w:p>
      <w:pPr>
        <w:pStyle w:val="6"/>
        <w:rPr>
          <w:color w:val="auto"/>
          <w:highlight w:val="none"/>
        </w:rPr>
      </w:pPr>
      <w:bookmarkStart w:id="57" w:name="_Toc21840"/>
      <w:bookmarkStart w:id="58" w:name="_Toc22212"/>
      <w:bookmarkStart w:id="59" w:name="_Toc12177"/>
      <w:bookmarkStart w:id="60" w:name="_Toc13898"/>
      <w:bookmarkStart w:id="61" w:name="_Toc7831"/>
      <w:bookmarkStart w:id="62" w:name="_Toc32607"/>
      <w:bookmarkStart w:id="63" w:name="_Toc29345"/>
      <w:bookmarkStart w:id="64" w:name="_Toc29484"/>
      <w:bookmarkStart w:id="65" w:name="_Toc30530"/>
      <w:bookmarkStart w:id="66" w:name="_Toc6308"/>
      <w:bookmarkStart w:id="67" w:name="_Toc88209941"/>
      <w:bookmarkStart w:id="68" w:name="_Toc21079"/>
      <w:bookmarkStart w:id="69" w:name="_Toc8761637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ind w:firstLine="0"/>
        <w:rPr>
          <w:rFonts w:ascii="方正小标宋简体" w:eastAsia="方正小标宋简体"/>
          <w:color w:val="auto"/>
          <w:sz w:val="44"/>
          <w:szCs w:val="44"/>
          <w:highlight w:val="none"/>
        </w:rPr>
      </w:pPr>
    </w:p>
    <w:p>
      <w:pPr>
        <w:pStyle w:val="4"/>
        <w:ind w:firstLine="0"/>
        <w:rPr>
          <w:rFonts w:ascii="方正小标宋简体" w:eastAsia="方正小标宋简体"/>
          <w:color w:val="auto"/>
          <w:sz w:val="44"/>
          <w:szCs w:val="44"/>
          <w:highlight w:val="none"/>
        </w:rPr>
      </w:pPr>
    </w:p>
    <w:p>
      <w:pPr>
        <w:pStyle w:val="7"/>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ind w:firstLine="0"/>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6"/>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7"/>
        <w:rPr>
          <w:rFonts w:hint="eastAsia"/>
          <w:color w:val="auto"/>
          <w:highlight w:val="none"/>
        </w:rPr>
      </w:pPr>
    </w:p>
    <w:p>
      <w:pPr>
        <w:pStyle w:val="7"/>
        <w:rPr>
          <w:rFonts w:hint="eastAsia"/>
          <w:color w:val="auto"/>
          <w:szCs w:val="44"/>
          <w:highlight w:val="none"/>
        </w:rPr>
      </w:pPr>
      <w:r>
        <w:rPr>
          <w:rFonts w:hint="eastAsia"/>
          <w:color w:val="auto"/>
          <w:szCs w:val="44"/>
          <w:highlight w:val="none"/>
        </w:rPr>
        <w:t>采购需求</w:t>
      </w:r>
    </w:p>
    <w:bookmarkEnd w:id="72"/>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color w:val="auto"/>
          <w:highlight w:val="none"/>
        </w:rPr>
      </w:pPr>
    </w:p>
    <w:p>
      <w:pPr>
        <w:pStyle w:val="4"/>
        <w:rPr>
          <w:color w:val="auto"/>
          <w:highlight w:val="none"/>
        </w:rPr>
      </w:pPr>
    </w:p>
    <w:p>
      <w:pPr>
        <w:pStyle w:val="4"/>
        <w:rPr>
          <w:color w:val="auto"/>
          <w:highlight w:val="none"/>
        </w:rPr>
        <w:sectPr>
          <w:footerReference r:id="rId5" w:type="first"/>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广州市净水有限公司尾水管道探测及地质隐患排查项目（第二次）</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.2项目地点： </w:t>
      </w:r>
      <w:r>
        <w:rPr>
          <w:rFonts w:hint="eastAsia" w:ascii="仿宋_GB2312" w:eastAsia="仿宋_GB2312" w:hAnsiTheme="minorEastAsia"/>
          <w:color w:val="auto"/>
          <w:sz w:val="28"/>
          <w:szCs w:val="28"/>
          <w:highlight w:val="none"/>
          <w:lang w:val="en-US" w:eastAsia="zh-CN"/>
        </w:rPr>
        <w:t>大坦沙净水厂、沥滘净水厂、大沙地净水厂、均禾净水厂、京溪净水厂、石井净水厂、竹料净水厂、健康城净水厂、江高净水厂、大观净水厂尾水管道范围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 xml:space="preserve">管线点成果表 </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上述</w:t>
      </w:r>
      <w:r>
        <w:rPr>
          <w:rFonts w:hint="eastAsia" w:ascii="仿宋_GB2312" w:eastAsia="仿宋_GB2312" w:hAnsiTheme="minorEastAsia"/>
          <w:color w:val="auto"/>
          <w:sz w:val="28"/>
          <w:szCs w:val="28"/>
          <w:highlight w:val="none"/>
          <w:lang w:val="en-US" w:eastAsia="zh-CN"/>
        </w:rPr>
        <w:t>成果</w:t>
      </w:r>
      <w:r>
        <w:rPr>
          <w:rFonts w:hint="eastAsia" w:ascii="仿宋_GB2312" w:eastAsia="仿宋_GB2312" w:hAnsiTheme="minorEastAsia"/>
          <w:color w:val="auto"/>
          <w:sz w:val="28"/>
          <w:szCs w:val="28"/>
          <w:highlight w:val="none"/>
        </w:rPr>
        <w:t>资料纸质版部分提交成果13套，电子数据13套，</w:t>
      </w:r>
      <w:r>
        <w:rPr>
          <w:rFonts w:hint="eastAsia" w:ascii="仿宋_GB2312" w:eastAsia="仿宋_GB2312" w:hAnsiTheme="minorEastAsia"/>
          <w:color w:val="auto"/>
          <w:sz w:val="28"/>
          <w:szCs w:val="28"/>
          <w:highlight w:val="none"/>
          <w:lang w:val="en-US" w:eastAsia="zh-CN"/>
        </w:rPr>
        <w:t>成果</w:t>
      </w:r>
      <w:r>
        <w:rPr>
          <w:rFonts w:hint="eastAsia" w:ascii="仿宋_GB2312" w:eastAsia="仿宋_GB2312" w:hAnsiTheme="minorEastAsia"/>
          <w:color w:val="auto"/>
          <w:sz w:val="28"/>
          <w:szCs w:val="28"/>
          <w:highlight w:val="none"/>
        </w:rPr>
        <w:t>资料纸质版部分每套各4份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电子数据每套各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pStyle w:val="2"/>
        <w:widowControl w:val="0"/>
        <w:numPr>
          <w:ilvl w:val="0"/>
          <w:numId w:val="0"/>
        </w:numPr>
        <w:spacing w:after="120"/>
        <w:jc w:val="both"/>
        <w:rPr>
          <w:rFonts w:hint="default"/>
          <w:color w:val="auto"/>
          <w:highlight w:val="none"/>
          <w:lang w:val="en-US" w:eastAsia="zh-CN"/>
        </w:rPr>
      </w:pPr>
    </w:p>
    <w:p>
      <w:pPr>
        <w:pStyle w:val="4"/>
        <w:rPr>
          <w:rFonts w:hint="default"/>
          <w:color w:val="auto"/>
          <w:highlight w:val="none"/>
          <w:lang w:val="en-US" w:eastAsia="zh-CN"/>
        </w:rPr>
      </w:pPr>
    </w:p>
    <w:tbl>
      <w:tblPr>
        <w:tblStyle w:val="24"/>
        <w:tblpPr w:leftFromText="180" w:rightFromText="180" w:vertAnchor="text" w:horzAnchor="page" w:tblpX="1217" w:tblpY="1069"/>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tbl>
      <w:tblPr>
        <w:tblStyle w:val="24"/>
        <w:tblpPr w:leftFromText="180" w:rightFromText="180" w:vertAnchor="text" w:horzAnchor="page" w:tblpX="1174" w:tblpY="761"/>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1220"/>
        <w:gridCol w:w="1434"/>
        <w:gridCol w:w="1617"/>
        <w:gridCol w:w="1938"/>
        <w:gridCol w:w="719"/>
        <w:gridCol w:w="1020"/>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编号</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厂区</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尾水管期数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管道所在道路</w:t>
            </w: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管材</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排水形式</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尾水管径范围</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大坦沙厂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坦尾路、双桥路、坦尾西路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沥滘厂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一二期及初雨池合流尾水管</w:t>
            </w:r>
          </w:p>
        </w:tc>
        <w:tc>
          <w:tcPr>
            <w:tcW w:w="1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9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DN2500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大沙地厂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厂区内部、横穿港前路</w:t>
            </w:r>
          </w:p>
        </w:tc>
        <w:tc>
          <w:tcPr>
            <w:tcW w:w="19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均禾厂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横穿夏花一路，途径广花路、新石路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二期初雨尾水管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w:t>
            </w:r>
          </w:p>
        </w:tc>
        <w:tc>
          <w:tcPr>
            <w:tcW w:w="12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京溪厂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犀牛南路1号</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石井净水厂</w:t>
            </w:r>
          </w:p>
        </w:tc>
        <w:tc>
          <w:tcPr>
            <w:tcW w:w="14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横穿桥东基围下街</w:t>
            </w:r>
          </w:p>
        </w:tc>
        <w:tc>
          <w:tcPr>
            <w:tcW w:w="19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钢筋混凝土渠箱</w:t>
            </w:r>
          </w:p>
        </w:tc>
        <w:tc>
          <w:tcPr>
            <w:tcW w:w="7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3.2M*2.5M</w:t>
            </w:r>
          </w:p>
        </w:tc>
        <w:tc>
          <w:tcPr>
            <w:tcW w:w="11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竹料厂</w:t>
            </w:r>
          </w:p>
        </w:tc>
        <w:tc>
          <w:tcPr>
            <w:tcW w:w="143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龙和路</w:t>
            </w:r>
          </w:p>
        </w:tc>
        <w:tc>
          <w:tcPr>
            <w:tcW w:w="19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健康城大道、创新大道</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江高厂</w:t>
            </w:r>
          </w:p>
        </w:tc>
        <w:tc>
          <w:tcPr>
            <w:tcW w:w="14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一二期流尾水管</w:t>
            </w:r>
          </w:p>
        </w:tc>
        <w:tc>
          <w:tcPr>
            <w:tcW w:w="16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田南路、秋鹿路</w:t>
            </w:r>
          </w:p>
        </w:tc>
        <w:tc>
          <w:tcPr>
            <w:tcW w:w="19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DN1800</w:t>
            </w:r>
          </w:p>
        </w:tc>
        <w:tc>
          <w:tcPr>
            <w:tcW w:w="11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大观厂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车陂涌旁道路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初雨尾水管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厂区内部</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8477"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12439</w:t>
            </w:r>
          </w:p>
        </w:tc>
      </w:tr>
    </w:tbl>
    <w:p>
      <w:p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三、项目数据统计表</w:t>
      </w:r>
    </w:p>
    <w:p>
      <w:pPr>
        <w:rPr>
          <w:color w:val="auto"/>
          <w:highlight w:val="none"/>
        </w:rPr>
      </w:pPr>
      <w:r>
        <w:rPr>
          <w:color w:val="auto"/>
          <w:highlight w:val="none"/>
        </w:rPr>
        <w:br w:type="page"/>
      </w:r>
    </w:p>
    <w:p>
      <w:pPr>
        <w:pStyle w:val="4"/>
        <w:rPr>
          <w:color w:val="auto"/>
          <w:highlight w:val="none"/>
        </w:rPr>
      </w:pPr>
    </w:p>
    <w:p>
      <w:pPr>
        <w:pStyle w:val="6"/>
        <w:rPr>
          <w:color w:val="auto"/>
          <w:highlight w:val="none"/>
        </w:rPr>
      </w:pPr>
      <w:bookmarkStart w:id="73" w:name="_Toc23330"/>
      <w:bookmarkStart w:id="74" w:name="_Toc29835"/>
      <w:bookmarkStart w:id="75" w:name="_Toc12135"/>
      <w:bookmarkStart w:id="76" w:name="_Toc15570"/>
      <w:bookmarkStart w:id="77" w:name="_Toc23353"/>
      <w:bookmarkStart w:id="78" w:name="_Toc25925"/>
      <w:bookmarkStart w:id="79" w:name="_Toc4680"/>
      <w:bookmarkStart w:id="80" w:name="_Toc1496"/>
      <w:bookmarkStart w:id="81" w:name="_Toc537"/>
      <w:bookmarkStart w:id="82" w:name="_Toc1284"/>
      <w:bookmarkStart w:id="83" w:name="_Toc1853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广州市净水有限公司尾水管道探测及地质隐患排查项目（第二次）</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r>
        <w:rPr>
          <w:rFonts w:hint="eastAsia" w:ascii="宋体" w:hAnsi="宋体" w:cs="宋体"/>
          <w:b/>
          <w:color w:val="auto"/>
          <w:sz w:val="30"/>
          <w:szCs w:val="30"/>
          <w:highlight w:val="none"/>
        </w:rPr>
        <w:t>甲方： 广州</w:t>
      </w:r>
      <w:r>
        <w:rPr>
          <w:rFonts w:hint="eastAsia" w:ascii="宋体" w:hAnsi="宋体" w:cs="宋体"/>
          <w:b/>
          <w:color w:val="auto"/>
          <w:sz w:val="30"/>
          <w:szCs w:val="30"/>
          <w:highlight w:val="none"/>
          <w:lang w:val="en-US" w:eastAsia="zh-CN"/>
        </w:rPr>
        <w:t>市净水</w:t>
      </w:r>
      <w:r>
        <w:rPr>
          <w:rFonts w:hint="eastAsia" w:ascii="宋体" w:hAnsi="宋体" w:cs="宋体"/>
          <w:b/>
          <w:color w:val="auto"/>
          <w:sz w:val="30"/>
          <w:szCs w:val="30"/>
          <w:highlight w:val="none"/>
        </w:rPr>
        <w:t>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w:t>
      </w:r>
      <w:r>
        <w:rPr>
          <w:rFonts w:hint="eastAsia" w:ascii="宋体" w:hAnsi="宋体" w:cs="宋体"/>
          <w:color w:val="auto"/>
          <w:sz w:val="24"/>
          <w:szCs w:val="24"/>
          <w:highlight w:val="none"/>
        </w:rPr>
        <w:t>法</w:t>
      </w:r>
      <w:r>
        <w:rPr>
          <w:rFonts w:hint="eastAsia" w:ascii="宋体" w:hAnsi="宋体" w:cs="宋体"/>
          <w:color w:val="auto"/>
          <w:sz w:val="24"/>
          <w:szCs w:val="24"/>
          <w:highlight w:val="none"/>
          <w:lang w:val="en-US" w:eastAsia="zh-CN"/>
        </w:rPr>
        <w:t>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lang w:val="en-US" w:eastAsia="zh-CN"/>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广州市净水有限公司尾水管道探测及地质隐患排查项目（第二次）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承接工作事宜，遵循平等、自愿、公平和诚实信用的原则，双方协商一致，订立本合同。</w:t>
      </w:r>
    </w:p>
    <w:p>
      <w:pPr>
        <w:keepNext w:val="0"/>
        <w:keepLines w:val="0"/>
        <w:pageBreakBefore w:val="0"/>
        <w:kinsoku/>
        <w:wordWrap/>
        <w:overflowPunct/>
        <w:topLinePunct w:val="0"/>
        <w:bidi w:val="0"/>
        <w:spacing w:before="93" w:beforeLines="30" w:line="500" w:lineRule="exact"/>
        <w:ind w:left="210" w:leftChars="10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hAnsi="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⑶ 中标通知书/发包通知书/委托函；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项目概况、项目承包范围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2.1项目名称：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广州市净水有限公司尾水管道探测及地质隐患排查项目（第二次）</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2.2项目地点：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大坦沙净水厂、沥滘净水厂、大沙地净水厂、均禾净水厂、京溪净水厂、石井净水厂、竹料净水厂、健康城净水厂、江高净水厂、大观净水厂尾水管道范围</w:t>
      </w:r>
      <w:r>
        <w:rPr>
          <w:rFonts w:hint="eastAsia" w:ascii="宋体" w:hAnsi="宋体" w:cs="宋体"/>
          <w:color w:val="auto"/>
          <w:sz w:val="24"/>
          <w:szCs w:val="24"/>
          <w:highlight w:val="none"/>
          <w:u w:val="single"/>
        </w:rPr>
        <w:t>。</w:t>
      </w:r>
    </w:p>
    <w:p>
      <w:pPr>
        <w:numPr>
          <w:ilvl w:val="0"/>
          <w:numId w:val="0"/>
        </w:numPr>
        <w:spacing w:line="360" w:lineRule="auto"/>
        <w:ind w:leftChars="0"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2.3项目内容：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管线探测应在管线现况调绘的基础上，采用实地调查和仪器探查相结合的方法进行。主要工作内容为控制点布设、管线调查、管线探测、管线点测量及管线图测绘等。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管道周边地质隐患排查包括</w:t>
      </w:r>
      <w:r>
        <w:rPr>
          <w:rFonts w:hint="eastAsia" w:ascii="宋体" w:hAnsi="宋体" w:cs="宋体"/>
          <w:color w:val="auto"/>
          <w:sz w:val="24"/>
          <w:szCs w:val="24"/>
          <w:highlight w:val="none"/>
          <w:u w:val="singl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宋体" w:hAnsi="宋体" w:cs="宋体"/>
          <w:color w:val="auto"/>
          <w:sz w:val="24"/>
          <w:szCs w:val="24"/>
          <w:highlight w:val="none"/>
          <w:u w:val="single"/>
          <w:lang w:val="en-US" w:eastAsia="zh-CN"/>
        </w:rPr>
        <w:t>地质隐患排查需查明的项目</w:t>
      </w:r>
      <w:r>
        <w:rPr>
          <w:rFonts w:hint="eastAsia" w:ascii="宋体" w:hAnsi="宋体" w:cs="宋体"/>
          <w:color w:val="auto"/>
          <w:sz w:val="24"/>
          <w:szCs w:val="24"/>
          <w:highlight w:val="none"/>
          <w:u w:val="single"/>
        </w:rPr>
        <w:t>包括所有地下空洞、脱空、疏松体的范围边界、平面尺寸、净空高度、病害中心点坐标</w:t>
      </w:r>
      <w:r>
        <w:rPr>
          <w:rFonts w:hint="eastAsia" w:ascii="宋体" w:hAnsi="宋体" w:cs="宋体"/>
          <w:color w:val="auto"/>
          <w:sz w:val="24"/>
          <w:szCs w:val="24"/>
          <w:highlight w:val="none"/>
          <w:u w:val="single"/>
          <w:lang w:val="en-US" w:eastAsia="zh-CN"/>
        </w:rPr>
        <w:t>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探测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地质隐患排查</w:t>
      </w:r>
      <w:r>
        <w:rPr>
          <w:rFonts w:hint="eastAsia" w:ascii="宋体" w:hAnsi="宋体" w:cs="宋体"/>
          <w:color w:val="auto"/>
          <w:sz w:val="24"/>
          <w:szCs w:val="24"/>
          <w:highlight w:val="none"/>
          <w:u w:val="single"/>
          <w:lang w:val="en-US" w:eastAsia="zh-CN"/>
        </w:rPr>
        <w:t>需出具</w:t>
      </w:r>
      <w:r>
        <w:rPr>
          <w:rFonts w:hint="eastAsia" w:ascii="宋体" w:hAnsi="宋体" w:cs="宋体"/>
          <w:color w:val="auto"/>
          <w:sz w:val="24"/>
          <w:szCs w:val="24"/>
          <w:highlight w:val="none"/>
          <w:u w:val="single"/>
        </w:rPr>
        <w:t>报告成果</w:t>
      </w:r>
      <w:r>
        <w:rPr>
          <w:rFonts w:hint="eastAsia" w:ascii="宋体" w:hAnsi="宋体" w:cs="宋体"/>
          <w:color w:val="auto"/>
          <w:sz w:val="24"/>
          <w:szCs w:val="24"/>
          <w:highlight w:val="none"/>
          <w:u w:val="single"/>
          <w:lang w:val="en-US" w:eastAsia="zh-CN"/>
        </w:rPr>
        <w:t>包括：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管线点成果表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综合管线数据库</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综合管线探测成果图</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地质病害成果表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数据</w:t>
      </w:r>
      <w:r>
        <w:rPr>
          <w:rFonts w:hint="eastAsia" w:ascii="宋体" w:hAnsi="宋体" w:cs="宋体"/>
          <w:color w:val="auto"/>
          <w:sz w:val="24"/>
          <w:szCs w:val="24"/>
          <w:highlight w:val="none"/>
          <w:u w:val="single"/>
          <w:lang w:val="en-US" w:eastAsia="zh-CN"/>
        </w:rPr>
        <w:t>U</w:t>
      </w:r>
      <w:r>
        <w:rPr>
          <w:rFonts w:hint="eastAsia" w:ascii="宋体" w:hAnsi="宋体" w:cs="宋体"/>
          <w:color w:val="auto"/>
          <w:sz w:val="24"/>
          <w:szCs w:val="24"/>
          <w:highlight w:val="none"/>
          <w:u w:val="single"/>
        </w:rPr>
        <w:t>盘（电子版）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上述</w:t>
      </w:r>
      <w:r>
        <w:rPr>
          <w:rFonts w:hint="eastAsia" w:ascii="宋体" w:hAnsi="宋体" w:cs="宋体"/>
          <w:color w:val="auto"/>
          <w:sz w:val="24"/>
          <w:szCs w:val="24"/>
          <w:highlight w:val="none"/>
          <w:u w:val="single"/>
          <w:lang w:val="en-US" w:eastAsia="zh-CN"/>
        </w:rPr>
        <w:t>成果</w:t>
      </w:r>
      <w:r>
        <w:rPr>
          <w:rFonts w:hint="eastAsia" w:ascii="宋体" w:hAnsi="宋体" w:cs="宋体"/>
          <w:color w:val="auto"/>
          <w:sz w:val="24"/>
          <w:szCs w:val="24"/>
          <w:highlight w:val="none"/>
          <w:u w:val="single"/>
        </w:rPr>
        <w:t>资料纸质版部分提交成果13套，电子数据13套，</w:t>
      </w:r>
      <w:r>
        <w:rPr>
          <w:rFonts w:hint="eastAsia" w:ascii="宋体" w:hAnsi="宋体" w:cs="宋体"/>
          <w:color w:val="auto"/>
          <w:sz w:val="24"/>
          <w:szCs w:val="24"/>
          <w:highlight w:val="none"/>
          <w:u w:val="single"/>
          <w:lang w:val="en-US" w:eastAsia="zh-CN"/>
        </w:rPr>
        <w:t>成果</w:t>
      </w:r>
      <w:r>
        <w:rPr>
          <w:rFonts w:hint="eastAsia" w:ascii="宋体" w:hAnsi="宋体" w:cs="宋体"/>
          <w:color w:val="auto"/>
          <w:sz w:val="24"/>
          <w:szCs w:val="24"/>
          <w:highlight w:val="none"/>
          <w:u w:val="single"/>
        </w:rPr>
        <w:t>资料纸质版部分每套各4份</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电子数据每套各</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（一）甲方的主要义务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1按工作需要下达工作任务，指定具体的工作范围；</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2为乙方提供项目实施必要的协助，提供相关基础资料；</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3.3按合同约定支付项目费用。</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（二）乙方的主要义务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3.4</w:t>
      </w:r>
      <w:r>
        <w:rPr>
          <w:rFonts w:hint="eastAsia" w:ascii="宋体" w:hAnsi="宋体" w:cs="宋体"/>
          <w:color w:val="auto"/>
          <w:spacing w:val="8"/>
          <w:sz w:val="24"/>
          <w:szCs w:val="24"/>
          <w:highlight w:val="none"/>
        </w:rPr>
        <w:t>必须服从甲方的任务分配，并依照合同约定独立完成尾水管道探测及地质隐患排查工作，工作完成后按要求提交相应的成果；</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3.5对</w:t>
      </w:r>
      <w:r>
        <w:rPr>
          <w:rFonts w:hint="eastAsia" w:ascii="宋体" w:hAnsi="宋体" w:cs="宋体"/>
          <w:color w:val="auto"/>
          <w:spacing w:val="8"/>
          <w:sz w:val="24"/>
          <w:szCs w:val="24"/>
          <w:highlight w:val="none"/>
          <w:lang w:val="en-US" w:eastAsia="zh-CN"/>
        </w:rPr>
        <w:t>测量</w:t>
      </w:r>
      <w:r>
        <w:rPr>
          <w:rFonts w:hint="eastAsia" w:ascii="宋体" w:hAnsi="宋体" w:cs="宋体"/>
          <w:color w:val="auto"/>
          <w:spacing w:val="8"/>
          <w:sz w:val="24"/>
          <w:szCs w:val="24"/>
          <w:highlight w:val="none"/>
        </w:rPr>
        <w:t>结果的真实性和准确性负责；</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3.6承担并承诺数据的保密责任，未经</w:t>
      </w:r>
      <w:r>
        <w:rPr>
          <w:rFonts w:hint="eastAsia" w:ascii="宋体" w:hAnsi="宋体" w:cs="宋体"/>
          <w:color w:val="auto"/>
          <w:spacing w:val="8"/>
          <w:sz w:val="24"/>
          <w:szCs w:val="24"/>
          <w:highlight w:val="none"/>
          <w:lang w:val="en-US" w:eastAsia="zh-CN"/>
        </w:rPr>
        <w:t>甲方</w:t>
      </w:r>
      <w:r>
        <w:rPr>
          <w:rFonts w:hint="eastAsia" w:ascii="宋体" w:hAnsi="宋体" w:cs="宋体"/>
          <w:color w:val="auto"/>
          <w:spacing w:val="8"/>
          <w:sz w:val="24"/>
          <w:szCs w:val="24"/>
          <w:highlight w:val="none"/>
        </w:rPr>
        <w:t>同意，不得利用本项目的所有资料对外开展技术交流、业务联系、数据交换等。</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3.7</w:t>
      </w:r>
      <w:r>
        <w:rPr>
          <w:rFonts w:hint="eastAsia" w:ascii="宋体" w:hAnsi="宋体" w:cs="宋体"/>
          <w:color w:val="auto"/>
          <w:spacing w:val="8"/>
          <w:sz w:val="24"/>
          <w:szCs w:val="24"/>
          <w:highlight w:val="none"/>
        </w:rPr>
        <w:t>承担本项目的安全生产责任，按安全生产有关规定，建立安全生产制度，认真做好安全生产工作，切实消除安全隐患；并按照有关规定做好安全生产工作。</w:t>
      </w:r>
    </w:p>
    <w:p>
      <w:pPr>
        <w:keepNext w:val="0"/>
        <w:keepLines w:val="0"/>
        <w:pageBreakBefore w:val="0"/>
        <w:kinsoku/>
        <w:wordWrap/>
        <w:overflowPunct/>
        <w:topLinePunct w:val="0"/>
        <w:bidi w:val="0"/>
        <w:spacing w:line="500" w:lineRule="exact"/>
        <w:ind w:firstLine="512" w:firstLineChars="200"/>
        <w:textAlignment w:val="auto"/>
        <w:rPr>
          <w:rFonts w:hint="eastAsia" w:ascii="宋体" w:hAnsi="宋体" w:cs="宋体"/>
          <w:color w:val="auto"/>
          <w:spacing w:val="8"/>
          <w:sz w:val="24"/>
          <w:szCs w:val="24"/>
          <w:highlight w:val="none"/>
        </w:rPr>
      </w:pPr>
      <w:r>
        <w:rPr>
          <w:rFonts w:ascii="宋体" w:hAnsi="宋体" w:cs="宋体"/>
          <w:color w:val="auto"/>
          <w:spacing w:val="8"/>
          <w:sz w:val="24"/>
          <w:szCs w:val="24"/>
          <w:highlight w:val="none"/>
        </w:rPr>
        <w:t>3.8</w:t>
      </w:r>
      <w:r>
        <w:rPr>
          <w:rFonts w:hint="eastAsia" w:ascii="宋体" w:hAnsi="宋体" w:cs="宋体"/>
          <w:color w:val="auto"/>
          <w:spacing w:val="8"/>
          <w:sz w:val="24"/>
          <w:szCs w:val="24"/>
          <w:highlight w:val="none"/>
        </w:rPr>
        <w:t>在合同期内，乙方因各种原因，在</w:t>
      </w:r>
      <w:r>
        <w:rPr>
          <w:rFonts w:hint="eastAsia" w:ascii="宋体" w:hAnsi="宋体" w:cs="宋体"/>
          <w:color w:val="auto"/>
          <w:spacing w:val="8"/>
          <w:sz w:val="24"/>
          <w:szCs w:val="24"/>
          <w:highlight w:val="none"/>
          <w:lang w:val="en-US" w:eastAsia="zh-CN"/>
        </w:rPr>
        <w:t>项目实施</w:t>
      </w:r>
      <w:r>
        <w:rPr>
          <w:rFonts w:hint="eastAsia" w:ascii="宋体" w:hAnsi="宋体" w:cs="宋体"/>
          <w:color w:val="auto"/>
          <w:spacing w:val="8"/>
          <w:sz w:val="24"/>
          <w:szCs w:val="24"/>
          <w:highlight w:val="none"/>
        </w:rPr>
        <w:t>过程中，造成乙方或第三方的人身和财产损失，由乙方独自承担相应的法律和经济责任，与甲方无关；造成甲方经济损失的，由乙方承担，甲方保留追究其法律责任的权利。</w:t>
      </w:r>
    </w:p>
    <w:p>
      <w:pPr>
        <w:spacing w:line="500" w:lineRule="exact"/>
        <w:ind w:firstLine="512" w:firstLineChars="200"/>
        <w:rPr>
          <w:rFonts w:hint="eastAsia" w:ascii="宋体" w:hAnsi="宋体" w:cs="宋体"/>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3.9乙方必须按照国家、省、市及甲方在不同时期出台关于疫情的相关规定及要求，配合甲方对疫情防控的各项要求（包括：调查问卷填报、实施核酸检测、服务人员及密接亲属有重点区域旅居史行程报备、做好服务人员防护工作等</w:t>
      </w:r>
      <w:r>
        <w:rPr>
          <w:rFonts w:hint="eastAsia" w:ascii="宋体" w:hAnsi="宋体" w:cs="宋体"/>
          <w:color w:val="auto"/>
          <w:spacing w:val="8"/>
          <w:sz w:val="24"/>
          <w:szCs w:val="24"/>
          <w:highlight w:val="none"/>
          <w:lang w:val="en-US" w:eastAsia="zh-CN"/>
        </w:rPr>
        <w:t>。</w:t>
      </w:r>
    </w:p>
    <w:p>
      <w:pPr>
        <w:spacing w:line="500" w:lineRule="exact"/>
        <w:ind w:firstLine="512" w:firstLineChars="200"/>
        <w:rPr>
          <w:rFonts w:hint="default" w:ascii="宋体" w:hAnsi="宋体" w:cs="宋体" w:eastAsiaTheme="minorEastAsia"/>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3.10</w:t>
      </w:r>
      <w:r>
        <w:rPr>
          <w:rFonts w:hint="default" w:ascii="宋体" w:hAnsi="宋体" w:cs="宋体" w:eastAsiaTheme="minorEastAsia"/>
          <w:color w:val="auto"/>
          <w:spacing w:val="8"/>
          <w:sz w:val="24"/>
          <w:szCs w:val="24"/>
          <w:highlight w:val="none"/>
          <w:lang w:val="en-US" w:eastAsia="zh-CN"/>
        </w:rPr>
        <w:t>乙方的人员须按甲方要求完成核酸检测，核酸检测费用已包含在合同价款中</w:t>
      </w:r>
      <w:r>
        <w:rPr>
          <w:rFonts w:hint="eastAsia" w:ascii="宋体" w:hAnsi="宋体" w:cs="宋体"/>
          <w:color w:val="auto"/>
          <w:spacing w:val="8"/>
          <w:sz w:val="24"/>
          <w:szCs w:val="24"/>
          <w:highlight w:val="none"/>
          <w:lang w:val="en-US"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项目承包方式</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包工、包料、包质量、包工期、包安全、包探测及地质隐患排查、包编写</w:t>
      </w:r>
      <w:r>
        <w:rPr>
          <w:rFonts w:hint="eastAsia" w:ascii="宋体" w:hAnsi="宋体" w:cs="宋体"/>
          <w:color w:val="auto"/>
          <w:sz w:val="24"/>
          <w:szCs w:val="24"/>
          <w:highlight w:val="none"/>
          <w:lang w:val="en-US" w:eastAsia="zh-CN"/>
        </w:rPr>
        <w:t>成果</w:t>
      </w:r>
      <w:r>
        <w:rPr>
          <w:rFonts w:hint="eastAsia" w:ascii="宋体" w:hAnsi="宋体" w:cs="宋体"/>
          <w:color w:val="auto"/>
          <w:sz w:val="24"/>
          <w:szCs w:val="24"/>
          <w:highlight w:val="none"/>
        </w:rPr>
        <w:t>报告</w:t>
      </w:r>
      <w:r>
        <w:rPr>
          <w:rFonts w:hint="eastAsia" w:ascii="宋体" w:hAnsi="宋体" w:cs="宋体"/>
          <w:color w:val="auto"/>
          <w:sz w:val="24"/>
          <w:szCs w:val="24"/>
          <w:highlight w:val="none"/>
          <w:lang w:val="en-US" w:eastAsia="zh-CN"/>
        </w:rPr>
        <w:t>、包所有完成本项目所需的内容等</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合同价款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ascii="宋体" w:hAnsi="宋体" w:cs="宋体"/>
          <w:color w:val="auto"/>
          <w:sz w:val="24"/>
          <w:szCs w:val="24"/>
          <w:highlight w:val="none"/>
        </w:rPr>
        <w:t>5.1</w:t>
      </w:r>
      <w:r>
        <w:rPr>
          <w:rFonts w:hint="eastAsia" w:ascii="宋体" w:hAnsi="宋体" w:cs="宋体"/>
          <w:color w:val="auto"/>
          <w:sz w:val="24"/>
          <w:szCs w:val="24"/>
          <w:highlight w:val="none"/>
        </w:rPr>
        <w:t>合同价款</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u w:val="single"/>
          <w:lang w:val="en-US" w:eastAsia="zh-CN"/>
        </w:rPr>
        <w:t xml:space="preserve">            （大写：                       ）。</w:t>
      </w:r>
    </w:p>
    <w:tbl>
      <w:tblPr>
        <w:tblStyle w:val="24"/>
        <w:tblpPr w:leftFromText="180" w:rightFromText="180" w:vertAnchor="text" w:horzAnchor="page" w:tblpX="1244" w:tblpY="568"/>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3"/>
        <w:rPr>
          <w:rFonts w:hint="eastAsia" w:ascii="宋体" w:hAnsi="宋体" w:cs="宋体"/>
          <w:color w:val="auto"/>
          <w:sz w:val="24"/>
          <w:szCs w:val="24"/>
          <w:highlight w:val="none"/>
          <w:u w:val="singl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5.2本项目合同总价</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val="en-US" w:eastAsia="zh-CN"/>
        </w:rPr>
        <w:t>每项实际工作量×单价的总和为最终合同结算价，若结算价超出合同暂定价款，则按合同暂定价款：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进行结算。</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5</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6 %</w:t>
      </w:r>
      <w:r>
        <w:rPr>
          <w:rFonts w:hint="eastAsia" w:ascii="宋体" w:hAnsi="宋体" w:cs="宋体"/>
          <w:color w:val="auto"/>
          <w:sz w:val="24"/>
          <w:szCs w:val="24"/>
          <w:highlight w:val="none"/>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工期及要求</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1乙方在合同签订之日起</w:t>
      </w:r>
      <w:r>
        <w:rPr>
          <w:rFonts w:hint="eastAsia" w:ascii="宋体" w:hAnsi="宋体" w:cs="宋体"/>
          <w:color w:val="auto"/>
          <w:sz w:val="24"/>
          <w:szCs w:val="24"/>
          <w:highlight w:val="none"/>
          <w:lang w:val="en-US" w:eastAsia="zh-CN"/>
        </w:rPr>
        <w:t>60个日历天</w:t>
      </w:r>
      <w:r>
        <w:rPr>
          <w:rFonts w:hint="eastAsia" w:ascii="宋体" w:hAnsi="宋体" w:cs="宋体"/>
          <w:color w:val="auto"/>
          <w:sz w:val="24"/>
          <w:szCs w:val="24"/>
          <w:highlight w:val="none"/>
        </w:rPr>
        <w:t>内完成</w:t>
      </w:r>
      <w:r>
        <w:rPr>
          <w:rFonts w:hint="eastAsia" w:ascii="宋体" w:hAnsi="宋体" w:cs="宋体"/>
          <w:color w:val="auto"/>
          <w:sz w:val="24"/>
          <w:szCs w:val="24"/>
          <w:highlight w:val="none"/>
          <w:lang w:val="en-US" w:eastAsia="zh-CN"/>
        </w:rPr>
        <w:t>测量</w:t>
      </w:r>
      <w:r>
        <w:rPr>
          <w:rFonts w:hint="eastAsia" w:ascii="宋体" w:hAnsi="宋体" w:cs="宋体"/>
          <w:color w:val="auto"/>
          <w:sz w:val="24"/>
          <w:szCs w:val="24"/>
          <w:highlight w:val="none"/>
        </w:rPr>
        <w:t>并提交</w:t>
      </w:r>
      <w:r>
        <w:rPr>
          <w:rFonts w:hint="eastAsia" w:ascii="宋体" w:hAnsi="宋体" w:cs="宋体"/>
          <w:color w:val="auto"/>
          <w:sz w:val="24"/>
          <w:szCs w:val="24"/>
          <w:highlight w:val="none"/>
          <w:lang w:val="en-US" w:eastAsia="zh-CN"/>
        </w:rPr>
        <w:t>本合同第二条所约定的所有成果资料</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2乙方委派的管理人员或者技术人员不能胜任相关工作的，甲方有权要求乙方进行更换；因此造成甲方损失，由乙方赔偿相应损失。</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.3</w:t>
      </w:r>
      <w:r>
        <w:rPr>
          <w:rFonts w:hint="eastAsia" w:ascii="宋体" w:hAnsi="宋体" w:cs="宋体"/>
          <w:color w:val="auto"/>
          <w:sz w:val="24"/>
          <w:szCs w:val="24"/>
          <w:highlight w:val="none"/>
        </w:rPr>
        <w:t>乙方向甲方提交虚假测量结果或违反保密协议，甲方有权终止合同，并追究乙方相关责任。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.4</w:t>
      </w:r>
      <w:r>
        <w:rPr>
          <w:rFonts w:hint="eastAsia" w:ascii="宋体" w:hAnsi="宋体" w:cs="宋体"/>
          <w:color w:val="auto"/>
          <w:sz w:val="24"/>
          <w:szCs w:val="24"/>
          <w:highlight w:val="none"/>
        </w:rPr>
        <w:t>本项目禁止</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分包或转包。如发现甲方有权终止合同，并追究乙方相关责任。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6.5未经甲方同意的情况下，如乙方将与本项目有关的资料泄露给第三方，甲方有权终止合同，并追究乙方相关责任。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.6</w:t>
      </w:r>
      <w:r>
        <w:rPr>
          <w:rFonts w:hint="eastAsia" w:ascii="宋体" w:hAnsi="宋体" w:cs="宋体"/>
          <w:color w:val="auto"/>
          <w:sz w:val="24"/>
          <w:szCs w:val="24"/>
          <w:highlight w:val="none"/>
        </w:rPr>
        <w:t>乙方应遵守相关法规及有关安全生产制度，一旦发现违规操作，甲方有权要求整改或立即终止合同，并追究乙方相关责任。因违规操作导致出现人员伤亡事故的，由乙方自行承担责任。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.7</w:t>
      </w:r>
      <w:r>
        <w:rPr>
          <w:rFonts w:hint="eastAsia" w:ascii="宋体" w:hAnsi="宋体" w:cs="宋体"/>
          <w:color w:val="auto"/>
          <w:sz w:val="24"/>
          <w:szCs w:val="24"/>
          <w:highlight w:val="none"/>
        </w:rPr>
        <w:t>知识产权归属：乙方摸查过程中为履行合同义务所形成的资料及成果的知识产权归甲方所有。</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违约责任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乙方原因造成尾水管道探测及地质隐患排查成果资料质量不合格，不能满足技术要求时，其返工费用由乙方承担。涉及到盲探区域，由于物探成果具有多解性，当实际情况与乙方提交的成果不符时，以实际情况为准，乙方负责成果变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乙方不按合同工期完成，每逾期一日，按本工程合同价款的0.1%向甲方计付违约金，违约金在合同款中扣除。</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7.3甲方或乙方擅自解除合同或不履行合同的，须按暂定合同价的30%向对方支付违约金，如上述违约金不足以弥补损失，则对方有权对不足部分予以追偿。</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付</w:t>
      </w:r>
      <w:r>
        <w:rPr>
          <w:rFonts w:hint="eastAsia" w:ascii="宋体" w:hAnsi="宋体" w:cs="宋体"/>
          <w:b/>
          <w:color w:val="auto"/>
          <w:sz w:val="24"/>
          <w:szCs w:val="24"/>
          <w:highlight w:val="none"/>
        </w:rPr>
        <w:t>款方式</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bCs/>
          <w:color w:val="auto"/>
          <w:sz w:val="24"/>
          <w:highlight w:val="none"/>
        </w:rPr>
        <w:t>预付款的支付：合同签订后，乙方开具等额的增值税专用发票，甲方支付合同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工程</w:t>
      </w:r>
      <w:r>
        <w:rPr>
          <w:rFonts w:hint="eastAsia" w:ascii="宋体" w:hAnsi="宋体" w:cs="宋体"/>
          <w:bCs/>
          <w:color w:val="auto"/>
          <w:sz w:val="24"/>
          <w:szCs w:val="24"/>
          <w:highlight w:val="none"/>
        </w:rPr>
        <w:t>款的支付：</w:t>
      </w:r>
      <w:r>
        <w:rPr>
          <w:rFonts w:hint="eastAsia" w:ascii="宋体" w:hAnsi="宋体" w:cs="宋体"/>
          <w:bCs/>
          <w:color w:val="auto"/>
          <w:sz w:val="24"/>
          <w:szCs w:val="24"/>
          <w:highlight w:val="none"/>
          <w:lang w:val="en-US" w:eastAsia="zh-CN"/>
        </w:rPr>
        <w:t>乙方完成项目尾水管道探测及地质隐患排查并向甲方提交所有成果报告资料</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甲方分公司审核无误后，</w:t>
      </w:r>
      <w:r>
        <w:rPr>
          <w:rFonts w:hint="eastAsia" w:ascii="宋体" w:hAnsi="宋体" w:cs="宋体"/>
          <w:color w:val="auto"/>
          <w:sz w:val="24"/>
          <w:highlight w:val="none"/>
        </w:rPr>
        <w:t>甲方委托有资质第三方机构</w:t>
      </w:r>
      <w:r>
        <w:rPr>
          <w:rFonts w:hint="eastAsia" w:ascii="宋体" w:hAnsi="宋体" w:cs="宋体"/>
          <w:color w:val="auto"/>
          <w:sz w:val="24"/>
          <w:highlight w:val="none"/>
          <w:lang w:val="en-US" w:eastAsia="zh-CN"/>
        </w:rPr>
        <w:t>根据实际工作量审核出结算价</w:t>
      </w:r>
      <w:r>
        <w:rPr>
          <w:rFonts w:hint="eastAsia" w:ascii="宋体" w:hAnsi="宋体" w:cs="宋体"/>
          <w:color w:val="auto"/>
          <w:sz w:val="24"/>
          <w:highlight w:val="none"/>
          <w:lang w:eastAsia="zh-CN"/>
        </w:rPr>
        <w:t>，</w:t>
      </w:r>
      <w:r>
        <w:rPr>
          <w:rFonts w:hint="eastAsia" w:ascii="宋体" w:hAnsi="宋体" w:cs="宋体"/>
          <w:color w:val="auto"/>
          <w:sz w:val="24"/>
          <w:highlight w:val="none"/>
        </w:rPr>
        <w:t>由乙方提交申请支付资料</w:t>
      </w:r>
      <w:r>
        <w:rPr>
          <w:rFonts w:hint="eastAsia" w:ascii="宋体" w:hAnsi="宋体" w:cs="宋体"/>
          <w:color w:val="auto"/>
          <w:sz w:val="24"/>
          <w:highlight w:val="none"/>
          <w:lang w:val="en-US" w:eastAsia="zh-CN"/>
        </w:rPr>
        <w:t>并</w:t>
      </w:r>
      <w:r>
        <w:rPr>
          <w:rFonts w:hint="eastAsia" w:ascii="宋体" w:hAnsi="宋体" w:cs="宋体"/>
          <w:bCs/>
          <w:color w:val="auto"/>
          <w:sz w:val="24"/>
          <w:szCs w:val="24"/>
          <w:highlight w:val="none"/>
        </w:rPr>
        <w:t>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在</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个工作日内甲方支付</w:t>
      </w:r>
      <w:r>
        <w:rPr>
          <w:rFonts w:hint="eastAsia" w:ascii="宋体" w:hAnsi="宋体" w:cs="宋体"/>
          <w:bCs/>
          <w:color w:val="auto"/>
          <w:sz w:val="24"/>
          <w:szCs w:val="24"/>
          <w:highlight w:val="none"/>
          <w:lang w:val="en-US" w:eastAsia="zh-CN"/>
        </w:rPr>
        <w:t>至结算价的100%</w:t>
      </w:r>
      <w:r>
        <w:rPr>
          <w:rFonts w:hint="eastAsia" w:ascii="宋体" w:hAnsi="宋体" w:cs="宋体"/>
          <w:bCs/>
          <w:color w:val="auto"/>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乙方在收款前需提交等额增值税专用发票给甲方。增值税专用发票信息</w:t>
      </w:r>
      <w:r>
        <w:rPr>
          <w:rFonts w:hint="eastAsia" w:ascii="宋体" w:hAnsi="宋体" w:cs="宋体"/>
          <w:color w:val="auto"/>
          <w:sz w:val="24"/>
          <w:szCs w:val="24"/>
          <w:highlight w:val="none"/>
          <w:lang w:val="en-US" w:eastAsia="zh-CN"/>
        </w:rPr>
        <w:t>如下。</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广州市净水有限公司</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914401017</w:t>
      </w:r>
      <w:r>
        <w:rPr>
          <w:rFonts w:hint="eastAsia" w:ascii="宋体" w:hAnsi="宋体" w:cs="宋体"/>
          <w:color w:val="auto"/>
          <w:sz w:val="24"/>
          <w:szCs w:val="24"/>
          <w:highlight w:val="none"/>
          <w:u w:val="single"/>
          <w:lang w:val="en-US" w:eastAsia="zh-CN"/>
        </w:rPr>
        <w:t>55584729Q</w:t>
      </w:r>
      <w:r>
        <w:rPr>
          <w:rFonts w:hint="eastAsia" w:ascii="宋体" w:hAnsi="宋体" w:cs="宋体"/>
          <w:color w:val="auto"/>
          <w:sz w:val="24"/>
          <w:szCs w:val="24"/>
          <w:highlight w:val="none"/>
          <w:u w:val="single"/>
          <w:lang w:eastAsia="zh-CN"/>
        </w:rPr>
        <w:t xml:space="preserve"> </w:t>
      </w:r>
      <w:r>
        <w:rPr>
          <w:rFonts w:ascii="宋体" w:hAnsi="宋体" w:cs="宋体"/>
          <w:color w:val="auto"/>
          <w:sz w:val="24"/>
          <w:szCs w:val="24"/>
          <w:highlight w:val="none"/>
          <w:u w:val="single"/>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 民生银行广州分行</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帐号∶0301014140006932</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jc w:val="left"/>
        <w:textAlignment w:val="auto"/>
        <w:outlineLvl w:val="1"/>
        <w:rPr>
          <w:rFonts w:asciiTheme="minorEastAsia" w:hAnsiTheme="minorEastAsia" w:eastAsiaTheme="minorEastAsia" w:cstheme="minorEastAsia"/>
          <w:bCs/>
          <w:color w:val="auto"/>
          <w:sz w:val="24"/>
          <w:szCs w:val="24"/>
          <w:highlight w:val="none"/>
          <w:bdr w:val="single" w:color="auto" w:sz="4" w:space="0"/>
        </w:rPr>
      </w:pPr>
      <w:r>
        <w:rPr>
          <w:rFonts w:hint="eastAsia" w:hAnsi="宋体" w:cs="宋体"/>
          <w:color w:val="auto"/>
          <w:sz w:val="24"/>
          <w:szCs w:val="24"/>
          <w:highlight w:val="none"/>
          <w:lang w:val="en-US" w:eastAsia="zh-CN"/>
        </w:rPr>
        <w:t>8</w:t>
      </w:r>
      <w:r>
        <w:rPr>
          <w:rFonts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付款方式： </w:t>
      </w:r>
      <w:r>
        <w:rPr>
          <w:rFonts w:ascii="仿宋_GB2312" w:hAnsi="仿宋_GB2312" w:eastAsia="仿宋_GB2312" w:cs="仿宋_GB2312"/>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 xml:space="preserve">网银支付；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支票；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bdr w:val="single" w:color="auto" w:sz="4" w:space="0"/>
        </w:rPr>
        <w:t xml:space="preserve">     </w:t>
      </w:r>
      <w:r>
        <w:rPr>
          <w:rFonts w:hint="eastAsia" w:asciiTheme="minorEastAsia" w:hAnsiTheme="minorEastAsia" w:eastAsiaTheme="minorEastAsia" w:cstheme="minorEastAsia"/>
          <w:bCs/>
          <w:color w:val="auto"/>
          <w:sz w:val="24"/>
          <w:szCs w:val="24"/>
          <w:highlight w:val="none"/>
          <w:bdr w:val="single" w:color="auto" w:sz="4" w:space="0"/>
        </w:rPr>
        <w:t xml:space="preserve"> </w:t>
      </w:r>
    </w:p>
    <w:p>
      <w:pPr>
        <w:keepNext w:val="0"/>
        <w:keepLines w:val="0"/>
        <w:pageBreakBefore w:val="0"/>
        <w:kinsoku/>
        <w:wordWrap/>
        <w:overflowPunct/>
        <w:topLinePunct w:val="0"/>
        <w:bidi w:val="0"/>
        <w:spacing w:before="156" w:beforeLines="50" w:after="156" w:afterLines="50" w:line="500" w:lineRule="exact"/>
        <w:ind w:firstLine="422" w:firstLineChars="175"/>
        <w:jc w:val="left"/>
        <w:textAlignment w:val="auto"/>
        <w:rPr>
          <w:rFonts w:ascii="宋体" w:hAnsi="宋体" w:cs="宋体"/>
          <w:color w:val="auto"/>
          <w:sz w:val="24"/>
          <w:szCs w:val="24"/>
          <w:highlight w:val="none"/>
        </w:rPr>
      </w:pPr>
      <w:bookmarkStart w:id="84" w:name="_Toc107446862"/>
      <w:bookmarkStart w:id="85" w:name="_Toc19692"/>
      <w:bookmarkStart w:id="86" w:name="_Toc107447255"/>
      <w:bookmarkStart w:id="87" w:name="_Toc520190040"/>
      <w:bookmarkStart w:id="88" w:name="_Toc474245226"/>
      <w:bookmarkStart w:id="89" w:name="_Toc306350467"/>
      <w:bookmarkStart w:id="90" w:name="_Toc518993000"/>
      <w:bookmarkStart w:id="91" w:name="_Toc183666531"/>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bookmarkEnd w:id="84"/>
      <w:bookmarkEnd w:id="85"/>
      <w:bookmarkEnd w:id="86"/>
      <w:bookmarkEnd w:id="87"/>
      <w:bookmarkEnd w:id="88"/>
      <w:bookmarkEnd w:id="89"/>
      <w:bookmarkEnd w:id="90"/>
      <w:bookmarkEnd w:id="91"/>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bookmarkStart w:id="92" w:name="_Toc183666532"/>
      <w:bookmarkStart w:id="93" w:name="_Toc12010"/>
      <w:bookmarkStart w:id="94" w:name="_Toc306350468"/>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⑴</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地震、火山爆发、滑坡、暴雨（橙色预警及以上）、台风（黄色预警及以上）、海啸、龙卷风、大面积流行病</w:t>
      </w:r>
      <w:r>
        <w:rPr>
          <w:rFonts w:ascii="宋体" w:hAnsi="宋体" w:cs="宋体"/>
          <w:bCs/>
          <w:color w:val="auto"/>
          <w:sz w:val="24"/>
          <w:szCs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声称受到不可抗力影响的一方，应在发生不可抗力或知道发生不可抗力之后</w:t>
      </w:r>
      <w:r>
        <w:rPr>
          <w:rFonts w:ascii="宋体" w:hAnsi="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因不可抗力导致合同无法履行的时间自该不可抗力发生日起连续超过玖拾</w:t>
      </w:r>
      <w:r>
        <w:rPr>
          <w:rFonts w:ascii="宋体" w:hAnsi="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5" w:name="_Toc118172294"/>
      <w:bookmarkStart w:id="96" w:name="_Toc474245227"/>
      <w:bookmarkStart w:id="97" w:name="_Toc518993001"/>
      <w:bookmarkStart w:id="98" w:name="_Toc520190041"/>
      <w:bookmarkStart w:id="99" w:name="_Toc107446864"/>
      <w:bookmarkStart w:id="100" w:name="_Toc107447257"/>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bookmarkEnd w:id="92"/>
      <w:bookmarkEnd w:id="93"/>
      <w:bookmarkEnd w:id="94"/>
      <w:bookmarkEnd w:id="95"/>
      <w:bookmarkEnd w:id="96"/>
      <w:bookmarkEnd w:id="97"/>
      <w:bookmarkEnd w:id="98"/>
      <w:bookmarkEnd w:id="99"/>
      <w:bookmarkEnd w:id="100"/>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bookmarkStart w:id="101" w:name="_Toc183666533"/>
      <w:bookmarkStart w:id="102" w:name="_Toc306350469"/>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00" w:lineRule="exact"/>
        <w:ind w:firstLine="482"/>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bookmarkEnd w:id="101"/>
      <w:bookmarkEnd w:id="102"/>
      <w:bookmarkStart w:id="103" w:name="_Toc520190043"/>
      <w:bookmarkStart w:id="104" w:name="_Toc474245229"/>
      <w:bookmarkStart w:id="105" w:name="_Toc518993003"/>
    </w:p>
    <w:p>
      <w:pPr>
        <w:keepNext w:val="0"/>
        <w:keepLines w:val="0"/>
        <w:pageBreakBefore w:val="0"/>
        <w:kinsoku/>
        <w:wordWrap/>
        <w:overflowPunct/>
        <w:topLinePunct w:val="0"/>
        <w:bidi w:val="0"/>
        <w:spacing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bookmarkStart w:id="106" w:name="_Toc107446871"/>
      <w:bookmarkStart w:id="107" w:name="_Toc107447264"/>
      <w:r>
        <w:rPr>
          <w:rFonts w:hint="eastAsia" w:ascii="宋体" w:hAnsi="宋体" w:cs="宋体"/>
          <w:b/>
          <w:bCs/>
          <w:color w:val="auto"/>
          <w:sz w:val="24"/>
          <w:szCs w:val="24"/>
          <w:highlight w:val="none"/>
        </w:rPr>
        <w:t>合同生效及其他</w:t>
      </w:r>
      <w:bookmarkEnd w:id="103"/>
      <w:bookmarkEnd w:id="104"/>
      <w:bookmarkEnd w:id="105"/>
      <w:bookmarkEnd w:id="106"/>
      <w:bookmarkEnd w:id="107"/>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sz w:val="24"/>
          <w:szCs w:val="24"/>
          <w:highlight w:val="none"/>
        </w:rPr>
        <w:t>本合同正文一式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六</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份，其中：甲方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pStyle w:val="4"/>
        <w:rPr>
          <w:rFonts w:ascii="宋体" w:hAnsi="宋体" w:cs="宋体"/>
          <w:color w:val="auto"/>
          <w:sz w:val="24"/>
          <w:szCs w:val="24"/>
          <w:highlight w:val="none"/>
        </w:rPr>
      </w:pP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1.广州净水公司尾水管道探测及地质隐患排查数据统计表</w:t>
      </w:r>
    </w:p>
    <w:p>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2.安全协议书</w:t>
      </w:r>
    </w:p>
    <w:p>
      <w:pPr>
        <w:keepNext w:val="0"/>
        <w:keepLines w:val="0"/>
        <w:pageBreakBefore w:val="0"/>
        <w:kinsoku/>
        <w:wordWrap/>
        <w:overflowPunct/>
        <w:topLinePunct w:val="0"/>
        <w:bidi w:val="0"/>
        <w:spacing w:line="50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廉洁协议</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lang w:val="en-US" w:eastAsia="zh-CN"/>
        </w:rPr>
        <w:t>不诚信行为管理办法</w:t>
      </w:r>
    </w:p>
    <w:p>
      <w:pPr>
        <w:pStyle w:val="4"/>
        <w:ind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.防疫管理协议书</w:t>
      </w:r>
    </w:p>
    <w:p>
      <w:pPr>
        <w:keepNext w:val="0"/>
        <w:keepLines w:val="0"/>
        <w:pageBreakBefore w:val="0"/>
        <w:kinsoku/>
        <w:wordWrap/>
        <w:overflowPunct/>
        <w:topLinePunct w:val="0"/>
        <w:bidi w:val="0"/>
        <w:spacing w:line="500" w:lineRule="exact"/>
        <w:textAlignment w:val="auto"/>
        <w:rPr>
          <w:rFonts w:hint="eastAsia" w:ascii="宋体" w:hAnsi="宋体" w:cs="宋体"/>
          <w:color w:val="auto"/>
          <w:sz w:val="24"/>
          <w:szCs w:val="24"/>
          <w:highlight w:val="none"/>
        </w:rPr>
      </w:pPr>
    </w:p>
    <w:tbl>
      <w:tblPr>
        <w:tblStyle w:val="24"/>
        <w:tblW w:w="8694" w:type="dxa"/>
        <w:tblInd w:w="0" w:type="dxa"/>
        <w:tblLayout w:type="fixed"/>
        <w:tblCellMar>
          <w:top w:w="0" w:type="dxa"/>
          <w:left w:w="0" w:type="dxa"/>
          <w:bottom w:w="0" w:type="dxa"/>
          <w:right w:w="0" w:type="dxa"/>
        </w:tblCellMar>
      </w:tblPr>
      <w:tblGrid>
        <w:gridCol w:w="4361"/>
        <w:gridCol w:w="4333"/>
      </w:tblGrid>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甲方（盖章）：广州市净水有限公司</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乙方（盖章）：</w:t>
            </w:r>
            <w:r>
              <w:rPr>
                <w:rFonts w:hint="eastAsia" w:ascii="宋体" w:hAnsi="宋体"/>
                <w:color w:val="auto"/>
                <w:kern w:val="0"/>
                <w:sz w:val="22"/>
                <w:szCs w:val="22"/>
                <w:highlight w:val="none"/>
                <w:lang w:val="en-US" w:eastAsia="zh-CN"/>
              </w:rPr>
              <w:t>广州市吉华勘测股份有限公司</w:t>
            </w:r>
          </w:p>
        </w:tc>
      </w:tr>
      <w:tr>
        <w:tblPrEx>
          <w:tblCellMar>
            <w:top w:w="0" w:type="dxa"/>
            <w:left w:w="0" w:type="dxa"/>
            <w:bottom w:w="0" w:type="dxa"/>
            <w:right w:w="0" w:type="dxa"/>
          </w:tblCellMar>
        </w:tblPrEx>
        <w:trPr>
          <w:trHeight w:val="711"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val="en-US" w:eastAsia="zh-CN"/>
              </w:rPr>
              <w:t>广州市天河区临江大道501号</w:t>
            </w:r>
            <w:r>
              <w:rPr>
                <w:rFonts w:hint="eastAsia" w:ascii="宋体" w:hAnsi="宋体"/>
                <w:color w:val="auto"/>
                <w:kern w:val="0"/>
                <w:sz w:val="22"/>
                <w:szCs w:val="22"/>
                <w:highlight w:val="none"/>
              </w:rPr>
              <w:t> </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p>
        </w:tc>
      </w:tr>
      <w:tr>
        <w:tblPrEx>
          <w:tblCellMar>
            <w:top w:w="0" w:type="dxa"/>
            <w:left w:w="0" w:type="dxa"/>
            <w:bottom w:w="0" w:type="dxa"/>
            <w:right w:w="0" w:type="dxa"/>
          </w:tblCellMar>
        </w:tblPrEx>
        <w:trPr>
          <w:trHeight w:val="575"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r>
              <w:rPr>
                <w:rFonts w:hint="eastAsia" w:ascii="宋体" w:hAnsi="宋体" w:cs="宋体"/>
                <w:color w:val="auto"/>
                <w:sz w:val="24"/>
                <w:szCs w:val="24"/>
                <w:highlight w:val="none"/>
              </w:rPr>
              <w:t>020-38890</w:t>
            </w:r>
            <w:r>
              <w:rPr>
                <w:rFonts w:hint="eastAsia" w:ascii="宋体" w:hAnsi="宋体" w:cs="宋体"/>
                <w:color w:val="auto"/>
                <w:sz w:val="24"/>
                <w:szCs w:val="24"/>
                <w:highlight w:val="none"/>
                <w:lang w:val="en-US" w:eastAsia="zh-CN"/>
              </w:rPr>
              <w:t>503</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传真：</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传真：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经办人：</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经办人：</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r>
    </w:tbl>
    <w:p>
      <w:pPr>
        <w:spacing w:line="360" w:lineRule="auto"/>
        <w:rPr>
          <w:rFonts w:hint="eastAsia" w:ascii="宋体" w:hAnsi="宋体" w:cs="宋体"/>
          <w:b/>
          <w:color w:val="auto"/>
          <w:szCs w:val="21"/>
          <w:highlight w:val="none"/>
        </w:rPr>
      </w:pPr>
    </w:p>
    <w:p>
      <w:pPr>
        <w:pStyle w:val="2"/>
        <w:rPr>
          <w:rFonts w:hint="eastAsia"/>
          <w:color w:val="auto"/>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广州净水公司尾水管道探测及地质隐患排查数据统计表</w:t>
      </w:r>
    </w:p>
    <w:tbl>
      <w:tblPr>
        <w:tblStyle w:val="24"/>
        <w:tblpPr w:leftFromText="180" w:rightFromText="180" w:vertAnchor="text" w:horzAnchor="page" w:tblpX="1146" w:tblpY="569"/>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1220"/>
        <w:gridCol w:w="1434"/>
        <w:gridCol w:w="1957"/>
        <w:gridCol w:w="1598"/>
        <w:gridCol w:w="719"/>
        <w:gridCol w:w="1020"/>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编号</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厂区</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尾水管期数</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管道所在道路</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管材</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排水形式</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尾水管径范围</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大坦沙厂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坦尾路、双桥路、坦尾西路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沥滘厂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一二期及初雨池合流尾水管</w:t>
            </w:r>
          </w:p>
        </w:tc>
        <w:tc>
          <w:tcPr>
            <w:tcW w:w="19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5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DN2500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大沙地厂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厂区内部、横穿港前路</w:t>
            </w:r>
          </w:p>
        </w:tc>
        <w:tc>
          <w:tcPr>
            <w:tcW w:w="15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均禾厂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横穿夏花一路，途径广花路、新石路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二期初雨尾水管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w:t>
            </w:r>
          </w:p>
        </w:tc>
        <w:tc>
          <w:tcPr>
            <w:tcW w:w="12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京溪厂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犀牛南路1号</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石井净水厂</w:t>
            </w:r>
          </w:p>
        </w:tc>
        <w:tc>
          <w:tcPr>
            <w:tcW w:w="14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横穿桥东基围下街</w:t>
            </w:r>
          </w:p>
        </w:tc>
        <w:tc>
          <w:tcPr>
            <w:tcW w:w="159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钢筋混凝土渠箱</w:t>
            </w:r>
          </w:p>
        </w:tc>
        <w:tc>
          <w:tcPr>
            <w:tcW w:w="7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3.2M*2.5M</w:t>
            </w:r>
          </w:p>
        </w:tc>
        <w:tc>
          <w:tcPr>
            <w:tcW w:w="11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竹料厂</w:t>
            </w:r>
          </w:p>
        </w:tc>
        <w:tc>
          <w:tcPr>
            <w:tcW w:w="143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龙和路</w:t>
            </w:r>
          </w:p>
        </w:tc>
        <w:tc>
          <w:tcPr>
            <w:tcW w:w="159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健康城大道、创新大道</w:t>
            </w:r>
          </w:p>
        </w:tc>
        <w:tc>
          <w:tcPr>
            <w:tcW w:w="1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江高厂</w:t>
            </w:r>
          </w:p>
        </w:tc>
        <w:tc>
          <w:tcPr>
            <w:tcW w:w="14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一二期流尾水管</w:t>
            </w:r>
          </w:p>
        </w:tc>
        <w:tc>
          <w:tcPr>
            <w:tcW w:w="19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田南路、秋鹿路</w:t>
            </w:r>
          </w:p>
        </w:tc>
        <w:tc>
          <w:tcPr>
            <w:tcW w:w="15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DN1800</w:t>
            </w:r>
          </w:p>
        </w:tc>
        <w:tc>
          <w:tcPr>
            <w:tcW w:w="11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大观厂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车陂涌旁道路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初雨尾水管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厂区内部</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8477"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12439</w:t>
            </w:r>
          </w:p>
        </w:tc>
      </w:tr>
    </w:tbl>
    <w:p>
      <w:pPr>
        <w:spacing w:line="360" w:lineRule="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w:t>
      </w: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7"/>
          <w:rFonts w:hint="default"/>
          <w:b w:val="0"/>
          <w:color w:val="auto"/>
          <w:highlight w:val="none"/>
          <w:u w:val="single"/>
        </w:rPr>
      </w:pP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spacing w:line="360" w:lineRule="auto"/>
        <w:jc w:val="left"/>
        <w:rPr>
          <w:rFonts w:ascii="宋体" w:hAnsi="宋体"/>
          <w:color w:val="auto"/>
          <w:sz w:val="24"/>
          <w:highlight w:val="none"/>
        </w:rPr>
      </w:pPr>
      <w:r>
        <w:rPr>
          <w:rFonts w:hint="eastAsia" w:ascii="宋体" w:hAnsi="宋体"/>
          <w:color w:val="auto"/>
          <w:sz w:val="24"/>
          <w:highlight w:val="none"/>
        </w:rPr>
        <w:t xml:space="preserve">    本协议作为</w:t>
      </w:r>
      <w:r>
        <w:rPr>
          <w:rFonts w:hint="eastAsia" w:ascii="宋体" w:hAnsi="宋体" w:cs="宋体"/>
          <w:color w:val="auto"/>
          <w:sz w:val="24"/>
          <w:szCs w:val="24"/>
          <w:highlight w:val="none"/>
          <w:u w:val="single"/>
          <w:lang w:eastAsia="zh-CN"/>
        </w:rPr>
        <w:t>广州市净水有限公司尾水管道探测及地质隐患排查项目（第二次）</w:t>
      </w:r>
      <w:r>
        <w:rPr>
          <w:rFonts w:hint="eastAsia" w:ascii="宋体" w:hAnsi="宋体" w:cs="宋体"/>
          <w:color w:val="auto"/>
          <w:sz w:val="24"/>
          <w:szCs w:val="24"/>
          <w:highlight w:val="none"/>
          <w:u w:val="single"/>
          <w:lang w:val="en-US" w:eastAsia="zh-CN"/>
        </w:rPr>
        <w:t>合同</w:t>
      </w:r>
      <w:r>
        <w:rPr>
          <w:rFonts w:hint="eastAsia" w:ascii="宋体" w:hAnsi="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9"/>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color w:val="auto"/>
          <w:sz w:val="24"/>
          <w:highlight w:val="none"/>
        </w:rPr>
      </w:pP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甲方：</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480" w:firstLineChars="200"/>
              <w:jc w:val="both"/>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c>
          <w:tcPr>
            <w:tcW w:w="4474"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乙方：</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480" w:firstLineChars="200"/>
              <w:jc w:val="center"/>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color w:val="auto"/>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pStyle w:val="4"/>
        <w:rPr>
          <w:rFonts w:ascii="宋体" w:hAnsi="宋体"/>
          <w:color w:val="auto"/>
          <w:sz w:val="28"/>
          <w:szCs w:val="28"/>
          <w:highlight w:val="none"/>
        </w:rPr>
      </w:pPr>
    </w:p>
    <w:p>
      <w:pPr>
        <w:pStyle w:val="4"/>
        <w:rPr>
          <w:rFonts w:ascii="宋体" w:hAnsi="宋体"/>
          <w:color w:val="auto"/>
          <w:sz w:val="28"/>
          <w:szCs w:val="28"/>
          <w:highlight w:val="none"/>
        </w:rPr>
      </w:pPr>
    </w:p>
    <w:p>
      <w:pPr>
        <w:pStyle w:val="4"/>
        <w:rPr>
          <w:rFonts w:ascii="宋体" w:hAnsi="宋体"/>
          <w:color w:val="auto"/>
          <w:sz w:val="28"/>
          <w:szCs w:val="28"/>
          <w:highlight w:val="none"/>
        </w:rPr>
      </w:pPr>
    </w:p>
    <w:p>
      <w:pPr>
        <w:pStyle w:val="4"/>
        <w:rPr>
          <w:rFonts w:ascii="宋体" w:hAnsi="宋体"/>
          <w:color w:val="auto"/>
          <w:sz w:val="28"/>
          <w:szCs w:val="28"/>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广州市净水有限公司尾水管道探测及地质隐患排查项目（第二次）</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宋体" w:hAnsi="宋体" w:cs="宋体"/>
          <w:color w:val="auto"/>
          <w:sz w:val="24"/>
          <w:szCs w:val="24"/>
          <w:highlight w:val="none"/>
          <w:u w:val="single"/>
          <w:lang w:eastAsia="zh-CN"/>
        </w:rPr>
        <w:t>广州市净水有限公司尾水管道探测及地质隐患排查项目（第二次）</w:t>
      </w:r>
      <w:r>
        <w:rPr>
          <w:rFonts w:hint="eastAsia" w:ascii="宋体" w:hAnsi="宋体" w:cs="宋体"/>
          <w:color w:val="auto"/>
          <w:sz w:val="24"/>
          <w:szCs w:val="24"/>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 xml:space="preserve">穗净水合〔2022〕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both"/>
        <w:rPr>
          <w:rFonts w:ascii="宋体" w:hAnsi="宋体" w:cs="宋体"/>
          <w:b/>
          <w:bCs/>
          <w:color w:val="auto"/>
          <w:sz w:val="24"/>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eastAsia="宋体" w:cs="宋体"/>
          <w:b/>
          <w:color w:val="auto"/>
          <w:sz w:val="24"/>
          <w:szCs w:val="24"/>
          <w:highlight w:val="none"/>
        </w:rPr>
        <w:t>不诚信行为管理办法</w:t>
      </w:r>
    </w:p>
    <w:p>
      <w:pPr>
        <w:pStyle w:val="4"/>
        <w:rPr>
          <w:rFonts w:hint="eastAsia"/>
          <w:color w:val="auto"/>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tabs>
          <w:tab w:val="left" w:pos="6187"/>
        </w:tabs>
        <w:bidi w:val="0"/>
        <w:ind w:firstLine="6023" w:firstLineChars="2500"/>
        <w:jc w:val="left"/>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ind w:firstLine="0"/>
        <w:rPr>
          <w:rFonts w:hint="default"/>
          <w:b/>
          <w:bCs/>
          <w:color w:val="auto"/>
          <w:sz w:val="24"/>
          <w:szCs w:val="24"/>
          <w:highlight w:val="none"/>
          <w:lang w:val="en-US" w:eastAsia="zh-CN"/>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：防疫管理协议书</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7"/>
          <w:rFonts w:hint="default" w:ascii="仿宋" w:hAnsi="仿宋" w:eastAsia="仿宋" w:cs="仿宋"/>
          <w:b w:val="0"/>
          <w:color w:val="auto"/>
          <w:highlight w:val="none"/>
          <w:u w:val="single"/>
          <w:lang w:val="en-US" w:eastAsia="zh-CN"/>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lang w:val="en-US" w:eastAsia="zh-CN"/>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lang w:eastAsia="zh-CN"/>
        </w:rPr>
        <w:t>广州市净水有限公司尾水管道探测及地质隐患排查项目（第二次）</w:t>
      </w:r>
      <w:r>
        <w:rPr>
          <w:rFonts w:hint="eastAsia" w:ascii="仿宋" w:hAnsi="仿宋" w:eastAsia="仿宋" w:cs="仿宋"/>
          <w:color w:val="auto"/>
          <w:sz w:val="24"/>
          <w:highlight w:val="none"/>
          <w:u w:val="single"/>
          <w:lang w:val="en-US" w:eastAsia="zh-CN"/>
        </w:rPr>
        <w:t>合同</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二、甲方的义务</w:t>
      </w:r>
    </w:p>
    <w:p>
      <w:pPr>
        <w:adjustRightInd w:val="0"/>
        <w:snapToGrid w:val="0"/>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（一）与建设主管部门和属地疫情防控指挥部门形成联防联控机制，建立快速有效的处置工作流程。</w:t>
      </w:r>
    </w:p>
    <w:p>
      <w:pPr>
        <w:pStyle w:val="9"/>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三、乙方的义务</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（一）开展疫情防控宣传教育，提高乙方人员自我防护意识，最大限度减少人员暴露和感染的风险。</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（二）做好乙方人员防控工作管理，及时提交防疫资料，落实疫情防控备案，必要时需编制防控管理工作方案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（三）乙方人员须按照甲方各厂区进厂门岗防控要求进行疫苗接种及核酸检测，未满足相关要求的人员甲方有权限制进入厂区。</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highlight w:val="none"/>
        </w:rPr>
        <w:t>（五）各级政府、有关部门及甲方的其他防控要求。</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w:t>
      </w:r>
      <w:r>
        <w:rPr>
          <w:rFonts w:hint="eastAsia" w:ascii="仿宋" w:hAnsi="仿宋" w:eastAsia="仿宋" w:cs="仿宋"/>
          <w:color w:val="auto"/>
          <w:sz w:val="24"/>
          <w:highlight w:val="none"/>
          <w:lang w:val="en-US" w:eastAsia="zh-CN"/>
        </w:rPr>
        <w:t>1000</w:t>
      </w:r>
      <w:r>
        <w:rPr>
          <w:rFonts w:hint="eastAsia" w:ascii="仿宋" w:hAnsi="仿宋" w:eastAsia="仿宋" w:cs="仿宋"/>
          <w:color w:val="auto"/>
          <w:sz w:val="24"/>
          <w:highlight w:val="none"/>
        </w:rPr>
        <w:t>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color w:val="auto"/>
          <w:sz w:val="24"/>
          <w:highlight w:val="none"/>
        </w:rPr>
      </w:pPr>
    </w:p>
    <w:p>
      <w:pPr>
        <w:pStyle w:val="39"/>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叁</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4"/>
        <w:ind w:left="0" w:leftChars="0" w:firstLine="0" w:firstLineChars="0"/>
        <w:rPr>
          <w:rFonts w:hint="default"/>
          <w:b/>
          <w:bCs/>
          <w:color w:val="auto"/>
          <w:sz w:val="24"/>
          <w:szCs w:val="24"/>
          <w:highlight w:val="none"/>
          <w:lang w:val="en-US" w:eastAsia="zh-CN"/>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rPr>
          <w:rFonts w:ascii="仿宋_GB2312" w:eastAsia="仿宋_GB2312"/>
          <w:color w:val="auto"/>
          <w:sz w:val="28"/>
          <w:szCs w:val="28"/>
          <w:highlight w:val="none"/>
        </w:rPr>
      </w:pPr>
    </w:p>
    <w:p>
      <w:pPr>
        <w:pStyle w:val="6"/>
        <w:rPr>
          <w:color w:val="auto"/>
          <w:highlight w:val="none"/>
        </w:rPr>
      </w:pPr>
      <w:bookmarkStart w:id="108" w:name="_Toc1563"/>
      <w:bookmarkStart w:id="109" w:name="_Toc5129"/>
      <w:bookmarkStart w:id="110" w:name="_Toc21847"/>
      <w:bookmarkStart w:id="111" w:name="_Toc3723"/>
      <w:bookmarkStart w:id="112" w:name="_Toc6230"/>
      <w:bookmarkStart w:id="113" w:name="_Toc30824"/>
      <w:bookmarkStart w:id="114" w:name="_Toc28358"/>
      <w:bookmarkStart w:id="115" w:name="_Toc8147"/>
      <w:bookmarkStart w:id="116" w:name="_Toc23515"/>
      <w:bookmarkStart w:id="117" w:name="_Toc16552"/>
      <w:bookmarkStart w:id="118" w:name="_Toc1216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8"/>
      <w:bookmarkEnd w:id="109"/>
      <w:bookmarkEnd w:id="110"/>
      <w:bookmarkEnd w:id="111"/>
      <w:bookmarkEnd w:id="112"/>
      <w:bookmarkEnd w:id="113"/>
      <w:bookmarkEnd w:id="114"/>
      <w:bookmarkEnd w:id="115"/>
      <w:bookmarkEnd w:id="116"/>
      <w:bookmarkEnd w:id="117"/>
      <w:bookmarkEnd w:id="118"/>
    </w:p>
    <w:p>
      <w:pPr>
        <w:pStyle w:val="39"/>
        <w:rPr>
          <w:color w:val="auto"/>
          <w:highlight w:val="none"/>
        </w:rPr>
      </w:pPr>
    </w:p>
    <w:p>
      <w:pPr>
        <w:pStyle w:val="6"/>
        <w:rPr>
          <w:color w:val="auto"/>
          <w:highlight w:val="none"/>
        </w:rPr>
      </w:pPr>
      <w:bookmarkStart w:id="119" w:name="_Toc88209951"/>
      <w:bookmarkStart w:id="120" w:name="_Toc24490"/>
      <w:bookmarkStart w:id="121" w:name="_Toc5342"/>
      <w:bookmarkStart w:id="122" w:name="_Toc17119"/>
      <w:bookmarkStart w:id="123" w:name="_Toc30157"/>
      <w:bookmarkStart w:id="124" w:name="_Toc10840"/>
      <w:bookmarkStart w:id="125" w:name="_Toc21675"/>
      <w:bookmarkStart w:id="126" w:name="_Toc31564"/>
      <w:bookmarkStart w:id="127" w:name="_Toc87616388"/>
      <w:bookmarkStart w:id="128" w:name="_Toc22764"/>
      <w:bookmarkStart w:id="129" w:name="_Toc12610"/>
      <w:bookmarkStart w:id="130" w:name="_Toc12769"/>
      <w:bookmarkStart w:id="131" w:name="_Toc24815"/>
      <w:r>
        <w:rPr>
          <w:rFonts w:hint="eastAsia"/>
          <w:color w:val="auto"/>
          <w:highlight w:val="none"/>
        </w:rPr>
        <w:t>响应文件</w:t>
      </w:r>
      <w:r>
        <w:rPr>
          <w:rFonts w:hint="eastAsia"/>
          <w:color w:val="auto"/>
          <w:highlight w:val="none"/>
          <w:lang w:val="en-US" w:eastAsia="zh-CN"/>
        </w:rPr>
        <w:t>格式要求</w:t>
      </w:r>
      <w:bookmarkEnd w:id="119"/>
      <w:bookmarkEnd w:id="120"/>
      <w:bookmarkEnd w:id="121"/>
      <w:bookmarkEnd w:id="122"/>
      <w:bookmarkEnd w:id="123"/>
      <w:bookmarkEnd w:id="124"/>
      <w:bookmarkEnd w:id="125"/>
      <w:bookmarkEnd w:id="126"/>
      <w:bookmarkEnd w:id="127"/>
      <w:bookmarkEnd w:id="128"/>
      <w:bookmarkEnd w:id="129"/>
      <w:bookmarkEnd w:id="130"/>
      <w:bookmarkEnd w:id="1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广州市净水有限公司尾水管道探测及地质隐患排查项目（第二次）</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2" w:name="_Toc88209952"/>
      <w:bookmarkStart w:id="133" w:name="_Toc87616389"/>
      <w:r>
        <w:rPr>
          <w:rFonts w:hint="eastAsia" w:ascii="仿宋_GB2312" w:eastAsia="仿宋_GB2312"/>
          <w:color w:val="auto"/>
          <w:sz w:val="28"/>
          <w:szCs w:val="28"/>
          <w:highlight w:val="none"/>
        </w:rPr>
        <w:t>1.响应函</w:t>
      </w:r>
      <w:bookmarkEnd w:id="132"/>
      <w:bookmarkEnd w:id="133"/>
    </w:p>
    <w:p>
      <w:pPr>
        <w:spacing w:line="600" w:lineRule="exact"/>
        <w:rPr>
          <w:rFonts w:hint="eastAsia" w:ascii="仿宋_GB2312" w:eastAsia="仿宋_GB2312"/>
          <w:color w:val="auto"/>
          <w:sz w:val="28"/>
          <w:szCs w:val="28"/>
          <w:highlight w:val="none"/>
        </w:rPr>
      </w:pPr>
      <w:bookmarkStart w:id="134" w:name="_Toc88209953"/>
      <w:bookmarkStart w:id="135" w:name="_Toc87616390"/>
      <w:r>
        <w:rPr>
          <w:rFonts w:hint="eastAsia" w:ascii="仿宋_GB2312" w:eastAsia="仿宋_GB2312"/>
          <w:color w:val="auto"/>
          <w:sz w:val="28"/>
          <w:szCs w:val="28"/>
          <w:highlight w:val="none"/>
        </w:rPr>
        <w:t>2.法定代表人证明或授权委托书</w:t>
      </w:r>
      <w:bookmarkEnd w:id="134"/>
      <w:bookmarkEnd w:id="135"/>
      <w:bookmarkStart w:id="136" w:name="_Toc87616393"/>
      <w:bookmarkStart w:id="13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6"/>
      <w:bookmarkEnd w:id="13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p>
    <w:p>
      <w:pPr>
        <w:pStyle w:val="2"/>
        <w:ind w:firstLine="0" w:firstLineChars="0"/>
        <w:rPr>
          <w:color w:val="auto"/>
          <w:highlight w:val="none"/>
        </w:rPr>
      </w:pPr>
    </w:p>
    <w:p>
      <w:pPr>
        <w:pStyle w:val="8"/>
        <w:rPr>
          <w:rFonts w:asciiTheme="minorEastAsia" w:hAnsiTheme="minorEastAsia" w:eastAsiaTheme="minorEastAsia"/>
          <w:color w:val="auto"/>
          <w:sz w:val="28"/>
          <w:szCs w:val="28"/>
          <w:highlight w:val="none"/>
        </w:rPr>
      </w:pPr>
      <w:bookmarkStart w:id="138" w:name="_Toc88209957"/>
      <w:bookmarkStart w:id="139" w:name="_Toc12665"/>
      <w:bookmarkStart w:id="140" w:name="_Toc6313"/>
      <w:bookmarkStart w:id="141" w:name="_Toc28619645"/>
      <w:bookmarkStart w:id="142" w:name="_Toc87616394"/>
      <w:r>
        <w:rPr>
          <w:rFonts w:hint="eastAsia" w:asciiTheme="minorEastAsia" w:hAnsiTheme="minorEastAsia" w:eastAsiaTheme="minorEastAsia"/>
          <w:color w:val="auto"/>
          <w:sz w:val="28"/>
          <w:szCs w:val="28"/>
          <w:highlight w:val="none"/>
        </w:rPr>
        <w:t>1.响应函</w:t>
      </w:r>
      <w:bookmarkEnd w:id="138"/>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43" w:name="_Toc87616395"/>
      <w:bookmarkStart w:id="144" w:name="_Toc22527"/>
      <w:bookmarkStart w:id="145" w:name="_Toc88209958"/>
      <w:bookmarkStart w:id="146" w:name="_Toc29833"/>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8"/>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3"/>
      <w:bookmarkEnd w:id="144"/>
      <w:bookmarkEnd w:id="145"/>
      <w:bookmarkEnd w:id="146"/>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8"/>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7" w:name="_Toc8086"/>
      <w:bookmarkStart w:id="148" w:name="_Toc87616400"/>
      <w:bookmarkStart w:id="149" w:name="_Toc88209963"/>
      <w:bookmarkStart w:id="15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51"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广州市净水有限公司尾水管道探测及地质隐患排查项目（第二次）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4"/>
        <w:rPr>
          <w:rFonts w:hint="default" w:ascii="仿宋_GB2312" w:eastAsia="仿宋_GB2312" w:hAnsiTheme="minorEastAsia"/>
          <w:color w:val="auto"/>
          <w:sz w:val="28"/>
          <w:szCs w:val="28"/>
          <w:highlight w:val="none"/>
          <w:lang w:val="en-US" w:eastAsia="zh-CN"/>
        </w:rPr>
      </w:pPr>
    </w:p>
    <w:p>
      <w:pPr>
        <w:pStyle w:val="14"/>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4"/>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4"/>
        <w:rPr>
          <w:rFonts w:hint="default" w:ascii="仿宋_GB2312" w:eastAsia="仿宋_GB2312" w:hAnsiTheme="minorEastAsia"/>
          <w:color w:val="auto"/>
          <w:sz w:val="28"/>
          <w:szCs w:val="28"/>
          <w:highlight w:val="none"/>
          <w:lang w:val="en-US" w:eastAsia="zh-CN"/>
        </w:rPr>
      </w:pPr>
    </w:p>
    <w:p>
      <w:pPr>
        <w:pStyle w:val="4"/>
        <w:rPr>
          <w:rFonts w:hint="default" w:ascii="仿宋_GB2312" w:eastAsia="仿宋_GB2312" w:hAnsiTheme="minorEastAsia"/>
          <w:color w:val="auto"/>
          <w:sz w:val="28"/>
          <w:szCs w:val="28"/>
          <w:highlight w:val="none"/>
          <w:lang w:val="en-US" w:eastAsia="zh-CN"/>
        </w:rPr>
      </w:pPr>
    </w:p>
    <w:p>
      <w:pPr>
        <w:pStyle w:val="4"/>
        <w:rPr>
          <w:rFonts w:hint="default" w:ascii="仿宋_GB2312" w:eastAsia="仿宋_GB2312" w:hAnsiTheme="minorEastAsia"/>
          <w:color w:val="auto"/>
          <w:sz w:val="28"/>
          <w:szCs w:val="28"/>
          <w:highlight w:val="none"/>
          <w:lang w:val="en-US" w:eastAsia="zh-CN"/>
        </w:rPr>
      </w:pPr>
    </w:p>
    <w:p>
      <w:pPr>
        <w:pStyle w:val="8"/>
        <w:numPr>
          <w:ilvl w:val="0"/>
          <w:numId w:val="5"/>
        </w:numPr>
        <w:rPr>
          <w:rFonts w:hint="eastAsia" w:asciiTheme="minorEastAsia" w:hAnsiTheme="minorEastAsia" w:eastAsiaTheme="minorEastAsia"/>
          <w:color w:val="auto"/>
          <w:sz w:val="28"/>
          <w:szCs w:val="28"/>
          <w:highlight w:val="none"/>
        </w:rPr>
      </w:pPr>
      <w:bookmarkStart w:id="152" w:name="_Toc32430"/>
      <w:bookmarkStart w:id="153" w:name="_Toc19423"/>
      <w:r>
        <w:rPr>
          <w:rFonts w:hint="eastAsia" w:asciiTheme="minorEastAsia" w:hAnsiTheme="minorEastAsia" w:eastAsiaTheme="minorEastAsia"/>
          <w:color w:val="auto"/>
          <w:sz w:val="28"/>
          <w:szCs w:val="28"/>
          <w:highlight w:val="none"/>
        </w:rPr>
        <w:t>报价表</w:t>
      </w:r>
      <w:bookmarkEnd w:id="152"/>
      <w:bookmarkEnd w:id="153"/>
    </w:p>
    <w:tbl>
      <w:tblPr>
        <w:tblStyle w:val="24"/>
        <w:tblpPr w:leftFromText="180" w:rightFromText="180" w:vertAnchor="text" w:horzAnchor="page" w:tblpX="1096" w:tblpY="552"/>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 xml:space="preserve">服务商自主报价。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9"/>
        <w:rPr>
          <w:rFonts w:ascii="仿宋_GB2312" w:eastAsia="仿宋_GB2312" w:hAnsiTheme="minorEastAsia"/>
          <w:color w:val="auto"/>
          <w:sz w:val="28"/>
          <w:szCs w:val="28"/>
          <w:highlight w:val="none"/>
        </w:rPr>
      </w:pPr>
    </w:p>
    <w:p>
      <w:pPr>
        <w:pStyle w:val="9"/>
        <w:rPr>
          <w:rFonts w:ascii="仿宋_GB2312" w:eastAsia="仿宋_GB2312" w:hAnsiTheme="minorEastAsia"/>
          <w:color w:val="auto"/>
          <w:sz w:val="28"/>
          <w:szCs w:val="28"/>
          <w:highlight w:val="none"/>
        </w:rPr>
      </w:pPr>
    </w:p>
    <w:p>
      <w:pPr>
        <w:pStyle w:val="4"/>
        <w:ind w:left="0" w:leftChars="0" w:firstLine="0" w:firstLineChars="0"/>
        <w:rPr>
          <w:rFonts w:hint="default"/>
          <w:color w:val="auto"/>
          <w:highlight w:val="none"/>
          <w:lang w:val="en-US"/>
        </w:rPr>
      </w:pPr>
    </w:p>
    <w:p>
      <w:pPr>
        <w:pStyle w:val="8"/>
        <w:rPr>
          <w:rFonts w:asciiTheme="majorEastAsia" w:hAnsiTheme="majorEastAsia" w:eastAsiaTheme="majorEastAsia"/>
          <w:color w:val="auto"/>
          <w:sz w:val="28"/>
          <w:szCs w:val="28"/>
          <w:highlight w:val="none"/>
        </w:rPr>
      </w:pPr>
      <w:bookmarkStart w:id="154" w:name="_Toc87616402"/>
      <w:bookmarkStart w:id="155" w:name="_Toc6058"/>
      <w:bookmarkStart w:id="156" w:name="_Toc16386"/>
      <w:bookmarkStart w:id="15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4"/>
      <w:bookmarkEnd w:id="155"/>
      <w:bookmarkEnd w:id="156"/>
      <w:bookmarkEnd w:id="157"/>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6"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A4357B"/>
    <w:rsid w:val="00B26BB1"/>
    <w:rsid w:val="00B26E21"/>
    <w:rsid w:val="00F83B64"/>
    <w:rsid w:val="01114DE5"/>
    <w:rsid w:val="01882CE0"/>
    <w:rsid w:val="01C16457"/>
    <w:rsid w:val="02090C75"/>
    <w:rsid w:val="02203B3A"/>
    <w:rsid w:val="02775E4F"/>
    <w:rsid w:val="028547BB"/>
    <w:rsid w:val="02A23A3C"/>
    <w:rsid w:val="033F3AD7"/>
    <w:rsid w:val="036E7F18"/>
    <w:rsid w:val="03913FE6"/>
    <w:rsid w:val="03AC246A"/>
    <w:rsid w:val="03B23056"/>
    <w:rsid w:val="03CE2382"/>
    <w:rsid w:val="03DC3EBA"/>
    <w:rsid w:val="03F9794D"/>
    <w:rsid w:val="046A2461"/>
    <w:rsid w:val="058C7FB0"/>
    <w:rsid w:val="06107EF7"/>
    <w:rsid w:val="06A91040"/>
    <w:rsid w:val="06C64829"/>
    <w:rsid w:val="075303D4"/>
    <w:rsid w:val="077D16D2"/>
    <w:rsid w:val="08675FC8"/>
    <w:rsid w:val="09AE14B1"/>
    <w:rsid w:val="09B5523A"/>
    <w:rsid w:val="09B713FD"/>
    <w:rsid w:val="09C91841"/>
    <w:rsid w:val="09EF6ACC"/>
    <w:rsid w:val="0A315056"/>
    <w:rsid w:val="0ADB1C5D"/>
    <w:rsid w:val="0AFB45AD"/>
    <w:rsid w:val="0B297F03"/>
    <w:rsid w:val="0B351E9B"/>
    <w:rsid w:val="0B4C50D3"/>
    <w:rsid w:val="0B806B92"/>
    <w:rsid w:val="0B827E94"/>
    <w:rsid w:val="0BD070E1"/>
    <w:rsid w:val="0C247926"/>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E6999"/>
    <w:rsid w:val="110D4267"/>
    <w:rsid w:val="112B101A"/>
    <w:rsid w:val="1170021C"/>
    <w:rsid w:val="119B53FC"/>
    <w:rsid w:val="12424CDC"/>
    <w:rsid w:val="12510F76"/>
    <w:rsid w:val="129A2738"/>
    <w:rsid w:val="12B56BF1"/>
    <w:rsid w:val="12CB1A89"/>
    <w:rsid w:val="131840FB"/>
    <w:rsid w:val="133845C5"/>
    <w:rsid w:val="13467417"/>
    <w:rsid w:val="136E76CF"/>
    <w:rsid w:val="13FF14DE"/>
    <w:rsid w:val="14195348"/>
    <w:rsid w:val="146626F5"/>
    <w:rsid w:val="15BC6B3C"/>
    <w:rsid w:val="16067EB0"/>
    <w:rsid w:val="162F7443"/>
    <w:rsid w:val="166E4B63"/>
    <w:rsid w:val="1694429A"/>
    <w:rsid w:val="16985257"/>
    <w:rsid w:val="16D276A1"/>
    <w:rsid w:val="170C0A39"/>
    <w:rsid w:val="17635326"/>
    <w:rsid w:val="18236EFD"/>
    <w:rsid w:val="189D5B1F"/>
    <w:rsid w:val="18A34CD0"/>
    <w:rsid w:val="19B64DBC"/>
    <w:rsid w:val="19DE78D9"/>
    <w:rsid w:val="1A373ACF"/>
    <w:rsid w:val="1A895341"/>
    <w:rsid w:val="1AB268DB"/>
    <w:rsid w:val="1B0D071F"/>
    <w:rsid w:val="1B4568CE"/>
    <w:rsid w:val="1B9015B7"/>
    <w:rsid w:val="1D5A79EE"/>
    <w:rsid w:val="1D69272D"/>
    <w:rsid w:val="1E0E2CD0"/>
    <w:rsid w:val="1E831280"/>
    <w:rsid w:val="1EBC4704"/>
    <w:rsid w:val="1F172EB5"/>
    <w:rsid w:val="1F94592D"/>
    <w:rsid w:val="1F9C5A4F"/>
    <w:rsid w:val="1FB860DE"/>
    <w:rsid w:val="203C5A02"/>
    <w:rsid w:val="209D4C94"/>
    <w:rsid w:val="20E84705"/>
    <w:rsid w:val="20F3161C"/>
    <w:rsid w:val="217A48B8"/>
    <w:rsid w:val="218400BA"/>
    <w:rsid w:val="21AB1E2F"/>
    <w:rsid w:val="21D40498"/>
    <w:rsid w:val="221A2760"/>
    <w:rsid w:val="22767047"/>
    <w:rsid w:val="22B42700"/>
    <w:rsid w:val="22C04851"/>
    <w:rsid w:val="232752AB"/>
    <w:rsid w:val="234F377E"/>
    <w:rsid w:val="23A05588"/>
    <w:rsid w:val="251413CE"/>
    <w:rsid w:val="25431AEB"/>
    <w:rsid w:val="25BF43FD"/>
    <w:rsid w:val="25C2567E"/>
    <w:rsid w:val="25F86BCD"/>
    <w:rsid w:val="266F7BF7"/>
    <w:rsid w:val="267C3C7F"/>
    <w:rsid w:val="269E416A"/>
    <w:rsid w:val="272100D3"/>
    <w:rsid w:val="272C72FC"/>
    <w:rsid w:val="273706D8"/>
    <w:rsid w:val="27C9064C"/>
    <w:rsid w:val="27EB149D"/>
    <w:rsid w:val="27FD3E52"/>
    <w:rsid w:val="28E11370"/>
    <w:rsid w:val="29305EF6"/>
    <w:rsid w:val="294A756A"/>
    <w:rsid w:val="29A91603"/>
    <w:rsid w:val="29D5322D"/>
    <w:rsid w:val="2A025DD9"/>
    <w:rsid w:val="2A7C2231"/>
    <w:rsid w:val="2AAB539C"/>
    <w:rsid w:val="2ABB753D"/>
    <w:rsid w:val="2B7A49FA"/>
    <w:rsid w:val="2C615D26"/>
    <w:rsid w:val="2CB679ED"/>
    <w:rsid w:val="2D173C07"/>
    <w:rsid w:val="2D424A86"/>
    <w:rsid w:val="2D5035BA"/>
    <w:rsid w:val="2D897AF1"/>
    <w:rsid w:val="2D953FD8"/>
    <w:rsid w:val="2E0151DF"/>
    <w:rsid w:val="2E603147"/>
    <w:rsid w:val="2E7B52DB"/>
    <w:rsid w:val="2ED021E7"/>
    <w:rsid w:val="2F324CFE"/>
    <w:rsid w:val="2F40199E"/>
    <w:rsid w:val="2F554573"/>
    <w:rsid w:val="2F766F87"/>
    <w:rsid w:val="2FBA09F1"/>
    <w:rsid w:val="2FEF2ACF"/>
    <w:rsid w:val="30215E61"/>
    <w:rsid w:val="30540211"/>
    <w:rsid w:val="30A60FDC"/>
    <w:rsid w:val="30C33E4F"/>
    <w:rsid w:val="312D7741"/>
    <w:rsid w:val="31574FA4"/>
    <w:rsid w:val="316F137F"/>
    <w:rsid w:val="31DF525F"/>
    <w:rsid w:val="31E611C0"/>
    <w:rsid w:val="32324C2E"/>
    <w:rsid w:val="327171DF"/>
    <w:rsid w:val="341E3434"/>
    <w:rsid w:val="348750D8"/>
    <w:rsid w:val="3598340C"/>
    <w:rsid w:val="35FA2A60"/>
    <w:rsid w:val="360B7EBA"/>
    <w:rsid w:val="36762A72"/>
    <w:rsid w:val="369C32FD"/>
    <w:rsid w:val="37305FF2"/>
    <w:rsid w:val="37666E72"/>
    <w:rsid w:val="38167A04"/>
    <w:rsid w:val="389D0675"/>
    <w:rsid w:val="38DC0327"/>
    <w:rsid w:val="394B167A"/>
    <w:rsid w:val="3A4E4336"/>
    <w:rsid w:val="3A6007FE"/>
    <w:rsid w:val="3ABE59A5"/>
    <w:rsid w:val="3B7C2CE4"/>
    <w:rsid w:val="3B9724AE"/>
    <w:rsid w:val="3BDC325D"/>
    <w:rsid w:val="3C0B5355"/>
    <w:rsid w:val="3CD4176B"/>
    <w:rsid w:val="3D1F44D9"/>
    <w:rsid w:val="3D5C38CD"/>
    <w:rsid w:val="3E5070F1"/>
    <w:rsid w:val="3E9A0A99"/>
    <w:rsid w:val="3F6C3589"/>
    <w:rsid w:val="3F850180"/>
    <w:rsid w:val="3F9004D6"/>
    <w:rsid w:val="3FA806EF"/>
    <w:rsid w:val="400E4D5E"/>
    <w:rsid w:val="40E1138C"/>
    <w:rsid w:val="413814BA"/>
    <w:rsid w:val="41872511"/>
    <w:rsid w:val="42466655"/>
    <w:rsid w:val="42C82F57"/>
    <w:rsid w:val="43C76AF7"/>
    <w:rsid w:val="446828F0"/>
    <w:rsid w:val="45C13B4D"/>
    <w:rsid w:val="46054BCA"/>
    <w:rsid w:val="464C6AFC"/>
    <w:rsid w:val="4669690E"/>
    <w:rsid w:val="468B0091"/>
    <w:rsid w:val="46A107C3"/>
    <w:rsid w:val="46B15CE2"/>
    <w:rsid w:val="46BE113D"/>
    <w:rsid w:val="46E44B13"/>
    <w:rsid w:val="4703508A"/>
    <w:rsid w:val="475023F8"/>
    <w:rsid w:val="479D361E"/>
    <w:rsid w:val="47B74789"/>
    <w:rsid w:val="47D65077"/>
    <w:rsid w:val="47F8009F"/>
    <w:rsid w:val="480F2B9D"/>
    <w:rsid w:val="48282920"/>
    <w:rsid w:val="485321E0"/>
    <w:rsid w:val="48546AD3"/>
    <w:rsid w:val="48877BCA"/>
    <w:rsid w:val="48CA4868"/>
    <w:rsid w:val="48F005D3"/>
    <w:rsid w:val="490954E8"/>
    <w:rsid w:val="498F4AF1"/>
    <w:rsid w:val="49C05787"/>
    <w:rsid w:val="49CF518D"/>
    <w:rsid w:val="4ADA1F63"/>
    <w:rsid w:val="4AE23D89"/>
    <w:rsid w:val="4B09687F"/>
    <w:rsid w:val="4B2038D0"/>
    <w:rsid w:val="4B296E7D"/>
    <w:rsid w:val="4B877F28"/>
    <w:rsid w:val="4BA72625"/>
    <w:rsid w:val="4C8F0267"/>
    <w:rsid w:val="4CBE0EE4"/>
    <w:rsid w:val="4D1B6571"/>
    <w:rsid w:val="4D4144B0"/>
    <w:rsid w:val="4D916BA6"/>
    <w:rsid w:val="4DC44169"/>
    <w:rsid w:val="4E170BB3"/>
    <w:rsid w:val="4E7306E3"/>
    <w:rsid w:val="4E9F54A5"/>
    <w:rsid w:val="4EF0709E"/>
    <w:rsid w:val="513C6A7B"/>
    <w:rsid w:val="51512855"/>
    <w:rsid w:val="51E23F34"/>
    <w:rsid w:val="524A3823"/>
    <w:rsid w:val="5333545B"/>
    <w:rsid w:val="53605FFD"/>
    <w:rsid w:val="539408F1"/>
    <w:rsid w:val="5450213C"/>
    <w:rsid w:val="549750D7"/>
    <w:rsid w:val="54D24048"/>
    <w:rsid w:val="54D64CD5"/>
    <w:rsid w:val="551729DF"/>
    <w:rsid w:val="5535530B"/>
    <w:rsid w:val="55887D69"/>
    <w:rsid w:val="559847A3"/>
    <w:rsid w:val="5601787F"/>
    <w:rsid w:val="561A0928"/>
    <w:rsid w:val="56423872"/>
    <w:rsid w:val="56666EE2"/>
    <w:rsid w:val="56B279F0"/>
    <w:rsid w:val="57007679"/>
    <w:rsid w:val="57204F56"/>
    <w:rsid w:val="579D710E"/>
    <w:rsid w:val="581F22F6"/>
    <w:rsid w:val="5856384F"/>
    <w:rsid w:val="586E1E17"/>
    <w:rsid w:val="58862C35"/>
    <w:rsid w:val="58C14957"/>
    <w:rsid w:val="5AE83A50"/>
    <w:rsid w:val="5B0922EB"/>
    <w:rsid w:val="5B547C51"/>
    <w:rsid w:val="5B885AB1"/>
    <w:rsid w:val="5BAB2917"/>
    <w:rsid w:val="5BFC33FA"/>
    <w:rsid w:val="5C3107A4"/>
    <w:rsid w:val="5C3B1B93"/>
    <w:rsid w:val="5C4557EC"/>
    <w:rsid w:val="5C9220DF"/>
    <w:rsid w:val="5D4A15F3"/>
    <w:rsid w:val="5D69542A"/>
    <w:rsid w:val="5E0930EF"/>
    <w:rsid w:val="5E3D4D53"/>
    <w:rsid w:val="5E4717E6"/>
    <w:rsid w:val="5E55774C"/>
    <w:rsid w:val="5EA62C18"/>
    <w:rsid w:val="5F010D24"/>
    <w:rsid w:val="5F087C79"/>
    <w:rsid w:val="60104DDC"/>
    <w:rsid w:val="601312D0"/>
    <w:rsid w:val="602C0A6C"/>
    <w:rsid w:val="605C0804"/>
    <w:rsid w:val="61646714"/>
    <w:rsid w:val="6189617B"/>
    <w:rsid w:val="61A06574"/>
    <w:rsid w:val="61B52BB6"/>
    <w:rsid w:val="61B749C2"/>
    <w:rsid w:val="62065DEE"/>
    <w:rsid w:val="62280D20"/>
    <w:rsid w:val="62593F2E"/>
    <w:rsid w:val="62CA2457"/>
    <w:rsid w:val="638240A1"/>
    <w:rsid w:val="63A5257B"/>
    <w:rsid w:val="63BD3DCC"/>
    <w:rsid w:val="63C61741"/>
    <w:rsid w:val="63D25DD4"/>
    <w:rsid w:val="64560967"/>
    <w:rsid w:val="64BB50E9"/>
    <w:rsid w:val="652C12F7"/>
    <w:rsid w:val="652C58D1"/>
    <w:rsid w:val="656B1D10"/>
    <w:rsid w:val="657C22AB"/>
    <w:rsid w:val="65A80DC3"/>
    <w:rsid w:val="66022B28"/>
    <w:rsid w:val="66581E87"/>
    <w:rsid w:val="66FA11D5"/>
    <w:rsid w:val="67062557"/>
    <w:rsid w:val="674302C7"/>
    <w:rsid w:val="680A5986"/>
    <w:rsid w:val="680D5F4B"/>
    <w:rsid w:val="68113F51"/>
    <w:rsid w:val="68236C75"/>
    <w:rsid w:val="683A46EC"/>
    <w:rsid w:val="68E94770"/>
    <w:rsid w:val="68F34467"/>
    <w:rsid w:val="68F949C9"/>
    <w:rsid w:val="695A4290"/>
    <w:rsid w:val="6A183ED7"/>
    <w:rsid w:val="6A334932"/>
    <w:rsid w:val="6A3353FF"/>
    <w:rsid w:val="6A3A0012"/>
    <w:rsid w:val="6A5D63E6"/>
    <w:rsid w:val="6A5F24D1"/>
    <w:rsid w:val="6AAF0A00"/>
    <w:rsid w:val="6ACE17BE"/>
    <w:rsid w:val="6AE347EB"/>
    <w:rsid w:val="6B434AF0"/>
    <w:rsid w:val="6B57675A"/>
    <w:rsid w:val="6BDD7B4D"/>
    <w:rsid w:val="6CC56C6B"/>
    <w:rsid w:val="6D1C6473"/>
    <w:rsid w:val="6E107DE1"/>
    <w:rsid w:val="6E585785"/>
    <w:rsid w:val="6EAC59CC"/>
    <w:rsid w:val="6EBC0B3A"/>
    <w:rsid w:val="6EC151A6"/>
    <w:rsid w:val="6EDE7B06"/>
    <w:rsid w:val="6EF51C7D"/>
    <w:rsid w:val="6F7D1984"/>
    <w:rsid w:val="6F8363E5"/>
    <w:rsid w:val="6F9D3BF2"/>
    <w:rsid w:val="6FC746F5"/>
    <w:rsid w:val="6FCA3BE6"/>
    <w:rsid w:val="6FDF206B"/>
    <w:rsid w:val="70317AC6"/>
    <w:rsid w:val="70367A85"/>
    <w:rsid w:val="70863262"/>
    <w:rsid w:val="70A76ED3"/>
    <w:rsid w:val="71860B17"/>
    <w:rsid w:val="7204424F"/>
    <w:rsid w:val="723B27CC"/>
    <w:rsid w:val="72687227"/>
    <w:rsid w:val="72A03FD9"/>
    <w:rsid w:val="73406CFF"/>
    <w:rsid w:val="737D2B98"/>
    <w:rsid w:val="7383028C"/>
    <w:rsid w:val="73A25E44"/>
    <w:rsid w:val="741F68CF"/>
    <w:rsid w:val="74774108"/>
    <w:rsid w:val="747E0D47"/>
    <w:rsid w:val="750A20B7"/>
    <w:rsid w:val="75252DF3"/>
    <w:rsid w:val="75621536"/>
    <w:rsid w:val="75BF3154"/>
    <w:rsid w:val="764A07CF"/>
    <w:rsid w:val="764F6B3D"/>
    <w:rsid w:val="76CD2B7B"/>
    <w:rsid w:val="76D80645"/>
    <w:rsid w:val="76DE1B9D"/>
    <w:rsid w:val="76E03371"/>
    <w:rsid w:val="780E5898"/>
    <w:rsid w:val="782642CC"/>
    <w:rsid w:val="78531599"/>
    <w:rsid w:val="788122F2"/>
    <w:rsid w:val="7894095E"/>
    <w:rsid w:val="78AC657F"/>
    <w:rsid w:val="79000679"/>
    <w:rsid w:val="79500D22"/>
    <w:rsid w:val="79A416F0"/>
    <w:rsid w:val="79B03EB6"/>
    <w:rsid w:val="7AE33D54"/>
    <w:rsid w:val="7AF37579"/>
    <w:rsid w:val="7AF87F64"/>
    <w:rsid w:val="7B073F40"/>
    <w:rsid w:val="7B1C0C84"/>
    <w:rsid w:val="7B2325CE"/>
    <w:rsid w:val="7B5A62DF"/>
    <w:rsid w:val="7B7A04A8"/>
    <w:rsid w:val="7B8B0296"/>
    <w:rsid w:val="7C016AEA"/>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7">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8">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99"/>
    <w:pPr>
      <w:spacing w:after="120"/>
    </w:pPr>
  </w:style>
  <w:style w:type="paragraph" w:styleId="4">
    <w:name w:val="Body Text First Indent 2"/>
    <w:basedOn w:val="5"/>
    <w:qFormat/>
    <w:uiPriority w:val="0"/>
    <w:pPr>
      <w:adjustRightInd w:val="0"/>
      <w:spacing w:line="360" w:lineRule="auto"/>
      <w:ind w:left="0" w:leftChars="0" w:firstLine="420"/>
      <w:textAlignment w:val="baseline"/>
    </w:pPr>
    <w:rPr>
      <w:rFonts w:eastAsia="等线" w:cs="Times New Roman"/>
      <w:color w:val="000000"/>
      <w:szCs w:val="24"/>
    </w:rPr>
  </w:style>
  <w:style w:type="paragraph" w:styleId="5">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3"/>
    <w:unhideWhenUsed/>
    <w:qFormat/>
    <w:uiPriority w:val="99"/>
    <w:pPr>
      <w:spacing w:after="120"/>
    </w:pPr>
    <w:rPr>
      <w:sz w:val="16"/>
      <w:szCs w:val="16"/>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9"/>
    <w:semiHidden/>
    <w:qFormat/>
    <w:uiPriority w:val="99"/>
    <w:rPr>
      <w:sz w:val="18"/>
      <w:szCs w:val="18"/>
    </w:rPr>
  </w:style>
  <w:style w:type="character" w:customStyle="1" w:styleId="32">
    <w:name w:val="页脚 Char"/>
    <w:basedOn w:val="26"/>
    <w:link w:val="18"/>
    <w:qFormat/>
    <w:uiPriority w:val="99"/>
    <w:rPr>
      <w:sz w:val="18"/>
      <w:szCs w:val="18"/>
    </w:rPr>
  </w:style>
  <w:style w:type="character" w:customStyle="1" w:styleId="33">
    <w:name w:val="标题 1 Char"/>
    <w:basedOn w:val="26"/>
    <w:link w:val="6"/>
    <w:qFormat/>
    <w:uiPriority w:val="9"/>
    <w:rPr>
      <w:rFonts w:eastAsia="方正小标宋简体"/>
      <w:bCs/>
      <w:kern w:val="44"/>
      <w:sz w:val="44"/>
      <w:szCs w:val="44"/>
    </w:rPr>
  </w:style>
  <w:style w:type="character" w:customStyle="1" w:styleId="34">
    <w:name w:val="标题 2 Char"/>
    <w:basedOn w:val="26"/>
    <w:link w:val="7"/>
    <w:qFormat/>
    <w:uiPriority w:val="9"/>
    <w:rPr>
      <w:rFonts w:eastAsia="方正小标宋简体" w:asciiTheme="majorHAnsi" w:hAnsiTheme="majorHAnsi" w:cstheme="majorBidi"/>
      <w:bCs/>
      <w:sz w:val="36"/>
      <w:szCs w:val="32"/>
    </w:rPr>
  </w:style>
  <w:style w:type="character" w:customStyle="1" w:styleId="35">
    <w:name w:val="标题 3 Char"/>
    <w:basedOn w:val="26"/>
    <w:link w:val="8"/>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link w:val="11"/>
    <w:qFormat/>
    <w:uiPriority w:val="99"/>
    <w:rPr>
      <w:sz w:val="16"/>
      <w:szCs w:val="16"/>
    </w:rPr>
  </w:style>
  <w:style w:type="character" w:customStyle="1" w:styleId="43">
    <w:name w:val="正文文本 3 Char1"/>
    <w:basedOn w:val="26"/>
    <w:link w:val="11"/>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6"/>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14</TotalTime>
  <ScaleCrop>false</ScaleCrop>
  <LinksUpToDate>false</LinksUpToDate>
  <CharactersWithSpaces>22571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2022-08-10T09:26:00Z</cp:lastPrinted>
  <dcterms:modified xsi:type="dcterms:W3CDTF">2022-09-06T09:07:45Z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4E67A594F16B4561A7B229839F07D06A</vt:lpwstr>
  </property>
</Properties>
</file>