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广州市净水有限公司2022-2023年</w:t>
      </w:r>
    </w:p>
    <w:p>
      <w:pPr>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潜水作业应急突发服务项目</w:t>
      </w:r>
    </w:p>
    <w:p>
      <w:pPr>
        <w:jc w:val="center"/>
        <w:rPr>
          <w:rFonts w:hint="eastAsia" w:ascii="方正小标宋简体" w:eastAsia="宋体"/>
          <w:color w:val="auto"/>
          <w:sz w:val="52"/>
          <w:szCs w:val="52"/>
          <w:highlight w:val="none"/>
          <w:lang w:eastAsia="zh-CN"/>
        </w:rPr>
      </w:pP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第二次</w:t>
      </w: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4275"/>
      <w:bookmarkStart w:id="5" w:name="_Toc11322"/>
      <w:bookmarkStart w:id="6" w:name="_Toc17801"/>
      <w:bookmarkStart w:id="7" w:name="_Toc7519"/>
      <w:bookmarkStart w:id="8" w:name="_Toc1669"/>
      <w:bookmarkStart w:id="9" w:name="_Toc31938"/>
      <w:bookmarkStart w:id="10" w:name="_Toc1960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eastAsia="zh-CN"/>
        </w:rPr>
        <w:t>广州市净水有限公司2022-2023年潜水作业应急突发服务项目（第二次）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广州市净水有限公司2022-2023年潜水作业应急突发服务项目（第二次）</w:t>
      </w:r>
    </w:p>
    <w:p>
      <w:pPr>
        <w:adjustRightInd w:val="0"/>
        <w:snapToGrid w:val="0"/>
        <w:spacing w:line="600" w:lineRule="exact"/>
        <w:jc w:val="left"/>
        <w:rPr>
          <w:rFonts w:hint="eastAsia" w:ascii="仿宋_GB2312" w:eastAsia="仿宋_GB2312"/>
          <w:i w:val="0"/>
          <w:iCs w:val="0"/>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i w:val="0"/>
          <w:iCs w:val="0"/>
          <w:color w:val="auto"/>
          <w:sz w:val="28"/>
          <w:szCs w:val="28"/>
          <w:highlight w:val="none"/>
          <w:u w:val="single"/>
          <w:lang w:val="en-US" w:eastAsia="zh-CN"/>
        </w:rPr>
        <w:t>XJ-20220902-2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4项目额度（元）</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300000</w:t>
      </w:r>
      <w:r>
        <w:rPr>
          <w:rFonts w:hint="eastAsia" w:ascii="仿宋_GB2312" w:eastAsia="仿宋_GB2312"/>
          <w:color w:val="auto"/>
          <w:sz w:val="28"/>
          <w:szCs w:val="28"/>
          <w:highlight w:val="none"/>
          <w:u w:val="single"/>
        </w:rPr>
        <w:t xml:space="preserve">元 </w:t>
      </w:r>
    </w:p>
    <w:p>
      <w:pPr>
        <w:adjustRightInd w:val="0"/>
        <w:snapToGrid w:val="0"/>
        <w:spacing w:line="600" w:lineRule="exact"/>
        <w:ind w:firstLine="0" w:firstLineChars="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其中</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备勤服务费用</w:t>
      </w:r>
      <w:r>
        <w:rPr>
          <w:rFonts w:hint="eastAsia" w:ascii="仿宋_GB2312" w:eastAsia="仿宋_GB2312"/>
          <w:color w:val="auto"/>
          <w:sz w:val="28"/>
          <w:szCs w:val="28"/>
          <w:highlight w:val="none"/>
          <w:u w:val="single"/>
        </w:rPr>
        <w:t xml:space="preserve">34492.50元 </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ind w:firstLine="0" w:firstLineChars="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服务单位在合同服务期内负责广州市净水有限公司所属各分公司范围内水下清疏、清障、接驳、封堵、安装拆除及检查维修等应急突发服务。</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广州市净水有限公司所属各分公司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w:t>
      </w:r>
      <w:r>
        <w:rPr>
          <w:rFonts w:hint="eastAsia" w:ascii="仿宋_GB2312" w:eastAsia="仿宋_GB2312"/>
          <w:color w:val="auto"/>
          <w:sz w:val="28"/>
          <w:szCs w:val="28"/>
          <w:highlight w:val="none"/>
          <w:u w:val="none"/>
        </w:rPr>
        <w:t>备潜水作业机构资质</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同时具有</w:t>
      </w:r>
      <w:r>
        <w:rPr>
          <w:rFonts w:hint="eastAsia" w:ascii="仿宋_GB2312" w:eastAsia="仿宋_GB2312"/>
          <w:color w:val="auto"/>
          <w:sz w:val="28"/>
          <w:szCs w:val="28"/>
          <w:highlight w:val="none"/>
          <w:u w:val="none"/>
        </w:rPr>
        <w:t>建设主管部门颁发且在有效期内的《潜水作业安全证》 。</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 xml:space="preserve"> 2019 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一项水务行业潜水作业类应急抢修</w:t>
      </w:r>
      <w:r>
        <w:rPr>
          <w:rFonts w:hint="eastAsia" w:ascii="仿宋_GB2312" w:eastAsia="仿宋_GB2312"/>
          <w:color w:val="auto"/>
          <w:sz w:val="28"/>
          <w:szCs w:val="28"/>
          <w:highlight w:val="none"/>
          <w:u w:val="none"/>
        </w:rPr>
        <w:t>项目的业绩。（提供合同复印件证明，包括但不限于项目名称、金额及实施内容、合同盖章、</w:t>
      </w:r>
      <w:r>
        <w:rPr>
          <w:rFonts w:hint="eastAsia" w:ascii="仿宋_GB2312" w:eastAsia="仿宋_GB2312"/>
          <w:color w:val="auto"/>
          <w:sz w:val="28"/>
          <w:szCs w:val="28"/>
          <w:highlight w:val="none"/>
          <w:u w:val="none"/>
          <w:lang w:val="en-US" w:eastAsia="zh-CN"/>
        </w:rPr>
        <w:t>发票证明、</w:t>
      </w:r>
      <w:bookmarkStart w:id="161" w:name="_GoBack"/>
      <w:bookmarkEnd w:id="161"/>
      <w:r>
        <w:rPr>
          <w:rFonts w:hint="eastAsia" w:ascii="仿宋_GB2312" w:eastAsia="仿宋_GB2312"/>
          <w:color w:val="auto"/>
          <w:sz w:val="28"/>
          <w:szCs w:val="28"/>
          <w:highlight w:val="none"/>
          <w:u w:val="none"/>
        </w:rPr>
        <w:t>签订日期，加盖单位公章）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）项目负责人应当具备</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none"/>
        </w:rPr>
        <w:t>持有项目负责人安全生产考核合格证（B类）（或能够提供广东省建筑施工企业管理人员安全生产考核信息系统安全生产管理人员证书信息的网页截图）    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 xml:space="preserve">）其他要求： 专职安全人员要求：须具有安全生产考核合格证（C类）（或能够提供广东省建筑施工企业管理人员安全生产考核信息系统安全生产管理人员证书信息的网页截图）。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3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adjustRightInd w:val="0"/>
        <w:snapToGrid w:val="0"/>
        <w:spacing w:line="360" w:lineRule="auto"/>
        <w:ind w:firstLine="560" w:firstLineChars="200"/>
        <w:jc w:val="left"/>
        <w:rPr>
          <w:rFonts w:hint="eastAsia" w:asciiTheme="minorEastAsia" w:hAnsiTheme="minorEastAsia" w:eastAsiaTheme="minorEastAsia"/>
          <w:b/>
          <w:color w:val="auto"/>
          <w:sz w:val="32"/>
          <w:szCs w:val="32"/>
          <w:highlight w:val="none"/>
          <w:lang w:val="en-US" w:eastAsia="zh-CN"/>
        </w:rPr>
      </w:pPr>
      <w:r>
        <w:rPr>
          <w:rFonts w:hint="eastAsia" w:ascii="仿宋_GB2312" w:hAnsi="仿宋" w:eastAsia="仿宋_GB2312" w:cs="仿宋_GB2312"/>
          <w:color w:val="auto"/>
          <w:sz w:val="28"/>
          <w:szCs w:val="28"/>
          <w:highlight w:val="none"/>
          <w:lang w:val="zh-CN"/>
        </w:rPr>
        <w:t>防疫要求：基于疫情防控形势，授权委托人须通过“广州净水公司”微信公众号当天（提前）预约，填写访客预约信息。</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2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9295"/>
      <w:bookmarkStart w:id="15" w:name="_Toc2324"/>
      <w:bookmarkStart w:id="16" w:name="_Toc25603"/>
      <w:bookmarkStart w:id="17" w:name="_Toc16557"/>
      <w:bookmarkStart w:id="18" w:name="_Toc2331"/>
      <w:bookmarkStart w:id="19" w:name="_Toc23749"/>
      <w:bookmarkStart w:id="20" w:name="_Toc16705"/>
      <w:bookmarkStart w:id="21" w:name="_Toc9448"/>
      <w:bookmarkStart w:id="22" w:name="_Toc7340"/>
      <w:bookmarkStart w:id="23" w:name="_Toc32588"/>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7303"/>
      <w:bookmarkStart w:id="29" w:name="_Toc87616371"/>
      <w:bookmarkStart w:id="30" w:name="_Toc88209934"/>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759"/>
      <w:bookmarkStart w:id="35" w:name="_Toc14870"/>
      <w:bookmarkStart w:id="36" w:name="_Toc7437"/>
      <w:bookmarkStart w:id="37" w:name="_Toc10930"/>
      <w:bookmarkStart w:id="38" w:name="_Toc4952"/>
      <w:bookmarkStart w:id="39" w:name="_Toc3156"/>
      <w:bookmarkStart w:id="40" w:name="_Toc23581"/>
      <w:bookmarkStart w:id="41" w:name="_Toc7118"/>
      <w:bookmarkStart w:id="42" w:name="_Toc19050"/>
      <w:bookmarkStart w:id="43" w:name="_Toc14552"/>
      <w:bookmarkStart w:id="44" w:name="_Toc20594"/>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21079"/>
      <w:bookmarkStart w:id="46" w:name="_Toc87616378"/>
      <w:bookmarkStart w:id="47" w:name="_Toc32607"/>
      <w:bookmarkStart w:id="48" w:name="_Toc13898"/>
      <w:bookmarkStart w:id="49" w:name="_Toc12177"/>
      <w:bookmarkStart w:id="50" w:name="_Toc88209941"/>
      <w:bookmarkStart w:id="51" w:name="_Toc30530"/>
      <w:bookmarkStart w:id="52" w:name="_Toc29345"/>
      <w:bookmarkStart w:id="53" w:name="_Toc22212"/>
      <w:bookmarkStart w:id="54" w:name="_Toc7831"/>
      <w:bookmarkStart w:id="55" w:name="_Toc29484"/>
      <w:bookmarkStart w:id="56" w:name="_Toc6308"/>
      <w:bookmarkStart w:id="57" w:name="_Toc2184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t>经评审的最低价法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4"/>
        <w:rPr>
          <w:color w:val="auto"/>
          <w:highlight w:val="none"/>
        </w:rPr>
      </w:pPr>
      <w:bookmarkStart w:id="58"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12"/>
        <w:numPr>
          <w:ilvl w:val="0"/>
          <w:numId w:val="4"/>
        </w:numPr>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numPr>
          <w:ilvl w:val="-1"/>
          <w:numId w:val="0"/>
        </w:numPr>
        <w:adjustRightInd w:val="0"/>
        <w:snapToGrid w:val="0"/>
        <w:spacing w:line="520" w:lineRule="exact"/>
        <w:ind w:left="420" w:leftChars="20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现</w:t>
      </w:r>
      <w:r>
        <w:rPr>
          <w:rFonts w:hint="eastAsia" w:ascii="仿宋_GB2312" w:hAnsi="仿宋_GB2312" w:eastAsia="仿宋_GB2312" w:cs="仿宋_GB2312"/>
          <w:color w:val="auto"/>
          <w:sz w:val="28"/>
          <w:szCs w:val="28"/>
          <w:highlight w:val="none"/>
          <w:lang w:val="en-US" w:eastAsia="zh-CN"/>
        </w:rPr>
        <w:t>我公司</w:t>
      </w:r>
      <w:r>
        <w:rPr>
          <w:rFonts w:hint="eastAsia" w:ascii="仿宋_GB2312" w:hAnsi="仿宋_GB2312" w:eastAsia="仿宋_GB2312" w:cs="仿宋_GB2312"/>
          <w:color w:val="auto"/>
          <w:sz w:val="28"/>
          <w:szCs w:val="28"/>
          <w:highlight w:val="none"/>
        </w:rPr>
        <w:t>计划</w:t>
      </w:r>
      <w:r>
        <w:rPr>
          <w:rFonts w:hint="eastAsia" w:ascii="仿宋_GB2312" w:hAnsi="仿宋_GB2312" w:eastAsia="仿宋_GB2312" w:cs="仿宋_GB2312"/>
          <w:color w:val="auto"/>
          <w:sz w:val="28"/>
          <w:szCs w:val="28"/>
          <w:highlight w:val="none"/>
          <w:lang w:val="en-US" w:eastAsia="zh-CN"/>
        </w:rPr>
        <w:t>选取2022-2023年潜水作业应急突发服务单位，服务单位在合同服务期内负责广州市净水有限公司所属各分公司范围内水下清疏、清障、接驳、封堵、安装拆除及检查维修等应急突发服务</w:t>
      </w:r>
      <w:r>
        <w:rPr>
          <w:rFonts w:hint="eastAsia" w:ascii="仿宋_GB2312" w:hAnsi="仿宋_GB2312" w:eastAsia="仿宋_GB2312" w:cs="仿宋_GB2312"/>
          <w:color w:val="auto"/>
          <w:sz w:val="28"/>
          <w:szCs w:val="28"/>
          <w:highlight w:val="none"/>
        </w:rPr>
        <w:t>。</w:t>
      </w:r>
    </w:p>
    <w:p>
      <w:pPr>
        <w:numPr>
          <w:ilvl w:val="-1"/>
          <w:numId w:val="0"/>
        </w:numPr>
        <w:adjustRightInd w:val="0"/>
        <w:snapToGrid w:val="0"/>
        <w:spacing w:line="520" w:lineRule="exact"/>
        <w:ind w:left="420" w:leftChars="20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合同服务期内，乙方根据甲方要求成立</w:t>
      </w:r>
      <w:r>
        <w:rPr>
          <w:rFonts w:hint="eastAsia" w:ascii="仿宋_GB2312" w:hAnsi="仿宋_GB2312" w:eastAsia="仿宋_GB2312" w:cs="仿宋_GB2312"/>
          <w:color w:val="auto"/>
          <w:sz w:val="28"/>
          <w:szCs w:val="28"/>
          <w:highlight w:val="none"/>
        </w:rPr>
        <w:t>应急抢修小组</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小组</w:t>
      </w:r>
      <w:r>
        <w:rPr>
          <w:rFonts w:hint="eastAsia" w:ascii="仿宋_GB2312" w:hAnsi="仿宋_GB2312" w:eastAsia="仿宋_GB2312" w:cs="仿宋_GB2312"/>
          <w:color w:val="auto"/>
          <w:sz w:val="28"/>
          <w:szCs w:val="28"/>
          <w:highlight w:val="none"/>
        </w:rPr>
        <w:t>人员</w:t>
      </w:r>
      <w:r>
        <w:rPr>
          <w:rFonts w:hint="eastAsia" w:ascii="仿宋_GB2312" w:hAnsi="仿宋_GB2312" w:eastAsia="仿宋_GB2312" w:cs="仿宋_GB2312"/>
          <w:color w:val="auto"/>
          <w:sz w:val="28"/>
          <w:szCs w:val="28"/>
          <w:highlight w:val="none"/>
          <w:lang w:val="en-US" w:eastAsia="zh-CN"/>
        </w:rPr>
        <w:t>应</w:t>
      </w:r>
      <w:r>
        <w:rPr>
          <w:rFonts w:hint="eastAsia" w:ascii="仿宋_GB2312" w:hAnsi="仿宋_GB2312" w:eastAsia="仿宋_GB2312" w:cs="仿宋_GB2312"/>
          <w:color w:val="auto"/>
          <w:sz w:val="28"/>
          <w:szCs w:val="28"/>
          <w:highlight w:val="none"/>
        </w:rPr>
        <w:t>确保24小时手机通讯通畅，收到甲方的应急抢修通知，机具2小时内到达抢修现场，抢修人员1小时内到达现场，</w:t>
      </w:r>
      <w:r>
        <w:rPr>
          <w:rFonts w:hint="eastAsia" w:ascii="仿宋_GB2312" w:hAnsi="仿宋_GB2312" w:eastAsia="仿宋_GB2312" w:cs="仿宋_GB2312"/>
          <w:color w:val="auto"/>
          <w:sz w:val="28"/>
          <w:szCs w:val="28"/>
          <w:highlight w:val="none"/>
          <w:lang w:eastAsia="zh-CN"/>
        </w:rPr>
        <w:t>按照甲方最终确认的维修方案，与甲方签订现场方案确认单，</w:t>
      </w:r>
      <w:r>
        <w:rPr>
          <w:rFonts w:hint="eastAsia" w:ascii="仿宋_GB2312" w:hAnsi="仿宋_GB2312" w:eastAsia="仿宋_GB2312" w:cs="仿宋_GB2312"/>
          <w:color w:val="auto"/>
          <w:sz w:val="28"/>
          <w:szCs w:val="28"/>
          <w:highlight w:val="none"/>
        </w:rPr>
        <w:t>立即实施维修工作</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维修完成后按实际发生的工程量结算</w:t>
      </w:r>
      <w:r>
        <w:rPr>
          <w:rFonts w:hint="eastAsia" w:ascii="仿宋_GB2312" w:hAnsi="仿宋_GB2312" w:eastAsia="仿宋_GB2312" w:cs="仿宋_GB2312"/>
          <w:color w:val="auto"/>
          <w:sz w:val="28"/>
          <w:szCs w:val="28"/>
          <w:highlight w:val="none"/>
        </w:rPr>
        <w:t>。</w:t>
      </w:r>
    </w:p>
    <w:p>
      <w:pPr>
        <w:numPr>
          <w:ilvl w:val="-1"/>
          <w:numId w:val="0"/>
        </w:numPr>
        <w:adjustRightInd w:val="0"/>
        <w:snapToGrid w:val="0"/>
        <w:spacing w:line="520" w:lineRule="exact"/>
        <w:ind w:left="420" w:leftChars="200" w:firstLine="560" w:firstLineChars="200"/>
        <w:rPr>
          <w:rFonts w:hint="eastAsia"/>
          <w:color w:val="auto"/>
          <w:highlight w:val="none"/>
        </w:rPr>
      </w:pPr>
      <w:r>
        <w:rPr>
          <w:rFonts w:hint="eastAsia" w:ascii="仿宋_GB2312" w:hAnsi="仿宋_GB2312" w:eastAsia="仿宋_GB2312" w:cs="仿宋_GB2312"/>
          <w:color w:val="auto"/>
          <w:sz w:val="28"/>
          <w:szCs w:val="28"/>
          <w:highlight w:val="none"/>
          <w:lang w:val="en-US" w:eastAsia="zh-CN"/>
        </w:rPr>
        <w:t>本项目设置备勤服务费用，备勤服务费用为1年的服务期限内，法定节假日期间服务单位应急备勤的费用。</w:t>
      </w:r>
    </w:p>
    <w:p>
      <w:pPr>
        <w:pStyle w:val="12"/>
        <w:numPr>
          <w:ilvl w:val="0"/>
          <w:numId w:val="0"/>
        </w:numPr>
        <w:adjustRightInd w:val="0"/>
        <w:snapToGrid w:val="0"/>
        <w:spacing w:line="520" w:lineRule="exact"/>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二、</w:t>
      </w:r>
      <w:r>
        <w:rPr>
          <w:rFonts w:hint="eastAsia" w:ascii="仿宋_GB2312" w:hAnsi="仿宋_GB2312" w:eastAsia="仿宋_GB2312" w:cs="仿宋_GB2312"/>
          <w:b/>
          <w:color w:val="auto"/>
          <w:sz w:val="28"/>
          <w:szCs w:val="28"/>
          <w:highlight w:val="none"/>
          <w:lang w:val="zh-CN"/>
        </w:rPr>
        <w:t>项目技术要求</w:t>
      </w: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bookmarkStart w:id="59" w:name="_Toc147054938"/>
      <w:bookmarkStart w:id="60" w:name="_Toc159069428"/>
      <w:bookmarkStart w:id="61" w:name="_Toc143929691"/>
      <w:bookmarkStart w:id="62" w:name="_Toc147068648"/>
      <w:r>
        <w:rPr>
          <w:rFonts w:hint="eastAsia" w:ascii="仿宋_GB2312" w:hAnsi="仿宋_GB2312" w:eastAsia="仿宋_GB2312" w:cs="仿宋_GB2312"/>
          <w:b w:val="0"/>
          <w:bCs/>
          <w:color w:val="auto"/>
          <w:sz w:val="28"/>
          <w:szCs w:val="28"/>
          <w:highlight w:val="none"/>
          <w:lang w:val="en-US" w:eastAsia="zh-CN"/>
        </w:rPr>
        <w:t>★</w:t>
      </w:r>
      <w:r>
        <w:rPr>
          <w:rFonts w:hint="eastAsia" w:ascii="仿宋_GB2312" w:hAnsi="仿宋_GB2312" w:eastAsia="仿宋_GB2312" w:cs="仿宋_GB2312"/>
          <w:b/>
          <w:bCs w:val="0"/>
          <w:color w:val="auto"/>
          <w:sz w:val="28"/>
          <w:szCs w:val="28"/>
          <w:highlight w:val="none"/>
          <w:lang w:val="en-US" w:eastAsia="zh-CN"/>
        </w:rPr>
        <w:t>1、成立应急队伍</w:t>
      </w:r>
    </w:p>
    <w:p>
      <w:pPr>
        <w:pStyle w:val="7"/>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应急抢修队伍应至少配备现场负责人1人、安全员1人、潜水监护员2人、潜水员1人、预备潜水员1人。（法定节假日备勤期间应至少配备潜水员2人），潜水作业及其他特种作业人员必须按照JT/T 955《潜水人员从业资格条件》等国家有关规定经专门的安全作业培训，取得相应资格。，为能够快速处理中心城区净水厂突发事件，应急队伍地理位置应设置合理，距离广州净水公司中心城区各污水处理厂车程在1个小时以内。（递交响应文件时须提供项目投入人员架构表及法定节假日备勤人员清单，格式详见合同附件5和附件7）</w:t>
      </w:r>
    </w:p>
    <w:tbl>
      <w:tblPr>
        <w:tblStyle w:val="22"/>
        <w:tblW w:w="96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55"/>
        <w:gridCol w:w="3138"/>
        <w:gridCol w:w="5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660"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中心城区各污水处理厂地址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单位名称</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猎德分公司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广州市天河区临江大道501号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沥滘分公司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广州市海珠区南洲路1375号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大坦沙分公司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广州市荔湾区桥中南路路7号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西朗公司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广州市荔湾区西朗东西路99号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大沙地分公司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广州市黄埔区港前路1661号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石井分公司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广州市白云区夏花一路551号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石井净水分公司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广州市白云区石槎路695号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龙归分公司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广州市白云区太和镇南岭龙岗北路20号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大观分公司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广州市天河区长兴街道科韵北路101号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江高分公司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广州市白云区江高镇南岗村南贤路1号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健康城分公司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广州市白云区钟落潭广陈路568号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京溪分公司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广州市白云区沙太北路犀牛二马路1号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竹料分公司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广州市白云区钟落潭镇竹二兰桂街100号</w:t>
            </w:r>
          </w:p>
        </w:tc>
      </w:tr>
    </w:tbl>
    <w:p>
      <w:pPr>
        <w:pStyle w:val="7"/>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560" w:firstLineChars="200"/>
        <w:textAlignment w:val="auto"/>
        <w:rPr>
          <w:rFonts w:hint="default" w:ascii="仿宋_GB2312" w:hAnsi="仿宋_GB2312" w:eastAsia="仿宋_GB2312" w:cs="仿宋_GB2312"/>
          <w:b w:val="0"/>
          <w:bCs/>
          <w:color w:val="auto"/>
          <w:sz w:val="28"/>
          <w:szCs w:val="28"/>
          <w:highlight w:val="none"/>
          <w:lang w:val="en-US" w:eastAsia="zh-CN"/>
        </w:rPr>
      </w:pPr>
    </w:p>
    <w:p>
      <w:pPr>
        <w:overflowPunct w:val="0"/>
        <w:spacing w:line="360" w:lineRule="auto"/>
        <w:ind w:firstLine="560" w:firstLineChars="20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w:t>
      </w:r>
      <w:r>
        <w:rPr>
          <w:rFonts w:hint="eastAsia" w:ascii="仿宋_GB2312" w:hAnsi="仿宋_GB2312" w:eastAsia="仿宋_GB2312" w:cs="仿宋_GB2312"/>
          <w:b/>
          <w:bCs w:val="0"/>
          <w:color w:val="auto"/>
          <w:sz w:val="28"/>
          <w:szCs w:val="28"/>
          <w:highlight w:val="none"/>
          <w:lang w:val="en-US" w:eastAsia="zh-CN"/>
        </w:rPr>
        <w:t>2、应急抢险响应</w:t>
      </w:r>
    </w:p>
    <w:p>
      <w:pPr>
        <w:overflowPunct w:val="0"/>
        <w:spacing w:line="360" w:lineRule="auto"/>
        <w:ind w:firstLine="560" w:firstLineChars="200"/>
        <w:rPr>
          <w:rFonts w:hint="default" w:ascii="Times New Roman" w:hAnsi="Times New Roman" w:eastAsia="宋体" w:cs="Times New Roman"/>
          <w:b w:val="0"/>
          <w:color w:val="auto"/>
          <w:sz w:val="21"/>
          <w:szCs w:val="20"/>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乙方应急抢修小组人员，确保24小时手机通讯通畅，收到甲方的应急抢修通知，机具2小时内到达抢修现场，抢修人员1小时内到达现场，按照甲方最终确认的维修方案，与甲方签订现场方案确认单，立即实施维修工作。(递交响应文件时须提供承诺函，格式详见合同附件11)</w:t>
      </w:r>
    </w:p>
    <w:p>
      <w:pPr>
        <w:overflowPunct w:val="0"/>
        <w:spacing w:line="360" w:lineRule="auto"/>
        <w:ind w:firstLine="562" w:firstLineChars="200"/>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3、配备抢修设备及材料</w:t>
      </w: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应急保障单位应配备潜水作业抢修设备及材料，确保发生应急突发项目时，能根据现场情况及时开展抢修工作。（递交响应文件时须提供设备材料清单，格式详见合同附件6）</w:t>
      </w:r>
    </w:p>
    <w:p>
      <w:pPr>
        <w:pStyle w:val="7"/>
        <w:ind w:firstLine="0"/>
        <w:rPr>
          <w:rFonts w:hint="eastAsia" w:ascii="方正小标宋简体" w:hAnsi="微软雅黑" w:eastAsia="方正小标宋简体" w:cs="微软雅黑"/>
          <w:color w:val="auto"/>
          <w:sz w:val="32"/>
          <w:szCs w:val="32"/>
          <w:highlight w:val="none"/>
        </w:rPr>
      </w:pPr>
      <w:r>
        <w:rPr>
          <w:rFonts w:hint="eastAsia" w:ascii="仿宋_GB2312" w:hAnsi="仿宋_GB2312" w:eastAsia="仿宋_GB2312" w:cs="仿宋_GB2312"/>
          <w:b w:val="0"/>
          <w:bCs/>
          <w:color w:val="auto"/>
          <w:sz w:val="28"/>
          <w:szCs w:val="28"/>
          <w:highlight w:val="none"/>
          <w:lang w:val="en-US" w:eastAsia="zh-CN"/>
        </w:rPr>
        <w:t>设备材料清单：</w:t>
      </w:r>
    </w:p>
    <w:p>
      <w:pPr>
        <w:widowControl/>
        <w:jc w:val="center"/>
        <w:rPr>
          <w:rFonts w:ascii="方正小标宋简体" w:eastAsia="方正小标宋简体"/>
          <w:color w:val="auto"/>
          <w:sz w:val="32"/>
          <w:szCs w:val="32"/>
          <w:highlight w:val="none"/>
        </w:rPr>
      </w:pPr>
      <w:r>
        <w:rPr>
          <w:rFonts w:hint="eastAsia" w:ascii="方正小标宋简体" w:hAnsi="微软雅黑" w:eastAsia="方正小标宋简体" w:cs="微软雅黑"/>
          <w:color w:val="auto"/>
          <w:sz w:val="32"/>
          <w:szCs w:val="32"/>
          <w:highlight w:val="none"/>
        </w:rPr>
        <w:t>施工设备配置一览表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2269"/>
        <w:gridCol w:w="255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adjustRightInd w:val="0"/>
              <w:snapToGrid w:val="0"/>
              <w:ind w:right="-107" w:rightChars="-51"/>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序号</w:t>
            </w:r>
          </w:p>
        </w:tc>
        <w:tc>
          <w:tcPr>
            <w:tcW w:w="1252"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类型</w:t>
            </w:r>
          </w:p>
        </w:tc>
        <w:tc>
          <w:tcPr>
            <w:tcW w:w="1409"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设备名称</w:t>
            </w:r>
          </w:p>
        </w:tc>
        <w:tc>
          <w:tcPr>
            <w:tcW w:w="1790" w:type="pct"/>
            <w:vAlign w:val="center"/>
          </w:tcPr>
          <w:p>
            <w:pPr>
              <w:adjustRightInd w:val="0"/>
              <w:snapToGrid w:val="0"/>
              <w:ind w:right="-50" w:rightChars="-2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个人装具</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潜水服</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安全背带、信号绳</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潜水鞋</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4</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压铅</w:t>
            </w:r>
          </w:p>
        </w:tc>
        <w:tc>
          <w:tcPr>
            <w:tcW w:w="1790"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5</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供气设备</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潜水面罩</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6</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潜水头盔</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7</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潜水脐带</w:t>
            </w:r>
          </w:p>
        </w:tc>
        <w:tc>
          <w:tcPr>
            <w:tcW w:w="1790"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8</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应急气瓶</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9</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配气盘</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1</w:t>
            </w:r>
            <w:r>
              <w:rPr>
                <w:rFonts w:ascii="仿宋_GB2312" w:eastAsia="仿宋_GB2312" w:hAnsiTheme="minorEastAsia" w:cstheme="minorEastAsia"/>
                <w:color w:val="auto"/>
                <w:szCs w:val="21"/>
                <w:highlight w:val="none"/>
              </w:rPr>
              <w:t>0</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空气压缩机</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1</w:t>
            </w:r>
            <w:r>
              <w:rPr>
                <w:rFonts w:ascii="仿宋_GB2312" w:eastAsia="仿宋_GB2312" w:hAnsiTheme="minorEastAsia" w:cstheme="minorEastAsia"/>
                <w:color w:val="auto"/>
                <w:szCs w:val="21"/>
                <w:highlight w:val="none"/>
              </w:rPr>
              <w:t>1</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气体连接管</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2</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空气过滤器</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3</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潜水通讯系统</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空气潜水电话</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4</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对讲机</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5</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检测设备</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气体检测仪</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6</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管道流速检测仪</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7</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尺子</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8</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通风换气设备</w:t>
            </w: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送风、排风风机</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9</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通风管</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20</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供电设备</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发电机</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21</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配电箱</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c>
          <w:tcPr>
            <w:tcW w:w="1252"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其他施工设备</w:t>
            </w: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1790" w:type="pct"/>
            <w:vAlign w:val="center"/>
          </w:tcPr>
          <w:p>
            <w:pPr>
              <w:jc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r>
    </w:tbl>
    <w:p>
      <w:pPr>
        <w:widowControl/>
        <w:jc w:val="left"/>
        <w:rPr>
          <w:color w:val="auto"/>
          <w:highlight w:val="none"/>
        </w:rPr>
      </w:pPr>
      <w:r>
        <w:rPr>
          <w:rFonts w:ascii="仿宋_GB2312" w:hAnsi="微软雅黑" w:eastAsia="仿宋_GB2312" w:cs="微软雅黑"/>
          <w:color w:val="auto"/>
          <w:szCs w:val="21"/>
          <w:highlight w:val="none"/>
        </w:rPr>
        <w:t>注</w:t>
      </w:r>
      <w:r>
        <w:rPr>
          <w:rFonts w:hint="eastAsia" w:ascii="仿宋_GB2312" w:hAnsi="微软雅黑" w:eastAsia="仿宋_GB2312" w:cs="微软雅黑"/>
          <w:color w:val="auto"/>
          <w:szCs w:val="21"/>
          <w:highlight w:val="none"/>
        </w:rPr>
        <w:t>：1</w:t>
      </w:r>
      <w:r>
        <w:rPr>
          <w:rFonts w:ascii="仿宋_GB2312" w:hAnsi="微软雅黑" w:eastAsia="仿宋_GB2312" w:cs="微软雅黑"/>
          <w:color w:val="auto"/>
          <w:szCs w:val="21"/>
          <w:highlight w:val="none"/>
        </w:rPr>
        <w:t>.供气设备必须采用双气源式</w:t>
      </w:r>
      <w:r>
        <w:rPr>
          <w:rFonts w:hint="eastAsia" w:ascii="仿宋_GB2312" w:hAnsi="微软雅黑" w:eastAsia="仿宋_GB2312" w:cs="微软雅黑"/>
          <w:color w:val="auto"/>
          <w:szCs w:val="21"/>
          <w:highlight w:val="none"/>
        </w:rPr>
        <w:t>，要求采用独立动力来源的双气源供气系统。</w:t>
      </w:r>
    </w:p>
    <w:p>
      <w:pPr>
        <w:pStyle w:val="7"/>
        <w:rPr>
          <w:rFonts w:hint="default" w:ascii="仿宋_GB2312" w:hAnsi="仿宋_GB2312" w:eastAsia="仿宋_GB2312" w:cs="仿宋_GB2312"/>
          <w:b w:val="0"/>
          <w:bCs/>
          <w:color w:val="auto"/>
          <w:sz w:val="28"/>
          <w:szCs w:val="28"/>
          <w:highlight w:val="none"/>
          <w:lang w:val="en-US" w:eastAsia="zh-CN"/>
        </w:rPr>
      </w:pPr>
      <w:r>
        <w:rPr>
          <w:rFonts w:hint="eastAsia" w:ascii="仿宋_GB2312" w:hAnsi="微软雅黑" w:eastAsia="仿宋_GB2312" w:cs="微软雅黑"/>
          <w:color w:val="auto"/>
          <w:szCs w:val="21"/>
          <w:highlight w:val="none"/>
        </w:rPr>
        <w:t>2</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如有其他设备物资，请在以上相应位置补充。</w:t>
      </w:r>
    </w:p>
    <w:p>
      <w:pPr>
        <w:widowControl/>
        <w:jc w:val="both"/>
        <w:rPr>
          <w:rFonts w:hint="eastAsia" w:ascii="方正小标宋简体" w:hAnsi="微软雅黑" w:eastAsia="方正小标宋简体" w:cs="微软雅黑"/>
          <w:color w:val="auto"/>
          <w:sz w:val="32"/>
          <w:szCs w:val="32"/>
          <w:highlight w:val="none"/>
        </w:rPr>
      </w:pPr>
    </w:p>
    <w:p>
      <w:pPr>
        <w:pStyle w:val="2"/>
        <w:rPr>
          <w:rFonts w:hint="eastAsia"/>
          <w:color w:val="auto"/>
          <w:highlight w:val="none"/>
        </w:rPr>
      </w:pPr>
    </w:p>
    <w:p>
      <w:pPr>
        <w:widowControl/>
        <w:jc w:val="center"/>
        <w:rPr>
          <w:rFonts w:ascii="方正小标宋简体" w:hAnsi="微软雅黑" w:eastAsia="方正小标宋简体" w:cs="微软雅黑"/>
          <w:color w:val="auto"/>
          <w:sz w:val="32"/>
          <w:szCs w:val="32"/>
          <w:highlight w:val="none"/>
        </w:rPr>
      </w:pPr>
      <w:r>
        <w:rPr>
          <w:rFonts w:hint="eastAsia" w:ascii="方正小标宋简体" w:hAnsi="微软雅黑" w:eastAsia="方正小标宋简体" w:cs="微软雅黑"/>
          <w:color w:val="auto"/>
          <w:sz w:val="32"/>
          <w:szCs w:val="32"/>
          <w:highlight w:val="none"/>
        </w:rPr>
        <w:t>应急物资配置一览表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2269"/>
        <w:gridCol w:w="255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adjustRightInd w:val="0"/>
              <w:snapToGrid w:val="0"/>
              <w:ind w:right="-107" w:rightChars="-51"/>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序号</w:t>
            </w:r>
          </w:p>
        </w:tc>
        <w:tc>
          <w:tcPr>
            <w:tcW w:w="1252"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类型</w:t>
            </w:r>
          </w:p>
        </w:tc>
        <w:tc>
          <w:tcPr>
            <w:tcW w:w="1409"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设备名称</w:t>
            </w:r>
          </w:p>
        </w:tc>
        <w:tc>
          <w:tcPr>
            <w:tcW w:w="1790" w:type="pct"/>
            <w:vAlign w:val="center"/>
          </w:tcPr>
          <w:p>
            <w:pPr>
              <w:adjustRightInd w:val="0"/>
              <w:snapToGrid w:val="0"/>
              <w:ind w:right="-50" w:rightChars="-2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个人装具</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潜水服</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安全背带、信号绳</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潜水鞋</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4</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压铅</w:t>
            </w:r>
          </w:p>
        </w:tc>
        <w:tc>
          <w:tcPr>
            <w:tcW w:w="1790"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5</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供气设备</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双气源供气系统</w:t>
            </w:r>
          </w:p>
        </w:tc>
        <w:tc>
          <w:tcPr>
            <w:tcW w:w="179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适用于水下作业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6</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空气呼吸器</w:t>
            </w:r>
          </w:p>
        </w:tc>
        <w:tc>
          <w:tcPr>
            <w:tcW w:w="179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适用于非水下作业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7</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其他救援设备</w:t>
            </w: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三脚架、应急吊机</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8</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救护担架</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9</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救生衣、救生圈</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10</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急救箱</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c>
          <w:tcPr>
            <w:tcW w:w="1252"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1790"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r>
    </w:tbl>
    <w:p>
      <w:pPr>
        <w:widowControl/>
        <w:jc w:val="left"/>
        <w:rPr>
          <w:color w:val="auto"/>
          <w:highlight w:val="none"/>
        </w:rPr>
      </w:pPr>
      <w:r>
        <w:rPr>
          <w:rFonts w:ascii="仿宋_GB2312" w:hAnsi="微软雅黑" w:eastAsia="仿宋_GB2312" w:cs="微软雅黑"/>
          <w:color w:val="auto"/>
          <w:szCs w:val="21"/>
          <w:highlight w:val="none"/>
        </w:rPr>
        <w:t>注</w:t>
      </w:r>
      <w:r>
        <w:rPr>
          <w:rFonts w:hint="eastAsia" w:ascii="仿宋_GB2312" w:hAnsi="微软雅黑" w:eastAsia="仿宋_GB2312" w:cs="微软雅黑"/>
          <w:color w:val="auto"/>
          <w:szCs w:val="21"/>
          <w:highlight w:val="none"/>
        </w:rPr>
        <w:t>：1</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应急物资必须有第二套可供同时使用潜水供气设备。</w:t>
      </w:r>
    </w:p>
    <w:p>
      <w:pPr>
        <w:widowControl/>
        <w:ind w:firstLine="420" w:firstLineChars="200"/>
        <w:jc w:val="left"/>
        <w:rPr>
          <w:rFonts w:hint="eastAsia"/>
          <w:color w:val="auto"/>
          <w:highlight w:val="none"/>
          <w:lang w:val="en-US" w:eastAsia="zh-CN"/>
        </w:rPr>
      </w:pPr>
      <w:r>
        <w:rPr>
          <w:rFonts w:hint="eastAsia" w:ascii="仿宋_GB2312" w:hAnsi="微软雅黑" w:eastAsia="仿宋_GB2312" w:cs="微软雅黑"/>
          <w:color w:val="auto"/>
          <w:szCs w:val="21"/>
          <w:highlight w:val="none"/>
        </w:rPr>
        <w:t>2</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如有其他应急物资，请在以上相应位置补充。</w:t>
      </w:r>
      <w:r>
        <w:rPr>
          <w:rFonts w:ascii="仿宋_GB2312" w:hAnsi="微软雅黑" w:eastAsia="仿宋_GB2312" w:cs="微软雅黑"/>
          <w:color w:val="auto"/>
          <w:sz w:val="32"/>
          <w:szCs w:val="32"/>
          <w:highlight w:val="none"/>
        </w:rPr>
        <w:br w:type="page"/>
      </w:r>
    </w:p>
    <w:p>
      <w:pPr>
        <w:overflowPunct w:val="0"/>
        <w:spacing w:line="360" w:lineRule="auto"/>
        <w:ind w:firstLine="562" w:firstLineChars="200"/>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4、资金保障 </w:t>
      </w: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（1）乙方应建立应急资金保障制度，制定服务期应急保障计划，设立应急管理台帐。</w:t>
      </w: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 乙方成立应急专用资金且作出详细的资金使用计划（包括不限于人工费用、材料费和机械费用等），执行专款专用制度，以避免因为资金问题而影响施工进度，充分保证劳动力、施工机械的充足配备、材料及时采购进场，随着抢修工程的完成及时支付各工作人员劳务费用。</w:t>
      </w: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（3）如因资金问题造成劳务纠纷及其他损失，由乙方负责赔偿。</w:t>
      </w:r>
    </w:p>
    <w:p>
      <w:pPr>
        <w:overflowPunct w:val="0"/>
        <w:spacing w:line="360" w:lineRule="auto"/>
        <w:ind w:firstLine="0" w:firstLineChars="0"/>
        <w:rPr>
          <w:rFonts w:hint="eastAsia" w:ascii="仿宋_GB2312" w:hAnsi="仿宋_GB2312" w:eastAsia="仿宋_GB2312" w:cs="仿宋_GB2312"/>
          <w:b w:val="0"/>
          <w:bCs/>
          <w:color w:val="auto"/>
          <w:sz w:val="28"/>
          <w:szCs w:val="28"/>
          <w:highlight w:val="none"/>
          <w:lang w:val="en-US" w:eastAsia="zh-CN"/>
        </w:rPr>
      </w:pPr>
    </w:p>
    <w:bookmarkEnd w:id="59"/>
    <w:bookmarkEnd w:id="60"/>
    <w:bookmarkEnd w:id="61"/>
    <w:bookmarkEnd w:id="62"/>
    <w:p>
      <w:pPr>
        <w:pStyle w:val="32"/>
        <w:autoSpaceDE w:val="0"/>
        <w:autoSpaceDN w:val="0"/>
        <w:spacing w:line="520" w:lineRule="exact"/>
        <w:ind w:firstLine="587" w:firstLineChars="209"/>
        <w:rPr>
          <w:rFonts w:ascii="仿宋_GB2312" w:hAnsi="仿宋_GB2312" w:eastAsia="仿宋_GB2312" w:cs="仿宋_GB2312"/>
          <w:b/>
          <w:bCs/>
          <w:color w:val="auto"/>
          <w:sz w:val="28"/>
          <w:szCs w:val="28"/>
          <w:highlight w:val="none"/>
          <w:lang w:bidi="ar"/>
        </w:rPr>
      </w:pPr>
      <w:r>
        <w:rPr>
          <w:rFonts w:hint="eastAsia" w:ascii="仿宋_GB2312" w:hAnsi="仿宋_GB2312" w:eastAsia="仿宋_GB2312" w:cs="仿宋_GB2312"/>
          <w:b/>
          <w:bCs/>
          <w:color w:val="auto"/>
          <w:sz w:val="28"/>
          <w:szCs w:val="28"/>
          <w:highlight w:val="none"/>
          <w:lang w:val="en-US" w:eastAsia="zh-CN" w:bidi="ar"/>
        </w:rPr>
        <w:t>5、安</w:t>
      </w:r>
      <w:r>
        <w:rPr>
          <w:rFonts w:hint="eastAsia" w:ascii="仿宋_GB2312" w:hAnsi="仿宋_GB2312" w:eastAsia="仿宋_GB2312" w:cs="仿宋_GB2312"/>
          <w:b/>
          <w:bCs/>
          <w:color w:val="auto"/>
          <w:sz w:val="28"/>
          <w:szCs w:val="28"/>
          <w:highlight w:val="none"/>
          <w:lang w:bidi="ar"/>
        </w:rPr>
        <w:t>全措施要求如下：</w:t>
      </w:r>
    </w:p>
    <w:p>
      <w:pPr>
        <w:pStyle w:val="32"/>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1.作业单位应按《危险性较大的分部分项工程安全管理规定》（住房城乡建设部令第37号）的要求编制潜水作业专项施工方案，施工方案须经过施工单位技术部门审批，方案应尽可能细化人员机具投入计划、风险辨识与管控措施、应急预案、应急物资及设备清单等内容。</w:t>
      </w:r>
    </w:p>
    <w:p>
      <w:pPr>
        <w:pStyle w:val="32"/>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2.潜水作业及其他特种作业人员必须按照JT/T 955《潜水人员从业资格条件》等国家有关规定经专门的安全作业培训，取得相应资格，方可上岗作业，严禁非本专业持证或不持证人员从事特种作业。</w:t>
      </w:r>
    </w:p>
    <w:p>
      <w:pPr>
        <w:pStyle w:val="32"/>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3.潜水作业须按方案配备潜水监护员、潜水员、预备潜水员、通信员等各类人员。其中，参与潜水作业的所有作业、应急人员必须为18岁以上至55岁以下的人员，且从事潜水行业5年经验以上；预备潜水人员配备数不得少于潜水人员配备数的一半。</w:t>
      </w:r>
    </w:p>
    <w:p>
      <w:pPr>
        <w:pStyle w:val="32"/>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4.潜水作业前，作业单位应对潜水作业机具设备，尤其是供气系统中的压力表、泄压阀等安全附件进行检查验收，验收后将机具设备报验资料上报监理单位申请进场报验。监理单位须对潜水设备及安全附件的质量、完整性及使用功能进行检查确认，经审批、验收通过后方可进场。如没有监理单位的，由组织实施单位进行检查和验收。未经进场报验合格的机具设备不得进场使用。</w:t>
      </w:r>
    </w:p>
    <w:p>
      <w:pPr>
        <w:pStyle w:val="32"/>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5.现场使用的用电线路，一律采用绝缘导线，移动线路必须使用防水护套线，不得有裸露。导线要架空设置，以绝缘子固定，不得捆绑在脚手架上。</w:t>
      </w:r>
    </w:p>
    <w:p>
      <w:pPr>
        <w:pStyle w:val="32"/>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6.配电箱必须由电工统一管理。配电箱需设漏电保护开关，所有用电设备均采用“一机一闸一漏电。”</w:t>
      </w:r>
    </w:p>
    <w:p>
      <w:pPr>
        <w:pStyle w:val="32"/>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7.</w:t>
      </w:r>
      <w:r>
        <w:rPr>
          <w:rFonts w:hint="eastAsia" w:ascii="仿宋_GB2312" w:hAnsi="仿宋_GB2312" w:eastAsia="仿宋_GB2312" w:cs="仿宋_GB2312"/>
          <w:color w:val="auto"/>
          <w:sz w:val="28"/>
          <w:szCs w:val="28"/>
          <w:highlight w:val="none"/>
          <w:lang w:bidi="ar"/>
        </w:rPr>
        <w:t>对于在有限空间内进行的潜水作业，由作业单位在作业前进行爆炸性气体混合物检测，保证爆炸性气体混合物浓度低于其爆炸下限（LEL）的25%以下，经两次检测合格后方可作业，两次检测时间间隔不少于15分钟，并在《潜水作业定期气体检测记录表》中如实记录检测结果。</w:t>
      </w:r>
    </w:p>
    <w:p>
      <w:pPr>
        <w:pStyle w:val="32"/>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8.</w:t>
      </w:r>
      <w:r>
        <w:rPr>
          <w:rFonts w:hint="eastAsia" w:ascii="仿宋_GB2312" w:hAnsi="仿宋_GB2312" w:eastAsia="仿宋_GB2312" w:cs="仿宋_GB2312"/>
          <w:color w:val="auto"/>
          <w:sz w:val="28"/>
          <w:szCs w:val="28"/>
          <w:highlight w:val="none"/>
          <w:lang w:bidi="ar"/>
        </w:rPr>
        <w:t>作业过程中，由组织实施单位按《潜水作业作业前、中、后的措施落实情况确认表》中要求，对潜水作业各项要求落实情况进行全过程监督，如不能满足相应要求的，应立即停止潜水作业。有监理单位的项目，应督促监理单位进行全过程监督。</w:t>
      </w:r>
    </w:p>
    <w:p>
      <w:pPr>
        <w:pStyle w:val="32"/>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9.</w:t>
      </w:r>
      <w:r>
        <w:rPr>
          <w:rFonts w:hint="eastAsia" w:ascii="仿宋_GB2312" w:hAnsi="仿宋_GB2312" w:eastAsia="仿宋_GB2312" w:cs="仿宋_GB2312"/>
          <w:color w:val="auto"/>
          <w:sz w:val="28"/>
          <w:szCs w:val="28"/>
          <w:highlight w:val="none"/>
          <w:lang w:bidi="ar"/>
        </w:rPr>
        <w:t>在作业过程中，潜水监护员应在现场全程监护，在无同等资格人员替换的情况下，不得离开现场或进行潜水作业。</w:t>
      </w:r>
    </w:p>
    <w:p>
      <w:pPr>
        <w:pStyle w:val="32"/>
        <w:autoSpaceDE w:val="0"/>
        <w:autoSpaceDN w:val="0"/>
        <w:spacing w:line="520" w:lineRule="exact"/>
        <w:ind w:firstLine="585" w:firstLineChars="209"/>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10.</w:t>
      </w:r>
      <w:r>
        <w:rPr>
          <w:rFonts w:hint="eastAsia" w:ascii="仿宋_GB2312" w:hAnsi="仿宋_GB2312" w:eastAsia="仿宋_GB2312" w:cs="仿宋_GB2312"/>
          <w:color w:val="auto"/>
          <w:sz w:val="28"/>
          <w:szCs w:val="28"/>
          <w:highlight w:val="none"/>
          <w:lang w:bidi="ar"/>
        </w:rPr>
        <w:t>所有潜水作业必须由施工、监理、组织实施单位三方负责人和管理人员全程旁站监督，无监理单位的，由作业单位、组织实施单位人员全程旁站监督</w:t>
      </w:r>
    </w:p>
    <w:p>
      <w:pPr>
        <w:pStyle w:val="32"/>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11.</w:t>
      </w:r>
      <w:r>
        <w:rPr>
          <w:rFonts w:hint="eastAsia" w:ascii="仿宋_GB2312" w:hAnsi="仿宋_GB2312" w:eastAsia="仿宋_GB2312" w:cs="仿宋_GB2312"/>
          <w:color w:val="auto"/>
          <w:sz w:val="28"/>
          <w:szCs w:val="28"/>
          <w:highlight w:val="none"/>
          <w:lang w:bidi="ar"/>
        </w:rPr>
        <w:t>作业过程中应持续进行通风和可燃气体检测，并至少每隔15分钟一次在《潜水作业定期气体检测记录表》中如实记录检测结果。</w:t>
      </w:r>
    </w:p>
    <w:p>
      <w:pPr>
        <w:pStyle w:val="32"/>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12.</w:t>
      </w:r>
      <w:r>
        <w:rPr>
          <w:rFonts w:hint="eastAsia" w:ascii="仿宋_GB2312" w:hAnsi="仿宋_GB2312" w:eastAsia="仿宋_GB2312" w:cs="仿宋_GB2312"/>
          <w:color w:val="auto"/>
          <w:sz w:val="28"/>
          <w:szCs w:val="28"/>
          <w:highlight w:val="none"/>
          <w:lang w:bidi="ar"/>
        </w:rPr>
        <w:t>作业单位应按《潜水作业人员及设备进出登记表》落实人员及设备潜水作业登记，每班作业人员连续作业时间不得超过2小时。</w:t>
      </w:r>
    </w:p>
    <w:p>
      <w:pPr>
        <w:pStyle w:val="32"/>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13.未尽事宜，按《广州市净水有限公司潜水作业安全管理办法》执行。</w:t>
      </w:r>
    </w:p>
    <w:p>
      <w:pPr>
        <w:pStyle w:val="12"/>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四</w:t>
      </w:r>
      <w:r>
        <w:rPr>
          <w:rFonts w:hint="eastAsia" w:ascii="仿宋_GB2312" w:hAnsi="仿宋_GB2312" w:eastAsia="仿宋_GB2312" w:cs="仿宋_GB2312"/>
          <w:b/>
          <w:color w:val="auto"/>
          <w:sz w:val="28"/>
          <w:szCs w:val="28"/>
          <w:highlight w:val="none"/>
          <w:lang w:val="zh-CN"/>
        </w:rPr>
        <w:t>、项目商务要求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服务</w:t>
      </w:r>
      <w:r>
        <w:rPr>
          <w:rFonts w:hint="eastAsia" w:ascii="仿宋_GB2312" w:hAnsi="仿宋_GB2312" w:eastAsia="仿宋_GB2312" w:cs="仿宋_GB2312"/>
          <w:color w:val="auto"/>
          <w:sz w:val="28"/>
          <w:szCs w:val="28"/>
          <w:highlight w:val="none"/>
        </w:rPr>
        <w:t>期：</w:t>
      </w:r>
      <w:r>
        <w:rPr>
          <w:rFonts w:hint="eastAsia" w:ascii="仿宋_GB2312" w:hAnsi="仿宋_GB2312" w:eastAsia="仿宋_GB2312" w:cs="仿宋_GB2312"/>
          <w:color w:val="auto"/>
          <w:sz w:val="28"/>
          <w:szCs w:val="28"/>
          <w:highlight w:val="none"/>
          <w:lang w:val="en-US" w:eastAsia="zh-CN"/>
        </w:rPr>
        <w:t>自合同签订之日起一年</w:t>
      </w:r>
      <w:r>
        <w:rPr>
          <w:rFonts w:hint="eastAsia" w:ascii="仿宋_GB2312" w:hAnsi="仿宋_GB2312" w:eastAsia="仿宋_GB2312" w:cs="仿宋_GB2312"/>
          <w:color w:val="auto"/>
          <w:sz w:val="28"/>
          <w:szCs w:val="28"/>
          <w:highlight w:val="none"/>
        </w:rPr>
        <w:t>。</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（2）各种构件在运输过程中必须有可靠的保护措施。构件外观表面无明显的凹面和损伤。焊疤、飞溅物、毛刺应清理干净。</w:t>
      </w:r>
    </w:p>
    <w:p>
      <w:pPr>
        <w:spacing w:line="520" w:lineRule="exact"/>
        <w:ind w:firstLine="560" w:firstLineChars="200"/>
        <w:rPr>
          <w:color w:val="auto"/>
          <w:highlight w:val="none"/>
        </w:rPr>
      </w:pPr>
      <w:r>
        <w:rPr>
          <w:rFonts w:hint="eastAsia" w:ascii="仿宋_GB2312" w:hAnsi="仿宋_GB2312" w:eastAsia="仿宋_GB2312" w:cs="仿宋_GB2312"/>
          <w:color w:val="auto"/>
          <w:sz w:val="28"/>
          <w:szCs w:val="28"/>
          <w:highlight w:val="none"/>
        </w:rPr>
        <w:t>（3）必须用合格焊工。焊接、防锈、安装精度必须合格。</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3.安全文明施工要求：</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4.总包及分包规定：</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承包单位不许转包，不许擅自分包,</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color w:val="auto"/>
          <w:sz w:val="28"/>
          <w:szCs w:val="28"/>
          <w:highlight w:val="none"/>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5.保修期（保养期）：质保期为项目完成经验收合格之日起1年。</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highlight w:val="none"/>
        </w:rPr>
        <w:t>6.询价人将自承包人履行完合同义务之日起15个工作日内组织验收</w:t>
      </w:r>
      <w:r>
        <w:rPr>
          <w:rFonts w:hint="eastAsia" w:ascii="仿宋_GB2312" w:hAnsi="仿宋_GB2312" w:eastAsia="仿宋_GB2312" w:cs="仿宋_GB2312"/>
          <w:color w:val="auto"/>
          <w:kern w:val="2"/>
          <w:sz w:val="28"/>
          <w:szCs w:val="28"/>
          <w:highlight w:val="none"/>
          <w:lang w:eastAsia="zh-CN"/>
        </w:rPr>
        <w:t>。</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7.付款方式：银行汇票形式。</w:t>
      </w:r>
    </w:p>
    <w:p>
      <w:pPr>
        <w:spacing w:line="52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8.承包方式：</w:t>
      </w:r>
      <w:r>
        <w:rPr>
          <w:rFonts w:hint="eastAsia" w:ascii="仿宋_GB2312" w:hAnsi="仿宋_GB2312" w:eastAsia="仿宋_GB2312" w:cs="仿宋_GB2312"/>
          <w:color w:val="auto"/>
          <w:sz w:val="28"/>
          <w:szCs w:val="28"/>
          <w:highlight w:val="none"/>
          <w:lang w:val="zh-CN"/>
        </w:rPr>
        <w:t>单价包干。</w:t>
      </w: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bookmarkEnd w:id="58"/>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3" w:name="_Toc29835"/>
      <w:bookmarkStart w:id="64" w:name="_Toc23353"/>
      <w:bookmarkStart w:id="65" w:name="_Toc18538"/>
      <w:bookmarkStart w:id="66" w:name="_Toc25925"/>
      <w:bookmarkStart w:id="67" w:name="_Toc12135"/>
      <w:bookmarkStart w:id="68" w:name="_Toc23330"/>
      <w:bookmarkStart w:id="69" w:name="_Toc15570"/>
      <w:bookmarkStart w:id="70" w:name="_Toc1496"/>
      <w:bookmarkStart w:id="71" w:name="_Toc1284"/>
      <w:bookmarkStart w:id="72" w:name="_Toc537"/>
      <w:bookmarkStart w:id="73" w:name="_Toc4680"/>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5"/>
        <w:rPr>
          <w:color w:val="auto"/>
          <w:highlight w:val="none"/>
        </w:rPr>
      </w:pPr>
    </w:p>
    <w:p>
      <w:pPr>
        <w:pStyle w:val="4"/>
        <w:rPr>
          <w:color w:val="auto"/>
          <w:highlight w:val="none"/>
        </w:rPr>
      </w:pPr>
      <w:bookmarkStart w:id="74" w:name="_Toc87616386"/>
      <w:bookmarkStart w:id="75" w:name="_Toc19686"/>
      <w:bookmarkStart w:id="76" w:name="_Toc13309"/>
      <w:bookmarkStart w:id="77" w:name="_Toc1375"/>
      <w:bookmarkStart w:id="78" w:name="_Toc88209949"/>
      <w:bookmarkStart w:id="79" w:name="_Toc8183"/>
      <w:bookmarkStart w:id="80" w:name="_Toc19088"/>
      <w:bookmarkStart w:id="81" w:name="_Toc22797"/>
      <w:bookmarkStart w:id="82" w:name="_Toc323"/>
      <w:bookmarkStart w:id="83" w:name="_Toc12721"/>
      <w:bookmarkStart w:id="84" w:name="_Toc12980"/>
      <w:bookmarkStart w:id="85" w:name="_Toc12968"/>
      <w:bookmarkStart w:id="86" w:name="_Toc22501"/>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color w:val="auto"/>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ind w:left="1506" w:hanging="1506" w:hangingChars="500"/>
        <w:rPr>
          <w:rFonts w:hint="eastAsia" w:ascii="宋体" w:hAnsi="宋体" w:cs="宋体" w:eastAsiaTheme="minorEastAsia"/>
          <w:b/>
          <w:color w:val="auto"/>
          <w:sz w:val="30"/>
          <w:szCs w:val="30"/>
          <w:highlight w:val="none"/>
          <w:lang w:eastAsia="zh-CN"/>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eastAsia="zh-CN"/>
        </w:rPr>
        <w:t>广州市净水有限公司2022-2023年潜水作业应急突发服务项目（第二次）</w:t>
      </w:r>
    </w:p>
    <w:p>
      <w:pPr>
        <w:spacing w:line="400" w:lineRule="atLeast"/>
        <w:rPr>
          <w:rFonts w:hint="eastAsia" w:ascii="宋体" w:hAnsi="宋体"/>
          <w:b/>
          <w:color w:val="auto"/>
          <w:sz w:val="30"/>
          <w:szCs w:val="30"/>
          <w:highlight w:val="none"/>
        </w:rPr>
      </w:pPr>
    </w:p>
    <w:p>
      <w:pPr>
        <w:pStyle w:val="2"/>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r>
        <w:rPr>
          <w:rFonts w:hint="eastAsia" w:ascii="宋体" w:hAnsi="宋体" w:cs="宋体"/>
          <w:b/>
          <w:bCs/>
          <w:color w:val="auto"/>
          <w:sz w:val="30"/>
          <w:szCs w:val="30"/>
          <w:highlight w:val="none"/>
          <w:lang w:val="en-US" w:eastAsia="zh-CN"/>
        </w:rPr>
        <w:t xml:space="preserve"> </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color w:val="auto"/>
          <w:highlight w:val="none"/>
          <w:lang w:val="zh-CN"/>
        </w:rPr>
      </w:pPr>
      <w:r>
        <w:rPr>
          <w:rFonts w:hint="eastAsia" w:ascii="宋体" w:hAnsi="宋体" w:cs="宋体"/>
          <w:b/>
          <w:color w:val="auto"/>
          <w:sz w:val="30"/>
          <w:highlight w:val="none"/>
        </w:rPr>
        <w:t>签约地点：广州市</w:t>
      </w:r>
    </w:p>
    <w:p>
      <w:pPr>
        <w:spacing w:before="93" w:beforeLines="30" w:line="500" w:lineRule="exact"/>
        <w:ind w:left="210" w:leftChars="100" w:firstLine="600" w:firstLineChars="250"/>
        <w:rPr>
          <w:rFonts w:hint="eastAsia" w:ascii="宋体" w:hAnsi="宋体" w:cs="宋体"/>
          <w:color w:val="auto"/>
          <w:sz w:val="24"/>
          <w:highlight w:val="none"/>
        </w:rPr>
      </w:pPr>
    </w:p>
    <w:p>
      <w:pPr>
        <w:pStyle w:val="2"/>
        <w:ind w:left="0" w:leftChars="0" w:firstLine="0" w:firstLineChars="0"/>
        <w:rPr>
          <w:rFonts w:hint="eastAsia" w:ascii="宋体" w:hAnsi="宋体" w:cs="宋体"/>
          <w:color w:val="auto"/>
          <w:sz w:val="24"/>
          <w:highlight w:val="none"/>
        </w:rPr>
      </w:pPr>
    </w:p>
    <w:p>
      <w:pPr>
        <w:spacing w:before="93" w:beforeLines="30" w:line="500" w:lineRule="exact"/>
        <w:ind w:left="210" w:leftChars="100" w:firstLine="600" w:firstLineChars="250"/>
        <w:rPr>
          <w:rFonts w:ascii="宋体" w:hAnsi="宋体" w:cs="宋体"/>
          <w:color w:val="auto"/>
          <w:sz w:val="24"/>
          <w:highlight w:val="none"/>
          <w:u w:val="singl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color w:val="auto"/>
          <w:sz w:val="24"/>
          <w:highlight w:val="none"/>
          <w:u w:val="single"/>
          <w:lang w:eastAsia="zh-CN"/>
        </w:rPr>
        <w:t>广州市净水有限公司2022-2023年潜水作业应急突发服务项目（第二次）</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⑶ </w:t>
      </w:r>
      <w:r>
        <w:rPr>
          <w:rFonts w:hint="eastAsia" w:ascii="宋体" w:hAnsi="宋体" w:cs="宋体"/>
          <w:bCs/>
          <w:color w:val="auto"/>
          <w:sz w:val="24"/>
          <w:szCs w:val="22"/>
          <w:highlight w:val="none"/>
        </w:rPr>
        <w:t>成交通知书</w:t>
      </w:r>
      <w:r>
        <w:rPr>
          <w:rFonts w:hint="eastAsia" w:ascii="宋体" w:hAnsi="宋体" w:cs="宋体"/>
          <w:bCs/>
          <w:color w:val="auto"/>
          <w:sz w:val="24"/>
          <w:highlight w:val="none"/>
        </w:rPr>
        <w:t>/委托函；</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500" w:lineRule="exact"/>
        <w:ind w:firstLine="482"/>
        <w:rPr>
          <w:rFonts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50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50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2.1项目名称：</w:t>
      </w:r>
      <w:r>
        <w:rPr>
          <w:rFonts w:hint="eastAsia" w:ascii="宋体" w:hAnsi="宋体"/>
          <w:color w:val="auto"/>
          <w:sz w:val="24"/>
          <w:highlight w:val="none"/>
          <w:u w:val="single"/>
          <w:lang w:eastAsia="zh-CN"/>
        </w:rPr>
        <w:t>广州市净水有限公司2022-2023年潜水作业应急突发服务项目（第二次）</w:t>
      </w:r>
    </w:p>
    <w:p>
      <w:pPr>
        <w:spacing w:line="500" w:lineRule="exact"/>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2.2项目地点：</w:t>
      </w:r>
      <w:r>
        <w:rPr>
          <w:rFonts w:hint="eastAsia" w:ascii="宋体" w:hAnsi="宋体"/>
          <w:color w:val="auto"/>
          <w:sz w:val="24"/>
          <w:highlight w:val="none"/>
          <w:u w:val="single"/>
          <w:lang w:eastAsia="zh-CN"/>
        </w:rPr>
        <w:t>广州市净水有限公司</w:t>
      </w:r>
      <w:r>
        <w:rPr>
          <w:rFonts w:hint="eastAsia" w:ascii="宋体" w:hAnsi="宋体"/>
          <w:color w:val="auto"/>
          <w:sz w:val="24"/>
          <w:highlight w:val="none"/>
          <w:u w:val="single"/>
          <w:lang w:val="en-US" w:eastAsia="zh-CN"/>
        </w:rPr>
        <w:t>属下各分公司</w:t>
      </w:r>
    </w:p>
    <w:p>
      <w:pPr>
        <w:spacing w:line="500" w:lineRule="exact"/>
        <w:rPr>
          <w:color w:val="auto"/>
          <w:highlight w:val="none"/>
        </w:rPr>
      </w:pPr>
      <w:r>
        <w:rPr>
          <w:rFonts w:hint="eastAsia" w:ascii="宋体" w:hAnsi="宋体" w:cs="宋体"/>
          <w:color w:val="auto"/>
          <w:sz w:val="24"/>
          <w:highlight w:val="none"/>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2.4项目内容</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服务单位在合同服务期内负责广州市净水有限公司所属各分公司范围内</w:t>
      </w:r>
      <w:r>
        <w:rPr>
          <w:rFonts w:hint="eastAsia" w:asciiTheme="minorEastAsia" w:hAnsiTheme="minorEastAsia" w:cstheme="minorEastAsia"/>
          <w:color w:val="auto"/>
          <w:sz w:val="24"/>
          <w:szCs w:val="24"/>
          <w:highlight w:val="none"/>
          <w:lang w:eastAsia="zh-CN"/>
        </w:rPr>
        <w:t>市政工程类</w:t>
      </w:r>
      <w:r>
        <w:rPr>
          <w:rFonts w:hint="eastAsia" w:asciiTheme="minorEastAsia" w:hAnsiTheme="minorEastAsia" w:eastAsiaTheme="minorEastAsia" w:cstheme="minorEastAsia"/>
          <w:color w:val="auto"/>
          <w:sz w:val="24"/>
          <w:szCs w:val="24"/>
          <w:highlight w:val="none"/>
        </w:rPr>
        <w:t>应急突发服务。</w:t>
      </w:r>
    </w:p>
    <w:p>
      <w:pPr>
        <w:spacing w:line="500" w:lineRule="exact"/>
        <w:ind w:firstLine="480" w:firstLineChars="200"/>
        <w:outlineLvl w:val="1"/>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合同服务期内，乙方根据甲方要求成立应急抢修小组，小组人员应确保24小时手机通讯通畅，收到甲方的应急抢修通知，机具2小时内到达抢修现场，抢修人员1小时内到达现场，</w:t>
      </w:r>
      <w:r>
        <w:rPr>
          <w:rFonts w:hint="eastAsia" w:ascii="宋体" w:hAnsi="宋体" w:cs="宋体"/>
          <w:color w:val="auto"/>
          <w:sz w:val="24"/>
          <w:szCs w:val="24"/>
          <w:highlight w:val="none"/>
          <w:lang w:val="en-US" w:eastAsia="zh-CN"/>
        </w:rPr>
        <w:t>按照甲方最终确认的</w:t>
      </w:r>
      <w:r>
        <w:rPr>
          <w:rFonts w:hint="eastAsia" w:ascii="宋体" w:hAnsi="宋体" w:eastAsia="宋体" w:cs="宋体"/>
          <w:color w:val="auto"/>
          <w:sz w:val="24"/>
          <w:szCs w:val="24"/>
          <w:highlight w:val="none"/>
        </w:rPr>
        <w:t>维修方案，</w:t>
      </w:r>
      <w:r>
        <w:rPr>
          <w:rFonts w:hint="eastAsia" w:ascii="宋体" w:hAnsi="宋体" w:cs="宋体"/>
          <w:color w:val="auto"/>
          <w:sz w:val="24"/>
          <w:szCs w:val="24"/>
          <w:highlight w:val="none"/>
          <w:lang w:val="en-US" w:eastAsia="zh-CN"/>
        </w:rPr>
        <w:t>与甲方</w:t>
      </w:r>
      <w:r>
        <w:rPr>
          <w:rFonts w:hint="eastAsia" w:ascii="宋体" w:hAnsi="宋体" w:eastAsia="宋体" w:cs="宋体"/>
          <w:color w:val="auto"/>
          <w:sz w:val="24"/>
          <w:szCs w:val="24"/>
          <w:highlight w:val="none"/>
        </w:rPr>
        <w:t>签订现场方案确认单</w:t>
      </w:r>
      <w:r>
        <w:rPr>
          <w:rFonts w:hint="eastAsia" w:asciiTheme="minorEastAsia" w:hAnsiTheme="minorEastAsia" w:eastAsiaTheme="minorEastAsia" w:cstheme="minorEastAsia"/>
          <w:color w:val="auto"/>
          <w:sz w:val="24"/>
          <w:szCs w:val="24"/>
          <w:highlight w:val="none"/>
        </w:rPr>
        <w:t>，立即实施维修工作</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按实际发生的工程量结算</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应急服务要求如下：</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1、成立应急队伍</w:t>
      </w:r>
    </w:p>
    <w:p>
      <w:pPr>
        <w:spacing w:line="500" w:lineRule="exact"/>
        <w:ind w:firstLine="480" w:firstLineChars="200"/>
        <w:outlineLvl w:val="1"/>
        <w:rPr>
          <w:rFonts w:hint="default" w:ascii="Times New Roman" w:hAnsi="Times New Roman" w:eastAsia="仿宋_GB2312" w:cs="Times New Roman"/>
          <w:color w:val="auto"/>
          <w:sz w:val="32"/>
          <w:szCs w:val="20"/>
          <w:highlight w:val="none"/>
        </w:rPr>
      </w:pPr>
      <w:r>
        <w:rPr>
          <w:rFonts w:hint="eastAsia" w:asciiTheme="minorEastAsia" w:hAnsiTheme="minorEastAsia" w:eastAsiaTheme="minorEastAsia" w:cstheme="minorEastAsia"/>
          <w:color w:val="auto"/>
          <w:sz w:val="24"/>
          <w:szCs w:val="24"/>
          <w:highlight w:val="none"/>
        </w:rPr>
        <w:t>（1）应急抢修队伍应至少配备现场负责人1人、安全员1人、潜水监护员2人、潜水员1人、预备潜水员1人。（法定节假日备勤期间应至少配备潜水员2人），潜水作业及其他特种作业人员必须按照JT/T 955《潜水人员从业资格条件》等国家有关规定经专门的安全作业培训，取得相应资格。，为能够快速处理中心城区净水厂突发事件，应急队伍地理位置应设置合理，距离广州净水公司中心城区各污水处理厂车程在1个小时以内。</w:t>
      </w:r>
    </w:p>
    <w:tbl>
      <w:tblPr>
        <w:tblStyle w:val="22"/>
        <w:tblW w:w="96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55"/>
        <w:gridCol w:w="3138"/>
        <w:gridCol w:w="5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660"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中心城区各污水处理厂地址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单位名称</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猎德分公司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广州市天河区临江大道501号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沥滘分公司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广州市海珠区南洲路1375号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大坦沙分公司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广州市荔湾区桥中南路路7号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西朗公司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广州市荔湾区西朗东西路99号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大沙地分公司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广州市黄埔区港前路1661号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石井分公司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广州市白云区夏花一路551号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石井净水分公司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广州市白云区石槎路695号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龙归分公司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广州市白云区太和镇南岭龙岗北路20号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大观分公司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广州市天河区长兴街道科韵北路101号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江高分公司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广州市白云区江高镇南岗村南贤路1号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健康城分公司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广州市白云区钟落潭广陈路568号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京溪分公司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广州市白云区沙太北路犀牛二马路1号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竹料分公司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广州市白云区钟落潭镇竹二兰桂街100号</w:t>
            </w:r>
          </w:p>
        </w:tc>
      </w:tr>
    </w:tbl>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2、应急抢险响应</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乙方应急抢修小组人员（详见附件</w:t>
      </w:r>
      <w:r>
        <w:rPr>
          <w:rFonts w:hint="eastAsia" w:asciiTheme="minorEastAsia" w:hAnsiTheme="minorEastAsia" w:eastAsiaTheme="minorEastAsia" w:cstheme="minorEastAsia"/>
          <w:color w:val="auto"/>
          <w:sz w:val="24"/>
          <w:szCs w:val="24"/>
          <w:highlight w:val="none"/>
          <w:lang w:val="en-US" w:eastAsia="zh-CN"/>
        </w:rPr>
        <w:t>5、附件7</w:t>
      </w:r>
      <w:r>
        <w:rPr>
          <w:rFonts w:hint="eastAsia" w:asciiTheme="minorEastAsia" w:hAnsiTheme="minorEastAsia" w:eastAsiaTheme="minorEastAsia" w:cstheme="minorEastAsia"/>
          <w:color w:val="auto"/>
          <w:sz w:val="24"/>
          <w:szCs w:val="24"/>
          <w:highlight w:val="none"/>
        </w:rPr>
        <w:t>），确保24小时手机通讯通畅，收到甲方的应急抢修通知，机具2小时内到达抢修现场，抢修人员1小时内到达现场，</w:t>
      </w:r>
      <w:r>
        <w:rPr>
          <w:rFonts w:hint="eastAsia" w:ascii="宋体" w:hAnsi="宋体" w:cs="宋体"/>
          <w:color w:val="auto"/>
          <w:sz w:val="24"/>
          <w:szCs w:val="24"/>
          <w:highlight w:val="none"/>
          <w:lang w:val="en-US" w:eastAsia="zh-CN"/>
        </w:rPr>
        <w:t>按照甲方最终确认的</w:t>
      </w:r>
      <w:r>
        <w:rPr>
          <w:rFonts w:hint="eastAsia" w:ascii="宋体" w:hAnsi="宋体" w:eastAsia="宋体" w:cs="宋体"/>
          <w:color w:val="auto"/>
          <w:sz w:val="24"/>
          <w:szCs w:val="24"/>
          <w:highlight w:val="none"/>
        </w:rPr>
        <w:t>维修方案，</w:t>
      </w:r>
      <w:r>
        <w:rPr>
          <w:rFonts w:hint="eastAsia" w:ascii="宋体" w:hAnsi="宋体" w:cs="宋体"/>
          <w:color w:val="auto"/>
          <w:sz w:val="24"/>
          <w:szCs w:val="24"/>
          <w:highlight w:val="none"/>
          <w:lang w:val="en-US" w:eastAsia="zh-CN"/>
        </w:rPr>
        <w:t>与甲方</w:t>
      </w:r>
      <w:r>
        <w:rPr>
          <w:rFonts w:hint="eastAsia" w:ascii="宋体" w:hAnsi="宋体" w:eastAsia="宋体" w:cs="宋体"/>
          <w:color w:val="auto"/>
          <w:sz w:val="24"/>
          <w:szCs w:val="24"/>
          <w:highlight w:val="none"/>
        </w:rPr>
        <w:t>签订现场方案确认单，</w:t>
      </w:r>
      <w:r>
        <w:rPr>
          <w:rFonts w:hint="eastAsia" w:asciiTheme="minorEastAsia" w:hAnsiTheme="minorEastAsia" w:eastAsiaTheme="minorEastAsia" w:cstheme="minorEastAsia"/>
          <w:color w:val="auto"/>
          <w:sz w:val="24"/>
          <w:szCs w:val="24"/>
          <w:highlight w:val="none"/>
        </w:rPr>
        <w:t>立即实施维修工作。</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3、配备抢修设备及材料</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应急保障单位应配备</w:t>
      </w:r>
      <w:r>
        <w:rPr>
          <w:rFonts w:hint="eastAsia" w:asciiTheme="minorEastAsia" w:hAnsiTheme="minorEastAsia" w:eastAsiaTheme="minorEastAsia" w:cstheme="minorEastAsia"/>
          <w:color w:val="auto"/>
          <w:sz w:val="24"/>
          <w:szCs w:val="24"/>
          <w:highlight w:val="none"/>
          <w:lang w:eastAsia="zh-CN"/>
        </w:rPr>
        <w:t>机电类</w:t>
      </w:r>
      <w:r>
        <w:rPr>
          <w:rFonts w:hint="eastAsia" w:asciiTheme="minorEastAsia" w:hAnsiTheme="minorEastAsia" w:eastAsiaTheme="minorEastAsia" w:cstheme="minorEastAsia"/>
          <w:color w:val="auto"/>
          <w:sz w:val="24"/>
          <w:szCs w:val="24"/>
          <w:highlight w:val="none"/>
        </w:rPr>
        <w:t>抢修设备及材料，确保发生突发项目时，能根据现场情况及时开展抢修工作。设备清单具体详见附件。</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4、资金保障 </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（1）乙方应建立应急资金保障制度，制定应急保障计划，设立应急管理台帐。</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成立应急专用资金且作出详细的资金使用计划（包括不限于人工费用、材料费和机械费用等），执行专款专用制度，以避免因为资金问题而影响施工进度，充分保证劳动力、施工机械的充足配备、材料及时采购进场，随着抢修工程的完成及时支付各工作人员劳务费用。</w:t>
      </w:r>
    </w:p>
    <w:p>
      <w:pPr>
        <w:spacing w:line="500" w:lineRule="exact"/>
        <w:ind w:firstLine="480" w:firstLineChars="200"/>
        <w:outlineLvl w:val="1"/>
        <w:rPr>
          <w:rFonts w:hint="eastAsia"/>
          <w:color w:val="auto"/>
          <w:highlight w:val="none"/>
        </w:rPr>
      </w:pPr>
      <w:r>
        <w:rPr>
          <w:rFonts w:hint="eastAsia" w:asciiTheme="minorEastAsia" w:hAnsiTheme="minorEastAsia" w:eastAsiaTheme="minorEastAsia" w:cstheme="minorEastAsia"/>
          <w:color w:val="auto"/>
          <w:sz w:val="24"/>
          <w:szCs w:val="24"/>
          <w:highlight w:val="none"/>
        </w:rPr>
        <w:t>（3）如因资金问题造成劳务纠纷及其他损失，由乙方负责赔偿。</w:t>
      </w:r>
    </w:p>
    <w:p>
      <w:pPr>
        <w:spacing w:line="500" w:lineRule="exact"/>
        <w:ind w:firstLine="480" w:firstLineChars="200"/>
        <w:outlineLvl w:val="1"/>
        <w:rPr>
          <w:rFonts w:hint="eastAsia" w:eastAsia="宋体" w:asciiTheme="minorEastAsia" w:hAnsiTheme="minorEastAsia" w:cstheme="minorEastAsia"/>
          <w:color w:val="auto"/>
          <w:kern w:val="2"/>
          <w:sz w:val="24"/>
          <w:szCs w:val="24"/>
          <w:highlight w:val="none"/>
          <w:u w:val="none"/>
          <w:lang w:val="en-US" w:eastAsia="zh-CN"/>
        </w:rPr>
      </w:pPr>
      <w:r>
        <w:rPr>
          <w:rFonts w:hint="eastAsia" w:asciiTheme="minorEastAsia" w:hAnsiTheme="minorEastAsia" w:eastAsiaTheme="minorEastAsia" w:cstheme="minorEastAsia"/>
          <w:color w:val="auto"/>
          <w:kern w:val="2"/>
          <w:sz w:val="24"/>
          <w:szCs w:val="24"/>
          <w:highlight w:val="none"/>
          <w:u w:val="none"/>
          <w:lang w:val="en-US" w:eastAsia="zh-CN"/>
        </w:rPr>
        <w:t>备勤服务费用：备勤服务费用为在合同服务期间，涉及法定节假日期间，为确保节假日期间突发项目能够及时完成抢修，要求维修单位节假日期间备勤的费用。</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500" w:lineRule="exact"/>
        <w:ind w:firstLine="482" w:firstLineChars="200"/>
        <w:rPr>
          <w:rFonts w:ascii="宋体" w:hAnsi="宋体" w:cs="宋体"/>
          <w:color w:val="auto"/>
          <w:sz w:val="24"/>
          <w:highlight w:val="none"/>
        </w:rPr>
      </w:pPr>
      <w:r>
        <w:rPr>
          <w:rFonts w:hint="eastAsia" w:ascii="Segoe UI Symbol" w:hAnsi="Segoe UI Symbol" w:cs="Segoe UI Symbol"/>
          <w:b/>
          <w:bCs/>
          <w:color w:val="auto"/>
          <w:sz w:val="24"/>
          <w:highlight w:val="none"/>
          <w:lang w:eastAsia="zh-CN"/>
        </w:rPr>
        <w:sym w:font="Wingdings 2" w:char="0052"/>
      </w:r>
      <w:r>
        <w:rPr>
          <w:rFonts w:hint="eastAsia" w:ascii="宋体" w:hAnsi="宋体" w:cs="宋体"/>
          <w:color w:val="auto"/>
          <w:sz w:val="24"/>
          <w:highlight w:val="none"/>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A8"/>
      </w:r>
      <w:r>
        <w:rPr>
          <w:rFonts w:hint="eastAsia" w:ascii="宋体" w:hAnsi="宋体" w:cs="宋体"/>
          <w:color w:val="auto"/>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0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5"/>
        </w:numPr>
        <w:spacing w:line="50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val="en-US" w:eastAsia="zh-CN"/>
        </w:rPr>
        <w:t>300000</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叁拾万元整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r>
        <w:rPr>
          <w:rFonts w:hint="eastAsia" w:ascii="宋体" w:hAnsi="宋体" w:cs="宋体"/>
          <w:b/>
          <w:color w:val="auto"/>
          <w:sz w:val="24"/>
          <w:highlight w:val="none"/>
        </w:rPr>
        <w:t xml:space="preserve">     </w:t>
      </w:r>
    </w:p>
    <w:p>
      <w:pPr>
        <w:autoSpaceDE w:val="0"/>
        <w:autoSpaceDN w:val="0"/>
        <w:adjustRightIn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其中备勤服务费用为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hint="eastAsia"/>
          <w:color w:val="auto"/>
          <w:highlight w:val="none"/>
        </w:rPr>
      </w:pPr>
      <w:r>
        <w:rPr>
          <w:rFonts w:hint="eastAsia" w:ascii="宋体" w:hAnsi="宋体" w:cs="宋体"/>
          <w:color w:val="auto"/>
          <w:sz w:val="24"/>
          <w:highlight w:val="none"/>
        </w:rPr>
        <w:t>综合单价为：</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p>
    <w:p>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w:t>
      </w:r>
      <w:r>
        <w:rPr>
          <w:rFonts w:hint="eastAsia" w:ascii="宋体" w:hAnsi="宋体" w:cs="宋体"/>
          <w:color w:val="auto"/>
          <w:kern w:val="0"/>
          <w:sz w:val="24"/>
          <w:highlight w:val="none"/>
          <w:lang w:val="en-US" w:eastAsia="zh-CN"/>
        </w:rPr>
        <w:t>3综合</w:t>
      </w:r>
      <w:r>
        <w:rPr>
          <w:rFonts w:ascii="宋体" w:hAnsi="宋体" w:cs="宋体"/>
          <w:color w:val="auto"/>
          <w:kern w:val="0"/>
          <w:sz w:val="24"/>
          <w:highlight w:val="none"/>
          <w:lang w:val="zh-CN"/>
        </w:rPr>
        <w:t>单价计价原则：</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color w:val="auto"/>
          <w:highlight w:val="none"/>
        </w:rPr>
      </w:pPr>
      <w:r>
        <w:rPr>
          <w:rFonts w:ascii="宋体" w:hAnsi="宋体" w:cs="宋体"/>
          <w:color w:val="auto"/>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widowControl/>
        <w:spacing w:line="500" w:lineRule="exact"/>
        <w:ind w:firstLine="480" w:firstLineChars="200"/>
        <w:jc w:val="left"/>
        <w:rPr>
          <w:rFonts w:hint="eastAsia" w:ascii="宋体" w:hAnsi="宋体" w:cs="宋体"/>
          <w:color w:val="auto"/>
          <w:sz w:val="24"/>
          <w:highlight w:val="none"/>
          <w:lang w:eastAsia="zh-CN"/>
        </w:rPr>
      </w:pPr>
      <w:r>
        <w:rPr>
          <w:rFonts w:ascii="宋体" w:hAnsi="宋体" w:cs="宋体"/>
          <w:color w:val="auto"/>
          <w:sz w:val="24"/>
          <w:highlight w:val="none"/>
        </w:rPr>
        <w:t>5.1</w:t>
      </w:r>
      <w:r>
        <w:rPr>
          <w:rFonts w:hint="eastAsia" w:ascii="宋体" w:hAnsi="宋体" w:cs="宋体"/>
          <w:color w:val="auto"/>
          <w:sz w:val="24"/>
          <w:highlight w:val="none"/>
          <w:lang w:val="en-US" w:eastAsia="zh-CN"/>
        </w:rPr>
        <w:t>合</w:t>
      </w:r>
      <w:r>
        <w:rPr>
          <w:rFonts w:hint="eastAsia" w:ascii="宋体" w:hAnsi="宋体" w:cs="宋体"/>
          <w:color w:val="auto"/>
          <w:sz w:val="24"/>
          <w:highlight w:val="none"/>
        </w:rPr>
        <w:t>同有效期为    年    月   日至    年    月   日，如合同服务期内维修项目结算金额累计总额达到</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万时，合同提前终止。合同有效期内，甲方发包的具体项目的工期、开工日期等由双方另行协商确定。 开工日期以甲方发出的通知为准。乙方未按本合同约定的时间到达现场，每超时1小时，应按本合同暂定总价的 1 %支付违约金，逾期超过4小时，甲方有权解除合同，并按本合同暂定总价的 10 %向甲方支付违约金。乙方收到甲方电话通知，因乙方原因未能在第二通电话接通的，应按本合同暂定总价的 1 %支付违约金，超过10分钟未能接通电话，甲方有权解除合同，并按本合同暂定总价的 10 %向甲方支付违约金（甲方联系人电话详见附件5）。</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w:t>
      </w:r>
      <w:r>
        <w:rPr>
          <w:rFonts w:hint="eastAsia" w:ascii="宋体" w:hAnsi="宋体" w:cs="宋体"/>
          <w:bCs/>
          <w:color w:val="auto"/>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rPr>
        <w:t>6</w:t>
      </w:r>
      <w:r>
        <w:rPr>
          <w:rFonts w:hint="eastAsia" w:hAnsi="宋体" w:cs="宋体"/>
          <w:color w:val="auto"/>
          <w:spacing w:val="-8"/>
          <w:sz w:val="24"/>
          <w:szCs w:val="24"/>
          <w:highlight w:val="none"/>
        </w:rPr>
        <w:t>乙方不得随意更换项目负责人及附件中的相关人员，如确须更换，应</w:t>
      </w:r>
      <w:r>
        <w:rPr>
          <w:rFonts w:hint="eastAsia" w:hAnsi="宋体" w:cs="宋体"/>
          <w:color w:val="auto"/>
          <w:spacing w:val="-8"/>
          <w:sz w:val="24"/>
          <w:szCs w:val="24"/>
          <w:highlight w:val="none"/>
          <w:lang w:eastAsia="zh-CN"/>
        </w:rPr>
        <w:t xml:space="preserve"> </w:t>
      </w:r>
      <w:r>
        <w:rPr>
          <w:rFonts w:hint="eastAsia" w:hAnsi="宋体" w:cs="宋体"/>
          <w:color w:val="auto"/>
          <w:spacing w:val="-8"/>
          <w:sz w:val="24"/>
          <w:szCs w:val="24"/>
          <w:highlight w:val="none"/>
        </w:rPr>
        <w:t>征得甲方同意。如有违反，甲方有权解除合同并要求乙方支付</w:t>
      </w:r>
      <w:r>
        <w:rPr>
          <w:rFonts w:hint="eastAsia" w:hAnsi="宋体" w:cs="宋体"/>
          <w:color w:val="auto"/>
          <w:spacing w:val="-8"/>
          <w:sz w:val="24"/>
          <w:szCs w:val="24"/>
          <w:highlight w:val="none"/>
          <w:u w:val="single"/>
        </w:rPr>
        <w:t>5000元/人次</w:t>
      </w:r>
      <w:r>
        <w:rPr>
          <w:rFonts w:hint="eastAsia" w:hAnsi="宋体" w:cs="宋体"/>
          <w:color w:val="auto"/>
          <w:spacing w:val="-8"/>
          <w:sz w:val="24"/>
          <w:szCs w:val="24"/>
          <w:highlight w:val="none"/>
        </w:rPr>
        <w:t>作为违约金，以及赔偿由此造成的一切损失(包含质量安全事故、工期延误、增加投资等)。</w:t>
      </w:r>
      <w:r>
        <w:rPr>
          <w:rFonts w:hAnsi="宋体" w:cs="宋体"/>
          <w:color w:val="auto"/>
          <w:spacing w:val="-8"/>
          <w:sz w:val="24"/>
          <w:szCs w:val="24"/>
          <w:highlight w:val="none"/>
        </w:rPr>
        <w:t xml:space="preserve">   </w:t>
      </w:r>
    </w:p>
    <w:p>
      <w:pPr>
        <w:widowControl/>
        <w:spacing w:line="500" w:lineRule="exact"/>
        <w:ind w:left="1" w:firstLine="448" w:firstLineChars="200"/>
        <w:jc w:val="left"/>
        <w:rPr>
          <w:rFonts w:ascii="宋体" w:hAnsi="宋体" w:cs="宋体"/>
          <w:color w:val="auto"/>
          <w:spacing w:val="-8"/>
          <w:sz w:val="24"/>
          <w:szCs w:val="24"/>
          <w:highlight w:val="none"/>
        </w:rPr>
      </w:pPr>
      <w:r>
        <w:rPr>
          <w:rFonts w:ascii="宋体" w:hAnsi="宋体" w:cs="宋体"/>
          <w:bCs/>
          <w:color w:val="auto"/>
          <w:spacing w:val="-8"/>
          <w:sz w:val="24"/>
          <w:szCs w:val="24"/>
          <w:highlight w:val="none"/>
        </w:rPr>
        <w:t>5.</w:t>
      </w:r>
      <w:r>
        <w:rPr>
          <w:rFonts w:hint="eastAsia" w:ascii="宋体" w:hAnsi="宋体" w:cs="宋体"/>
          <w:bCs/>
          <w:color w:val="auto"/>
          <w:spacing w:val="-8"/>
          <w:sz w:val="24"/>
          <w:szCs w:val="24"/>
          <w:highlight w:val="none"/>
        </w:rPr>
        <w:t>7施工过程中，项目负责人应驻场管理，否则甲方有权要求乙方支付违约</w:t>
      </w:r>
      <w:r>
        <w:rPr>
          <w:rFonts w:hint="eastAsia" w:ascii="宋体" w:hAnsi="宋体" w:cs="宋体"/>
          <w:bCs/>
          <w:color w:val="auto"/>
          <w:spacing w:val="-8"/>
          <w:sz w:val="24"/>
          <w:szCs w:val="24"/>
          <w:highlight w:val="none"/>
          <w:u w:val="single"/>
        </w:rPr>
        <w:t xml:space="preserve"> 1000元/天</w:t>
      </w:r>
      <w:r>
        <w:rPr>
          <w:rFonts w:hint="eastAsia" w:ascii="宋体" w:hAnsi="宋体" w:cs="宋体"/>
          <w:bCs/>
          <w:color w:val="auto"/>
          <w:spacing w:val="-8"/>
          <w:sz w:val="24"/>
          <w:szCs w:val="24"/>
          <w:highlight w:val="none"/>
        </w:rPr>
        <w:t>，因此造成损失的，按实际发生额赔偿。</w:t>
      </w:r>
    </w:p>
    <w:p>
      <w:pPr>
        <w:widowControl/>
        <w:spacing w:line="500" w:lineRule="exact"/>
        <w:ind w:left="1" w:firstLine="448" w:firstLineChars="200"/>
        <w:jc w:val="left"/>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5.8施工过程中，乙方应负责配备现场的应急物资。具体应急物资配备详见附件应急救援物资清单。</w:t>
      </w:r>
    </w:p>
    <w:p>
      <w:pPr>
        <w:widowControl/>
        <w:spacing w:line="500" w:lineRule="exact"/>
        <w:ind w:left="1" w:firstLine="448"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pacing w:val="-8"/>
          <w:sz w:val="24"/>
          <w:szCs w:val="24"/>
          <w:highlight w:val="none"/>
        </w:rPr>
        <w:t>5.9</w:t>
      </w:r>
      <w:r>
        <w:rPr>
          <w:rFonts w:hint="eastAsia" w:ascii="宋体" w:hAnsi="宋体" w:eastAsia="宋体" w:cs="宋体"/>
          <w:color w:val="auto"/>
          <w:sz w:val="24"/>
          <w:szCs w:val="24"/>
          <w:highlight w:val="none"/>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p>
    <w:p>
      <w:pPr>
        <w:widowControl/>
        <w:spacing w:line="500" w:lineRule="exact"/>
        <w:ind w:left="1"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5.10</w:t>
      </w:r>
      <w:r>
        <w:rPr>
          <w:rFonts w:hint="eastAsia" w:ascii="宋体" w:hAnsi="宋体" w:eastAsia="宋体" w:cs="宋体"/>
          <w:color w:val="auto"/>
          <w:sz w:val="24"/>
          <w:szCs w:val="24"/>
          <w:highlight w:val="none"/>
          <w:lang w:val="en-US" w:eastAsia="zh-CN"/>
        </w:rPr>
        <w:t>.乙方未按照本合同书履行，如未成立应急小组、未按要求每天配备协议约定的人员、设备或材料，每出现一次，乙方应按本协议备勤服务费的3%向甲方支付违约金，累计三次（含本数），甲方有权解除本合同，要求乙方支付本合同备勤服务费20%的违约金，如因乙方未及时抢修，由此给甲方造成损失，乙方应承担赔偿责任。合同另有约定除外。</w:t>
      </w:r>
    </w:p>
    <w:p>
      <w:pPr>
        <w:pStyle w:val="2"/>
        <w:rPr>
          <w:color w:val="auto"/>
          <w:highlight w:val="none"/>
        </w:rPr>
      </w:pP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rPr>
        <w:t>1</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46"/>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500" w:lineRule="exact"/>
        <w:ind w:firstLine="480" w:firstLineChars="200"/>
        <w:rPr>
          <w:rFonts w:hAnsi="宋体" w:cs="宋体"/>
          <w:color w:val="auto"/>
          <w:sz w:val="24"/>
          <w:szCs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2"/>
        <w:spacing w:line="50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500" w:lineRule="exact"/>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t>□</w:t>
      </w:r>
      <w:r>
        <w:rPr>
          <w:rFonts w:hint="eastAsia" w:ascii="Segoe UI Symbol" w:hAnsi="Segoe UI Symbol" w:cs="Segoe UI Symbol"/>
          <w:bCs/>
          <w:color w:val="auto"/>
          <w:sz w:val="24"/>
          <w:highlight w:val="none"/>
        </w:rPr>
        <w:t>有</w:t>
      </w:r>
      <w:r>
        <w:rPr>
          <w:rFonts w:hint="eastAsia" w:ascii="Segoe UI Symbol" w:hAnsi="Segoe UI Symbol" w:cs="Segoe UI Symbol"/>
          <w:b/>
          <w:color w:val="auto"/>
          <w:sz w:val="24"/>
          <w:highlight w:val="none"/>
        </w:rPr>
        <w:t xml:space="preserve"> </w:t>
      </w:r>
      <w:r>
        <w:rPr>
          <w:rFonts w:hint="eastAsia" w:ascii="宋体" w:hAnsi="宋体" w:cs="宋体"/>
          <w:bCs/>
          <w:color w:val="auto"/>
          <w:sz w:val="24"/>
          <w:highlight w:val="none"/>
        </w:rPr>
        <w:t>合同签订后，乙方开具等额的增值税专用发票及提交履约担保担保（如有）</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30%</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2"/>
        <w:spacing w:line="500" w:lineRule="exact"/>
        <w:ind w:firstLine="480" w:firstLineChars="200"/>
        <w:outlineLvl w:val="1"/>
        <w:rPr>
          <w:rFonts w:hAnsi="宋体" w:cs="宋体"/>
          <w:bCs/>
          <w:color w:val="auto"/>
          <w:sz w:val="24"/>
          <w:highlight w:val="none"/>
        </w:rPr>
      </w:pPr>
      <w:r>
        <w:rPr>
          <w:rFonts w:hAnsi="宋体" w:cs="宋体"/>
          <w:color w:val="auto"/>
          <w:sz w:val="24"/>
          <w:szCs w:val="24"/>
          <w:highlight w:val="none"/>
        </w:rPr>
        <w:t>8.2</w:t>
      </w:r>
      <w:r>
        <w:rPr>
          <w:rFonts w:hint="eastAsia" w:hAnsi="宋体" w:cs="宋体"/>
          <w:color w:val="auto"/>
          <w:sz w:val="24"/>
          <w:szCs w:val="24"/>
          <w:highlight w:val="none"/>
        </w:rPr>
        <w:t>项目验收合格后，由乙方提交申请支付资料 15 个工作日内，甲方支付至合同暂定总价的</w:t>
      </w:r>
      <w:r>
        <w:rPr>
          <w:rFonts w:hint="eastAsia" w:hAnsi="宋体" w:cs="宋体"/>
          <w:color w:val="auto"/>
          <w:sz w:val="24"/>
          <w:szCs w:val="24"/>
          <w:highlight w:val="none"/>
          <w:u w:val="single"/>
          <w:lang w:val="en-US" w:eastAsia="zh-CN"/>
        </w:rPr>
        <w:t>/</w:t>
      </w:r>
      <w:r>
        <w:rPr>
          <w:rFonts w:hint="eastAsia" w:hAnsi="宋体" w:cs="宋体"/>
          <w:bCs/>
          <w:color w:val="auto"/>
          <w:sz w:val="24"/>
          <w:highlight w:val="none"/>
        </w:rPr>
        <w:t>。</w:t>
      </w:r>
    </w:p>
    <w:p>
      <w:pPr>
        <w:spacing w:line="500" w:lineRule="exact"/>
        <w:ind w:firstLine="480" w:firstLineChars="200"/>
        <w:rPr>
          <w:rFonts w:hint="eastAsia"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分项</w:t>
      </w:r>
      <w:r>
        <w:rPr>
          <w:rFonts w:hint="eastAsia" w:ascii="宋体" w:hAnsi="宋体" w:cs="宋体"/>
          <w:color w:val="auto"/>
          <w:sz w:val="24"/>
          <w:highlight w:val="none"/>
        </w:rPr>
        <w:t>验收</w:t>
      </w:r>
      <w:r>
        <w:rPr>
          <w:rFonts w:hint="eastAsia" w:ascii="宋体" w:hAnsi="宋体" w:cs="宋体"/>
          <w:color w:val="auto"/>
          <w:sz w:val="24"/>
          <w:highlight w:val="none"/>
          <w:lang w:val="en-US" w:eastAsia="zh-CN"/>
        </w:rPr>
        <w:t>合格</w:t>
      </w:r>
      <w:r>
        <w:rPr>
          <w:rFonts w:hint="eastAsia" w:ascii="宋体" w:hAnsi="宋体" w:cs="宋体"/>
          <w:color w:val="auto"/>
          <w:sz w:val="24"/>
          <w:highlight w:val="none"/>
        </w:rPr>
        <w:t>后，经甲方或甲方委托有资质第三方机构审核后，由乙方提交申请支付资料</w:t>
      </w:r>
      <w:r>
        <w:rPr>
          <w:rFonts w:hint="eastAsia" w:ascii="宋体" w:hAnsi="宋体" w:cs="宋体"/>
          <w:color w:val="auto"/>
          <w:sz w:val="24"/>
          <w:highlight w:val="none"/>
          <w:u w:val="single"/>
        </w:rPr>
        <w:t>15</w:t>
      </w:r>
      <w:r>
        <w:rPr>
          <w:rFonts w:hint="eastAsia" w:ascii="宋体" w:hAnsi="宋体" w:cs="宋体"/>
          <w:color w:val="auto"/>
          <w:sz w:val="24"/>
          <w:highlight w:val="none"/>
        </w:rPr>
        <w:t>个工作日内，甲方支付至</w:t>
      </w:r>
      <w:r>
        <w:rPr>
          <w:rFonts w:hint="eastAsia" w:ascii="宋体" w:hAnsi="宋体" w:cs="宋体"/>
          <w:color w:val="auto"/>
          <w:sz w:val="24"/>
          <w:highlight w:val="none"/>
          <w:lang w:val="en-US" w:eastAsia="zh-CN"/>
        </w:rPr>
        <w:t>各分项项目</w:t>
      </w:r>
      <w:r>
        <w:rPr>
          <w:rFonts w:hint="eastAsia" w:ascii="宋体" w:hAnsi="宋体" w:cs="宋体"/>
          <w:color w:val="auto"/>
          <w:sz w:val="24"/>
          <w:highlight w:val="none"/>
        </w:rPr>
        <w:t>结算价的</w:t>
      </w:r>
      <w:r>
        <w:rPr>
          <w:rFonts w:hint="eastAsia" w:ascii="宋体" w:hAnsi="宋体" w:cs="宋体"/>
          <w:color w:val="auto"/>
          <w:sz w:val="24"/>
          <w:highlight w:val="none"/>
          <w:u w:val="single"/>
          <w:lang w:val="en-US" w:eastAsia="zh-CN"/>
        </w:rPr>
        <w:t>95</w:t>
      </w:r>
      <w:r>
        <w:rPr>
          <w:rFonts w:hint="eastAsia" w:ascii="宋体" w:hAnsi="宋体" w:cs="宋体"/>
          <w:color w:val="auto"/>
          <w:sz w:val="24"/>
          <w:highlight w:val="none"/>
          <w:u w:val="single"/>
        </w:rPr>
        <w:t>%</w:t>
      </w:r>
      <w:r>
        <w:rPr>
          <w:rFonts w:hint="eastAsia" w:ascii="宋体" w:hAnsi="宋体" w:cs="宋体"/>
          <w:color w:val="auto"/>
          <w:sz w:val="24"/>
          <w:highlight w:val="none"/>
        </w:rPr>
        <w:t>。</w:t>
      </w:r>
    </w:p>
    <w:p>
      <w:pPr>
        <w:spacing w:line="500" w:lineRule="exact"/>
        <w:ind w:firstLine="480" w:firstLineChars="200"/>
        <w:rPr>
          <w:color w:val="auto"/>
          <w:highlight w:val="none"/>
        </w:rPr>
      </w:pPr>
      <w:r>
        <w:rPr>
          <w:rFonts w:hint="eastAsia" w:ascii="宋体" w:hAnsi="宋体" w:cs="宋体"/>
          <w:color w:val="auto"/>
          <w:sz w:val="24"/>
          <w:highlight w:val="none"/>
        </w:rPr>
        <w:t>8.2.2质保期按合同第十条规定执行，质保期满后且乙方不存在违约情形，由乙方提交申请质保金退还资料 15 个工作日内，甲方支付合同结算价的5％（质保金）给乙方（无息）。</w:t>
      </w:r>
    </w:p>
    <w:p>
      <w:pPr>
        <w:spacing w:line="500" w:lineRule="exact"/>
        <w:ind w:firstLine="480" w:firstLineChars="200"/>
        <w:outlineLvl w:val="1"/>
        <w:rPr>
          <w:rFonts w:hint="eastAsia"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lang w:val="en-US" w:eastAsia="zh-CN"/>
        </w:rPr>
        <w:t>3</w:t>
      </w:r>
      <w:r>
        <w:rPr>
          <w:rFonts w:hint="eastAsia" w:hAnsi="宋体" w:cs="宋体"/>
          <w:color w:val="auto"/>
          <w:sz w:val="24"/>
          <w:highlight w:val="none"/>
          <w:lang w:val="en-US" w:eastAsia="zh-CN"/>
        </w:rPr>
        <w:t>本合同服务期到期后，乙方向甲方提交合法、有效的等额专用发票及相应备勤签证资料（每日签到表、每日带时间水印的全员备勤合照等）后20个工作日内甲方向乙方支付备勤服务费。</w:t>
      </w:r>
    </w:p>
    <w:p>
      <w:pPr>
        <w:spacing w:line="500" w:lineRule="exact"/>
        <w:ind w:firstLine="480" w:firstLineChars="200"/>
        <w:outlineLvl w:val="1"/>
        <w:rPr>
          <w:rFonts w:hAnsi="宋体" w:cs="宋体"/>
          <w:color w:val="auto"/>
          <w:sz w:val="24"/>
          <w:szCs w:val="20"/>
          <w:highlight w:val="none"/>
        </w:rPr>
      </w:pPr>
      <w:r>
        <w:rPr>
          <w:rFonts w:ascii="宋体" w:hAnsi="宋体" w:cs="宋体"/>
          <w:color w:val="auto"/>
          <w:sz w:val="24"/>
          <w:highlight w:val="none"/>
        </w:rPr>
        <w:t>8.2.</w:t>
      </w:r>
      <w:r>
        <w:rPr>
          <w:rFonts w:hint="eastAsia" w:ascii="宋体" w:hAnsi="宋体" w:cs="宋体"/>
          <w:color w:val="auto"/>
          <w:sz w:val="24"/>
          <w:highlight w:val="none"/>
          <w:lang w:val="en-US" w:eastAsia="zh-CN"/>
        </w:rPr>
        <w:t>4</w:t>
      </w:r>
      <w:r>
        <w:rPr>
          <w:rFonts w:hint="eastAsia" w:hAnsi="宋体" w:cs="宋体"/>
          <w:color w:val="auto"/>
          <w:sz w:val="24"/>
          <w:highlight w:val="none"/>
        </w:rPr>
        <w:t>本项目工程款的支付单位为：</w:t>
      </w:r>
      <w:r>
        <w:rPr>
          <w:rFonts w:hint="eastAsia" w:hAnsi="宋体" w:cs="宋体"/>
          <w:color w:val="auto"/>
          <w:sz w:val="24"/>
          <w:szCs w:val="20"/>
          <w:highlight w:val="none"/>
          <w:u w:val="single"/>
        </w:rPr>
        <w:t>广州市净水有限</w:t>
      </w:r>
      <w:r>
        <w:rPr>
          <w:rFonts w:hint="eastAsia" w:hAnsi="宋体" w:cs="宋体"/>
          <w:color w:val="auto"/>
          <w:sz w:val="24"/>
          <w:szCs w:val="20"/>
          <w:highlight w:val="none"/>
          <w:u w:val="single"/>
          <w:lang w:val="en-US" w:eastAsia="zh-CN"/>
        </w:rPr>
        <w:t>公司属下各</w:t>
      </w:r>
      <w:r>
        <w:rPr>
          <w:rFonts w:hint="eastAsia" w:hAnsi="宋体" w:cs="宋体"/>
          <w:color w:val="auto"/>
          <w:sz w:val="24"/>
          <w:szCs w:val="20"/>
          <w:highlight w:val="none"/>
          <w:u w:val="single"/>
        </w:rPr>
        <w:t>分公司</w:t>
      </w:r>
      <w:r>
        <w:rPr>
          <w:rFonts w:hint="eastAsia" w:hAnsi="宋体" w:cs="宋体"/>
          <w:color w:val="auto"/>
          <w:sz w:val="24"/>
          <w:szCs w:val="20"/>
          <w:highlight w:val="none"/>
        </w:rPr>
        <w:t>；</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0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spacing w:line="500" w:lineRule="exact"/>
        <w:ind w:firstLine="960"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r>
        <w:rPr>
          <w:rFonts w:ascii="宋体" w:hAnsi="宋体" w:cs="宋体"/>
          <w:color w:val="auto"/>
          <w:sz w:val="24"/>
          <w:highlight w:val="none"/>
        </w:rPr>
        <w:t xml:space="preserve">                            </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Segoe UI Symbol" w:hAnsi="Segoe UI Symbol" w:cs="Segoe UI Symbol" w:eastAsiaTheme="minorEastAsia"/>
          <w:b/>
          <w:bCs/>
          <w:color w:val="auto"/>
          <w:sz w:val="24"/>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sym w:font="Wingdings 2" w:char="00A3"/>
      </w:r>
      <w:r>
        <w:rPr>
          <w:rFonts w:hint="eastAsia" w:ascii="宋体" w:hAnsi="宋体" w:cs="宋体"/>
          <w:color w:val="auto"/>
          <w:sz w:val="24"/>
          <w:highlight w:val="none"/>
        </w:rPr>
        <w:t>有 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元（大写人民币：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1"/>
        <w:spacing w:before="0" w:beforeAutospacing="0" w:after="0" w:afterAutospacing="0" w:line="500" w:lineRule="exact"/>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1"/>
        <w:spacing w:before="0" w:beforeAutospacing="0" w:after="0" w:afterAutospacing="0" w:line="500" w:lineRule="exact"/>
        <w:ind w:firstLine="480"/>
        <w:rPr>
          <w:color w:val="auto"/>
          <w:highlight w:val="none"/>
        </w:rPr>
      </w:pPr>
      <w:r>
        <w:rPr>
          <w:rFonts w:hint="eastAsia"/>
          <w:color w:val="auto"/>
          <w:highlight w:val="none"/>
        </w:rPr>
        <w:t>（1）符合甲方要求（详见附件保函格式）的银行独立保函，</w:t>
      </w:r>
    </w:p>
    <w:p>
      <w:pPr>
        <w:pStyle w:val="21"/>
        <w:spacing w:before="0" w:beforeAutospacing="0" w:after="0" w:afterAutospacing="0" w:line="500" w:lineRule="exact"/>
        <w:ind w:firstLine="480"/>
        <w:rPr>
          <w:color w:val="auto"/>
          <w:highlight w:val="none"/>
        </w:rPr>
      </w:pPr>
      <w:r>
        <w:rPr>
          <w:rFonts w:hint="eastAsia"/>
          <w:color w:val="auto"/>
          <w:highlight w:val="none"/>
        </w:rPr>
        <w:t>（2）现金转账至甲方以下指定账户：</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（3）延长担保期限。乙方以履约银行保函形式提交履约保证金的，在银行保函到期前，乙方应</w:t>
      </w:r>
      <w:r>
        <w:rPr>
          <w:rFonts w:hint="eastAsia" w:ascii="宋体" w:hAnsi="宋体" w:cs="宋体"/>
          <w:color w:val="auto"/>
          <w:sz w:val="24"/>
          <w:highlight w:val="none"/>
          <w:lang w:eastAsia="zh-CN"/>
        </w:rPr>
        <w:t xml:space="preserve"> </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rPr>
        <w:t>日内将剩余保证金（无息）返还。</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r>
        <w:rPr>
          <w:rFonts w:hint="eastAsia"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color w:val="auto"/>
          <w:sz w:val="24"/>
          <w:highlight w:val="none"/>
          <w:u w:val="single"/>
          <w:bdr w:val="single" w:color="auto" w:sz="4" w:space="0"/>
        </w:rPr>
      </w:pPr>
      <w:r>
        <w:rPr>
          <w:rFonts w:ascii="宋体" w:hAnsi="宋体" w:cs="宋体"/>
          <w:color w:val="auto"/>
          <w:sz w:val="24"/>
          <w:highlight w:val="none"/>
        </w:rPr>
        <w:t>8.6</w:t>
      </w:r>
      <w:r>
        <w:rPr>
          <w:rFonts w:hint="eastAsia" w:ascii="宋体" w:hAnsi="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b/>
          <w:bCs/>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2"/>
        <w:spacing w:line="500" w:lineRule="exact"/>
        <w:ind w:firstLine="482" w:firstLineChars="200"/>
        <w:outlineLvl w:val="1"/>
        <w:rPr>
          <w:rFonts w:hAnsi="宋体" w:cs="宋体"/>
          <w:b/>
          <w:bCs/>
          <w:color w:val="auto"/>
          <w:sz w:val="24"/>
          <w:highlight w:val="none"/>
        </w:rPr>
      </w:pPr>
      <w:r>
        <w:rPr>
          <w:rFonts w:hint="eastAsia" w:hAnsi="宋体" w:cs="宋体"/>
          <w:b/>
          <w:bCs/>
          <w:color w:val="auto"/>
          <w:sz w:val="24"/>
          <w:highlight w:val="none"/>
        </w:rPr>
        <w:t>第九条</w:t>
      </w:r>
      <w:r>
        <w:rPr>
          <w:rFonts w:hAnsi="宋体" w:cs="宋体"/>
          <w:b/>
          <w:bCs/>
          <w:color w:val="auto"/>
          <w:sz w:val="24"/>
          <w:highlight w:val="none"/>
        </w:rPr>
        <w:t xml:space="preserve"> </w:t>
      </w:r>
      <w:r>
        <w:rPr>
          <w:rFonts w:hint="eastAsia" w:hAnsi="宋体" w:cs="宋体"/>
          <w:b/>
          <w:bCs/>
          <w:color w:val="auto"/>
          <w:sz w:val="24"/>
          <w:highlight w:val="none"/>
        </w:rPr>
        <w:t>竣工验收</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乙方应在工程完工后30天内将经甲方审核的完整竣工资料（含竣工图）和竣工验收报告各</w:t>
      </w:r>
      <w:r>
        <w:rPr>
          <w:rFonts w:hint="eastAsia" w:ascii="宋体" w:hAnsi="宋体" w:cs="宋体"/>
          <w:color w:val="auto"/>
          <w:sz w:val="24"/>
          <w:highlight w:val="none"/>
          <w:u w:val="single"/>
        </w:rPr>
        <w:t>一式肆份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Ansi="宋体" w:cs="宋体"/>
          <w:color w:val="auto"/>
          <w:sz w:val="24"/>
          <w:szCs w:val="20"/>
          <w:highlight w:val="none"/>
        </w:rPr>
      </w:pPr>
      <w:r>
        <w:rPr>
          <w:rFonts w:hint="eastAsia" w:asciiTheme="minorEastAsia" w:hAnsiTheme="minorEastAsia" w:eastAsiaTheme="minorEastAsia" w:cstheme="minorEastAsia"/>
          <w:color w:val="auto"/>
          <w:sz w:val="24"/>
          <w:highlight w:val="none"/>
        </w:rPr>
        <w:t>9.5本合同竣工验收结算单位为：</w:t>
      </w:r>
      <w:r>
        <w:rPr>
          <w:rFonts w:hint="eastAsia" w:hAnsi="宋体" w:cs="宋体"/>
          <w:color w:val="auto"/>
          <w:sz w:val="24"/>
          <w:szCs w:val="20"/>
          <w:highlight w:val="none"/>
          <w:u w:val="single"/>
        </w:rPr>
        <w:t>广州市净水有限</w:t>
      </w:r>
      <w:r>
        <w:rPr>
          <w:rFonts w:hint="eastAsia" w:hAnsi="宋体" w:cs="宋体"/>
          <w:color w:val="auto"/>
          <w:sz w:val="24"/>
          <w:szCs w:val="20"/>
          <w:highlight w:val="none"/>
          <w:u w:val="single"/>
          <w:lang w:val="en-US" w:eastAsia="zh-CN"/>
        </w:rPr>
        <w:t>公司属下各</w:t>
      </w:r>
      <w:r>
        <w:rPr>
          <w:rFonts w:hint="eastAsia" w:hAnsi="宋体" w:cs="宋体"/>
          <w:color w:val="auto"/>
          <w:sz w:val="24"/>
          <w:szCs w:val="20"/>
          <w:highlight w:val="none"/>
          <w:u w:val="single"/>
        </w:rPr>
        <w:t>分公司</w:t>
      </w:r>
      <w:r>
        <w:rPr>
          <w:rFonts w:hint="eastAsia" w:hAnsi="宋体" w:cs="宋体"/>
          <w:color w:val="auto"/>
          <w:sz w:val="24"/>
          <w:szCs w:val="20"/>
          <w:highlight w:val="none"/>
        </w:rPr>
        <w:t>；</w:t>
      </w:r>
    </w:p>
    <w:p>
      <w:pPr>
        <w:numPr>
          <w:ilvl w:val="0"/>
          <w:numId w:val="6"/>
        </w:numPr>
        <w:spacing w:before="120" w:after="156" w:afterLines="50"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lang w:val="en-US" w:eastAsia="zh-CN"/>
        </w:rPr>
        <w:t>1</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p>
    <w:p>
      <w:pPr>
        <w:spacing w:line="500" w:lineRule="exact"/>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合同暂定总价的10%/次</w:t>
      </w:r>
      <w:r>
        <w:rPr>
          <w:rFonts w:hint="eastAsia" w:ascii="宋体" w:hAnsi="宋体" w:cs="宋体"/>
          <w:bCs/>
          <w:color w:val="auto"/>
          <w:sz w:val="24"/>
          <w:highlight w:val="none"/>
        </w:rPr>
        <w:t>作为违约金。</w:t>
      </w:r>
    </w:p>
    <w:p>
      <w:pPr>
        <w:spacing w:before="156" w:beforeLines="50" w:after="156" w:afterLines="50" w:line="500" w:lineRule="exact"/>
        <w:ind w:firstLine="422" w:firstLineChars="175"/>
        <w:jc w:val="left"/>
        <w:rPr>
          <w:rFonts w:ascii="宋体" w:hAnsi="宋体" w:cs="宋体"/>
          <w:color w:val="auto"/>
          <w:sz w:val="24"/>
          <w:highlight w:val="none"/>
        </w:rPr>
      </w:pPr>
      <w:bookmarkStart w:id="87" w:name="_Toc474245226"/>
      <w:bookmarkStart w:id="88" w:name="_Toc183666531"/>
      <w:bookmarkStart w:id="89" w:name="_Toc107447255"/>
      <w:bookmarkStart w:id="90" w:name="_Toc107446862"/>
      <w:bookmarkStart w:id="91" w:name="_Toc19692"/>
      <w:bookmarkStart w:id="92" w:name="_Toc520190040"/>
      <w:bookmarkStart w:id="93" w:name="_Toc518993000"/>
      <w:bookmarkStart w:id="94" w:name="_Toc306350467"/>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bookmarkEnd w:id="87"/>
      <w:bookmarkEnd w:id="88"/>
      <w:bookmarkEnd w:id="89"/>
      <w:bookmarkEnd w:id="90"/>
      <w:bookmarkEnd w:id="91"/>
      <w:bookmarkEnd w:id="92"/>
      <w:bookmarkEnd w:id="93"/>
      <w:bookmarkEnd w:id="94"/>
    </w:p>
    <w:p>
      <w:pPr>
        <w:widowControl/>
        <w:autoSpaceDE w:val="0"/>
        <w:autoSpaceDN w:val="0"/>
        <w:adjustRightInd w:val="0"/>
        <w:spacing w:line="500" w:lineRule="exact"/>
        <w:ind w:firstLine="480" w:firstLineChars="200"/>
        <w:rPr>
          <w:rFonts w:ascii="宋体" w:hAnsi="宋体" w:cs="宋体"/>
          <w:bCs/>
          <w:color w:val="auto"/>
          <w:sz w:val="24"/>
          <w:highlight w:val="none"/>
        </w:rPr>
      </w:pPr>
      <w:bookmarkStart w:id="95" w:name="_Toc306350468"/>
      <w:bookmarkStart w:id="96" w:name="_Toc183666532"/>
      <w:bookmarkStart w:id="97" w:name="_Toc12010"/>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color w:val="auto"/>
          <w:sz w:val="24"/>
          <w:highlight w:val="none"/>
        </w:rPr>
      </w:pPr>
      <w:bookmarkStart w:id="98" w:name="_Toc520190041"/>
      <w:bookmarkStart w:id="99" w:name="_Toc518993001"/>
      <w:bookmarkStart w:id="100" w:name="_Toc107446864"/>
      <w:bookmarkStart w:id="101" w:name="_Toc107447257"/>
      <w:bookmarkStart w:id="102" w:name="_Toc474245227"/>
      <w:bookmarkStart w:id="103" w:name="_Toc118172294"/>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bookmarkEnd w:id="95"/>
      <w:bookmarkEnd w:id="96"/>
      <w:bookmarkEnd w:id="97"/>
      <w:bookmarkEnd w:id="98"/>
      <w:bookmarkEnd w:id="99"/>
      <w:bookmarkEnd w:id="100"/>
      <w:bookmarkEnd w:id="101"/>
      <w:bookmarkEnd w:id="102"/>
      <w:bookmarkEnd w:id="103"/>
    </w:p>
    <w:p>
      <w:pPr>
        <w:spacing w:before="156" w:beforeLines="50" w:after="156" w:afterLines="50" w:line="500" w:lineRule="exact"/>
        <w:ind w:firstLine="482"/>
        <w:jc w:val="left"/>
        <w:rPr>
          <w:rFonts w:ascii="宋体" w:hAnsi="宋体" w:cs="宋体"/>
          <w:bCs/>
          <w:color w:val="auto"/>
          <w:sz w:val="24"/>
          <w:highlight w:val="none"/>
        </w:rPr>
      </w:pPr>
      <w:bookmarkStart w:id="104" w:name="_Toc183666533"/>
      <w:bookmarkStart w:id="105" w:name="_Toc306350469"/>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color w:val="auto"/>
          <w:sz w:val="24"/>
          <w:highlight w:val="none"/>
        </w:rPr>
      </w:pPr>
    </w:p>
    <w:p>
      <w:pPr>
        <w:spacing w:line="500" w:lineRule="exact"/>
        <w:ind w:firstLine="482"/>
        <w:jc w:val="left"/>
        <w:rPr>
          <w:rFonts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bookmarkEnd w:id="104"/>
      <w:bookmarkEnd w:id="105"/>
      <w:bookmarkStart w:id="106" w:name="_Toc518993003"/>
      <w:bookmarkStart w:id="107" w:name="_Toc474245229"/>
      <w:bookmarkStart w:id="108" w:name="_Toc520190043"/>
    </w:p>
    <w:p>
      <w:pPr>
        <w:spacing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bookmarkStart w:id="109" w:name="_Toc107446871"/>
      <w:bookmarkStart w:id="110" w:name="_Toc107447264"/>
      <w:r>
        <w:rPr>
          <w:rFonts w:hint="eastAsia" w:ascii="宋体" w:hAnsi="宋体" w:cs="宋体"/>
          <w:b/>
          <w:bCs/>
          <w:color w:val="auto"/>
          <w:sz w:val="24"/>
          <w:highlight w:val="none"/>
        </w:rPr>
        <w:t>合同生效及其他</w:t>
      </w:r>
      <w:bookmarkEnd w:id="106"/>
      <w:bookmarkEnd w:id="107"/>
      <w:bookmarkEnd w:id="108"/>
      <w:bookmarkEnd w:id="109"/>
      <w:bookmarkEnd w:id="110"/>
    </w:p>
    <w:p>
      <w:pPr>
        <w:spacing w:line="50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柒</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壹</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pPr>
        <w:pStyle w:val="46"/>
        <w:spacing w:line="500" w:lineRule="exact"/>
        <w:rPr>
          <w:color w:val="auto"/>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4.防疫管理协议书</w:t>
      </w:r>
    </w:p>
    <w:p>
      <w:pPr>
        <w:spacing w:line="500" w:lineRule="exact"/>
        <w:rPr>
          <w:rFonts w:hint="eastAsia" w:asciiTheme="minorEastAsia" w:hAnsiTheme="minorEastAsia" w:eastAsiaTheme="minorEastAsia" w:cstheme="minorEastAsia"/>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hint="eastAsia" w:asciiTheme="minorEastAsia" w:hAnsiTheme="minorEastAsia" w:eastAsiaTheme="minorEastAsia" w:cstheme="minorEastAsia"/>
          <w:color w:val="auto"/>
          <w:sz w:val="24"/>
          <w:highlight w:val="none"/>
        </w:rPr>
        <w:t>/应急救援物资清单</w:t>
      </w:r>
    </w:p>
    <w:p>
      <w:pPr>
        <w:pStyle w:val="2"/>
        <w:ind w:left="0" w:leftChars="0"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 应急抢修设备及材料清单</w:t>
      </w:r>
    </w:p>
    <w:p>
      <w:pPr>
        <w:pStyle w:val="2"/>
        <w:ind w:left="0" w:leftChars="0"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 应急小组人员联系表</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.不诚信行为的情形及相应被暂停参与投标活动的处理标准</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营运项目承包单位日常履约考评参照表（安全）</w:t>
      </w:r>
    </w:p>
    <w:p>
      <w:pPr>
        <w:spacing w:line="5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营运项目承包单位综合履约考评表（安全）</w:t>
      </w:r>
    </w:p>
    <w:p>
      <w:pPr>
        <w:numPr>
          <w:ilvl w:val="-1"/>
          <w:numId w:val="0"/>
        </w:numPr>
        <w:overflowPunct w:val="0"/>
        <w:autoSpaceDE/>
        <w:autoSpaceDN/>
        <w:spacing w:line="360" w:lineRule="auto"/>
        <w:ind w:firstLine="630" w:firstLineChars="300"/>
        <w:jc w:val="left"/>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11.应急响应承诺函</w:t>
      </w:r>
    </w:p>
    <w:p>
      <w:pPr>
        <w:pStyle w:val="2"/>
        <w:rPr>
          <w:rFonts w:hint="default"/>
          <w:color w:val="auto"/>
          <w:highlight w:val="none"/>
          <w:lang w:val="en-US" w:eastAsia="zh-CN"/>
        </w:rPr>
      </w:pPr>
    </w:p>
    <w:p>
      <w:pPr>
        <w:pStyle w:val="46"/>
        <w:spacing w:line="500" w:lineRule="exact"/>
        <w:rPr>
          <w:rFonts w:hint="default" w:eastAsia="仿宋_GB2312"/>
          <w:color w:val="auto"/>
          <w:highlight w:val="none"/>
          <w:lang w:val="en-US" w:eastAsia="zh-CN"/>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color w:val="auto"/>
          <w:sz w:val="24"/>
          <w:highlight w:val="none"/>
        </w:rPr>
        <w:t xml:space="preserve"> （盖章）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w:t>
      </w:r>
      <w:r>
        <w:rPr>
          <w:rFonts w:hint="eastAsia" w:ascii="宋体" w:hAnsi="宋体" w:cs="宋体"/>
          <w:color w:val="auto"/>
          <w:sz w:val="24"/>
          <w:highlight w:val="none"/>
          <w:lang w:val="en-US" w:eastAsia="zh-CN"/>
        </w:rPr>
        <w:t>陈秋彬</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020-38890587</w:t>
      </w:r>
      <w:r>
        <w:rPr>
          <w:rFonts w:ascii="宋体" w:hAnsi="宋体" w:cs="宋体"/>
          <w:color w:val="auto"/>
          <w:sz w:val="24"/>
          <w:highlight w:val="non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500" w:lineRule="exact"/>
        <w:ind w:left="6360" w:right="0" w:rightChars="0" w:hanging="6360" w:hangingChars="2650"/>
        <w:rPr>
          <w:rFonts w:hAnsi="宋体"/>
          <w:b/>
          <w:bCs/>
          <w:color w:val="auto"/>
          <w:szCs w:val="21"/>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pStyle w:val="47"/>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成交通知书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广州市净水有限公司2022-2023年潜水作业应急突发服务项目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广州市净水有限公司2022-2023年潜水作业应急突发服务项目（第二次）</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pStyle w:val="2"/>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widowControl w:val="0"/>
        <w:tabs>
          <w:tab w:val="left" w:pos="5100"/>
        </w:tabs>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widowControl w:val="0"/>
        <w:tabs>
          <w:tab w:val="left" w:pos="4170"/>
        </w:tabs>
        <w:kinsoku/>
        <w:wordWrap/>
        <w:overflowPunct/>
        <w:topLinePunct w:val="0"/>
        <w:autoSpaceDE/>
        <w:autoSpaceDN/>
        <w:bidi w:val="0"/>
        <w:adjustRightInd/>
        <w:snapToGrid/>
        <w:spacing w:line="380" w:lineRule="exact"/>
        <w:textAlignment w:val="auto"/>
        <w:rPr>
          <w:rFonts w:hint="eastAsia" w:ascii="宋体" w:hAnsi="宋体" w:cs="宋体"/>
          <w:b/>
          <w:color w:val="auto"/>
          <w:szCs w:val="21"/>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乙方：</w:t>
      </w:r>
      <w:r>
        <w:rPr>
          <w:rFonts w:hint="eastAsia" w:ascii="宋体" w:hAnsi="宋体" w:cs="Arial"/>
          <w:color w:val="auto"/>
          <w:kern w:val="0"/>
          <w:sz w:val="24"/>
          <w:highlight w:val="none"/>
          <w:lang w:eastAsia="zh-CN"/>
        </w:rPr>
        <w:t xml:space="preserve"> </w:t>
      </w:r>
      <w:r>
        <w:rPr>
          <w:rFonts w:hint="eastAsia" w:ascii="宋体" w:hAnsi="宋体" w:cs="Arial"/>
          <w:color w:val="auto"/>
          <w:kern w:val="0"/>
          <w:sz w:val="24"/>
          <w:highlight w:val="none"/>
        </w:rPr>
        <w:t xml:space="preserve"> </w:t>
      </w:r>
    </w:p>
    <w:p>
      <w:pPr>
        <w:spacing w:line="560" w:lineRule="exact"/>
        <w:jc w:val="left"/>
        <w:rPr>
          <w:rStyle w:val="25"/>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color w:val="auto"/>
          <w:sz w:val="24"/>
          <w:highlight w:val="none"/>
          <w:u w:val="single"/>
          <w:lang w:eastAsia="zh-CN"/>
        </w:rPr>
        <w:t>广州市净水有限公司2022-2023年潜水作业应急突发服务项目</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w:t>
      </w:r>
      <w:r>
        <w:rPr>
          <w:rFonts w:hint="eastAsia" w:asciiTheme="minorEastAsia" w:hAnsiTheme="minorEastAsia"/>
          <w:color w:val="auto"/>
          <w:sz w:val="24"/>
          <w:highlight w:val="none"/>
          <w:lang w:eastAsia="zh-CN"/>
        </w:rPr>
        <w:t xml:space="preserve"> </w:t>
      </w:r>
      <w:r>
        <w:rPr>
          <w:rFonts w:hint="eastAsia" w:asciiTheme="minorEastAsia" w:hAnsiTheme="minorEastAsia" w:eastAsiaTheme="minorEastAsia"/>
          <w:color w:val="auto"/>
          <w:sz w:val="24"/>
          <w:highlight w:val="none"/>
        </w:rPr>
        <w:t>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hint="eastAsia" w:ascii="宋体" w:hAnsi="宋体" w:eastAsia="宋体"/>
                <w:color w:val="auto"/>
                <w:sz w:val="24"/>
                <w:highlight w:val="none"/>
                <w:lang w:eastAsia="zh-CN"/>
              </w:rPr>
            </w:pPr>
            <w:r>
              <w:rPr>
                <w:rFonts w:hint="eastAsia" w:ascii="宋体" w:hAnsi="宋体" w:eastAsia="宋体"/>
                <w:color w:val="auto"/>
                <w:sz w:val="24"/>
                <w:highlight w:val="none"/>
              </w:rPr>
              <w:t>乙方：</w:t>
            </w:r>
            <w:r>
              <w:rPr>
                <w:rFonts w:hint="eastAsia" w:ascii="宋体" w:hAnsi="宋体" w:cs="宋体"/>
                <w:color w:val="auto"/>
                <w:spacing w:val="-11"/>
                <w:sz w:val="24"/>
                <w:highlight w:val="none"/>
                <w:lang w:eastAsia="zh-CN"/>
              </w:rPr>
              <w:t xml:space="preserve"> </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r>
              <w:rPr>
                <w:rFonts w:hint="eastAsia" w:ascii="宋体" w:hAnsi="宋体" w:cs="宋体"/>
                <w:color w:val="auto"/>
                <w:sz w:val="24"/>
                <w:highlight w:val="none"/>
              </w:rPr>
              <w:t>020-82183823</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pStyle w:val="10"/>
        <w:rPr>
          <w:color w:val="auto"/>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附件4：防疫管理协议书</w:t>
      </w:r>
    </w:p>
    <w:p>
      <w:pPr>
        <w:spacing w:line="440" w:lineRule="exact"/>
        <w:jc w:val="center"/>
        <w:rPr>
          <w:rFonts w:ascii="仿宋_GB2312" w:eastAsia="仿宋_GB2312"/>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防疫</w:t>
      </w:r>
      <w:r>
        <w:rPr>
          <w:rFonts w:hint="eastAsia" w:asciiTheme="minorEastAsia" w:hAnsiTheme="minorEastAsia" w:eastAsiaTheme="minorEastAsia" w:cstheme="minorEastAsia"/>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广州市净水有限公司</w:t>
      </w:r>
    </w:p>
    <w:p>
      <w:pPr>
        <w:adjustRightInd w:val="0"/>
        <w:snapToGrid w:val="0"/>
        <w:spacing w:line="440" w:lineRule="exact"/>
        <w:ind w:firstLine="480" w:firstLineChars="200"/>
        <w:jc w:val="left"/>
        <w:rPr>
          <w:rStyle w:val="25"/>
          <w:rFonts w:hint="eastAsia" w:asciiTheme="minorEastAsia" w:hAnsiTheme="minorEastAsia" w:eastAsiaTheme="minorEastAsia" w:cstheme="minorEastAsia"/>
          <w:b w:val="0"/>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w:t>
      </w:r>
      <w:r>
        <w:rPr>
          <w:rStyle w:val="25"/>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本协议作为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cstheme="minorEastAsia"/>
          <w:bCs/>
          <w:color w:val="auto"/>
          <w:sz w:val="24"/>
          <w:szCs w:val="24"/>
          <w:highlight w:val="none"/>
          <w:u w:val="single"/>
          <w:lang w:eastAsia="zh-CN"/>
        </w:rPr>
        <w:t>广州市净水有限公司2022-2023年潜水作业应急突发服务项目</w:t>
      </w:r>
      <w:r>
        <w:rPr>
          <w:rFonts w:hint="eastAsia" w:asciiTheme="minorEastAsia" w:hAnsiTheme="minorEastAsia" w:eastAsiaTheme="minorEastAsia" w:cstheme="minorEastAsia"/>
          <w:bCs/>
          <w:color w:val="auto"/>
          <w:sz w:val="24"/>
          <w:szCs w:val="24"/>
          <w:highlight w:val="none"/>
          <w:u w:val="single"/>
        </w:rPr>
        <w:t xml:space="preserve">合同  </w:t>
      </w:r>
      <w:r>
        <w:rPr>
          <w:rFonts w:hint="eastAsia" w:asciiTheme="minorEastAsia" w:hAnsiTheme="minorEastAsia" w:eastAsiaTheme="minorEastAsia" w:cstheme="minorEastAsia"/>
          <w:color w:val="auto"/>
          <w:sz w:val="24"/>
          <w:szCs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w:t>
      </w:r>
      <w:r>
        <w:rPr>
          <w:rFonts w:hint="eastAsia" w:asciiTheme="minorEastAsia" w:hAnsiTheme="minorEastAsia" w:eastAsiaTheme="minorEastAsia" w:cstheme="minorEastAsia"/>
          <w:color w:val="auto"/>
          <w:sz w:val="24"/>
          <w:szCs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（一）开展疫情防控宣传教育，提高</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（二）</w:t>
      </w:r>
      <w:r>
        <w:rPr>
          <w:rFonts w:hint="eastAsia" w:asciiTheme="minorEastAsia" w:hAnsiTheme="minorEastAsia" w:eastAsiaTheme="minorEastAsia" w:cstheme="minorEastAsia"/>
          <w:color w:val="auto"/>
          <w:sz w:val="24"/>
          <w:szCs w:val="24"/>
          <w:highlight w:val="none"/>
          <w:lang w:val="en-US" w:eastAsia="zh-CN"/>
        </w:rPr>
        <w:t>做好乙方人员防控工作管理，及时提交防疫资料，落实疫情防控备案，必要时需</w:t>
      </w:r>
      <w:r>
        <w:rPr>
          <w:rFonts w:hint="eastAsia" w:asciiTheme="minorEastAsia" w:hAnsiTheme="minorEastAsia" w:eastAsiaTheme="minorEastAsia" w:cstheme="minorEastAsia"/>
          <w:color w:val="auto"/>
          <w:kern w:val="2"/>
          <w:sz w:val="24"/>
          <w:szCs w:val="24"/>
          <w:highlight w:val="none"/>
          <w:lang w:val="en-US" w:eastAsia="zh-CN" w:bidi="ar-SA"/>
        </w:rPr>
        <w:t>编制防控管理工作方案</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（三）乙方人员须按照</w:t>
      </w:r>
      <w:r>
        <w:rPr>
          <w:rFonts w:hint="eastAsia" w:asciiTheme="minorEastAsia" w:hAnsiTheme="minorEastAsia" w:eastAsiaTheme="minorEastAsia" w:cstheme="minorEastAsia"/>
          <w:color w:val="auto"/>
          <w:kern w:val="2"/>
          <w:sz w:val="24"/>
          <w:szCs w:val="24"/>
          <w:highlight w:val="none"/>
          <w:lang w:val="en-US" w:eastAsia="zh-CN" w:bidi="ar-SA"/>
        </w:rPr>
        <w:t>甲方各厂区进厂门岗防控要求</w:t>
      </w:r>
      <w:r>
        <w:rPr>
          <w:rFonts w:hint="eastAsia" w:asciiTheme="minorEastAsia" w:hAnsiTheme="minorEastAsia" w:eastAsiaTheme="minorEastAsia" w:cstheme="minorEastAsia"/>
          <w:color w:val="auto"/>
          <w:sz w:val="24"/>
          <w:szCs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（五）各级政府、有关部门及甲方的其他</w:t>
      </w:r>
      <w:r>
        <w:rPr>
          <w:rFonts w:hint="eastAsia" w:asciiTheme="minorEastAsia" w:hAnsiTheme="minorEastAsia" w:eastAsiaTheme="minorEastAsia" w:cstheme="minorEastAsia"/>
          <w:color w:val="auto"/>
          <w:sz w:val="24"/>
          <w:szCs w:val="24"/>
          <w:highlight w:val="none"/>
          <w:lang w:val="en-US" w:eastAsia="zh-CN"/>
        </w:rPr>
        <w:t>防控要求</w:t>
      </w:r>
      <w:r>
        <w:rPr>
          <w:rFonts w:hint="eastAsia" w:asciiTheme="minorEastAsia" w:hAnsiTheme="minorEastAsia" w:eastAsiaTheme="minorEastAsia" w:cstheme="minorEastAsia"/>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p>
    <w:p>
      <w:pPr>
        <w:pStyle w:val="35"/>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、补充条款：</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pPr>
        <w:adjustRightInd w:val="0"/>
        <w:snapToGrid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份。</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rPr>
        <w:t xml:space="preserve">代表 （章）：                             </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rPr>
        <w:t>代表（章）：                                                           　　              　　　　　　　</w:t>
      </w:r>
    </w:p>
    <w:p>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pPr>
        <w:spacing w:line="440" w:lineRule="exact"/>
        <w:jc w:val="center"/>
        <w:rPr>
          <w:rFonts w:hint="eastAsia" w:ascii="宋体" w:hAnsi="宋体"/>
          <w:b/>
          <w:bCs/>
          <w:color w:val="auto"/>
          <w:sz w:val="28"/>
          <w:szCs w:val="28"/>
          <w:highlight w:val="none"/>
        </w:rPr>
      </w:pPr>
    </w:p>
    <w:p>
      <w:pPr>
        <w:spacing w:line="440" w:lineRule="exact"/>
        <w:jc w:val="center"/>
        <w:rPr>
          <w:rFonts w:hint="eastAsia" w:ascii="宋体" w:hAnsi="宋体"/>
          <w:b/>
          <w:bCs/>
          <w:color w:val="auto"/>
          <w:sz w:val="28"/>
          <w:szCs w:val="28"/>
          <w:highlight w:val="none"/>
        </w:rPr>
      </w:pPr>
    </w:p>
    <w:p>
      <w:pPr>
        <w:pStyle w:val="2"/>
        <w:rPr>
          <w:rFonts w:hint="eastAsia" w:ascii="宋体" w:hAnsi="宋体"/>
          <w:b/>
          <w:bCs/>
          <w:color w:val="auto"/>
          <w:sz w:val="28"/>
          <w:szCs w:val="28"/>
          <w:highlight w:val="none"/>
        </w:rPr>
      </w:pPr>
    </w:p>
    <w:p>
      <w:pPr>
        <w:pStyle w:val="2"/>
        <w:rPr>
          <w:rFonts w:hint="eastAsia" w:ascii="宋体" w:hAnsi="宋体"/>
          <w:b/>
          <w:bCs/>
          <w:color w:val="auto"/>
          <w:sz w:val="28"/>
          <w:szCs w:val="28"/>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：项目投入人员架构表/应急救援物资清单</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2"/>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155"/>
        <w:gridCol w:w="2640"/>
        <w:gridCol w:w="1241"/>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联系电话</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9"/>
        <w:tabs>
          <w:tab w:val="left" w:pos="720"/>
        </w:tabs>
        <w:rPr>
          <w:rFonts w:ascii="宋体" w:hAnsi="宋体" w:cs="宋体"/>
          <w:color w:val="auto"/>
          <w:sz w:val="24"/>
          <w:highlight w:val="none"/>
        </w:rPr>
      </w:pPr>
    </w:p>
    <w:p>
      <w:pPr>
        <w:spacing w:line="360" w:lineRule="auto"/>
        <w:jc w:val="center"/>
        <w:outlineLvl w:val="3"/>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甲方联系人电话表</w:t>
      </w:r>
    </w:p>
    <w:p>
      <w:pPr>
        <w:pStyle w:val="9"/>
        <w:tabs>
          <w:tab w:val="left" w:pos="720"/>
        </w:tabs>
        <w:rPr>
          <w:rFonts w:hint="eastAsia" w:ascii="宋体" w:hAnsi="宋体" w:eastAsia="宋体" w:cs="宋体"/>
          <w:color w:val="auto"/>
          <w:sz w:val="24"/>
          <w:highlight w:val="none"/>
        </w:rPr>
      </w:pP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8"/>
        <w:gridCol w:w="1573"/>
        <w:gridCol w:w="1752"/>
        <w:gridCol w:w="2031"/>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所属单位</w:t>
            </w: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岗位</w:t>
            </w: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联系电话</w:t>
            </w: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3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86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9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1121"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80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bl>
    <w:p>
      <w:pPr>
        <w:pStyle w:val="10"/>
        <w:rPr>
          <w:color w:val="auto"/>
          <w:highlight w:val="none"/>
        </w:rPr>
      </w:pPr>
    </w:p>
    <w:p>
      <w:pPr>
        <w:rPr>
          <w:rFonts w:hint="eastAsia" w:ascii="宋体" w:hAnsi="宋体" w:eastAsia="宋体" w:cs="宋体"/>
          <w:color w:val="auto"/>
          <w:sz w:val="24"/>
          <w:szCs w:val="24"/>
          <w:highlight w:val="none"/>
        </w:rPr>
      </w:pPr>
    </w:p>
    <w:p>
      <w:pPr>
        <w:overflowPunct w:val="0"/>
        <w:spacing w:line="360" w:lineRule="auto"/>
        <w:ind w:firstLine="0" w:firstLineChars="0"/>
        <w:rPr>
          <w:rFonts w:hint="eastAsia" w:ascii="仿宋_GB2312" w:hAnsi="仿宋_GB2312" w:eastAsia="仿宋_GB2312" w:cs="仿宋_GB2312"/>
          <w:b w:val="0"/>
          <w:bCs/>
          <w:color w:val="auto"/>
          <w:sz w:val="28"/>
          <w:szCs w:val="28"/>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：应急抢修</w:t>
      </w:r>
      <w:r>
        <w:rPr>
          <w:rFonts w:hint="eastAsia" w:ascii="宋体" w:hAnsi="宋体" w:cs="宋体"/>
          <w:b/>
          <w:bCs/>
          <w:color w:val="auto"/>
          <w:szCs w:val="21"/>
          <w:highlight w:val="none"/>
          <w:lang w:val="en-US" w:eastAsia="zh-CN"/>
        </w:rPr>
        <w:t>设备材料清单</w:t>
      </w:r>
    </w:p>
    <w:p>
      <w:pPr>
        <w:pStyle w:val="7"/>
        <w:numPr>
          <w:ilvl w:val="-1"/>
          <w:numId w:val="0"/>
        </w:numPr>
        <w:ind w:firstLine="0"/>
        <w:rPr>
          <w:rFonts w:hint="eastAsia" w:ascii="宋体" w:hAnsi="宋体" w:cs="宋体"/>
          <w:b/>
          <w:bCs/>
          <w:color w:val="auto"/>
          <w:szCs w:val="21"/>
          <w:highlight w:val="none"/>
        </w:rPr>
      </w:pPr>
    </w:p>
    <w:p>
      <w:pPr>
        <w:widowControl/>
        <w:jc w:val="center"/>
        <w:rPr>
          <w:rFonts w:ascii="方正小标宋简体" w:eastAsia="方正小标宋简体"/>
          <w:color w:val="auto"/>
          <w:sz w:val="32"/>
          <w:szCs w:val="32"/>
          <w:highlight w:val="none"/>
        </w:rPr>
      </w:pPr>
      <w:r>
        <w:rPr>
          <w:rFonts w:hint="eastAsia" w:ascii="方正小标宋简体" w:hAnsi="微软雅黑" w:eastAsia="方正小标宋简体" w:cs="微软雅黑"/>
          <w:color w:val="auto"/>
          <w:sz w:val="32"/>
          <w:szCs w:val="32"/>
          <w:highlight w:val="none"/>
        </w:rPr>
        <w:t>施工设备配置一览表</w:t>
      </w:r>
    </w:p>
    <w:tbl>
      <w:tblPr>
        <w:tblStyle w:val="22"/>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93"/>
        <w:gridCol w:w="3226"/>
        <w:gridCol w:w="1056"/>
        <w:gridCol w:w="1467"/>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adjustRightInd w:val="0"/>
              <w:snapToGrid w:val="0"/>
              <w:ind w:right="-107" w:rightChars="-51"/>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序号</w:t>
            </w:r>
          </w:p>
        </w:tc>
        <w:tc>
          <w:tcPr>
            <w:tcW w:w="774"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类型</w:t>
            </w:r>
          </w:p>
        </w:tc>
        <w:tc>
          <w:tcPr>
            <w:tcW w:w="1786"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设备名称</w:t>
            </w:r>
          </w:p>
        </w:tc>
        <w:tc>
          <w:tcPr>
            <w:tcW w:w="587" w:type="pct"/>
            <w:vAlign w:val="center"/>
          </w:tcPr>
          <w:p>
            <w:pPr>
              <w:adjustRightInd w:val="0"/>
              <w:snapToGrid w:val="0"/>
              <w:ind w:right="-50" w:rightChars="-24"/>
              <w:jc w:val="center"/>
              <w:rPr>
                <w:rFonts w:hint="default"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单位</w:t>
            </w:r>
          </w:p>
        </w:tc>
        <w:tc>
          <w:tcPr>
            <w:tcW w:w="814" w:type="pct"/>
            <w:vAlign w:val="center"/>
          </w:tcPr>
          <w:p>
            <w:pPr>
              <w:adjustRightInd w:val="0"/>
              <w:snapToGrid w:val="0"/>
              <w:ind w:right="-50" w:rightChars="-24"/>
              <w:jc w:val="cente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数量</w:t>
            </w:r>
          </w:p>
        </w:tc>
        <w:tc>
          <w:tcPr>
            <w:tcW w:w="702" w:type="pct"/>
            <w:vAlign w:val="center"/>
          </w:tcPr>
          <w:p>
            <w:pPr>
              <w:adjustRightInd w:val="0"/>
              <w:snapToGrid w:val="0"/>
              <w:ind w:right="-50" w:rightChars="-2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个人装具</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潜水服</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安全背带、信号绳</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潜水鞋</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4</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压铅</w:t>
            </w:r>
          </w:p>
        </w:tc>
        <w:tc>
          <w:tcPr>
            <w:tcW w:w="58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14"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02"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5</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供气设备</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潜水面罩</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6</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潜水头盔</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7</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潜水脐带</w:t>
            </w:r>
          </w:p>
        </w:tc>
        <w:tc>
          <w:tcPr>
            <w:tcW w:w="58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14"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02"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8</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应急气瓶</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9</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配气盘</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1</w:t>
            </w:r>
            <w:r>
              <w:rPr>
                <w:rFonts w:ascii="仿宋_GB2312" w:eastAsia="仿宋_GB2312" w:hAnsiTheme="minorEastAsia" w:cstheme="minorEastAsia"/>
                <w:color w:val="auto"/>
                <w:szCs w:val="21"/>
                <w:highlight w:val="none"/>
              </w:rPr>
              <w:t>0</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空气压缩机</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1</w:t>
            </w:r>
            <w:r>
              <w:rPr>
                <w:rFonts w:ascii="仿宋_GB2312" w:eastAsia="仿宋_GB2312" w:hAnsiTheme="minorEastAsia" w:cstheme="minorEastAsia"/>
                <w:color w:val="auto"/>
                <w:szCs w:val="21"/>
                <w:highlight w:val="none"/>
              </w:rPr>
              <w:t>1</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气体连接管</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2</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空气过滤器</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3</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潜水通讯系统</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空气潜水电话</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4</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对讲机</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5</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检测设备</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气体检测仪</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6</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管道流速检测仪</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7</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尺子</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8</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通风换气设备</w:t>
            </w: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送风、排风风机</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9</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通风管</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20</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供电设备</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发电机</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21</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配电箱</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c>
          <w:tcPr>
            <w:tcW w:w="774"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其他施工设备</w:t>
            </w: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587" w:type="pct"/>
            <w:vAlign w:val="center"/>
          </w:tcPr>
          <w:p>
            <w:pPr>
              <w:jc w:val="center"/>
              <w:rPr>
                <w:rFonts w:hint="eastAsia" w:ascii="仿宋_GB2312" w:eastAsia="仿宋_GB2312" w:hAnsiTheme="minorEastAsia" w:cstheme="minorEastAsia"/>
                <w:color w:val="auto"/>
                <w:kern w:val="0"/>
                <w:szCs w:val="21"/>
                <w:highlight w:val="none"/>
              </w:rPr>
            </w:pPr>
          </w:p>
        </w:tc>
        <w:tc>
          <w:tcPr>
            <w:tcW w:w="814" w:type="pct"/>
            <w:vAlign w:val="center"/>
          </w:tcPr>
          <w:p>
            <w:pPr>
              <w:jc w:val="center"/>
              <w:rPr>
                <w:rFonts w:hint="eastAsia" w:ascii="仿宋_GB2312" w:eastAsia="仿宋_GB2312" w:hAnsiTheme="minorEastAsia" w:cstheme="minorEastAsia"/>
                <w:color w:val="auto"/>
                <w:kern w:val="0"/>
                <w:szCs w:val="21"/>
                <w:highlight w:val="none"/>
              </w:rPr>
            </w:pPr>
          </w:p>
        </w:tc>
        <w:tc>
          <w:tcPr>
            <w:tcW w:w="702" w:type="pct"/>
            <w:vAlign w:val="center"/>
          </w:tcPr>
          <w:p>
            <w:pPr>
              <w:jc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r>
    </w:tbl>
    <w:p>
      <w:pPr>
        <w:widowControl/>
        <w:jc w:val="left"/>
        <w:rPr>
          <w:color w:val="auto"/>
          <w:highlight w:val="none"/>
        </w:rPr>
      </w:pPr>
      <w:r>
        <w:rPr>
          <w:rFonts w:ascii="仿宋_GB2312" w:hAnsi="微软雅黑" w:eastAsia="仿宋_GB2312" w:cs="微软雅黑"/>
          <w:color w:val="auto"/>
          <w:szCs w:val="21"/>
          <w:highlight w:val="none"/>
        </w:rPr>
        <w:t>注</w:t>
      </w:r>
      <w:r>
        <w:rPr>
          <w:rFonts w:hint="eastAsia" w:ascii="仿宋_GB2312" w:hAnsi="微软雅黑" w:eastAsia="仿宋_GB2312" w:cs="微软雅黑"/>
          <w:color w:val="auto"/>
          <w:szCs w:val="21"/>
          <w:highlight w:val="none"/>
        </w:rPr>
        <w:t>：1</w:t>
      </w:r>
      <w:r>
        <w:rPr>
          <w:rFonts w:ascii="仿宋_GB2312" w:hAnsi="微软雅黑" w:eastAsia="仿宋_GB2312" w:cs="微软雅黑"/>
          <w:color w:val="auto"/>
          <w:szCs w:val="21"/>
          <w:highlight w:val="none"/>
        </w:rPr>
        <w:t>.供气设备必须采用双气源式</w:t>
      </w:r>
      <w:r>
        <w:rPr>
          <w:rFonts w:hint="eastAsia" w:ascii="仿宋_GB2312" w:hAnsi="微软雅黑" w:eastAsia="仿宋_GB2312" w:cs="微软雅黑"/>
          <w:color w:val="auto"/>
          <w:szCs w:val="21"/>
          <w:highlight w:val="none"/>
        </w:rPr>
        <w:t>，要求采用独立动力来源的双气源供气系统。</w:t>
      </w:r>
    </w:p>
    <w:p>
      <w:pPr>
        <w:pStyle w:val="7"/>
        <w:rPr>
          <w:rFonts w:hint="default" w:ascii="仿宋_GB2312" w:hAnsi="仿宋_GB2312" w:eastAsia="仿宋_GB2312" w:cs="仿宋_GB2312"/>
          <w:b w:val="0"/>
          <w:bCs/>
          <w:color w:val="auto"/>
          <w:sz w:val="28"/>
          <w:szCs w:val="28"/>
          <w:highlight w:val="none"/>
          <w:lang w:val="en-US" w:eastAsia="zh-CN"/>
        </w:rPr>
      </w:pPr>
      <w:r>
        <w:rPr>
          <w:rFonts w:hint="eastAsia" w:ascii="仿宋_GB2312" w:hAnsi="微软雅黑" w:eastAsia="仿宋_GB2312" w:cs="微软雅黑"/>
          <w:color w:val="auto"/>
          <w:szCs w:val="21"/>
          <w:highlight w:val="none"/>
        </w:rPr>
        <w:t>2</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如有其他设备物资，请在以上相应位置补充。</w:t>
      </w:r>
    </w:p>
    <w:p>
      <w:pPr>
        <w:pStyle w:val="7"/>
        <w:numPr>
          <w:ilvl w:val="-1"/>
          <w:numId w:val="0"/>
        </w:numPr>
        <w:ind w:firstLine="0"/>
        <w:rPr>
          <w:rFonts w:hint="eastAsia" w:ascii="宋体" w:hAnsi="宋体" w:cs="宋体"/>
          <w:b/>
          <w:bCs/>
          <w:color w:val="auto"/>
          <w:szCs w:val="21"/>
          <w:highlight w:val="none"/>
        </w:rPr>
      </w:pPr>
    </w:p>
    <w:p>
      <w:pPr>
        <w:pStyle w:val="7"/>
        <w:numPr>
          <w:ilvl w:val="-1"/>
          <w:numId w:val="0"/>
        </w:numPr>
        <w:ind w:firstLine="0"/>
        <w:rPr>
          <w:rFonts w:hint="eastAsia" w:ascii="宋体" w:hAnsi="宋体" w:cs="宋体"/>
          <w:b/>
          <w:bCs/>
          <w:color w:val="auto"/>
          <w:szCs w:val="21"/>
          <w:highlight w:val="none"/>
        </w:rPr>
      </w:pPr>
    </w:p>
    <w:p>
      <w:pPr>
        <w:pStyle w:val="7"/>
        <w:numPr>
          <w:ilvl w:val="-1"/>
          <w:numId w:val="0"/>
        </w:numPr>
        <w:ind w:firstLine="0"/>
        <w:rPr>
          <w:rFonts w:hint="eastAsia" w:ascii="宋体" w:hAnsi="宋体" w:cs="宋体"/>
          <w:b/>
          <w:bCs/>
          <w:color w:val="auto"/>
          <w:szCs w:val="21"/>
          <w:highlight w:val="none"/>
        </w:rPr>
      </w:pPr>
    </w:p>
    <w:p>
      <w:pPr>
        <w:widowControl/>
        <w:jc w:val="center"/>
        <w:rPr>
          <w:rFonts w:ascii="方正小标宋简体" w:hAnsi="微软雅黑" w:eastAsia="方正小标宋简体" w:cs="微软雅黑"/>
          <w:color w:val="auto"/>
          <w:sz w:val="32"/>
          <w:szCs w:val="32"/>
          <w:highlight w:val="none"/>
        </w:rPr>
      </w:pPr>
      <w:r>
        <w:rPr>
          <w:rFonts w:hint="eastAsia" w:ascii="方正小标宋简体" w:hAnsi="微软雅黑" w:eastAsia="方正小标宋简体" w:cs="微软雅黑"/>
          <w:color w:val="auto"/>
          <w:sz w:val="32"/>
          <w:szCs w:val="32"/>
          <w:highlight w:val="none"/>
        </w:rPr>
        <w:t>应急物资配置一览表</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14"/>
        <w:gridCol w:w="3298"/>
        <w:gridCol w:w="1079"/>
        <w:gridCol w:w="1420"/>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adjustRightInd w:val="0"/>
              <w:snapToGrid w:val="0"/>
              <w:ind w:right="-107" w:rightChars="-51"/>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序号</w:t>
            </w:r>
          </w:p>
        </w:tc>
        <w:tc>
          <w:tcPr>
            <w:tcW w:w="732"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类型</w:t>
            </w:r>
          </w:p>
        </w:tc>
        <w:tc>
          <w:tcPr>
            <w:tcW w:w="1827"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设备名称</w:t>
            </w:r>
          </w:p>
        </w:tc>
        <w:tc>
          <w:tcPr>
            <w:tcW w:w="602" w:type="pct"/>
            <w:vAlign w:val="center"/>
          </w:tcPr>
          <w:p>
            <w:pPr>
              <w:adjustRightInd w:val="0"/>
              <w:snapToGrid w:val="0"/>
              <w:ind w:right="-50" w:rightChars="-24"/>
              <w:jc w:val="cente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单位</w:t>
            </w:r>
          </w:p>
        </w:tc>
        <w:tc>
          <w:tcPr>
            <w:tcW w:w="790" w:type="pct"/>
            <w:vAlign w:val="center"/>
          </w:tcPr>
          <w:p>
            <w:pPr>
              <w:adjustRightInd w:val="0"/>
              <w:snapToGrid w:val="0"/>
              <w:ind w:right="-50" w:rightChars="-24"/>
              <w:jc w:val="cente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数量</w:t>
            </w:r>
          </w:p>
        </w:tc>
        <w:tc>
          <w:tcPr>
            <w:tcW w:w="727" w:type="pct"/>
            <w:vAlign w:val="center"/>
          </w:tcPr>
          <w:p>
            <w:pPr>
              <w:adjustRightInd w:val="0"/>
              <w:snapToGrid w:val="0"/>
              <w:ind w:right="-50" w:rightChars="-2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73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个人装具</w:t>
            </w: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潜水服</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安全背带、信号绳</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潜水鞋</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4</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压铅</w:t>
            </w:r>
          </w:p>
        </w:tc>
        <w:tc>
          <w:tcPr>
            <w:tcW w:w="602"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90"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2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5</w:t>
            </w:r>
          </w:p>
        </w:tc>
        <w:tc>
          <w:tcPr>
            <w:tcW w:w="73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供气设备</w:t>
            </w: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双气源供气系统</w:t>
            </w:r>
          </w:p>
        </w:tc>
        <w:tc>
          <w:tcPr>
            <w:tcW w:w="602" w:type="pct"/>
            <w:vAlign w:val="center"/>
          </w:tcPr>
          <w:p>
            <w:pPr>
              <w:jc w:val="center"/>
              <w:rPr>
                <w:rFonts w:ascii="仿宋_GB2312" w:eastAsia="仿宋_GB2312"/>
                <w:color w:val="auto"/>
                <w:szCs w:val="21"/>
                <w:highlight w:val="none"/>
              </w:rPr>
            </w:pPr>
          </w:p>
        </w:tc>
        <w:tc>
          <w:tcPr>
            <w:tcW w:w="790" w:type="pct"/>
            <w:vAlign w:val="center"/>
          </w:tcPr>
          <w:p>
            <w:pPr>
              <w:jc w:val="center"/>
              <w:rPr>
                <w:rFonts w:ascii="仿宋_GB2312" w:eastAsia="仿宋_GB2312"/>
                <w:color w:val="auto"/>
                <w:szCs w:val="21"/>
                <w:highlight w:val="none"/>
              </w:rPr>
            </w:pPr>
          </w:p>
        </w:tc>
        <w:tc>
          <w:tcPr>
            <w:tcW w:w="727"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适用于水下作业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6</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空气呼吸器</w:t>
            </w:r>
          </w:p>
        </w:tc>
        <w:tc>
          <w:tcPr>
            <w:tcW w:w="602" w:type="pct"/>
            <w:vAlign w:val="center"/>
          </w:tcPr>
          <w:p>
            <w:pPr>
              <w:jc w:val="center"/>
              <w:rPr>
                <w:rFonts w:ascii="仿宋_GB2312" w:eastAsia="仿宋_GB2312"/>
                <w:color w:val="auto"/>
                <w:szCs w:val="21"/>
                <w:highlight w:val="none"/>
              </w:rPr>
            </w:pPr>
          </w:p>
        </w:tc>
        <w:tc>
          <w:tcPr>
            <w:tcW w:w="790" w:type="pct"/>
            <w:vAlign w:val="center"/>
          </w:tcPr>
          <w:p>
            <w:pPr>
              <w:jc w:val="center"/>
              <w:rPr>
                <w:rFonts w:ascii="仿宋_GB2312" w:eastAsia="仿宋_GB2312"/>
                <w:color w:val="auto"/>
                <w:szCs w:val="21"/>
                <w:highlight w:val="none"/>
              </w:rPr>
            </w:pPr>
          </w:p>
        </w:tc>
        <w:tc>
          <w:tcPr>
            <w:tcW w:w="727"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适用于非水下作业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7</w:t>
            </w:r>
          </w:p>
        </w:tc>
        <w:tc>
          <w:tcPr>
            <w:tcW w:w="73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其他救援设备</w:t>
            </w: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三脚架、应急吊机</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8</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救护担架</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9</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救生衣、救生圈</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10</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急救箱</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c>
          <w:tcPr>
            <w:tcW w:w="732"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602"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p>
        </w:tc>
        <w:tc>
          <w:tcPr>
            <w:tcW w:w="790"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r>
    </w:tbl>
    <w:p>
      <w:pPr>
        <w:widowControl/>
        <w:jc w:val="left"/>
        <w:rPr>
          <w:color w:val="auto"/>
          <w:highlight w:val="none"/>
        </w:rPr>
      </w:pPr>
      <w:r>
        <w:rPr>
          <w:rFonts w:ascii="仿宋_GB2312" w:hAnsi="微软雅黑" w:eastAsia="仿宋_GB2312" w:cs="微软雅黑"/>
          <w:color w:val="auto"/>
          <w:szCs w:val="21"/>
          <w:highlight w:val="none"/>
        </w:rPr>
        <w:t>注</w:t>
      </w:r>
      <w:r>
        <w:rPr>
          <w:rFonts w:hint="eastAsia" w:ascii="仿宋_GB2312" w:hAnsi="微软雅黑" w:eastAsia="仿宋_GB2312" w:cs="微软雅黑"/>
          <w:color w:val="auto"/>
          <w:szCs w:val="21"/>
          <w:highlight w:val="none"/>
        </w:rPr>
        <w:t>：1</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应急物资必须有第二套可供同时使用潜水供气设备。</w:t>
      </w:r>
    </w:p>
    <w:p>
      <w:pPr>
        <w:pStyle w:val="7"/>
        <w:numPr>
          <w:ilvl w:val="-1"/>
          <w:numId w:val="0"/>
        </w:numPr>
        <w:ind w:firstLine="0"/>
        <w:rPr>
          <w:rFonts w:hint="eastAsia" w:ascii="宋体" w:hAnsi="宋体" w:cs="宋体"/>
          <w:b/>
          <w:bCs/>
          <w:color w:val="auto"/>
          <w:szCs w:val="21"/>
          <w:highlight w:val="none"/>
        </w:rPr>
      </w:pPr>
      <w:r>
        <w:rPr>
          <w:rFonts w:hint="eastAsia" w:ascii="仿宋_GB2312" w:hAnsi="微软雅黑" w:eastAsia="仿宋_GB2312" w:cs="微软雅黑"/>
          <w:color w:val="auto"/>
          <w:szCs w:val="21"/>
          <w:highlight w:val="none"/>
        </w:rPr>
        <w:t>2</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如有其他应急物资，请在以上相应位置补充。</w:t>
      </w:r>
    </w:p>
    <w:p>
      <w:pPr>
        <w:pStyle w:val="7"/>
        <w:numPr>
          <w:ilvl w:val="-1"/>
          <w:numId w:val="0"/>
        </w:numPr>
        <w:ind w:firstLine="0"/>
        <w:rPr>
          <w:rFonts w:hint="eastAsia" w:ascii="宋体" w:hAnsi="宋体" w:cs="宋体"/>
          <w:b/>
          <w:bCs/>
          <w:color w:val="auto"/>
          <w:szCs w:val="21"/>
          <w:highlight w:val="none"/>
        </w:rPr>
      </w:pPr>
    </w:p>
    <w:p>
      <w:pPr>
        <w:numPr>
          <w:ilvl w:val="-1"/>
          <w:numId w:val="0"/>
        </w:numPr>
        <w:overflowPunct w:val="0"/>
        <w:autoSpaceDE/>
        <w:autoSpaceDN/>
        <w:spacing w:line="360" w:lineRule="auto"/>
        <w:ind w:firstLine="0" w:firstLineChars="0"/>
        <w:jc w:val="left"/>
        <w:rPr>
          <w:rFonts w:hint="eastAsia" w:ascii="仿宋_GB2312" w:hAnsi="仿宋_GB2312" w:eastAsia="仿宋_GB2312" w:cs="仿宋_GB2312"/>
          <w:b/>
          <w:bCs/>
          <w:color w:val="auto"/>
          <w:sz w:val="28"/>
          <w:szCs w:val="28"/>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7：法定节假日备勤人员清单</w:t>
      </w:r>
    </w:p>
    <w:tbl>
      <w:tblPr>
        <w:tblStyle w:val="23"/>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091"/>
        <w:gridCol w:w="2931"/>
        <w:gridCol w:w="1573"/>
        <w:gridCol w:w="1573"/>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5" w:type="dxa"/>
            <w:noWrap w:val="0"/>
            <w:vAlign w:val="center"/>
          </w:tcPr>
          <w:p>
            <w:pPr>
              <w:jc w:val="center"/>
              <w:rPr>
                <w:rFonts w:hint="eastAsia" w:ascii="仿宋_GB2312" w:hAnsi="仿宋_GB2312" w:eastAsia="仿宋_GB2312" w:cs="仿宋_GB2312"/>
                <w:b/>
                <w:bCs/>
                <w:color w:val="auto"/>
                <w:highlight w:val="none"/>
                <w:vertAlign w:val="baseline"/>
                <w:lang w:val="en-US" w:eastAsia="zh-CN"/>
              </w:rPr>
            </w:pPr>
            <w:r>
              <w:rPr>
                <w:rFonts w:hint="eastAsia" w:ascii="仿宋_GB2312" w:hAnsi="仿宋_GB2312" w:eastAsia="仿宋_GB2312" w:cs="仿宋_GB2312"/>
                <w:b/>
                <w:bCs/>
                <w:color w:val="auto"/>
                <w:highlight w:val="none"/>
                <w:vertAlign w:val="baseline"/>
                <w:lang w:val="en-US" w:eastAsia="zh-CN"/>
              </w:rPr>
              <w:t>序号</w:t>
            </w:r>
          </w:p>
        </w:tc>
        <w:tc>
          <w:tcPr>
            <w:tcW w:w="1091" w:type="dxa"/>
            <w:noWrap w:val="0"/>
            <w:vAlign w:val="center"/>
          </w:tcPr>
          <w:p>
            <w:pPr>
              <w:jc w:val="center"/>
              <w:rPr>
                <w:rFonts w:hint="eastAsia" w:ascii="仿宋_GB2312" w:hAnsi="仿宋_GB2312" w:eastAsia="仿宋_GB2312" w:cs="仿宋_GB2312"/>
                <w:b/>
                <w:bCs/>
                <w:color w:val="auto"/>
                <w:highlight w:val="none"/>
                <w:vertAlign w:val="baseline"/>
                <w:lang w:val="en-US" w:eastAsia="zh-CN"/>
              </w:rPr>
            </w:pPr>
            <w:r>
              <w:rPr>
                <w:rFonts w:hint="eastAsia" w:ascii="仿宋_GB2312" w:hAnsi="仿宋_GB2312" w:eastAsia="仿宋_GB2312" w:cs="仿宋_GB2312"/>
                <w:b/>
                <w:bCs/>
                <w:color w:val="auto"/>
                <w:highlight w:val="none"/>
                <w:vertAlign w:val="baseline"/>
                <w:lang w:val="en-US" w:eastAsia="zh-CN"/>
              </w:rPr>
              <w:t>人员姓名</w:t>
            </w:r>
          </w:p>
        </w:tc>
        <w:tc>
          <w:tcPr>
            <w:tcW w:w="2931" w:type="dxa"/>
            <w:noWrap w:val="0"/>
            <w:vAlign w:val="center"/>
          </w:tcPr>
          <w:p>
            <w:pPr>
              <w:jc w:val="center"/>
              <w:rPr>
                <w:rFonts w:hint="eastAsia" w:ascii="仿宋_GB2312" w:hAnsi="仿宋_GB2312" w:eastAsia="仿宋_GB2312" w:cs="仿宋_GB2312"/>
                <w:b/>
                <w:bCs/>
                <w:color w:val="auto"/>
                <w:highlight w:val="none"/>
                <w:vertAlign w:val="baseline"/>
                <w:lang w:val="en-US" w:eastAsia="zh-CN"/>
              </w:rPr>
            </w:pPr>
            <w:r>
              <w:rPr>
                <w:rFonts w:hint="eastAsia" w:ascii="仿宋_GB2312" w:hAnsi="仿宋_GB2312" w:eastAsia="仿宋_GB2312" w:cs="仿宋_GB2312"/>
                <w:b/>
                <w:bCs/>
                <w:color w:val="auto"/>
                <w:highlight w:val="none"/>
                <w:vertAlign w:val="baseline"/>
                <w:lang w:val="en-US" w:eastAsia="zh-CN"/>
              </w:rPr>
              <w:t>身份证号码</w:t>
            </w:r>
          </w:p>
        </w:tc>
        <w:tc>
          <w:tcPr>
            <w:tcW w:w="1573" w:type="dxa"/>
            <w:noWrap w:val="0"/>
            <w:vAlign w:val="center"/>
          </w:tcPr>
          <w:p>
            <w:pPr>
              <w:jc w:val="center"/>
              <w:rPr>
                <w:rFonts w:hint="eastAsia" w:ascii="仿宋_GB2312" w:hAnsi="仿宋_GB2312" w:eastAsia="仿宋_GB2312" w:cs="仿宋_GB2312"/>
                <w:b/>
                <w:bCs/>
                <w:color w:val="auto"/>
                <w:highlight w:val="none"/>
                <w:vertAlign w:val="baseline"/>
                <w:lang w:val="en-US" w:eastAsia="zh-CN"/>
              </w:rPr>
            </w:pPr>
            <w:r>
              <w:rPr>
                <w:rFonts w:hint="eastAsia" w:ascii="仿宋_GB2312" w:hAnsi="仿宋_GB2312" w:eastAsia="仿宋_GB2312" w:cs="仿宋_GB2312"/>
                <w:b/>
                <w:bCs/>
                <w:color w:val="auto"/>
                <w:highlight w:val="none"/>
                <w:vertAlign w:val="baseline"/>
                <w:lang w:val="en-US" w:eastAsia="zh-CN"/>
              </w:rPr>
              <w:t>联系方式</w:t>
            </w:r>
          </w:p>
        </w:tc>
        <w:tc>
          <w:tcPr>
            <w:tcW w:w="1573" w:type="dxa"/>
            <w:noWrap w:val="0"/>
            <w:vAlign w:val="center"/>
          </w:tcPr>
          <w:p>
            <w:pPr>
              <w:jc w:val="center"/>
              <w:rPr>
                <w:rFonts w:hint="eastAsia" w:ascii="仿宋_GB2312" w:hAnsi="仿宋_GB2312" w:eastAsia="仿宋_GB2312" w:cs="仿宋_GB2312"/>
                <w:b/>
                <w:bCs/>
                <w:color w:val="auto"/>
                <w:highlight w:val="none"/>
                <w:vertAlign w:val="baseline"/>
                <w:lang w:val="en-US" w:eastAsia="zh-CN"/>
              </w:rPr>
            </w:pPr>
            <w:r>
              <w:rPr>
                <w:rFonts w:hint="eastAsia" w:ascii="仿宋_GB2312" w:hAnsi="仿宋_GB2312" w:eastAsia="仿宋_GB2312" w:cs="仿宋_GB2312"/>
                <w:b/>
                <w:bCs/>
                <w:color w:val="auto"/>
                <w:highlight w:val="none"/>
                <w:vertAlign w:val="baseline"/>
                <w:lang w:val="en-US" w:eastAsia="zh-CN"/>
              </w:rPr>
              <w:t>特种作业资格</w:t>
            </w:r>
          </w:p>
        </w:tc>
        <w:tc>
          <w:tcPr>
            <w:tcW w:w="1573" w:type="dxa"/>
            <w:noWrap w:val="0"/>
            <w:vAlign w:val="center"/>
          </w:tcPr>
          <w:p>
            <w:pPr>
              <w:jc w:val="center"/>
              <w:rPr>
                <w:rFonts w:hint="eastAsia" w:ascii="仿宋_GB2312" w:hAnsi="仿宋_GB2312" w:eastAsia="仿宋_GB2312" w:cs="仿宋_GB2312"/>
                <w:b/>
                <w:bCs/>
                <w:color w:val="auto"/>
                <w:highlight w:val="none"/>
                <w:vertAlign w:val="baseline"/>
                <w:lang w:val="en-US" w:eastAsia="zh-CN"/>
              </w:rPr>
            </w:pPr>
            <w:r>
              <w:rPr>
                <w:rFonts w:hint="eastAsia" w:ascii="仿宋_GB2312" w:hAnsi="仿宋_GB2312" w:eastAsia="仿宋_GB2312" w:cs="仿宋_GB2312"/>
                <w:b/>
                <w:bCs/>
                <w:color w:val="auto"/>
                <w:highlight w:val="none"/>
                <w:vertAlign w:val="baseline"/>
                <w:lang w:val="en-US" w:eastAsia="zh-CN"/>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5"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1</w:t>
            </w:r>
          </w:p>
        </w:tc>
        <w:tc>
          <w:tcPr>
            <w:tcW w:w="1091"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2931"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5"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2</w:t>
            </w:r>
          </w:p>
        </w:tc>
        <w:tc>
          <w:tcPr>
            <w:tcW w:w="1091"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2931"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5"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3</w:t>
            </w:r>
          </w:p>
        </w:tc>
        <w:tc>
          <w:tcPr>
            <w:tcW w:w="1091"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2931"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5"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4</w:t>
            </w:r>
          </w:p>
        </w:tc>
        <w:tc>
          <w:tcPr>
            <w:tcW w:w="1091"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2931"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5"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5</w:t>
            </w:r>
          </w:p>
        </w:tc>
        <w:tc>
          <w:tcPr>
            <w:tcW w:w="1091"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2931"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95"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lang w:val="en-US" w:eastAsia="zh-CN"/>
              </w:rPr>
            </w:pPr>
            <w:r>
              <w:rPr>
                <w:rFonts w:hint="eastAsia" w:ascii="仿宋_GB2312" w:hAnsi="仿宋_GB2312" w:eastAsia="仿宋_GB2312" w:cs="仿宋_GB2312"/>
                <w:color w:val="auto"/>
                <w:highlight w:val="none"/>
                <w:vertAlign w:val="baseline"/>
                <w:lang w:val="en-US" w:eastAsia="zh-CN"/>
              </w:rPr>
              <w:t>6</w:t>
            </w:r>
          </w:p>
        </w:tc>
        <w:tc>
          <w:tcPr>
            <w:tcW w:w="1091"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2931"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c>
          <w:tcPr>
            <w:tcW w:w="1573" w:type="dxa"/>
            <w:noWrap w:val="0"/>
            <w:vAlign w:val="center"/>
          </w:tcPr>
          <w:p>
            <w:pPr>
              <w:keepNext w:val="0"/>
              <w:keepLines w:val="0"/>
              <w:widowControl/>
              <w:suppressLineNumbers w:val="0"/>
              <w:jc w:val="center"/>
              <w:textAlignment w:val="top"/>
              <w:rPr>
                <w:rFonts w:hint="eastAsia" w:ascii="仿宋_GB2312" w:hAnsi="仿宋_GB2312" w:eastAsia="仿宋_GB2312" w:cs="仿宋_GB2312"/>
                <w:color w:val="auto"/>
                <w:highlight w:val="none"/>
                <w:vertAlign w:val="baseline"/>
              </w:rPr>
            </w:pPr>
          </w:p>
        </w:tc>
      </w:tr>
    </w:tbl>
    <w:p>
      <w:pPr>
        <w:pStyle w:val="7"/>
        <w:rPr>
          <w:rFonts w:hint="eastAsia"/>
          <w:color w:val="auto"/>
          <w:highlight w:val="none"/>
        </w:rPr>
      </w:pPr>
    </w:p>
    <w:p>
      <w:pPr>
        <w:pStyle w:val="46"/>
        <w:jc w:val="center"/>
        <w:rPr>
          <w:rFonts w:ascii="仿宋_GB2312" w:hAnsi="仿宋_GB2312" w:cs="仿宋_GB2312"/>
          <w:b/>
          <w:color w:val="auto"/>
          <w:kern w:val="2"/>
          <w:sz w:val="28"/>
          <w:szCs w:val="28"/>
          <w:highlight w:val="none"/>
        </w:rPr>
      </w:pPr>
    </w:p>
    <w:p>
      <w:pPr>
        <w:spacing w:line="360" w:lineRule="auto"/>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2"/>
        <w:rPr>
          <w:rFonts w:hint="eastAsia" w:ascii="宋体" w:hAnsi="宋体" w:cs="宋体"/>
          <w:b/>
          <w:bCs/>
          <w:color w:val="auto"/>
          <w:sz w:val="24"/>
          <w:szCs w:val="24"/>
          <w:highlight w:val="none"/>
        </w:rPr>
      </w:pPr>
    </w:p>
    <w:p>
      <w:pPr>
        <w:pStyle w:val="10"/>
        <w:rPr>
          <w:rFonts w:ascii="宋体" w:hAnsi="宋体" w:cs="宋体"/>
          <w:bCs/>
          <w:color w:val="auto"/>
          <w:sz w:val="24"/>
          <w:szCs w:val="24"/>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 xml:space="preserve"> ：不诚信行为的情形及相应被暂停参与投标活动的处理标准</w:t>
      </w:r>
    </w:p>
    <w:p>
      <w:pPr>
        <w:pStyle w:val="46"/>
        <w:rPr>
          <w:rFonts w:hAnsi="宋体" w:eastAsia="宋体"/>
          <w:color w:val="auto"/>
          <w:szCs w:val="21"/>
          <w:highlight w:val="none"/>
        </w:rPr>
      </w:pPr>
    </w:p>
    <w:p>
      <w:pPr>
        <w:adjustRightInd w:val="0"/>
        <w:snapToGrid w:val="0"/>
        <w:rPr>
          <w:rFonts w:ascii="宋体" w:hAnsi="宋体" w:cs="宋体"/>
          <w:color w:val="auto"/>
          <w:sz w:val="24"/>
          <w:highlight w:val="none"/>
        </w:rPr>
      </w:pPr>
    </w:p>
    <w:p>
      <w:pPr>
        <w:adjustRightInd w:val="0"/>
        <w:snapToGrid w:val="0"/>
        <w:rPr>
          <w:rFonts w:ascii="宋体" w:hAnsi="宋体" w:cs="宋体"/>
          <w:color w:val="auto"/>
          <w:sz w:val="24"/>
          <w:highlight w:val="none"/>
        </w:rPr>
      </w:pPr>
    </w:p>
    <w:p>
      <w:pPr>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不诚信行为的情形及相应被暂停参与投标活动的处理标准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
        <w:gridCol w:w="471"/>
        <w:gridCol w:w="5028"/>
        <w:gridCol w:w="576"/>
        <w:gridCol w:w="1969"/>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不诚信行为的情形</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处理</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期限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情节严重或拒不改正的延长处理期限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安全不诚信行为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（一）建设生产现场发生人员重伤或死亡的。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发生重伤或死亡1～2人的，暂停投标1年至2年（含）。</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发生重伤或死亡3～9人的，暂停投标2年以上至4年。</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发生重伤10人以上（含）、或重大及以上事故的，暂停投标4年或以上。</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视情况暂停投标1至2年。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（三）根据《广州市净水有限公司工程项目承包单位考评细则》安全管理未达标且符合限制投标处罚标准的。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质量不诚信行为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（一）由于质量问题对建设项目的使用功能造成影响且无法挽回的。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（二）根据《广州市净水有限公司工程项目承包单位考评细则》质量管理未达标且符合限制投标处罚标准的。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暂停投标1年。若至下一个自然年度项目尚未完结，仍出现该款情形的，继续暂停投标1年；同理执行至工程建设项目完工验收完成。</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（三）发生其他由质量问题而引起的重大社会负面影响事件的。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其他不诚信</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行为</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（一）投标、询价过程弄虚作假、串通报价投标、任意弃标</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（二）发生质量事故或安全事故造成社会负面影响需要面对媒体和进行危机公关，参建企业法定代表人在规定的时间内未到现场面对媒体进行危机公关的。</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（三）因参建企业原因造成信访、维稳事件，造成较大社会影响。</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（四）中标后转包工程、非法分包工程、非法转让业务的。</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（五）因人员、机械投入及配套服务投入不足，主要管理人员未按照投标文件响应到位，导致严重影响工期，被市水投集团相关部门及发包人督办、警告和约谈3次的。</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（六）未经批准擅自更换项目经理的。</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（七）严重违反合同约定的，具体包括但不限于以下行为：</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1.提供或使用假冒伪劣或以次充好产品、不符合国家规范规定材料的。</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2.工程竣工验收后，不出具质量保修书的，或质量保修的内容、期限违反规定的。</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3.不履行保修义务或者拖延履行保修义务的。</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6个月</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4.其他经认定为严重违反合同规定的。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（八）违反廉洁协议约定的。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（九）拖欠农民工工资，造成不良后果的。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（十）为谋取非法利益，给市水投集团或发包人造成损失的。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（十一）因参建企业原因造成第三者财产重大损失的。</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（十二）经发包人认定的其他不诚信行为。</w:t>
            </w:r>
          </w:p>
        </w:tc>
        <w:tc>
          <w:tcPr>
            <w:tcW w:w="0" w:type="auto"/>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视情况暂停投标6个月至2年。</w:t>
            </w:r>
          </w:p>
        </w:tc>
        <w:tc>
          <w:tcPr>
            <w:tcW w:w="0" w:type="auto"/>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auto"/>
                <w:szCs w:val="21"/>
                <w:highlight w:val="none"/>
              </w:rPr>
            </w:pPr>
          </w:p>
        </w:tc>
      </w:tr>
    </w:tbl>
    <w:p>
      <w:pPr>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备注：本处理标准出自《广州市净水有限公司经营建设项目参建企业不诚信行为管理办法》。</w:t>
      </w:r>
    </w:p>
    <w:p>
      <w:pPr>
        <w:pStyle w:val="2"/>
        <w:rPr>
          <w:rFonts w:hint="eastAsia" w:ascii="宋体" w:hAnsi="宋体" w:cs="仿宋_GB2312"/>
          <w:color w:val="auto"/>
          <w:sz w:val="24"/>
          <w:highlight w:val="none"/>
        </w:rPr>
      </w:pPr>
    </w:p>
    <w:p>
      <w:pPr>
        <w:pStyle w:val="2"/>
        <w:rPr>
          <w:rFonts w:hint="eastAsia" w:ascii="宋体" w:hAnsi="宋体" w:cs="仿宋_GB2312"/>
          <w:color w:val="auto"/>
          <w:sz w:val="24"/>
          <w:highlight w:val="none"/>
        </w:rPr>
      </w:pPr>
    </w:p>
    <w:p>
      <w:pPr>
        <w:pStyle w:val="2"/>
        <w:rPr>
          <w:rFonts w:hint="eastAsia" w:ascii="宋体" w:hAnsi="宋体" w:cs="仿宋_GB2312"/>
          <w:color w:val="auto"/>
          <w:sz w:val="24"/>
          <w:highlight w:val="none"/>
        </w:rPr>
      </w:pPr>
    </w:p>
    <w:p>
      <w:pPr>
        <w:pStyle w:val="2"/>
        <w:rPr>
          <w:rFonts w:hint="eastAsia" w:ascii="宋体" w:hAnsi="宋体" w:cs="仿宋_GB2312"/>
          <w:color w:val="auto"/>
          <w:sz w:val="24"/>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 xml:space="preserve"> ：</w:t>
      </w:r>
    </w:p>
    <w:tbl>
      <w:tblPr>
        <w:tblStyle w:val="22"/>
        <w:tblpPr w:leftFromText="180" w:rightFromText="180" w:vertAnchor="text" w:horzAnchor="page" w:tblpX="1200" w:tblpY="721"/>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rFonts w:hint="default" w:eastAsia="仿宋_GB2312"/>
                <w:color w:val="auto"/>
                <w:highlight w:val="none"/>
                <w:lang w:val="en-US" w:eastAsia="zh-CN"/>
              </w:rPr>
            </w:pPr>
          </w:p>
        </w:tc>
      </w:tr>
    </w:tbl>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eastAsia"/>
          <w:color w:val="auto"/>
          <w:highlight w:val="none"/>
          <w:lang w:val="en-US" w:eastAsia="zh-CN"/>
        </w:rPr>
      </w:pPr>
    </w:p>
    <w:p>
      <w:pPr>
        <w:jc w:val="left"/>
        <w:rPr>
          <w:rFonts w:hint="default" w:eastAsia="宋体"/>
          <w:color w:val="auto"/>
          <w:highlight w:val="none"/>
          <w:lang w:val="en-US" w:eastAsia="zh-CN"/>
        </w:rPr>
      </w:pPr>
      <w:r>
        <w:rPr>
          <w:rFonts w:hint="eastAsia"/>
          <w:color w:val="auto"/>
          <w:highlight w:val="none"/>
          <w:lang w:val="en-US" w:eastAsia="zh-CN"/>
        </w:rPr>
        <w:t>附件9</w:t>
      </w:r>
    </w:p>
    <w:p>
      <w:pPr>
        <w:pStyle w:val="2"/>
        <w:ind w:left="0" w:leftChars="0" w:firstLine="0" w:firstLineChars="0"/>
        <w:rPr>
          <w:rFonts w:ascii="宋体" w:hAnsi="宋体" w:cs="宋体"/>
          <w:b/>
          <w:bCs/>
          <w:color w:val="auto"/>
          <w:sz w:val="24"/>
          <w:szCs w:val="24"/>
          <w:highlight w:val="none"/>
        </w:rPr>
      </w:pPr>
    </w:p>
    <w:p>
      <w:pPr>
        <w:pStyle w:val="2"/>
        <w:ind w:left="0" w:leftChars="0" w:firstLine="0" w:firstLineChars="0"/>
        <w:rPr>
          <w:rFonts w:ascii="宋体" w:hAnsi="宋体" w:cs="宋体"/>
          <w:b/>
          <w:bCs/>
          <w:color w:val="auto"/>
          <w:sz w:val="24"/>
          <w:szCs w:val="24"/>
          <w:highlight w:val="none"/>
        </w:rPr>
      </w:pPr>
    </w:p>
    <w:tbl>
      <w:tblPr>
        <w:tblStyle w:val="22"/>
        <w:tblW w:w="0" w:type="auto"/>
        <w:jc w:val="center"/>
        <w:tblLayout w:type="autofit"/>
        <w:tblCellMar>
          <w:top w:w="0" w:type="dxa"/>
          <w:left w:w="0" w:type="dxa"/>
          <w:bottom w:w="0" w:type="dxa"/>
          <w:right w:w="0" w:type="dxa"/>
        </w:tblCellMar>
      </w:tblPr>
      <w:tblGrid>
        <w:gridCol w:w="344"/>
        <w:gridCol w:w="912"/>
        <w:gridCol w:w="300"/>
        <w:gridCol w:w="2481"/>
        <w:gridCol w:w="950"/>
        <w:gridCol w:w="834"/>
        <w:gridCol w:w="738"/>
        <w:gridCol w:w="834"/>
        <w:gridCol w:w="834"/>
        <w:gridCol w:w="641"/>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 xml:space="preserve"> ：</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0" w:type="auto"/>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color w:val="auto"/>
                <w:highlight w:val="none"/>
              </w:rPr>
            </w:pPr>
          </w:p>
        </w:tc>
      </w:tr>
    </w:tbl>
    <w:p>
      <w:pPr>
        <w:pStyle w:val="2"/>
        <w:ind w:left="0" w:leftChars="0" w:firstLine="0" w:firstLineChars="0"/>
        <w:rPr>
          <w:color w:val="auto"/>
          <w:highlight w:val="none"/>
        </w:rPr>
      </w:pPr>
    </w:p>
    <w:p>
      <w:pPr>
        <w:numPr>
          <w:ilvl w:val="-1"/>
          <w:numId w:val="0"/>
        </w:numPr>
        <w:overflowPunct w:val="0"/>
        <w:autoSpaceDE/>
        <w:autoSpaceDN/>
        <w:spacing w:line="360" w:lineRule="auto"/>
        <w:ind w:firstLine="422" w:firstLineChars="200"/>
        <w:jc w:val="left"/>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11：应急响应承诺函</w:t>
      </w:r>
    </w:p>
    <w:p>
      <w:pPr>
        <w:pStyle w:val="46"/>
        <w:jc w:val="center"/>
        <w:rPr>
          <w:rFonts w:ascii="仿宋_GB2312" w:hAnsi="仿宋_GB2312" w:cs="仿宋_GB2312"/>
          <w:b/>
          <w:color w:val="auto"/>
          <w:kern w:val="2"/>
          <w:sz w:val="28"/>
          <w:szCs w:val="28"/>
          <w:highlight w:val="none"/>
        </w:rPr>
      </w:pPr>
    </w:p>
    <w:p>
      <w:pPr>
        <w:spacing w:line="5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应急响应承诺</w:t>
      </w:r>
      <w:r>
        <w:rPr>
          <w:rFonts w:hint="eastAsia" w:ascii="仿宋" w:hAnsi="仿宋" w:eastAsia="仿宋" w:cs="仿宋"/>
          <w:b/>
          <w:color w:val="auto"/>
          <w:sz w:val="28"/>
          <w:szCs w:val="28"/>
          <w:highlight w:val="none"/>
        </w:rPr>
        <w:t>函</w:t>
      </w:r>
    </w:p>
    <w:p>
      <w:pPr>
        <w:pStyle w:val="49"/>
        <w:adjustRightInd w:val="0"/>
        <w:spacing w:line="500" w:lineRule="exact"/>
        <w:ind w:right="-1" w:firstLine="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 xml:space="preserve">（项目实施单位） </w:t>
      </w:r>
    </w:p>
    <w:p>
      <w:pPr>
        <w:overflowPunct w:val="0"/>
        <w:spacing w:line="360" w:lineRule="auto"/>
        <w:ind w:firstLine="560" w:firstLineChars="200"/>
        <w:rPr>
          <w:rFonts w:hint="eastAsia" w:ascii="仿宋" w:hAnsi="仿宋" w:eastAsia="仿宋" w:cs="仿宋"/>
          <w:color w:val="auto"/>
          <w:kern w:val="0"/>
          <w:sz w:val="28"/>
          <w:szCs w:val="28"/>
          <w:highlight w:val="none"/>
          <w:lang w:val="en-US" w:eastAsia="zh-CN"/>
        </w:rPr>
      </w:pP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 w:hAnsi="仿宋" w:eastAsia="仿宋" w:cs="仿宋"/>
          <w:color w:val="auto"/>
          <w:kern w:val="0"/>
          <w:sz w:val="28"/>
          <w:szCs w:val="28"/>
          <w:highlight w:val="none"/>
          <w:lang w:val="en-US" w:eastAsia="zh-CN"/>
        </w:rPr>
        <w:t>针对</w:t>
      </w:r>
      <w:r>
        <w:rPr>
          <w:rFonts w:hint="eastAsia" w:ascii="仿宋" w:hAnsi="仿宋" w:eastAsia="仿宋" w:cs="仿宋"/>
          <w:color w:val="auto"/>
          <w:sz w:val="28"/>
          <w:szCs w:val="28"/>
          <w:highlight w:val="none"/>
        </w:rPr>
        <w:t>项目编号为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val="en-US" w:eastAsia="zh-CN"/>
        </w:rPr>
        <w:t>项目，现</w:t>
      </w:r>
      <w:r>
        <w:rPr>
          <w:rFonts w:hint="eastAsia" w:ascii="仿宋" w:hAnsi="仿宋" w:eastAsia="仿宋" w:cs="仿宋"/>
          <w:color w:val="auto"/>
          <w:sz w:val="28"/>
          <w:szCs w:val="28"/>
          <w:highlight w:val="none"/>
        </w:rPr>
        <w:t>我方承诺：</w:t>
      </w:r>
      <w:r>
        <w:rPr>
          <w:rFonts w:hint="eastAsia" w:ascii="仿宋_GB2312" w:hAnsi="仿宋_GB2312" w:eastAsia="仿宋_GB2312" w:cs="仿宋_GB2312"/>
          <w:b w:val="0"/>
          <w:bCs/>
          <w:color w:val="auto"/>
          <w:sz w:val="28"/>
          <w:szCs w:val="28"/>
          <w:highlight w:val="none"/>
          <w:lang w:val="en-US" w:eastAsia="zh-CN"/>
        </w:rPr>
        <w:t>我方应急抢修小组人员，确保24小时手机通讯通畅，收到甲方的应急抢修通知，机具</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小时内到达抢修现场，抢修人员</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小时内到达现场，与甲方确认维修方案，签订现场方案确认单，立即实施维修工作。</w:t>
      </w:r>
    </w:p>
    <w:p>
      <w:pPr>
        <w:pStyle w:val="50"/>
        <w:spacing w:line="500" w:lineRule="exact"/>
        <w:ind w:left="-540" w:leftChars="-257" w:firstLine="496"/>
        <w:rPr>
          <w:rFonts w:hint="eastAsia" w:ascii="仿宋" w:hAnsi="仿宋" w:eastAsia="仿宋" w:cs="仿宋"/>
          <w:color w:val="auto"/>
          <w:sz w:val="28"/>
          <w:szCs w:val="28"/>
          <w:highlight w:val="none"/>
        </w:rPr>
      </w:pPr>
    </w:p>
    <w:p>
      <w:pPr>
        <w:pStyle w:val="50"/>
        <w:spacing w:line="500" w:lineRule="exact"/>
        <w:ind w:firstLine="496"/>
        <w:rPr>
          <w:rFonts w:hint="eastAsia" w:ascii="仿宋" w:hAnsi="仿宋" w:eastAsia="仿宋" w:cs="仿宋"/>
          <w:color w:val="auto"/>
          <w:sz w:val="28"/>
          <w:szCs w:val="28"/>
          <w:highlight w:val="none"/>
        </w:rPr>
      </w:pPr>
    </w:p>
    <w:p>
      <w:pPr>
        <w:pStyle w:val="50"/>
        <w:spacing w:line="500" w:lineRule="exact"/>
        <w:ind w:firstLine="496"/>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承包</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：(盖公章)</w:t>
      </w:r>
      <w:r>
        <w:rPr>
          <w:rFonts w:hint="eastAsia" w:ascii="仿宋" w:hAnsi="仿宋" w:eastAsia="仿宋" w:cs="仿宋"/>
          <w:color w:val="auto"/>
          <w:sz w:val="28"/>
          <w:szCs w:val="28"/>
          <w:highlight w:val="none"/>
          <w:u w:val="single"/>
        </w:rPr>
        <w:t xml:space="preserve">                                   </w:t>
      </w:r>
    </w:p>
    <w:p>
      <w:pPr>
        <w:pStyle w:val="46"/>
        <w:jc w:val="both"/>
        <w:rPr>
          <w:rFonts w:hint="eastAsia" w:ascii="宋体" w:hAnsi="宋体" w:eastAsia="宋体" w:cs="宋体"/>
          <w:b/>
          <w:color w:val="auto"/>
          <w:kern w:val="2"/>
          <w:sz w:val="28"/>
          <w:szCs w:val="28"/>
          <w:highlight w:val="none"/>
        </w:rPr>
      </w:pPr>
      <w:r>
        <w:rPr>
          <w:rFonts w:hint="eastAsia" w:ascii="仿宋" w:hAnsi="仿宋" w:eastAsia="仿宋" w:cs="仿宋"/>
          <w:snapToGrid w:val="0"/>
          <w:color w:val="auto"/>
          <w:spacing w:val="4"/>
          <w:kern w:val="0"/>
          <w:sz w:val="28"/>
          <w:szCs w:val="28"/>
          <w:highlight w:val="none"/>
        </w:rPr>
        <w:t xml:space="preserve">日    期：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 xml:space="preserve">年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 xml:space="preserve">月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 xml:space="preserve">日 </w:t>
      </w:r>
      <w:r>
        <w:rPr>
          <w:rFonts w:hint="eastAsia" w:ascii="宋体" w:hAnsi="宋体" w:eastAsia="宋体" w:cs="宋体"/>
          <w:snapToGrid w:val="0"/>
          <w:color w:val="auto"/>
          <w:spacing w:val="4"/>
          <w:kern w:val="0"/>
          <w:sz w:val="28"/>
          <w:szCs w:val="28"/>
          <w:highlight w:val="none"/>
        </w:rPr>
        <w:t xml:space="preserve">   </w:t>
      </w:r>
    </w:p>
    <w:p>
      <w:pPr>
        <w:pStyle w:val="46"/>
        <w:rPr>
          <w:rFonts w:hint="eastAsia" w:ascii="宋体" w:hAnsi="宋体" w:eastAsia="宋体" w:cs="宋体"/>
          <w:color w:val="auto"/>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111" w:name="_Toc1563"/>
      <w:bookmarkStart w:id="112" w:name="_Toc12169"/>
      <w:bookmarkStart w:id="113" w:name="_Toc23515"/>
      <w:bookmarkStart w:id="114" w:name="_Toc6230"/>
      <w:bookmarkStart w:id="115" w:name="_Toc8147"/>
      <w:bookmarkStart w:id="116" w:name="_Toc3723"/>
      <w:bookmarkStart w:id="117" w:name="_Toc16552"/>
      <w:bookmarkStart w:id="118" w:name="_Toc30824"/>
      <w:bookmarkStart w:id="119" w:name="_Toc21847"/>
      <w:bookmarkStart w:id="120" w:name="_Toc28358"/>
      <w:bookmarkStart w:id="121" w:name="_Toc5129"/>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11"/>
      <w:bookmarkEnd w:id="112"/>
      <w:bookmarkEnd w:id="113"/>
      <w:bookmarkEnd w:id="114"/>
      <w:bookmarkEnd w:id="115"/>
      <w:bookmarkEnd w:id="116"/>
      <w:bookmarkEnd w:id="117"/>
      <w:bookmarkEnd w:id="118"/>
      <w:bookmarkEnd w:id="119"/>
      <w:bookmarkEnd w:id="120"/>
      <w:bookmarkEnd w:id="121"/>
    </w:p>
    <w:p>
      <w:pPr>
        <w:pStyle w:val="35"/>
        <w:rPr>
          <w:color w:val="auto"/>
          <w:highlight w:val="none"/>
        </w:rPr>
      </w:pPr>
    </w:p>
    <w:p>
      <w:pPr>
        <w:pStyle w:val="4"/>
        <w:rPr>
          <w:color w:val="auto"/>
          <w:highlight w:val="none"/>
        </w:rPr>
      </w:pPr>
      <w:bookmarkStart w:id="122" w:name="_Toc12610"/>
      <w:bookmarkStart w:id="123" w:name="_Toc17119"/>
      <w:bookmarkStart w:id="124" w:name="_Toc87616388"/>
      <w:bookmarkStart w:id="125" w:name="_Toc24490"/>
      <w:bookmarkStart w:id="126" w:name="_Toc24815"/>
      <w:bookmarkStart w:id="127" w:name="_Toc22764"/>
      <w:bookmarkStart w:id="128" w:name="_Toc10840"/>
      <w:bookmarkStart w:id="129" w:name="_Toc30157"/>
      <w:bookmarkStart w:id="130" w:name="_Toc31564"/>
      <w:bookmarkStart w:id="131" w:name="_Toc88209951"/>
      <w:bookmarkStart w:id="132" w:name="_Toc5342"/>
      <w:bookmarkStart w:id="133" w:name="_Toc12769"/>
      <w:bookmarkStart w:id="134" w:name="_Toc21675"/>
      <w:r>
        <w:rPr>
          <w:rFonts w:hint="eastAsia"/>
          <w:color w:val="auto"/>
          <w:highlight w:val="none"/>
        </w:rPr>
        <w:t>响应文件</w:t>
      </w:r>
      <w:r>
        <w:rPr>
          <w:rFonts w:hint="eastAsia"/>
          <w:color w:val="auto"/>
          <w:highlight w:val="none"/>
          <w:lang w:val="en-US" w:eastAsia="zh-CN"/>
        </w:rPr>
        <w:t>格式要求</w:t>
      </w:r>
      <w:bookmarkEnd w:id="122"/>
      <w:bookmarkEnd w:id="123"/>
      <w:bookmarkEnd w:id="124"/>
      <w:bookmarkEnd w:id="125"/>
      <w:bookmarkEnd w:id="126"/>
      <w:bookmarkEnd w:id="127"/>
      <w:bookmarkEnd w:id="128"/>
      <w:bookmarkEnd w:id="129"/>
      <w:bookmarkEnd w:id="130"/>
      <w:bookmarkEnd w:id="131"/>
      <w:bookmarkEnd w:id="132"/>
      <w:bookmarkEnd w:id="133"/>
      <w:bookmarkEnd w:id="13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5" w:name="_Toc87616389"/>
      <w:bookmarkStart w:id="136" w:name="_Toc88209952"/>
      <w:r>
        <w:rPr>
          <w:rFonts w:hint="eastAsia" w:ascii="仿宋_GB2312" w:eastAsia="仿宋_GB2312"/>
          <w:color w:val="auto"/>
          <w:sz w:val="28"/>
          <w:szCs w:val="28"/>
          <w:highlight w:val="none"/>
        </w:rPr>
        <w:t>1.响应函</w:t>
      </w:r>
      <w:bookmarkEnd w:id="135"/>
      <w:bookmarkEnd w:id="136"/>
    </w:p>
    <w:p>
      <w:pPr>
        <w:spacing w:line="600" w:lineRule="exact"/>
        <w:rPr>
          <w:rFonts w:hint="eastAsia" w:ascii="仿宋_GB2312" w:eastAsia="仿宋_GB2312"/>
          <w:color w:val="auto"/>
          <w:sz w:val="28"/>
          <w:szCs w:val="28"/>
          <w:highlight w:val="none"/>
        </w:rPr>
      </w:pPr>
      <w:bookmarkStart w:id="137" w:name="_Toc87616390"/>
      <w:bookmarkStart w:id="138" w:name="_Toc88209953"/>
      <w:r>
        <w:rPr>
          <w:rFonts w:hint="eastAsia" w:ascii="仿宋_GB2312" w:eastAsia="仿宋_GB2312"/>
          <w:color w:val="auto"/>
          <w:sz w:val="28"/>
          <w:szCs w:val="28"/>
          <w:highlight w:val="none"/>
        </w:rPr>
        <w:t>2.法定代表人证明或授权委托书</w:t>
      </w:r>
      <w:bookmarkEnd w:id="137"/>
      <w:bookmarkEnd w:id="138"/>
      <w:bookmarkStart w:id="139" w:name="_Toc87616393"/>
      <w:bookmarkStart w:id="140"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9"/>
      <w:bookmarkEnd w:id="14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41" w:name="_Toc88209957"/>
      <w:bookmarkStart w:id="142" w:name="_Toc12665"/>
      <w:bookmarkStart w:id="143" w:name="_Toc28619645"/>
      <w:bookmarkStart w:id="144" w:name="_Toc87616394"/>
      <w:bookmarkStart w:id="145" w:name="_Toc6313"/>
      <w:r>
        <w:rPr>
          <w:rFonts w:hint="eastAsia" w:asciiTheme="minorEastAsia" w:hAnsiTheme="minorEastAsia" w:eastAsiaTheme="minorEastAsia"/>
          <w:color w:val="auto"/>
          <w:sz w:val="28"/>
          <w:szCs w:val="28"/>
          <w:highlight w:val="none"/>
        </w:rPr>
        <w:t>1.响应函</w:t>
      </w:r>
      <w:bookmarkEnd w:id="141"/>
      <w:bookmarkEnd w:id="142"/>
      <w:bookmarkEnd w:id="143"/>
      <w:bookmarkEnd w:id="144"/>
      <w:bookmarkEnd w:id="14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lang w:eastAsia="zh-CN"/>
        </w:rPr>
        <w:t>。</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46" w:name="_Toc29833"/>
      <w:bookmarkStart w:id="147" w:name="_Toc22527"/>
      <w:bookmarkStart w:id="148" w:name="_Toc87616395"/>
      <w:bookmarkStart w:id="149" w:name="_Toc88209958"/>
    </w:p>
    <w:p>
      <w:pPr>
        <w:pStyle w:val="2"/>
        <w:rPr>
          <w:rFonts w:hint="eastAsia"/>
        </w:rPr>
      </w:pP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46"/>
      <w:bookmarkEnd w:id="147"/>
      <w:bookmarkEnd w:id="148"/>
      <w:bookmarkEnd w:id="14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0" w:name="_Toc8086"/>
      <w:bookmarkStart w:id="151" w:name="_Toc88209963"/>
      <w:bookmarkStart w:id="152" w:name="_Toc87616400"/>
      <w:bookmarkStart w:id="153"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0"/>
      <w:bookmarkEnd w:id="151"/>
      <w:bookmarkEnd w:id="152"/>
      <w:bookmarkEnd w:id="15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54"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广州市净水有限公司2022-2023年潜水作业应急突发服务项目（第二次）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pStyle w:val="2"/>
        <w:rPr>
          <w:rFonts w:hint="eastAsia" w:ascii="宋体" w:hAnsi="宋体" w:eastAsia="宋体" w:cs="宋体"/>
          <w:color w:val="auto"/>
          <w:kern w:val="2"/>
          <w:sz w:val="24"/>
          <w:szCs w:val="24"/>
          <w:highlight w:val="none"/>
          <w:lang w:val="en-GB"/>
        </w:rPr>
      </w:pPr>
    </w:p>
    <w:p>
      <w:pPr>
        <w:pStyle w:val="2"/>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55" w:name="_Toc19423"/>
      <w:bookmarkStart w:id="156"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55"/>
      <w:bookmarkEnd w:id="156"/>
    </w:p>
    <w:tbl>
      <w:tblPr>
        <w:tblStyle w:val="22"/>
        <w:tblW w:w="51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3"/>
        <w:gridCol w:w="1147"/>
        <w:gridCol w:w="2052"/>
        <w:gridCol w:w="847"/>
        <w:gridCol w:w="1759"/>
        <w:gridCol w:w="945"/>
        <w:gridCol w:w="2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 w:hRule="atLeast"/>
        </w:trPr>
        <w:tc>
          <w:tcPr>
            <w:tcW w:w="25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序号</w:t>
            </w:r>
          </w:p>
        </w:tc>
        <w:tc>
          <w:tcPr>
            <w:tcW w:w="60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名称</w:t>
            </w:r>
          </w:p>
        </w:tc>
        <w:tc>
          <w:tcPr>
            <w:tcW w:w="1089" w:type="pct"/>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特征描述</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数量</w:t>
            </w:r>
          </w:p>
        </w:tc>
        <w:tc>
          <w:tcPr>
            <w:tcW w:w="143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金额</w:t>
            </w:r>
          </w:p>
        </w:tc>
        <w:tc>
          <w:tcPr>
            <w:tcW w:w="115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计算公式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auto"/>
                <w:sz w:val="28"/>
                <w:szCs w:val="28"/>
                <w:highlight w:val="none"/>
                <w:u w:val="none"/>
              </w:rPr>
            </w:pPr>
          </w:p>
        </w:tc>
        <w:tc>
          <w:tcPr>
            <w:tcW w:w="60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auto"/>
                <w:sz w:val="28"/>
                <w:szCs w:val="28"/>
                <w:highlight w:val="none"/>
                <w:u w:val="none"/>
              </w:rPr>
            </w:pPr>
          </w:p>
        </w:tc>
        <w:tc>
          <w:tcPr>
            <w:tcW w:w="1089" w:type="pct"/>
            <w:vMerge w:val="continue"/>
            <w:tcBorders>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auto"/>
                <w:sz w:val="28"/>
                <w:szCs w:val="28"/>
                <w:highlight w:val="none"/>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auto"/>
                <w:sz w:val="28"/>
                <w:szCs w:val="28"/>
                <w:highlight w:val="none"/>
                <w:u w:val="none"/>
              </w:rPr>
            </w:pPr>
          </w:p>
        </w:tc>
        <w:tc>
          <w:tcPr>
            <w:tcW w:w="9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单价</w:t>
            </w:r>
          </w:p>
          <w:p>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（元/工日）</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合价（元）</w:t>
            </w:r>
          </w:p>
        </w:tc>
        <w:tc>
          <w:tcPr>
            <w:tcW w:w="115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仿宋_GB2312"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3倍工资费用计算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特种作业人员窝工费</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法定节假日值班备勤按国家规定，计算3倍工资</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highlight w:val="none"/>
                <w:u w:val="none"/>
                <w:lang w:val="en-US"/>
              </w:rPr>
            </w:pPr>
            <w:r>
              <w:rPr>
                <w:rFonts w:hint="eastAsia" w:ascii="仿宋_GB2312" w:hAnsi="仿宋_GB2312" w:eastAsia="仿宋_GB2312" w:cs="仿宋_GB2312"/>
                <w:i w:val="0"/>
                <w:iCs w:val="0"/>
                <w:color w:val="auto"/>
                <w:kern w:val="0"/>
                <w:sz w:val="28"/>
                <w:szCs w:val="28"/>
                <w:highlight w:val="none"/>
                <w:u w:val="none"/>
                <w:lang w:val="en-US" w:eastAsia="zh-CN" w:bidi="ar"/>
              </w:rPr>
              <w:t>11工日/人*2人</w:t>
            </w:r>
          </w:p>
        </w:tc>
        <w:tc>
          <w:tcPr>
            <w:tcW w:w="9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8"/>
                <w:szCs w:val="28"/>
                <w:highlight w:val="none"/>
                <w:u w:val="none"/>
                <w:lang w:val="en-US" w:eastAsia="zh-CN"/>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8"/>
                <w:szCs w:val="28"/>
                <w:highlight w:val="none"/>
                <w:u w:val="none"/>
                <w:lang w:val="en-US" w:eastAsia="zh-CN"/>
              </w:rPr>
            </w:pPr>
          </w:p>
        </w:tc>
        <w:tc>
          <w:tcPr>
            <w:tcW w:w="11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=（单价*3倍）*11工日/人*2人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2倍工资费用计算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3</w:t>
            </w:r>
          </w:p>
        </w:tc>
        <w:tc>
          <w:tcPr>
            <w:tcW w:w="6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特种作业人员窝工费</w:t>
            </w:r>
          </w:p>
        </w:tc>
        <w:tc>
          <w:tcPr>
            <w:tcW w:w="10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法定节假日值班备勤按国家规定，计算</w:t>
            </w:r>
            <w:r>
              <w:rPr>
                <w:rStyle w:val="51"/>
                <w:rFonts w:hint="eastAsia" w:ascii="仿宋_GB2312" w:hAnsi="仿宋_GB2312" w:eastAsia="仿宋_GB2312" w:cs="仿宋_GB2312"/>
                <w:color w:val="auto"/>
                <w:sz w:val="28"/>
                <w:szCs w:val="28"/>
                <w:highlight w:val="none"/>
                <w:lang w:val="en-US" w:eastAsia="zh-CN" w:bidi="ar"/>
              </w:rPr>
              <w:t>2倍工资</w:t>
            </w:r>
          </w:p>
        </w:tc>
        <w:tc>
          <w:tcPr>
            <w:tcW w:w="4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highlight w:val="none"/>
                <w:u w:val="none"/>
                <w:lang w:val="en-US"/>
              </w:rPr>
            </w:pPr>
            <w:r>
              <w:rPr>
                <w:rFonts w:hint="eastAsia" w:ascii="仿宋_GB2312" w:hAnsi="仿宋_GB2312" w:eastAsia="仿宋_GB2312" w:cs="仿宋_GB2312"/>
                <w:i w:val="0"/>
                <w:iCs w:val="0"/>
                <w:color w:val="auto"/>
                <w:kern w:val="0"/>
                <w:sz w:val="28"/>
                <w:szCs w:val="28"/>
                <w:highlight w:val="none"/>
                <w:u w:val="none"/>
                <w:lang w:val="en-US" w:eastAsia="zh-CN" w:bidi="ar"/>
              </w:rPr>
              <w:t>20工日/人*2人</w:t>
            </w:r>
          </w:p>
        </w:tc>
        <w:tc>
          <w:tcPr>
            <w:tcW w:w="93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8"/>
                <w:szCs w:val="28"/>
                <w:highlight w:val="none"/>
                <w:u w:val="none"/>
                <w:lang w:val="en-US" w:eastAsia="zh-CN"/>
              </w:rPr>
            </w:pP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8"/>
                <w:szCs w:val="28"/>
                <w:highlight w:val="none"/>
                <w:u w:val="none"/>
                <w:lang w:val="en-US" w:eastAsia="zh-CN"/>
              </w:rPr>
            </w:pPr>
          </w:p>
        </w:tc>
        <w:tc>
          <w:tcPr>
            <w:tcW w:w="115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=（单价*2倍）*20工日/人*2人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04"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合计</w:t>
            </w:r>
          </w:p>
        </w:tc>
        <w:tc>
          <w:tcPr>
            <w:tcW w:w="259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7"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0"/>
              </w:numPr>
              <w:suppressLineNumbers w:val="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说明：</w:t>
            </w:r>
          </w:p>
          <w:p>
            <w:pPr>
              <w:keepNext w:val="0"/>
              <w:keepLines w:val="0"/>
              <w:widowControl/>
              <w:numPr>
                <w:ilvl w:val="0"/>
                <w:numId w:val="0"/>
              </w:numPr>
              <w:suppressLineNumbers w:val="0"/>
              <w:jc w:val="both"/>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auto"/>
                <w:kern w:val="0"/>
                <w:sz w:val="24"/>
                <w:szCs w:val="24"/>
                <w:highlight w:val="none"/>
                <w:u w:val="none"/>
                <w:lang w:val="en-US" w:eastAsia="zh-CN" w:bidi="ar"/>
              </w:rPr>
              <w:t>1、</w:t>
            </w:r>
            <w:r>
              <w:rPr>
                <w:rFonts w:hint="eastAsia" w:ascii="仿宋_GB2312" w:hAnsi="仿宋_GB2312" w:eastAsia="仿宋_GB2312" w:cs="仿宋_GB2312"/>
                <w:color w:val="auto"/>
                <w:sz w:val="24"/>
                <w:szCs w:val="24"/>
                <w:highlight w:val="none"/>
                <w:lang w:val="en-US" w:eastAsia="zh-CN"/>
              </w:rPr>
              <w:t>服务期内涉及元旦、春节、清明、五一、端午、中秋、国企假期，三倍工资天数为11天，两倍工资天数为20天；</w:t>
            </w:r>
          </w:p>
          <w:p>
            <w:pPr>
              <w:keepNext w:val="0"/>
              <w:keepLines w:val="0"/>
              <w:widowControl/>
              <w:numPr>
                <w:ilvl w:val="0"/>
                <w:numId w:val="0"/>
              </w:numPr>
              <w:suppressLineNumbers w:val="0"/>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color w:val="auto"/>
                <w:sz w:val="24"/>
                <w:szCs w:val="24"/>
                <w:highlight w:val="none"/>
                <w:lang w:val="en-US" w:eastAsia="zh-CN"/>
              </w:rPr>
              <w:t>2、本项目涉及特种作业人员2人；</w:t>
            </w: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6"/>
        <w:rPr>
          <w:rFonts w:asciiTheme="majorEastAsia" w:hAnsiTheme="majorEastAsia" w:eastAsiaTheme="majorEastAsia"/>
          <w:color w:val="auto"/>
          <w:sz w:val="28"/>
          <w:szCs w:val="28"/>
          <w:highlight w:val="none"/>
        </w:rPr>
      </w:pPr>
      <w:bookmarkStart w:id="157" w:name="_Toc6058"/>
      <w:bookmarkStart w:id="158" w:name="_Toc87616402"/>
      <w:bookmarkStart w:id="159" w:name="_Toc88209965"/>
      <w:bookmarkStart w:id="160"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57"/>
      <w:bookmarkEnd w:id="158"/>
      <w:bookmarkEnd w:id="159"/>
      <w:bookmarkEnd w:id="160"/>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1D4CE6"/>
    <w:rsid w:val="003D60BA"/>
    <w:rsid w:val="00411689"/>
    <w:rsid w:val="005D618A"/>
    <w:rsid w:val="00911ECD"/>
    <w:rsid w:val="00A042E0"/>
    <w:rsid w:val="00B26BB1"/>
    <w:rsid w:val="00B26E21"/>
    <w:rsid w:val="00F83B64"/>
    <w:rsid w:val="013E3461"/>
    <w:rsid w:val="01BB0F13"/>
    <w:rsid w:val="02090C75"/>
    <w:rsid w:val="02A23A3C"/>
    <w:rsid w:val="02F9326F"/>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82A69F3"/>
    <w:rsid w:val="08675FC8"/>
    <w:rsid w:val="09B713FD"/>
    <w:rsid w:val="09EF6ACC"/>
    <w:rsid w:val="0A236372"/>
    <w:rsid w:val="0A315056"/>
    <w:rsid w:val="0A374801"/>
    <w:rsid w:val="0AA213B4"/>
    <w:rsid w:val="0AF61C7E"/>
    <w:rsid w:val="0AFB45AD"/>
    <w:rsid w:val="0B351E9B"/>
    <w:rsid w:val="0B4C50D3"/>
    <w:rsid w:val="0B806B92"/>
    <w:rsid w:val="0B827E94"/>
    <w:rsid w:val="0B842F76"/>
    <w:rsid w:val="0BD070E1"/>
    <w:rsid w:val="0C2361E7"/>
    <w:rsid w:val="0C247926"/>
    <w:rsid w:val="0D794204"/>
    <w:rsid w:val="0E2125D1"/>
    <w:rsid w:val="0E214211"/>
    <w:rsid w:val="0E5F2769"/>
    <w:rsid w:val="0F4D75A3"/>
    <w:rsid w:val="0F5B2DCA"/>
    <w:rsid w:val="0FA17649"/>
    <w:rsid w:val="0FED051E"/>
    <w:rsid w:val="0FEE4C29"/>
    <w:rsid w:val="10031608"/>
    <w:rsid w:val="10046082"/>
    <w:rsid w:val="104974DD"/>
    <w:rsid w:val="111703D2"/>
    <w:rsid w:val="112B101A"/>
    <w:rsid w:val="1148499F"/>
    <w:rsid w:val="119B53FC"/>
    <w:rsid w:val="1215733B"/>
    <w:rsid w:val="12424CDC"/>
    <w:rsid w:val="129A2738"/>
    <w:rsid w:val="12B56BF1"/>
    <w:rsid w:val="12CB1A89"/>
    <w:rsid w:val="131840FB"/>
    <w:rsid w:val="13467417"/>
    <w:rsid w:val="136E76CF"/>
    <w:rsid w:val="145F08C6"/>
    <w:rsid w:val="14E43F59"/>
    <w:rsid w:val="15776308"/>
    <w:rsid w:val="15BC6B3C"/>
    <w:rsid w:val="16360A7B"/>
    <w:rsid w:val="164D40B0"/>
    <w:rsid w:val="1694429A"/>
    <w:rsid w:val="17635326"/>
    <w:rsid w:val="17B803EA"/>
    <w:rsid w:val="1815096B"/>
    <w:rsid w:val="18236EFD"/>
    <w:rsid w:val="189D5B1F"/>
    <w:rsid w:val="18A34CD0"/>
    <w:rsid w:val="19A52D3B"/>
    <w:rsid w:val="19A53EA8"/>
    <w:rsid w:val="19B64DBC"/>
    <w:rsid w:val="19EC6A4A"/>
    <w:rsid w:val="1A373ACF"/>
    <w:rsid w:val="1A7B10BA"/>
    <w:rsid w:val="1A895341"/>
    <w:rsid w:val="1B0D071F"/>
    <w:rsid w:val="1B4568CE"/>
    <w:rsid w:val="1B9015B7"/>
    <w:rsid w:val="1B950DA6"/>
    <w:rsid w:val="1BDA5666"/>
    <w:rsid w:val="1BF54245"/>
    <w:rsid w:val="1D0E6976"/>
    <w:rsid w:val="1D5A79EE"/>
    <w:rsid w:val="1DAE2E94"/>
    <w:rsid w:val="1E0E2CD0"/>
    <w:rsid w:val="1E831280"/>
    <w:rsid w:val="1EBC4704"/>
    <w:rsid w:val="1F172EB5"/>
    <w:rsid w:val="1F94592D"/>
    <w:rsid w:val="1FB860DE"/>
    <w:rsid w:val="1FF73A1E"/>
    <w:rsid w:val="203C5A02"/>
    <w:rsid w:val="209D4C94"/>
    <w:rsid w:val="20B44FCD"/>
    <w:rsid w:val="20E84705"/>
    <w:rsid w:val="218400BA"/>
    <w:rsid w:val="21AB1E2F"/>
    <w:rsid w:val="21D40498"/>
    <w:rsid w:val="22767047"/>
    <w:rsid w:val="23A05588"/>
    <w:rsid w:val="240476A1"/>
    <w:rsid w:val="24826FB0"/>
    <w:rsid w:val="248F5B66"/>
    <w:rsid w:val="25431AEB"/>
    <w:rsid w:val="25BE3BFB"/>
    <w:rsid w:val="25BF43FD"/>
    <w:rsid w:val="25EF7454"/>
    <w:rsid w:val="25F86BCD"/>
    <w:rsid w:val="2605748B"/>
    <w:rsid w:val="26396D26"/>
    <w:rsid w:val="264544A6"/>
    <w:rsid w:val="267702FB"/>
    <w:rsid w:val="269E416A"/>
    <w:rsid w:val="26C11C6B"/>
    <w:rsid w:val="272100D3"/>
    <w:rsid w:val="272C72FC"/>
    <w:rsid w:val="275131CB"/>
    <w:rsid w:val="278A4411"/>
    <w:rsid w:val="278F6521"/>
    <w:rsid w:val="27EB149D"/>
    <w:rsid w:val="27FD3E52"/>
    <w:rsid w:val="2895661F"/>
    <w:rsid w:val="28E11370"/>
    <w:rsid w:val="294A756A"/>
    <w:rsid w:val="29781BF8"/>
    <w:rsid w:val="29AC6B50"/>
    <w:rsid w:val="29C33ED0"/>
    <w:rsid w:val="29D5322D"/>
    <w:rsid w:val="2A025DD9"/>
    <w:rsid w:val="2A2619CB"/>
    <w:rsid w:val="2A7C2231"/>
    <w:rsid w:val="2A920E4F"/>
    <w:rsid w:val="2ABB753D"/>
    <w:rsid w:val="2AE43F36"/>
    <w:rsid w:val="2AFE6EC4"/>
    <w:rsid w:val="2B7A49FA"/>
    <w:rsid w:val="2C615D26"/>
    <w:rsid w:val="2CB679ED"/>
    <w:rsid w:val="2D173C07"/>
    <w:rsid w:val="2D424A86"/>
    <w:rsid w:val="2DDA66B7"/>
    <w:rsid w:val="2E532996"/>
    <w:rsid w:val="2E6F2D11"/>
    <w:rsid w:val="2E7B52DB"/>
    <w:rsid w:val="2ED60115"/>
    <w:rsid w:val="2EE522A7"/>
    <w:rsid w:val="2F324CFE"/>
    <w:rsid w:val="2FBA09F1"/>
    <w:rsid w:val="2FEF2ACF"/>
    <w:rsid w:val="2FF93D20"/>
    <w:rsid w:val="30540211"/>
    <w:rsid w:val="30812E96"/>
    <w:rsid w:val="30E45100"/>
    <w:rsid w:val="31112A0D"/>
    <w:rsid w:val="311F4B20"/>
    <w:rsid w:val="312D7741"/>
    <w:rsid w:val="316F137F"/>
    <w:rsid w:val="31DF525F"/>
    <w:rsid w:val="31EC162B"/>
    <w:rsid w:val="32324C2E"/>
    <w:rsid w:val="327171DF"/>
    <w:rsid w:val="3391569E"/>
    <w:rsid w:val="341E3434"/>
    <w:rsid w:val="34335718"/>
    <w:rsid w:val="34BB4442"/>
    <w:rsid w:val="3584136B"/>
    <w:rsid w:val="35FF5AA4"/>
    <w:rsid w:val="360B7EBA"/>
    <w:rsid w:val="36416867"/>
    <w:rsid w:val="367D5DD4"/>
    <w:rsid w:val="369C32FD"/>
    <w:rsid w:val="37666E72"/>
    <w:rsid w:val="38081EA3"/>
    <w:rsid w:val="38167A04"/>
    <w:rsid w:val="381C3783"/>
    <w:rsid w:val="394B167A"/>
    <w:rsid w:val="39DA2868"/>
    <w:rsid w:val="3A055F4B"/>
    <w:rsid w:val="3A4E4336"/>
    <w:rsid w:val="3A6007FE"/>
    <w:rsid w:val="3A802587"/>
    <w:rsid w:val="3A852164"/>
    <w:rsid w:val="3AE41E62"/>
    <w:rsid w:val="3AF93D6C"/>
    <w:rsid w:val="3AFD06C8"/>
    <w:rsid w:val="3B7C2CE4"/>
    <w:rsid w:val="3BAF716B"/>
    <w:rsid w:val="3C0B5355"/>
    <w:rsid w:val="3CD4176B"/>
    <w:rsid w:val="3D1F44D9"/>
    <w:rsid w:val="3D5C38CD"/>
    <w:rsid w:val="3E2276B3"/>
    <w:rsid w:val="3E5070F1"/>
    <w:rsid w:val="3E6F2A91"/>
    <w:rsid w:val="3EC370CB"/>
    <w:rsid w:val="3F6C3589"/>
    <w:rsid w:val="3F850180"/>
    <w:rsid w:val="3F9004D6"/>
    <w:rsid w:val="3FEE7CFA"/>
    <w:rsid w:val="400E4D5E"/>
    <w:rsid w:val="40E1138C"/>
    <w:rsid w:val="413814BA"/>
    <w:rsid w:val="41872511"/>
    <w:rsid w:val="41DF1251"/>
    <w:rsid w:val="424236D9"/>
    <w:rsid w:val="42466655"/>
    <w:rsid w:val="42863169"/>
    <w:rsid w:val="42C82F57"/>
    <w:rsid w:val="435707E5"/>
    <w:rsid w:val="43C76AF7"/>
    <w:rsid w:val="43E97E4A"/>
    <w:rsid w:val="446828F0"/>
    <w:rsid w:val="45093E85"/>
    <w:rsid w:val="45C13B4D"/>
    <w:rsid w:val="46054BCA"/>
    <w:rsid w:val="464C6AFC"/>
    <w:rsid w:val="468B0091"/>
    <w:rsid w:val="46A107C3"/>
    <w:rsid w:val="46B15CE2"/>
    <w:rsid w:val="46BE113D"/>
    <w:rsid w:val="46E44B13"/>
    <w:rsid w:val="4703508A"/>
    <w:rsid w:val="475023F8"/>
    <w:rsid w:val="4796540A"/>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7F3979"/>
    <w:rsid w:val="4ADA1F63"/>
    <w:rsid w:val="4AE23D89"/>
    <w:rsid w:val="4B2038D0"/>
    <w:rsid w:val="4B262518"/>
    <w:rsid w:val="4B296E7D"/>
    <w:rsid w:val="4B79394E"/>
    <w:rsid w:val="4B877F28"/>
    <w:rsid w:val="4BAF3D36"/>
    <w:rsid w:val="4D916BA6"/>
    <w:rsid w:val="4DC44169"/>
    <w:rsid w:val="4DE24E21"/>
    <w:rsid w:val="4E1B19A3"/>
    <w:rsid w:val="4E48787F"/>
    <w:rsid w:val="4EF0709E"/>
    <w:rsid w:val="4F0469A4"/>
    <w:rsid w:val="4F7E13EC"/>
    <w:rsid w:val="500E56F4"/>
    <w:rsid w:val="50540C73"/>
    <w:rsid w:val="50752AF8"/>
    <w:rsid w:val="513C6A7B"/>
    <w:rsid w:val="52EC6EC2"/>
    <w:rsid w:val="532D486F"/>
    <w:rsid w:val="5333545B"/>
    <w:rsid w:val="538D0E89"/>
    <w:rsid w:val="5450213C"/>
    <w:rsid w:val="54D24048"/>
    <w:rsid w:val="54D64CD5"/>
    <w:rsid w:val="5532287C"/>
    <w:rsid w:val="55887D69"/>
    <w:rsid w:val="561A0928"/>
    <w:rsid w:val="56423872"/>
    <w:rsid w:val="569E06BC"/>
    <w:rsid w:val="56B279F0"/>
    <w:rsid w:val="56F20F86"/>
    <w:rsid w:val="577728CD"/>
    <w:rsid w:val="579D710E"/>
    <w:rsid w:val="581F22F6"/>
    <w:rsid w:val="586E1E17"/>
    <w:rsid w:val="58862C35"/>
    <w:rsid w:val="58C14957"/>
    <w:rsid w:val="58CC23D2"/>
    <w:rsid w:val="58E66050"/>
    <w:rsid w:val="59FC7994"/>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A70FF"/>
    <w:rsid w:val="60045F96"/>
    <w:rsid w:val="60104DDC"/>
    <w:rsid w:val="605C0804"/>
    <w:rsid w:val="60913E6F"/>
    <w:rsid w:val="61733C3E"/>
    <w:rsid w:val="617A2BF8"/>
    <w:rsid w:val="6189617B"/>
    <w:rsid w:val="61B52BB6"/>
    <w:rsid w:val="61B749C2"/>
    <w:rsid w:val="61CA334C"/>
    <w:rsid w:val="61EE06B5"/>
    <w:rsid w:val="62280D20"/>
    <w:rsid w:val="62CA2457"/>
    <w:rsid w:val="62EE1D84"/>
    <w:rsid w:val="638240A1"/>
    <w:rsid w:val="63833423"/>
    <w:rsid w:val="63A5257B"/>
    <w:rsid w:val="63BD3DCC"/>
    <w:rsid w:val="63C61741"/>
    <w:rsid w:val="64091C91"/>
    <w:rsid w:val="64560967"/>
    <w:rsid w:val="656B1D10"/>
    <w:rsid w:val="65B841F9"/>
    <w:rsid w:val="65D879AD"/>
    <w:rsid w:val="66022B28"/>
    <w:rsid w:val="664A38E2"/>
    <w:rsid w:val="66581E87"/>
    <w:rsid w:val="66FA11D5"/>
    <w:rsid w:val="674302C7"/>
    <w:rsid w:val="67951C10"/>
    <w:rsid w:val="67CB09D8"/>
    <w:rsid w:val="67EE3B0F"/>
    <w:rsid w:val="680A5986"/>
    <w:rsid w:val="680D5F4B"/>
    <w:rsid w:val="68113F51"/>
    <w:rsid w:val="68E94770"/>
    <w:rsid w:val="68F949C9"/>
    <w:rsid w:val="691F14B4"/>
    <w:rsid w:val="694E6B1A"/>
    <w:rsid w:val="695A4290"/>
    <w:rsid w:val="6A334932"/>
    <w:rsid w:val="6A3353FF"/>
    <w:rsid w:val="6A5D63E6"/>
    <w:rsid w:val="6A5F24D1"/>
    <w:rsid w:val="6A966826"/>
    <w:rsid w:val="6ACA70C4"/>
    <w:rsid w:val="6AE347EB"/>
    <w:rsid w:val="6B330365"/>
    <w:rsid w:val="6B434AF0"/>
    <w:rsid w:val="6B57675A"/>
    <w:rsid w:val="6B87098A"/>
    <w:rsid w:val="6BDD7B4D"/>
    <w:rsid w:val="6EBC0B3A"/>
    <w:rsid w:val="6ECD54F4"/>
    <w:rsid w:val="6EF51C7D"/>
    <w:rsid w:val="6F340415"/>
    <w:rsid w:val="6F8363E5"/>
    <w:rsid w:val="6F841DCF"/>
    <w:rsid w:val="6FA80CCD"/>
    <w:rsid w:val="6FAC3CC5"/>
    <w:rsid w:val="6FC746F5"/>
    <w:rsid w:val="70317AC6"/>
    <w:rsid w:val="704055FB"/>
    <w:rsid w:val="704B26F7"/>
    <w:rsid w:val="70697B21"/>
    <w:rsid w:val="70863262"/>
    <w:rsid w:val="70A76ED3"/>
    <w:rsid w:val="71860B17"/>
    <w:rsid w:val="723B27CC"/>
    <w:rsid w:val="72687227"/>
    <w:rsid w:val="72A03FD9"/>
    <w:rsid w:val="73406CFF"/>
    <w:rsid w:val="7383028C"/>
    <w:rsid w:val="73A25E44"/>
    <w:rsid w:val="73A32651"/>
    <w:rsid w:val="741A30CF"/>
    <w:rsid w:val="741F68CF"/>
    <w:rsid w:val="74862A24"/>
    <w:rsid w:val="75252DF3"/>
    <w:rsid w:val="75621536"/>
    <w:rsid w:val="75BF3154"/>
    <w:rsid w:val="763F5ADA"/>
    <w:rsid w:val="764A07CF"/>
    <w:rsid w:val="764F6B3D"/>
    <w:rsid w:val="76CD2B7B"/>
    <w:rsid w:val="76D80645"/>
    <w:rsid w:val="76E03371"/>
    <w:rsid w:val="771211AA"/>
    <w:rsid w:val="780E5898"/>
    <w:rsid w:val="782642CC"/>
    <w:rsid w:val="7894095E"/>
    <w:rsid w:val="78964555"/>
    <w:rsid w:val="78CF4963"/>
    <w:rsid w:val="79000679"/>
    <w:rsid w:val="79163A49"/>
    <w:rsid w:val="791C0FE5"/>
    <w:rsid w:val="79A416F0"/>
    <w:rsid w:val="79B03EB6"/>
    <w:rsid w:val="79B61437"/>
    <w:rsid w:val="7ACE614D"/>
    <w:rsid w:val="7AE15A5C"/>
    <w:rsid w:val="7AF37579"/>
    <w:rsid w:val="7AF87F64"/>
    <w:rsid w:val="7B1C0C84"/>
    <w:rsid w:val="7B5A62DF"/>
    <w:rsid w:val="7B7A04A8"/>
    <w:rsid w:val="7C0C3F6D"/>
    <w:rsid w:val="7C22163C"/>
    <w:rsid w:val="7C457B4B"/>
    <w:rsid w:val="7C595075"/>
    <w:rsid w:val="7C6B07B2"/>
    <w:rsid w:val="7D133243"/>
    <w:rsid w:val="7D3C3DAD"/>
    <w:rsid w:val="7D945420"/>
    <w:rsid w:val="7E394207"/>
    <w:rsid w:val="7E4007A2"/>
    <w:rsid w:val="7E791CAD"/>
    <w:rsid w:val="7EA50DFB"/>
    <w:rsid w:val="7EC86878"/>
    <w:rsid w:val="7F011141"/>
    <w:rsid w:val="7F16390D"/>
    <w:rsid w:val="7F752917"/>
    <w:rsid w:val="7FB04A54"/>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spacing w:before="100" w:beforeAutospacing="1" w:after="100" w:afterAutospacing="1"/>
    </w:pPr>
    <w:rPr>
      <w:rFonts w:ascii="宋体" w:hAnsi="宋体" w:cs="宋体"/>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列表段落1"/>
    <w:basedOn w:val="1"/>
    <w:qFormat/>
    <w:uiPriority w:val="34"/>
    <w:pPr>
      <w:ind w:firstLine="420" w:firstLineChars="200"/>
    </w:p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7">
    <w:name w:val="BodyText2"/>
    <w:basedOn w:val="1"/>
    <w:qFormat/>
    <w:uiPriority w:val="0"/>
    <w:pPr>
      <w:spacing w:after="120" w:line="480" w:lineRule="auto"/>
      <w:jc w:val="both"/>
      <w:textAlignment w:val="baseline"/>
    </w:pPr>
  </w:style>
  <w:style w:type="paragraph" w:customStyle="1" w:styleId="48">
    <w:name w:val="BodyText"/>
    <w:basedOn w:val="1"/>
    <w:next w:val="47"/>
    <w:qFormat/>
    <w:uiPriority w:val="0"/>
    <w:pPr>
      <w:jc w:val="both"/>
      <w:textAlignment w:val="baseline"/>
    </w:pPr>
    <w:rPr>
      <w:rFonts w:ascii="Times New Roman" w:hAnsi="Times New Roman" w:eastAsia="宋体"/>
      <w:kern w:val="2"/>
      <w:sz w:val="28"/>
      <w:lang w:val="en-US" w:eastAsia="zh-CN" w:bidi="ar-SA"/>
    </w:rPr>
  </w:style>
  <w:style w:type="paragraph" w:customStyle="1" w:styleId="4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0">
    <w:name w:val="文一"/>
    <w:basedOn w:val="1"/>
    <w:qFormat/>
    <w:uiPriority w:val="0"/>
    <w:pPr>
      <w:topLinePunct/>
      <w:adjustRightInd w:val="0"/>
      <w:snapToGrid w:val="0"/>
      <w:spacing w:line="360" w:lineRule="auto"/>
      <w:ind w:firstLine="200" w:firstLineChars="200"/>
    </w:pPr>
    <w:rPr>
      <w:snapToGrid w:val="0"/>
      <w:spacing w:val="4"/>
      <w:sz w:val="24"/>
      <w:szCs w:val="24"/>
    </w:rPr>
  </w:style>
  <w:style w:type="character" w:customStyle="1" w:styleId="51">
    <w:name w:val="font11"/>
    <w:basedOn w:val="2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31081</Words>
  <Characters>32646</Characters>
  <Lines>300</Lines>
  <Paragraphs>84</Paragraphs>
  <TotalTime>10</TotalTime>
  <ScaleCrop>false</ScaleCrop>
  <LinksUpToDate>false</LinksUpToDate>
  <CharactersWithSpaces>34966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2022-08-30T01:44:00Z</cp:lastPrinted>
  <dcterms:modified xsi:type="dcterms:W3CDTF">2022-09-02T08:10:49Z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7EFEE93D04CB4CFF9C3072B4BCAC3E82</vt:lpwstr>
  </property>
</Properties>
</file>