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rPr>
        <w:t>广州市净水有限公司大坦沙分公司2022年二期内回流泵</w:t>
      </w:r>
      <w:r>
        <w:rPr>
          <w:rFonts w:hint="eastAsia" w:ascii="方正小标宋简体" w:eastAsia="方正小标宋简体"/>
          <w:color w:val="auto"/>
          <w:sz w:val="52"/>
          <w:szCs w:val="52"/>
          <w:highlight w:val="none"/>
          <w:lang w:val="en-US" w:eastAsia="zh-CN"/>
        </w:rPr>
        <w:t>购置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7519"/>
      <w:bookmarkStart w:id="5" w:name="_Toc17801"/>
      <w:bookmarkStart w:id="6" w:name="_Toc11322"/>
      <w:bookmarkStart w:id="7" w:name="_Toc4275"/>
      <w:bookmarkStart w:id="8" w:name="_Toc31938"/>
      <w:bookmarkStart w:id="9" w:name="_Toc1669"/>
      <w:bookmarkStart w:id="10" w:name="_Toc1960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b w:val="0"/>
          <w:bCs w:val="0"/>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 w:hAnsi="仿宋" w:eastAsia="仿宋" w:cs="仿宋_GB2312"/>
          <w:b w:val="0"/>
          <w:bCs w:val="0"/>
          <w:sz w:val="28"/>
          <w:szCs w:val="28"/>
          <w:u w:val="single"/>
        </w:rPr>
        <w:t>广州市净水有限公司大坦沙分公司2022年二期内回流泵</w:t>
      </w:r>
      <w:r>
        <w:rPr>
          <w:rFonts w:hint="eastAsia" w:ascii="仿宋" w:hAnsi="仿宋" w:eastAsia="仿宋" w:cs="仿宋_GB2312"/>
          <w:b w:val="0"/>
          <w:bCs w:val="0"/>
          <w:sz w:val="28"/>
          <w:szCs w:val="28"/>
          <w:u w:val="single"/>
          <w:lang w:val="en-US" w:eastAsia="zh-CN"/>
        </w:rPr>
        <w:t>购置</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rPr>
        <w:t>已具备采购条件，</w:t>
      </w:r>
      <w:r>
        <w:rPr>
          <w:rFonts w:hint="eastAsia" w:ascii="仿宋_GB2312" w:eastAsia="仿宋_GB2312"/>
          <w:b w:val="0"/>
          <w:bCs w:val="0"/>
          <w:sz w:val="28"/>
          <w:szCs w:val="28"/>
        </w:rPr>
        <w:t>现</w:t>
      </w:r>
      <w:r>
        <w:rPr>
          <w:rFonts w:hint="eastAsia" w:ascii="仿宋_GB2312" w:eastAsia="仿宋_GB2312"/>
          <w:b w:val="0"/>
          <w:bCs w:val="0"/>
          <w:sz w:val="28"/>
          <w:szCs w:val="28"/>
          <w:lang w:val="en-US" w:eastAsia="zh-CN"/>
        </w:rPr>
        <w:t>邀请合格</w:t>
      </w:r>
      <w:r>
        <w:rPr>
          <w:rFonts w:hint="eastAsia" w:ascii="仿宋_GB2312" w:eastAsia="仿宋_GB2312"/>
          <w:b w:val="0"/>
          <w:bCs w:val="0"/>
          <w:sz w:val="28"/>
          <w:szCs w:val="28"/>
          <w:u w:val="none"/>
          <w:lang w:val="en-US" w:eastAsia="zh-CN"/>
        </w:rPr>
        <w:t>单位</w:t>
      </w:r>
      <w:r>
        <w:rPr>
          <w:rFonts w:hint="eastAsia" w:ascii="仿宋_GB2312" w:eastAsia="仿宋_GB2312"/>
          <w:b w:val="0"/>
          <w:bCs w:val="0"/>
          <w:sz w:val="28"/>
          <w:szCs w:val="28"/>
        </w:rPr>
        <w:t xml:space="preserve">参加本□施工  </w:t>
      </w:r>
      <w:r>
        <w:rPr>
          <w:rFonts w:hint="eastAsia" w:ascii="仿宋_GB2312" w:eastAsia="仿宋_GB2312"/>
          <w:b w:val="0"/>
          <w:bCs w:val="0"/>
          <w:sz w:val="28"/>
          <w:szCs w:val="28"/>
          <w:lang w:eastAsia="zh-CN"/>
        </w:rPr>
        <w:t>☑</w:t>
      </w:r>
      <w:r>
        <w:rPr>
          <w:rFonts w:hint="eastAsia" w:ascii="仿宋_GB2312" w:eastAsia="仿宋_GB2312"/>
          <w:b w:val="0"/>
          <w:bCs w:val="0"/>
          <w:sz w:val="28"/>
          <w:szCs w:val="28"/>
        </w:rPr>
        <w:t>货物 □服务项目采购活动，采用□</w:t>
      </w:r>
      <w:r>
        <w:rPr>
          <w:rFonts w:hint="eastAsia" w:ascii="仿宋_GB2312" w:eastAsia="仿宋_GB2312"/>
          <w:b w:val="0"/>
          <w:bCs w:val="0"/>
          <w:sz w:val="28"/>
          <w:szCs w:val="28"/>
          <w:u w:val="single"/>
          <w:lang w:val="en-US" w:eastAsia="zh-CN"/>
        </w:rPr>
        <w:t>邀请</w:t>
      </w:r>
      <w:r>
        <w:rPr>
          <w:rFonts w:hint="eastAsia" w:ascii="仿宋_GB2312" w:eastAsia="仿宋_GB2312"/>
          <w:b w:val="0"/>
          <w:bCs w:val="0"/>
          <w:sz w:val="28"/>
          <w:szCs w:val="28"/>
          <w:u w:val="single"/>
        </w:rPr>
        <w:t>询比</w:t>
      </w:r>
      <w:r>
        <w:rPr>
          <w:rFonts w:hint="eastAsia" w:ascii="仿宋_GB2312" w:eastAsia="仿宋_GB2312"/>
          <w:b w:val="0"/>
          <w:bCs w:val="0"/>
          <w:sz w:val="28"/>
          <w:szCs w:val="28"/>
          <w:u w:val="single"/>
          <w:lang w:val="en-US" w:eastAsia="zh-CN"/>
        </w:rPr>
        <w:t xml:space="preserve"> </w:t>
      </w:r>
      <w:r>
        <w:rPr>
          <w:rFonts w:hint="eastAsia" w:ascii="仿宋_GB2312" w:eastAsia="仿宋_GB2312"/>
          <w:b w:val="0"/>
          <w:bCs w:val="0"/>
          <w:sz w:val="28"/>
          <w:szCs w:val="28"/>
          <w:lang w:eastAsia="zh-CN"/>
        </w:rPr>
        <w:t>☑</w:t>
      </w:r>
      <w:r>
        <w:rPr>
          <w:rFonts w:hint="eastAsia" w:ascii="仿宋_GB2312" w:eastAsia="仿宋_GB2312"/>
          <w:b w:val="0"/>
          <w:bCs w:val="0"/>
          <w:sz w:val="28"/>
          <w:szCs w:val="28"/>
          <w:u w:val="single"/>
          <w:lang w:val="en-US" w:eastAsia="zh-CN"/>
        </w:rPr>
        <w:t>公开询比</w:t>
      </w:r>
      <w:r>
        <w:rPr>
          <w:rFonts w:hint="eastAsia" w:ascii="仿宋_GB2312" w:eastAsia="仿宋_GB2312"/>
          <w:b w:val="0"/>
          <w:bCs w:val="0"/>
          <w:sz w:val="28"/>
          <w:szCs w:val="28"/>
        </w:rPr>
        <w:t>的方式邀请合格供应商参加本项目采购活动。</w:t>
      </w:r>
    </w:p>
    <w:p>
      <w:pPr>
        <w:adjustRightInd w:val="0"/>
        <w:snapToGrid w:val="0"/>
        <w:spacing w:line="600" w:lineRule="exact"/>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b w:val="0"/>
          <w:bCs w:val="0"/>
          <w:color w:val="auto"/>
          <w:sz w:val="28"/>
          <w:szCs w:val="28"/>
          <w:highlight w:val="none"/>
        </w:rPr>
        <w:t>1.1采购项目名称：</w:t>
      </w:r>
      <w:r>
        <w:rPr>
          <w:rFonts w:hint="eastAsia" w:ascii="仿宋_GB2312" w:eastAsia="仿宋_GB2312"/>
          <w:b w:val="0"/>
          <w:bCs w:val="0"/>
          <w:color w:val="auto"/>
          <w:sz w:val="28"/>
          <w:szCs w:val="28"/>
          <w:highlight w:val="none"/>
          <w:u w:val="single"/>
        </w:rPr>
        <w:t xml:space="preserve"> </w:t>
      </w:r>
      <w:r>
        <w:rPr>
          <w:rFonts w:hint="eastAsia" w:ascii="仿宋" w:hAnsi="仿宋" w:eastAsia="仿宋" w:cs="仿宋_GB2312"/>
          <w:b w:val="0"/>
          <w:bCs w:val="0"/>
          <w:sz w:val="28"/>
          <w:szCs w:val="28"/>
          <w:u w:val="single"/>
        </w:rPr>
        <w:t>广州市净水有限公司大坦沙分公司2022年二期内回流泵</w:t>
      </w:r>
      <w:r>
        <w:rPr>
          <w:rFonts w:hint="eastAsia" w:ascii="仿宋" w:hAnsi="仿宋" w:eastAsia="仿宋" w:cs="仿宋_GB2312"/>
          <w:b w:val="0"/>
          <w:bCs w:val="0"/>
          <w:sz w:val="28"/>
          <w:szCs w:val="28"/>
          <w:u w:val="single"/>
          <w:lang w:val="en-US" w:eastAsia="zh-CN"/>
        </w:rPr>
        <w:t xml:space="preserve">购置 </w:t>
      </w:r>
      <w:r>
        <w:rPr>
          <w:rFonts w:hint="eastAsia" w:ascii="仿宋_GB2312" w:eastAsia="仿宋_GB2312"/>
          <w:b w:val="0"/>
          <w:bCs w:val="0"/>
          <w:color w:val="auto"/>
          <w:sz w:val="28"/>
          <w:szCs w:val="28"/>
          <w:highlight w:val="none"/>
          <w:u w:val="single"/>
          <w:lang w:val="en-US" w:eastAsia="zh-CN"/>
        </w:rPr>
        <w:t>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lang w:val="en-US" w:eastAsia="zh-CN"/>
        </w:rPr>
        <w:t>XJ-20220830-2</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 w:hAnsi="仿宋" w:cs="仿宋_GB2312"/>
          <w:sz w:val="28"/>
          <w:szCs w:val="28"/>
          <w:u w:val="single"/>
          <w:lang w:val="en-US" w:eastAsia="zh-CN"/>
        </w:rPr>
        <w:t xml:space="preserve"> 89.9664万</w:t>
      </w:r>
      <w:r>
        <w:rPr>
          <w:rFonts w:hint="eastAsia" w:ascii="仿宋" w:hAnsi="仿宋" w:cs="仿宋_GB2312"/>
          <w:sz w:val="28"/>
          <w:szCs w:val="28"/>
          <w:u w:val="single"/>
        </w:rPr>
        <w:t>元（人民币</w:t>
      </w:r>
      <w:r>
        <w:rPr>
          <w:rFonts w:hint="eastAsia" w:ascii="仿宋" w:hAnsi="仿宋" w:cs="仿宋_GB2312"/>
          <w:sz w:val="28"/>
          <w:szCs w:val="28"/>
          <w:u w:val="single"/>
          <w:lang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4"/>
          <w:szCs w:val="24"/>
          <w:highlight w:val="none"/>
          <w:u w:val="single"/>
          <w:lang w:val="en-US" w:eastAsia="zh-CN"/>
        </w:rPr>
        <w:t>大坦沙分公司二期内回流泵（EIM ）2台。</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自签订合同之日起180天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广州市荔湾区桥中南路7号大坦沙净水厂</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lang w:val="en-US" w:eastAsia="zh-CN"/>
        </w:rPr>
        <w:t xml:space="preserve"> 所提供报价设备均为制造商全新原装产品，并有相关合格证、出厂证明，技术参数要求详见第五章采购需求。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2019</w:t>
      </w:r>
      <w:bookmarkStart w:id="189" w:name="_GoBack"/>
      <w:bookmarkEnd w:id="189"/>
      <w:r>
        <w:rPr>
          <w:rFonts w:hint="eastAsia" w:ascii="仿宋_GB2312" w:eastAsia="仿宋_GB2312"/>
          <w:color w:val="auto"/>
          <w:sz w:val="28"/>
          <w:szCs w:val="28"/>
          <w:highlight w:val="none"/>
          <w:u w:val="none"/>
          <w:lang w:val="en-US" w:eastAsia="zh-CN"/>
        </w:rPr>
        <w:t>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w:t>
      </w:r>
      <w:r>
        <w:rPr>
          <w:rFonts w:hint="eastAsia" w:ascii="仿宋_GB2312" w:eastAsia="仿宋_GB2312"/>
          <w:color w:val="auto"/>
          <w:sz w:val="28"/>
          <w:szCs w:val="28"/>
          <w:highlight w:val="none"/>
          <w:u w:val="none"/>
          <w:lang w:val="en-US" w:eastAsia="zh-CN"/>
        </w:rPr>
        <w:t xml:space="preserve"> 泵类设备的供货</w:t>
      </w:r>
      <w:r>
        <w:rPr>
          <w:rFonts w:hint="eastAsia" w:ascii="仿宋_GB2312" w:eastAsia="仿宋_GB2312"/>
          <w:color w:val="auto"/>
          <w:sz w:val="28"/>
          <w:szCs w:val="28"/>
          <w:highlight w:val="none"/>
          <w:u w:val="none"/>
        </w:rPr>
        <w:t>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4</w:t>
      </w:r>
      <w:r>
        <w:rPr>
          <w:rFonts w:hint="eastAsia" w:ascii="仿宋_GB2312" w:eastAsia="仿宋_GB2312"/>
          <w:color w:val="auto"/>
          <w:sz w:val="28"/>
          <w:szCs w:val="28"/>
          <w:highlight w:val="none"/>
          <w:u w:val="none"/>
        </w:rPr>
        <w:t>）项目负责人应当具备</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none"/>
          <w:lang w:val="en-US" w:eastAsia="zh-CN"/>
        </w:rPr>
        <w:t>/</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none"/>
        </w:rPr>
        <w:t>资格条件。</w:t>
      </w:r>
    </w:p>
    <w:p>
      <w:pPr>
        <w:pStyle w:val="2"/>
        <w:ind w:left="0" w:leftChars="0" w:firstLine="0" w:firstLineChars="0"/>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）其他要求：</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none"/>
          <w:lang w:val="en-US" w:eastAsia="zh-CN"/>
        </w:rPr>
        <w:t>报价人提交的响应文件需说明响应设备的型号规格表、性能曲线图、尺寸图、产品彩叶，用于核实响应设备是否满足技术要求，资料可为（中、英、日）语，如无相关资料报价一律视为无效报价。</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w:t>
      </w:r>
      <w:r>
        <w:rPr>
          <w:rFonts w:hint="eastAsia" w:ascii="仿宋_GB2312" w:eastAsia="仿宋_GB2312"/>
          <w:color w:val="auto"/>
          <w:sz w:val="28"/>
          <w:szCs w:val="28"/>
          <w:highlight w:val="none"/>
          <w:lang w:eastAsia="zh-CN"/>
        </w:rPr>
        <w:t>报价</w:t>
      </w:r>
      <w:r>
        <w:rPr>
          <w:rFonts w:hint="eastAsia" w:ascii="仿宋_GB2312" w:eastAsia="仿宋_GB2312"/>
          <w:color w:val="auto"/>
          <w:sz w:val="28"/>
          <w:szCs w:val="28"/>
          <w:highlight w:val="none"/>
        </w:rPr>
        <w:t>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31</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600" w:lineRule="exact"/>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olor w:val="auto"/>
          <w:sz w:val="28"/>
          <w:szCs w:val="28"/>
          <w:highlight w:val="none"/>
        </w:rPr>
        <w:t>□组织</w:t>
      </w:r>
    </w:p>
    <w:p>
      <w:pPr>
        <w:adjustRightInd w:val="0"/>
        <w:snapToGrid w:val="0"/>
        <w:spacing w:line="600" w:lineRule="exact"/>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15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30</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14" w:name="_Toc7340"/>
      <w:bookmarkStart w:id="15" w:name="_Toc25603"/>
      <w:bookmarkStart w:id="16" w:name="_Toc19295"/>
      <w:bookmarkStart w:id="17" w:name="_Toc9448"/>
      <w:bookmarkStart w:id="18" w:name="_Toc2324"/>
      <w:bookmarkStart w:id="19" w:name="_Toc16705"/>
      <w:bookmarkStart w:id="20" w:name="_Toc2331"/>
      <w:bookmarkStart w:id="21" w:name="_Toc16557"/>
      <w:bookmarkStart w:id="22" w:name="_Toc23749"/>
      <w:bookmarkStart w:id="23" w:name="_Toc32588"/>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ind w:left="0" w:leftChars="0" w:firstLine="0" w:firstLineChars="0"/>
        <w:rPr>
          <w:rFonts w:hint="eastAsia" w:asciiTheme="minorEastAsia" w:hAnsiTheme="minorEastAsia"/>
          <w:b/>
          <w:color w:val="auto"/>
          <w:sz w:val="32"/>
          <w:szCs w:val="32"/>
          <w:highlight w:val="none"/>
        </w:rPr>
      </w:pPr>
    </w:p>
    <w:p>
      <w:pPr>
        <w:pStyle w:val="2"/>
        <w:ind w:left="0" w:leftChars="0" w:firstLine="0" w:firstLineChars="0"/>
        <w:rPr>
          <w:rFonts w:hint="eastAsia" w:asciiTheme="minorEastAsia" w:hAnsiTheme="minorEastAsia"/>
          <w:b/>
          <w:color w:val="auto"/>
          <w:sz w:val="32"/>
          <w:szCs w:val="32"/>
          <w:highlight w:val="none"/>
        </w:rPr>
      </w:pPr>
    </w:p>
    <w:p>
      <w:pPr>
        <w:pStyle w:val="2"/>
        <w:ind w:left="0" w:leftChars="0" w:firstLine="0" w:firstLineChars="0"/>
        <w:rPr>
          <w:rFonts w:hint="eastAsia" w:asciiTheme="minorEastAsia" w:hAnsiTheme="minorEastAsia"/>
          <w:b/>
          <w:color w:val="auto"/>
          <w:sz w:val="32"/>
          <w:szCs w:val="32"/>
          <w:highlight w:val="none"/>
        </w:rPr>
      </w:pPr>
    </w:p>
    <w:p>
      <w:pPr>
        <w:pStyle w:val="2"/>
        <w:ind w:left="0" w:leftChars="0" w:firstLine="0" w:firstLineChars="0"/>
        <w:rPr>
          <w:rFonts w:hint="eastAsia" w:asciiTheme="minorEastAsia" w:hAnsiTheme="minorEastAsia"/>
          <w:b/>
          <w:color w:val="auto"/>
          <w:sz w:val="32"/>
          <w:szCs w:val="32"/>
          <w:highlight w:val="none"/>
        </w:rPr>
      </w:pPr>
    </w:p>
    <w:p>
      <w:pPr>
        <w:pStyle w:val="2"/>
        <w:ind w:left="0" w:leftChars="0" w:firstLine="0" w:firstLineChars="0"/>
        <w:rPr>
          <w:rFonts w:hint="eastAsia" w:asciiTheme="minorEastAsia" w:hAnsiTheme="minorEastAsia"/>
          <w:b/>
          <w:color w:val="auto"/>
          <w:sz w:val="32"/>
          <w:szCs w:val="32"/>
          <w:highlight w:val="none"/>
        </w:rPr>
      </w:pPr>
    </w:p>
    <w:p>
      <w:pPr>
        <w:pStyle w:val="2"/>
        <w:ind w:left="0" w:leftChars="0" w:firstLine="0" w:firstLineChars="0"/>
        <w:rPr>
          <w:rFonts w:hint="eastAsia"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5"/>
        <w:rPr>
          <w:color w:val="auto"/>
          <w:highlight w:val="none"/>
        </w:rPr>
      </w:pPr>
      <w:bookmarkStart w:id="28" w:name="_Toc7040"/>
      <w:bookmarkStart w:id="29" w:name="_Toc87616371"/>
      <w:bookmarkStart w:id="30" w:name="_Toc88209934"/>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7437"/>
      <w:bookmarkStart w:id="35" w:name="_Toc19050"/>
      <w:bookmarkStart w:id="36" w:name="_Toc10930"/>
      <w:bookmarkStart w:id="37" w:name="_Toc19759"/>
      <w:bookmarkStart w:id="38" w:name="_Toc23581"/>
      <w:bookmarkStart w:id="39" w:name="_Toc14552"/>
      <w:bookmarkStart w:id="40" w:name="_Toc4952"/>
      <w:bookmarkStart w:id="41" w:name="_Toc3156"/>
      <w:bookmarkStart w:id="42" w:name="_Toc7118"/>
      <w:bookmarkStart w:id="43" w:name="_Toc20594"/>
      <w:bookmarkStart w:id="44" w:name="_Toc14870"/>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4"/>
        <w:rPr>
          <w:color w:val="auto"/>
          <w:highlight w:val="none"/>
        </w:rPr>
      </w:pPr>
      <w:bookmarkStart w:id="45" w:name="_Toc6308"/>
      <w:bookmarkStart w:id="46" w:name="_Toc32607"/>
      <w:bookmarkStart w:id="47" w:name="_Toc22212"/>
      <w:bookmarkStart w:id="48" w:name="_Toc12177"/>
      <w:bookmarkStart w:id="49" w:name="_Toc87616378"/>
      <w:bookmarkStart w:id="50" w:name="_Toc88209941"/>
      <w:bookmarkStart w:id="51" w:name="_Toc30530"/>
      <w:bookmarkStart w:id="52" w:name="_Toc13898"/>
      <w:bookmarkStart w:id="53" w:name="_Toc29345"/>
      <w:bookmarkStart w:id="54" w:name="_Toc7831"/>
      <w:bookmarkStart w:id="55" w:name="_Toc21079"/>
      <w:bookmarkStart w:id="56" w:name="_Toc29484"/>
      <w:bookmarkStart w:id="57" w:name="_Toc2184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rPr>
          <w:rFonts w:hint="eastAsia"/>
        </w:rPr>
      </w:pPr>
      <w:bookmarkStart w:id="58" w:name="_Toc26826"/>
      <w:bookmarkStart w:id="59" w:name="_Toc23033"/>
    </w:p>
    <w:p>
      <w:pPr>
        <w:pStyle w:val="5"/>
        <w:rPr>
          <w:color w:val="auto"/>
          <w:highlight w:val="none"/>
        </w:rPr>
      </w:pPr>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hint="eastAsia"/>
          <w:color w:val="auto"/>
          <w:highlight w:val="none"/>
        </w:rPr>
      </w:pPr>
      <w:bookmarkStart w:id="60" w:name="_Toc88209947"/>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bookmarkEnd w:id="60"/>
    <w:p>
      <w:pPr>
        <w:pStyle w:val="5"/>
        <w:rPr>
          <w:color w:val="auto"/>
          <w:szCs w:val="44"/>
          <w:highlight w:val="none"/>
        </w:rPr>
      </w:pPr>
    </w:p>
    <w:p>
      <w:pPr>
        <w:rPr>
          <w:color w:val="auto"/>
          <w:szCs w:val="44"/>
          <w:highlight w:val="none"/>
        </w:rPr>
      </w:pPr>
    </w:p>
    <w:p>
      <w:pPr>
        <w:pStyle w:val="2"/>
        <w:rPr>
          <w:color w:val="auto"/>
          <w:szCs w:val="44"/>
          <w:highlight w:val="none"/>
        </w:rPr>
      </w:pPr>
    </w:p>
    <w:p>
      <w:pPr>
        <w:pStyle w:val="2"/>
        <w:rPr>
          <w:color w:val="auto"/>
          <w:szCs w:val="44"/>
          <w:highlight w:val="none"/>
        </w:rPr>
      </w:pPr>
    </w:p>
    <w:p>
      <w:pPr>
        <w:pStyle w:val="2"/>
        <w:rPr>
          <w:color w:val="auto"/>
          <w:szCs w:val="44"/>
          <w:highlight w:val="none"/>
        </w:rPr>
      </w:pPr>
    </w:p>
    <w:p>
      <w:pPr>
        <w:pStyle w:val="2"/>
        <w:rPr>
          <w:color w:val="auto"/>
          <w:szCs w:val="44"/>
          <w:highlight w:val="none"/>
        </w:rPr>
      </w:pPr>
    </w:p>
    <w:p>
      <w:pPr>
        <w:pStyle w:val="2"/>
        <w:rPr>
          <w:color w:val="auto"/>
          <w:szCs w:val="44"/>
          <w:highlight w:val="none"/>
        </w:rPr>
      </w:pPr>
    </w:p>
    <w:p>
      <w:pPr>
        <w:pStyle w:val="2"/>
        <w:rPr>
          <w:color w:val="auto"/>
          <w:szCs w:val="44"/>
          <w:highlight w:val="none"/>
        </w:rPr>
      </w:pPr>
    </w:p>
    <w:p>
      <w:pPr>
        <w:pStyle w:val="2"/>
        <w:rPr>
          <w:color w:val="auto"/>
          <w:szCs w:val="44"/>
          <w:highlight w:val="none"/>
        </w:rPr>
      </w:pPr>
    </w:p>
    <w:p>
      <w:pPr>
        <w:pStyle w:val="2"/>
        <w:rPr>
          <w:color w:val="auto"/>
          <w:szCs w:val="44"/>
          <w:highlight w:val="none"/>
        </w:rPr>
      </w:pPr>
    </w:p>
    <w:p>
      <w:pPr>
        <w:pStyle w:val="2"/>
        <w:rPr>
          <w:color w:val="auto"/>
          <w:szCs w:val="44"/>
          <w:highlight w:val="none"/>
        </w:rPr>
      </w:pPr>
    </w:p>
    <w:p>
      <w:pPr>
        <w:pStyle w:val="2"/>
        <w:rPr>
          <w:color w:val="auto"/>
          <w:szCs w:val="44"/>
          <w:highlight w:val="none"/>
        </w:rPr>
      </w:pPr>
    </w:p>
    <w:p>
      <w:pPr>
        <w:pStyle w:val="12"/>
        <w:adjustRightInd w:val="0"/>
        <w:snapToGrid w:val="0"/>
        <w:spacing w:line="300" w:lineRule="auto"/>
        <w:rPr>
          <w:rFonts w:hint="eastAsia" w:ascii="仿宋_GB2312" w:hAnsi="仿宋_GB2312" w:eastAsia="仿宋_GB2312" w:cs="仿宋_GB2312"/>
          <w:bCs/>
          <w:color w:val="000000"/>
          <w:sz w:val="30"/>
          <w:szCs w:val="30"/>
        </w:rPr>
      </w:pPr>
    </w:p>
    <w:p>
      <w:pPr>
        <w:pStyle w:val="12"/>
        <w:numPr>
          <w:ilvl w:val="0"/>
          <w:numId w:val="4"/>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spacing w:line="360" w:lineRule="auto"/>
        <w:ind w:firstLine="560" w:firstLineChars="200"/>
        <w:rPr>
          <w:rFonts w:hint="eastAsia" w:ascii="仿宋_GB2312" w:hAnsi="仿宋_GB2312" w:eastAsia="仿宋_GB2312" w:cs="仿宋_GB2312"/>
          <w:color w:val="000000"/>
          <w:kern w:val="2"/>
          <w:sz w:val="28"/>
          <w:szCs w:val="28"/>
          <w:vertAlign w:val="baseline"/>
          <w:lang w:val="en-US" w:eastAsia="zh-CN" w:bidi="ar-SA"/>
        </w:rPr>
      </w:pPr>
      <w:r>
        <w:rPr>
          <w:rFonts w:hint="eastAsia" w:ascii="仿宋_GB2312" w:hAnsi="仿宋_GB2312" w:eastAsia="仿宋_GB2312" w:cs="仿宋_GB2312"/>
          <w:color w:val="000000"/>
          <w:kern w:val="2"/>
          <w:sz w:val="28"/>
          <w:szCs w:val="28"/>
          <w:vertAlign w:val="baseline"/>
          <w:lang w:val="en-US" w:eastAsia="zh-CN" w:bidi="ar-SA"/>
        </w:rPr>
        <w:t>目前我大坦沙分公司二期内回流泵没有更替备机，而在用水泵使用时间较长均出现老化，设备外壳变薄，随时有穿漏并整体报废的可能性，需采购备泵，确保有足够的设备保障正常生产。</w:t>
      </w:r>
    </w:p>
    <w:p>
      <w:pPr>
        <w:pStyle w:val="45"/>
        <w:rPr>
          <w:rFonts w:hint="eastAsia"/>
          <w:lang w:val="zh-CN" w:eastAsia="zh-CN"/>
        </w:rPr>
      </w:pPr>
    </w:p>
    <w:p>
      <w:pPr>
        <w:pStyle w:val="12"/>
        <w:numPr>
          <w:ilvl w:val="0"/>
          <w:numId w:val="5"/>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pStyle w:val="12"/>
        <w:numPr>
          <w:ilvl w:val="0"/>
          <w:numId w:val="0"/>
        </w:numPr>
        <w:adjustRightInd w:val="0"/>
        <w:snapToGrid w:val="0"/>
        <w:spacing w:line="300" w:lineRule="auto"/>
        <w:rPr>
          <w:rFonts w:hint="default"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1.采购清单</w:t>
      </w:r>
    </w:p>
    <w:tbl>
      <w:tblPr>
        <w:tblStyle w:val="2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789"/>
        <w:gridCol w:w="1689"/>
        <w:gridCol w:w="779"/>
        <w:gridCol w:w="937"/>
        <w:gridCol w:w="3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rPr>
        <w:tc>
          <w:tcPr>
            <w:tcW w:w="1008" w:type="pc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设备名称</w:t>
            </w:r>
          </w:p>
        </w:tc>
        <w:tc>
          <w:tcPr>
            <w:tcW w:w="952" w:type="pc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highlight w:val="none"/>
                <w:u w:val="none"/>
                <w:lang w:val="en-US" w:eastAsia="zh-CN" w:bidi="ar"/>
              </w:rPr>
            </w:pPr>
            <w:r>
              <w:rPr>
                <w:rFonts w:hint="eastAsia" w:ascii="仿宋" w:hAnsi="仿宋" w:eastAsia="仿宋" w:cs="仿宋"/>
                <w:b/>
                <w:i w:val="0"/>
                <w:color w:val="000000"/>
                <w:kern w:val="0"/>
                <w:sz w:val="22"/>
                <w:szCs w:val="22"/>
                <w:highlight w:val="none"/>
                <w:u w:val="none"/>
                <w:lang w:val="en-US" w:eastAsia="zh-CN" w:bidi="ar"/>
              </w:rPr>
              <w:t>品牌</w:t>
            </w:r>
          </w:p>
          <w:p>
            <w:pPr>
              <w:keepNext w:val="0"/>
              <w:keepLines w:val="0"/>
              <w:widowControl/>
              <w:suppressLineNumbers w:val="0"/>
              <w:jc w:val="center"/>
              <w:textAlignment w:val="center"/>
              <w:rPr>
                <w:rFonts w:hint="default" w:ascii="仿宋" w:hAnsi="仿宋" w:eastAsia="仿宋" w:cs="仿宋"/>
                <w:b/>
                <w:i w:val="0"/>
                <w:color w:val="000000"/>
                <w:kern w:val="0"/>
                <w:sz w:val="22"/>
                <w:szCs w:val="22"/>
                <w:highlight w:val="none"/>
                <w:u w:val="none"/>
                <w:lang w:val="en-US" w:eastAsia="zh-CN" w:bidi="ar"/>
              </w:rPr>
            </w:pPr>
          </w:p>
        </w:tc>
        <w:tc>
          <w:tcPr>
            <w:tcW w:w="439" w:type="pc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数量</w:t>
            </w:r>
          </w:p>
        </w:tc>
        <w:tc>
          <w:tcPr>
            <w:tcW w:w="528" w:type="pc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限价</w:t>
            </w:r>
          </w:p>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金额</w:t>
            </w:r>
          </w:p>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（万元）</w:t>
            </w:r>
          </w:p>
        </w:tc>
        <w:tc>
          <w:tcPr>
            <w:tcW w:w="2071" w:type="pc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1008"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sz w:val="24"/>
                <w:szCs w:val="24"/>
                <w:highlight w:val="none"/>
                <w:u w:val="none"/>
                <w:lang w:val="en-US" w:eastAsia="zh-CN"/>
              </w:rPr>
              <w:t>大坦沙分公司二期内回流泵</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i w:val="0"/>
                <w:color w:val="000000"/>
                <w:sz w:val="24"/>
                <w:szCs w:val="24"/>
                <w:highlight w:val="none"/>
                <w:u w:val="none"/>
                <w:lang w:val="en-US" w:eastAsia="zh-CN"/>
              </w:rPr>
            </w:pPr>
            <w:r>
              <w:rPr>
                <w:rFonts w:hint="eastAsia" w:ascii="仿宋" w:hAnsi="仿宋" w:eastAsia="仿宋" w:cs="仿宋"/>
                <w:b w:val="0"/>
                <w:bCs/>
                <w:i w:val="0"/>
                <w:color w:val="000000"/>
                <w:sz w:val="24"/>
                <w:szCs w:val="24"/>
                <w:highlight w:val="none"/>
                <w:u w:val="none"/>
                <w:lang w:val="en-US" w:eastAsia="zh-CN"/>
              </w:rPr>
              <w:t>EIM</w:t>
            </w:r>
          </w:p>
          <w:p>
            <w:pPr>
              <w:keepNext w:val="0"/>
              <w:keepLines w:val="0"/>
              <w:widowControl/>
              <w:suppressLineNumbers w:val="0"/>
              <w:jc w:val="center"/>
              <w:textAlignment w:val="center"/>
              <w:rPr>
                <w:rFonts w:hint="eastAsia" w:ascii="仿宋" w:hAnsi="仿宋" w:eastAsia="仿宋" w:cs="仿宋"/>
                <w:b w:val="0"/>
                <w:bCs/>
                <w:i w:val="0"/>
                <w:color w:val="000000"/>
                <w:sz w:val="24"/>
                <w:szCs w:val="24"/>
                <w:highlight w:val="none"/>
                <w:u w:val="none"/>
                <w:lang w:val="en-US" w:eastAsia="zh-CN"/>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2台</w:t>
            </w:r>
          </w:p>
        </w:tc>
        <w:tc>
          <w:tcPr>
            <w:tcW w:w="5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89.9664</w:t>
            </w:r>
          </w:p>
        </w:tc>
        <w:tc>
          <w:tcPr>
            <w:tcW w:w="20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sz w:val="24"/>
                <w:szCs w:val="24"/>
                <w:highlight w:val="none"/>
                <w:u w:val="none"/>
                <w:lang w:val="en-US" w:eastAsia="zh-CN"/>
              </w:rPr>
              <w:t>每台设备配套≥15米原厂跟机电缆及保证设备安全稳定运行的执行、保护套件等</w:t>
            </w:r>
          </w:p>
        </w:tc>
      </w:tr>
    </w:tbl>
    <w:p>
      <w:pPr>
        <w:pStyle w:val="12"/>
        <w:numPr>
          <w:ilvl w:val="0"/>
          <w:numId w:val="0"/>
        </w:numPr>
        <w:adjustRightInd w:val="0"/>
        <w:snapToGrid w:val="0"/>
        <w:spacing w:line="300" w:lineRule="auto"/>
        <w:rPr>
          <w:rFonts w:hint="eastAsia" w:ascii="仿宋_GB2312" w:hAnsi="仿宋_GB2312" w:eastAsia="仿宋_GB2312" w:cs="仿宋_GB2312"/>
          <w:b w:val="0"/>
          <w:bCs/>
          <w:color w:val="000000"/>
          <w:sz w:val="28"/>
          <w:szCs w:val="28"/>
          <w:lang w:val="en-US" w:eastAsia="zh-CN"/>
        </w:rPr>
      </w:pPr>
    </w:p>
    <w:p>
      <w:pPr>
        <w:spacing w:line="360" w:lineRule="auto"/>
        <w:rPr>
          <w:rFonts w:hint="default" w:eastAsiaTheme="minorEastAsia"/>
          <w:b/>
          <w:bCs w:val="0"/>
          <w:sz w:val="24"/>
          <w:szCs w:val="24"/>
          <w:lang w:val="en-US" w:eastAsia="zh-CN"/>
        </w:rPr>
      </w:pPr>
      <w:r>
        <w:rPr>
          <w:rFonts w:hint="eastAsia" w:ascii="仿宋_GB2312" w:hAnsi="仿宋_GB2312" w:eastAsia="仿宋_GB2312" w:cs="仿宋_GB2312"/>
          <w:b w:val="0"/>
          <w:bCs/>
          <w:color w:val="000000"/>
          <w:kern w:val="2"/>
          <w:sz w:val="28"/>
          <w:szCs w:val="28"/>
          <w:lang w:val="en-US" w:eastAsia="zh-CN" w:bidi="ar-SA"/>
        </w:rPr>
        <w:t>2.基本要求</w:t>
      </w:r>
    </w:p>
    <w:p>
      <w:pPr>
        <w:spacing w:line="360" w:lineRule="auto"/>
        <w:ind w:firstLine="480" w:firstLineChars="200"/>
        <w:rPr>
          <w:bCs/>
          <w:sz w:val="24"/>
          <w:szCs w:val="24"/>
        </w:rPr>
      </w:pPr>
      <w:r>
        <w:rPr>
          <w:rFonts w:hint="eastAsia"/>
          <w:bCs/>
          <w:sz w:val="24"/>
          <w:szCs w:val="24"/>
          <w:lang w:val="en-US" w:eastAsia="zh-CN"/>
        </w:rPr>
        <w:t>2.1、</w:t>
      </w:r>
      <w:r>
        <w:rPr>
          <w:bCs/>
          <w:sz w:val="24"/>
          <w:szCs w:val="24"/>
        </w:rPr>
        <w:t>供货范围</w:t>
      </w:r>
      <w:r>
        <w:rPr>
          <w:rFonts w:hint="eastAsia"/>
          <w:bCs/>
          <w:sz w:val="24"/>
          <w:szCs w:val="24"/>
        </w:rPr>
        <w:t>：</w:t>
      </w:r>
    </w:p>
    <w:p>
      <w:pPr>
        <w:spacing w:line="360" w:lineRule="auto"/>
        <w:ind w:firstLine="480" w:firstLineChars="200"/>
        <w:rPr>
          <w:rFonts w:ascii="Calibri" w:hAnsi="Calibri"/>
          <w:sz w:val="24"/>
          <w:szCs w:val="24"/>
          <w:lang w:val="zh-CN"/>
        </w:rPr>
      </w:pPr>
      <w:r>
        <w:rPr>
          <w:sz w:val="24"/>
          <w:szCs w:val="24"/>
        </w:rPr>
        <w:t>总则：标准化的外观、运行、维修、备品备件以及制造商服务，所提供的设备必须是一个制造商的最终产品。每台潜水泵应成套地配备安全、有效及可靠运行所需的附件，潜水泵主要包括，但不限于：</w:t>
      </w:r>
    </w:p>
    <w:p>
      <w:pPr>
        <w:spacing w:line="360" w:lineRule="auto"/>
        <w:ind w:firstLine="480" w:firstLineChars="200"/>
        <w:rPr>
          <w:rFonts w:hint="eastAsia" w:ascii="Times New Roman" w:hAnsi="Times New Roman" w:cs="Times New Roman"/>
          <w:sz w:val="24"/>
          <w:szCs w:val="24"/>
          <w:lang w:val="en-US" w:eastAsia="zh-CN"/>
        </w:rPr>
      </w:pPr>
      <w:r>
        <w:rPr>
          <w:rFonts w:ascii="Times New Roman" w:hAnsi="Times New Roman" w:cs="Times New Roman"/>
          <w:sz w:val="24"/>
          <w:szCs w:val="24"/>
          <w:lang w:val="zh-CN"/>
        </w:rPr>
        <w:t>装配完整的全新、未经使用的潜水泵</w:t>
      </w:r>
      <w:r>
        <w:rPr>
          <w:rFonts w:hint="eastAsia" w:ascii="Times New Roman" w:hAnsi="Times New Roman" w:cs="Times New Roman"/>
          <w:sz w:val="24"/>
          <w:szCs w:val="24"/>
          <w:lang w:val="zh-CN"/>
        </w:rPr>
        <w:t>，</w:t>
      </w:r>
      <w:r>
        <w:rPr>
          <w:rFonts w:hint="eastAsia" w:ascii="Times New Roman" w:hAnsi="Times New Roman" w:cs="Times New Roman"/>
          <w:sz w:val="24"/>
          <w:szCs w:val="24"/>
          <w:lang w:val="en-US" w:eastAsia="zh-CN"/>
        </w:rPr>
        <w:t>设备需完全符合现场安装尺寸及</w:t>
      </w:r>
      <w:r>
        <w:rPr>
          <w:rFonts w:ascii="Times New Roman" w:hAnsi="Times New Roman" w:cs="Times New Roman"/>
          <w:sz w:val="24"/>
          <w:szCs w:val="24"/>
          <w:lang w:val="zh-CN"/>
        </w:rPr>
        <w:t>适配至相关位置中，</w:t>
      </w:r>
      <w:r>
        <w:rPr>
          <w:rFonts w:hint="eastAsia" w:ascii="Times New Roman" w:hAnsi="Times New Roman" w:cs="Times New Roman"/>
          <w:sz w:val="24"/>
          <w:szCs w:val="24"/>
          <w:lang w:val="en-US" w:eastAsia="zh-CN"/>
        </w:rPr>
        <w:t>确保设备无需对安装位置做任何改造即可正常安装</w:t>
      </w:r>
      <w:r>
        <w:rPr>
          <w:rFonts w:ascii="Times New Roman" w:hAnsi="Times New Roman" w:cs="Times New Roman"/>
          <w:sz w:val="24"/>
          <w:szCs w:val="24"/>
          <w:lang w:val="zh-CN"/>
        </w:rPr>
        <w:t>并使用</w:t>
      </w:r>
      <w:r>
        <w:rPr>
          <w:rFonts w:hint="eastAsia" w:ascii="Times New Roman" w:hAnsi="Times New Roman" w:cs="Times New Roman"/>
          <w:sz w:val="24"/>
          <w:szCs w:val="24"/>
          <w:lang w:val="en-US" w:eastAsia="zh-CN"/>
        </w:rPr>
        <w:t>。</w:t>
      </w:r>
    </w:p>
    <w:p>
      <w:pPr>
        <w:pStyle w:val="2"/>
        <w:ind w:left="0" w:leftChars="0" w:firstLine="480" w:firstLineChars="200"/>
        <w:rPr>
          <w:rFonts w:hint="default"/>
          <w:highlight w:val="none"/>
          <w:lang w:val="en-US"/>
        </w:rPr>
      </w:pPr>
      <w:r>
        <w:rPr>
          <w:rFonts w:hint="eastAsia" w:ascii="Times New Roman" w:hAnsi="Times New Roman" w:eastAsia="宋体" w:cs="Times New Roman"/>
          <w:color w:val="auto"/>
          <w:kern w:val="2"/>
          <w:sz w:val="24"/>
          <w:szCs w:val="24"/>
          <w:highlight w:val="none"/>
          <w:lang w:val="en-US" w:eastAsia="zh-CN" w:bidi="ar-SA"/>
        </w:rPr>
        <w:t>报价人提交的响应文件需说明响应设备的品牌和型号，并附设备说明书或型式试验证书等资料用于核实响应设备是否满足技术要求。</w:t>
      </w:r>
    </w:p>
    <w:p>
      <w:pPr>
        <w:spacing w:line="360" w:lineRule="auto"/>
        <w:ind w:firstLine="480" w:firstLineChars="200"/>
        <w:rPr>
          <w:rFonts w:ascii="Calibri" w:hAnsi="Calibri"/>
          <w:b/>
          <w:bCs w:val="0"/>
          <w:sz w:val="24"/>
          <w:szCs w:val="24"/>
          <w:lang w:val="zh-CN"/>
        </w:rPr>
      </w:pPr>
      <w:r>
        <w:rPr>
          <w:rFonts w:hint="eastAsia"/>
          <w:b w:val="0"/>
          <w:bCs/>
          <w:sz w:val="24"/>
          <w:szCs w:val="24"/>
          <w:lang w:val="en-US" w:eastAsia="zh-CN"/>
        </w:rPr>
        <w:t>2.2、</w:t>
      </w:r>
      <w:r>
        <w:rPr>
          <w:rFonts w:hint="eastAsia"/>
          <w:b w:val="0"/>
          <w:bCs/>
          <w:sz w:val="24"/>
          <w:szCs w:val="24"/>
        </w:rPr>
        <w:t>性能参数</w:t>
      </w:r>
      <w:r>
        <w:rPr>
          <w:b w:val="0"/>
          <w:bCs/>
          <w:sz w:val="24"/>
          <w:szCs w:val="24"/>
        </w:rPr>
        <w:t>表</w:t>
      </w:r>
    </w:p>
    <w:tbl>
      <w:tblPr>
        <w:tblStyle w:val="22"/>
        <w:tblW w:w="8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0" w:type="dxa"/>
            <w:tcBorders>
              <w:tl2br w:val="nil"/>
              <w:tr2bl w:val="nil"/>
            </w:tcBorders>
            <w:vAlign w:val="center"/>
          </w:tcPr>
          <w:p>
            <w:pPr>
              <w:spacing w:line="360" w:lineRule="auto"/>
              <w:ind w:firstLine="480" w:firstLineChars="200"/>
              <w:rPr>
                <w:sz w:val="24"/>
                <w:szCs w:val="24"/>
              </w:rPr>
            </w:pPr>
            <w:r>
              <w:rPr>
                <w:rFonts w:hint="eastAsia"/>
                <w:sz w:val="24"/>
                <w:szCs w:val="24"/>
              </w:rPr>
              <w:t>水泵名称</w:t>
            </w:r>
          </w:p>
        </w:tc>
        <w:tc>
          <w:tcPr>
            <w:tcW w:w="4320" w:type="dxa"/>
            <w:tcBorders>
              <w:tl2br w:val="nil"/>
              <w:tr2bl w:val="nil"/>
            </w:tcBorders>
            <w:vAlign w:val="center"/>
          </w:tcPr>
          <w:p>
            <w:pPr>
              <w:spacing w:line="360" w:lineRule="auto"/>
              <w:ind w:firstLine="480" w:firstLineChars="200"/>
              <w:rPr>
                <w:sz w:val="24"/>
                <w:szCs w:val="24"/>
              </w:rPr>
            </w:pPr>
            <w:r>
              <w:rPr>
                <w:rFonts w:hint="eastAsia"/>
                <w:sz w:val="24"/>
                <w:szCs w:val="24"/>
              </w:rPr>
              <w:t>潜水轴流泵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0" w:type="dxa"/>
            <w:tcBorders>
              <w:tl2br w:val="nil"/>
              <w:tr2bl w:val="nil"/>
            </w:tcBorders>
            <w:vAlign w:val="center"/>
          </w:tcPr>
          <w:p>
            <w:pPr>
              <w:spacing w:line="360" w:lineRule="auto"/>
              <w:ind w:firstLine="480" w:firstLineChars="200"/>
              <w:rPr>
                <w:sz w:val="24"/>
                <w:szCs w:val="24"/>
              </w:rPr>
            </w:pPr>
            <w:r>
              <w:rPr>
                <w:rFonts w:hint="eastAsia"/>
                <w:sz w:val="24"/>
                <w:szCs w:val="24"/>
              </w:rPr>
              <w:t>数量</w:t>
            </w:r>
          </w:p>
        </w:tc>
        <w:tc>
          <w:tcPr>
            <w:tcW w:w="4320" w:type="dxa"/>
            <w:tcBorders>
              <w:tl2br w:val="nil"/>
              <w:tr2bl w:val="nil"/>
            </w:tcBorders>
            <w:vAlign w:val="center"/>
          </w:tcPr>
          <w:p>
            <w:pPr>
              <w:spacing w:line="360" w:lineRule="auto"/>
              <w:ind w:firstLine="480" w:firstLineChars="200"/>
              <w:rPr>
                <w:sz w:val="24"/>
                <w:szCs w:val="24"/>
              </w:rPr>
            </w:pPr>
            <w:r>
              <w:rPr>
                <w:rFonts w:hint="eastAsia"/>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0" w:type="dxa"/>
            <w:tcBorders>
              <w:tl2br w:val="nil"/>
              <w:tr2bl w:val="nil"/>
            </w:tcBorders>
            <w:vAlign w:val="center"/>
          </w:tcPr>
          <w:p>
            <w:pPr>
              <w:spacing w:line="360" w:lineRule="auto"/>
              <w:ind w:firstLine="480" w:firstLineChars="200"/>
              <w:rPr>
                <w:sz w:val="24"/>
                <w:szCs w:val="24"/>
              </w:rPr>
            </w:pPr>
            <w:r>
              <w:rPr>
                <w:rFonts w:hint="eastAsia"/>
                <w:sz w:val="24"/>
                <w:szCs w:val="24"/>
              </w:rPr>
              <w:t>水泵型式</w:t>
            </w:r>
          </w:p>
        </w:tc>
        <w:tc>
          <w:tcPr>
            <w:tcW w:w="4320" w:type="dxa"/>
            <w:tcBorders>
              <w:tl2br w:val="nil"/>
              <w:tr2bl w:val="nil"/>
            </w:tcBorders>
            <w:vAlign w:val="center"/>
          </w:tcPr>
          <w:p>
            <w:pPr>
              <w:spacing w:line="360" w:lineRule="auto"/>
              <w:ind w:firstLine="480" w:firstLineChars="200"/>
              <w:rPr>
                <w:sz w:val="24"/>
                <w:szCs w:val="24"/>
              </w:rPr>
            </w:pPr>
            <w:r>
              <w:rPr>
                <w:sz w:val="24"/>
                <w:szCs w:val="24"/>
              </w:rPr>
              <w:t>潜水式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0" w:type="dxa"/>
            <w:tcBorders>
              <w:tl2br w:val="nil"/>
              <w:tr2bl w:val="nil"/>
            </w:tcBorders>
            <w:vAlign w:val="center"/>
          </w:tcPr>
          <w:p>
            <w:pPr>
              <w:spacing w:line="360" w:lineRule="auto"/>
              <w:ind w:firstLine="480" w:firstLineChars="200"/>
              <w:rPr>
                <w:sz w:val="24"/>
                <w:szCs w:val="24"/>
              </w:rPr>
            </w:pPr>
            <w:r>
              <w:rPr>
                <w:rFonts w:hint="eastAsia"/>
                <w:sz w:val="24"/>
                <w:szCs w:val="24"/>
              </w:rPr>
              <w:t>介质</w:t>
            </w:r>
          </w:p>
        </w:tc>
        <w:tc>
          <w:tcPr>
            <w:tcW w:w="4320" w:type="dxa"/>
            <w:tcBorders>
              <w:tl2br w:val="nil"/>
              <w:tr2bl w:val="nil"/>
            </w:tcBorders>
            <w:vAlign w:val="center"/>
          </w:tcPr>
          <w:p>
            <w:pPr>
              <w:spacing w:line="360" w:lineRule="auto"/>
              <w:ind w:firstLine="480" w:firstLineChars="200"/>
              <w:rPr>
                <w:sz w:val="24"/>
                <w:szCs w:val="24"/>
              </w:rPr>
            </w:pPr>
            <w:r>
              <w:rPr>
                <w:sz w:val="24"/>
                <w:szCs w:val="24"/>
              </w:rPr>
              <w:t>泥水混合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0" w:type="dxa"/>
            <w:tcBorders>
              <w:tl2br w:val="nil"/>
              <w:tr2bl w:val="nil"/>
            </w:tcBorders>
            <w:vAlign w:val="center"/>
          </w:tcPr>
          <w:p>
            <w:pPr>
              <w:spacing w:line="360" w:lineRule="auto"/>
              <w:ind w:firstLine="480" w:firstLineChars="200"/>
              <w:rPr>
                <w:sz w:val="24"/>
                <w:szCs w:val="24"/>
              </w:rPr>
            </w:pPr>
            <w:r>
              <w:rPr>
                <w:rFonts w:hint="eastAsia"/>
                <w:sz w:val="24"/>
                <w:szCs w:val="24"/>
              </w:rPr>
              <w:t>安装方式</w:t>
            </w:r>
          </w:p>
        </w:tc>
        <w:tc>
          <w:tcPr>
            <w:tcW w:w="4320" w:type="dxa"/>
            <w:tcBorders>
              <w:tl2br w:val="nil"/>
              <w:tr2bl w:val="nil"/>
            </w:tcBorders>
            <w:vAlign w:val="center"/>
          </w:tcPr>
          <w:p>
            <w:pPr>
              <w:spacing w:line="360" w:lineRule="auto"/>
              <w:ind w:firstLine="480" w:firstLineChars="200"/>
              <w:rPr>
                <w:sz w:val="24"/>
                <w:szCs w:val="24"/>
              </w:rPr>
            </w:pPr>
            <w:r>
              <w:rPr>
                <w:sz w:val="24"/>
                <w:szCs w:val="24"/>
              </w:rPr>
              <w:t>垂直</w:t>
            </w:r>
            <w:r>
              <w:rPr>
                <w:rFonts w:hint="eastAsia"/>
                <w:sz w:val="24"/>
                <w:szCs w:val="24"/>
              </w:rPr>
              <w:t>（</w:t>
            </w:r>
            <w:r>
              <w:rPr>
                <w:rFonts w:hint="eastAsia"/>
                <w:sz w:val="24"/>
                <w:szCs w:val="24"/>
                <w:lang w:val="en-US" w:eastAsia="zh-CN"/>
              </w:rPr>
              <w:t>导筒</w:t>
            </w:r>
            <w:r>
              <w:rPr>
                <w:rFonts w:hint="eastAsia"/>
                <w:sz w:val="24"/>
                <w:szCs w:val="24"/>
              </w:rPr>
              <w:t>式安装）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0" w:type="dxa"/>
            <w:tcBorders>
              <w:tl2br w:val="nil"/>
              <w:tr2bl w:val="nil"/>
            </w:tcBorders>
            <w:vAlign w:val="center"/>
          </w:tcPr>
          <w:p>
            <w:pPr>
              <w:spacing w:line="360" w:lineRule="auto"/>
              <w:ind w:firstLine="480" w:firstLineChars="200"/>
              <w:rPr>
                <w:sz w:val="24"/>
                <w:szCs w:val="24"/>
              </w:rPr>
            </w:pPr>
            <w:r>
              <w:rPr>
                <w:rFonts w:hint="eastAsia"/>
                <w:sz w:val="24"/>
                <w:szCs w:val="24"/>
              </w:rPr>
              <w:t>额定工况</w:t>
            </w:r>
          </w:p>
        </w:tc>
        <w:tc>
          <w:tcPr>
            <w:tcW w:w="4320" w:type="dxa"/>
            <w:tcBorders>
              <w:tl2br w:val="nil"/>
              <w:tr2bl w:val="nil"/>
            </w:tcBorders>
            <w:vAlign w:val="center"/>
          </w:tcPr>
          <w:p>
            <w:pPr>
              <w:spacing w:line="360" w:lineRule="auto"/>
              <w:ind w:firstLine="480" w:firstLineChars="200"/>
              <w:rPr>
                <w:sz w:val="24"/>
                <w:szCs w:val="24"/>
              </w:rPr>
            </w:pPr>
            <w:r>
              <w:rPr>
                <w:rFonts w:hint="eastAsia"/>
                <w:sz w:val="24"/>
                <w:szCs w:val="24"/>
              </w:rPr>
              <w:t>Q</w:t>
            </w:r>
            <w:r>
              <w:rPr>
                <w:rFonts w:hint="eastAsia"/>
                <w:sz w:val="24"/>
                <w:szCs w:val="24"/>
                <w:lang w:val="en-US" w:eastAsia="zh-CN"/>
              </w:rPr>
              <w:t>≥3180</w:t>
            </w:r>
            <w:r>
              <w:rPr>
                <w:sz w:val="24"/>
                <w:szCs w:val="24"/>
              </w:rPr>
              <w:t>m3/h</w:t>
            </w:r>
            <w:r>
              <w:rPr>
                <w:rFonts w:hint="eastAsia"/>
                <w:sz w:val="24"/>
                <w:szCs w:val="24"/>
              </w:rPr>
              <w:t>，H</w:t>
            </w:r>
            <w:r>
              <w:rPr>
                <w:rFonts w:hint="eastAsia"/>
                <w:sz w:val="24"/>
                <w:szCs w:val="24"/>
                <w:lang w:val="en-US" w:eastAsia="zh-CN"/>
              </w:rPr>
              <w:t>≥2.5</w:t>
            </w:r>
            <w:r>
              <w:rPr>
                <w:rFonts w:hint="eastAsia"/>
                <w:sz w:val="24"/>
                <w:szCs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0" w:type="dxa"/>
            <w:tcBorders>
              <w:tl2br w:val="nil"/>
              <w:tr2bl w:val="nil"/>
            </w:tcBorders>
            <w:vAlign w:val="center"/>
          </w:tcPr>
          <w:p>
            <w:pPr>
              <w:spacing w:line="360" w:lineRule="auto"/>
              <w:ind w:firstLine="480" w:firstLineChars="200"/>
              <w:rPr>
                <w:sz w:val="24"/>
                <w:szCs w:val="24"/>
              </w:rPr>
            </w:pPr>
            <w:r>
              <w:rPr>
                <w:rFonts w:hint="eastAsia"/>
                <w:sz w:val="24"/>
                <w:szCs w:val="24"/>
              </w:rPr>
              <w:t>水泵效率（工况点）</w:t>
            </w:r>
          </w:p>
        </w:tc>
        <w:tc>
          <w:tcPr>
            <w:tcW w:w="4320" w:type="dxa"/>
            <w:tcBorders>
              <w:tl2br w:val="nil"/>
              <w:tr2bl w:val="nil"/>
            </w:tcBorders>
            <w:vAlign w:val="center"/>
          </w:tcPr>
          <w:p>
            <w:pPr>
              <w:spacing w:line="360" w:lineRule="auto"/>
              <w:ind w:firstLine="480" w:firstLineChars="200"/>
              <w:rPr>
                <w:sz w:val="24"/>
                <w:szCs w:val="24"/>
              </w:rPr>
            </w:pPr>
            <w:r>
              <w:rPr>
                <w:rFonts w:hint="eastAsia"/>
                <w:sz w:val="24"/>
                <w:szCs w:val="24"/>
              </w:rPr>
              <w:t>≥</w:t>
            </w:r>
            <w:r>
              <w:rPr>
                <w:rFonts w:hint="eastAsia"/>
                <w:sz w:val="24"/>
                <w:szCs w:val="24"/>
                <w:lang w:val="en-US" w:eastAsia="zh-CN"/>
              </w:rPr>
              <w:t>60</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0" w:type="dxa"/>
            <w:tcBorders>
              <w:tl2br w:val="nil"/>
              <w:tr2bl w:val="nil"/>
            </w:tcBorders>
            <w:vAlign w:val="center"/>
          </w:tcPr>
          <w:p>
            <w:pPr>
              <w:spacing w:line="360" w:lineRule="auto"/>
              <w:ind w:firstLine="480" w:firstLineChars="200"/>
              <w:rPr>
                <w:sz w:val="24"/>
                <w:szCs w:val="24"/>
              </w:rPr>
            </w:pPr>
            <w:r>
              <w:rPr>
                <w:rFonts w:hint="eastAsia"/>
                <w:sz w:val="24"/>
                <w:szCs w:val="24"/>
              </w:rPr>
              <w:t>电机功率</w:t>
            </w:r>
          </w:p>
        </w:tc>
        <w:tc>
          <w:tcPr>
            <w:tcW w:w="4320" w:type="dxa"/>
            <w:tcBorders>
              <w:tl2br w:val="nil"/>
              <w:tr2bl w:val="nil"/>
            </w:tcBorders>
            <w:vAlign w:val="center"/>
          </w:tcPr>
          <w:p>
            <w:pPr>
              <w:spacing w:line="360" w:lineRule="auto"/>
              <w:ind w:firstLine="480" w:firstLineChars="200"/>
              <w:rPr>
                <w:sz w:val="24"/>
                <w:szCs w:val="24"/>
              </w:rPr>
            </w:pPr>
            <w:r>
              <w:rPr>
                <w:rFonts w:hint="eastAsia"/>
                <w:sz w:val="24"/>
                <w:szCs w:val="24"/>
              </w:rPr>
              <w:t>≤3</w:t>
            </w:r>
            <w:r>
              <w:rPr>
                <w:rFonts w:hint="eastAsia"/>
                <w:sz w:val="24"/>
                <w:szCs w:val="24"/>
                <w:lang w:val="en-US" w:eastAsia="zh-CN"/>
              </w:rPr>
              <w:t>7</w:t>
            </w:r>
            <w:r>
              <w:rPr>
                <w:rFonts w:hint="eastAsia"/>
                <w:sz w:val="24"/>
                <w:szCs w:val="24"/>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exact"/>
          <w:jc w:val="center"/>
        </w:trPr>
        <w:tc>
          <w:tcPr>
            <w:tcW w:w="3810" w:type="dxa"/>
            <w:tcBorders>
              <w:tl2br w:val="nil"/>
              <w:tr2bl w:val="nil"/>
            </w:tcBorders>
            <w:vAlign w:val="center"/>
          </w:tcPr>
          <w:p>
            <w:pPr>
              <w:spacing w:line="360" w:lineRule="auto"/>
              <w:ind w:firstLine="480" w:firstLineChars="200"/>
              <w:rPr>
                <w:rFonts w:hint="eastAsia"/>
                <w:sz w:val="24"/>
                <w:szCs w:val="24"/>
              </w:rPr>
            </w:pPr>
            <w:r>
              <w:rPr>
                <w:rFonts w:hint="eastAsia"/>
                <w:sz w:val="24"/>
                <w:szCs w:val="24"/>
                <w:lang w:val="en-US" w:eastAsia="zh-CN"/>
              </w:rPr>
              <w:t>内置电机保护器</w:t>
            </w:r>
          </w:p>
        </w:tc>
        <w:tc>
          <w:tcPr>
            <w:tcW w:w="4320" w:type="dxa"/>
            <w:tcBorders>
              <w:tl2br w:val="nil"/>
              <w:tr2bl w:val="nil"/>
            </w:tcBorders>
            <w:vAlign w:val="center"/>
          </w:tcPr>
          <w:p>
            <w:pPr>
              <w:spacing w:line="360" w:lineRule="auto"/>
              <w:ind w:firstLine="480" w:firstLineChars="200"/>
              <w:jc w:val="center"/>
              <w:rPr>
                <w:rFonts w:hint="eastAsia"/>
                <w:sz w:val="24"/>
                <w:szCs w:val="24"/>
                <w:lang w:val="en-US" w:eastAsia="zh-CN"/>
              </w:rPr>
            </w:pPr>
            <w:r>
              <w:rPr>
                <w:rFonts w:hint="eastAsia"/>
                <w:sz w:val="24"/>
                <w:szCs w:val="24"/>
                <w:lang w:val="en-US" w:eastAsia="zh-CN"/>
              </w:rPr>
              <w:t>定子绕组温度探测保护器、电机外壳渗水探测器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jc w:val="center"/>
        </w:trPr>
        <w:tc>
          <w:tcPr>
            <w:tcW w:w="3810" w:type="dxa"/>
            <w:tcBorders>
              <w:tl2br w:val="nil"/>
              <w:tr2bl w:val="nil"/>
            </w:tcBorders>
            <w:vAlign w:val="center"/>
          </w:tcPr>
          <w:p>
            <w:pPr>
              <w:spacing w:line="360" w:lineRule="auto"/>
              <w:ind w:firstLine="480" w:firstLineChars="200"/>
              <w:jc w:val="center"/>
              <w:rPr>
                <w:rFonts w:hint="default"/>
                <w:sz w:val="24"/>
                <w:szCs w:val="24"/>
                <w:lang w:val="en-US"/>
              </w:rPr>
            </w:pPr>
            <w:r>
              <w:rPr>
                <w:rFonts w:hint="eastAsia"/>
                <w:sz w:val="24"/>
                <w:szCs w:val="24"/>
                <w:lang w:val="en-US" w:eastAsia="zh-CN"/>
              </w:rPr>
              <w:t>起动电流（50hz）/额定电流（50hz）</w:t>
            </w:r>
          </w:p>
        </w:tc>
        <w:tc>
          <w:tcPr>
            <w:tcW w:w="4320" w:type="dxa"/>
            <w:tcBorders>
              <w:tl2br w:val="nil"/>
              <w:tr2bl w:val="nil"/>
            </w:tcBorders>
            <w:vAlign w:val="center"/>
          </w:tcPr>
          <w:p>
            <w:pPr>
              <w:spacing w:line="360" w:lineRule="auto"/>
              <w:ind w:firstLine="480" w:firstLineChars="200"/>
              <w:jc w:val="center"/>
              <w:rPr>
                <w:rFonts w:hint="default"/>
                <w:sz w:val="24"/>
                <w:szCs w:val="24"/>
                <w:lang w:val="en-US" w:eastAsia="zh-CN"/>
              </w:rPr>
            </w:pPr>
            <w:r>
              <w:rPr>
                <w:rFonts w:hint="eastAsia"/>
                <w:sz w:val="24"/>
                <w:szCs w:val="24"/>
                <w:lang w:val="en-US" w:eastAsia="zh-CN"/>
              </w:rPr>
              <w:t>522A/72A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0" w:type="dxa"/>
            <w:tcBorders>
              <w:tl2br w:val="nil"/>
              <w:tr2bl w:val="nil"/>
            </w:tcBorders>
            <w:vAlign w:val="center"/>
          </w:tcPr>
          <w:p>
            <w:pPr>
              <w:spacing w:line="360" w:lineRule="auto"/>
              <w:ind w:firstLine="480" w:firstLineChars="200"/>
              <w:rPr>
                <w:sz w:val="24"/>
                <w:szCs w:val="24"/>
              </w:rPr>
            </w:pPr>
            <w:r>
              <w:rPr>
                <w:rFonts w:hint="eastAsia"/>
                <w:sz w:val="24"/>
                <w:szCs w:val="24"/>
              </w:rPr>
              <w:t>电机转速</w:t>
            </w:r>
          </w:p>
        </w:tc>
        <w:tc>
          <w:tcPr>
            <w:tcW w:w="4320" w:type="dxa"/>
            <w:tcBorders>
              <w:tl2br w:val="nil"/>
              <w:tr2bl w:val="nil"/>
            </w:tcBorders>
            <w:vAlign w:val="center"/>
          </w:tcPr>
          <w:p>
            <w:pPr>
              <w:spacing w:line="360" w:lineRule="auto"/>
              <w:ind w:firstLine="480" w:firstLineChars="200"/>
              <w:rPr>
                <w:sz w:val="24"/>
                <w:szCs w:val="24"/>
              </w:rPr>
            </w:pPr>
            <w:r>
              <w:rPr>
                <w:rFonts w:hint="eastAsia"/>
                <w:sz w:val="24"/>
                <w:szCs w:val="24"/>
                <w:lang w:val="en-US" w:eastAsia="zh-CN"/>
              </w:rPr>
              <w:t>415</w:t>
            </w:r>
            <w:r>
              <w:rPr>
                <w:rFonts w:hint="eastAsia"/>
                <w:sz w:val="24"/>
                <w:szCs w:val="24"/>
              </w:rPr>
              <w:t>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0" w:type="dxa"/>
            <w:tcBorders>
              <w:tl2br w:val="nil"/>
              <w:tr2bl w:val="nil"/>
            </w:tcBorders>
            <w:vAlign w:val="center"/>
          </w:tcPr>
          <w:p>
            <w:pPr>
              <w:spacing w:line="360" w:lineRule="auto"/>
              <w:ind w:firstLine="480" w:firstLineChars="200"/>
              <w:rPr>
                <w:sz w:val="24"/>
                <w:szCs w:val="24"/>
              </w:rPr>
            </w:pPr>
            <w:r>
              <w:rPr>
                <w:rFonts w:hint="eastAsia"/>
                <w:sz w:val="24"/>
                <w:szCs w:val="24"/>
              </w:rPr>
              <w:t>筒体内径</w:t>
            </w:r>
          </w:p>
        </w:tc>
        <w:tc>
          <w:tcPr>
            <w:tcW w:w="4320" w:type="dxa"/>
            <w:tcBorders>
              <w:tl2br w:val="nil"/>
              <w:tr2bl w:val="nil"/>
            </w:tcBorders>
            <w:vAlign w:val="center"/>
          </w:tcPr>
          <w:p>
            <w:pPr>
              <w:spacing w:line="360" w:lineRule="auto"/>
              <w:ind w:firstLine="480" w:firstLineChars="200"/>
              <w:rPr>
                <w:sz w:val="24"/>
                <w:szCs w:val="24"/>
              </w:rPr>
            </w:pPr>
            <w:r>
              <w:rPr>
                <w:rFonts w:hint="eastAsia"/>
                <w:sz w:val="24"/>
                <w:szCs w:val="24"/>
              </w:rPr>
              <w:t>DN</w:t>
            </w:r>
            <w:r>
              <w:rPr>
                <w:rFonts w:hint="eastAsia"/>
                <w:sz w:val="24"/>
                <w:szCs w:val="24"/>
                <w:lang w:val="en-US" w:eastAsia="zh-CN"/>
              </w:rPr>
              <w:t>1000</w:t>
            </w:r>
            <w:r>
              <w:rPr>
                <w:rFonts w:hint="eastAsia"/>
                <w:sz w:val="24"/>
                <w:szCs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0" w:type="dxa"/>
            <w:tcBorders>
              <w:tl2br w:val="nil"/>
              <w:tr2bl w:val="nil"/>
            </w:tcBorders>
            <w:vAlign w:val="center"/>
          </w:tcPr>
          <w:p>
            <w:pPr>
              <w:spacing w:line="360" w:lineRule="auto"/>
              <w:ind w:firstLine="480" w:firstLineChars="200"/>
              <w:rPr>
                <w:rFonts w:hint="default" w:eastAsiaTheme="minorEastAsia"/>
                <w:sz w:val="24"/>
                <w:szCs w:val="24"/>
                <w:lang w:val="en-US" w:eastAsia="zh-CN"/>
              </w:rPr>
            </w:pPr>
            <w:r>
              <w:rPr>
                <w:rFonts w:hint="eastAsia"/>
                <w:sz w:val="24"/>
                <w:szCs w:val="24"/>
                <w:lang w:val="en-US" w:eastAsia="zh-CN"/>
              </w:rPr>
              <w:t>连接尺寸</w:t>
            </w:r>
          </w:p>
        </w:tc>
        <w:tc>
          <w:tcPr>
            <w:tcW w:w="4320" w:type="dxa"/>
            <w:tcBorders>
              <w:tl2br w:val="nil"/>
              <w:tr2bl w:val="nil"/>
            </w:tcBorders>
            <w:vAlign w:val="center"/>
          </w:tcPr>
          <w:p>
            <w:pPr>
              <w:spacing w:line="360" w:lineRule="auto"/>
              <w:ind w:firstLine="480" w:firstLineChars="200"/>
              <w:rPr>
                <w:rFonts w:hint="default"/>
                <w:sz w:val="24"/>
                <w:szCs w:val="24"/>
                <w:lang w:val="en-US" w:eastAsia="zh-CN"/>
              </w:rPr>
            </w:pPr>
            <w:r>
              <w:rPr>
                <w:rFonts w:hint="eastAsia"/>
                <w:sz w:val="24"/>
                <w:szCs w:val="24"/>
                <w:lang w:val="en-US" w:eastAsia="zh-CN"/>
              </w:rPr>
              <w:t>DN700mm</w:t>
            </w:r>
          </w:p>
          <w:p>
            <w:pPr>
              <w:spacing w:line="360" w:lineRule="auto"/>
              <w:ind w:firstLine="480" w:firstLineChars="200"/>
              <w:rPr>
                <w:rFonts w:hint="default"/>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0" w:type="dxa"/>
            <w:tcBorders>
              <w:tl2br w:val="nil"/>
              <w:tr2bl w:val="nil"/>
            </w:tcBorders>
            <w:vAlign w:val="center"/>
          </w:tcPr>
          <w:p>
            <w:pPr>
              <w:spacing w:line="360" w:lineRule="auto"/>
              <w:ind w:firstLine="480" w:firstLineChars="200"/>
              <w:rPr>
                <w:rFonts w:hint="default" w:eastAsiaTheme="minorEastAsia"/>
                <w:sz w:val="24"/>
                <w:szCs w:val="24"/>
                <w:lang w:val="en-US" w:eastAsia="zh-CN"/>
              </w:rPr>
            </w:pPr>
            <w:r>
              <w:rPr>
                <w:rFonts w:hint="eastAsia"/>
                <w:sz w:val="24"/>
                <w:szCs w:val="24"/>
                <w:lang w:val="en-US" w:eastAsia="zh-CN"/>
              </w:rPr>
              <w:t>泵体外径</w:t>
            </w:r>
          </w:p>
        </w:tc>
        <w:tc>
          <w:tcPr>
            <w:tcW w:w="4320" w:type="dxa"/>
            <w:tcBorders>
              <w:tl2br w:val="nil"/>
              <w:tr2bl w:val="nil"/>
            </w:tcBorders>
            <w:vAlign w:val="center"/>
          </w:tcPr>
          <w:p>
            <w:pPr>
              <w:spacing w:line="360" w:lineRule="auto"/>
              <w:ind w:firstLine="480" w:firstLineChars="200"/>
              <w:rPr>
                <w:rFonts w:hint="default" w:eastAsiaTheme="minorEastAsia"/>
                <w:sz w:val="24"/>
                <w:szCs w:val="24"/>
                <w:lang w:val="en-US" w:eastAsia="zh-CN"/>
              </w:rPr>
            </w:pPr>
            <w:r>
              <w:rPr>
                <w:rFonts w:hint="eastAsia"/>
                <w:sz w:val="24"/>
                <w:szCs w:val="24"/>
                <w:lang w:val="en-US" w:eastAsia="zh-CN"/>
              </w:rPr>
              <w:t>DN990mm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0" w:type="dxa"/>
            <w:tcBorders>
              <w:tl2br w:val="nil"/>
              <w:tr2bl w:val="nil"/>
            </w:tcBorders>
            <w:vAlign w:val="center"/>
          </w:tcPr>
          <w:p>
            <w:pPr>
              <w:spacing w:line="360" w:lineRule="auto"/>
              <w:ind w:firstLine="480" w:firstLineChars="200"/>
              <w:rPr>
                <w:sz w:val="24"/>
                <w:szCs w:val="24"/>
              </w:rPr>
            </w:pPr>
            <w:r>
              <w:rPr>
                <w:rFonts w:hint="eastAsia"/>
                <w:sz w:val="24"/>
                <w:szCs w:val="24"/>
              </w:rPr>
              <w:t>工作制</w:t>
            </w:r>
          </w:p>
        </w:tc>
        <w:tc>
          <w:tcPr>
            <w:tcW w:w="4320" w:type="dxa"/>
            <w:tcBorders>
              <w:tl2br w:val="nil"/>
              <w:tr2bl w:val="nil"/>
            </w:tcBorders>
            <w:vAlign w:val="center"/>
          </w:tcPr>
          <w:p>
            <w:pPr>
              <w:spacing w:line="360" w:lineRule="auto"/>
              <w:ind w:firstLine="480" w:firstLineChars="2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0" w:type="dxa"/>
            <w:tcBorders>
              <w:tl2br w:val="nil"/>
              <w:tr2bl w:val="nil"/>
            </w:tcBorders>
            <w:vAlign w:val="center"/>
          </w:tcPr>
          <w:p>
            <w:pPr>
              <w:spacing w:line="360" w:lineRule="auto"/>
              <w:ind w:firstLine="480" w:firstLineChars="200"/>
              <w:rPr>
                <w:sz w:val="24"/>
                <w:szCs w:val="24"/>
              </w:rPr>
            </w:pPr>
            <w:r>
              <w:rPr>
                <w:rFonts w:hint="eastAsia"/>
                <w:sz w:val="24"/>
                <w:szCs w:val="24"/>
              </w:rPr>
              <w:t>供电电源</w:t>
            </w:r>
          </w:p>
        </w:tc>
        <w:tc>
          <w:tcPr>
            <w:tcW w:w="4320" w:type="dxa"/>
            <w:tcBorders>
              <w:tl2br w:val="nil"/>
              <w:tr2bl w:val="nil"/>
            </w:tcBorders>
            <w:vAlign w:val="center"/>
          </w:tcPr>
          <w:p>
            <w:pPr>
              <w:spacing w:line="360" w:lineRule="auto"/>
              <w:ind w:firstLine="480" w:firstLineChars="200"/>
              <w:rPr>
                <w:sz w:val="24"/>
                <w:szCs w:val="24"/>
              </w:rPr>
            </w:pPr>
            <w:r>
              <w:rPr>
                <w:rFonts w:hint="eastAsia"/>
                <w:sz w:val="24"/>
                <w:szCs w:val="24"/>
                <w:lang w:val="en-US" w:eastAsia="zh-CN"/>
              </w:rPr>
              <w:t>380</w:t>
            </w:r>
            <w:r>
              <w:rPr>
                <w:rFonts w:hint="eastAsia"/>
                <w:sz w:val="24"/>
                <w:szCs w:val="24"/>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0" w:type="dxa"/>
            <w:tcBorders>
              <w:tl2br w:val="nil"/>
              <w:tr2bl w:val="nil"/>
            </w:tcBorders>
            <w:vAlign w:val="center"/>
          </w:tcPr>
          <w:p>
            <w:pPr>
              <w:spacing w:line="360" w:lineRule="auto"/>
              <w:ind w:firstLine="480" w:firstLineChars="200"/>
              <w:rPr>
                <w:sz w:val="24"/>
                <w:szCs w:val="24"/>
              </w:rPr>
            </w:pPr>
            <w:r>
              <w:rPr>
                <w:rFonts w:hint="eastAsia"/>
                <w:sz w:val="24"/>
                <w:szCs w:val="24"/>
              </w:rPr>
              <w:t>绝缘等级</w:t>
            </w:r>
          </w:p>
        </w:tc>
        <w:tc>
          <w:tcPr>
            <w:tcW w:w="4320" w:type="dxa"/>
            <w:tcBorders>
              <w:tl2br w:val="nil"/>
              <w:tr2bl w:val="nil"/>
            </w:tcBorders>
            <w:vAlign w:val="center"/>
          </w:tcPr>
          <w:p>
            <w:pPr>
              <w:spacing w:line="360" w:lineRule="auto"/>
              <w:ind w:firstLine="480" w:firstLineChars="200"/>
              <w:rPr>
                <w:sz w:val="24"/>
                <w:szCs w:val="24"/>
              </w:rPr>
            </w:pPr>
            <w:r>
              <w:rPr>
                <w:rFonts w:hint="eastAsia"/>
                <w:sz w:val="24"/>
                <w:szCs w:val="24"/>
                <w:lang w:val="en-US" w:eastAsia="zh-CN"/>
              </w:rPr>
              <w:t>F</w:t>
            </w:r>
            <w:r>
              <w:rPr>
                <w:rFonts w:hint="eastAsia"/>
                <w:sz w:val="24"/>
                <w:szCs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0" w:type="dxa"/>
            <w:tcBorders>
              <w:tl2br w:val="nil"/>
              <w:tr2bl w:val="nil"/>
            </w:tcBorders>
            <w:vAlign w:val="center"/>
          </w:tcPr>
          <w:p>
            <w:pPr>
              <w:spacing w:line="360" w:lineRule="auto"/>
              <w:ind w:firstLine="480" w:firstLineChars="200"/>
              <w:rPr>
                <w:sz w:val="24"/>
                <w:szCs w:val="24"/>
              </w:rPr>
            </w:pPr>
            <w:r>
              <w:rPr>
                <w:rFonts w:hint="eastAsia"/>
                <w:sz w:val="24"/>
                <w:szCs w:val="24"/>
              </w:rPr>
              <w:t xml:space="preserve">水下电缆长度  </w:t>
            </w:r>
          </w:p>
        </w:tc>
        <w:tc>
          <w:tcPr>
            <w:tcW w:w="4320" w:type="dxa"/>
            <w:tcBorders>
              <w:tl2br w:val="nil"/>
              <w:tr2bl w:val="nil"/>
            </w:tcBorders>
            <w:vAlign w:val="center"/>
          </w:tcPr>
          <w:p>
            <w:pPr>
              <w:spacing w:line="360" w:lineRule="auto"/>
              <w:ind w:firstLine="480" w:firstLineChars="200"/>
              <w:rPr>
                <w:sz w:val="24"/>
                <w:szCs w:val="24"/>
              </w:rPr>
            </w:pPr>
            <w:r>
              <w:rPr>
                <w:rFonts w:hint="eastAsia"/>
                <w:sz w:val="24"/>
                <w:szCs w:val="24"/>
              </w:rPr>
              <w:t>15m</w:t>
            </w:r>
          </w:p>
        </w:tc>
      </w:tr>
    </w:tbl>
    <w:p>
      <w:pPr>
        <w:numPr>
          <w:ilvl w:val="0"/>
          <w:numId w:val="0"/>
        </w:numPr>
        <w:spacing w:line="360" w:lineRule="auto"/>
        <w:jc w:val="center"/>
      </w:pPr>
    </w:p>
    <w:p>
      <w:pPr>
        <w:numPr>
          <w:ilvl w:val="0"/>
          <w:numId w:val="0"/>
        </w:numPr>
        <w:spacing w:line="360" w:lineRule="auto"/>
        <w:jc w:val="center"/>
      </w:pPr>
    </w:p>
    <w:p>
      <w:pPr>
        <w:numPr>
          <w:ilvl w:val="0"/>
          <w:numId w:val="0"/>
        </w:numPr>
        <w:spacing w:line="360" w:lineRule="auto"/>
        <w:jc w:val="both"/>
        <w:rPr>
          <w:rFonts w:hint="eastAsia"/>
        </w:rPr>
      </w:pPr>
    </w:p>
    <w:p>
      <w:pPr>
        <w:pStyle w:val="45"/>
        <w:rPr>
          <w:rFonts w:hint="eastAsia"/>
        </w:rPr>
      </w:pPr>
    </w:p>
    <w:p>
      <w:pPr>
        <w:pStyle w:val="45"/>
        <w:rPr>
          <w:rFonts w:hint="eastAsia"/>
        </w:rPr>
      </w:pPr>
    </w:p>
    <w:p>
      <w:pPr>
        <w:pStyle w:val="45"/>
        <w:rPr>
          <w:rFonts w:hint="eastAsia"/>
        </w:rPr>
      </w:pPr>
    </w:p>
    <w:p>
      <w:pPr>
        <w:spacing w:line="360" w:lineRule="auto"/>
        <w:rPr>
          <w:rFonts w:hint="eastAsia" w:ascii="仿宋_GB2312" w:hAnsi="仿宋_GB2312" w:eastAsia="仿宋_GB2312" w:cs="仿宋_GB2312"/>
          <w:b w:val="0"/>
          <w:bCs/>
          <w:color w:val="000000"/>
          <w:kern w:val="2"/>
          <w:sz w:val="28"/>
          <w:szCs w:val="28"/>
          <w:lang w:val="en-US" w:eastAsia="zh-CN" w:bidi="ar-SA"/>
        </w:rPr>
      </w:pPr>
    </w:p>
    <w:p>
      <w:pPr>
        <w:spacing w:line="360" w:lineRule="auto"/>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3.安装尺寸</w:t>
      </w:r>
    </w:p>
    <w:p>
      <w:pPr>
        <w:numPr>
          <w:ilvl w:val="0"/>
          <w:numId w:val="0"/>
        </w:numPr>
        <w:spacing w:line="360" w:lineRule="auto"/>
        <w:jc w:val="center"/>
        <w:rPr>
          <w:rFonts w:hint="eastAsia"/>
          <w:b/>
          <w:bCs w:val="0"/>
          <w:sz w:val="24"/>
          <w:szCs w:val="24"/>
        </w:rPr>
      </w:pPr>
      <w:r>
        <w:drawing>
          <wp:inline distT="0" distB="0" distL="114300" distR="114300">
            <wp:extent cx="3667125" cy="4761230"/>
            <wp:effectExtent l="0" t="0" r="9525" b="1270"/>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pic:cNvPicPr>
                  </pic:nvPicPr>
                  <pic:blipFill>
                    <a:blip r:embed="rId6"/>
                    <a:stretch>
                      <a:fillRect/>
                    </a:stretch>
                  </pic:blipFill>
                  <pic:spPr>
                    <a:xfrm>
                      <a:off x="0" y="0"/>
                      <a:ext cx="3667125" cy="4761230"/>
                    </a:xfrm>
                    <a:prstGeom prst="rect">
                      <a:avLst/>
                    </a:prstGeom>
                    <a:noFill/>
                    <a:ln>
                      <a:noFill/>
                    </a:ln>
                  </pic:spPr>
                </pic:pic>
              </a:graphicData>
            </a:graphic>
          </wp:inline>
        </w:drawing>
      </w:r>
    </w:p>
    <w:p>
      <w:pPr>
        <w:spacing w:line="360" w:lineRule="auto"/>
        <w:rPr>
          <w:sz w:val="24"/>
          <w:szCs w:val="24"/>
        </w:rPr>
      </w:pPr>
      <w:r>
        <w:rPr>
          <w:rFonts w:hint="eastAsia"/>
          <w:b/>
          <w:bCs/>
          <w:sz w:val="24"/>
          <w:szCs w:val="24"/>
        </w:rPr>
        <w:t>注：</w:t>
      </w:r>
      <w:r>
        <w:rPr>
          <w:rFonts w:hint="eastAsia"/>
          <w:sz w:val="24"/>
          <w:szCs w:val="24"/>
        </w:rPr>
        <w:t>★</w:t>
      </w:r>
      <w:r>
        <w:rPr>
          <w:rFonts w:hint="eastAsia"/>
          <w:bCs/>
          <w:sz w:val="24"/>
          <w:szCs w:val="24"/>
        </w:rPr>
        <w:t>1、</w:t>
      </w:r>
      <w:r>
        <w:rPr>
          <w:rFonts w:hint="eastAsia"/>
          <w:sz w:val="24"/>
          <w:szCs w:val="24"/>
        </w:rPr>
        <w:t>水泵重量</w:t>
      </w:r>
      <w:r>
        <w:rPr>
          <w:rFonts w:hint="eastAsia"/>
          <w:sz w:val="24"/>
          <w:szCs w:val="24"/>
          <w:lang w:eastAsia="zh-CN"/>
        </w:rPr>
        <w:t>（</w:t>
      </w:r>
      <w:r>
        <w:rPr>
          <w:rFonts w:hint="eastAsia"/>
          <w:sz w:val="24"/>
          <w:szCs w:val="24"/>
          <w:lang w:val="en-US" w:eastAsia="zh-CN"/>
        </w:rPr>
        <w:t>1250）KG</w:t>
      </w:r>
      <w:r>
        <w:rPr>
          <w:rFonts w:hint="eastAsia"/>
          <w:sz w:val="24"/>
          <w:szCs w:val="24"/>
        </w:rPr>
        <w:t>允许偏差范围≤5%，安装尺寸不允许偏差。</w:t>
      </w:r>
    </w:p>
    <w:p>
      <w:pPr>
        <w:spacing w:line="360" w:lineRule="auto"/>
        <w:ind w:firstLine="480" w:firstLineChars="200"/>
        <w:rPr>
          <w:rFonts w:hint="eastAsia"/>
          <w:sz w:val="24"/>
          <w:szCs w:val="24"/>
        </w:rPr>
      </w:pPr>
      <w:r>
        <w:rPr>
          <w:rFonts w:hint="eastAsia"/>
          <w:sz w:val="24"/>
          <w:szCs w:val="24"/>
        </w:rPr>
        <w:t>★2、与原</w:t>
      </w:r>
      <w:r>
        <w:rPr>
          <w:rFonts w:hint="eastAsia"/>
          <w:sz w:val="24"/>
          <w:szCs w:val="24"/>
          <w:lang w:val="en-US" w:eastAsia="zh-CN"/>
        </w:rPr>
        <w:t>二</w:t>
      </w:r>
      <w:r>
        <w:rPr>
          <w:rFonts w:hint="eastAsia"/>
          <w:sz w:val="24"/>
          <w:szCs w:val="24"/>
        </w:rPr>
        <w:t>期回流泵性能相当，并且匹配原设备安装位置和电气控制要求，不接受对现有泵体基座土建以及电气控制系统进行改造，</w:t>
      </w:r>
      <w:r>
        <w:rPr>
          <w:rFonts w:hint="eastAsia"/>
          <w:sz w:val="24"/>
          <w:szCs w:val="24"/>
          <w:lang w:eastAsia="zh-CN"/>
        </w:rPr>
        <w:t>报价</w:t>
      </w:r>
      <w:r>
        <w:rPr>
          <w:rFonts w:hint="eastAsia"/>
          <w:sz w:val="24"/>
          <w:szCs w:val="24"/>
        </w:rPr>
        <w:t>单位中</w:t>
      </w:r>
      <w:r>
        <w:rPr>
          <w:rFonts w:hint="eastAsia"/>
          <w:sz w:val="24"/>
          <w:szCs w:val="24"/>
          <w:lang w:val="en-US" w:eastAsia="zh-CN"/>
        </w:rPr>
        <w:t>选</w:t>
      </w:r>
      <w:r>
        <w:rPr>
          <w:rFonts w:hint="eastAsia"/>
          <w:sz w:val="24"/>
          <w:szCs w:val="24"/>
        </w:rPr>
        <w:t>后可到现场进行勘察复核。</w:t>
      </w:r>
    </w:p>
    <w:p>
      <w:pPr>
        <w:spacing w:line="360" w:lineRule="auto"/>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4.泵的材质</w:t>
      </w:r>
    </w:p>
    <w:p>
      <w:pPr>
        <w:spacing w:line="360" w:lineRule="auto"/>
        <w:rPr>
          <w:rFonts w:hint="eastAsia" w:ascii="宋体" w:hAnsi="宋体" w:cs="宋体"/>
          <w:sz w:val="24"/>
          <w:szCs w:val="24"/>
        </w:rPr>
      </w:pPr>
      <w:r>
        <w:rPr>
          <w:rFonts w:hint="eastAsia" w:ascii="宋体" w:hAnsi="宋体" w:cs="宋体"/>
          <w:sz w:val="24"/>
          <w:szCs w:val="24"/>
        </w:rPr>
        <w:t xml:space="preserve">泵壳               </w:t>
      </w:r>
      <w:r>
        <w:rPr>
          <w:rFonts w:hint="eastAsia" w:ascii="宋体" w:hAnsi="宋体" w:cs="宋体"/>
          <w:sz w:val="24"/>
          <w:szCs w:val="24"/>
          <w:lang w:val="en-US" w:eastAsia="zh-CN"/>
        </w:rPr>
        <w:t>灰铸铁件（FC250）</w:t>
      </w:r>
    </w:p>
    <w:p>
      <w:pPr>
        <w:spacing w:line="360" w:lineRule="auto"/>
        <w:rPr>
          <w:rFonts w:hint="eastAsia" w:ascii="宋体" w:hAnsi="宋体" w:cs="宋体"/>
          <w:sz w:val="24"/>
          <w:szCs w:val="24"/>
        </w:rPr>
      </w:pPr>
      <w:r>
        <w:rPr>
          <w:rFonts w:hint="eastAsia" w:ascii="宋体" w:hAnsi="宋体" w:cs="宋体"/>
          <w:sz w:val="24"/>
          <w:szCs w:val="24"/>
        </w:rPr>
        <w:t xml:space="preserve">叶轮               </w:t>
      </w:r>
      <w:r>
        <w:rPr>
          <w:rFonts w:hint="eastAsia" w:ascii="宋体" w:hAnsi="宋体" w:cs="宋体"/>
          <w:sz w:val="24"/>
          <w:szCs w:val="24"/>
          <w:lang w:val="en-US" w:eastAsia="zh-CN"/>
        </w:rPr>
        <w:t>不锈钢铸件（SCS13）</w:t>
      </w:r>
    </w:p>
    <w:p>
      <w:pPr>
        <w:spacing w:line="360" w:lineRule="auto"/>
        <w:rPr>
          <w:rFonts w:hint="eastAsia" w:ascii="宋体" w:hAnsi="宋体" w:cs="宋体"/>
          <w:sz w:val="24"/>
          <w:szCs w:val="24"/>
        </w:rPr>
      </w:pPr>
      <w:r>
        <w:rPr>
          <w:rFonts w:hint="eastAsia" w:ascii="宋体" w:hAnsi="宋体" w:cs="宋体"/>
          <w:sz w:val="24"/>
          <w:szCs w:val="24"/>
        </w:rPr>
        <w:t xml:space="preserve">泵轴               </w:t>
      </w:r>
      <w:r>
        <w:rPr>
          <w:rFonts w:hint="eastAsia" w:ascii="宋体" w:hAnsi="宋体" w:cs="宋体"/>
          <w:sz w:val="24"/>
          <w:szCs w:val="24"/>
          <w:lang w:val="en-US" w:eastAsia="zh-CN"/>
        </w:rPr>
        <w:t>不锈钢（SUS403）</w:t>
      </w:r>
    </w:p>
    <w:p>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电机外壳</w:t>
      </w:r>
      <w:r>
        <w:rPr>
          <w:rFonts w:hint="eastAsia" w:ascii="宋体" w:hAnsi="宋体" w:cs="宋体"/>
          <w:sz w:val="24"/>
          <w:szCs w:val="24"/>
        </w:rPr>
        <w:t xml:space="preserve">          </w:t>
      </w:r>
      <w:r>
        <w:rPr>
          <w:rFonts w:hint="eastAsia" w:ascii="宋体" w:hAnsi="宋体" w:cs="宋体"/>
          <w:sz w:val="24"/>
          <w:szCs w:val="24"/>
          <w:lang w:val="en-US" w:eastAsia="zh-CN"/>
        </w:rPr>
        <w:t xml:space="preserve"> 灰铸铁件（FC250）</w:t>
      </w:r>
    </w:p>
    <w:p>
      <w:pPr>
        <w:pStyle w:val="2"/>
      </w:pPr>
    </w:p>
    <w:p>
      <w:pPr>
        <w:pStyle w:val="2"/>
      </w:pPr>
    </w:p>
    <w:p>
      <w:pPr>
        <w:pStyle w:val="2"/>
        <w:rPr>
          <w:rFonts w:hint="default"/>
          <w:lang w:val="en-US" w:eastAsia="zh-CN"/>
        </w:rPr>
      </w:pPr>
      <w:r>
        <w:drawing>
          <wp:inline distT="0" distB="0" distL="114300" distR="114300">
            <wp:extent cx="4258310" cy="5472430"/>
            <wp:effectExtent l="0" t="0" r="8890" b="13970"/>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7"/>
                    <a:stretch>
                      <a:fillRect/>
                    </a:stretch>
                  </pic:blipFill>
                  <pic:spPr>
                    <a:xfrm>
                      <a:off x="0" y="0"/>
                      <a:ext cx="4258310" cy="5472430"/>
                    </a:xfrm>
                    <a:prstGeom prst="rect">
                      <a:avLst/>
                    </a:prstGeom>
                    <a:noFill/>
                    <a:ln>
                      <a:noFill/>
                    </a:ln>
                  </pic:spPr>
                </pic:pic>
              </a:graphicData>
            </a:graphic>
          </wp:inline>
        </w:drawing>
      </w: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ind w:left="0" w:leftChars="0" w:firstLine="280" w:firstLineChars="1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三、项目商务要求</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1.包装、运输、安装及保管、保险：</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（1）报价人所供货物应为制造商原装出厂包装，包装须符合同等相关标准，因包装不良造成的损失由报价人负责。</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（2）报价人负责将产品送到现场过程中的全部运输，包括装卸车、货物现场的搬运等。</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（3）供货期：合同签订后</w:t>
      </w:r>
      <w:r>
        <w:rPr>
          <w:rFonts w:hint="eastAsia" w:ascii="仿宋" w:hAnsi="仿宋" w:eastAsia="仿宋" w:cs="仿宋"/>
          <w:color w:val="auto"/>
          <w:sz w:val="28"/>
          <w:szCs w:val="28"/>
          <w:highlight w:val="none"/>
          <w:lang w:val="en-US" w:eastAsia="zh-CN"/>
        </w:rPr>
        <w:t>180</w:t>
      </w:r>
      <w:r>
        <w:rPr>
          <w:rFonts w:hint="eastAsia" w:ascii="仿宋" w:hAnsi="仿宋" w:eastAsia="仿宋" w:cs="仿宋"/>
          <w:color w:val="auto"/>
          <w:sz w:val="28"/>
          <w:szCs w:val="28"/>
          <w:highlight w:val="none"/>
        </w:rPr>
        <w:t>日内到货；</w:t>
      </w:r>
    </w:p>
    <w:p>
      <w:pPr>
        <w:pStyle w:val="2"/>
        <w:ind w:firstLine="1120" w:firstLineChars="4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交货地点：广州市净水有限公司</w:t>
      </w:r>
      <w:r>
        <w:rPr>
          <w:rFonts w:hint="eastAsia" w:ascii="仿宋" w:hAnsi="仿宋" w:eastAsia="仿宋" w:cs="仿宋"/>
          <w:color w:val="auto"/>
          <w:sz w:val="28"/>
          <w:szCs w:val="28"/>
          <w:highlight w:val="none"/>
          <w:lang w:val="en-US" w:eastAsia="zh-CN"/>
        </w:rPr>
        <w:t>大坦沙</w:t>
      </w:r>
      <w:r>
        <w:rPr>
          <w:rFonts w:hint="eastAsia" w:ascii="仿宋" w:hAnsi="仿宋" w:eastAsia="仿宋" w:cs="仿宋"/>
          <w:color w:val="auto"/>
          <w:sz w:val="28"/>
          <w:szCs w:val="28"/>
          <w:highlight w:val="none"/>
        </w:rPr>
        <w:t>分公司。</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2.质量保证及售后服务：</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（1）确保货物为原装未拆封或未使用的产品；</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（2）货物在质保期为自供货验收合格之日起1年内免费提供维保服务。</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（3）质保期如有质量问题，报价人必须24小时内派技术人员免费到现场进行维修。</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3.总包及分包规定：</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乙方不得转包、分包。否则，甲方有权单方面终止合同，拒收其货物，由此而造成的经济损失由乙方负责赔偿。</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4.询价人将自承包商履行完合同义务之日起15个工作日内组织验收，审定报价人供货的货物合格情况，进行结算审核。</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5.付款方式：</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（1）采用支票、银行汇票形式。</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（2）报价人在收款前需提交所交货物相应金额增值税专用发票给需求单位。</w:t>
      </w:r>
    </w:p>
    <w:p>
      <w:pPr>
        <w:pStyle w:val="2"/>
        <w:rPr>
          <w:rFonts w:ascii="仿宋_GB2312" w:eastAsia="仿宋_GB2312"/>
          <w:color w:val="auto"/>
          <w:sz w:val="28"/>
          <w:szCs w:val="28"/>
          <w:highlight w:val="none"/>
        </w:rPr>
      </w:pPr>
      <w:r>
        <w:rPr>
          <w:rFonts w:hint="eastAsia" w:ascii="仿宋" w:hAnsi="仿宋" w:eastAsia="仿宋" w:cs="仿宋"/>
          <w:color w:val="auto"/>
          <w:sz w:val="28"/>
          <w:szCs w:val="28"/>
          <w:highlight w:val="none"/>
        </w:rPr>
        <w:t>6.承包方式：单价包干。</w:t>
      </w: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1" w:name="_Toc12135"/>
      <w:bookmarkStart w:id="62" w:name="_Toc1284"/>
      <w:bookmarkStart w:id="63" w:name="_Toc23353"/>
      <w:bookmarkStart w:id="64" w:name="_Toc25925"/>
      <w:bookmarkStart w:id="65" w:name="_Toc29835"/>
      <w:bookmarkStart w:id="66" w:name="_Toc15570"/>
      <w:bookmarkStart w:id="67" w:name="_Toc1496"/>
      <w:bookmarkStart w:id="68" w:name="_Toc537"/>
      <w:bookmarkStart w:id="69" w:name="_Toc18538"/>
      <w:bookmarkStart w:id="70" w:name="_Toc23330"/>
      <w:bookmarkStart w:id="71" w:name="_Toc468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5"/>
        <w:rPr>
          <w:color w:val="auto"/>
          <w:highlight w:val="none"/>
        </w:rPr>
      </w:pPr>
    </w:p>
    <w:p>
      <w:pPr>
        <w:pStyle w:val="4"/>
        <w:rPr>
          <w:color w:val="auto"/>
          <w:highlight w:val="none"/>
        </w:rPr>
      </w:pPr>
      <w:bookmarkStart w:id="72" w:name="_Toc87616386"/>
      <w:bookmarkStart w:id="73" w:name="_Toc1375"/>
      <w:bookmarkStart w:id="74" w:name="_Toc13309"/>
      <w:bookmarkStart w:id="75" w:name="_Toc88209949"/>
      <w:bookmarkStart w:id="76" w:name="_Toc12980"/>
      <w:bookmarkStart w:id="77" w:name="_Toc19686"/>
      <w:bookmarkStart w:id="78" w:name="_Toc12968"/>
      <w:bookmarkStart w:id="79" w:name="_Toc19088"/>
      <w:bookmarkStart w:id="80" w:name="_Toc22501"/>
      <w:bookmarkStart w:id="81" w:name="_Toc8183"/>
      <w:bookmarkStart w:id="82" w:name="_Toc323"/>
      <w:bookmarkStart w:id="83" w:name="_Toc12721"/>
      <w:bookmarkStart w:id="84" w:name="_Toc22797"/>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widowControl w:val="0"/>
        <w:spacing w:after="0" w:line="400" w:lineRule="atLeast"/>
        <w:jc w:val="center"/>
        <w:rPr>
          <w:rFonts w:hint="eastAsia" w:ascii="宋体" w:hAnsi="宋体" w:cs="Times New Roman"/>
          <w:b/>
          <w:color w:val="auto"/>
          <w:sz w:val="48"/>
          <w:szCs w:val="48"/>
        </w:rPr>
      </w:pPr>
    </w:p>
    <w:p>
      <w:pPr>
        <w:widowControl w:val="0"/>
        <w:spacing w:after="0" w:line="400" w:lineRule="atLeast"/>
        <w:jc w:val="center"/>
        <w:rPr>
          <w:rFonts w:hint="eastAsia" w:ascii="宋体" w:hAnsi="宋体" w:cs="Times New Roman"/>
          <w:b/>
          <w:color w:val="auto"/>
          <w:sz w:val="48"/>
          <w:szCs w:val="48"/>
        </w:rPr>
      </w:pPr>
    </w:p>
    <w:p>
      <w:pPr>
        <w:widowControl w:val="0"/>
        <w:spacing w:after="0" w:line="400" w:lineRule="atLeast"/>
        <w:jc w:val="center"/>
        <w:rPr>
          <w:rFonts w:hint="eastAsia" w:ascii="宋体" w:hAnsi="宋体" w:cs="Times New Roman"/>
          <w:b/>
          <w:color w:val="auto"/>
          <w:sz w:val="48"/>
          <w:szCs w:val="48"/>
        </w:rPr>
      </w:pPr>
    </w:p>
    <w:p>
      <w:pPr>
        <w:widowControl w:val="0"/>
        <w:spacing w:after="0" w:line="400" w:lineRule="atLeast"/>
        <w:jc w:val="center"/>
        <w:rPr>
          <w:rFonts w:hint="eastAsia" w:ascii="宋体" w:hAnsi="宋体" w:cs="Times New Roman"/>
          <w:b/>
          <w:color w:val="auto"/>
          <w:sz w:val="48"/>
          <w:szCs w:val="48"/>
        </w:rPr>
      </w:pPr>
    </w:p>
    <w:p>
      <w:pPr>
        <w:widowControl w:val="0"/>
        <w:spacing w:after="0" w:line="400" w:lineRule="atLeast"/>
        <w:jc w:val="center"/>
        <w:rPr>
          <w:rFonts w:hint="eastAsia" w:ascii="宋体" w:hAnsi="宋体" w:cs="Times New Roman"/>
          <w:b/>
          <w:color w:val="auto"/>
          <w:sz w:val="48"/>
          <w:szCs w:val="48"/>
        </w:rPr>
      </w:pPr>
    </w:p>
    <w:p>
      <w:pPr>
        <w:widowControl w:val="0"/>
        <w:spacing w:after="0" w:line="400" w:lineRule="atLeast"/>
        <w:jc w:val="center"/>
        <w:rPr>
          <w:rFonts w:hint="eastAsia" w:ascii="宋体" w:hAnsi="宋体" w:cs="Times New Roman"/>
          <w:b/>
          <w:color w:val="auto"/>
          <w:sz w:val="48"/>
          <w:szCs w:val="48"/>
        </w:rPr>
      </w:pPr>
    </w:p>
    <w:p>
      <w:pPr>
        <w:widowControl w:val="0"/>
        <w:spacing w:after="0" w:line="400" w:lineRule="atLeast"/>
        <w:jc w:val="center"/>
        <w:rPr>
          <w:rFonts w:hint="eastAsia" w:ascii="宋体" w:hAnsi="宋体" w:cs="Times New Roman"/>
          <w:b/>
          <w:color w:val="auto"/>
          <w:sz w:val="48"/>
          <w:szCs w:val="48"/>
        </w:rPr>
      </w:pPr>
    </w:p>
    <w:p>
      <w:pPr>
        <w:widowControl w:val="0"/>
        <w:spacing w:after="0" w:line="400" w:lineRule="atLeast"/>
        <w:jc w:val="center"/>
        <w:rPr>
          <w:rFonts w:hint="eastAsia" w:ascii="宋体" w:hAnsi="宋体" w:cs="Times New Roman"/>
          <w:b/>
          <w:color w:val="auto"/>
          <w:sz w:val="48"/>
          <w:szCs w:val="48"/>
        </w:rPr>
      </w:pPr>
    </w:p>
    <w:p>
      <w:pPr>
        <w:widowControl w:val="0"/>
        <w:spacing w:after="0" w:line="400" w:lineRule="atLeast"/>
        <w:jc w:val="center"/>
        <w:rPr>
          <w:rFonts w:hint="eastAsia" w:ascii="宋体" w:hAnsi="宋体" w:cs="Times New Roman"/>
          <w:b/>
          <w:color w:val="auto"/>
          <w:sz w:val="48"/>
          <w:szCs w:val="48"/>
        </w:rPr>
      </w:pPr>
    </w:p>
    <w:p>
      <w:pPr>
        <w:widowControl w:val="0"/>
        <w:spacing w:after="0" w:line="400" w:lineRule="atLeast"/>
        <w:jc w:val="center"/>
        <w:rPr>
          <w:rFonts w:hint="eastAsia" w:ascii="宋体" w:hAnsi="宋体" w:cs="Times New Roman"/>
          <w:b/>
          <w:color w:val="auto"/>
          <w:sz w:val="48"/>
          <w:szCs w:val="48"/>
        </w:rPr>
      </w:pP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设备采购合同</w:t>
      </w:r>
    </w:p>
    <w:p>
      <w:pPr>
        <w:jc w:val="center"/>
        <w:rPr>
          <w:color w:val="auto"/>
          <w:sz w:val="30"/>
        </w:rPr>
      </w:pPr>
    </w:p>
    <w:p>
      <w:pPr>
        <w:pStyle w:val="2"/>
        <w:ind w:firstLine="600"/>
        <w:rPr>
          <w:rFonts w:hint="default"/>
          <w:sz w:val="30"/>
        </w:rPr>
      </w:pPr>
    </w:p>
    <w:p>
      <w:pPr>
        <w:pStyle w:val="2"/>
        <w:ind w:firstLine="600"/>
        <w:rPr>
          <w:rFonts w:hint="default"/>
          <w:sz w:val="30"/>
        </w:rPr>
      </w:pPr>
    </w:p>
    <w:p>
      <w:pPr>
        <w:rPr>
          <w:b/>
          <w:bCs/>
          <w:color w:val="auto"/>
          <w:sz w:val="30"/>
        </w:rPr>
      </w:pPr>
    </w:p>
    <w:p>
      <w:pPr>
        <w:spacing w:line="480" w:lineRule="auto"/>
        <w:rPr>
          <w:rFonts w:hint="eastAsia" w:ascii="宋体" w:hAnsi="宋体" w:cs="宋体"/>
          <w:b/>
          <w:bCs/>
          <w:color w:val="auto"/>
          <w:sz w:val="30"/>
          <w:u w:val="single"/>
        </w:rPr>
      </w:pPr>
      <w:r>
        <w:rPr>
          <w:rFonts w:hint="eastAsia" w:ascii="宋体" w:hAnsi="宋体" w:cs="宋体"/>
          <w:b/>
          <w:bCs/>
          <w:color w:val="auto"/>
          <w:sz w:val="30"/>
        </w:rPr>
        <w:t>项目名称：</w:t>
      </w:r>
      <w:r>
        <w:rPr>
          <w:rFonts w:hint="eastAsia" w:ascii="宋体" w:hAnsi="宋体" w:cs="宋体"/>
          <w:b/>
          <w:bCs/>
          <w:color w:val="auto"/>
          <w:sz w:val="30"/>
          <w:u w:val="single"/>
          <w:lang w:val="en-US" w:eastAsia="zh-CN"/>
        </w:rPr>
        <w:t>广州市净水有限公司大坦沙分公司2022年二期内回流泵购置项目</w:t>
      </w:r>
    </w:p>
    <w:p>
      <w:pPr>
        <w:spacing w:line="480" w:lineRule="auto"/>
        <w:rPr>
          <w:rFonts w:ascii="宋体" w:hAnsi="宋体" w:cs="宋体"/>
          <w:b/>
          <w:bCs/>
          <w:color w:val="auto"/>
          <w:sz w:val="30"/>
        </w:rPr>
      </w:pPr>
      <w:r>
        <w:rPr>
          <w:rFonts w:hint="eastAsia" w:ascii="宋体" w:hAnsi="宋体" w:cs="宋体"/>
          <w:b/>
          <w:bCs/>
          <w:color w:val="auto"/>
          <w:sz w:val="30"/>
        </w:rPr>
        <w:t>项目编号：</w:t>
      </w:r>
      <w:r>
        <w:rPr>
          <w:rFonts w:hint="eastAsia" w:ascii="仿宋" w:hAnsi="仿宋" w:eastAsia="仿宋" w:cs="仿宋_GB2312"/>
          <w:b/>
          <w:bCs/>
          <w:sz w:val="28"/>
          <w:szCs w:val="28"/>
          <w:u w:val="single"/>
          <w:lang w:val="en-US" w:eastAsia="zh-CN"/>
        </w:rPr>
        <w:t>05032022000023</w:t>
      </w:r>
    </w:p>
    <w:p>
      <w:pPr>
        <w:spacing w:line="480" w:lineRule="auto"/>
        <w:rPr>
          <w:rFonts w:ascii="宋体" w:hAnsi="宋体" w:cs="宋体"/>
          <w:b/>
          <w:bCs/>
          <w:color w:val="auto"/>
          <w:sz w:val="30"/>
        </w:rPr>
      </w:pP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穗净水合[     ]    号</w:t>
      </w:r>
    </w:p>
    <w:p>
      <w:pPr>
        <w:spacing w:line="480" w:lineRule="auto"/>
        <w:rPr>
          <w:rFonts w:ascii="宋体" w:hAnsi="宋体" w:cs="宋体"/>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甲方（买方）：广州市净水有限公司</w:t>
      </w:r>
    </w:p>
    <w:p>
      <w:pPr>
        <w:spacing w:line="480" w:lineRule="auto"/>
        <w:rPr>
          <w:rFonts w:ascii="宋体" w:hAnsi="宋体" w:cs="宋体"/>
          <w:b/>
          <w:bCs/>
          <w:color w:val="auto"/>
          <w:sz w:val="30"/>
        </w:rPr>
      </w:pPr>
      <w:r>
        <w:rPr>
          <w:rFonts w:hint="eastAsia" w:ascii="宋体" w:hAnsi="宋体" w:cs="宋体"/>
          <w:b/>
          <w:bCs/>
          <w:color w:val="auto"/>
          <w:sz w:val="30"/>
        </w:rPr>
        <w:t>乙方（卖方）：</w:t>
      </w:r>
      <w:r>
        <w:rPr>
          <w:rFonts w:hint="eastAsia" w:ascii="宋体" w:hAnsi="宋体" w:cs="宋体"/>
          <w:b/>
          <w:bCs/>
          <w:color w:val="auto"/>
          <w:sz w:val="30"/>
          <w:u w:val="single"/>
        </w:rPr>
        <w:t xml:space="preserve">                                          </w:t>
      </w:r>
      <w:r>
        <w:rPr>
          <w:rFonts w:hint="eastAsia" w:ascii="宋体" w:hAnsi="宋体" w:cs="宋体"/>
          <w:b/>
          <w:bCs/>
          <w:color w:val="auto"/>
          <w:sz w:val="30"/>
        </w:rPr>
        <w:t xml:space="preserve"> </w:t>
      </w:r>
    </w:p>
    <w:p>
      <w:pPr>
        <w:spacing w:line="480" w:lineRule="auto"/>
        <w:rPr>
          <w:rFonts w:ascii="宋体" w:hAnsi="宋体" w:cs="宋体"/>
          <w:b/>
          <w:bCs/>
          <w:color w:val="auto"/>
          <w:sz w:val="30"/>
        </w:rPr>
      </w:pPr>
      <w:r>
        <w:rPr>
          <w:rFonts w:hint="eastAsia" w:ascii="宋体" w:hAnsi="宋体" w:cs="宋体"/>
          <w:b/>
          <w:bCs/>
          <w:color w:val="auto"/>
          <w:sz w:val="30"/>
        </w:rPr>
        <w:t>签订日期：      年     月    日</w:t>
      </w:r>
    </w:p>
    <w:p>
      <w:pPr>
        <w:spacing w:line="480" w:lineRule="auto"/>
        <w:rPr>
          <w:b/>
          <w:bCs/>
          <w:color w:val="auto"/>
          <w:sz w:val="30"/>
        </w:rPr>
      </w:pPr>
      <w:r>
        <w:rPr>
          <w:rFonts w:hint="eastAsia" w:ascii="宋体" w:hAnsi="宋体" w:cs="宋体"/>
          <w:b/>
          <w:bCs/>
          <w:color w:val="auto"/>
          <w:sz w:val="30"/>
        </w:rPr>
        <w:t>签约地点：广州市</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根据《中华人民共和国民法典》及其他有关法律、行政法规，</w:t>
      </w:r>
      <w:r>
        <w:rPr>
          <w:rFonts w:hint="eastAsia" w:ascii="宋体" w:hAnsi="宋体" w:cs="宋体"/>
          <w:color w:val="auto"/>
          <w:sz w:val="24"/>
          <w:szCs w:val="24"/>
          <w:u w:val="single"/>
        </w:rPr>
        <w:t>广州市净水有限公司</w:t>
      </w:r>
      <w:r>
        <w:rPr>
          <w:rFonts w:hint="eastAsia" w:ascii="宋体" w:hAnsi="宋体" w:cs="宋体"/>
          <w:color w:val="auto"/>
          <w:sz w:val="24"/>
          <w:szCs w:val="24"/>
        </w:rPr>
        <w:t xml:space="preserve"> （以下简称“甲方”）与</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（以下简称“乙方”）就 </w:t>
      </w:r>
      <w:r>
        <w:rPr>
          <w:rFonts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大坦沙分公司2022年二期内回流泵</w:t>
      </w:r>
      <w:r>
        <w:rPr>
          <w:rFonts w:ascii="宋体" w:hAnsi="宋体" w:eastAsia="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采购事宜，遵循平等、自愿、公平和诚实信用的原则，双方协商一致，订立本合同。</w:t>
      </w:r>
      <w:bookmarkStart w:id="85" w:name="_Toc10888"/>
      <w:bookmarkStart w:id="86" w:name="_Toc520190025"/>
      <w:bookmarkStart w:id="87" w:name="_Toc518992985"/>
      <w:bookmarkStart w:id="88" w:name="_Toc183666512"/>
      <w:bookmarkStart w:id="89" w:name="_Toc474245209"/>
      <w:r>
        <w:rPr>
          <w:rFonts w:hint="eastAsia" w:ascii="宋体" w:hAnsi="宋体" w:cs="宋体"/>
          <w:color w:val="auto"/>
          <w:sz w:val="24"/>
          <w:szCs w:val="24"/>
        </w:rPr>
        <w:t xml:space="preserve"> </w:t>
      </w:r>
      <w:bookmarkEnd w:id="85"/>
      <w:bookmarkEnd w:id="86"/>
      <w:bookmarkEnd w:id="87"/>
      <w:bookmarkEnd w:id="88"/>
      <w:bookmarkEnd w:id="89"/>
      <w:bookmarkStart w:id="90" w:name="_Toc474245210"/>
      <w:bookmarkStart w:id="91" w:name="_Toc518992986"/>
      <w:bookmarkStart w:id="92" w:name="_Toc1018"/>
      <w:bookmarkStart w:id="93" w:name="_Toc520190026"/>
      <w:bookmarkStart w:id="94" w:name="_Toc183666513"/>
    </w:p>
    <w:p>
      <w:pPr>
        <w:pStyle w:val="9"/>
        <w:tabs>
          <w:tab w:val="left" w:pos="720"/>
        </w:tabs>
        <w:spacing w:line="440" w:lineRule="exact"/>
        <w:ind w:firstLine="482" w:firstLineChars="200"/>
        <w:rPr>
          <w:rFonts w:hAnsi="宋体" w:cs="宋体"/>
          <w:sz w:val="24"/>
          <w:szCs w:val="24"/>
        </w:rPr>
      </w:pPr>
      <w:r>
        <w:rPr>
          <w:rFonts w:hint="eastAsia" w:hAnsi="宋体" w:cs="宋体"/>
          <w:b/>
          <w:bCs/>
          <w:sz w:val="24"/>
          <w:szCs w:val="24"/>
        </w:rPr>
        <w:t>第一条</w:t>
      </w:r>
      <w:r>
        <w:rPr>
          <w:rFonts w:hint="eastAsia" w:hAnsi="宋体" w:cs="宋体"/>
          <w:sz w:val="24"/>
          <w:szCs w:val="24"/>
        </w:rPr>
        <w:t xml:space="preserve"> </w:t>
      </w:r>
      <w:r>
        <w:rPr>
          <w:rFonts w:hint="eastAsia" w:hAnsi="宋体" w:cs="宋体"/>
          <w:b/>
          <w:bCs/>
          <w:sz w:val="24"/>
          <w:szCs w:val="24"/>
        </w:rPr>
        <w:t>组成合同的文件及优先顺序</w:t>
      </w:r>
    </w:p>
    <w:p>
      <w:pPr>
        <w:pStyle w:val="9"/>
        <w:tabs>
          <w:tab w:val="left" w:pos="720"/>
        </w:tabs>
        <w:spacing w:line="440" w:lineRule="exact"/>
        <w:ind w:firstLine="480" w:firstLineChars="200"/>
        <w:rPr>
          <w:rFonts w:hAnsi="宋体" w:cs="宋体"/>
          <w:kern w:val="2"/>
          <w:sz w:val="24"/>
          <w:szCs w:val="24"/>
        </w:rPr>
      </w:pPr>
      <w:r>
        <w:rPr>
          <w:rFonts w:hint="eastAsia" w:hAnsi="宋体" w:cs="宋体"/>
          <w:kern w:val="2"/>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rPr>
      </w:pPr>
      <w:r>
        <w:rPr>
          <w:rFonts w:hint="eastAsia" w:ascii="宋体" w:hAnsi="宋体" w:cs="宋体"/>
          <w:color w:val="auto"/>
          <w:sz w:val="24"/>
          <w:szCs w:val="24"/>
        </w:rPr>
        <w:t>⑴</w:t>
      </w:r>
      <w:r>
        <w:rPr>
          <w:rFonts w:ascii="宋体" w:hAnsi="宋体" w:cs="宋体"/>
          <w:color w:val="auto"/>
          <w:sz w:val="24"/>
          <w:szCs w:val="24"/>
        </w:rPr>
        <w:t xml:space="preserve"> </w:t>
      </w:r>
      <w:r>
        <w:rPr>
          <w:rFonts w:hint="eastAsia" w:ascii="宋体" w:hAnsi="宋体" w:cs="宋体"/>
          <w:color w:val="auto"/>
          <w:sz w:val="24"/>
          <w:szCs w:val="24"/>
        </w:rPr>
        <w:t>在本合同实施过程双方签署的补充与修正文件；</w:t>
      </w:r>
    </w:p>
    <w:p>
      <w:pPr>
        <w:spacing w:line="320" w:lineRule="exact"/>
        <w:ind w:firstLine="482"/>
        <w:rPr>
          <w:rFonts w:ascii="宋体" w:hAnsi="宋体" w:cs="宋体"/>
          <w:color w:val="auto"/>
          <w:sz w:val="24"/>
          <w:szCs w:val="24"/>
        </w:rPr>
      </w:pPr>
      <w:r>
        <w:rPr>
          <w:rFonts w:hint="eastAsia" w:ascii="宋体" w:hAnsi="宋体" w:cs="宋体"/>
          <w:color w:val="auto"/>
          <w:sz w:val="24"/>
          <w:szCs w:val="24"/>
        </w:rPr>
        <w:t>⑵</w:t>
      </w:r>
      <w:r>
        <w:rPr>
          <w:rFonts w:ascii="宋体" w:hAnsi="宋体" w:cs="宋体"/>
          <w:color w:val="auto"/>
          <w:sz w:val="24"/>
          <w:szCs w:val="24"/>
        </w:rPr>
        <w:t xml:space="preserve"> </w:t>
      </w:r>
      <w:r>
        <w:rPr>
          <w:rFonts w:hint="eastAsia" w:ascii="宋体" w:hAnsi="宋体" w:cs="宋体"/>
          <w:color w:val="auto"/>
          <w:sz w:val="24"/>
          <w:szCs w:val="24"/>
        </w:rPr>
        <w:t>本合同书；</w:t>
      </w:r>
    </w:p>
    <w:p>
      <w:pPr>
        <w:spacing w:line="320" w:lineRule="exact"/>
        <w:ind w:firstLine="482"/>
        <w:rPr>
          <w:rFonts w:ascii="宋体" w:hAnsi="宋体" w:cs="宋体"/>
          <w:bCs/>
          <w:color w:val="auto"/>
          <w:sz w:val="24"/>
        </w:rPr>
      </w:pPr>
      <w:r>
        <w:rPr>
          <w:rFonts w:hint="eastAsia" w:ascii="宋体" w:hAnsi="宋体" w:cs="宋体"/>
          <w:bCs/>
          <w:color w:val="auto"/>
          <w:sz w:val="24"/>
        </w:rPr>
        <w:t>⑶ 发包通知书/成交通知书/委托函；</w:t>
      </w:r>
    </w:p>
    <w:p>
      <w:pPr>
        <w:spacing w:line="320" w:lineRule="exact"/>
        <w:ind w:firstLine="482"/>
        <w:rPr>
          <w:rFonts w:ascii="宋体" w:hAnsi="宋体" w:cs="宋体"/>
          <w:bCs/>
          <w:color w:val="auto"/>
          <w:sz w:val="24"/>
        </w:rPr>
      </w:pPr>
      <w:r>
        <w:rPr>
          <w:rFonts w:hint="eastAsia" w:ascii="宋体" w:hAnsi="宋体" w:cs="宋体"/>
          <w:bCs/>
          <w:color w:val="auto"/>
          <w:sz w:val="24"/>
        </w:rPr>
        <w:t>⑷ 询价文件；</w:t>
      </w:r>
    </w:p>
    <w:p>
      <w:pPr>
        <w:spacing w:line="320" w:lineRule="exact"/>
        <w:ind w:firstLine="482"/>
        <w:rPr>
          <w:rFonts w:ascii="宋体" w:hAnsi="宋体" w:cs="宋体"/>
          <w:bCs/>
          <w:color w:val="auto"/>
          <w:sz w:val="24"/>
        </w:rPr>
      </w:pPr>
      <w:r>
        <w:rPr>
          <w:rFonts w:hint="eastAsia" w:ascii="宋体" w:hAnsi="宋体" w:cs="宋体"/>
          <w:bCs/>
          <w:color w:val="auto"/>
          <w:sz w:val="24"/>
        </w:rPr>
        <w:t>⑸ 响应文件；</w:t>
      </w:r>
    </w:p>
    <w:p>
      <w:pPr>
        <w:spacing w:line="320" w:lineRule="exact"/>
        <w:ind w:firstLine="482"/>
        <w:rPr>
          <w:rFonts w:ascii="宋体" w:hAnsi="宋体" w:cs="宋体"/>
          <w:bCs/>
          <w:color w:val="auto"/>
          <w:sz w:val="24"/>
        </w:rPr>
      </w:pPr>
      <w:r>
        <w:rPr>
          <w:rFonts w:hint="eastAsia" w:ascii="宋体" w:hAnsi="宋体" w:cs="宋体"/>
          <w:bCs/>
          <w:color w:val="auto"/>
          <w:sz w:val="24"/>
        </w:rPr>
        <w:t>⑹ 标准、规范及有关技术性文件；</w:t>
      </w:r>
    </w:p>
    <w:p>
      <w:pPr>
        <w:spacing w:line="320" w:lineRule="exact"/>
        <w:ind w:firstLine="482"/>
        <w:rPr>
          <w:rFonts w:ascii="宋体" w:hAnsi="宋体" w:cs="宋体"/>
          <w:bCs/>
          <w:color w:val="auto"/>
          <w:sz w:val="24"/>
        </w:rPr>
      </w:pPr>
      <w:r>
        <w:rPr>
          <w:rFonts w:hint="eastAsia" w:ascii="宋体" w:hAnsi="宋体" w:cs="宋体"/>
          <w:bCs/>
          <w:color w:val="auto"/>
          <w:sz w:val="24"/>
        </w:rPr>
        <w:t>⑺ 图纸；</w:t>
      </w:r>
    </w:p>
    <w:p>
      <w:pPr>
        <w:spacing w:line="320" w:lineRule="exact"/>
        <w:ind w:firstLine="482"/>
        <w:rPr>
          <w:rFonts w:ascii="宋体" w:hAnsi="宋体" w:cs="宋体"/>
          <w:bCs/>
          <w:color w:val="auto"/>
          <w:sz w:val="24"/>
        </w:rPr>
      </w:pPr>
      <w:r>
        <w:rPr>
          <w:rFonts w:hint="eastAsia" w:ascii="宋体" w:hAnsi="宋体" w:cs="宋体"/>
          <w:bCs/>
          <w:color w:val="auto"/>
          <w:sz w:val="24"/>
        </w:rPr>
        <w:t>⑻ 工程量清单/</w:t>
      </w:r>
      <w:r>
        <w:rPr>
          <w:rFonts w:hint="eastAsia" w:ascii="宋体" w:hAnsi="宋体" w:cs="宋体"/>
          <w:color w:val="auto"/>
          <w:sz w:val="24"/>
        </w:rPr>
        <w:t>工程报价单或预算书</w:t>
      </w:r>
    </w:p>
    <w:p>
      <w:pPr>
        <w:widowControl w:val="0"/>
        <w:numPr>
          <w:ilvl w:val="255"/>
          <w:numId w:val="0"/>
        </w:numPr>
        <w:spacing w:after="0" w:line="320" w:lineRule="exact"/>
        <w:ind w:firstLine="480" w:firstLineChars="200"/>
        <w:jc w:val="both"/>
        <w:rPr>
          <w:rFonts w:ascii="宋体" w:hAnsi="宋体" w:cs="宋体"/>
          <w:b/>
          <w:color w:val="auto"/>
          <w:sz w:val="24"/>
          <w:szCs w:val="24"/>
        </w:rPr>
      </w:pPr>
      <w:r>
        <w:rPr>
          <w:rFonts w:hint="eastAsia" w:ascii="宋体" w:hAnsi="宋体" w:cs="宋体"/>
          <w:bCs/>
          <w:color w:val="auto"/>
          <w:sz w:val="24"/>
        </w:rPr>
        <w:t>⑼ 本合同其他附件；</w:t>
      </w:r>
    </w:p>
    <w:p>
      <w:pPr>
        <w:widowControl w:val="0"/>
        <w:numPr>
          <w:ilvl w:val="255"/>
          <w:numId w:val="0"/>
        </w:numPr>
        <w:spacing w:after="0" w:line="460" w:lineRule="exact"/>
        <w:ind w:firstLine="482" w:firstLineChars="200"/>
        <w:jc w:val="both"/>
        <w:rPr>
          <w:rFonts w:ascii="宋体" w:hAnsi="宋体" w:cs="宋体"/>
          <w:color w:val="auto"/>
          <w:sz w:val="24"/>
          <w:szCs w:val="24"/>
        </w:rPr>
      </w:pPr>
      <w:r>
        <w:rPr>
          <w:rFonts w:hint="eastAsia" w:ascii="宋体" w:hAnsi="宋体" w:cs="宋体"/>
          <w:b/>
          <w:color w:val="auto"/>
          <w:sz w:val="24"/>
          <w:szCs w:val="24"/>
        </w:rPr>
        <w:t xml:space="preserve">第二条 </w:t>
      </w:r>
      <w:bookmarkEnd w:id="90"/>
      <w:bookmarkEnd w:id="91"/>
      <w:bookmarkEnd w:id="92"/>
      <w:bookmarkEnd w:id="93"/>
      <w:bookmarkEnd w:id="94"/>
      <w:r>
        <w:rPr>
          <w:rFonts w:hint="eastAsia" w:ascii="宋体" w:hAnsi="宋体" w:cs="宋体"/>
          <w:b/>
          <w:color w:val="auto"/>
          <w:sz w:val="24"/>
          <w:szCs w:val="24"/>
        </w:rPr>
        <w:t>合同标的</w:t>
      </w:r>
    </w:p>
    <w:tbl>
      <w:tblPr>
        <w:tblStyle w:val="22"/>
        <w:tblpPr w:leftFromText="180" w:rightFromText="180" w:vertAnchor="text" w:horzAnchor="page" w:tblpXSpec="center" w:tblpY="1351"/>
        <w:tblOverlap w:val="never"/>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93"/>
        <w:gridCol w:w="1078"/>
        <w:gridCol w:w="502"/>
        <w:gridCol w:w="1185"/>
        <w:gridCol w:w="1052"/>
        <w:gridCol w:w="495"/>
        <w:gridCol w:w="850"/>
        <w:gridCol w:w="782"/>
        <w:gridCol w:w="926"/>
        <w:gridCol w:w="921"/>
        <w:gridCol w:w="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品牌</w:t>
            </w:r>
          </w:p>
        </w:tc>
        <w:tc>
          <w:tcPr>
            <w:tcW w:w="668"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型号</w:t>
            </w:r>
          </w:p>
        </w:tc>
        <w:tc>
          <w:tcPr>
            <w:tcW w:w="593"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279"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单价（元）</w:t>
            </w:r>
          </w:p>
        </w:tc>
        <w:tc>
          <w:tcPr>
            <w:tcW w:w="1041"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金额（元）</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7" w:hRule="atLeast"/>
          <w:jc w:val="center"/>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9"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w:t>
            </w:r>
          </w:p>
        </w:tc>
        <w:tc>
          <w:tcPr>
            <w:tcW w:w="44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不含税</w:t>
            </w:r>
          </w:p>
        </w:tc>
        <w:tc>
          <w:tcPr>
            <w:tcW w:w="52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w:t>
            </w:r>
          </w:p>
        </w:tc>
        <w:tc>
          <w:tcPr>
            <w:tcW w:w="51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不含税</w:t>
            </w: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4"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6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仿宋" w:hAnsi="仿宋" w:eastAsia="仿宋" w:cs="仿宋"/>
                <w:b w:val="0"/>
                <w:bCs/>
                <w:i w:val="0"/>
                <w:color w:val="000000"/>
                <w:sz w:val="24"/>
                <w:szCs w:val="24"/>
                <w:highlight w:val="none"/>
                <w:u w:val="none"/>
                <w:lang w:val="en-US" w:eastAsia="zh-CN"/>
              </w:rPr>
              <w:t>大坦沙分公司二期内回流泵</w:t>
            </w:r>
          </w:p>
        </w:tc>
        <w:tc>
          <w:tcPr>
            <w:tcW w:w="28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EIM</w:t>
            </w:r>
          </w:p>
        </w:tc>
        <w:tc>
          <w:tcPr>
            <w:tcW w:w="66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p>
        </w:tc>
        <w:tc>
          <w:tcPr>
            <w:tcW w:w="59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台</w:t>
            </w:r>
          </w:p>
        </w:tc>
        <w:tc>
          <w:tcPr>
            <w:tcW w:w="27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w:t>
            </w:r>
          </w:p>
        </w:tc>
        <w:tc>
          <w:tcPr>
            <w:tcW w:w="47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p>
        </w:tc>
        <w:tc>
          <w:tcPr>
            <w:tcW w:w="52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p>
        </w:tc>
        <w:tc>
          <w:tcPr>
            <w:tcW w:w="3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8"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4721" w:type="pct"/>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Style w:val="46"/>
                <w:lang w:val="en-US" w:eastAsia="zh-CN" w:bidi="ar"/>
              </w:rPr>
              <w:t>含税总价（元）：</w:t>
            </w:r>
            <w:r>
              <w:rPr>
                <w:rStyle w:val="46"/>
                <w:rFonts w:hint="eastAsia"/>
                <w:lang w:val="en-US" w:eastAsia="zh-CN" w:bidi="ar"/>
              </w:rPr>
              <w:t xml:space="preserve">      </w:t>
            </w:r>
            <w:r>
              <w:rPr>
                <w:rStyle w:val="46"/>
                <w:lang w:val="en-US" w:eastAsia="zh-CN" w:bidi="ar"/>
              </w:rPr>
              <w:t>；    税率：</w:t>
            </w:r>
            <w:r>
              <w:rPr>
                <w:rStyle w:val="47"/>
                <w:lang w:val="en-US" w:eastAsia="zh-CN" w:bidi="ar"/>
              </w:rPr>
              <w:t xml:space="preserve">  </w:t>
            </w:r>
            <w:r>
              <w:rPr>
                <w:rStyle w:val="47"/>
                <w:rFonts w:hint="eastAsia"/>
                <w:lang w:val="en-US" w:eastAsia="zh-CN" w:bidi="ar"/>
              </w:rPr>
              <w:t xml:space="preserve">   </w:t>
            </w:r>
            <w:r>
              <w:rPr>
                <w:rStyle w:val="47"/>
                <w:lang w:val="en-US" w:eastAsia="zh-CN" w:bidi="ar"/>
              </w:rPr>
              <w:t xml:space="preserve">  </w:t>
            </w:r>
            <w:r>
              <w:rPr>
                <w:rStyle w:val="46"/>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备注</w:t>
            </w:r>
          </w:p>
        </w:tc>
        <w:tc>
          <w:tcPr>
            <w:tcW w:w="4721" w:type="pct"/>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Style w:val="46"/>
                <w:lang w:val="en-US" w:eastAsia="zh-CN" w:bidi="ar"/>
              </w:rPr>
            </w:pPr>
            <w:r>
              <w:rPr>
                <w:rFonts w:hint="eastAsia" w:ascii="仿宋" w:hAnsi="仿宋" w:eastAsia="仿宋" w:cs="仿宋"/>
                <w:b w:val="0"/>
                <w:bCs/>
                <w:i w:val="0"/>
                <w:color w:val="000000"/>
                <w:sz w:val="24"/>
                <w:szCs w:val="24"/>
                <w:highlight w:val="none"/>
                <w:u w:val="none"/>
                <w:lang w:val="en-US" w:eastAsia="zh-CN"/>
              </w:rPr>
              <w:t>每台设备配套≥15米原厂跟机电缆及保证设备安全稳定运行的执行、保护套件等</w:t>
            </w:r>
          </w:p>
        </w:tc>
      </w:tr>
    </w:tbl>
    <w:p>
      <w:pPr>
        <w:autoSpaceDE w:val="0"/>
        <w:autoSpaceDN w:val="0"/>
        <w:adjustRightInd w:val="0"/>
        <w:spacing w:line="360" w:lineRule="auto"/>
        <w:ind w:firstLine="480" w:firstLineChars="200"/>
        <w:rPr>
          <w:rFonts w:hint="eastAsia" w:ascii="宋体" w:hAnsi="宋体" w:cs="宋体"/>
          <w:color w:val="auto"/>
          <w:kern w:val="0"/>
          <w:sz w:val="24"/>
          <w:szCs w:val="24"/>
          <w:lang w:val="zh-CN"/>
        </w:rPr>
      </w:pPr>
      <w:r>
        <w:rPr>
          <w:rFonts w:hint="eastAsia" w:ascii="宋体" w:hAnsi="宋体" w:cs="宋体"/>
          <w:color w:val="auto"/>
          <w:kern w:val="0"/>
          <w:sz w:val="24"/>
          <w:szCs w:val="24"/>
          <w:lang w:val="zh-CN"/>
        </w:rPr>
        <w:t>本合同所指设备为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en-US" w:eastAsia="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全新的原装产品，原产地为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en-US" w:eastAsia="zh-CN"/>
        </w:rPr>
        <w:t>/</w:t>
      </w:r>
      <w:r>
        <w:rPr>
          <w:rFonts w:hint="eastAsia" w:ascii="宋体" w:hAnsi="宋体" w:cs="宋体"/>
          <w:color w:val="auto"/>
          <w:kern w:val="0"/>
          <w:sz w:val="24"/>
          <w:szCs w:val="24"/>
          <w:u w:val="single"/>
          <w:lang w:val="zh-CN"/>
        </w:rPr>
        <w:t>，</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名称、型号、规格、数量、金额详见下表：</w:t>
      </w:r>
    </w:p>
    <w:p>
      <w:pPr>
        <w:spacing w:after="120" w:line="460" w:lineRule="exact"/>
        <w:rPr>
          <w:lang w:val="zh-CN"/>
        </w:rPr>
      </w:pPr>
      <w:r>
        <w:rPr>
          <w:rFonts w:hint="eastAsia" w:ascii="宋体" w:hAnsi="宋体" w:cs="宋体"/>
          <w:color w:val="auto"/>
          <w:kern w:val="0"/>
          <w:sz w:val="24"/>
          <w:szCs w:val="24"/>
          <w:lang w:val="zh-CN"/>
        </w:rPr>
        <w:t>其他</w:t>
      </w:r>
      <w:r>
        <w:rPr>
          <w:rFonts w:hint="eastAsia" w:ascii="宋体" w:hAnsi="宋体" w:cs="宋体"/>
          <w:color w:val="auto"/>
          <w:kern w:val="0"/>
          <w:sz w:val="24"/>
          <w:szCs w:val="24"/>
        </w:rPr>
        <w:t>采购</w:t>
      </w:r>
      <w:r>
        <w:rPr>
          <w:rFonts w:hint="eastAsia" w:ascii="宋体" w:hAnsi="宋体" w:cs="宋体"/>
          <w:color w:val="auto"/>
          <w:kern w:val="0"/>
          <w:sz w:val="24"/>
          <w:szCs w:val="24"/>
          <w:lang w:val="zh-CN"/>
        </w:rPr>
        <w:t>需求见附件（如</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w:t>
      </w:r>
    </w:p>
    <w:p>
      <w:pPr>
        <w:adjustRightInd w:val="0"/>
        <w:snapToGrid w:val="0"/>
        <w:spacing w:line="460" w:lineRule="exact"/>
        <w:ind w:firstLine="482" w:firstLineChars="200"/>
        <w:rPr>
          <w:rFonts w:ascii="宋体" w:hAnsi="宋体" w:cs="宋体"/>
          <w:b/>
          <w:bCs/>
          <w:color w:val="auto"/>
          <w:kern w:val="0"/>
          <w:sz w:val="24"/>
          <w:szCs w:val="24"/>
          <w:lang w:val="zh-CN"/>
        </w:rPr>
      </w:pPr>
      <w:r>
        <w:rPr>
          <w:rFonts w:hint="eastAsia" w:ascii="宋体" w:hAnsi="宋体" w:cs="宋体"/>
          <w:b/>
          <w:bCs/>
          <w:color w:val="auto"/>
          <w:kern w:val="0"/>
          <w:sz w:val="24"/>
          <w:szCs w:val="24"/>
          <w:lang w:val="zh-CN"/>
        </w:rPr>
        <w:t>第三条 交货日期及地点</w:t>
      </w:r>
    </w:p>
    <w:p>
      <w:pPr>
        <w:spacing w:after="120" w:afterLines="50" w:line="360" w:lineRule="auto"/>
        <w:ind w:firstLine="480" w:firstLineChars="200"/>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交货日期</w:t>
      </w:r>
      <w:r>
        <w:rPr>
          <w:rFonts w:ascii="宋体" w:hAnsi="宋体" w:cs="宋体"/>
          <w:color w:val="auto"/>
          <w:sz w:val="24"/>
          <w:szCs w:val="24"/>
        </w:rPr>
        <w:t xml:space="preserve"> </w:t>
      </w:r>
      <w:r>
        <w:rPr>
          <w:rFonts w:hint="eastAsia" w:ascii="宋体" w:hAnsi="宋体" w:cs="宋体"/>
          <w:color w:val="auto"/>
          <w:sz w:val="24"/>
          <w:szCs w:val="24"/>
        </w:rPr>
        <w:t>：</w:t>
      </w:r>
      <w:r>
        <w:rPr>
          <w:rFonts w:hint="eastAsia" w:ascii="宋体" w:hAnsi="宋体" w:cs="宋体"/>
          <w:color w:val="auto"/>
          <w:sz w:val="24"/>
          <w:szCs w:val="24"/>
          <w:u w:val="single"/>
          <w:lang w:val="en-US" w:eastAsia="zh-CN"/>
        </w:rPr>
        <w:t>自合同签订后180天内</w:t>
      </w:r>
      <w:r>
        <w:rPr>
          <w:rFonts w:hint="eastAsia" w:ascii="宋体" w:hAnsi="宋体" w:cs="宋体"/>
          <w:color w:val="auto"/>
          <w:sz w:val="24"/>
          <w:szCs w:val="24"/>
        </w:rPr>
        <w:t>完成供货（如需有不同交货时间注明）</w:t>
      </w:r>
      <w:r>
        <w:rPr>
          <w:rFonts w:ascii="宋体" w:hAnsi="宋体" w:cs="宋体"/>
          <w:color w:val="auto"/>
          <w:sz w:val="24"/>
          <w:szCs w:val="24"/>
        </w:rPr>
        <w:t>,</w:t>
      </w:r>
      <w:r>
        <w:rPr>
          <w:rFonts w:hint="eastAsia" w:ascii="宋体" w:hAnsi="宋体" w:cs="宋体"/>
          <w:color w:val="auto"/>
          <w:sz w:val="24"/>
          <w:szCs w:val="24"/>
        </w:rPr>
        <w:t>具体交货时间以甲方通知为准。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lang w:val="en-US" w:eastAsia="zh-CN"/>
        </w:rPr>
        <w:t>广州市荔湾区桥中南路7号</w:t>
      </w:r>
      <w:r>
        <w:rPr>
          <w:rFonts w:ascii="宋体" w:hAnsi="宋体" w:cs="宋体"/>
          <w:bCs/>
          <w:color w:val="auto"/>
          <w:sz w:val="24"/>
          <w:szCs w:val="24"/>
          <w:u w:val="single"/>
        </w:rPr>
        <w:t xml:space="preserve"> </w:t>
      </w:r>
      <w:r>
        <w:rPr>
          <w:rFonts w:ascii="宋体" w:hAnsi="宋体" w:cs="宋体"/>
          <w:bCs/>
          <w:color w:val="auto"/>
          <w:sz w:val="24"/>
          <w:szCs w:val="24"/>
        </w:rPr>
        <w:t>,</w:t>
      </w:r>
      <w:r>
        <w:rPr>
          <w:rFonts w:hint="eastAsia" w:ascii="宋体" w:hAnsi="宋体" w:cs="宋体"/>
          <w:bCs/>
          <w:color w:val="auto"/>
          <w:sz w:val="24"/>
          <w:szCs w:val="24"/>
        </w:rPr>
        <w:t>最终具体交货地点以甲方通知为准。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3.3 </w:t>
      </w:r>
      <w:r>
        <w:rPr>
          <w:rFonts w:hint="eastAsia" w:ascii="宋体" w:hAnsi="宋体" w:cs="宋体"/>
          <w:bCs/>
          <w:color w:val="auto"/>
          <w:sz w:val="24"/>
          <w:szCs w:val="24"/>
        </w:rPr>
        <w:t>交货方式：乙方在设备运至交货地</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7</w:t>
      </w:r>
      <w:r>
        <w:rPr>
          <w:rFonts w:ascii="宋体" w:hAnsi="宋体" w:cs="宋体"/>
          <w:bCs/>
          <w:color w:val="auto"/>
          <w:sz w:val="24"/>
          <w:szCs w:val="24"/>
          <w:u w:val="single"/>
        </w:rPr>
        <w:t xml:space="preserve"> </w:t>
      </w:r>
      <w:r>
        <w:rPr>
          <w:rFonts w:hint="eastAsia" w:ascii="宋体" w:hAnsi="宋体" w:cs="宋体"/>
          <w:bCs/>
          <w:color w:val="auto"/>
          <w:sz w:val="24"/>
          <w:szCs w:val="24"/>
        </w:rPr>
        <w:t>个工作日前通知甲方。</w:t>
      </w:r>
    </w:p>
    <w:p>
      <w:pPr>
        <w:spacing w:after="0" w:line="360" w:lineRule="auto"/>
        <w:ind w:firstLine="480" w:firstLineChars="200"/>
        <w:rPr>
          <w:rFonts w:ascii="宋体" w:hAnsi="宋体" w:cs="宋体"/>
          <w:b/>
          <w:color w:val="auto"/>
          <w:sz w:val="24"/>
          <w:szCs w:val="24"/>
        </w:rPr>
      </w:pPr>
      <w:r>
        <w:rPr>
          <w:rFonts w:ascii="宋体" w:hAnsi="宋体" w:cs="宋体"/>
          <w:bCs/>
          <w:color w:val="auto"/>
          <w:sz w:val="24"/>
          <w:szCs w:val="24"/>
        </w:rPr>
        <w:t>3.4</w:t>
      </w:r>
      <w:r>
        <w:rPr>
          <w:rFonts w:hint="eastAsia" w:ascii="宋体" w:hAnsi="宋体" w:cs="宋体"/>
          <w:bCs/>
          <w:color w:val="auto"/>
          <w:sz w:val="24"/>
          <w:szCs w:val="24"/>
        </w:rPr>
        <w:t>其他：</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hint="eastAsia" w:ascii="宋体" w:hAnsi="宋体" w:cs="宋体"/>
          <w:color w:val="auto"/>
          <w:sz w:val="24"/>
          <w:szCs w:val="24"/>
          <w:u w:val="single"/>
        </w:rPr>
        <w:t>。</w:t>
      </w:r>
    </w:p>
    <w:p>
      <w:pPr>
        <w:spacing w:after="120" w:line="460" w:lineRule="exact"/>
        <w:ind w:firstLine="480" w:firstLineChars="200"/>
      </w:pPr>
      <w:r>
        <w:rPr>
          <w:rFonts w:hint="eastAsia" w:ascii="宋体" w:hAnsi="宋体" w:cs="宋体"/>
          <w:color w:val="auto"/>
          <w:sz w:val="24"/>
          <w:szCs w:val="24"/>
        </w:rPr>
        <w:t xml:space="preserve"> </w:t>
      </w:r>
    </w:p>
    <w:p>
      <w:pPr>
        <w:numPr>
          <w:ilvl w:val="0"/>
          <w:numId w:val="6"/>
        </w:numPr>
        <w:adjustRightInd w:val="0"/>
        <w:snapToGrid w:val="0"/>
        <w:spacing w:line="460" w:lineRule="exact"/>
        <w:ind w:firstLine="482" w:firstLineChars="200"/>
        <w:jc w:val="both"/>
        <w:rPr>
          <w:rFonts w:ascii="宋体" w:hAnsi="宋体" w:cs="宋体"/>
          <w:b/>
          <w:color w:val="auto"/>
          <w:sz w:val="24"/>
          <w:szCs w:val="24"/>
        </w:rPr>
      </w:pP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 xml:space="preserve">4.1 </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万元，（人民币）大写：</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w:t>
      </w:r>
      <w:r>
        <w:rPr>
          <w:rFonts w:ascii="宋体" w:hAnsi="宋体" w:cs="宋体"/>
          <w:color w:val="auto"/>
          <w:kern w:val="0"/>
          <w:sz w:val="24"/>
          <w:szCs w:val="24"/>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ascii="宋体" w:hAnsi="宋体" w:cs="宋体"/>
          <w:color w:val="auto"/>
          <w:kern w:val="0"/>
          <w:sz w:val="24"/>
          <w:szCs w:val="24"/>
        </w:rPr>
        <w:t xml:space="preserve"> </w:t>
      </w:r>
      <w:r>
        <w:rPr>
          <w:rFonts w:hint="eastAsia" w:ascii="宋体" w:hAnsi="宋体" w:cs="宋体"/>
          <w:color w:val="auto"/>
          <w:kern w:val="0"/>
          <w:sz w:val="24"/>
          <w:szCs w:val="24"/>
          <w:lang w:val="zh-CN"/>
        </w:rPr>
        <w:t>设备价格包括</w:t>
      </w:r>
      <w:r>
        <w:rPr>
          <w:rFonts w:hint="eastAsia" w:ascii="宋体" w:hAnsi="宋体" w:cs="宋体"/>
          <w:color w:val="auto"/>
          <w:kern w:val="0"/>
          <w:sz w:val="24"/>
          <w:szCs w:val="24"/>
          <w:u w:val="single"/>
          <w:lang w:val="zh-CN"/>
        </w:rPr>
        <w:t>设备及随机附件的制造、包装、运输（设备运输过程中所需的相关手续</w:t>
      </w:r>
      <w:r>
        <w:rPr>
          <w:rFonts w:hint="eastAsia" w:ascii="宋体" w:hAnsi="宋体" w:cs="宋体"/>
          <w:color w:val="auto"/>
          <w:kern w:val="0"/>
          <w:sz w:val="24"/>
          <w:szCs w:val="24"/>
          <w:u w:val="single"/>
        </w:rPr>
        <w:t>及费用</w:t>
      </w:r>
      <w:r>
        <w:rPr>
          <w:rFonts w:hint="eastAsia" w:ascii="宋体" w:hAnsi="宋体" w:cs="宋体"/>
          <w:color w:val="auto"/>
          <w:kern w:val="0"/>
          <w:sz w:val="24"/>
          <w:szCs w:val="24"/>
          <w:u w:val="single"/>
          <w:lang w:val="zh-CN"/>
        </w:rPr>
        <w:t>）、装卸、验收、技术服务（包括技术资料）、质保期保修、税费、保险费等全部费用。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pPr>
      <w:r>
        <w:rPr>
          <w:rFonts w:ascii="宋体" w:hAnsi="宋体" w:cs="宋体"/>
          <w:color w:val="auto"/>
          <w:kern w:val="0"/>
          <w:sz w:val="24"/>
          <w:szCs w:val="24"/>
        </w:rPr>
        <w:t>4</w:t>
      </w:r>
      <w:r>
        <w:rPr>
          <w:rFonts w:ascii="宋体" w:hAnsi="宋体" w:cs="宋体"/>
          <w:color w:val="auto"/>
          <w:kern w:val="0"/>
          <w:sz w:val="24"/>
          <w:szCs w:val="24"/>
          <w:lang w:val="zh-CN"/>
        </w:rPr>
        <w:t>.3</w:t>
      </w:r>
      <w:r>
        <w:rPr>
          <w:rFonts w:ascii="宋体" w:hAnsi="宋体" w:cs="宋体"/>
          <w:color w:val="auto"/>
          <w:kern w:val="0"/>
          <w:sz w:val="24"/>
          <w:szCs w:val="24"/>
        </w:rPr>
        <w:t xml:space="preserve"> </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），合同履行期间国家税率调整或乙方开票的实际税率与前述税率不一致的，不含税价不变，价税合计按实际税率相应调整，以开具发票时间为准。</w:t>
      </w:r>
      <w:bookmarkStart w:id="95" w:name="_Toc474245212"/>
      <w:bookmarkStart w:id="96" w:name="_Toc27425"/>
      <w:bookmarkStart w:id="97" w:name="_Toc518992988"/>
      <w:bookmarkStart w:id="98" w:name="_Toc520190028"/>
      <w:bookmarkStart w:id="99" w:name="_Toc107447236"/>
      <w:bookmarkStart w:id="100" w:name="_Toc107446843"/>
    </w:p>
    <w:bookmarkEnd w:id="95"/>
    <w:bookmarkEnd w:id="96"/>
    <w:bookmarkEnd w:id="97"/>
    <w:bookmarkEnd w:id="98"/>
    <w:p>
      <w:pPr>
        <w:autoSpaceDE w:val="0"/>
        <w:autoSpaceDN w:val="0"/>
        <w:adjustRightInd w:val="0"/>
        <w:spacing w:line="460" w:lineRule="exact"/>
        <w:ind w:left="420"/>
        <w:rPr>
          <w:rFonts w:ascii="宋体" w:hAnsi="宋体" w:cs="宋体"/>
          <w:bCs/>
          <w:color w:val="auto"/>
          <w:sz w:val="24"/>
          <w:szCs w:val="24"/>
        </w:rPr>
      </w:pPr>
      <w:bookmarkStart w:id="101" w:name="_Toc520190029"/>
      <w:bookmarkStart w:id="102" w:name="_Toc518992989"/>
      <w:bookmarkStart w:id="103" w:name="_Toc474245213"/>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w:t>
      </w:r>
      <w:bookmarkEnd w:id="101"/>
      <w:bookmarkEnd w:id="102"/>
      <w:bookmarkEnd w:id="103"/>
      <w:r>
        <w:rPr>
          <w:rFonts w:hint="eastAsia" w:ascii="宋体" w:hAnsi="宋体" w:cs="宋体"/>
          <w:b/>
          <w:color w:val="auto"/>
          <w:sz w:val="24"/>
          <w:szCs w:val="24"/>
        </w:rPr>
        <w:t>方式</w:t>
      </w:r>
    </w:p>
    <w:bookmarkEnd w:id="99"/>
    <w:bookmarkEnd w:id="100"/>
    <w:p>
      <w:pPr>
        <w:tabs>
          <w:tab w:val="left" w:pos="851"/>
        </w:tabs>
        <w:adjustRightInd w:val="0"/>
        <w:snapToGrid w:val="0"/>
        <w:spacing w:after="0" w:line="360" w:lineRule="auto"/>
        <w:ind w:firstLine="480" w:firstLineChars="200"/>
        <w:rPr>
          <w:rFonts w:ascii="宋体" w:hAnsi="宋体" w:cs="宋体"/>
          <w:color w:val="auto"/>
          <w:sz w:val="24"/>
          <w:szCs w:val="24"/>
        </w:rPr>
      </w:pPr>
      <w:bookmarkStart w:id="104" w:name="_Toc183666516"/>
      <w:bookmarkStart w:id="105" w:name="_Toc14703"/>
      <w:r>
        <w:rPr>
          <w:rFonts w:ascii="宋体" w:hAnsi="宋体" w:cs="宋体"/>
          <w:color w:val="auto"/>
          <w:sz w:val="24"/>
          <w:szCs w:val="24"/>
        </w:rPr>
        <w:t>5.1</w:t>
      </w:r>
      <w:r>
        <w:rPr>
          <w:rFonts w:hint="eastAsia" w:ascii="宋体" w:hAnsi="宋体" w:cs="宋体"/>
          <w:bCs/>
          <w:color w:val="auto"/>
          <w:sz w:val="24"/>
          <w:szCs w:val="24"/>
        </w:rPr>
        <w:t>预付款的支付：</w:t>
      </w:r>
      <w:r>
        <w:rPr>
          <w:rFonts w:hint="eastAsia" w:ascii="宋体" w:hAnsi="宋体" w:cs="宋体"/>
          <w:color w:val="auto"/>
          <w:szCs w:val="21"/>
          <w:lang w:eastAsia="zh-CN"/>
        </w:rPr>
        <w:t>□</w:t>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lang w:eastAsia="zh-CN"/>
        </w:rPr>
        <w:t>☑</w:t>
      </w:r>
      <w:r>
        <w:rPr>
          <w:rFonts w:hint="eastAsia" w:ascii="宋体" w:hAnsi="宋体" w:cs="宋体"/>
          <w:color w:val="auto"/>
          <w:szCs w:val="21"/>
          <w:lang w:val="en-US" w:eastAsia="zh-CN"/>
        </w:rPr>
        <w:t>有，</w:t>
      </w:r>
      <w:r>
        <w:rPr>
          <w:rFonts w:hint="eastAsia" w:ascii="宋体" w:hAnsi="宋体" w:cs="宋体"/>
          <w:bCs/>
          <w:color w:val="auto"/>
          <w:sz w:val="24"/>
          <w:szCs w:val="24"/>
        </w:rPr>
        <w:t>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ascii="宋体" w:hAnsi="宋体" w:cs="宋体"/>
          <w:bCs/>
          <w:color w:val="auto"/>
          <w:sz w:val="24"/>
          <w:szCs w:val="24"/>
        </w:rPr>
        <w:t xml:space="preserve"> </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adjustRightInd w:val="0"/>
        <w:snapToGrid w:val="0"/>
        <w:spacing w:line="460" w:lineRule="exact"/>
        <w:ind w:firstLine="360" w:firstLineChars="150"/>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rPr>
        <w:t>支付方式</w:t>
      </w:r>
    </w:p>
    <w:p>
      <w:pPr>
        <w:adjustRightInd w:val="0"/>
        <w:snapToGrid w:val="0"/>
        <w:spacing w:line="460" w:lineRule="exact"/>
        <w:ind w:firstLine="360" w:firstLineChars="150"/>
        <w:rPr>
          <w:rFonts w:hint="eastAsia" w:ascii="宋体" w:hAnsi="宋体" w:cs="宋体"/>
          <w:color w:val="auto"/>
          <w:sz w:val="24"/>
          <w:szCs w:val="24"/>
          <w:highlight w:val="yellow"/>
        </w:rPr>
      </w:pPr>
      <w:r>
        <w:rPr>
          <w:rFonts w:ascii="宋体" w:hAnsi="宋体" w:cs="宋体"/>
          <w:color w:val="auto"/>
          <w:sz w:val="24"/>
          <w:szCs w:val="24"/>
        </w:rPr>
        <w:t>5.2.1</w:t>
      </w:r>
      <w:r>
        <w:rPr>
          <w:rFonts w:hint="eastAsia" w:ascii="宋体" w:hAnsi="宋体" w:cs="宋体"/>
          <w:color w:val="auto"/>
          <w:sz w:val="24"/>
          <w:szCs w:val="24"/>
          <w:highlight w:val="none"/>
        </w:rPr>
        <w:t>设备到达现场，经</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验收合格完毕，甲方在收到乙方提交的请款资料及等额增值税专用发票后</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个工作日内向乙方支付至</w:t>
      </w:r>
      <w:r>
        <w:rPr>
          <w:rFonts w:hint="eastAsia" w:ascii="宋体" w:hAnsi="宋体" w:cs="宋体"/>
          <w:color w:val="auto"/>
          <w:sz w:val="24"/>
          <w:szCs w:val="24"/>
          <w:highlight w:val="none"/>
          <w:lang w:val="en-US" w:eastAsia="zh-CN"/>
        </w:rPr>
        <w:t>合同</w:t>
      </w:r>
      <w:r>
        <w:rPr>
          <w:rFonts w:hint="eastAsia" w:ascii="宋体" w:hAnsi="宋体" w:cs="宋体"/>
          <w:color w:val="auto"/>
          <w:sz w:val="24"/>
          <w:szCs w:val="24"/>
          <w:highlight w:val="none"/>
        </w:rPr>
        <w:t>总额的</w:t>
      </w:r>
      <w:r>
        <w:rPr>
          <w:rFonts w:hint="eastAsia" w:ascii="宋体" w:hAnsi="宋体" w:cs="宋体"/>
          <w:color w:val="auto"/>
          <w:sz w:val="24"/>
          <w:szCs w:val="24"/>
          <w:highlight w:val="none"/>
          <w:lang w:val="en-US" w:eastAsia="zh-CN"/>
        </w:rPr>
        <w:t>80</w:t>
      </w:r>
      <w:r>
        <w:rPr>
          <w:rFonts w:ascii="宋体" w:hAnsi="宋体" w:cs="宋体"/>
          <w:color w:val="auto"/>
          <w:sz w:val="24"/>
          <w:szCs w:val="24"/>
          <w:highlight w:val="none"/>
        </w:rPr>
        <w:t>%</w:t>
      </w:r>
      <w:r>
        <w:rPr>
          <w:rFonts w:hint="eastAsia" w:ascii="宋体" w:hAnsi="宋体" w:cs="宋体"/>
          <w:color w:val="auto"/>
          <w:sz w:val="24"/>
          <w:szCs w:val="24"/>
          <w:highlight w:val="none"/>
        </w:rPr>
        <w:t>（含预付款）</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经甲方结算审核后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乙方提交请款资料及等额增值税专用发票</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个工作日内，支付至合同结算价的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（含预付款）（若审核价低于合同暂定总价，则以审核价作为合同结算价，否则以合同暂定总价为合同结算价），合同结算价的</w:t>
      </w:r>
      <w:r>
        <w:rPr>
          <w:rFonts w:ascii="宋体" w:hAnsi="宋体" w:cs="宋体"/>
          <w:color w:val="auto"/>
          <w:sz w:val="24"/>
          <w:szCs w:val="24"/>
          <w:highlight w:val="none"/>
        </w:rPr>
        <w:t>5%</w:t>
      </w:r>
      <w:r>
        <w:rPr>
          <w:rFonts w:hint="eastAsia" w:ascii="宋体" w:hAnsi="宋体" w:cs="宋体"/>
          <w:color w:val="auto"/>
          <w:sz w:val="24"/>
          <w:szCs w:val="24"/>
          <w:highlight w:val="none"/>
        </w:rPr>
        <w:t>作为质保金留存。</w:t>
      </w:r>
    </w:p>
    <w:p>
      <w:pPr>
        <w:pStyle w:val="12"/>
        <w:spacing w:line="360" w:lineRule="auto"/>
        <w:ind w:firstLine="525" w:firstLineChars="250"/>
        <w:outlineLvl w:val="1"/>
        <w:rPr>
          <w:rFonts w:ascii="宋体" w:hAnsi="宋体" w:cs="宋体"/>
          <w:color w:val="auto"/>
          <w:sz w:val="24"/>
          <w:szCs w:val="24"/>
        </w:rPr>
      </w:pPr>
      <w:r>
        <w:rPr>
          <w:rFonts w:hAnsi="宋体" w:cs="宋体"/>
          <w:szCs w:val="24"/>
        </w:rPr>
        <w:t>5.2.2</w:t>
      </w:r>
      <w:r>
        <w:rPr>
          <w:rFonts w:hint="eastAsia" w:ascii="宋体" w:hAnsi="宋体" w:cs="宋体" w:eastAsiaTheme="minorEastAsia"/>
          <w:color w:val="auto"/>
          <w:kern w:val="2"/>
          <w:sz w:val="24"/>
          <w:szCs w:val="24"/>
          <w:highlight w:val="none"/>
          <w:lang w:val="en-US" w:eastAsia="zh-CN" w:bidi="ar-SA"/>
        </w:rPr>
        <w:t>质保期按合同第</w:t>
      </w:r>
      <w:r>
        <w:rPr>
          <w:rFonts w:hint="eastAsia" w:hAnsi="宋体" w:cs="宋体"/>
          <w:color w:val="auto"/>
          <w:kern w:val="2"/>
          <w:sz w:val="24"/>
          <w:szCs w:val="24"/>
          <w:highlight w:val="none"/>
          <w:lang w:val="en-US" w:eastAsia="zh-CN" w:bidi="ar-SA"/>
        </w:rPr>
        <w:t>十</w:t>
      </w:r>
      <w:r>
        <w:rPr>
          <w:rFonts w:hint="eastAsia" w:ascii="宋体" w:hAnsi="宋体" w:cs="宋体" w:eastAsiaTheme="minorEastAsia"/>
          <w:color w:val="auto"/>
          <w:kern w:val="2"/>
          <w:sz w:val="24"/>
          <w:szCs w:val="24"/>
          <w:highlight w:val="none"/>
          <w:lang w:val="en-US" w:eastAsia="zh-CN" w:bidi="ar-SA"/>
        </w:rPr>
        <w:t>条规定执行，质保期满且乙方不存在违约情形，乙方提交请款资料及等额增值税专用发票，甲方审核无误后在</w:t>
      </w:r>
      <w:r>
        <w:rPr>
          <w:rFonts w:hint="eastAsia" w:ascii="宋体" w:hAnsi="宋体" w:cs="宋体" w:eastAsiaTheme="minorEastAsia"/>
          <w:color w:val="auto"/>
          <w:kern w:val="2"/>
          <w:sz w:val="24"/>
          <w:szCs w:val="24"/>
          <w:highlight w:val="none"/>
          <w:u w:val="single"/>
          <w:lang w:val="en-US" w:eastAsia="zh-CN" w:bidi="ar-SA"/>
        </w:rPr>
        <w:t xml:space="preserve"> </w:t>
      </w:r>
      <w:r>
        <w:rPr>
          <w:rFonts w:hint="eastAsia" w:hAnsi="宋体" w:cs="宋体"/>
          <w:color w:val="auto"/>
          <w:kern w:val="2"/>
          <w:sz w:val="24"/>
          <w:szCs w:val="24"/>
          <w:highlight w:val="none"/>
          <w:u w:val="single"/>
          <w:lang w:val="en-US" w:eastAsia="zh-CN" w:bidi="ar-SA"/>
        </w:rPr>
        <w:t>30</w:t>
      </w:r>
      <w:r>
        <w:rPr>
          <w:rFonts w:hint="eastAsia" w:ascii="宋体" w:hAnsi="宋体" w:cs="宋体" w:eastAsiaTheme="minorEastAsia"/>
          <w:color w:val="auto"/>
          <w:kern w:val="2"/>
          <w:sz w:val="24"/>
          <w:szCs w:val="24"/>
          <w:highlight w:val="none"/>
          <w:u w:val="single"/>
          <w:lang w:val="en-US" w:eastAsia="zh-CN" w:bidi="ar-SA"/>
        </w:rPr>
        <w:t xml:space="preserve"> </w:t>
      </w:r>
      <w:r>
        <w:rPr>
          <w:rFonts w:hint="eastAsia" w:ascii="宋体" w:hAnsi="宋体" w:cs="宋体" w:eastAsiaTheme="minorEastAsia"/>
          <w:color w:val="auto"/>
          <w:kern w:val="2"/>
          <w:sz w:val="24"/>
          <w:szCs w:val="24"/>
          <w:highlight w:val="none"/>
          <w:lang w:val="en-US" w:eastAsia="zh-CN" w:bidi="ar-SA"/>
        </w:rPr>
        <w:t>个工作日内支付合同结算价的5％（质保金）给乙方(无息)。</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5.2.3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5.2.4</w:t>
      </w:r>
      <w:r>
        <w:rPr>
          <w:rFonts w:hint="eastAsia" w:ascii="宋体" w:hAnsi="宋体" w:cs="宋体"/>
          <w:color w:val="auto"/>
          <w:sz w:val="24"/>
          <w:szCs w:val="24"/>
        </w:rPr>
        <w:t>乙方在收款前需向甲方提交等额增值税专用发票，增值税专用发票信息：</w:t>
      </w:r>
    </w:p>
    <w:p>
      <w:pPr>
        <w:spacing w:line="360" w:lineRule="auto"/>
        <w:ind w:firstLine="1200" w:firstLineChars="500"/>
        <w:rPr>
          <w:rFonts w:ascii="宋体" w:hAnsi="宋体" w:cs="宋体"/>
          <w:color w:val="auto"/>
          <w:sz w:val="24"/>
          <w:szCs w:val="24"/>
        </w:rPr>
      </w:pP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720" w:firstLineChars="300"/>
        <w:outlineLvl w:val="1"/>
        <w:rPr>
          <w:rFonts w:hint="eastAsia"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hint="eastAsia" w:ascii="宋体" w:hAnsi="宋体" w:cs="宋体"/>
          <w:color w:val="auto"/>
          <w:sz w:val="24"/>
          <w:szCs w:val="24"/>
          <w:lang w:eastAsia="zh-CN"/>
        </w:rPr>
        <w:t>。</w:t>
      </w:r>
      <w:r>
        <w:rPr>
          <w:rFonts w:ascii="宋体" w:hAnsi="宋体" w:cs="宋体"/>
          <w:color w:val="auto"/>
          <w:sz w:val="24"/>
          <w:szCs w:val="24"/>
        </w:rPr>
        <w:t xml:space="preserve">    </w:t>
      </w:r>
    </w:p>
    <w:p>
      <w:pPr>
        <w:pStyle w:val="2"/>
      </w:pPr>
    </w:p>
    <w:bookmarkEnd w:id="104"/>
    <w:bookmarkEnd w:id="105"/>
    <w:p>
      <w:pPr>
        <w:autoSpaceDE w:val="0"/>
        <w:autoSpaceDN w:val="0"/>
        <w:adjustRightInd w:val="0"/>
        <w:spacing w:after="0" w:line="360" w:lineRule="auto"/>
        <w:rPr>
          <w:rFonts w:ascii="宋体" w:hAnsi="宋体" w:cs="宋体"/>
          <w:bCs/>
          <w:color w:val="auto"/>
          <w:sz w:val="24"/>
          <w:szCs w:val="24"/>
        </w:rPr>
      </w:pPr>
      <w:bookmarkStart w:id="106" w:name="_Toc5166"/>
      <w:bookmarkStart w:id="107" w:name="_Toc107447254"/>
      <w:bookmarkStart w:id="108" w:name="_Toc518992998"/>
      <w:bookmarkStart w:id="109" w:name="_Toc107447253"/>
      <w:bookmarkStart w:id="110" w:name="_Toc107446860"/>
      <w:bookmarkStart w:id="111" w:name="_Toc183666529"/>
      <w:bookmarkStart w:id="112" w:name="_Toc257"/>
      <w:bookmarkStart w:id="113" w:name="_Toc107446861"/>
      <w:bookmarkStart w:id="114" w:name="_Toc306350465"/>
      <w:bookmarkStart w:id="115" w:name="_Toc474245224"/>
      <w:bookmarkStart w:id="116" w:name="_Toc183666534"/>
      <w:bookmarkStart w:id="117" w:name="_Toc118086592"/>
      <w:bookmarkStart w:id="118" w:name="_Toc520190038"/>
      <w:r>
        <w:rPr>
          <w:rFonts w:hint="eastAsia" w:ascii="宋体" w:hAnsi="宋体" w:cs="宋体"/>
          <w:b/>
          <w:color w:val="auto"/>
          <w:sz w:val="24"/>
          <w:szCs w:val="24"/>
        </w:rPr>
        <w:t>第六条</w:t>
      </w:r>
      <w:r>
        <w:rPr>
          <w:rFonts w:ascii="宋体" w:hAnsi="宋体" w:cs="宋体"/>
          <w:b/>
          <w:color w:val="auto"/>
          <w:sz w:val="24"/>
          <w:szCs w:val="24"/>
        </w:rPr>
        <w:t xml:space="preserve"> </w:t>
      </w:r>
      <w:r>
        <w:rPr>
          <w:rFonts w:hint="eastAsia" w:ascii="宋体" w:hAnsi="宋体" w:cs="宋体"/>
          <w:b/>
          <w:color w:val="auto"/>
          <w:sz w:val="24"/>
          <w:szCs w:val="24"/>
        </w:rPr>
        <w:t>履约担保</w:t>
      </w:r>
    </w:p>
    <w:p>
      <w:pPr>
        <w:spacing w:after="0" w:line="360" w:lineRule="auto"/>
        <w:ind w:firstLine="480" w:firstLineChars="200"/>
        <w:outlineLvl w:val="0"/>
        <w:rPr>
          <w:rFonts w:ascii="宋体" w:hAnsi="宋体" w:cs="宋体"/>
          <w:color w:val="auto"/>
          <w:sz w:val="24"/>
          <w:szCs w:val="24"/>
          <w:u w:val="single"/>
        </w:rPr>
      </w:pPr>
      <w:r>
        <w:rPr>
          <w:rFonts w:ascii="宋体" w:hAnsi="宋体" w:cs="宋体"/>
          <w:color w:val="auto"/>
          <w:sz w:val="24"/>
          <w:szCs w:val="24"/>
        </w:rPr>
        <w:t>6.1</w:t>
      </w:r>
      <w:r>
        <w:rPr>
          <w:rFonts w:hint="eastAsia" w:ascii="宋体" w:hAnsi="宋体" w:cs="宋体"/>
          <w:color w:val="auto"/>
          <w:sz w:val="24"/>
          <w:szCs w:val="24"/>
        </w:rPr>
        <w:t>履约担保：</w:t>
      </w:r>
      <w:r>
        <w:rPr>
          <w:rFonts w:hint="eastAsia" w:ascii="宋体" w:hAnsi="宋体" w:cs="宋体"/>
          <w:color w:val="auto"/>
          <w:szCs w:val="21"/>
        </w:rPr>
        <w:t>□</w:t>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lang w:eastAsia="zh-CN"/>
        </w:rPr>
        <w:t>☑</w:t>
      </w:r>
      <w:r>
        <w:rPr>
          <w:rFonts w:ascii="宋体" w:hAnsi="宋体" w:cs="宋体"/>
          <w:bCs/>
          <w:color w:val="auto"/>
          <w:sz w:val="24"/>
          <w:szCs w:val="24"/>
        </w:rPr>
        <w:t xml:space="preserve"> </w:t>
      </w:r>
      <w:r>
        <w:rPr>
          <w:rFonts w:hint="eastAsia" w:ascii="宋体" w:hAnsi="宋体" w:cs="宋体"/>
          <w:bCs/>
          <w:color w:val="auto"/>
          <w:sz w:val="24"/>
          <w:szCs w:val="24"/>
          <w:lang w:val="en-US" w:eastAsia="zh-CN"/>
        </w:rPr>
        <w:t>有，</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（大写人民币：</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p>
    <w:p>
      <w:pPr>
        <w:pStyle w:val="21"/>
        <w:spacing w:before="0" w:beforeAutospacing="0" w:after="0" w:afterAutospacing="0" w:line="360" w:lineRule="auto"/>
        <w:ind w:firstLine="480"/>
        <w:rPr>
          <w:rFonts w:cs="宋体"/>
        </w:rPr>
      </w:pPr>
      <w:r>
        <w:rPr>
          <w:rFonts w:cs="宋体"/>
        </w:rPr>
        <w:t>6.2履约担保</w:t>
      </w:r>
      <w:r>
        <w:rPr>
          <w:rFonts w:hint="eastAsia" w:cs="宋体"/>
        </w:rPr>
        <w:t>按以下任一种形式提供</w:t>
      </w:r>
      <w:r>
        <w:rPr>
          <w:rFonts w:cs="宋体"/>
        </w:rPr>
        <w:t>：</w:t>
      </w:r>
    </w:p>
    <w:p>
      <w:pPr>
        <w:pStyle w:val="21"/>
        <w:spacing w:before="0" w:beforeAutospacing="0" w:after="0" w:afterAutospacing="0" w:line="360" w:lineRule="auto"/>
        <w:ind w:firstLine="480"/>
        <w:rPr>
          <w:rFonts w:cs="宋体"/>
        </w:rPr>
      </w:pPr>
      <w:r>
        <w:rPr>
          <w:rFonts w:hint="eastAsia" w:cs="宋体"/>
        </w:rPr>
        <w:t>1、符合甲方要求（详见附件6保函格式）的银行独立保函，</w:t>
      </w:r>
    </w:p>
    <w:p>
      <w:pPr>
        <w:pStyle w:val="21"/>
        <w:spacing w:before="0" w:beforeAutospacing="0" w:after="0" w:afterAutospacing="0" w:line="360" w:lineRule="auto"/>
        <w:ind w:firstLine="480"/>
        <w:rPr>
          <w:rFonts w:cs="宋体"/>
        </w:rPr>
      </w:pPr>
      <w:r>
        <w:rPr>
          <w:rFonts w:hint="eastAsia" w:cs="宋体"/>
        </w:rPr>
        <w:t>2、现金转账至甲方以下指定账户：</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户名：广州市净水有限公司</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账号：</w:t>
      </w:r>
      <w:r>
        <w:rPr>
          <w:rFonts w:ascii="宋体" w:hAnsi="宋体" w:cs="宋体"/>
          <w:bCs/>
          <w:color w:val="auto"/>
          <w:sz w:val="24"/>
          <w:szCs w:val="24"/>
        </w:rPr>
        <w:t>82010154900000342</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开户行：浦发银行广州分行</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sz w:val="24"/>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6.3.2</w:t>
      </w:r>
      <w:r>
        <w:rPr>
          <w:rFonts w:hint="eastAsia" w:ascii="宋体" w:hAnsi="宋体" w:cs="宋体"/>
          <w:sz w:val="24"/>
        </w:rPr>
        <w:t>履约银行保函在合同履行完成后，由乙方提出申请，甲方在28日内返还，不支付利息；</w:t>
      </w:r>
      <w:r>
        <w:rPr>
          <w:rFonts w:ascii="宋体" w:hAnsi="宋体" w:cs="宋体"/>
          <w:color w:val="auto"/>
          <w:sz w:val="24"/>
          <w:szCs w:val="24"/>
        </w:rPr>
        <w:t xml:space="preserve"> </w:t>
      </w:r>
    </w:p>
    <w:p>
      <w:pPr>
        <w:spacing w:line="360" w:lineRule="auto"/>
        <w:ind w:firstLine="480" w:firstLineChars="200"/>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pPr>
        <w:pStyle w:val="21"/>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p>
      <w:pPr>
        <w:pStyle w:val="2"/>
      </w:pPr>
    </w:p>
    <w:p>
      <w:pPr>
        <w:spacing w:after="0" w:line="360" w:lineRule="auto"/>
        <w:ind w:firstLine="482" w:firstLineChars="200"/>
        <w:rPr>
          <w:rFonts w:ascii="宋体" w:hAnsi="宋体" w:cs="宋体"/>
          <w:b/>
          <w:color w:val="auto"/>
          <w:sz w:val="24"/>
          <w:szCs w:val="24"/>
        </w:rPr>
      </w:pPr>
      <w:r>
        <w:rPr>
          <w:rFonts w:hint="eastAsia" w:ascii="宋体" w:hAnsi="宋体" w:cs="宋体"/>
          <w:b/>
          <w:bCs/>
          <w:color w:val="auto"/>
          <w:kern w:val="0"/>
          <w:sz w:val="24"/>
          <w:szCs w:val="24"/>
        </w:rPr>
        <w:t>第七条</w:t>
      </w:r>
      <w:r>
        <w:rPr>
          <w:rFonts w:ascii="宋体" w:hAnsi="宋体" w:cs="宋体"/>
          <w:b/>
          <w:bCs/>
          <w:color w:val="auto"/>
          <w:kern w:val="0"/>
          <w:sz w:val="24"/>
          <w:szCs w:val="24"/>
        </w:rPr>
        <w:t xml:space="preserve"> </w:t>
      </w:r>
      <w:r>
        <w:rPr>
          <w:rFonts w:hint="eastAsia" w:ascii="宋体" w:hAnsi="宋体" w:cs="宋体"/>
          <w:b/>
          <w:color w:val="auto"/>
          <w:sz w:val="24"/>
          <w:szCs w:val="24"/>
        </w:rPr>
        <w:t>交货及检验要求</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开箱验收：开箱检验在合同设备交付地点进行，</w:t>
      </w:r>
      <w:r>
        <w:rPr>
          <w:rFonts w:hint="eastAsia" w:ascii="宋体" w:hAnsi="宋体" w:cs="宋体"/>
          <w:color w:val="auto"/>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pPr>
        <w:spacing w:after="0" w:line="360" w:lineRule="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甲方有权对合同设备进行原厂正品验证，若合同设备无法获原厂验证，甲方有权退回设备，要求乙方在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个工作日内退回已支付款项并按设备价格的</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30</w:t>
      </w:r>
      <w:r>
        <w:rPr>
          <w:rFonts w:ascii="宋体" w:hAnsi="宋体" w:cs="宋体"/>
          <w:color w:val="auto"/>
          <w:sz w:val="24"/>
          <w:szCs w:val="24"/>
          <w:u w:val="single"/>
        </w:rPr>
        <w:t xml:space="preserve">  </w:t>
      </w:r>
      <w:r>
        <w:rPr>
          <w:rFonts w:ascii="宋体" w:hAnsi="宋体" w:cs="宋体"/>
          <w:color w:val="auto"/>
          <w:sz w:val="24"/>
          <w:szCs w:val="24"/>
        </w:rPr>
        <w:t>%</w:t>
      </w:r>
      <w:r>
        <w:rPr>
          <w:rFonts w:hint="eastAsia" w:ascii="宋体" w:hAnsi="宋体" w:cs="宋体"/>
          <w:color w:val="auto"/>
          <w:sz w:val="24"/>
          <w:szCs w:val="24"/>
        </w:rPr>
        <w:t>支付违约金。</w:t>
      </w:r>
    </w:p>
    <w:p>
      <w:pPr>
        <w:pStyle w:val="2"/>
      </w:pPr>
    </w:p>
    <w:p>
      <w:pPr>
        <w:spacing w:before="120" w:after="120" w:line="360" w:lineRule="auto"/>
        <w:ind w:firstLine="482" w:firstLineChars="200"/>
        <w:rPr>
          <w:rFonts w:ascii="宋体" w:hAnsi="宋体" w:cs="宋体"/>
          <w:b/>
          <w:color w:val="auto"/>
          <w:sz w:val="24"/>
          <w:szCs w:val="24"/>
        </w:rPr>
      </w:pPr>
      <w:bookmarkStart w:id="119" w:name="_Toc520190030"/>
      <w:bookmarkStart w:id="120" w:name="_Toc474245215"/>
      <w:bookmarkStart w:id="121" w:name="_Toc518992990"/>
      <w:r>
        <w:rPr>
          <w:rFonts w:hint="eastAsia" w:ascii="宋体" w:hAnsi="宋体" w:cs="宋体"/>
          <w:b/>
          <w:color w:val="auto"/>
          <w:sz w:val="24"/>
          <w:szCs w:val="24"/>
        </w:rPr>
        <w:t>第八条</w:t>
      </w:r>
      <w:r>
        <w:rPr>
          <w:rFonts w:ascii="宋体" w:hAnsi="宋体" w:cs="宋体"/>
          <w:b/>
          <w:color w:val="auto"/>
          <w:sz w:val="24"/>
          <w:szCs w:val="24"/>
        </w:rPr>
        <w:t xml:space="preserve"> </w:t>
      </w:r>
      <w:r>
        <w:rPr>
          <w:rFonts w:hint="eastAsia" w:ascii="宋体" w:hAnsi="宋体" w:cs="宋体"/>
          <w:b/>
          <w:color w:val="auto"/>
          <w:sz w:val="24"/>
          <w:szCs w:val="24"/>
        </w:rPr>
        <w:t>包装</w:t>
      </w:r>
      <w:bookmarkEnd w:id="119"/>
      <w:bookmarkEnd w:id="120"/>
      <w:bookmarkEnd w:id="121"/>
      <w:r>
        <w:rPr>
          <w:rFonts w:hint="eastAsia" w:ascii="宋体" w:hAnsi="宋体" w:cs="宋体"/>
          <w:b/>
          <w:color w:val="auto"/>
          <w:sz w:val="24"/>
          <w:szCs w:val="24"/>
        </w:rPr>
        <w:t>、标示及运输要求</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spacing w:line="360" w:lineRule="auto"/>
        <w:ind w:firstLine="482"/>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超限设备的包装要求：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8.2 </w:t>
      </w:r>
      <w:bookmarkStart w:id="122" w:name="_Toc107446851"/>
      <w:bookmarkStart w:id="123" w:name="_Toc107447244"/>
      <w:r>
        <w:rPr>
          <w:rFonts w:hint="eastAsia" w:ascii="宋体" w:hAnsi="宋体" w:cs="宋体"/>
          <w:bCs/>
          <w:color w:val="auto"/>
          <w:sz w:val="24"/>
          <w:szCs w:val="24"/>
        </w:rPr>
        <w:t>标志</w:t>
      </w:r>
    </w:p>
    <w:bookmarkEnd w:id="122"/>
    <w:bookmarkEnd w:id="123"/>
    <w:p>
      <w:pPr>
        <w:spacing w:line="360" w:lineRule="auto"/>
        <w:ind w:firstLine="482"/>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如由于包装不当或包装箱内部保护措施不符合要求而导致在装车或运输中发生设备或其任何部件的损坏或遗失，乙方应自费对缺损的设备、部件进行修理、更换或补供。</w:t>
      </w:r>
      <w:bookmarkStart w:id="124" w:name="_Toc306350457"/>
      <w:bookmarkStart w:id="125" w:name="_Toc520190032"/>
      <w:bookmarkStart w:id="126" w:name="_Toc183666521"/>
      <w:bookmarkStart w:id="127" w:name="_Toc518992992"/>
      <w:bookmarkStart w:id="128" w:name="_Toc9269"/>
      <w:bookmarkStart w:id="129" w:name="_Toc474245218"/>
    </w:p>
    <w:p>
      <w:pPr>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除合同条款另有约定外，每件设备的备品备件应整套装运。</w:t>
      </w:r>
    </w:p>
    <w:p>
      <w:pPr>
        <w:adjustRightInd w:val="0"/>
        <w:snapToGrid w:val="0"/>
        <w:spacing w:line="360" w:lineRule="auto"/>
        <w:ind w:firstLine="480" w:firstLineChars="200"/>
        <w:rPr>
          <w:rFonts w:hint="eastAsia"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除合同条款另有约定外，乙方应在合同设备预计启运</w:t>
      </w:r>
      <w:r>
        <w:rPr>
          <w:rFonts w:ascii="宋体" w:hAnsi="宋体" w:cs="宋体"/>
          <w:color w:val="auto"/>
          <w:sz w:val="24"/>
          <w:szCs w:val="24"/>
        </w:rPr>
        <w:t>7</w:t>
      </w:r>
      <w:r>
        <w:rPr>
          <w:rFonts w:hint="eastAsia" w:ascii="宋体" w:hAnsi="宋体" w:cs="宋体"/>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p>
      <w:pPr>
        <w:pStyle w:val="2"/>
      </w:pPr>
    </w:p>
    <w:bookmarkEnd w:id="124"/>
    <w:bookmarkEnd w:id="125"/>
    <w:bookmarkEnd w:id="126"/>
    <w:bookmarkEnd w:id="127"/>
    <w:bookmarkEnd w:id="128"/>
    <w:bookmarkEnd w:id="129"/>
    <w:p>
      <w:pPr>
        <w:adjustRightInd w:val="0"/>
        <w:snapToGrid w:val="0"/>
        <w:spacing w:before="120" w:beforeLines="50" w:after="120" w:afterLines="50" w:line="360" w:lineRule="auto"/>
        <w:ind w:firstLine="482" w:firstLineChars="200"/>
        <w:rPr>
          <w:rFonts w:ascii="宋体" w:hAnsi="宋体" w:cs="宋体"/>
          <w:color w:val="auto"/>
          <w:sz w:val="24"/>
          <w:szCs w:val="24"/>
        </w:rPr>
      </w:pPr>
      <w:bookmarkStart w:id="130" w:name="_Toc18496"/>
      <w:bookmarkStart w:id="131" w:name="_Toc306350458"/>
      <w:bookmarkStart w:id="132" w:name="_Toc183666522"/>
      <w:r>
        <w:rPr>
          <w:rFonts w:hint="eastAsia" w:ascii="宋体" w:hAnsi="宋体" w:cs="宋体"/>
          <w:b/>
          <w:color w:val="auto"/>
          <w:sz w:val="24"/>
          <w:szCs w:val="24"/>
        </w:rPr>
        <w:t>第九条</w:t>
      </w:r>
      <w:r>
        <w:rPr>
          <w:rFonts w:ascii="宋体" w:hAnsi="宋体" w:cs="宋体"/>
          <w:b/>
          <w:color w:val="auto"/>
          <w:sz w:val="24"/>
          <w:szCs w:val="24"/>
        </w:rPr>
        <w:t xml:space="preserve"> </w:t>
      </w:r>
      <w:r>
        <w:rPr>
          <w:rFonts w:hint="eastAsia" w:ascii="宋体" w:hAnsi="宋体" w:cs="宋体"/>
          <w:b/>
          <w:color w:val="auto"/>
          <w:sz w:val="24"/>
          <w:szCs w:val="24"/>
        </w:rPr>
        <w:t>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hint="eastAsia"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p>
      <w:pPr>
        <w:pStyle w:val="2"/>
      </w:pPr>
    </w:p>
    <w:bookmarkEnd w:id="130"/>
    <w:bookmarkEnd w:id="131"/>
    <w:bookmarkEnd w:id="132"/>
    <w:p>
      <w:pPr>
        <w:autoSpaceDE w:val="0"/>
        <w:autoSpaceDN w:val="0"/>
        <w:adjustRightInd w:val="0"/>
        <w:spacing w:line="360" w:lineRule="auto"/>
        <w:ind w:firstLine="482" w:firstLineChars="200"/>
        <w:rPr>
          <w:rFonts w:ascii="宋体" w:hAnsi="宋体" w:cs="宋体"/>
          <w:b/>
          <w:color w:val="auto"/>
          <w:sz w:val="24"/>
          <w:szCs w:val="24"/>
        </w:rPr>
      </w:pPr>
      <w:bookmarkStart w:id="133" w:name="_Toc518992994"/>
      <w:bookmarkStart w:id="134" w:name="_Toc520190034"/>
      <w:bookmarkStart w:id="135" w:name="_Toc474245220"/>
      <w:bookmarkStart w:id="136" w:name="_Toc4682"/>
      <w:bookmarkStart w:id="137" w:name="_Toc306350459"/>
      <w:bookmarkStart w:id="138" w:name="_Toc183666523"/>
      <w:r>
        <w:rPr>
          <w:rFonts w:hint="eastAsia" w:ascii="宋体" w:hAnsi="宋体" w:cs="宋体"/>
          <w:b/>
          <w:color w:val="auto"/>
          <w:sz w:val="24"/>
          <w:szCs w:val="24"/>
        </w:rPr>
        <w:t>第十条</w:t>
      </w:r>
      <w:r>
        <w:rPr>
          <w:rFonts w:ascii="宋体" w:hAnsi="宋体" w:cs="宋体"/>
          <w:b/>
          <w:color w:val="auto"/>
          <w:sz w:val="24"/>
          <w:szCs w:val="24"/>
        </w:rPr>
        <w:t xml:space="preserve"> </w:t>
      </w:r>
      <w:r>
        <w:rPr>
          <w:rFonts w:hint="eastAsia" w:ascii="宋体" w:hAnsi="宋体" w:cs="宋体"/>
          <w:b/>
          <w:color w:val="auto"/>
          <w:sz w:val="24"/>
          <w:szCs w:val="24"/>
        </w:rPr>
        <w:t>质量保</w:t>
      </w:r>
      <w:bookmarkEnd w:id="133"/>
      <w:bookmarkEnd w:id="134"/>
      <w:bookmarkEnd w:id="135"/>
      <w:r>
        <w:rPr>
          <w:rFonts w:hint="eastAsia" w:ascii="宋体" w:hAnsi="宋体" w:cs="宋体"/>
          <w:b/>
          <w:color w:val="auto"/>
          <w:sz w:val="24"/>
          <w:szCs w:val="24"/>
        </w:rPr>
        <w:t>修</w:t>
      </w:r>
    </w:p>
    <w:p>
      <w:pPr>
        <w:tabs>
          <w:tab w:val="left" w:pos="851"/>
        </w:tabs>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保修期：自</w:t>
      </w:r>
      <w:r>
        <w:rPr>
          <w:rFonts w:hint="eastAsia" w:ascii="宋体" w:hAnsi="宋体" w:cs="宋体"/>
          <w:color w:val="auto"/>
          <w:kern w:val="0"/>
          <w:sz w:val="24"/>
          <w:szCs w:val="24"/>
          <w:lang w:val="zh-CN"/>
        </w:rPr>
        <w:t>设备</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验收合格之日起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1</w:t>
      </w:r>
      <w:r>
        <w:rPr>
          <w:rFonts w:ascii="宋体" w:hAnsi="宋体" w:cs="宋体"/>
          <w:color w:val="auto"/>
          <w:sz w:val="24"/>
          <w:szCs w:val="24"/>
          <w:u w:val="single"/>
        </w:rPr>
        <w:t xml:space="preserve">  </w:t>
      </w:r>
      <w:r>
        <w:rPr>
          <w:rFonts w:hint="eastAsia" w:ascii="宋体" w:hAnsi="宋体" w:cs="宋体"/>
          <w:color w:val="auto"/>
          <w:sz w:val="24"/>
          <w:szCs w:val="24"/>
          <w:u w:val="single"/>
        </w:rPr>
        <w:t>年</w:t>
      </w:r>
      <w:r>
        <w:rPr>
          <w:rFonts w:hint="eastAsia" w:ascii="宋体" w:hAnsi="宋体" w:cs="宋体"/>
          <w:color w:val="auto"/>
          <w:sz w:val="24"/>
          <w:szCs w:val="24"/>
        </w:rPr>
        <w:t>。保修期内乙方应免费对设备进行日常维护保养及质量缺陷修复。</w:t>
      </w:r>
      <w:r>
        <w:rPr>
          <w:rFonts w:ascii="宋体" w:hAnsi="宋体" w:cs="宋体"/>
          <w:color w:val="auto"/>
          <w:sz w:val="24"/>
          <w:szCs w:val="24"/>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10.2</w:t>
      </w:r>
      <w:r>
        <w:rPr>
          <w:rFonts w:hint="eastAsia" w:ascii="宋体" w:hAnsi="宋体" w:cs="宋体"/>
          <w:color w:val="auto"/>
          <w:kern w:val="0"/>
          <w:sz w:val="24"/>
          <w:szCs w:val="24"/>
        </w:rPr>
        <w:t>保修</w:t>
      </w:r>
      <w:r>
        <w:rPr>
          <w:rFonts w:hint="eastAsia" w:ascii="宋体" w:hAnsi="宋体" w:cs="宋体"/>
          <w:color w:val="auto"/>
          <w:kern w:val="0"/>
          <w:sz w:val="24"/>
          <w:szCs w:val="24"/>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u w:val="single"/>
          <w:lang w:val="zh-CN"/>
        </w:rPr>
        <w:t>同暂定总价的</w:t>
      </w:r>
      <w:r>
        <w:rPr>
          <w:rFonts w:ascii="宋体" w:hAnsi="宋体" w:cs="宋体"/>
          <w:color w:val="auto"/>
          <w:kern w:val="0"/>
          <w:sz w:val="24"/>
          <w:szCs w:val="24"/>
          <w:u w:val="single"/>
          <w:lang w:val="zh-CN"/>
        </w:rPr>
        <w:t>10%</w:t>
      </w:r>
      <w:r>
        <w:rPr>
          <w:rFonts w:hint="eastAsia" w:ascii="宋体" w:hAnsi="宋体" w:cs="宋体"/>
          <w:color w:val="auto"/>
          <w:kern w:val="0"/>
          <w:sz w:val="24"/>
          <w:szCs w:val="24"/>
          <w:u w:val="single"/>
          <w:lang w:val="zh-CN"/>
        </w:rPr>
        <w:t>作为</w:t>
      </w:r>
      <w:r>
        <w:rPr>
          <w:rFonts w:hint="eastAsia" w:ascii="宋体" w:hAnsi="宋体" w:cs="宋体"/>
          <w:color w:val="auto"/>
          <w:kern w:val="0"/>
          <w:sz w:val="24"/>
          <w:szCs w:val="24"/>
          <w:lang w:val="zh-CN"/>
        </w:rPr>
        <w:t>违约金，</w:t>
      </w:r>
      <w:r>
        <w:rPr>
          <w:rFonts w:hint="eastAsia" w:ascii="宋体" w:hAnsi="宋体" w:cs="宋体"/>
          <w:color w:val="auto"/>
          <w:kern w:val="0"/>
          <w:sz w:val="24"/>
          <w:szCs w:val="24"/>
        </w:rPr>
        <w:t>由此产生的</w:t>
      </w:r>
      <w:r>
        <w:rPr>
          <w:rFonts w:hint="eastAsia" w:ascii="宋体" w:hAnsi="宋体" w:cs="宋体"/>
          <w:color w:val="auto"/>
          <w:kern w:val="0"/>
          <w:sz w:val="24"/>
          <w:szCs w:val="24"/>
          <w:lang w:val="zh-CN"/>
        </w:rPr>
        <w:t>费用由乙方承担。对涉及运营费用，乙方应保证在</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w:t>
      </w:r>
      <w:r>
        <w:rPr>
          <w:rFonts w:hint="eastAsia" w:ascii="宋体" w:hAnsi="宋体" w:cs="宋体"/>
          <w:color w:val="auto"/>
          <w:kern w:val="0"/>
          <w:sz w:val="24"/>
          <w:szCs w:val="24"/>
        </w:rPr>
        <w:t>合格</w:t>
      </w:r>
      <w:r>
        <w:rPr>
          <w:rFonts w:hint="eastAsia" w:ascii="宋体" w:hAnsi="宋体" w:cs="宋体"/>
          <w:color w:val="auto"/>
          <w:kern w:val="0"/>
          <w:sz w:val="24"/>
          <w:szCs w:val="24"/>
          <w:lang w:val="zh-CN"/>
        </w:rPr>
        <w:t>后三年内，</w:t>
      </w:r>
      <w:r>
        <w:rPr>
          <w:rFonts w:hint="eastAsia" w:ascii="宋体" w:hAnsi="宋体" w:cs="宋体"/>
          <w:color w:val="auto"/>
          <w:kern w:val="0"/>
          <w:sz w:val="24"/>
          <w:szCs w:val="24"/>
        </w:rPr>
        <w:t>设备</w:t>
      </w:r>
      <w:r>
        <w:rPr>
          <w:rFonts w:hint="eastAsia" w:ascii="宋体" w:hAnsi="宋体" w:cs="宋体"/>
          <w:color w:val="auto"/>
          <w:kern w:val="0"/>
          <w:sz w:val="24"/>
          <w:szCs w:val="24"/>
          <w:lang w:val="zh-CN"/>
        </w:rPr>
        <w:t>运行费用不高于</w:t>
      </w:r>
      <w:r>
        <w:rPr>
          <w:rFonts w:hint="eastAsia" w:ascii="宋体" w:hAnsi="宋体" w:cs="宋体"/>
          <w:color w:val="auto"/>
          <w:kern w:val="0"/>
          <w:sz w:val="24"/>
          <w:szCs w:val="24"/>
          <w:lang w:val="en-US" w:eastAsia="zh-CN"/>
        </w:rPr>
        <w:t>采购</w:t>
      </w:r>
      <w:r>
        <w:rPr>
          <w:rFonts w:hint="eastAsia" w:ascii="宋体" w:hAnsi="宋体" w:cs="宋体"/>
          <w:color w:val="auto"/>
          <w:kern w:val="0"/>
          <w:sz w:val="24"/>
          <w:szCs w:val="24"/>
          <w:lang w:val="zh-CN"/>
        </w:rPr>
        <w:t>文件</w:t>
      </w:r>
      <w:r>
        <w:rPr>
          <w:rFonts w:ascii="宋体" w:hAnsi="宋体" w:cs="宋体"/>
          <w:color w:val="auto"/>
          <w:kern w:val="0"/>
          <w:sz w:val="24"/>
          <w:szCs w:val="24"/>
          <w:lang w:val="zh-CN"/>
        </w:rPr>
        <w:t>/</w:t>
      </w:r>
      <w:r>
        <w:rPr>
          <w:rFonts w:hint="eastAsia" w:ascii="宋体" w:hAnsi="宋体" w:cs="宋体"/>
          <w:color w:val="auto"/>
          <w:kern w:val="0"/>
          <w:sz w:val="24"/>
          <w:szCs w:val="24"/>
          <w:lang w:val="zh-CN"/>
        </w:rPr>
        <w:t>响应文件的承诺指标，</w:t>
      </w:r>
      <w:r>
        <w:rPr>
          <w:rFonts w:hint="eastAsia" w:ascii="宋体" w:hAnsi="宋体" w:cs="宋体"/>
          <w:color w:val="auto"/>
          <w:kern w:val="0"/>
          <w:sz w:val="24"/>
          <w:szCs w:val="24"/>
        </w:rPr>
        <w:t>否则，</w:t>
      </w:r>
      <w:r>
        <w:rPr>
          <w:rFonts w:hint="eastAsia" w:ascii="宋体" w:hAnsi="宋体" w:cs="宋体"/>
          <w:color w:val="auto"/>
          <w:kern w:val="0"/>
          <w:sz w:val="24"/>
          <w:szCs w:val="24"/>
          <w:lang w:val="zh-CN"/>
        </w:rPr>
        <w:t>乙方需无条件免费更换设备</w:t>
      </w:r>
      <w:r>
        <w:rPr>
          <w:rFonts w:hint="eastAsia" w:ascii="宋体" w:hAnsi="宋体" w:cs="宋体"/>
          <w:color w:val="auto"/>
          <w:kern w:val="0"/>
          <w:sz w:val="24"/>
          <w:szCs w:val="24"/>
        </w:rPr>
        <w:t>并支付违约金</w:t>
      </w:r>
      <w:r>
        <w:rPr>
          <w:rFonts w:ascii="宋体" w:hAnsi="宋体" w:cs="宋体"/>
          <w:color w:val="auto"/>
          <w:kern w:val="0"/>
          <w:sz w:val="24"/>
          <w:szCs w:val="24"/>
          <w:u w:val="single"/>
        </w:rPr>
        <w:t xml:space="preserve"> </w:t>
      </w:r>
      <w:r>
        <w:rPr>
          <w:rFonts w:hint="eastAsia" w:ascii="宋体" w:hAnsi="宋体" w:cs="宋体"/>
          <w:color w:val="auto"/>
          <w:kern w:val="0"/>
          <w:sz w:val="24"/>
          <w:szCs w:val="24"/>
          <w:u w:val="single"/>
          <w:lang w:val="en-US" w:eastAsia="zh-CN"/>
        </w:rPr>
        <w:t xml:space="preserve">5000 </w:t>
      </w:r>
      <w:r>
        <w:rPr>
          <w:rFonts w:hint="eastAsia" w:ascii="宋体" w:hAnsi="宋体" w:cs="宋体"/>
          <w:color w:val="auto"/>
          <w:kern w:val="0"/>
          <w:sz w:val="24"/>
          <w:szCs w:val="24"/>
        </w:rPr>
        <w:t>元</w:t>
      </w:r>
      <w:r>
        <w:rPr>
          <w:rFonts w:hint="eastAsia" w:ascii="宋体" w:hAnsi="宋体" w:cs="宋体"/>
          <w:color w:val="auto"/>
          <w:kern w:val="0"/>
          <w:sz w:val="24"/>
          <w:szCs w:val="24"/>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10.3 </w:t>
      </w:r>
      <w:r>
        <w:rPr>
          <w:rFonts w:hint="eastAsia" w:ascii="宋体" w:hAnsi="宋体" w:cs="宋体"/>
          <w:bCs/>
          <w:color w:val="auto"/>
          <w:sz w:val="24"/>
          <w:szCs w:val="24"/>
        </w:rPr>
        <w:t>保修期间由于设备本身原因产生的故障仍属质保范围，对更换或维修过的零部件从更换或维修完成并验收合格之日起，质量保修期重新计算。</w:t>
      </w:r>
    </w:p>
    <w:p>
      <w:pPr>
        <w:spacing w:line="360" w:lineRule="auto"/>
        <w:ind w:firstLine="482"/>
        <w:rPr>
          <w:rFonts w:hint="eastAsia" w:ascii="宋体" w:hAnsi="宋体" w:cs="宋体"/>
          <w:bCs/>
          <w:color w:val="auto"/>
          <w:sz w:val="24"/>
          <w:szCs w:val="24"/>
        </w:rPr>
      </w:pPr>
      <w:r>
        <w:rPr>
          <w:rFonts w:ascii="宋体" w:hAnsi="宋体" w:cs="宋体"/>
          <w:bCs/>
          <w:color w:val="auto"/>
          <w:sz w:val="24"/>
          <w:szCs w:val="24"/>
        </w:rPr>
        <w:t xml:space="preserve">10.4 </w:t>
      </w:r>
      <w:r>
        <w:rPr>
          <w:rFonts w:hint="eastAsia" w:ascii="宋体" w:hAnsi="宋体" w:cs="宋体"/>
          <w:bCs/>
          <w:color w:val="auto"/>
          <w:sz w:val="24"/>
          <w:szCs w:val="24"/>
        </w:rPr>
        <w:t>质量保修期间，如合同设备出现故障，乙方应在接到甲方通知后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24</w:t>
      </w:r>
      <w:r>
        <w:rPr>
          <w:rFonts w:ascii="宋体" w:hAnsi="宋体" w:cs="宋体"/>
          <w:bCs/>
          <w:color w:val="auto"/>
          <w:sz w:val="24"/>
          <w:szCs w:val="24"/>
          <w:u w:val="single"/>
        </w:rPr>
        <w:t xml:space="preserve"> </w:t>
      </w:r>
      <w:r>
        <w:rPr>
          <w:rFonts w:ascii="宋体" w:hAnsi="宋体" w:cs="宋体"/>
          <w:bCs/>
          <w:color w:val="auto"/>
          <w:sz w:val="24"/>
          <w:szCs w:val="24"/>
        </w:rPr>
        <w:t xml:space="preserve">  </w:t>
      </w:r>
      <w:r>
        <w:rPr>
          <w:rFonts w:hint="eastAsia" w:ascii="宋体" w:hAnsi="宋体" w:cs="宋体"/>
          <w:bCs/>
          <w:color w:val="auto"/>
          <w:sz w:val="24"/>
          <w:szCs w:val="24"/>
        </w:rPr>
        <w:t>小时内通过电话、网络等提供远程技术指导，如甲方需要乙方到场的，乙方应在收到甲方通知后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48</w:t>
      </w:r>
      <w:r>
        <w:rPr>
          <w:rFonts w:ascii="宋体" w:hAnsi="宋体" w:cs="宋体"/>
          <w:bCs/>
          <w:color w:val="auto"/>
          <w:sz w:val="24"/>
          <w:szCs w:val="24"/>
          <w:u w:val="single"/>
        </w:rPr>
        <w:t xml:space="preserve"> </w:t>
      </w:r>
      <w:r>
        <w:rPr>
          <w:rFonts w:hint="eastAsia" w:ascii="宋体" w:hAnsi="宋体" w:cs="宋体"/>
          <w:bCs/>
          <w:color w:val="auto"/>
          <w:sz w:val="24"/>
          <w:szCs w:val="24"/>
        </w:rPr>
        <w:t>小时内派专业技术人员到场负责解决及维修故障。</w:t>
      </w:r>
      <w:bookmarkEnd w:id="136"/>
      <w:bookmarkEnd w:id="137"/>
      <w:bookmarkEnd w:id="138"/>
      <w:r>
        <w:rPr>
          <w:rFonts w:hint="eastAsia" w:ascii="宋体" w:hAnsi="宋体" w:cs="宋体"/>
          <w:bCs/>
          <w:color w:val="auto"/>
          <w:sz w:val="24"/>
          <w:szCs w:val="24"/>
        </w:rPr>
        <w:t>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pPr>
        <w:pStyle w:val="2"/>
      </w:pPr>
    </w:p>
    <w:p>
      <w:pPr>
        <w:spacing w:line="360" w:lineRule="auto"/>
        <w:ind w:firstLine="482"/>
        <w:rPr>
          <w:rFonts w:ascii="宋体" w:hAnsi="宋体" w:cs="宋体"/>
          <w:bCs/>
          <w:color w:val="auto"/>
          <w:sz w:val="24"/>
          <w:szCs w:val="24"/>
        </w:rPr>
      </w:pPr>
      <w:r>
        <w:rPr>
          <w:rFonts w:hint="eastAsia" w:ascii="宋体" w:hAnsi="宋体" w:cs="宋体"/>
          <w:b/>
          <w:color w:val="auto"/>
          <w:sz w:val="24"/>
          <w:szCs w:val="24"/>
        </w:rPr>
        <w:t>第十一条</w:t>
      </w:r>
      <w:r>
        <w:rPr>
          <w:rFonts w:ascii="宋体" w:hAnsi="宋体" w:cs="宋体"/>
          <w:b/>
          <w:color w:val="auto"/>
          <w:sz w:val="24"/>
          <w:szCs w:val="24"/>
        </w:rPr>
        <w:t xml:space="preserve"> </w:t>
      </w:r>
      <w:r>
        <w:rPr>
          <w:rFonts w:hint="eastAsia" w:ascii="宋体" w:hAnsi="宋体" w:cs="宋体"/>
          <w:b/>
          <w:color w:val="auto"/>
          <w:sz w:val="24"/>
          <w:szCs w:val="24"/>
        </w:rPr>
        <w:t>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乙方应按照本合同约定的时间交货。如乙方因客观情况导致无法按时交货，乙方应在交货期前</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15</w:t>
      </w:r>
      <w:r>
        <w:rPr>
          <w:rFonts w:ascii="宋体" w:hAnsi="宋体" w:cs="宋体"/>
          <w:bCs/>
          <w:color w:val="auto"/>
          <w:sz w:val="24"/>
          <w:szCs w:val="24"/>
          <w:u w:val="single"/>
        </w:rPr>
        <w:t xml:space="preserve">  </w:t>
      </w:r>
      <w:r>
        <w:rPr>
          <w:rFonts w:hint="eastAsia" w:ascii="宋体" w:hAnsi="宋体" w:cs="宋体"/>
          <w:bCs/>
          <w:color w:val="auto"/>
          <w:sz w:val="24"/>
          <w:szCs w:val="24"/>
        </w:rPr>
        <w:t>日，以书面形式将原因及预计拖延的时间通知甲方。经甲方同意后，交货期顺延。</w:t>
      </w:r>
    </w:p>
    <w:p>
      <w:pPr>
        <w:spacing w:line="360" w:lineRule="auto"/>
        <w:ind w:firstLine="482"/>
        <w:rPr>
          <w:rFonts w:ascii="宋体" w:hAnsi="宋体" w:cs="宋体"/>
          <w:bCs/>
          <w:color w:val="auto"/>
          <w:sz w:val="24"/>
          <w:szCs w:val="24"/>
        </w:rPr>
      </w:pPr>
      <w:r>
        <w:rPr>
          <w:rFonts w:ascii="宋体" w:hAnsi="宋体" w:cs="宋体"/>
          <w:bCs/>
          <w:color w:val="auto"/>
          <w:sz w:val="24"/>
          <w:szCs w:val="24"/>
        </w:rPr>
        <w:t>11.1.2</w:t>
      </w:r>
      <w:r>
        <w:rPr>
          <w:rFonts w:hint="eastAsia" w:ascii="宋体" w:hAnsi="宋体" w:cs="宋体"/>
          <w:bCs/>
          <w:color w:val="auto"/>
          <w:sz w:val="24"/>
          <w:szCs w:val="24"/>
        </w:rPr>
        <w:t>乙方未能在合同规定期限内交货并交付完整技术资料的，每逾期一天，甲方有权按迟</w:t>
      </w:r>
      <w:r>
        <w:rPr>
          <w:rFonts w:hint="eastAsia" w:ascii="宋体" w:hAnsi="宋体" w:cs="宋体"/>
          <w:bCs/>
          <w:color w:val="auto"/>
          <w:sz w:val="24"/>
          <w:szCs w:val="24"/>
          <w:u w:val="single"/>
        </w:rPr>
        <w:t>交货设备价格的</w:t>
      </w:r>
      <w:r>
        <w:rPr>
          <w:rFonts w:ascii="宋体" w:hAnsi="宋体" w:cs="宋体"/>
          <w:bCs/>
          <w:color w:val="auto"/>
          <w:sz w:val="24"/>
          <w:szCs w:val="24"/>
          <w:u w:val="single"/>
        </w:rPr>
        <w:t>1%/</w:t>
      </w:r>
      <w:r>
        <w:rPr>
          <w:rFonts w:hint="eastAsia" w:ascii="宋体" w:hAnsi="宋体" w:cs="宋体"/>
          <w:bCs/>
          <w:color w:val="auto"/>
          <w:sz w:val="24"/>
          <w:szCs w:val="24"/>
          <w:u w:val="single"/>
        </w:rPr>
        <w:t>天</w:t>
      </w:r>
      <w:r>
        <w:rPr>
          <w:rFonts w:hint="eastAsia" w:ascii="宋体" w:hAnsi="宋体" w:cs="宋体"/>
          <w:bCs/>
          <w:color w:val="auto"/>
          <w:sz w:val="24"/>
          <w:szCs w:val="24"/>
        </w:rPr>
        <w:t>要求乙方支付违约金。逾期超过</w:t>
      </w:r>
      <w:r>
        <w:rPr>
          <w:rFonts w:ascii="宋体" w:hAnsi="宋体" w:cs="宋体"/>
          <w:bCs/>
          <w:color w:val="auto"/>
          <w:sz w:val="24"/>
          <w:szCs w:val="24"/>
          <w:u w:val="single"/>
        </w:rPr>
        <w:t xml:space="preserve"> 15 </w:t>
      </w:r>
      <w:r>
        <w:rPr>
          <w:rFonts w:hint="eastAsia" w:ascii="宋体" w:hAnsi="宋体" w:cs="宋体"/>
          <w:bCs/>
          <w:color w:val="auto"/>
          <w:sz w:val="24"/>
          <w:szCs w:val="24"/>
        </w:rPr>
        <w:t>天，甲方有权解除合同，要求乙方支付迟延违约金并在</w:t>
      </w:r>
      <w:r>
        <w:rPr>
          <w:rFonts w:ascii="宋体" w:hAnsi="宋体" w:cs="宋体"/>
          <w:bCs/>
          <w:color w:val="auto"/>
          <w:sz w:val="24"/>
          <w:szCs w:val="24"/>
        </w:rPr>
        <w:t>3</w:t>
      </w:r>
      <w:r>
        <w:rPr>
          <w:rFonts w:hint="eastAsia" w:ascii="宋体" w:hAnsi="宋体" w:cs="宋体"/>
          <w:bCs/>
          <w:color w:val="auto"/>
          <w:sz w:val="24"/>
          <w:szCs w:val="24"/>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 </w:t>
      </w:r>
      <w:r>
        <w:rPr>
          <w:rFonts w:hint="eastAsia" w:ascii="宋体" w:hAnsi="宋体" w:cs="宋体"/>
          <w:bCs/>
          <w:color w:val="auto"/>
          <w:sz w:val="24"/>
          <w:szCs w:val="24"/>
        </w:rPr>
        <w:t>质量问题的违约责任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11.2.1 </w:t>
      </w:r>
      <w:r>
        <w:rPr>
          <w:rFonts w:hint="eastAsia" w:ascii="宋体" w:hAnsi="宋体" w:cs="宋体"/>
          <w:bCs/>
          <w:color w:val="auto"/>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）乙方承担费用，用合格的新设备更换有缺陷的设备或修补缺陷部分；</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3</w:t>
      </w:r>
      <w:r>
        <w:rPr>
          <w:rFonts w:hint="eastAsia" w:ascii="宋体" w:hAnsi="宋体" w:cs="宋体"/>
          <w:bCs/>
          <w:color w:val="auto"/>
          <w:sz w:val="24"/>
          <w:szCs w:val="24"/>
        </w:rPr>
        <w:t>）按不合格设备价格的</w:t>
      </w:r>
      <w:r>
        <w:rPr>
          <w:rFonts w:ascii="宋体" w:hAnsi="宋体" w:cs="宋体"/>
          <w:bCs/>
          <w:color w:val="auto"/>
          <w:sz w:val="24"/>
          <w:szCs w:val="24"/>
          <w:u w:val="single"/>
        </w:rPr>
        <w:t>50</w:t>
      </w:r>
      <w:r>
        <w:rPr>
          <w:rFonts w:ascii="宋体" w:hAnsi="宋体" w:cs="宋体"/>
          <w:bCs/>
          <w:color w:val="auto"/>
          <w:sz w:val="24"/>
          <w:szCs w:val="24"/>
        </w:rPr>
        <w:t>%</w:t>
      </w:r>
      <w:r>
        <w:rPr>
          <w:rFonts w:hint="eastAsia" w:ascii="宋体" w:hAnsi="宋体" w:cs="宋体"/>
          <w:bCs/>
          <w:color w:val="auto"/>
          <w:sz w:val="24"/>
          <w:szCs w:val="24"/>
        </w:rPr>
        <w:t>支付违约金。</w:t>
      </w:r>
    </w:p>
    <w:p>
      <w:pPr>
        <w:numPr>
          <w:ilvl w:val="0"/>
          <w:numId w:val="0"/>
        </w:num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4</w:t>
      </w:r>
      <w:r>
        <w:rPr>
          <w:rFonts w:hint="eastAsia" w:ascii="宋体" w:hAnsi="宋体" w:cs="宋体"/>
          <w:bCs/>
          <w:color w:val="auto"/>
          <w:sz w:val="24"/>
          <w:szCs w:val="24"/>
        </w:rPr>
        <w:t>）赔偿甲方因设备质量问题导致的一切损失。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11.2.2 </w:t>
      </w:r>
      <w:r>
        <w:rPr>
          <w:rFonts w:hint="eastAsia" w:ascii="宋体" w:hAnsi="宋体" w:cs="宋体"/>
          <w:bCs/>
          <w:color w:val="auto"/>
          <w:sz w:val="24"/>
          <w:szCs w:val="24"/>
        </w:rPr>
        <w:t>如果乙方提供的技术资料有错误，或者由于乙方技术人员原因造成设备安装、调试不成功和（或）造成合同设备损坏的情况，乙方应在</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24</w:t>
      </w:r>
      <w:r>
        <w:rPr>
          <w:rFonts w:ascii="宋体" w:hAnsi="宋体" w:cs="宋体"/>
          <w:bCs/>
          <w:color w:val="auto"/>
          <w:sz w:val="24"/>
          <w:szCs w:val="24"/>
          <w:u w:val="single"/>
        </w:rPr>
        <w:t xml:space="preserve"> </w:t>
      </w:r>
      <w:r>
        <w:rPr>
          <w:rFonts w:hint="eastAsia" w:ascii="宋体" w:hAnsi="宋体" w:cs="宋体"/>
          <w:bCs/>
          <w:color w:val="auto"/>
          <w:sz w:val="24"/>
          <w:szCs w:val="24"/>
        </w:rPr>
        <w:t>小时内采取修理、更换、退货等补救措施并负担因此发生的费用，同时需向甲方支付</w:t>
      </w:r>
      <w:r>
        <w:rPr>
          <w:rFonts w:hint="eastAsia" w:ascii="宋体" w:hAnsi="宋体" w:cs="宋体"/>
          <w:bCs/>
          <w:color w:val="auto"/>
          <w:sz w:val="24"/>
          <w:szCs w:val="24"/>
          <w:u w:val="single"/>
        </w:rPr>
        <w:t>不合格设备价格的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100 %</w:t>
      </w:r>
      <w:r>
        <w:rPr>
          <w:rFonts w:hint="eastAsia" w:ascii="宋体" w:hAnsi="宋体" w:cs="宋体"/>
          <w:bCs/>
          <w:color w:val="auto"/>
          <w:sz w:val="24"/>
          <w:szCs w:val="24"/>
        </w:rPr>
        <w:t>支付违约金。</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r>
        <w:rPr>
          <w:rFonts w:ascii="宋体" w:hAnsi="宋体" w:cs="宋体"/>
          <w:bCs/>
          <w:color w:val="auto"/>
          <w:sz w:val="24"/>
          <w:szCs w:val="24"/>
        </w:rPr>
        <w:t xml:space="preserve"> </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szCs w:val="24"/>
          <w:u w:val="single"/>
        </w:rPr>
        <w:t>_</w:t>
      </w:r>
      <w:r>
        <w:rPr>
          <w:rFonts w:hint="eastAsia" w:ascii="宋体" w:hAnsi="宋体" w:cs="宋体"/>
          <w:bCs/>
          <w:color w:val="auto"/>
          <w:sz w:val="24"/>
          <w:szCs w:val="24"/>
          <w:u w:val="single"/>
          <w:lang w:val="en-US" w:eastAsia="zh-CN"/>
        </w:rPr>
        <w:t>15</w:t>
      </w:r>
      <w:r>
        <w:rPr>
          <w:rFonts w:ascii="宋体" w:hAnsi="宋体" w:cs="宋体"/>
          <w:bCs/>
          <w:color w:val="auto"/>
          <w:sz w:val="24"/>
          <w:szCs w:val="24"/>
          <w:u w:val="single"/>
        </w:rPr>
        <w:t xml:space="preserve"> _</w:t>
      </w:r>
      <w:r>
        <w:rPr>
          <w:rFonts w:ascii="宋体" w:hAnsi="宋体" w:cs="宋体"/>
          <w:bCs/>
          <w:color w:val="auto"/>
          <w:sz w:val="24"/>
          <w:szCs w:val="24"/>
        </w:rPr>
        <w:t>日，甲方有权解除合同并要求乙方支付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的20%</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cs="宋体"/>
          <w:color w:val="auto"/>
          <w:sz w:val="24"/>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pPr>
        <w:spacing w:line="360" w:lineRule="auto"/>
        <w:ind w:firstLine="482"/>
        <w:rPr>
          <w:rFonts w:hint="eastAsia" w:ascii="宋体" w:hAnsi="宋体" w:eastAsia="宋体" w:cs="宋体"/>
          <w:sz w:val="24"/>
          <w:szCs w:val="24"/>
        </w:rPr>
      </w:pPr>
      <w:r>
        <w:rPr>
          <w:rFonts w:hint="eastAsia" w:ascii="宋体" w:hAnsi="宋体" w:cs="宋体"/>
          <w:bCs/>
          <w:color w:val="auto"/>
          <w:sz w:val="24"/>
          <w:szCs w:val="24"/>
          <w:lang w:val="en-US" w:eastAsia="zh-CN"/>
        </w:rPr>
        <w:t>11.6在合同有效期内，若乙方发生不诚信行为情形的，乙方自愿接受甲方按《广州市净水有限公司经营建设项目参建企业不诚信行为管理办法》处理，具体处理标准详见附件3。</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第十二条</w:t>
      </w:r>
      <w:r>
        <w:rPr>
          <w:rFonts w:ascii="宋体" w:hAnsi="宋体" w:cs="宋体"/>
          <w:b/>
          <w:color w:val="auto"/>
          <w:sz w:val="24"/>
          <w:szCs w:val="24"/>
        </w:rPr>
        <w:t xml:space="preserve"> </w:t>
      </w:r>
      <w:r>
        <w:rPr>
          <w:rFonts w:hint="eastAsia" w:ascii="宋体" w:hAnsi="宋体" w:cs="宋体"/>
          <w:b/>
          <w:color w:val="auto"/>
          <w:sz w:val="24"/>
          <w:szCs w:val="24"/>
        </w:rPr>
        <w:t>变更或解除</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乙方未能在本合同约定或甲方另行指定的期限内提供部分或全部设备或提供技术服务，并经甲方催告后仍未提供；</w:t>
      </w:r>
      <w:r>
        <w:rPr>
          <w:rFonts w:ascii="宋体" w:hAnsi="宋体" w:cs="宋体"/>
          <w:bCs/>
          <w:color w:val="auto"/>
          <w:sz w:val="24"/>
          <w:szCs w:val="24"/>
        </w:rPr>
        <w:t xml:space="preserve"> </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乙方交付的设备存在严重的质量问题，导致本合同目的不能实现；</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w:t>
      </w:r>
      <w:r>
        <w:rPr>
          <w:rFonts w:hint="eastAsia" w:ascii="宋体" w:hAnsi="宋体" w:cs="宋体"/>
          <w:bCs/>
          <w:color w:val="auto"/>
          <w:sz w:val="24"/>
          <w:szCs w:val="24"/>
          <w:lang w:eastAsia="zh-CN"/>
        </w:rPr>
        <w:t>报价</w:t>
      </w:r>
      <w:r>
        <w:rPr>
          <w:rFonts w:hint="eastAsia" w:ascii="宋体" w:hAnsi="宋体" w:cs="宋体"/>
          <w:bCs/>
          <w:color w:val="auto"/>
          <w:sz w:val="24"/>
          <w:szCs w:val="24"/>
        </w:rPr>
        <w:t>时提交的资料不真实，或任何时候发现乙方有违反</w:t>
      </w:r>
      <w:r>
        <w:rPr>
          <w:rFonts w:hint="eastAsia" w:ascii="宋体" w:hAnsi="宋体" w:cs="宋体"/>
          <w:bCs/>
          <w:color w:val="auto"/>
          <w:sz w:val="24"/>
          <w:szCs w:val="24"/>
          <w:lang w:eastAsia="zh-CN"/>
        </w:rPr>
        <w:t>报价</w:t>
      </w:r>
      <w:r>
        <w:rPr>
          <w:rFonts w:hint="eastAsia" w:ascii="宋体" w:hAnsi="宋体" w:cs="宋体"/>
          <w:bCs/>
          <w:color w:val="auto"/>
          <w:sz w:val="24"/>
          <w:szCs w:val="24"/>
        </w:rPr>
        <w:t>时的承诺和（或）声明的情况；</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spacing w:line="360" w:lineRule="auto"/>
        <w:ind w:firstLine="482"/>
        <w:rPr>
          <w:rFonts w:hint="eastAsia" w:ascii="宋体" w:hAnsi="宋体" w:cs="宋体"/>
          <w:color w:val="auto"/>
          <w:sz w:val="24"/>
          <w:szCs w:val="24"/>
        </w:rPr>
      </w:pPr>
      <w:r>
        <w:rPr>
          <w:rFonts w:hint="eastAsia" w:ascii="宋体" w:hAnsi="宋体" w:cs="宋体"/>
          <w:bCs/>
          <w:color w:val="auto"/>
          <w:sz w:val="24"/>
          <w:szCs w:val="24"/>
        </w:rPr>
        <w:t>如甲方无正当理由未能按本合同约定期限向乙方支付合同款，并经乙方催告后超过</w:t>
      </w:r>
      <w:r>
        <w:rPr>
          <w:rFonts w:hint="eastAsia" w:ascii="宋体" w:hAnsi="宋体" w:cs="宋体"/>
          <w:bCs/>
          <w:color w:val="auto"/>
          <w:sz w:val="24"/>
          <w:szCs w:val="24"/>
          <w:u w:val="none"/>
          <w:lang w:val="en-US" w:eastAsia="zh-CN"/>
        </w:rPr>
        <w:t xml:space="preserve">     </w:t>
      </w:r>
      <w:r>
        <w:rPr>
          <w:rFonts w:ascii="宋体" w:hAnsi="宋体" w:cs="宋体"/>
          <w:bCs/>
          <w:color w:val="auto"/>
          <w:sz w:val="24"/>
          <w:szCs w:val="24"/>
        </w:rPr>
        <w:t xml:space="preserve"> </w:t>
      </w:r>
      <w:r>
        <w:rPr>
          <w:rFonts w:hint="eastAsia" w:ascii="宋体" w:hAnsi="宋体" w:cs="宋体"/>
          <w:bCs/>
          <w:color w:val="auto"/>
          <w:sz w:val="24"/>
          <w:szCs w:val="24"/>
        </w:rPr>
        <w:t>天仍未支付，乙方有权以书面通知解除本合同。</w:t>
      </w:r>
      <w:r>
        <w:rPr>
          <w:rFonts w:ascii="宋体" w:hAns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pStyle w:val="2"/>
      </w:pPr>
    </w:p>
    <w:p>
      <w:pPr>
        <w:spacing w:line="480" w:lineRule="exact"/>
        <w:ind w:firstLine="482" w:firstLineChars="200"/>
        <w:rPr>
          <w:rFonts w:ascii="宋体" w:hAnsi="宋体" w:cs="宋体"/>
          <w:color w:val="auto"/>
          <w:sz w:val="24"/>
          <w:szCs w:val="24"/>
        </w:rPr>
      </w:pPr>
      <w:r>
        <w:rPr>
          <w:rFonts w:hint="eastAsia" w:ascii="宋体" w:hAnsi="宋体" w:cs="宋体"/>
          <w:b/>
          <w:bCs/>
          <w:color w:val="auto"/>
          <w:sz w:val="24"/>
          <w:szCs w:val="24"/>
        </w:rPr>
        <w:t>第十三条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0"/>
          <w:numId w:val="0"/>
        </w:numPr>
        <w:spacing w:line="480" w:lineRule="exact"/>
        <w:ind w:firstLine="480" w:firstLineChars="200"/>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pStyle w:val="2"/>
      </w:pP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第十四条</w:t>
      </w:r>
      <w:r>
        <w:rPr>
          <w:rFonts w:ascii="宋体" w:hAnsi="宋体" w:cs="宋体"/>
          <w:b/>
          <w:color w:val="auto"/>
          <w:sz w:val="24"/>
          <w:szCs w:val="24"/>
        </w:rPr>
        <w:t xml:space="preserve"> </w:t>
      </w:r>
      <w:r>
        <w:rPr>
          <w:rFonts w:hint="eastAsia" w:ascii="宋体" w:hAnsi="宋体" w:cs="宋体"/>
          <w:b/>
          <w:color w:val="auto"/>
          <w:sz w:val="24"/>
          <w:szCs w:val="24"/>
        </w:rPr>
        <w:t>争议解决方式：</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pStyle w:val="2"/>
      </w:pPr>
    </w:p>
    <w:p>
      <w:pPr>
        <w:numPr>
          <w:ilvl w:val="255"/>
          <w:numId w:val="0"/>
        </w:numPr>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w:t>
      </w:r>
      <w:r>
        <w:rPr>
          <w:rFonts w:hint="eastAsia" w:ascii="宋体" w:hAnsi="宋体" w:cs="宋体"/>
          <w:b/>
          <w:color w:val="auto"/>
          <w:sz w:val="24"/>
          <w:szCs w:val="24"/>
        </w:rPr>
        <w:t>十五</w:t>
      </w:r>
      <w:r>
        <w:rPr>
          <w:rFonts w:hint="eastAsia" w:ascii="宋体" w:hAnsi="宋体" w:cs="宋体"/>
          <w:b/>
          <w:bCs/>
          <w:color w:val="auto"/>
          <w:sz w:val="24"/>
          <w:szCs w:val="24"/>
        </w:rPr>
        <w:t>条</w:t>
      </w:r>
      <w:r>
        <w:rPr>
          <w:rFonts w:ascii="宋体" w:hAnsi="宋体" w:cs="宋体"/>
          <w:b/>
          <w:bCs/>
          <w:color w:val="auto"/>
          <w:sz w:val="24"/>
          <w:szCs w:val="24"/>
        </w:rPr>
        <w:t xml:space="preserve"> </w:t>
      </w:r>
      <w:r>
        <w:rPr>
          <w:rFonts w:hint="eastAsia" w:ascii="宋体" w:hAnsi="宋体" w:cs="宋体"/>
          <w:b/>
          <w:bCs/>
          <w:color w:val="auto"/>
          <w:sz w:val="24"/>
          <w:szCs w:val="24"/>
        </w:rPr>
        <w:t>其他</w:t>
      </w:r>
    </w:p>
    <w:p>
      <w:pPr>
        <w:spacing w:line="460" w:lineRule="exact"/>
        <w:ind w:firstLine="638" w:firstLineChars="266"/>
        <w:rPr>
          <w:rFonts w:ascii="宋体" w:hAnsi="宋体" w:cs="宋体"/>
          <w:b/>
          <w:color w:val="auto"/>
          <w:sz w:val="24"/>
          <w:szCs w:val="24"/>
        </w:rPr>
      </w:pPr>
      <w:r>
        <w:rPr>
          <w:rFonts w:hint="eastAsia" w:ascii="宋体" w:hAnsi="宋体" w:cs="宋体"/>
          <w:color w:val="auto"/>
          <w:sz w:val="24"/>
          <w:szCs w:val="24"/>
          <w:lang w:val="en-US" w:eastAsia="zh-CN"/>
        </w:rPr>
        <w:t>15</w:t>
      </w:r>
      <w:r>
        <w:rPr>
          <w:rFonts w:ascii="宋体" w:hAnsi="宋体" w:cs="宋体"/>
          <w:color w:val="auto"/>
          <w:sz w:val="24"/>
          <w:szCs w:val="24"/>
        </w:rPr>
        <w:t>.1</w:t>
      </w:r>
      <w:r>
        <w:rPr>
          <w:rFonts w:hint="eastAsia" w:ascii="宋体" w:hAnsi="宋体" w:cs="宋体"/>
          <w:color w:val="auto"/>
          <w:sz w:val="24"/>
          <w:szCs w:val="24"/>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rPr>
      </w:pPr>
      <w:r>
        <w:rPr>
          <w:rFonts w:hint="eastAsia" w:ascii="宋体" w:hAnsi="宋体" w:cs="宋体"/>
          <w:color w:val="auto"/>
          <w:sz w:val="24"/>
          <w:szCs w:val="24"/>
          <w:lang w:val="en-US" w:eastAsia="zh-CN"/>
        </w:rPr>
        <w:t>15</w:t>
      </w:r>
      <w:r>
        <w:rPr>
          <w:rFonts w:ascii="宋体" w:hAnsi="宋体" w:cs="宋体"/>
          <w:color w:val="auto"/>
          <w:sz w:val="24"/>
          <w:szCs w:val="24"/>
        </w:rPr>
        <w:t>.2</w:t>
      </w:r>
      <w:r>
        <w:rPr>
          <w:rFonts w:hint="eastAsia" w:ascii="宋体" w:hAnsi="宋体" w:cs="宋体"/>
          <w:color w:val="auto"/>
          <w:sz w:val="24"/>
          <w:szCs w:val="24"/>
        </w:rPr>
        <w:t>本合同自甲乙双方法定代表人或授权代理人签字并加盖公章之日起生效。</w:t>
      </w:r>
    </w:p>
    <w:p>
      <w:pPr>
        <w:spacing w:line="460" w:lineRule="exact"/>
        <w:ind w:firstLine="638" w:firstLineChars="266"/>
        <w:rPr>
          <w:rFonts w:ascii="宋体" w:hAnsi="宋体" w:cs="宋体"/>
          <w:color w:val="auto"/>
          <w:sz w:val="24"/>
          <w:szCs w:val="24"/>
        </w:rPr>
      </w:pPr>
      <w:r>
        <w:rPr>
          <w:rFonts w:hint="eastAsia" w:ascii="宋体" w:hAnsi="宋体" w:cs="宋体"/>
          <w:color w:val="auto"/>
          <w:sz w:val="24"/>
          <w:szCs w:val="24"/>
          <w:lang w:val="en-US" w:eastAsia="zh-CN"/>
        </w:rPr>
        <w:t>15</w:t>
      </w:r>
      <w:r>
        <w:rPr>
          <w:rFonts w:ascii="宋体" w:hAnsi="宋体" w:cs="宋体"/>
          <w:color w:val="auto"/>
          <w:sz w:val="24"/>
          <w:szCs w:val="24"/>
        </w:rPr>
        <w:t>.3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陆</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rPr>
        <w:t>肆</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贰</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rPr>
      </w:pPr>
      <w:r>
        <w:rPr>
          <w:rFonts w:hint="eastAsia" w:ascii="宋体" w:hAnsi="宋体" w:cs="宋体"/>
          <w:color w:val="auto"/>
          <w:sz w:val="24"/>
          <w:szCs w:val="24"/>
          <w:lang w:val="en-US" w:eastAsia="zh-CN"/>
        </w:rPr>
        <w:t>15</w:t>
      </w:r>
      <w:r>
        <w:rPr>
          <w:rFonts w:ascii="宋体" w:hAnsi="宋体" w:cs="宋体"/>
          <w:color w:val="auto"/>
          <w:sz w:val="24"/>
          <w:szCs w:val="24"/>
        </w:rPr>
        <w:t>.4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bookmarkEnd w:id="106"/>
    <w:bookmarkEnd w:id="107"/>
    <w:bookmarkEnd w:id="108"/>
    <w:bookmarkEnd w:id="109"/>
    <w:bookmarkEnd w:id="110"/>
    <w:bookmarkEnd w:id="111"/>
    <w:bookmarkEnd w:id="112"/>
    <w:bookmarkEnd w:id="113"/>
    <w:bookmarkEnd w:id="114"/>
    <w:bookmarkEnd w:id="115"/>
    <w:bookmarkEnd w:id="116"/>
    <w:bookmarkEnd w:id="117"/>
    <w:bookmarkEnd w:id="118"/>
    <w:p>
      <w:pPr>
        <w:spacing w:line="360" w:lineRule="auto"/>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.中标通知书</w:t>
      </w:r>
      <w:r>
        <w:rPr>
          <w:rFonts w:ascii="宋体" w:hAnsi="宋体" w:cs="宋体"/>
          <w:color w:val="auto"/>
          <w:sz w:val="24"/>
          <w:szCs w:val="24"/>
        </w:rPr>
        <w:t>/</w:t>
      </w:r>
      <w:r>
        <w:rPr>
          <w:rFonts w:hint="eastAsia" w:ascii="宋体" w:hAnsi="宋体" w:cs="宋体"/>
          <w:color w:val="auto"/>
          <w:sz w:val="24"/>
          <w:szCs w:val="24"/>
        </w:rPr>
        <w:t>发包通知书</w:t>
      </w:r>
      <w:r>
        <w:rPr>
          <w:rFonts w:hint="eastAsia" w:ascii="宋体" w:hAnsi="宋体" w:cs="宋体"/>
          <w:color w:val="auto"/>
          <w:sz w:val="24"/>
          <w:szCs w:val="24"/>
          <w:lang w:val="en-US" w:eastAsia="zh-CN"/>
        </w:rPr>
        <w:t>/成交通知书</w:t>
      </w:r>
      <w:r>
        <w:rPr>
          <w:rFonts w:hint="eastAsia" w:ascii="宋体" w:hAnsi="宋体" w:cs="宋体"/>
          <w:color w:val="auto"/>
          <w:sz w:val="24"/>
          <w:szCs w:val="24"/>
        </w:rPr>
        <w:t>（如有）</w:t>
      </w:r>
    </w:p>
    <w:p>
      <w:pPr>
        <w:spacing w:line="360" w:lineRule="auto"/>
        <w:ind w:firstLine="480"/>
        <w:rPr>
          <w:rFonts w:hint="eastAsia" w:ascii="宋体" w:hAnsi="宋体" w:eastAsia="宋体" w:cs="宋体"/>
          <w:color w:val="auto"/>
          <w:sz w:val="24"/>
          <w:szCs w:val="24"/>
        </w:rPr>
      </w:pPr>
      <w:r>
        <w:rPr>
          <w:rFonts w:ascii="宋体" w:hAnsi="宋体" w:cs="宋体"/>
          <w:color w:val="auto"/>
          <w:sz w:val="24"/>
          <w:szCs w:val="24"/>
        </w:rPr>
        <w:t xml:space="preserve">      </w:t>
      </w:r>
      <w:r>
        <w:rPr>
          <w:rFonts w:ascii="宋体" w:hAnsi="宋体" w:eastAsia="宋体" w:cs="宋体"/>
          <w:color w:val="auto"/>
          <w:sz w:val="24"/>
          <w:szCs w:val="24"/>
        </w:rPr>
        <w:t>2</w:t>
      </w:r>
      <w:r>
        <w:rPr>
          <w:rFonts w:hint="eastAsia" w:ascii="宋体" w:hAnsi="宋体" w:eastAsia="宋体" w:cs="宋体"/>
          <w:color w:val="auto"/>
          <w:sz w:val="24"/>
          <w:szCs w:val="24"/>
        </w:rPr>
        <w:t>.廉洁协议</w:t>
      </w:r>
    </w:p>
    <w:p>
      <w:pPr>
        <w:spacing w:line="360" w:lineRule="auto"/>
        <w:ind w:firstLine="1200" w:firstLineChars="5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不诚信行为的情形及相应被暂停参与</w:t>
      </w:r>
      <w:r>
        <w:rPr>
          <w:rFonts w:hint="eastAsia" w:ascii="宋体" w:hAnsi="宋体" w:eastAsia="宋体" w:cs="宋体"/>
          <w:color w:val="auto"/>
          <w:sz w:val="24"/>
          <w:szCs w:val="24"/>
          <w:lang w:eastAsia="zh-CN"/>
        </w:rPr>
        <w:t>报价</w:t>
      </w:r>
      <w:r>
        <w:rPr>
          <w:rFonts w:hint="eastAsia" w:ascii="宋体" w:hAnsi="宋体" w:eastAsia="宋体" w:cs="宋体"/>
          <w:color w:val="auto"/>
          <w:sz w:val="24"/>
          <w:szCs w:val="24"/>
        </w:rPr>
        <w:t>活动的处理标准</w:t>
      </w:r>
    </w:p>
    <w:p>
      <w:pPr>
        <w:spacing w:line="360" w:lineRule="auto"/>
        <w:ind w:firstLine="1200" w:firstLineChars="5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物品采购</w:t>
      </w:r>
      <w:r>
        <w:rPr>
          <w:rFonts w:hint="eastAsia" w:ascii="宋体" w:hAnsi="宋体" w:eastAsia="宋体" w:cs="宋体"/>
          <w:color w:val="auto"/>
          <w:sz w:val="24"/>
          <w:szCs w:val="24"/>
        </w:rPr>
        <w:t>安全协议书</w:t>
      </w:r>
    </w:p>
    <w:p>
      <w:pPr>
        <w:spacing w:line="360" w:lineRule="auto"/>
        <w:ind w:firstLine="1200" w:firstLineChars="500"/>
        <w:rPr>
          <w:rFonts w:ascii="宋体" w:hAnsi="宋体" w:eastAsia="宋体" w:cs="宋体"/>
          <w:color w:val="auto"/>
          <w:sz w:val="24"/>
          <w:szCs w:val="24"/>
          <w:lang w:val="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.技术需求（如需）</w:t>
      </w:r>
    </w:p>
    <w:p>
      <w:pPr>
        <w:spacing w:line="360" w:lineRule="auto"/>
        <w:ind w:firstLine="1262" w:firstLineChars="526"/>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.授权委托证明（如需）</w:t>
      </w: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tbl>
      <w:tblPr>
        <w:tblStyle w:val="22"/>
        <w:tblpPr w:leftFromText="180" w:rightFromText="180" w:vertAnchor="text" w:horzAnchor="page" w:tblpX="1364" w:tblpY="792"/>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：（章）广州市净水有限公司</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p>
        </w:tc>
        <w:tc>
          <w:tcPr>
            <w:tcW w:w="4696" w:type="dxa"/>
            <w:tcBorders>
              <w:top w:val="nil"/>
              <w:left w:val="nil"/>
              <w:bottom w:val="nil"/>
              <w:right w:val="nil"/>
            </w:tcBorders>
            <w:noWrap w:val="0"/>
            <w:vAlign w:val="top"/>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spacing w:line="360" w:lineRule="auto"/>
        <w:ind w:firstLine="1262" w:firstLineChars="526"/>
        <w:rPr>
          <w:rFonts w:hint="default" w:ascii="宋体" w:hAnsi="宋体" w:eastAsia="宋体" w:cs="宋体"/>
          <w:b w:val="0"/>
          <w:bCs w:val="0"/>
          <w:color w:val="auto"/>
          <w:kern w:val="0"/>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.履约保函（模板）</w:t>
      </w: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p>
    <w:p>
      <w:pPr>
        <w:spacing w:line="360" w:lineRule="auto"/>
        <w:jc w:val="center"/>
        <w:rPr>
          <w:rFonts w:ascii="宋体" w:hAnsi="宋体"/>
          <w:b/>
          <w:color w:val="auto"/>
          <w:sz w:val="32"/>
          <w:szCs w:val="32"/>
        </w:rPr>
      </w:pPr>
      <w:r>
        <w:rPr>
          <w:rFonts w:hint="eastAsia" w:ascii="宋体" w:hAnsi="宋体"/>
          <w:b/>
          <w:color w:val="auto"/>
          <w:sz w:val="32"/>
          <w:szCs w:val="32"/>
        </w:rPr>
        <w:t>廉洁协议</w:t>
      </w:r>
    </w:p>
    <w:p>
      <w:pPr>
        <w:spacing w:line="360" w:lineRule="auto"/>
        <w:ind w:firstLine="540" w:firstLineChars="225"/>
        <w:rPr>
          <w:rFonts w:ascii="宋体" w:hAnsi="宋体"/>
          <w:color w:val="auto"/>
          <w:sz w:val="24"/>
        </w:rPr>
      </w:pPr>
      <w:r>
        <w:rPr>
          <w:rFonts w:hint="eastAsia" w:ascii="宋体" w:hAnsi="宋体"/>
          <w:color w:val="auto"/>
          <w:sz w:val="24"/>
        </w:rPr>
        <w:t>为促进双方诚信经营、廉洁从业，防范商业贿赂，保护国家、集体和当事人的合法权益，根据国家有关法律法规和广东省、广州市廉政建设的规定，</w:t>
      </w:r>
      <w:r>
        <w:rPr>
          <w:rFonts w:ascii="宋体" w:hAnsi="宋体"/>
          <w:color w:val="auto"/>
          <w:sz w:val="24"/>
          <w:u w:val="single"/>
        </w:rPr>
        <w:t>广州市净水有限公司</w:t>
      </w:r>
      <w:r>
        <w:rPr>
          <w:rFonts w:ascii="宋体" w:hAnsi="宋体"/>
          <w:color w:val="auto"/>
          <w:sz w:val="24"/>
        </w:rPr>
        <w:t>(以下称甲方)与</w:t>
      </w:r>
      <w:r>
        <w:rPr>
          <w:rFonts w:hint="eastAsia" w:ascii="宋体" w:hAnsi="宋体"/>
          <w:color w:val="auto"/>
          <w:sz w:val="24"/>
          <w:u w:val="single"/>
          <w:lang w:val="en-US" w:eastAsia="zh-CN"/>
        </w:rPr>
        <w:t xml:space="preserve">         </w:t>
      </w:r>
      <w:r>
        <w:rPr>
          <w:rFonts w:hint="eastAsia" w:ascii="宋体" w:hAnsi="宋体"/>
          <w:color w:val="auto"/>
          <w:sz w:val="24"/>
        </w:rPr>
        <w:t>(以下称乙方</w:t>
      </w:r>
      <w:r>
        <w:rPr>
          <w:rFonts w:ascii="宋体" w:hAnsi="宋体"/>
          <w:color w:val="auto"/>
          <w:sz w:val="24"/>
        </w:rPr>
        <w:t>)，特此订立本协议共同遵照执行。</w:t>
      </w:r>
    </w:p>
    <w:p>
      <w:pPr>
        <w:spacing w:line="360" w:lineRule="auto"/>
        <w:ind w:firstLine="482" w:firstLineChars="200"/>
        <w:rPr>
          <w:rFonts w:ascii="宋体" w:hAnsi="宋体"/>
          <w:color w:val="auto"/>
          <w:sz w:val="24"/>
        </w:rPr>
      </w:pPr>
      <w:r>
        <w:rPr>
          <w:rFonts w:hint="eastAsia" w:ascii="宋体" w:hAnsi="宋体"/>
          <w:b/>
          <w:bCs/>
          <w:color w:val="auto"/>
          <w:sz w:val="24"/>
        </w:rPr>
        <w:t>第一条甲乙双方的权利和义务</w:t>
      </w:r>
    </w:p>
    <w:p>
      <w:pPr>
        <w:spacing w:line="360" w:lineRule="auto"/>
        <w:ind w:firstLine="360" w:firstLineChars="150"/>
        <w:rPr>
          <w:rFonts w:ascii="宋体" w:hAnsi="宋体"/>
          <w:color w:val="auto"/>
          <w:sz w:val="24"/>
        </w:rPr>
      </w:pPr>
      <w:r>
        <w:rPr>
          <w:rFonts w:hint="eastAsia" w:ascii="宋体" w:hAnsi="宋体"/>
          <w:color w:val="auto"/>
          <w:sz w:val="24"/>
        </w:rPr>
        <w:t>（一）甲乙双方严格遵守国家关于市场准入、项目招标</w:t>
      </w:r>
      <w:r>
        <w:rPr>
          <w:rFonts w:hint="eastAsia" w:ascii="宋体" w:hAnsi="宋体"/>
          <w:color w:val="auto"/>
          <w:sz w:val="24"/>
          <w:lang w:eastAsia="zh-CN"/>
        </w:rPr>
        <w:t>报价</w:t>
      </w:r>
      <w:r>
        <w:rPr>
          <w:rFonts w:hint="eastAsia" w:ascii="宋体" w:hAnsi="宋体"/>
          <w:color w:val="auto"/>
          <w:sz w:val="24"/>
        </w:rPr>
        <w:t>、市场经营活动等有关法律、法规相关政策及廉政建设的各项规定。</w:t>
      </w:r>
    </w:p>
    <w:p>
      <w:pPr>
        <w:spacing w:line="360" w:lineRule="auto"/>
        <w:ind w:firstLine="360" w:firstLineChars="150"/>
        <w:rPr>
          <w:rFonts w:ascii="宋体" w:hAnsi="宋体"/>
          <w:color w:val="auto"/>
          <w:sz w:val="24"/>
        </w:rPr>
      </w:pPr>
      <w:r>
        <w:rPr>
          <w:rFonts w:hint="eastAsia" w:ascii="宋体" w:hAnsi="宋体"/>
          <w:color w:val="auto"/>
          <w:sz w:val="24"/>
        </w:rPr>
        <w:t>（二）严格执行</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合同（以下简称：主合同），自觉履行合同约定的相关义务。</w:t>
      </w:r>
    </w:p>
    <w:p>
      <w:pPr>
        <w:spacing w:line="360" w:lineRule="auto"/>
        <w:ind w:firstLine="360" w:firstLineChars="150"/>
        <w:rPr>
          <w:rFonts w:ascii="宋体" w:hAnsi="宋体"/>
          <w:color w:val="auto"/>
          <w:sz w:val="24"/>
        </w:rPr>
      </w:pPr>
      <w:r>
        <w:rPr>
          <w:rFonts w:hint="eastAsia" w:ascii="宋体" w:hAnsi="宋体"/>
          <w:color w:val="auto"/>
          <w:sz w:val="24"/>
        </w:rPr>
        <w:t>（三）在业务活动中坚持公开、公正、诚信、透明的原则，不得损害国家、集体利益。</w:t>
      </w:r>
    </w:p>
    <w:p>
      <w:pPr>
        <w:spacing w:line="360" w:lineRule="auto"/>
        <w:ind w:firstLine="360" w:firstLineChars="150"/>
        <w:rPr>
          <w:rFonts w:ascii="宋体" w:hAnsi="宋体"/>
          <w:color w:val="auto"/>
          <w:sz w:val="24"/>
        </w:rPr>
      </w:pPr>
      <w:r>
        <w:rPr>
          <w:rFonts w:hint="eastAsia" w:ascii="宋体" w:hAnsi="宋体"/>
          <w:color w:val="auto"/>
          <w:sz w:val="24"/>
        </w:rPr>
        <w:t>（四）建立健全廉洁从业制度，开展廉洁教育，公布举报电话，监督并认真查处不廉洁及违法违纪行为。</w:t>
      </w:r>
    </w:p>
    <w:p>
      <w:pPr>
        <w:spacing w:line="360" w:lineRule="auto"/>
        <w:ind w:firstLine="360" w:firstLineChars="150"/>
        <w:rPr>
          <w:rFonts w:ascii="宋体" w:hAnsi="宋体"/>
          <w:color w:val="auto"/>
          <w:sz w:val="24"/>
        </w:rPr>
      </w:pPr>
      <w:r>
        <w:rPr>
          <w:rFonts w:hint="eastAsia" w:ascii="宋体" w:hAnsi="宋体"/>
          <w:color w:val="auto"/>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color w:val="auto"/>
          <w:sz w:val="24"/>
        </w:rPr>
      </w:pPr>
      <w:r>
        <w:rPr>
          <w:rFonts w:hint="eastAsia" w:ascii="宋体" w:hAnsi="宋体"/>
          <w:b/>
          <w:bCs/>
          <w:color w:val="auto"/>
          <w:sz w:val="24"/>
        </w:rPr>
        <w:t>第二条甲方的义务</w:t>
      </w:r>
    </w:p>
    <w:p>
      <w:pPr>
        <w:spacing w:line="360" w:lineRule="auto"/>
        <w:ind w:firstLine="480" w:firstLineChars="200"/>
        <w:rPr>
          <w:rFonts w:ascii="宋体" w:hAnsi="宋体"/>
          <w:color w:val="auto"/>
          <w:sz w:val="24"/>
        </w:rPr>
      </w:pPr>
      <w:r>
        <w:rPr>
          <w:rFonts w:hint="eastAsia" w:ascii="宋体" w:hAnsi="宋体"/>
          <w:color w:val="auto"/>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auto"/>
          <w:sz w:val="24"/>
        </w:rPr>
      </w:pPr>
      <w:r>
        <w:rPr>
          <w:rFonts w:hint="eastAsia" w:ascii="宋体" w:hAnsi="宋体"/>
          <w:color w:val="auto"/>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auto"/>
          <w:sz w:val="24"/>
        </w:rPr>
      </w:pPr>
      <w:r>
        <w:rPr>
          <w:rFonts w:hint="eastAsia" w:ascii="宋体" w:hAnsi="宋体"/>
          <w:color w:val="auto"/>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auto"/>
          <w:sz w:val="24"/>
        </w:rPr>
      </w:pPr>
      <w:r>
        <w:rPr>
          <w:rFonts w:hint="eastAsia" w:ascii="宋体" w:hAnsi="宋体"/>
          <w:color w:val="auto"/>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auto"/>
          <w:sz w:val="24"/>
        </w:rPr>
      </w:pPr>
      <w:r>
        <w:rPr>
          <w:rFonts w:hint="eastAsia" w:ascii="宋体" w:hAnsi="宋体"/>
          <w:color w:val="auto"/>
          <w:sz w:val="24"/>
        </w:rPr>
        <w:t>（五）甲方工作人员不得以明显低于市场的价格向乙方购买房屋、汽车等物品；不得</w:t>
      </w:r>
      <w:r>
        <w:rPr>
          <w:rFonts w:ascii="宋体" w:hAnsi="宋体"/>
          <w:color w:val="auto"/>
          <w:sz w:val="24"/>
        </w:rPr>
        <w:t>以明显高于市场的价格向</w:t>
      </w:r>
      <w:r>
        <w:rPr>
          <w:rFonts w:hint="eastAsia" w:ascii="宋体" w:hAnsi="宋体"/>
          <w:color w:val="auto"/>
          <w:sz w:val="24"/>
        </w:rPr>
        <w:t>乙方</w:t>
      </w:r>
      <w:r>
        <w:rPr>
          <w:rFonts w:ascii="宋体" w:hAnsi="宋体"/>
          <w:color w:val="auto"/>
          <w:sz w:val="24"/>
        </w:rPr>
        <w:t>出售房屋、汽车等物品；</w:t>
      </w:r>
      <w:r>
        <w:rPr>
          <w:rFonts w:hint="eastAsia" w:ascii="宋体" w:hAnsi="宋体"/>
          <w:color w:val="auto"/>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color w:val="auto"/>
          <w:sz w:val="24"/>
        </w:rPr>
      </w:pPr>
      <w:r>
        <w:rPr>
          <w:rFonts w:hint="eastAsia" w:ascii="宋体" w:hAnsi="宋体"/>
          <w:color w:val="auto"/>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hint="eastAsia" w:ascii="宋体" w:hAnsi="宋体"/>
          <w:color w:val="auto"/>
          <w:sz w:val="24"/>
        </w:rPr>
      </w:pPr>
      <w:r>
        <w:rPr>
          <w:rFonts w:hint="eastAsia" w:ascii="宋体" w:hAnsi="宋体"/>
          <w:color w:val="auto"/>
          <w:sz w:val="24"/>
        </w:rPr>
        <w:t>（七）甲方工作人员不得接受乙方给予或赠送的干股或红利。</w:t>
      </w:r>
    </w:p>
    <w:p>
      <w:pPr>
        <w:spacing w:line="360" w:lineRule="auto"/>
        <w:ind w:left="15" w:leftChars="7" w:firstLine="480" w:firstLineChars="200"/>
        <w:rPr>
          <w:rFonts w:hint="eastAsia" w:ascii="宋体" w:hAnsi="宋体" w:eastAsia="宋体"/>
          <w:color w:val="auto"/>
          <w:sz w:val="24"/>
        </w:rPr>
      </w:pPr>
      <w:r>
        <w:rPr>
          <w:rFonts w:hint="eastAsia" w:ascii="宋体" w:hAnsi="宋体" w:eastAsia="宋体"/>
          <w:color w:val="auto"/>
          <w:sz w:val="24"/>
          <w:lang w:val="en-US" w:eastAsia="zh-CN"/>
        </w:rPr>
        <w:t>(八）不得存在其他违反廉洁规定的行为。</w:t>
      </w:r>
    </w:p>
    <w:p>
      <w:pPr>
        <w:spacing w:line="360" w:lineRule="auto"/>
        <w:ind w:firstLine="482" w:firstLineChars="200"/>
        <w:rPr>
          <w:rFonts w:ascii="宋体" w:hAnsi="宋体"/>
          <w:color w:val="auto"/>
          <w:sz w:val="24"/>
        </w:rPr>
      </w:pPr>
      <w:r>
        <w:rPr>
          <w:rFonts w:hint="eastAsia" w:ascii="宋体" w:hAnsi="宋体"/>
          <w:b/>
          <w:bCs/>
          <w:color w:val="auto"/>
          <w:sz w:val="24"/>
        </w:rPr>
        <w:t>第三条乙方的义务</w:t>
      </w:r>
    </w:p>
    <w:p>
      <w:pPr>
        <w:spacing w:line="360" w:lineRule="auto"/>
        <w:ind w:firstLine="480" w:firstLineChars="200"/>
        <w:rPr>
          <w:rFonts w:ascii="宋体" w:hAnsi="宋体"/>
          <w:color w:val="auto"/>
          <w:sz w:val="24"/>
        </w:rPr>
      </w:pPr>
      <w:r>
        <w:rPr>
          <w:rFonts w:hint="eastAsia" w:ascii="宋体" w:hAnsi="宋体"/>
          <w:color w:val="auto"/>
          <w:sz w:val="24"/>
        </w:rPr>
        <w:t>（一）乙方不得以任何理由向甲方及其工作人员行贿或馈赠礼金、有价证券、贵重礼品。</w:t>
      </w:r>
    </w:p>
    <w:p>
      <w:pPr>
        <w:spacing w:line="360" w:lineRule="auto"/>
        <w:ind w:firstLine="480" w:firstLineChars="200"/>
        <w:rPr>
          <w:rFonts w:ascii="宋体" w:hAnsi="宋体"/>
          <w:color w:val="auto"/>
          <w:sz w:val="24"/>
        </w:rPr>
      </w:pPr>
      <w:r>
        <w:rPr>
          <w:rFonts w:hint="eastAsia" w:ascii="宋体" w:hAnsi="宋体"/>
          <w:color w:val="auto"/>
          <w:sz w:val="24"/>
        </w:rPr>
        <w:t>（二</w:t>
      </w:r>
      <w:r>
        <w:rPr>
          <w:rFonts w:ascii="宋体" w:hAnsi="宋体"/>
          <w:color w:val="auto"/>
          <w:sz w:val="24"/>
        </w:rPr>
        <w:t>)乙方不得以任何名义为甲方及其工作人员报销应由甲方单位或个人支付的任何费用。</w:t>
      </w:r>
    </w:p>
    <w:p>
      <w:pPr>
        <w:spacing w:line="360" w:lineRule="auto"/>
        <w:ind w:left="25" w:leftChars="12" w:firstLine="480" w:firstLineChars="200"/>
        <w:rPr>
          <w:rFonts w:ascii="宋体" w:hAnsi="宋体"/>
          <w:color w:val="auto"/>
          <w:sz w:val="24"/>
        </w:rPr>
      </w:pPr>
      <w:r>
        <w:rPr>
          <w:rFonts w:hint="eastAsia" w:ascii="宋体" w:hAnsi="宋体"/>
          <w:color w:val="auto"/>
          <w:sz w:val="24"/>
        </w:rPr>
        <w:t>（三）乙方不得以任何理由安排甲方工作人员参加可能影响相关业务公开、公正、公平性的宴请及娱乐活动。</w:t>
      </w:r>
    </w:p>
    <w:p>
      <w:pPr>
        <w:pStyle w:val="15"/>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auto"/>
          <w:sz w:val="24"/>
        </w:rPr>
      </w:pPr>
      <w:r>
        <w:rPr>
          <w:rFonts w:hint="eastAsia" w:ascii="宋体" w:hAnsi="宋体"/>
          <w:color w:val="auto"/>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auto"/>
          <w:sz w:val="24"/>
        </w:rPr>
      </w:pPr>
      <w:r>
        <w:rPr>
          <w:rFonts w:hint="eastAsia" w:ascii="宋体" w:hAnsi="宋体"/>
          <w:color w:val="auto"/>
          <w:sz w:val="24"/>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left="15" w:leftChars="7" w:firstLine="480" w:firstLineChars="200"/>
        <w:rPr>
          <w:rFonts w:hint="eastAsia" w:ascii="宋体" w:hAnsi="宋体"/>
          <w:color w:val="auto"/>
          <w:sz w:val="24"/>
        </w:rPr>
      </w:pPr>
      <w:r>
        <w:rPr>
          <w:rFonts w:hint="eastAsia" w:ascii="宋体" w:hAnsi="宋体"/>
          <w:color w:val="auto"/>
          <w:sz w:val="24"/>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480" w:firstLineChars="200"/>
        <w:rPr>
          <w:rFonts w:hint="eastAsia" w:ascii="宋体" w:hAnsi="宋体" w:eastAsia="宋体"/>
          <w:color w:val="auto"/>
          <w:sz w:val="24"/>
        </w:rPr>
      </w:pPr>
      <w:r>
        <w:rPr>
          <w:rFonts w:hint="eastAsia" w:ascii="宋体" w:hAnsi="宋体" w:eastAsia="宋体"/>
          <w:color w:val="auto"/>
          <w:sz w:val="24"/>
          <w:lang w:val="en-US" w:eastAsia="zh-CN"/>
        </w:rPr>
        <w:t>(八）不得存在其他违反廉洁规定的行为。</w:t>
      </w:r>
    </w:p>
    <w:p>
      <w:pPr>
        <w:spacing w:line="360" w:lineRule="auto"/>
        <w:ind w:firstLine="482" w:firstLineChars="200"/>
        <w:rPr>
          <w:rFonts w:ascii="宋体" w:hAnsi="宋体"/>
          <w:color w:val="auto"/>
          <w:sz w:val="24"/>
        </w:rPr>
      </w:pPr>
      <w:r>
        <w:rPr>
          <w:rFonts w:hint="eastAsia" w:ascii="宋体" w:hAnsi="宋体"/>
          <w:b/>
          <w:bCs/>
          <w:color w:val="auto"/>
          <w:sz w:val="24"/>
        </w:rPr>
        <w:t>第四条违约责任</w:t>
      </w:r>
    </w:p>
    <w:p>
      <w:pPr>
        <w:spacing w:line="360" w:lineRule="auto"/>
        <w:ind w:firstLine="480" w:firstLineChars="200"/>
        <w:rPr>
          <w:rFonts w:ascii="宋体" w:hAnsi="宋体"/>
          <w:color w:val="auto"/>
          <w:sz w:val="24"/>
        </w:rPr>
      </w:pPr>
      <w:r>
        <w:rPr>
          <w:rFonts w:hint="eastAsia" w:ascii="宋体" w:hAnsi="宋体"/>
          <w:color w:val="auto"/>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color w:val="auto"/>
          <w:sz w:val="24"/>
        </w:rPr>
      </w:pPr>
      <w:r>
        <w:rPr>
          <w:rFonts w:hint="eastAsia" w:ascii="宋体" w:hAnsi="宋体"/>
          <w:color w:val="auto"/>
          <w:sz w:val="24"/>
        </w:rPr>
        <w:t>甲方举报投诉联系部门：广州市净水有限公司</w:t>
      </w:r>
      <w:r>
        <w:rPr>
          <w:rFonts w:ascii="宋体" w:hAnsi="宋体"/>
          <w:color w:val="auto"/>
          <w:sz w:val="24"/>
          <w:u w:val="single"/>
        </w:rPr>
        <w:t>纪检</w:t>
      </w:r>
      <w:r>
        <w:rPr>
          <w:rFonts w:hint="eastAsia" w:ascii="宋体" w:hAnsi="宋体"/>
          <w:color w:val="auto"/>
          <w:sz w:val="24"/>
          <w:u w:val="single"/>
        </w:rPr>
        <w:t>室</w:t>
      </w:r>
      <w:r>
        <w:rPr>
          <w:rFonts w:hint="eastAsia" w:ascii="宋体" w:hAnsi="宋体"/>
          <w:color w:val="auto"/>
          <w:sz w:val="24"/>
        </w:rPr>
        <w:t>，联系电话：</w:t>
      </w:r>
      <w:r>
        <w:rPr>
          <w:rFonts w:ascii="宋体" w:hAnsi="宋体"/>
          <w:color w:val="auto"/>
          <w:sz w:val="24"/>
          <w:u w:val="single"/>
        </w:rPr>
        <w:t xml:space="preserve"> 020-38890265 </w:t>
      </w:r>
      <w:r>
        <w:rPr>
          <w:rFonts w:hint="eastAsia" w:ascii="宋体" w:hAnsi="宋体"/>
          <w:color w:val="auto"/>
          <w:sz w:val="24"/>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480" w:firstLineChars="200"/>
        <w:rPr>
          <w:rFonts w:hint="eastAsia" w:ascii="宋体" w:hAnsi="宋体" w:eastAsia="宋体" w:cs="Calibri"/>
          <w:color w:val="auto"/>
          <w:kern w:val="2"/>
          <w:sz w:val="24"/>
          <w:szCs w:val="22"/>
          <w:lang w:val="en-US" w:eastAsia="zh-CN" w:bidi="ar-SA"/>
        </w:rPr>
      </w:pPr>
      <w:r>
        <w:rPr>
          <w:rFonts w:hint="eastAsia" w:ascii="宋体" w:hAnsi="宋体" w:eastAsia="宋体" w:cs="Calibri"/>
          <w:color w:val="auto"/>
          <w:kern w:val="2"/>
          <w:sz w:val="24"/>
          <w:szCs w:val="22"/>
          <w:lang w:val="en-US" w:eastAsia="zh-CN" w:bidi="ar-SA"/>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keepNext w:val="0"/>
        <w:keepLines w:val="0"/>
        <w:pageBreakBefore w:val="0"/>
        <w:widowControl/>
        <w:suppressLineNumbers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Calibri"/>
          <w:color w:val="auto"/>
          <w:kern w:val="2"/>
          <w:sz w:val="24"/>
          <w:szCs w:val="22"/>
          <w:lang w:val="en-US" w:eastAsia="zh-CN" w:bidi="ar-SA"/>
        </w:rPr>
      </w:pPr>
      <w:r>
        <w:rPr>
          <w:rFonts w:hint="eastAsia" w:ascii="宋体" w:hAnsi="宋体" w:eastAsia="宋体" w:cs="Calibri"/>
          <w:color w:val="auto"/>
          <w:kern w:val="2"/>
          <w:sz w:val="24"/>
          <w:szCs w:val="22"/>
          <w:lang w:val="en-US" w:eastAsia="zh-CN" w:bidi="ar-SA"/>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Calibri"/>
          <w:color w:val="auto"/>
          <w:kern w:val="2"/>
          <w:sz w:val="24"/>
          <w:szCs w:val="22"/>
          <w:lang w:val="en-US" w:eastAsia="zh-CN" w:bidi="ar-SA"/>
        </w:rPr>
      </w:pPr>
      <w:r>
        <w:rPr>
          <w:rFonts w:hint="eastAsia" w:ascii="宋体" w:hAnsi="宋体" w:eastAsia="宋体" w:cs="Calibri"/>
          <w:color w:val="auto"/>
          <w:kern w:val="2"/>
          <w:sz w:val="24"/>
          <w:szCs w:val="22"/>
          <w:lang w:val="en-US" w:eastAsia="zh-CN" w:bidi="ar-SA"/>
        </w:rPr>
        <w:t>2、解除主合同；</w:t>
      </w:r>
    </w:p>
    <w:p>
      <w:pPr>
        <w:pStyle w:val="21"/>
        <w:keepNext w:val="0"/>
        <w:keepLines w:val="0"/>
        <w:pageBreakBefore w:val="0"/>
        <w:widowControl/>
        <w:suppressLineNumbers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Calibri"/>
          <w:color w:val="auto"/>
          <w:kern w:val="2"/>
          <w:sz w:val="24"/>
          <w:szCs w:val="22"/>
          <w:lang w:val="en-US" w:eastAsia="zh-CN" w:bidi="ar-SA"/>
        </w:rPr>
      </w:pPr>
      <w:r>
        <w:rPr>
          <w:rFonts w:hint="eastAsia" w:ascii="宋体" w:hAnsi="宋体" w:eastAsia="宋体" w:cs="Calibri"/>
          <w:color w:val="auto"/>
          <w:kern w:val="2"/>
          <w:sz w:val="24"/>
          <w:szCs w:val="22"/>
          <w:lang w:val="en-US" w:eastAsia="zh-CN" w:bidi="ar-SA"/>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Calibri"/>
          <w:color w:val="auto"/>
          <w:kern w:val="2"/>
          <w:sz w:val="24"/>
          <w:szCs w:val="22"/>
          <w:lang w:val="en-US" w:eastAsia="zh-CN" w:bidi="ar-SA"/>
        </w:rPr>
      </w:pPr>
      <w:r>
        <w:rPr>
          <w:rFonts w:hint="eastAsia" w:ascii="宋体" w:hAnsi="宋体" w:eastAsia="宋体" w:cs="Calibri"/>
          <w:color w:val="auto"/>
          <w:kern w:val="2"/>
          <w:sz w:val="24"/>
          <w:szCs w:val="22"/>
          <w:lang w:val="en-US" w:eastAsia="zh-CN" w:bidi="ar-SA"/>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Calibri"/>
          <w:color w:val="auto"/>
          <w:kern w:val="2"/>
          <w:sz w:val="24"/>
          <w:szCs w:val="22"/>
          <w:lang w:val="en-US" w:eastAsia="zh-CN" w:bidi="ar-SA"/>
        </w:rPr>
      </w:pPr>
      <w:r>
        <w:rPr>
          <w:rFonts w:hint="eastAsia" w:ascii="宋体" w:hAnsi="宋体" w:eastAsia="宋体" w:cs="Calibri"/>
          <w:color w:val="auto"/>
          <w:kern w:val="2"/>
          <w:sz w:val="24"/>
          <w:szCs w:val="22"/>
          <w:lang w:val="en-US" w:eastAsia="zh-CN" w:bidi="ar-SA"/>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Calibri"/>
          <w:color w:val="auto"/>
          <w:kern w:val="2"/>
          <w:sz w:val="24"/>
          <w:szCs w:val="22"/>
          <w:lang w:val="en-US" w:eastAsia="zh-CN" w:bidi="ar-SA"/>
        </w:rPr>
      </w:pPr>
      <w:r>
        <w:rPr>
          <w:rFonts w:hint="eastAsia" w:ascii="宋体" w:hAnsi="宋体" w:eastAsia="宋体" w:cs="Calibri"/>
          <w:color w:val="auto"/>
          <w:kern w:val="2"/>
          <w:sz w:val="24"/>
          <w:szCs w:val="22"/>
          <w:lang w:val="en-US" w:eastAsia="zh-CN" w:bidi="ar-SA"/>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Calibri"/>
          <w:color w:val="auto"/>
          <w:kern w:val="2"/>
          <w:sz w:val="24"/>
          <w:szCs w:val="22"/>
          <w:lang w:val="en-US" w:eastAsia="zh-CN" w:bidi="ar-SA"/>
        </w:rPr>
      </w:pPr>
      <w:r>
        <w:rPr>
          <w:rFonts w:hint="eastAsia" w:ascii="宋体" w:hAnsi="宋体" w:eastAsia="宋体" w:cs="Calibri"/>
          <w:color w:val="auto"/>
          <w:kern w:val="2"/>
          <w:sz w:val="24"/>
          <w:szCs w:val="22"/>
          <w:lang w:val="en-US" w:eastAsia="zh-CN" w:bidi="ar-SA"/>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Calibri"/>
          <w:color w:val="auto"/>
          <w:kern w:val="2"/>
          <w:sz w:val="24"/>
          <w:szCs w:val="22"/>
          <w:lang w:val="en-US" w:eastAsia="zh-CN" w:bidi="ar-SA"/>
        </w:rPr>
      </w:pPr>
      <w:r>
        <w:rPr>
          <w:rFonts w:hint="eastAsia" w:ascii="宋体" w:hAnsi="宋体" w:eastAsia="宋体" w:cs="Calibri"/>
          <w:color w:val="auto"/>
          <w:kern w:val="2"/>
          <w:sz w:val="24"/>
          <w:szCs w:val="22"/>
          <w:lang w:val="en-US" w:eastAsia="zh-CN" w:bidi="ar-SA"/>
        </w:rPr>
        <w:t>乙方无条件接受甲方的处理决定并承担给甲方造成的损失，全额返还通过不正当手段获取的非法所得，并承担相应的法律责任。</w:t>
      </w:r>
    </w:p>
    <w:p>
      <w:pPr>
        <w:spacing w:after="0" w:line="240" w:lineRule="auto"/>
        <w:rPr>
          <w:rFonts w:ascii="宋体" w:hAnsi="宋体" w:cs="宋体"/>
          <w:color w:val="auto"/>
          <w:kern w:val="0"/>
          <w:sz w:val="24"/>
          <w:szCs w:val="24"/>
        </w:rPr>
      </w:pPr>
      <w:r>
        <w:rPr>
          <w:rFonts w:hint="eastAsia" w:ascii="宋体" w:hAnsi="宋体"/>
          <w:b/>
          <w:bCs/>
          <w:color w:val="auto"/>
          <w:sz w:val="24"/>
        </w:rPr>
        <w:t xml:space="preserve">第五条 </w:t>
      </w:r>
      <w:r>
        <w:rPr>
          <w:rFonts w:ascii="宋体" w:hAnsi="宋体" w:cs="宋体"/>
          <w:color w:val="auto"/>
          <w:kern w:val="0"/>
          <w:sz w:val="24"/>
          <w:szCs w:val="24"/>
        </w:rPr>
        <w:t xml:space="preserve">本协议执行情况，接受有管辖权的纪检、监察部门的监督，双方应予以配合检查调查。 </w:t>
      </w:r>
    </w:p>
    <w:p>
      <w:pPr>
        <w:spacing w:line="360" w:lineRule="auto"/>
        <w:ind w:firstLine="482" w:firstLineChars="200"/>
        <w:rPr>
          <w:rFonts w:ascii="宋体" w:hAnsi="宋体"/>
          <w:color w:val="auto"/>
          <w:sz w:val="24"/>
        </w:rPr>
      </w:pPr>
      <w:r>
        <w:rPr>
          <w:rFonts w:hint="eastAsia" w:ascii="宋体" w:hAnsi="宋体"/>
          <w:b/>
          <w:color w:val="auto"/>
          <w:sz w:val="24"/>
        </w:rPr>
        <w:t>第六条</w:t>
      </w:r>
      <w:r>
        <w:rPr>
          <w:rFonts w:ascii="宋体" w:hAnsi="宋体"/>
          <w:color w:val="auto"/>
          <w:sz w:val="24"/>
        </w:rPr>
        <w:t>本协议作为</w:t>
      </w:r>
      <w:r>
        <w:rPr>
          <w:rFonts w:hint="eastAsia" w:ascii="宋体" w:hAnsi="宋体"/>
          <w:color w:val="auto"/>
          <w:sz w:val="24"/>
          <w:u w:val="single"/>
        </w:rPr>
        <w:t>（合同名称）+（合同编号）</w:t>
      </w:r>
      <w:r>
        <w:rPr>
          <w:rFonts w:hint="eastAsia" w:ascii="宋体" w:hAnsi="宋体"/>
          <w:color w:val="auto"/>
          <w:sz w:val="24"/>
        </w:rPr>
        <w:t>合同的附件，并具有同等的法律效力，本协议自双方签字盖章之日起生效，与主合同同时终止。</w:t>
      </w:r>
    </w:p>
    <w:p>
      <w:pPr>
        <w:spacing w:line="360" w:lineRule="auto"/>
        <w:ind w:firstLine="482" w:firstLineChars="200"/>
        <w:rPr>
          <w:rFonts w:ascii="宋体" w:hAnsi="宋体"/>
          <w:color w:val="auto"/>
          <w:sz w:val="24"/>
        </w:rPr>
      </w:pPr>
      <w:r>
        <w:rPr>
          <w:rFonts w:hint="eastAsia" w:ascii="宋体" w:hAnsi="宋体"/>
          <w:b/>
          <w:color w:val="auto"/>
          <w:sz w:val="24"/>
        </w:rPr>
        <w:t>第七条</w:t>
      </w:r>
      <w:r>
        <w:rPr>
          <w:rFonts w:hint="eastAsia" w:ascii="宋体" w:hAnsi="宋体"/>
          <w:color w:val="auto"/>
          <w:sz w:val="24"/>
        </w:rPr>
        <w:t>本协议</w:t>
      </w:r>
      <w:r>
        <w:rPr>
          <w:rFonts w:hint="eastAsia" w:ascii="宋体" w:hAnsi="宋体"/>
          <w:sz w:val="24"/>
        </w:rPr>
        <w:t>甲方、乙方双方执持数量与主合同一致</w:t>
      </w:r>
      <w:r>
        <w:rPr>
          <w:rFonts w:ascii="宋体" w:hAnsi="宋体"/>
          <w:color w:val="auto"/>
          <w:sz w:val="24"/>
        </w:rPr>
        <w:t>。</w:t>
      </w:r>
    </w:p>
    <w:p>
      <w:pPr>
        <w:spacing w:line="360" w:lineRule="auto"/>
        <w:rPr>
          <w:rFonts w:ascii="宋体" w:hAnsi="宋体"/>
          <w:color w:val="auto"/>
          <w:sz w:val="24"/>
        </w:rPr>
      </w:pPr>
      <w:r>
        <w:rPr>
          <w:rFonts w:ascii="宋体" w:hAnsi="宋体"/>
          <w:color w:val="auto"/>
          <w:sz w:val="24"/>
        </w:rPr>
        <w:br w:type="textWrapping"/>
      </w:r>
      <w:r>
        <w:rPr>
          <w:rFonts w:hint="eastAsia" w:ascii="宋体" w:hAnsi="宋体"/>
          <w:color w:val="auto"/>
          <w:sz w:val="24"/>
        </w:rPr>
        <w:t>甲方（盖章）：                     乙方（盖章）：</w:t>
      </w:r>
    </w:p>
    <w:p>
      <w:pPr>
        <w:pStyle w:val="32"/>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color w:val="auto"/>
          <w:sz w:val="24"/>
        </w:rPr>
      </w:pPr>
      <w:r>
        <w:rPr>
          <w:rFonts w:hint="eastAsia" w:ascii="宋体" w:hAnsi="宋体"/>
          <w:color w:val="auto"/>
          <w:sz w:val="24"/>
        </w:rPr>
        <w:t>签约代表：                         签约代表：</w:t>
      </w:r>
    </w:p>
    <w:p>
      <w:pPr>
        <w:tabs>
          <w:tab w:val="left" w:pos="4170"/>
        </w:tabs>
        <w:spacing w:line="360" w:lineRule="auto"/>
        <w:rPr>
          <w:rFonts w:hint="eastAsia" w:ascii="宋体" w:hAnsi="宋体"/>
          <w:color w:val="auto"/>
          <w:sz w:val="24"/>
        </w:rPr>
      </w:pPr>
      <w:r>
        <w:rPr>
          <w:rFonts w:hint="eastAsia" w:ascii="宋体" w:hAnsi="宋体"/>
          <w:color w:val="auto"/>
          <w:sz w:val="24"/>
        </w:rPr>
        <w:t>日期</w:t>
      </w:r>
      <w:r>
        <w:rPr>
          <w:rFonts w:ascii="宋体" w:hAnsi="宋体"/>
          <w:color w:val="auto"/>
          <w:sz w:val="24"/>
        </w:rPr>
        <w:t>:    年</w:t>
      </w:r>
      <w:r>
        <w:rPr>
          <w:rFonts w:hint="eastAsia" w:ascii="宋体" w:hAnsi="宋体"/>
          <w:color w:val="auto"/>
          <w:sz w:val="24"/>
        </w:rPr>
        <w:t xml:space="preserve">  </w:t>
      </w:r>
      <w:r>
        <w:rPr>
          <w:rFonts w:ascii="宋体" w:hAnsi="宋体"/>
          <w:color w:val="auto"/>
          <w:sz w:val="24"/>
        </w:rPr>
        <w:t>月</w:t>
      </w:r>
      <w:r>
        <w:rPr>
          <w:rFonts w:hint="eastAsia" w:ascii="宋体" w:hAnsi="宋体"/>
          <w:color w:val="auto"/>
          <w:sz w:val="24"/>
        </w:rPr>
        <w:t xml:space="preserve"> </w:t>
      </w:r>
      <w:r>
        <w:rPr>
          <w:rFonts w:ascii="宋体" w:hAnsi="宋体"/>
          <w:color w:val="auto"/>
          <w:sz w:val="24"/>
        </w:rPr>
        <w:t xml:space="preserve"> 日</w:t>
      </w:r>
      <w:r>
        <w:rPr>
          <w:rFonts w:ascii="宋体" w:hAnsi="宋体"/>
          <w:color w:val="auto"/>
          <w:sz w:val="24"/>
        </w:rPr>
        <w:tab/>
      </w:r>
      <w:r>
        <w:rPr>
          <w:rFonts w:hint="eastAsia" w:ascii="宋体" w:hAnsi="宋体"/>
          <w:color w:val="auto"/>
          <w:sz w:val="24"/>
        </w:rPr>
        <w:t xml:space="preserve">日期： </w:t>
      </w:r>
      <w:r>
        <w:rPr>
          <w:rFonts w:ascii="宋体" w:hAnsi="宋体"/>
          <w:color w:val="auto"/>
          <w:sz w:val="24"/>
        </w:rPr>
        <w:t xml:space="preserve"> </w:t>
      </w:r>
      <w:r>
        <w:rPr>
          <w:rFonts w:hint="eastAsia" w:ascii="宋体" w:hAnsi="宋体"/>
          <w:color w:val="auto"/>
          <w:sz w:val="24"/>
        </w:rPr>
        <w:t xml:space="preserve">年 </w:t>
      </w:r>
      <w:r>
        <w:rPr>
          <w:rFonts w:ascii="宋体" w:hAnsi="宋体"/>
          <w:color w:val="auto"/>
          <w:sz w:val="24"/>
        </w:rPr>
        <w:t xml:space="preserve"> </w:t>
      </w:r>
      <w:r>
        <w:rPr>
          <w:rFonts w:hint="eastAsia" w:ascii="宋体" w:hAnsi="宋体"/>
          <w:color w:val="auto"/>
          <w:sz w:val="24"/>
        </w:rPr>
        <w:t xml:space="preserve">月 </w:t>
      </w:r>
      <w:r>
        <w:rPr>
          <w:rFonts w:ascii="宋体" w:hAnsi="宋体"/>
          <w:color w:val="auto"/>
          <w:sz w:val="24"/>
        </w:rPr>
        <w:t xml:space="preserve"> </w:t>
      </w:r>
      <w:r>
        <w:rPr>
          <w:rFonts w:hint="eastAsia" w:ascii="宋体" w:hAnsi="宋体"/>
          <w:color w:val="auto"/>
          <w:sz w:val="24"/>
        </w:rPr>
        <w:t>日</w:t>
      </w:r>
    </w:p>
    <w:p>
      <w:pPr>
        <w:pStyle w:val="2"/>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w:t>
            </w:r>
            <w:r>
              <w:rPr>
                <w:rFonts w:hint="eastAsia" w:ascii="仿宋_GB2312" w:hAnsi="仿宋_GB2312" w:eastAsia="仿宋_GB2312" w:cs="仿宋_GB2312"/>
                <w:color w:val="auto"/>
                <w:szCs w:val="24"/>
                <w:highlight w:val="none"/>
                <w:lang w:eastAsia="zh-CN"/>
              </w:rPr>
              <w:t>报价</w:t>
            </w:r>
            <w:r>
              <w:rPr>
                <w:rFonts w:hint="eastAsia" w:ascii="仿宋_GB2312" w:hAnsi="仿宋_GB2312" w:eastAsia="仿宋_GB2312" w:cs="仿宋_GB2312"/>
                <w:color w:val="auto"/>
                <w:szCs w:val="24"/>
                <w:highlight w:val="none"/>
              </w:rPr>
              <w:t>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w:t>
            </w:r>
            <w:r>
              <w:rPr>
                <w:rFonts w:hint="eastAsia" w:ascii="仿宋_GB2312" w:hAnsi="仿宋_GB2312" w:eastAsia="仿宋_GB2312" w:cs="仿宋_GB2312"/>
                <w:color w:val="auto"/>
                <w:szCs w:val="24"/>
                <w:highlight w:val="none"/>
                <w:lang w:eastAsia="zh-CN"/>
              </w:rPr>
              <w:t>报价</w:t>
            </w:r>
            <w:r>
              <w:rPr>
                <w:rFonts w:hint="eastAsia" w:ascii="仿宋_GB2312" w:hAnsi="仿宋_GB2312" w:eastAsia="仿宋_GB2312" w:cs="仿宋_GB2312"/>
                <w:color w:val="auto"/>
                <w:szCs w:val="24"/>
                <w:highlight w:val="none"/>
              </w:rPr>
              <w:t>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w:t>
            </w:r>
            <w:r>
              <w:rPr>
                <w:rFonts w:hint="eastAsia" w:ascii="仿宋_GB2312" w:hAnsi="仿宋_GB2312" w:eastAsia="仿宋_GB2312" w:cs="仿宋_GB2312"/>
                <w:color w:val="auto"/>
                <w:szCs w:val="24"/>
                <w:highlight w:val="none"/>
                <w:lang w:eastAsia="zh-CN"/>
              </w:rPr>
              <w:t>报价</w:t>
            </w:r>
            <w:r>
              <w:rPr>
                <w:rFonts w:hint="eastAsia" w:ascii="仿宋_GB2312" w:hAnsi="仿宋_GB2312" w:eastAsia="仿宋_GB2312" w:cs="仿宋_GB2312"/>
                <w:color w:val="auto"/>
                <w:szCs w:val="24"/>
                <w:highlight w:val="none"/>
              </w:rPr>
              <w:t>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w:t>
            </w:r>
            <w:r>
              <w:rPr>
                <w:rFonts w:hint="eastAsia" w:ascii="仿宋_GB2312" w:hAnsi="仿宋_GB2312" w:eastAsia="仿宋_GB2312" w:cs="仿宋_GB2312"/>
                <w:color w:val="auto"/>
                <w:szCs w:val="24"/>
                <w:highlight w:val="none"/>
                <w:lang w:eastAsia="zh-CN"/>
              </w:rPr>
              <w:t>报价</w:t>
            </w:r>
            <w:r>
              <w:rPr>
                <w:rFonts w:hint="eastAsia" w:ascii="仿宋_GB2312" w:hAnsi="仿宋_GB2312" w:eastAsia="仿宋_GB2312" w:cs="仿宋_GB2312"/>
                <w:color w:val="auto"/>
                <w:szCs w:val="24"/>
                <w:highlight w:val="none"/>
              </w:rPr>
              <w:t>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根据《广州市净水有限公司工程项目承包单位考评细则》安全管理未达标且符合限制报价处罚标准的。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w:t>
            </w:r>
            <w:r>
              <w:rPr>
                <w:rFonts w:hint="eastAsia" w:ascii="仿宋_GB2312" w:hAnsi="仿宋_GB2312" w:eastAsia="仿宋_GB2312" w:cs="仿宋_GB2312"/>
                <w:color w:val="auto"/>
                <w:szCs w:val="24"/>
                <w:highlight w:val="none"/>
                <w:lang w:eastAsia="zh-CN"/>
              </w:rPr>
              <w:t>报价</w:t>
            </w:r>
            <w:r>
              <w:rPr>
                <w:rFonts w:hint="eastAsia" w:ascii="仿宋_GB2312" w:hAnsi="仿宋_GB2312" w:eastAsia="仿宋_GB2312" w:cs="仿宋_GB2312"/>
                <w:color w:val="auto"/>
                <w:szCs w:val="24"/>
                <w:highlight w:val="none"/>
              </w:rPr>
              <w:t>1年。若至下一个自然年度项目尚未完结，仍出现该款情形的，继续暂停</w:t>
            </w:r>
            <w:r>
              <w:rPr>
                <w:rFonts w:hint="eastAsia" w:ascii="仿宋_GB2312" w:hAnsi="仿宋_GB2312" w:eastAsia="仿宋_GB2312" w:cs="仿宋_GB2312"/>
                <w:color w:val="auto"/>
                <w:szCs w:val="24"/>
                <w:highlight w:val="none"/>
                <w:lang w:eastAsia="zh-CN"/>
              </w:rPr>
              <w:t>报价</w:t>
            </w:r>
            <w:r>
              <w:rPr>
                <w:rFonts w:hint="eastAsia" w:ascii="仿宋_GB2312" w:hAnsi="仿宋_GB2312" w:eastAsia="仿宋_GB2312" w:cs="仿宋_GB2312"/>
                <w:color w:val="auto"/>
                <w:szCs w:val="24"/>
                <w:highlight w:val="none"/>
              </w:rPr>
              <w:t>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w:t>
            </w:r>
            <w:r>
              <w:rPr>
                <w:rFonts w:hint="eastAsia" w:ascii="仿宋_GB2312" w:hAnsi="仿宋_GB2312" w:eastAsia="仿宋_GB2312" w:cs="仿宋_GB2312"/>
                <w:color w:val="auto"/>
                <w:szCs w:val="24"/>
                <w:highlight w:val="none"/>
                <w:lang w:eastAsia="zh-CN"/>
              </w:rPr>
              <w:t>报价</w:t>
            </w: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根据《广州市净水有限公司工程项目承包单位考评细则》质量管理未达标且符合限制报价处罚标准的。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w:t>
            </w:r>
            <w:r>
              <w:rPr>
                <w:rFonts w:hint="eastAsia" w:ascii="仿宋_GB2312" w:hAnsi="仿宋_GB2312" w:eastAsia="仿宋_GB2312" w:cs="仿宋_GB2312"/>
                <w:color w:val="auto"/>
                <w:szCs w:val="24"/>
                <w:highlight w:val="none"/>
                <w:lang w:eastAsia="zh-CN"/>
              </w:rPr>
              <w:t>报价</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w:t>
            </w:r>
            <w:r>
              <w:rPr>
                <w:rFonts w:hint="eastAsia" w:ascii="仿宋_GB2312" w:hAnsi="仿宋_GB2312" w:eastAsia="仿宋_GB2312" w:cs="仿宋_GB2312"/>
                <w:color w:val="auto"/>
                <w:szCs w:val="24"/>
                <w:highlight w:val="none"/>
                <w:lang w:eastAsia="zh-CN"/>
              </w:rPr>
              <w:t>报价</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w:t>
            </w:r>
            <w:r>
              <w:rPr>
                <w:rFonts w:hint="eastAsia" w:ascii="仿宋_GB2312" w:hAnsi="仿宋_GB2312" w:eastAsia="仿宋_GB2312" w:cs="仿宋_GB2312"/>
                <w:color w:val="auto"/>
                <w:szCs w:val="24"/>
                <w:highlight w:val="none"/>
                <w:lang w:eastAsia="zh-CN"/>
              </w:rPr>
              <w:t>报价</w:t>
            </w:r>
            <w:r>
              <w:rPr>
                <w:rFonts w:hint="eastAsia" w:ascii="仿宋_GB2312" w:hAnsi="仿宋_GB2312" w:eastAsia="仿宋_GB2312" w:cs="仿宋_GB2312"/>
                <w:color w:val="auto"/>
                <w:szCs w:val="24"/>
                <w:highlight w:val="none"/>
              </w:rPr>
              <w:t>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报价、询价过程弄虚作假、串通报价报价、任意弃标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w:t>
            </w:r>
            <w:r>
              <w:rPr>
                <w:rFonts w:hint="eastAsia" w:ascii="仿宋_GB2312" w:hAnsi="仿宋_GB2312" w:eastAsia="仿宋_GB2312" w:cs="仿宋_GB2312"/>
                <w:color w:val="auto"/>
                <w:szCs w:val="24"/>
                <w:highlight w:val="none"/>
                <w:lang w:eastAsia="zh-CN"/>
              </w:rPr>
              <w:t>报价</w:t>
            </w:r>
            <w:r>
              <w:rPr>
                <w:rFonts w:hint="eastAsia" w:ascii="仿宋_GB2312" w:hAnsi="仿宋_GB2312" w:eastAsia="仿宋_GB2312" w:cs="仿宋_GB2312"/>
                <w:color w:val="auto"/>
                <w:szCs w:val="24"/>
                <w:highlight w:val="none"/>
              </w:rPr>
              <w:t>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w:t>
            </w:r>
            <w:r>
              <w:rPr>
                <w:rFonts w:hint="eastAsia" w:ascii="仿宋_GB2312" w:hAnsi="仿宋_GB2312" w:eastAsia="仿宋_GB2312" w:cs="仿宋_GB2312"/>
                <w:color w:val="auto"/>
                <w:szCs w:val="24"/>
                <w:highlight w:val="none"/>
                <w:lang w:eastAsia="zh-CN"/>
              </w:rPr>
              <w:t>报价</w:t>
            </w:r>
            <w:r>
              <w:rPr>
                <w:rFonts w:hint="eastAsia" w:ascii="仿宋_GB2312" w:hAnsi="仿宋_GB2312" w:eastAsia="仿宋_GB2312" w:cs="仿宋_GB2312"/>
                <w:color w:val="auto"/>
                <w:szCs w:val="24"/>
                <w:highlight w:val="none"/>
              </w:rPr>
              <w:t>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w:t>
            </w:r>
            <w:r>
              <w:rPr>
                <w:rFonts w:hint="eastAsia" w:ascii="仿宋_GB2312" w:hAnsi="仿宋_GB2312" w:eastAsia="仿宋_GB2312" w:cs="仿宋_GB2312"/>
                <w:color w:val="auto"/>
                <w:szCs w:val="24"/>
                <w:highlight w:val="none"/>
                <w:lang w:eastAsia="zh-CN"/>
              </w:rPr>
              <w:t>报价</w:t>
            </w:r>
            <w:r>
              <w:rPr>
                <w:rFonts w:hint="eastAsia" w:ascii="仿宋_GB2312" w:hAnsi="仿宋_GB2312" w:eastAsia="仿宋_GB2312" w:cs="仿宋_GB2312"/>
                <w:color w:val="auto"/>
                <w:szCs w:val="24"/>
                <w:highlight w:val="none"/>
              </w:rPr>
              <w:t>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w:t>
            </w:r>
            <w:r>
              <w:rPr>
                <w:rFonts w:hint="eastAsia" w:ascii="仿宋_GB2312" w:hAnsi="仿宋_GB2312" w:eastAsia="仿宋_GB2312" w:cs="仿宋_GB2312"/>
                <w:color w:val="auto"/>
                <w:szCs w:val="24"/>
                <w:highlight w:val="none"/>
                <w:lang w:eastAsia="zh-CN"/>
              </w:rPr>
              <w:t>报价</w:t>
            </w:r>
            <w:r>
              <w:rPr>
                <w:rFonts w:hint="eastAsia" w:ascii="仿宋_GB2312" w:hAnsi="仿宋_GB2312" w:eastAsia="仿宋_GB2312" w:cs="仿宋_GB2312"/>
                <w:color w:val="auto"/>
                <w:szCs w:val="24"/>
                <w:highlight w:val="none"/>
              </w:rPr>
              <w:t>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w:t>
            </w:r>
            <w:r>
              <w:rPr>
                <w:rFonts w:hint="eastAsia" w:ascii="仿宋_GB2312" w:hAnsi="仿宋_GB2312" w:eastAsia="仿宋_GB2312" w:cs="仿宋_GB2312"/>
                <w:color w:val="auto"/>
                <w:szCs w:val="24"/>
                <w:highlight w:val="none"/>
                <w:lang w:eastAsia="zh-CN"/>
              </w:rPr>
              <w:t>报价</w:t>
            </w:r>
            <w:r>
              <w:rPr>
                <w:rFonts w:hint="eastAsia" w:ascii="仿宋_GB2312" w:hAnsi="仿宋_GB2312" w:eastAsia="仿宋_GB2312" w:cs="仿宋_GB2312"/>
                <w:color w:val="auto"/>
                <w:szCs w:val="24"/>
                <w:highlight w:val="none"/>
              </w:rPr>
              <w:t>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w:t>
            </w:r>
            <w:r>
              <w:rPr>
                <w:rFonts w:hint="eastAsia" w:ascii="仿宋_GB2312" w:hAnsi="仿宋_GB2312" w:eastAsia="仿宋_GB2312" w:cs="仿宋_GB2312"/>
                <w:color w:val="auto"/>
                <w:szCs w:val="24"/>
                <w:highlight w:val="none"/>
                <w:lang w:eastAsia="zh-CN"/>
              </w:rPr>
              <w:t>报价</w:t>
            </w:r>
            <w:r>
              <w:rPr>
                <w:rFonts w:hint="eastAsia" w:ascii="仿宋_GB2312" w:hAnsi="仿宋_GB2312" w:eastAsia="仿宋_GB2312" w:cs="仿宋_GB2312"/>
                <w:color w:val="auto"/>
                <w:szCs w:val="24"/>
                <w:highlight w:val="none"/>
              </w:rPr>
              <w:t>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w:t>
            </w:r>
            <w:r>
              <w:rPr>
                <w:rFonts w:hint="eastAsia" w:ascii="仿宋_GB2312" w:hAnsi="仿宋_GB2312" w:eastAsia="仿宋_GB2312" w:cs="仿宋_GB2312"/>
                <w:color w:val="auto"/>
                <w:szCs w:val="24"/>
                <w:highlight w:val="none"/>
                <w:lang w:eastAsia="zh-CN"/>
              </w:rPr>
              <w:t>报价</w:t>
            </w:r>
            <w:r>
              <w:rPr>
                <w:rFonts w:hint="eastAsia" w:ascii="仿宋_GB2312" w:hAnsi="仿宋_GB2312" w:eastAsia="仿宋_GB2312" w:cs="仿宋_GB2312"/>
                <w:color w:val="auto"/>
                <w:szCs w:val="24"/>
                <w:highlight w:val="none"/>
              </w:rPr>
              <w:t>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w:t>
            </w:r>
            <w:r>
              <w:rPr>
                <w:rFonts w:hint="eastAsia" w:ascii="仿宋_GB2312" w:hAnsi="仿宋_GB2312" w:eastAsia="仿宋_GB2312" w:cs="仿宋_GB2312"/>
                <w:color w:val="auto"/>
                <w:szCs w:val="24"/>
                <w:highlight w:val="none"/>
                <w:lang w:eastAsia="zh-CN"/>
              </w:rPr>
              <w:t>报价</w:t>
            </w:r>
            <w:r>
              <w:rPr>
                <w:rFonts w:hint="eastAsia" w:ascii="仿宋_GB2312" w:hAnsi="仿宋_GB2312" w:eastAsia="仿宋_GB2312" w:cs="仿宋_GB2312"/>
                <w:color w:val="auto"/>
                <w:szCs w:val="24"/>
                <w:highlight w:val="none"/>
              </w:rPr>
              <w:t>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《广州市净水有限公司经营建设项目参建企业不诚信行为管理办法》</w:t>
      </w:r>
      <w:r>
        <w:rPr>
          <w:rFonts w:hint="eastAsia" w:ascii="仿宋_GB2312" w:hAnsi="仿宋_GB2312" w:eastAsia="仿宋_GB2312" w:cs="仿宋_GB2312"/>
          <w:color w:val="000000"/>
          <w:sz w:val="24"/>
          <w:szCs w:val="24"/>
          <w:highlight w:val="none"/>
          <w:lang w:eastAsia="zh-CN"/>
        </w:rPr>
        <w:t>。</w:t>
      </w:r>
    </w:p>
    <w:p>
      <w:pPr>
        <w:spacing w:line="360" w:lineRule="auto"/>
        <w:rPr>
          <w:rFonts w:hint="eastAsia" w:ascii="宋体" w:hAnsi="宋体" w:cs="宋体"/>
          <w:b/>
          <w:color w:val="auto"/>
          <w:szCs w:val="21"/>
        </w:rPr>
      </w:pPr>
    </w:p>
    <w:p>
      <w:pPr>
        <w:spacing w:line="360" w:lineRule="auto"/>
        <w:rPr>
          <w:rFonts w:ascii="宋体" w:hAnsi="宋体" w:cs="宋体"/>
          <w:b/>
          <w:color w:val="auto"/>
          <w:szCs w:val="21"/>
        </w:rPr>
      </w:pPr>
      <w:r>
        <w:rPr>
          <w:rFonts w:hint="eastAsia" w:ascii="宋体" w:hAnsi="宋体" w:cs="宋体"/>
          <w:b/>
          <w:color w:val="auto"/>
          <w:szCs w:val="21"/>
        </w:rPr>
        <w:t>附件</w:t>
      </w:r>
      <w:r>
        <w:rPr>
          <w:rFonts w:hint="eastAsia" w:ascii="宋体" w:hAnsi="宋体" w:cs="宋体"/>
          <w:b/>
          <w:color w:val="auto"/>
          <w:szCs w:val="21"/>
          <w:lang w:val="en-US" w:eastAsia="zh-CN"/>
        </w:rPr>
        <w:t>4</w:t>
      </w:r>
      <w:r>
        <w:rPr>
          <w:rFonts w:hint="eastAsia" w:ascii="宋体" w:hAnsi="宋体" w:cs="宋体"/>
          <w:b/>
          <w:color w:val="auto"/>
          <w:szCs w:val="21"/>
        </w:rPr>
        <w:t>：安全管理协议书</w:t>
      </w: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0" w:firstLineChars="200"/>
        <w:jc w:val="left"/>
        <w:rPr>
          <w:rFonts w:ascii="等线" w:hAnsi="等线" w:eastAsia="等线"/>
          <w:b/>
          <w:sz w:val="24"/>
        </w:rPr>
      </w:pPr>
      <w:r>
        <w:rPr>
          <w:rFonts w:hint="eastAsia" w:ascii="等线" w:hAnsi="等线" w:eastAsia="等线"/>
          <w:b/>
          <w:sz w:val="24"/>
        </w:rPr>
        <w:t>一、本协议与主合同的关系</w:t>
      </w:r>
    </w:p>
    <w:p>
      <w:pPr>
        <w:adjustRightInd w:val="0"/>
        <w:snapToGrid w:val="0"/>
        <w:spacing w:line="560" w:lineRule="exact"/>
        <w:ind w:firstLine="480" w:firstLineChars="200"/>
        <w:jc w:val="left"/>
        <w:rPr>
          <w:rFonts w:ascii="等线" w:hAnsi="等线" w:eastAsia="等线"/>
          <w:sz w:val="24"/>
        </w:rPr>
      </w:pPr>
      <w:r>
        <w:rPr>
          <w:rFonts w:hint="eastAsia" w:ascii="等线" w:hAnsi="等线" w:eastAsia="等线"/>
          <w:sz w:val="24"/>
        </w:rPr>
        <w:t>本协议作为</w:t>
      </w:r>
      <w:r>
        <w:rPr>
          <w:rFonts w:hint="eastAsia" w:ascii="等线" w:hAnsi="等线" w:eastAsia="等线"/>
          <w:sz w:val="24"/>
          <w:u w:val="single"/>
        </w:rPr>
        <w:t xml:space="preserve">                          </w:t>
      </w:r>
      <w:r>
        <w:rPr>
          <w:rFonts w:hint="eastAsia" w:ascii="等线" w:hAnsi="等线" w:eastAsia="等线"/>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35"/>
        <w:spacing w:line="560" w:lineRule="exact"/>
        <w:ind w:firstLine="480" w:firstLineChars="200"/>
        <w:rPr>
          <w:rFonts w:ascii="等线" w:hAnsi="等线" w:eastAsia="等线"/>
          <w:sz w:val="24"/>
        </w:rPr>
      </w:pPr>
      <w:r>
        <w:rPr>
          <w:rFonts w:hint="eastAsia" w:ascii="等线" w:hAnsi="等线" w:eastAsia="等线"/>
          <w:b/>
          <w:sz w:val="24"/>
        </w:rPr>
        <w:t>四、补充条款：</w:t>
      </w:r>
      <w:r>
        <w:rPr>
          <w:rFonts w:hint="eastAsia" w:ascii="等线" w:hAnsi="等线" w:eastAsia="等线"/>
          <w:sz w:val="24"/>
          <w:u w:val="single"/>
        </w:rPr>
        <w:t xml:space="preserve">         </w:t>
      </w:r>
      <w:r>
        <w:rPr>
          <w:rFonts w:ascii="等线" w:hAnsi="等线" w:eastAsia="等线"/>
          <w:sz w:val="24"/>
          <w:u w:val="single"/>
        </w:rPr>
        <w:t xml:space="preserve"> </w:t>
      </w:r>
      <w:r>
        <w:rPr>
          <w:rFonts w:hint="eastAsia" w:ascii="等线" w:hAnsi="等线" w:eastAsia="等线"/>
          <w:sz w:val="24"/>
          <w:u w:val="single"/>
        </w:rPr>
        <w:t xml:space="preserve">       </w:t>
      </w:r>
      <w:r>
        <w:rPr>
          <w:rFonts w:hint="eastAsia" w:ascii="等线" w:hAnsi="等线" w:eastAsia="等线"/>
          <w:sz w:val="24"/>
        </w:rPr>
        <w:t>。</w:t>
      </w:r>
    </w:p>
    <w:p>
      <w:pPr>
        <w:adjustRightInd w:val="0"/>
        <w:snapToGrid w:val="0"/>
        <w:spacing w:line="560" w:lineRule="exact"/>
        <w:ind w:firstLine="480" w:firstLineChars="200"/>
        <w:jc w:val="left"/>
        <w:rPr>
          <w:rFonts w:ascii="等线" w:hAnsi="等线" w:eastAsia="等线"/>
          <w:b/>
          <w:sz w:val="24"/>
        </w:rPr>
      </w:pPr>
      <w:r>
        <w:rPr>
          <w:rFonts w:hint="eastAsia" w:ascii="等线" w:hAnsi="等线" w:eastAsia="等线"/>
          <w:b/>
          <w:sz w:val="24"/>
        </w:rPr>
        <w:t>五、附则</w:t>
      </w:r>
    </w:p>
    <w:p>
      <w:pPr>
        <w:adjustRightInd w:val="0"/>
        <w:snapToGrid w:val="0"/>
        <w:spacing w:line="560" w:lineRule="exact"/>
        <w:ind w:firstLine="480" w:firstLineChars="200"/>
        <w:jc w:val="left"/>
        <w:rPr>
          <w:rFonts w:ascii="等线" w:hAnsi="等线" w:eastAsia="等线"/>
          <w:sz w:val="24"/>
        </w:rPr>
      </w:pPr>
      <w:r>
        <w:rPr>
          <w:rFonts w:hint="eastAsia" w:ascii="等线" w:hAnsi="等线" w:eastAsia="等线"/>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等线" w:hAnsi="等线" w:eastAsia="等线"/>
          <w:sz w:val="24"/>
        </w:rPr>
      </w:pPr>
      <w:r>
        <w:rPr>
          <w:rFonts w:hint="eastAsia" w:ascii="等线" w:hAnsi="等线" w:eastAsia="等线"/>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等线" w:hAnsi="等线" w:eastAsia="等线"/>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widowControl w:val="0"/>
              <w:adjustRightInd w:val="0"/>
              <w:snapToGrid w:val="0"/>
              <w:spacing w:line="560" w:lineRule="exact"/>
              <w:jc w:val="both"/>
              <w:textAlignment w:val="baseline"/>
              <w:rPr>
                <w:rFonts w:ascii="等线" w:hAnsi="等线" w:eastAsia="等线"/>
                <w:sz w:val="24"/>
              </w:rPr>
            </w:pPr>
            <w:r>
              <w:rPr>
                <w:rFonts w:hint="eastAsia" w:ascii="等线" w:hAnsi="等线" w:eastAsia="等线"/>
                <w:sz w:val="24"/>
              </w:rPr>
              <w:t>甲方：</w:t>
            </w:r>
          </w:p>
          <w:p>
            <w:pPr>
              <w:widowControl w:val="0"/>
              <w:adjustRightInd w:val="0"/>
              <w:snapToGrid w:val="0"/>
              <w:spacing w:line="560" w:lineRule="exact"/>
              <w:jc w:val="both"/>
              <w:textAlignment w:val="baseline"/>
              <w:rPr>
                <w:rFonts w:ascii="等线" w:hAnsi="等线" w:eastAsia="等线"/>
                <w:sz w:val="24"/>
              </w:rPr>
            </w:pPr>
            <w:r>
              <w:rPr>
                <w:rFonts w:hint="eastAsia" w:ascii="等线" w:hAnsi="等线" w:eastAsia="等线"/>
                <w:sz w:val="24"/>
              </w:rPr>
              <w:t>签约代表：</w:t>
            </w:r>
          </w:p>
          <w:p>
            <w:pPr>
              <w:widowControl w:val="0"/>
              <w:adjustRightInd w:val="0"/>
              <w:snapToGrid w:val="0"/>
              <w:spacing w:line="560" w:lineRule="exact"/>
              <w:jc w:val="both"/>
              <w:textAlignment w:val="baseline"/>
              <w:rPr>
                <w:rFonts w:ascii="等线" w:hAnsi="等线" w:eastAsia="等线"/>
                <w:sz w:val="24"/>
              </w:rPr>
            </w:pPr>
            <w:r>
              <w:rPr>
                <w:rFonts w:hint="eastAsia" w:ascii="等线" w:hAnsi="等线" w:eastAsia="等线"/>
                <w:sz w:val="24"/>
              </w:rPr>
              <w:t>联系电话：</w:t>
            </w:r>
          </w:p>
          <w:p>
            <w:pPr>
              <w:widowControl w:val="0"/>
              <w:adjustRightInd w:val="0"/>
              <w:snapToGrid w:val="0"/>
              <w:spacing w:line="560" w:lineRule="exact"/>
              <w:ind w:firstLine="240" w:firstLineChars="100"/>
              <w:jc w:val="right"/>
              <w:textAlignment w:val="baseline"/>
              <w:rPr>
                <w:rFonts w:ascii="等线" w:hAnsi="等线" w:eastAsia="等线"/>
                <w:sz w:val="24"/>
              </w:rPr>
            </w:pPr>
            <w:r>
              <w:rPr>
                <w:rFonts w:hint="eastAsia" w:ascii="等线" w:hAnsi="等线" w:eastAsia="等线"/>
                <w:sz w:val="24"/>
              </w:rPr>
              <w:t>年</w:t>
            </w:r>
            <w:r>
              <w:rPr>
                <w:rFonts w:ascii="等线" w:hAnsi="等线" w:eastAsia="等线"/>
                <w:sz w:val="24"/>
              </w:rPr>
              <w:t xml:space="preserve">    </w:t>
            </w:r>
            <w:r>
              <w:rPr>
                <w:rFonts w:hint="eastAsia" w:ascii="等线" w:hAnsi="等线" w:eastAsia="等线"/>
                <w:sz w:val="24"/>
              </w:rPr>
              <w:t>月</w:t>
            </w:r>
            <w:r>
              <w:rPr>
                <w:rFonts w:ascii="等线" w:hAnsi="等线" w:eastAsia="等线"/>
                <w:sz w:val="24"/>
              </w:rPr>
              <w:t xml:space="preserve">    </w:t>
            </w:r>
            <w:r>
              <w:rPr>
                <w:rFonts w:hint="eastAsia" w:ascii="等线" w:hAnsi="等线" w:eastAsia="等线"/>
                <w:sz w:val="24"/>
              </w:rPr>
              <w:t>日</w:t>
            </w:r>
          </w:p>
        </w:tc>
        <w:tc>
          <w:tcPr>
            <w:tcW w:w="4474" w:type="dxa"/>
            <w:noWrap w:val="0"/>
            <w:vAlign w:val="top"/>
          </w:tcPr>
          <w:p>
            <w:pPr>
              <w:widowControl w:val="0"/>
              <w:adjustRightInd w:val="0"/>
              <w:snapToGrid w:val="0"/>
              <w:spacing w:line="560" w:lineRule="exact"/>
              <w:jc w:val="both"/>
              <w:textAlignment w:val="baseline"/>
              <w:rPr>
                <w:rFonts w:ascii="等线" w:hAnsi="等线" w:eastAsia="等线"/>
                <w:sz w:val="24"/>
              </w:rPr>
            </w:pPr>
            <w:r>
              <w:rPr>
                <w:rFonts w:hint="eastAsia" w:ascii="等线" w:hAnsi="等线" w:eastAsia="等线"/>
                <w:sz w:val="24"/>
              </w:rPr>
              <w:t>乙方：</w:t>
            </w:r>
          </w:p>
          <w:p>
            <w:pPr>
              <w:widowControl w:val="0"/>
              <w:adjustRightInd w:val="0"/>
              <w:snapToGrid w:val="0"/>
              <w:spacing w:line="560" w:lineRule="exact"/>
              <w:jc w:val="both"/>
              <w:textAlignment w:val="baseline"/>
              <w:rPr>
                <w:rFonts w:ascii="等线" w:hAnsi="等线" w:eastAsia="等线"/>
                <w:sz w:val="24"/>
              </w:rPr>
            </w:pPr>
            <w:r>
              <w:rPr>
                <w:rFonts w:hint="eastAsia" w:ascii="等线" w:hAnsi="等线" w:eastAsia="等线"/>
                <w:sz w:val="24"/>
              </w:rPr>
              <w:t>签约代表：</w:t>
            </w:r>
          </w:p>
          <w:p>
            <w:pPr>
              <w:widowControl w:val="0"/>
              <w:adjustRightInd w:val="0"/>
              <w:snapToGrid w:val="0"/>
              <w:spacing w:line="560" w:lineRule="exact"/>
              <w:jc w:val="both"/>
              <w:textAlignment w:val="baseline"/>
              <w:rPr>
                <w:rFonts w:ascii="等线" w:hAnsi="等线" w:eastAsia="等线"/>
                <w:sz w:val="24"/>
              </w:rPr>
            </w:pPr>
            <w:r>
              <w:rPr>
                <w:rFonts w:hint="eastAsia" w:ascii="等线" w:hAnsi="等线" w:eastAsia="等线"/>
                <w:sz w:val="24"/>
              </w:rPr>
              <w:t>联系电话：</w:t>
            </w:r>
          </w:p>
          <w:p>
            <w:pPr>
              <w:widowControl w:val="0"/>
              <w:adjustRightInd w:val="0"/>
              <w:snapToGrid w:val="0"/>
              <w:spacing w:line="560" w:lineRule="exact"/>
              <w:jc w:val="right"/>
              <w:textAlignment w:val="baseline"/>
              <w:rPr>
                <w:rFonts w:ascii="等线" w:hAnsi="等线" w:eastAsia="等线"/>
                <w:sz w:val="24"/>
              </w:rPr>
            </w:pPr>
            <w:r>
              <w:rPr>
                <w:rFonts w:hint="eastAsia" w:ascii="等线" w:hAnsi="等线" w:eastAsia="等线"/>
                <w:sz w:val="24"/>
              </w:rPr>
              <w:t>年</w:t>
            </w:r>
            <w:r>
              <w:rPr>
                <w:rFonts w:ascii="等线" w:hAnsi="等线" w:eastAsia="等线"/>
                <w:sz w:val="24"/>
              </w:rPr>
              <w:t xml:space="preserve">    </w:t>
            </w:r>
            <w:r>
              <w:rPr>
                <w:rFonts w:hint="eastAsia" w:ascii="等线" w:hAnsi="等线" w:eastAsia="等线"/>
                <w:sz w:val="24"/>
              </w:rPr>
              <w:t>月</w:t>
            </w:r>
            <w:r>
              <w:rPr>
                <w:rFonts w:ascii="等线" w:hAnsi="等线" w:eastAsia="等线"/>
                <w:sz w:val="24"/>
              </w:rPr>
              <w:t xml:space="preserve">    </w:t>
            </w:r>
            <w:r>
              <w:rPr>
                <w:rFonts w:hint="eastAsia" w:ascii="等线" w:hAnsi="等线" w:eastAsia="等线"/>
                <w:sz w:val="24"/>
              </w:rPr>
              <w:t>日</w:t>
            </w:r>
          </w:p>
        </w:tc>
      </w:tr>
    </w:tbl>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b/>
          <w:sz w:val="24"/>
          <w:szCs w:val="24"/>
        </w:rPr>
      </w:pPr>
      <w:r>
        <w:rPr>
          <w:rFonts w:hint="eastAsia" w:ascii="宋体" w:hAnsi="宋体" w:cs="宋体"/>
          <w:b/>
          <w:bCs/>
          <w:color w:val="auto"/>
          <w:szCs w:val="21"/>
        </w:rPr>
        <w:t>附件</w:t>
      </w:r>
      <w:r>
        <w:rPr>
          <w:rFonts w:hint="eastAsia" w:ascii="宋体" w:hAnsi="宋体" w:cs="宋体"/>
          <w:b/>
          <w:bCs/>
          <w:color w:val="auto"/>
          <w:szCs w:val="21"/>
          <w:lang w:val="en-US" w:eastAsia="zh-CN"/>
        </w:rPr>
        <w:t xml:space="preserve">7                              </w:t>
      </w:r>
      <w:r>
        <w:rPr>
          <w:rFonts w:hint="eastAsia" w:ascii="宋体" w:hAnsi="宋体"/>
          <w:b/>
          <w:sz w:val="24"/>
          <w:szCs w:val="24"/>
        </w:rPr>
        <w:t>履约保函模板</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sz w:val="24"/>
          <w:szCs w:val="24"/>
        </w:rPr>
      </w:pPr>
      <w:r>
        <w:rPr>
          <w:rFonts w:hint="eastAsia" w:ascii="宋体" w:hAnsi="宋体"/>
          <w:sz w:val="24"/>
          <w:szCs w:val="24"/>
        </w:rPr>
        <w:t>致：</w:t>
      </w:r>
      <w:r>
        <w:rPr>
          <w:rFonts w:hint="eastAsia" w:ascii="宋体" w:hAnsi="宋体"/>
          <w:sz w:val="24"/>
          <w:szCs w:val="24"/>
          <w:u w:val="single"/>
        </w:rPr>
        <w:t xml:space="preserve">               （受益人）</w:t>
      </w:r>
      <w:r>
        <w:rPr>
          <w:rFonts w:ascii="宋体" w:hAnsi="宋体"/>
          <w:sz w:val="24"/>
          <w:szCs w:val="24"/>
        </w:rPr>
        <w:br w:type="textWrapping"/>
      </w: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ascii="宋体" w:hAnsi="宋体"/>
          <w:sz w:val="24"/>
          <w:szCs w:val="24"/>
        </w:rPr>
      </w:pPr>
      <w:r>
        <w:rPr>
          <w:rFonts w:hint="eastAsia" w:ascii="宋体" w:hAnsi="宋体"/>
          <w:sz w:val="24"/>
          <w:szCs w:val="24"/>
        </w:rPr>
        <w:t>鉴于</w:t>
      </w:r>
      <w:r>
        <w:rPr>
          <w:rFonts w:hint="eastAsia" w:ascii="宋体" w:hAnsi="宋体"/>
          <w:sz w:val="24"/>
          <w:szCs w:val="24"/>
          <w:u w:val="single"/>
        </w:rPr>
        <w:t xml:space="preserve">           </w:t>
      </w:r>
      <w:r>
        <w:rPr>
          <w:rFonts w:hint="eastAsia" w:ascii="宋体" w:hAnsi="宋体"/>
          <w:sz w:val="24"/>
          <w:szCs w:val="24"/>
        </w:rPr>
        <w:t>（以下简称“委托人”）与贵方于</w:t>
      </w:r>
      <w:r>
        <w:rPr>
          <w:rFonts w:hint="eastAsia" w:ascii="宋体" w:hAnsi="宋体"/>
          <w:sz w:val="24"/>
          <w:szCs w:val="24"/>
          <w:u w:val="single"/>
        </w:rPr>
        <w:t xml:space="preserve">   年  月  日</w:t>
      </w:r>
      <w:r>
        <w:rPr>
          <w:rFonts w:hint="eastAsia" w:ascii="宋体" w:hAnsi="宋体"/>
          <w:sz w:val="24"/>
          <w:szCs w:val="24"/>
        </w:rPr>
        <w:t>签订了</w:t>
      </w:r>
      <w:r>
        <w:rPr>
          <w:rFonts w:hint="eastAsia" w:ascii="宋体" w:hAnsi="宋体"/>
          <w:sz w:val="24"/>
          <w:szCs w:val="24"/>
          <w:u w:val="single"/>
        </w:rPr>
        <w:t xml:space="preserve">                     </w:t>
      </w:r>
      <w:r>
        <w:rPr>
          <w:rFonts w:hint="eastAsia" w:ascii="宋体" w:hAnsi="宋体"/>
          <w:sz w:val="24"/>
          <w:szCs w:val="24"/>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一、我行保证在收到贵单位于保函有效期内送达的依本保函约定的索赔申请后，在个</w:t>
      </w:r>
      <w:r>
        <w:rPr>
          <w:rFonts w:hint="eastAsia" w:ascii="宋体" w:hAnsi="宋体"/>
          <w:sz w:val="24"/>
          <w:szCs w:val="24"/>
          <w:u w:val="single"/>
        </w:rPr>
        <w:t xml:space="preserve">  </w:t>
      </w:r>
      <w:r>
        <w:rPr>
          <w:rFonts w:hint="eastAsia" w:ascii="宋体" w:hAnsi="宋体"/>
          <w:sz w:val="24"/>
          <w:szCs w:val="24"/>
        </w:rPr>
        <w:t>工作日内无条件和不可改变地向贵单位支付最高金额不超过人民币元</w:t>
      </w:r>
      <w:r>
        <w:rPr>
          <w:rFonts w:hint="eastAsia" w:ascii="宋体" w:hAnsi="宋体"/>
          <w:sz w:val="24"/>
          <w:szCs w:val="24"/>
          <w:u w:val="single"/>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 xml:space="preserve"> ）的履约保证金，并放弃向你方提出任何异议和追索的权利。</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二、贵单位的索赔申请应符合下述条件：</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（一）贵单位法定代表人或其授权代表签字并加盖单位公章；</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（二）在保函有效期内送达我行；</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（三）明确的索赔金额（不得超过本保函第一条所列之限额）。</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三、本保函自签发之日起生效，有效期至</w:t>
      </w:r>
      <w:r>
        <w:rPr>
          <w:rFonts w:hint="eastAsia" w:ascii="宋体" w:hAnsi="宋体"/>
          <w:sz w:val="24"/>
          <w:szCs w:val="24"/>
          <w:u w:val="single"/>
        </w:rPr>
        <w:t xml:space="preserve">  年  月  日</w:t>
      </w:r>
      <w:r>
        <w:rPr>
          <w:rFonts w:hint="eastAsia" w:ascii="宋体" w:hAnsi="宋体"/>
          <w:sz w:val="24"/>
          <w:szCs w:val="24"/>
        </w:rPr>
        <w:t>。本保函于下述任一事项发生之时立即失效，我行在本保函项下的保证义务即刻解除：</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（一）本保函有效期限届满；</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（二）我行保证的义务履行完毕。</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五、我行向你方支付索赔金额后，本保函担保金额即按贵方通知的索赔金额予以递减。</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六、保函失效后请将保函退回我行注销，无论正本最终退回与否，不影响本保函依上述约定自动失效。</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 xml:space="preserve">                                                    落款</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sz w:val="24"/>
          <w:szCs w:val="24"/>
        </w:rPr>
      </w:pPr>
      <w:r>
        <w:rPr>
          <w:rFonts w:hint="eastAsia" w:ascii="宋体" w:hAnsi="宋体"/>
          <w:sz w:val="24"/>
          <w:szCs w:val="24"/>
        </w:rPr>
        <w:t>保函说明：</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保函不得有下列或类似含义的表述：</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1.银行承担的为连带责任保证、一般保证。</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2.未经银行书面同意，受益人与申请人修改合同或其项下附件时，银行的保证义务解除。</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3.合同撤销或无效的，保函失效。</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4.申请人对受益人的抗辩，银行有权向受益人主张。</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sz w:val="24"/>
          <w:szCs w:val="24"/>
        </w:rPr>
      </w:pPr>
      <w:r>
        <w:rPr>
          <w:rFonts w:hint="eastAsia" w:ascii="宋体" w:hAnsi="宋体" w:cs="仿宋_GB2312"/>
          <w:sz w:val="24"/>
          <w:szCs w:val="24"/>
        </w:rPr>
        <w:t>5.受益人请求付款的请款单据包含法院裁判文书、仲裁裁决、第三方单位出具的鉴定书等申请人违约的证明材料。</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4"/>
        <w:rPr>
          <w:color w:val="auto"/>
          <w:highlight w:val="none"/>
        </w:rPr>
      </w:pPr>
      <w:bookmarkStart w:id="139" w:name="_Toc21847"/>
      <w:bookmarkStart w:id="140" w:name="_Toc6230"/>
      <w:bookmarkStart w:id="141" w:name="_Toc12169"/>
      <w:bookmarkStart w:id="142" w:name="_Toc23515"/>
      <w:bookmarkStart w:id="143" w:name="_Toc5129"/>
      <w:bookmarkStart w:id="144" w:name="_Toc30824"/>
      <w:bookmarkStart w:id="145" w:name="_Toc1563"/>
      <w:bookmarkStart w:id="146" w:name="_Toc3723"/>
      <w:bookmarkStart w:id="147" w:name="_Toc28358"/>
      <w:bookmarkStart w:id="148" w:name="_Toc16552"/>
      <w:bookmarkStart w:id="149" w:name="_Toc8147"/>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139"/>
      <w:bookmarkEnd w:id="140"/>
      <w:bookmarkEnd w:id="141"/>
      <w:bookmarkEnd w:id="142"/>
      <w:bookmarkEnd w:id="143"/>
      <w:bookmarkEnd w:id="144"/>
      <w:bookmarkEnd w:id="145"/>
      <w:bookmarkEnd w:id="146"/>
      <w:bookmarkEnd w:id="147"/>
      <w:bookmarkEnd w:id="148"/>
      <w:bookmarkEnd w:id="149"/>
    </w:p>
    <w:p>
      <w:pPr>
        <w:pStyle w:val="35"/>
        <w:rPr>
          <w:color w:val="auto"/>
          <w:highlight w:val="none"/>
        </w:rPr>
      </w:pPr>
    </w:p>
    <w:p>
      <w:pPr>
        <w:pStyle w:val="4"/>
        <w:rPr>
          <w:color w:val="auto"/>
          <w:highlight w:val="none"/>
        </w:rPr>
      </w:pPr>
      <w:bookmarkStart w:id="150" w:name="_Toc30157"/>
      <w:bookmarkStart w:id="151" w:name="_Toc12610"/>
      <w:bookmarkStart w:id="152" w:name="_Toc24490"/>
      <w:bookmarkStart w:id="153" w:name="_Toc31564"/>
      <w:bookmarkStart w:id="154" w:name="_Toc17119"/>
      <w:bookmarkStart w:id="155" w:name="_Toc22764"/>
      <w:bookmarkStart w:id="156" w:name="_Toc10840"/>
      <w:bookmarkStart w:id="157" w:name="_Toc87616388"/>
      <w:bookmarkStart w:id="158" w:name="_Toc24815"/>
      <w:bookmarkStart w:id="159" w:name="_Toc88209951"/>
      <w:bookmarkStart w:id="160" w:name="_Toc21675"/>
      <w:bookmarkStart w:id="161" w:name="_Toc5342"/>
      <w:bookmarkStart w:id="162" w:name="_Toc12769"/>
      <w:r>
        <w:rPr>
          <w:rFonts w:hint="eastAsia"/>
          <w:color w:val="auto"/>
          <w:highlight w:val="none"/>
        </w:rPr>
        <w:t>响应文件</w:t>
      </w:r>
      <w:r>
        <w:rPr>
          <w:rFonts w:hint="eastAsia"/>
          <w:color w:val="auto"/>
          <w:highlight w:val="none"/>
          <w:lang w:val="en-US" w:eastAsia="zh-CN"/>
        </w:rPr>
        <w:t>格式要求</w:t>
      </w:r>
      <w:bookmarkEnd w:id="150"/>
      <w:bookmarkEnd w:id="151"/>
      <w:bookmarkEnd w:id="152"/>
      <w:bookmarkEnd w:id="153"/>
      <w:bookmarkEnd w:id="154"/>
      <w:bookmarkEnd w:id="155"/>
      <w:bookmarkEnd w:id="156"/>
      <w:bookmarkEnd w:id="157"/>
      <w:bookmarkEnd w:id="158"/>
      <w:bookmarkEnd w:id="159"/>
      <w:bookmarkEnd w:id="160"/>
      <w:bookmarkEnd w:id="161"/>
      <w:bookmarkEnd w:id="16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63" w:name="_Toc87616389"/>
      <w:bookmarkStart w:id="164" w:name="_Toc88209952"/>
      <w:r>
        <w:rPr>
          <w:rFonts w:hint="eastAsia" w:ascii="仿宋_GB2312" w:eastAsia="仿宋_GB2312"/>
          <w:color w:val="auto"/>
          <w:sz w:val="28"/>
          <w:szCs w:val="28"/>
          <w:highlight w:val="none"/>
        </w:rPr>
        <w:t>1.响应函</w:t>
      </w:r>
      <w:bookmarkEnd w:id="163"/>
      <w:bookmarkEnd w:id="164"/>
    </w:p>
    <w:p>
      <w:pPr>
        <w:spacing w:line="600" w:lineRule="exact"/>
        <w:rPr>
          <w:rFonts w:hint="eastAsia" w:ascii="仿宋_GB2312" w:eastAsia="仿宋_GB2312"/>
          <w:color w:val="auto"/>
          <w:sz w:val="28"/>
          <w:szCs w:val="28"/>
          <w:highlight w:val="none"/>
        </w:rPr>
      </w:pPr>
      <w:bookmarkStart w:id="165" w:name="_Toc88209953"/>
      <w:bookmarkStart w:id="166" w:name="_Toc87616390"/>
      <w:r>
        <w:rPr>
          <w:rFonts w:hint="eastAsia" w:ascii="仿宋_GB2312" w:eastAsia="仿宋_GB2312"/>
          <w:color w:val="auto"/>
          <w:sz w:val="28"/>
          <w:szCs w:val="28"/>
          <w:highlight w:val="none"/>
        </w:rPr>
        <w:t>2.法定代表人证明或授权委托书</w:t>
      </w:r>
      <w:bookmarkEnd w:id="165"/>
      <w:bookmarkEnd w:id="166"/>
      <w:bookmarkStart w:id="167" w:name="_Toc88209956"/>
      <w:bookmarkStart w:id="168"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67"/>
      <w:bookmarkEnd w:id="168"/>
      <w:r>
        <w:rPr>
          <w:rFonts w:hint="eastAsia" w:ascii="仿宋_GB2312" w:eastAsia="仿宋_GB2312"/>
          <w:color w:val="auto"/>
          <w:sz w:val="28"/>
          <w:szCs w:val="28"/>
          <w:highlight w:val="none"/>
        </w:rPr>
        <w:cr/>
      </w: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69" w:name="_Toc12665"/>
      <w:bookmarkStart w:id="170" w:name="_Toc6313"/>
      <w:bookmarkStart w:id="171" w:name="_Toc28619645"/>
      <w:bookmarkStart w:id="172" w:name="_Toc88209957"/>
      <w:bookmarkStart w:id="173" w:name="_Toc87616394"/>
      <w:r>
        <w:rPr>
          <w:rFonts w:hint="eastAsia" w:asciiTheme="minorEastAsia" w:hAnsiTheme="minorEastAsia" w:eastAsiaTheme="minorEastAsia"/>
          <w:color w:val="auto"/>
          <w:sz w:val="28"/>
          <w:szCs w:val="28"/>
          <w:highlight w:val="none"/>
        </w:rPr>
        <w:t>1.响应函</w:t>
      </w:r>
      <w:bookmarkEnd w:id="169"/>
      <w:bookmarkEnd w:id="170"/>
      <w:bookmarkEnd w:id="171"/>
      <w:bookmarkEnd w:id="172"/>
      <w:bookmarkEnd w:id="17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74" w:name="_Toc88209958"/>
      <w:bookmarkStart w:id="175" w:name="_Toc22527"/>
      <w:bookmarkStart w:id="176" w:name="_Toc29833"/>
      <w:bookmarkStart w:id="177"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74"/>
      <w:bookmarkEnd w:id="175"/>
      <w:bookmarkEnd w:id="176"/>
      <w:bookmarkEnd w:id="177"/>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78" w:name="_Toc88209963"/>
      <w:bookmarkStart w:id="179" w:name="_Toc87616400"/>
      <w:bookmarkStart w:id="180" w:name="_Toc19830"/>
      <w:bookmarkStart w:id="181"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78"/>
      <w:bookmarkEnd w:id="179"/>
      <w:bookmarkEnd w:id="180"/>
      <w:bookmarkEnd w:id="18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82"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82"/>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我方郑重承诺，在参与广州市净水有限公司大坦沙分公司2022年二期内回流泵</w:t>
      </w:r>
      <w:r>
        <w:rPr>
          <w:rFonts w:hint="eastAsia" w:ascii="宋体" w:hAnsi="宋体" w:eastAsia="宋体" w:cs="宋体"/>
          <w:color w:val="auto"/>
          <w:kern w:val="2"/>
          <w:sz w:val="24"/>
          <w:szCs w:val="24"/>
          <w:highlight w:val="none"/>
          <w:lang w:val="en-GB" w:eastAsia="zh-CN"/>
        </w:rPr>
        <w:t>购置项目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w:t>
      </w:r>
      <w:r>
        <w:rPr>
          <w:rFonts w:hint="eastAsia" w:ascii="宋体" w:hAnsi="宋体" w:cs="宋体"/>
          <w:color w:val="auto"/>
          <w:sz w:val="24"/>
          <w:szCs w:val="24"/>
          <w:highlight w:val="none"/>
          <w:lang w:val="en-GB" w:eastAsia="zh-CN"/>
        </w:rPr>
        <w:t>报价</w:t>
      </w:r>
      <w:r>
        <w:rPr>
          <w:rFonts w:hint="eastAsia" w:ascii="宋体" w:hAnsi="宋体" w:cs="宋体" w:eastAsiaTheme="minorEastAsia"/>
          <w:color w:val="auto"/>
          <w:sz w:val="24"/>
          <w:szCs w:val="24"/>
          <w:highlight w:val="none"/>
          <w:lang w:val="en-GB"/>
        </w:rPr>
        <w:t>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hint="default" w:asciiTheme="minorEastAsia" w:hAnsiTheme="minorEastAsia" w:eastAsiaTheme="minorEastAsia"/>
          <w:color w:val="auto"/>
          <w:sz w:val="28"/>
          <w:szCs w:val="28"/>
          <w:highlight w:val="none"/>
        </w:rPr>
      </w:pPr>
      <w:bookmarkStart w:id="183" w:name="_Toc32430"/>
      <w:bookmarkStart w:id="184"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83"/>
      <w:bookmarkEnd w:id="184"/>
    </w:p>
    <w:tbl>
      <w:tblPr>
        <w:tblStyle w:val="22"/>
        <w:tblpPr w:leftFromText="180" w:rightFromText="180" w:vertAnchor="text" w:horzAnchor="page" w:tblpXSpec="center" w:tblpY="1351"/>
        <w:tblOverlap w:val="never"/>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3"/>
        <w:gridCol w:w="978"/>
        <w:gridCol w:w="566"/>
        <w:gridCol w:w="1306"/>
        <w:gridCol w:w="795"/>
        <w:gridCol w:w="568"/>
        <w:gridCol w:w="848"/>
        <w:gridCol w:w="859"/>
        <w:gridCol w:w="983"/>
        <w:gridCol w:w="807"/>
        <w:gridCol w:w="3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476"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报价单位</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319"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品牌</w:t>
            </w:r>
          </w:p>
        </w:tc>
        <w:tc>
          <w:tcPr>
            <w:tcW w:w="736"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型号</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962"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单价（元）</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金额（元）</w:t>
            </w:r>
          </w:p>
        </w:tc>
        <w:tc>
          <w:tcPr>
            <w:tcW w:w="175"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7" w:hRule="atLeast"/>
          <w:jc w:val="center"/>
        </w:trPr>
        <w:tc>
          <w:tcPr>
            <w:tcW w:w="47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3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w:t>
            </w:r>
          </w:p>
        </w:tc>
        <w:tc>
          <w:tcPr>
            <w:tcW w:w="4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不含税</w:t>
            </w:r>
          </w:p>
        </w:tc>
        <w:tc>
          <w:tcPr>
            <w:tcW w:w="5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不含税</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4"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p>
        </w:tc>
        <w:tc>
          <w:tcPr>
            <w:tcW w:w="55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仿宋" w:hAnsi="仿宋" w:eastAsia="仿宋" w:cs="仿宋"/>
                <w:b w:val="0"/>
                <w:bCs/>
                <w:i w:val="0"/>
                <w:color w:val="000000"/>
                <w:sz w:val="24"/>
                <w:szCs w:val="24"/>
                <w:highlight w:val="none"/>
                <w:u w:val="none"/>
                <w:lang w:val="en-US" w:eastAsia="zh-CN"/>
              </w:rPr>
              <w:t>大坦沙分公司二期内回流泵</w:t>
            </w:r>
          </w:p>
        </w:tc>
        <w:tc>
          <w:tcPr>
            <w:tcW w:w="31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EIM</w:t>
            </w:r>
          </w:p>
        </w:tc>
        <w:tc>
          <w:tcPr>
            <w:tcW w:w="73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台</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w:t>
            </w:r>
          </w:p>
        </w:tc>
        <w:tc>
          <w:tcPr>
            <w:tcW w:w="47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p>
        </w:tc>
        <w:tc>
          <w:tcPr>
            <w:tcW w:w="1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4523" w:type="pct"/>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Style w:val="46"/>
                <w:lang w:val="en-US" w:eastAsia="zh-CN" w:bidi="ar"/>
              </w:rPr>
              <w:t>含税总价（元）：</w:t>
            </w:r>
            <w:r>
              <w:rPr>
                <w:rStyle w:val="46"/>
                <w:rFonts w:hint="eastAsia"/>
                <w:lang w:val="en-US" w:eastAsia="zh-CN" w:bidi="ar"/>
              </w:rPr>
              <w:t xml:space="preserve">      </w:t>
            </w:r>
            <w:r>
              <w:rPr>
                <w:rStyle w:val="46"/>
                <w:lang w:val="en-US" w:eastAsia="zh-CN" w:bidi="ar"/>
              </w:rPr>
              <w:t>；    税率：</w:t>
            </w:r>
            <w:r>
              <w:rPr>
                <w:rStyle w:val="47"/>
                <w:lang w:val="en-US" w:eastAsia="zh-CN" w:bidi="ar"/>
              </w:rPr>
              <w:t xml:space="preserve">  </w:t>
            </w:r>
            <w:r>
              <w:rPr>
                <w:rStyle w:val="47"/>
                <w:rFonts w:hint="eastAsia"/>
                <w:lang w:val="en-US" w:eastAsia="zh-CN" w:bidi="ar"/>
              </w:rPr>
              <w:t xml:space="preserve">   </w:t>
            </w:r>
            <w:r>
              <w:rPr>
                <w:rStyle w:val="47"/>
                <w:lang w:val="en-US" w:eastAsia="zh-CN" w:bidi="ar"/>
              </w:rPr>
              <w:t xml:space="preserve">  </w:t>
            </w:r>
            <w:r>
              <w:rPr>
                <w:rStyle w:val="46"/>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8"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备注</w:t>
            </w:r>
          </w:p>
        </w:tc>
        <w:tc>
          <w:tcPr>
            <w:tcW w:w="4523" w:type="pct"/>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Style w:val="46"/>
                <w:lang w:val="en-US" w:eastAsia="zh-CN" w:bidi="ar"/>
              </w:rPr>
            </w:pPr>
            <w:r>
              <w:rPr>
                <w:rFonts w:hint="eastAsia" w:ascii="仿宋" w:hAnsi="仿宋" w:eastAsia="仿宋" w:cs="仿宋"/>
                <w:b w:val="0"/>
                <w:bCs/>
                <w:i w:val="0"/>
                <w:color w:val="000000"/>
                <w:sz w:val="24"/>
                <w:szCs w:val="24"/>
                <w:highlight w:val="none"/>
                <w:u w:val="none"/>
                <w:lang w:val="en-US" w:eastAsia="zh-CN"/>
              </w:rPr>
              <w:t>每台设备配套≥15米原厂跟机电缆及保证设备安全稳定运行的执行、保护套件等</w:t>
            </w:r>
          </w:p>
        </w:tc>
      </w:tr>
    </w:tbl>
    <w:p>
      <w:pPr>
        <w:pStyle w:val="6"/>
        <w:rPr>
          <w:rFonts w:asciiTheme="minorEastAsia" w:hAnsiTheme="minorEastAsia" w:eastAsiaTheme="minorEastAsia"/>
          <w:color w:val="auto"/>
          <w:sz w:val="28"/>
          <w:szCs w:val="28"/>
          <w:highlight w:val="cyan"/>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ind w:firstLine="0"/>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85" w:name="_Toc16386"/>
      <w:bookmarkStart w:id="186" w:name="_Toc87616402"/>
      <w:bookmarkStart w:id="187" w:name="_Toc6058"/>
      <w:bookmarkStart w:id="188"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85"/>
      <w:bookmarkEnd w:id="186"/>
      <w:bookmarkEnd w:id="187"/>
      <w:bookmarkEnd w:id="188"/>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5D32C3"/>
    <w:multiLevelType w:val="singleLevel"/>
    <w:tmpl w:val="705D32C3"/>
    <w:lvl w:ilvl="0" w:tentative="0">
      <w:start w:val="5"/>
      <w:numFmt w:val="decimal"/>
      <w:lvlText w:val="%1."/>
      <w:lvlJc w:val="left"/>
      <w:pPr>
        <w:tabs>
          <w:tab w:val="left" w:pos="312"/>
        </w:tabs>
      </w:pPr>
    </w:lvl>
  </w:abstractNum>
  <w:abstractNum w:abstractNumId="5">
    <w:nsid w:val="771C8F7B"/>
    <w:multiLevelType w:val="singleLevel"/>
    <w:tmpl w:val="771C8F7B"/>
    <w:lvl w:ilvl="0" w:tentative="0">
      <w:start w:val="4"/>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OTNkYTkwOTEzMTJlNzI1MTIxMGY4ZmYzMTNiNzEifQ=="/>
  </w:docVars>
  <w:rsids>
    <w:rsidRoot w:val="005D618A"/>
    <w:rsid w:val="003D60BA"/>
    <w:rsid w:val="00411689"/>
    <w:rsid w:val="005D618A"/>
    <w:rsid w:val="0087167F"/>
    <w:rsid w:val="00911ECD"/>
    <w:rsid w:val="00A042E0"/>
    <w:rsid w:val="00B26BB1"/>
    <w:rsid w:val="00B26E21"/>
    <w:rsid w:val="00F3729A"/>
    <w:rsid w:val="00F83B64"/>
    <w:rsid w:val="013C4DA6"/>
    <w:rsid w:val="013E3461"/>
    <w:rsid w:val="02090C75"/>
    <w:rsid w:val="02A23A3C"/>
    <w:rsid w:val="035D130A"/>
    <w:rsid w:val="0373376F"/>
    <w:rsid w:val="039110A9"/>
    <w:rsid w:val="03AC246A"/>
    <w:rsid w:val="03B23056"/>
    <w:rsid w:val="03DC3EBA"/>
    <w:rsid w:val="03F9794D"/>
    <w:rsid w:val="046A2461"/>
    <w:rsid w:val="04E127CF"/>
    <w:rsid w:val="051C2970"/>
    <w:rsid w:val="060C3611"/>
    <w:rsid w:val="06C64829"/>
    <w:rsid w:val="070E7B6E"/>
    <w:rsid w:val="077D16D2"/>
    <w:rsid w:val="082A69F3"/>
    <w:rsid w:val="08675FC8"/>
    <w:rsid w:val="09B713FD"/>
    <w:rsid w:val="09EF6ACC"/>
    <w:rsid w:val="0A315056"/>
    <w:rsid w:val="0AA213B4"/>
    <w:rsid w:val="0AF61C7E"/>
    <w:rsid w:val="0AFB45AD"/>
    <w:rsid w:val="0B351E9B"/>
    <w:rsid w:val="0B4C50D3"/>
    <w:rsid w:val="0B806B92"/>
    <w:rsid w:val="0B827E94"/>
    <w:rsid w:val="0B842F76"/>
    <w:rsid w:val="0BD070E1"/>
    <w:rsid w:val="0C247926"/>
    <w:rsid w:val="0D794204"/>
    <w:rsid w:val="0E2125D1"/>
    <w:rsid w:val="0E214211"/>
    <w:rsid w:val="0E5F2769"/>
    <w:rsid w:val="0F4D75A3"/>
    <w:rsid w:val="0F5B2DCA"/>
    <w:rsid w:val="0FED051E"/>
    <w:rsid w:val="0FEE4C29"/>
    <w:rsid w:val="10031608"/>
    <w:rsid w:val="10046082"/>
    <w:rsid w:val="104974DD"/>
    <w:rsid w:val="111703D2"/>
    <w:rsid w:val="112B101A"/>
    <w:rsid w:val="119B53FC"/>
    <w:rsid w:val="11DE1366"/>
    <w:rsid w:val="1215733B"/>
    <w:rsid w:val="12292DBF"/>
    <w:rsid w:val="12424CDC"/>
    <w:rsid w:val="129A2738"/>
    <w:rsid w:val="12B56BF1"/>
    <w:rsid w:val="12CB1A89"/>
    <w:rsid w:val="131840FB"/>
    <w:rsid w:val="13467417"/>
    <w:rsid w:val="135E44C2"/>
    <w:rsid w:val="136E76CF"/>
    <w:rsid w:val="1375539F"/>
    <w:rsid w:val="145F08C6"/>
    <w:rsid w:val="15776308"/>
    <w:rsid w:val="15BC6B3C"/>
    <w:rsid w:val="16360A7B"/>
    <w:rsid w:val="164D40B0"/>
    <w:rsid w:val="1694429A"/>
    <w:rsid w:val="17635326"/>
    <w:rsid w:val="17B00777"/>
    <w:rsid w:val="17B803EA"/>
    <w:rsid w:val="1815096B"/>
    <w:rsid w:val="18236EFD"/>
    <w:rsid w:val="189D5B1F"/>
    <w:rsid w:val="18A34CD0"/>
    <w:rsid w:val="193A5F83"/>
    <w:rsid w:val="19A53EA8"/>
    <w:rsid w:val="19B64DBC"/>
    <w:rsid w:val="19EC6A4A"/>
    <w:rsid w:val="1A373ACF"/>
    <w:rsid w:val="1A895341"/>
    <w:rsid w:val="1B0D071F"/>
    <w:rsid w:val="1B4568CE"/>
    <w:rsid w:val="1B9015B7"/>
    <w:rsid w:val="1B950DA6"/>
    <w:rsid w:val="1BF54245"/>
    <w:rsid w:val="1D0E6976"/>
    <w:rsid w:val="1D5A79EE"/>
    <w:rsid w:val="1DF95FC5"/>
    <w:rsid w:val="1E0E2CD0"/>
    <w:rsid w:val="1E831280"/>
    <w:rsid w:val="1EBC4704"/>
    <w:rsid w:val="1F172EB5"/>
    <w:rsid w:val="1F94592D"/>
    <w:rsid w:val="1FB860DE"/>
    <w:rsid w:val="203C5A02"/>
    <w:rsid w:val="209D4C94"/>
    <w:rsid w:val="20E84705"/>
    <w:rsid w:val="218400BA"/>
    <w:rsid w:val="21AB1E2F"/>
    <w:rsid w:val="21D40498"/>
    <w:rsid w:val="22767047"/>
    <w:rsid w:val="23A05588"/>
    <w:rsid w:val="240476A1"/>
    <w:rsid w:val="25431AEB"/>
    <w:rsid w:val="25BE3BFB"/>
    <w:rsid w:val="25BF43FD"/>
    <w:rsid w:val="25F86BCD"/>
    <w:rsid w:val="2605748B"/>
    <w:rsid w:val="264544A6"/>
    <w:rsid w:val="269E416A"/>
    <w:rsid w:val="26C11C6B"/>
    <w:rsid w:val="272100D3"/>
    <w:rsid w:val="272C72FC"/>
    <w:rsid w:val="275131CB"/>
    <w:rsid w:val="27EB149D"/>
    <w:rsid w:val="27FD3E52"/>
    <w:rsid w:val="28A43A71"/>
    <w:rsid w:val="28E11370"/>
    <w:rsid w:val="294A756A"/>
    <w:rsid w:val="29781BF8"/>
    <w:rsid w:val="29C33ED0"/>
    <w:rsid w:val="29D5322D"/>
    <w:rsid w:val="2A025DD9"/>
    <w:rsid w:val="2A2619CB"/>
    <w:rsid w:val="2A7C2231"/>
    <w:rsid w:val="2ABB753D"/>
    <w:rsid w:val="2ADE7BDB"/>
    <w:rsid w:val="2AFE6EC4"/>
    <w:rsid w:val="2B7A49FA"/>
    <w:rsid w:val="2C615D26"/>
    <w:rsid w:val="2CB679ED"/>
    <w:rsid w:val="2D173C07"/>
    <w:rsid w:val="2D424A86"/>
    <w:rsid w:val="2DDA66B7"/>
    <w:rsid w:val="2E7B52DB"/>
    <w:rsid w:val="2ED60115"/>
    <w:rsid w:val="2F324CFE"/>
    <w:rsid w:val="2FBA09F1"/>
    <w:rsid w:val="2FEF2ACF"/>
    <w:rsid w:val="30540211"/>
    <w:rsid w:val="31112A0D"/>
    <w:rsid w:val="311F4B20"/>
    <w:rsid w:val="312D7741"/>
    <w:rsid w:val="316F137F"/>
    <w:rsid w:val="31DF525F"/>
    <w:rsid w:val="31EC162B"/>
    <w:rsid w:val="32324C2E"/>
    <w:rsid w:val="327171DF"/>
    <w:rsid w:val="341E3434"/>
    <w:rsid w:val="34BB4442"/>
    <w:rsid w:val="360B7EBA"/>
    <w:rsid w:val="36416867"/>
    <w:rsid w:val="369C32FD"/>
    <w:rsid w:val="37666E72"/>
    <w:rsid w:val="37693078"/>
    <w:rsid w:val="38081EA3"/>
    <w:rsid w:val="38167A04"/>
    <w:rsid w:val="381C3783"/>
    <w:rsid w:val="394B167A"/>
    <w:rsid w:val="39DA2868"/>
    <w:rsid w:val="3A055F4B"/>
    <w:rsid w:val="3A4E4336"/>
    <w:rsid w:val="3A6007FE"/>
    <w:rsid w:val="3AF93D6C"/>
    <w:rsid w:val="3B7C2CE4"/>
    <w:rsid w:val="3BAF716B"/>
    <w:rsid w:val="3C0B5355"/>
    <w:rsid w:val="3CD4176B"/>
    <w:rsid w:val="3D1F44D9"/>
    <w:rsid w:val="3D5C38CD"/>
    <w:rsid w:val="3E5070F1"/>
    <w:rsid w:val="3EC370CB"/>
    <w:rsid w:val="3F6C3589"/>
    <w:rsid w:val="3F850180"/>
    <w:rsid w:val="3F9004D6"/>
    <w:rsid w:val="400E4D5E"/>
    <w:rsid w:val="40E1138C"/>
    <w:rsid w:val="413814BA"/>
    <w:rsid w:val="41872511"/>
    <w:rsid w:val="41DF1251"/>
    <w:rsid w:val="424236D9"/>
    <w:rsid w:val="42466655"/>
    <w:rsid w:val="42C82F57"/>
    <w:rsid w:val="42CA7517"/>
    <w:rsid w:val="435707E5"/>
    <w:rsid w:val="43C76AF7"/>
    <w:rsid w:val="43E97E4A"/>
    <w:rsid w:val="446828F0"/>
    <w:rsid w:val="45093E85"/>
    <w:rsid w:val="45C13B4D"/>
    <w:rsid w:val="46054BCA"/>
    <w:rsid w:val="46305825"/>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547ADD"/>
    <w:rsid w:val="49732351"/>
    <w:rsid w:val="498F4AF1"/>
    <w:rsid w:val="49C05787"/>
    <w:rsid w:val="49CF518D"/>
    <w:rsid w:val="4ADA1F63"/>
    <w:rsid w:val="4AE23D89"/>
    <w:rsid w:val="4B2038D0"/>
    <w:rsid w:val="4B296E7D"/>
    <w:rsid w:val="4B79394E"/>
    <w:rsid w:val="4B877F28"/>
    <w:rsid w:val="4BBF3187"/>
    <w:rsid w:val="4D5354AB"/>
    <w:rsid w:val="4D916BA6"/>
    <w:rsid w:val="4DC44169"/>
    <w:rsid w:val="4DE24E21"/>
    <w:rsid w:val="4E1B19A3"/>
    <w:rsid w:val="4E4059F1"/>
    <w:rsid w:val="4E48787F"/>
    <w:rsid w:val="4EF0709E"/>
    <w:rsid w:val="4F0469A4"/>
    <w:rsid w:val="50540C73"/>
    <w:rsid w:val="513C6A7B"/>
    <w:rsid w:val="532D486F"/>
    <w:rsid w:val="5333545B"/>
    <w:rsid w:val="538D0E89"/>
    <w:rsid w:val="5450213C"/>
    <w:rsid w:val="54C55026"/>
    <w:rsid w:val="54D24048"/>
    <w:rsid w:val="54D64CD5"/>
    <w:rsid w:val="55887D69"/>
    <w:rsid w:val="561A0928"/>
    <w:rsid w:val="56423872"/>
    <w:rsid w:val="569E06BC"/>
    <w:rsid w:val="56B279F0"/>
    <w:rsid w:val="56F20F86"/>
    <w:rsid w:val="579D710E"/>
    <w:rsid w:val="581F22F6"/>
    <w:rsid w:val="586E1E17"/>
    <w:rsid w:val="58862C35"/>
    <w:rsid w:val="58C14957"/>
    <w:rsid w:val="58CC23D2"/>
    <w:rsid w:val="58E66050"/>
    <w:rsid w:val="5AE83A50"/>
    <w:rsid w:val="5B353193"/>
    <w:rsid w:val="5BAB2917"/>
    <w:rsid w:val="5BFC33FA"/>
    <w:rsid w:val="5C3107A4"/>
    <w:rsid w:val="5C3B1B93"/>
    <w:rsid w:val="5C9220DF"/>
    <w:rsid w:val="5C9A1694"/>
    <w:rsid w:val="5D4A15F3"/>
    <w:rsid w:val="5D69542A"/>
    <w:rsid w:val="5D783B72"/>
    <w:rsid w:val="5D8056B1"/>
    <w:rsid w:val="5DBF52B0"/>
    <w:rsid w:val="5E0930EF"/>
    <w:rsid w:val="5E3D4D53"/>
    <w:rsid w:val="5E4717E6"/>
    <w:rsid w:val="5E55774C"/>
    <w:rsid w:val="5E8A70FF"/>
    <w:rsid w:val="60045F96"/>
    <w:rsid w:val="60104DDC"/>
    <w:rsid w:val="60283EA0"/>
    <w:rsid w:val="605C0804"/>
    <w:rsid w:val="6189617B"/>
    <w:rsid w:val="61B52BB6"/>
    <w:rsid w:val="61B749C2"/>
    <w:rsid w:val="62280D20"/>
    <w:rsid w:val="62CA2457"/>
    <w:rsid w:val="638240A1"/>
    <w:rsid w:val="63833423"/>
    <w:rsid w:val="63A5257B"/>
    <w:rsid w:val="63BD3DCC"/>
    <w:rsid w:val="63C61741"/>
    <w:rsid w:val="64560967"/>
    <w:rsid w:val="656B1D10"/>
    <w:rsid w:val="65B841F9"/>
    <w:rsid w:val="66022B28"/>
    <w:rsid w:val="664A38E2"/>
    <w:rsid w:val="66581E87"/>
    <w:rsid w:val="66FA11D5"/>
    <w:rsid w:val="674302C7"/>
    <w:rsid w:val="680A5986"/>
    <w:rsid w:val="680D5F4B"/>
    <w:rsid w:val="68113F51"/>
    <w:rsid w:val="68E94770"/>
    <w:rsid w:val="68F949C9"/>
    <w:rsid w:val="695A4290"/>
    <w:rsid w:val="6A334932"/>
    <w:rsid w:val="6A3353FF"/>
    <w:rsid w:val="6A5D63E6"/>
    <w:rsid w:val="6A5F24D1"/>
    <w:rsid w:val="6ACA70C4"/>
    <w:rsid w:val="6AE347EB"/>
    <w:rsid w:val="6B330365"/>
    <w:rsid w:val="6B434AF0"/>
    <w:rsid w:val="6B57675A"/>
    <w:rsid w:val="6B87098A"/>
    <w:rsid w:val="6BDD7B4D"/>
    <w:rsid w:val="6EBC0B3A"/>
    <w:rsid w:val="6EF51C7D"/>
    <w:rsid w:val="6F8363E5"/>
    <w:rsid w:val="6FA80CCD"/>
    <w:rsid w:val="6FAC3CC5"/>
    <w:rsid w:val="6FC746F5"/>
    <w:rsid w:val="70317AC6"/>
    <w:rsid w:val="704B26F7"/>
    <w:rsid w:val="70697B21"/>
    <w:rsid w:val="70863262"/>
    <w:rsid w:val="70A76ED3"/>
    <w:rsid w:val="71860B17"/>
    <w:rsid w:val="723B27CC"/>
    <w:rsid w:val="72687227"/>
    <w:rsid w:val="72A03FD9"/>
    <w:rsid w:val="72C837C6"/>
    <w:rsid w:val="73406CFF"/>
    <w:rsid w:val="7383028C"/>
    <w:rsid w:val="73A25E44"/>
    <w:rsid w:val="741F68CF"/>
    <w:rsid w:val="75252DF3"/>
    <w:rsid w:val="75621536"/>
    <w:rsid w:val="75BF3154"/>
    <w:rsid w:val="764A07CF"/>
    <w:rsid w:val="764F6B3D"/>
    <w:rsid w:val="76CD2B7B"/>
    <w:rsid w:val="76D80645"/>
    <w:rsid w:val="76E03371"/>
    <w:rsid w:val="77414451"/>
    <w:rsid w:val="780E5898"/>
    <w:rsid w:val="782642CC"/>
    <w:rsid w:val="786C427A"/>
    <w:rsid w:val="7894095E"/>
    <w:rsid w:val="78964555"/>
    <w:rsid w:val="78CF4963"/>
    <w:rsid w:val="79000679"/>
    <w:rsid w:val="791C0FE5"/>
    <w:rsid w:val="79277A4C"/>
    <w:rsid w:val="79A416F0"/>
    <w:rsid w:val="79B03EB6"/>
    <w:rsid w:val="79F43D21"/>
    <w:rsid w:val="7AE15A5C"/>
    <w:rsid w:val="7AF37579"/>
    <w:rsid w:val="7AF87F64"/>
    <w:rsid w:val="7B1C0C84"/>
    <w:rsid w:val="7B5A62DF"/>
    <w:rsid w:val="7B7A04A8"/>
    <w:rsid w:val="7C0C3F6D"/>
    <w:rsid w:val="7C22163C"/>
    <w:rsid w:val="7C457B4B"/>
    <w:rsid w:val="7C595075"/>
    <w:rsid w:val="7C5C25DB"/>
    <w:rsid w:val="7C6B07B2"/>
    <w:rsid w:val="7CE213AD"/>
    <w:rsid w:val="7D133243"/>
    <w:rsid w:val="7D945420"/>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6">
    <w:name w:val="font31"/>
    <w:basedOn w:val="24"/>
    <w:qFormat/>
    <w:uiPriority w:val="0"/>
    <w:rPr>
      <w:rFonts w:hint="eastAsia" w:ascii="仿宋" w:hAnsi="仿宋" w:eastAsia="仿宋" w:cs="仿宋"/>
      <w:color w:val="000000"/>
      <w:sz w:val="24"/>
      <w:szCs w:val="24"/>
      <w:u w:val="none"/>
    </w:rPr>
  </w:style>
  <w:style w:type="character" w:customStyle="1" w:styleId="47">
    <w:name w:val="font11"/>
    <w:basedOn w:val="24"/>
    <w:qFormat/>
    <w:uiPriority w:val="0"/>
    <w:rPr>
      <w:rFonts w:hint="eastAsia" w:ascii="仿宋" w:hAnsi="仿宋" w:eastAsia="仿宋" w:cs="仿宋"/>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21648</Words>
  <Characters>22549</Characters>
  <Lines>300</Lines>
  <Paragraphs>84</Paragraphs>
  <TotalTime>4</TotalTime>
  <ScaleCrop>false</ScaleCrop>
  <LinksUpToDate>false</LinksUpToDate>
  <CharactersWithSpaces>24955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林煜韩</cp:lastModifiedBy>
  <cp:lastPrinted>2022-08-19T03:49:00Z</cp:lastPrinted>
  <dcterms:modified xsi:type="dcterms:W3CDTF">2022-08-31T01:05:34Z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CAD3903ADE8246C88F4E0145A44B7459</vt:lpwstr>
  </property>
</Properties>
</file>