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从化公司明珠厂物化池及附属配水井清淤项目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7</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1322"/>
      <w:bookmarkStart w:id="5" w:name="_Toc31938"/>
      <w:bookmarkStart w:id="6" w:name="_Toc7519"/>
      <w:bookmarkStart w:id="7" w:name="_Toc19609"/>
      <w:bookmarkStart w:id="8" w:name="_Toc4275"/>
      <w:bookmarkStart w:id="9" w:name="_Toc17801"/>
      <w:bookmarkStart w:id="10" w:name="_Toc1669"/>
    </w:p>
    <w:p>
      <w:pPr>
        <w:pStyle w:val="4"/>
        <w:rPr>
          <w:rFonts w:hint="eastAsia"/>
        </w:rPr>
      </w:pPr>
    </w:p>
    <w:p>
      <w:pPr>
        <w:pStyle w:val="4"/>
        <w:rPr>
          <w:rFonts w:hint="eastAsia"/>
        </w:rPr>
      </w:pPr>
    </w:p>
    <w:p>
      <w:pPr>
        <w:pStyle w:val="4"/>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8201"/>
      <w:bookmarkStart w:id="12" w:name="_Toc26363"/>
      <w:bookmarkStart w:id="13" w:name="_Toc88209924"/>
      <w:bookmarkStart w:id="14" w:name="_Toc14238"/>
      <w:bookmarkStart w:id="15" w:name="_Toc10122"/>
      <w:bookmarkStart w:id="16" w:name="_Toc28995"/>
      <w:bookmarkStart w:id="17" w:name="_Toc5230"/>
      <w:bookmarkStart w:id="18" w:name="_Toc2659"/>
      <w:bookmarkStart w:id="19" w:name="_Toc999"/>
      <w:bookmarkStart w:id="20" w:name="_Toc30131"/>
      <w:bookmarkStart w:id="21" w:name="_Toc15709"/>
      <w:bookmarkStart w:id="22" w:name="_Toc3098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u w:val="single"/>
          <w:lang w:val="en-US" w:eastAsia="zh-CN"/>
        </w:rPr>
        <w:t>明珠厂物化池及附属配水井清淤项目</w:t>
      </w:r>
      <w:r>
        <w:rPr>
          <w:u w:val="single"/>
        </w:rPr>
        <w:t xml:space="preserve">  </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明珠厂物化池及附属配水井清淤项目</w:t>
      </w:r>
      <w:r>
        <w:rPr>
          <w:rFonts w:hint="eastAsia" w:ascii="仿宋_GB2312" w:eastAsia="仿宋_GB2312"/>
          <w:sz w:val="28"/>
          <w:szCs w:val="28"/>
          <w:u w:val="single"/>
        </w:rPr>
        <w:t xml:space="preserve">  </w:t>
      </w:r>
      <w:r>
        <w:rPr>
          <w:rFonts w:hint="eastAsia" w:ascii="仿宋_GB2312" w:eastAsia="仿宋_GB2312"/>
          <w:sz w:val="28"/>
          <w:szCs w:val="28"/>
        </w:rPr>
        <w:t>已具备采购条件，现对该</w:t>
      </w:r>
      <w:r>
        <w:rPr>
          <w:rFonts w:hint="eastAsia" w:ascii="仿宋_GB2312" w:eastAsia="仿宋_GB2312"/>
          <w:sz w:val="28"/>
          <w:szCs w:val="28"/>
        </w:rPr>
        <w:sym w:font="Wingdings 2" w:char="0052"/>
      </w:r>
      <w:r>
        <w:rPr>
          <w:rFonts w:hint="eastAsia" w:ascii="仿宋_GB2312" w:eastAsia="仿宋_GB2312"/>
          <w:sz w:val="28"/>
          <w:szCs w:val="28"/>
        </w:rPr>
        <w:t>施工  □货物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明珠厂物化池及附属配水井请与项目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穗从化净水询[2022]052001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u w:val="single"/>
          <w:lang w:val="en-US" w:eastAsia="zh-CN"/>
        </w:rPr>
        <w:t>85313.74</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color w:val="FF0000"/>
          <w:sz w:val="28"/>
          <w:szCs w:val="28"/>
        </w:rPr>
        <w:t>标段划分</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从化公司明珠厂物化池及配水井清淤，约250m³，包括污泥外运处置</w:t>
      </w:r>
    </w:p>
    <w:tbl>
      <w:tblPr>
        <w:tblStyle w:val="22"/>
        <w:tblW w:w="10388" w:type="dxa"/>
        <w:jc w:val="center"/>
        <w:tblLayout w:type="fixed"/>
        <w:tblCellMar>
          <w:top w:w="0" w:type="dxa"/>
          <w:left w:w="108" w:type="dxa"/>
          <w:bottom w:w="0" w:type="dxa"/>
          <w:right w:w="108" w:type="dxa"/>
        </w:tblCellMar>
      </w:tblPr>
      <w:tblGrid>
        <w:gridCol w:w="1080"/>
        <w:gridCol w:w="1615"/>
        <w:gridCol w:w="2205"/>
        <w:gridCol w:w="900"/>
        <w:gridCol w:w="840"/>
        <w:gridCol w:w="3748"/>
      </w:tblGrid>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6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22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内容</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7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tblPrEx>
          <w:tblCellMar>
            <w:top w:w="0" w:type="dxa"/>
            <w:left w:w="108" w:type="dxa"/>
            <w:bottom w:w="0" w:type="dxa"/>
            <w:right w:w="108" w:type="dxa"/>
          </w:tblCellMar>
        </w:tblPrEx>
        <w:trPr>
          <w:trHeight w:val="1565" w:hRule="atLeast"/>
          <w:jc w:val="center"/>
        </w:trPr>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61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明珠厂物化池及配水井清淤</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清理淤砂</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m³</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池面积约250㎡</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淤泥高度约1m</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1.清淤方式:停水清淤</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2、污泥外运处置</w:t>
            </w: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排水、降水</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洞内送抽风设施</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气体检测仪</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有毒气体检测</w:t>
            </w: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人工安装照明</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bl>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计划工期   □交货期  □服务期为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7天</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广州市从化区明珠污水处理厂内</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color w:val="FF0000"/>
          <w:sz w:val="28"/>
          <w:szCs w:val="28"/>
        </w:rPr>
        <w:t>2.4质量要求：</w:t>
      </w:r>
      <w:r>
        <w:rPr>
          <w:rFonts w:hint="eastAsia" w:ascii="仿宋_GB2312" w:eastAsia="仿宋_GB2312"/>
          <w:color w:val="FF0000"/>
          <w:sz w:val="28"/>
          <w:szCs w:val="28"/>
        </w:rPr>
        <w:sym w:font="Wingdings 2" w:char="0052"/>
      </w:r>
      <w:r>
        <w:rPr>
          <w:rFonts w:hint="eastAsia" w:ascii="仿宋_GB2312" w:eastAsia="仿宋_GB2312"/>
          <w:color w:val="FF0000"/>
          <w:sz w:val="28"/>
          <w:szCs w:val="28"/>
        </w:rPr>
        <w:t>施工质量要求   □货物质量标准或主要技术性能指标  □服务质量要求或服务标准如下</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清除物化池及配水井的淤泥并冲洗干净，污泥晒干后由施工单位外运处理。</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u w:val="single"/>
          <w:lang w:val="en-US" w:eastAsia="zh-CN"/>
        </w:rPr>
        <w:t>施工过程需严格按照我公司相关的有限空间作业规定要求实施，严禁违规施工，</w:t>
      </w:r>
      <w:r>
        <w:rPr>
          <w:rFonts w:hint="eastAsia" w:ascii="仿宋_GB2312" w:hAnsi="仿宋_GB2312" w:eastAsia="仿宋_GB2312" w:cs="仿宋_GB2312"/>
          <w:sz w:val="28"/>
          <w:szCs w:val="28"/>
          <w:u w:val="single"/>
          <w:lang w:val="zh-CN"/>
        </w:rPr>
        <w:t>杜绝安全事故的发生。</w:t>
      </w:r>
      <w:r>
        <w:rPr>
          <w:rFonts w:hint="eastAsia" w:ascii="仿宋_GB2312" w:eastAsia="仿宋_GB2312"/>
          <w:sz w:val="28"/>
          <w:szCs w:val="28"/>
          <w:u w:val="single"/>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市政公用工程施工三级及以上</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2020</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sz w:val="28"/>
          <w:szCs w:val="28"/>
          <w:u w:val="single"/>
          <w:lang w:val="en-US" w:eastAsia="zh-CN"/>
        </w:rPr>
        <w:t>市政工程清淤</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color w:val="FF0000"/>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市政</w:t>
      </w:r>
      <w:r>
        <w:rPr>
          <w:rFonts w:hint="eastAsia" w:ascii="仿宋_GB2312" w:eastAsia="仿宋_GB2312"/>
          <w:sz w:val="28"/>
          <w:szCs w:val="28"/>
          <w:u w:val="single"/>
        </w:rPr>
        <w:t xml:space="preserve">专业二级（或以上级别）的注册建造师（或具备符合粤建市〔2010〕26号文规定的小型项目负责人资格）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29</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t>□</w:t>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hAnsi="仿宋_GB2312" w:eastAsia="仿宋_GB2312" w:cs="仿宋_GB2312"/>
          <w:sz w:val="28"/>
          <w:szCs w:val="28"/>
          <w:lang w:val="en-US" w:eastAsia="zh-CN"/>
        </w:rPr>
        <w:t>2022年8月31日10时00分</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sz w:val="28"/>
          <w:szCs w:val="28"/>
          <w:highlight w:val="none"/>
          <w:u w:val="none"/>
          <w:lang w:val="en-US" w:eastAsia="zh-CN"/>
        </w:rPr>
        <w:t>广州市从化区明珠污水处理厂</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17</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广州市从化区江埔街从荔路50号广州从化净水有限公司</w:t>
      </w:r>
      <w:r>
        <w:rPr>
          <w:rFonts w:hint="eastAsia" w:ascii="仿宋_GB2312" w:eastAsia="仿宋_GB2312"/>
          <w:sz w:val="28"/>
          <w:szCs w:val="28"/>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u w:val="single"/>
          <w:lang w:val="en-US" w:eastAsia="zh-CN"/>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广州市从化区江埔街从荔路50号广州从化净水有限公司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汤昔尧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37984611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u w:val="single"/>
          <w:lang w:val="en-US" w:eastAsia="zh-CN"/>
        </w:rPr>
        <w:t>明珠厂物化池及附属配水井清淤项目</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2324"/>
      <w:bookmarkStart w:id="27" w:name="_Toc16557"/>
      <w:bookmarkStart w:id="28" w:name="_Toc16705"/>
      <w:bookmarkStart w:id="29" w:name="_Toc32588"/>
      <w:bookmarkStart w:id="30" w:name="_Toc7340"/>
      <w:bookmarkStart w:id="31" w:name="_Toc9448"/>
      <w:bookmarkStart w:id="32" w:name="_Toc25603"/>
      <w:bookmarkStart w:id="33" w:name="_Toc23749"/>
      <w:bookmarkStart w:id="34" w:name="_Toc2331"/>
      <w:bookmarkStart w:id="35" w:name="_Toc19295"/>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cyan"/>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lang w:val="en-US" w:eastAsia="zh-CN"/>
              </w:rPr>
              <w:t>6</w:t>
            </w:r>
            <w:bookmarkStart w:id="164" w:name="_GoBack"/>
            <w:bookmarkEnd w:id="164"/>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.本次交易的特别规定</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jc w:val="left"/>
        <w:rPr>
          <w:rFonts w:hint="eastAsia" w:asciiTheme="minorEastAsia" w:hAnsiTheme="minorEastAsia"/>
          <w:b/>
          <w:sz w:val="32"/>
          <w:szCs w:val="32"/>
          <w:lang w:val="en-US" w:eastAsia="zh-CN"/>
        </w:rPr>
      </w:pPr>
    </w:p>
    <w:p>
      <w:pPr>
        <w:adjustRightInd w:val="0"/>
        <w:snapToGrid w:val="0"/>
        <w:spacing w:beforeLines="50" w:afterLines="50" w:line="560" w:lineRule="exact"/>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pStyle w:val="2"/>
        <w:ind w:left="0" w:leftChars="0" w:firstLine="0" w:firstLineChars="0"/>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7303"/>
      <w:bookmarkStart w:id="41" w:name="_Toc7040"/>
      <w:bookmarkStart w:id="42" w:name="_Toc88209934"/>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9759"/>
      <w:bookmarkStart w:id="47" w:name="_Toc7437"/>
      <w:bookmarkStart w:id="48" w:name="_Toc20594"/>
      <w:bookmarkStart w:id="49" w:name="_Toc3156"/>
      <w:bookmarkStart w:id="50" w:name="_Toc10930"/>
      <w:bookmarkStart w:id="51" w:name="_Toc23581"/>
      <w:bookmarkStart w:id="52" w:name="_Toc7118"/>
      <w:bookmarkStart w:id="53" w:name="_Toc4952"/>
      <w:bookmarkStart w:id="54" w:name="_Toc14552"/>
      <w:bookmarkStart w:id="55" w:name="_Toc14870"/>
      <w:bookmarkStart w:id="56" w:name="_Toc19050"/>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30530"/>
      <w:bookmarkStart w:id="58" w:name="_Toc22212"/>
      <w:bookmarkStart w:id="59" w:name="_Toc32607"/>
      <w:bookmarkStart w:id="60" w:name="_Toc29345"/>
      <w:bookmarkStart w:id="61" w:name="_Toc87616378"/>
      <w:bookmarkStart w:id="62" w:name="_Toc88209941"/>
      <w:bookmarkStart w:id="63" w:name="_Toc12177"/>
      <w:bookmarkStart w:id="64" w:name="_Toc29484"/>
      <w:bookmarkStart w:id="65" w:name="_Toc7831"/>
      <w:bookmarkStart w:id="66" w:name="_Toc13898"/>
      <w:bookmarkStart w:id="67" w:name="_Toc6308"/>
      <w:bookmarkStart w:id="68" w:name="_Toc21079"/>
      <w:bookmarkStart w:id="69" w:name="_Toc21840"/>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cyan"/>
          <w:lang w:val="en-US" w:eastAsia="zh-CN"/>
        </w:rPr>
        <w:t>或</w:t>
      </w:r>
      <w:r>
        <w:rPr>
          <w:rFonts w:hint="eastAsia" w:ascii="仿宋_GB2312" w:eastAsia="仿宋_GB2312" w:hAnsiTheme="minorEastAsia"/>
          <w:sz w:val="28"/>
          <w:szCs w:val="28"/>
          <w:highlight w:val="cyan"/>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cyan"/>
          <w:lang w:val="en-US" w:eastAsia="zh-CN"/>
        </w:rPr>
        <w:t>或</w:t>
      </w:r>
      <w:r>
        <w:rPr>
          <w:rFonts w:hint="eastAsia" w:ascii="仿宋_GB2312" w:eastAsia="仿宋_GB2312" w:hAnsiTheme="minorEastAsia"/>
          <w:sz w:val="28"/>
          <w:szCs w:val="28"/>
          <w:highlight w:val="cyan"/>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szCs w:val="44"/>
        </w:rPr>
      </w:pPr>
      <w:bookmarkStart w:id="72"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bookmarkEnd w:id="72"/>
    <w:p>
      <w:pPr>
        <w:pStyle w:val="12"/>
        <w:numPr>
          <w:ilvl w:val="0"/>
          <w:numId w:val="4"/>
        </w:numPr>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sz w:val="28"/>
          <w:szCs w:val="28"/>
          <w:lang w:val="en-US" w:eastAsia="zh-CN"/>
        </w:rPr>
        <w:t>物化池及配水井池</w:t>
      </w:r>
      <w:r>
        <w:rPr>
          <w:rFonts w:hint="eastAsia" w:ascii="仿宋_GB2312" w:hAnsi="仿宋_GB2312" w:eastAsia="仿宋_GB2312" w:cs="仿宋_GB2312"/>
          <w:sz w:val="28"/>
          <w:szCs w:val="28"/>
          <w:lang w:val="zh-CN"/>
        </w:rPr>
        <w:t>运行</w:t>
      </w:r>
      <w:r>
        <w:rPr>
          <w:rFonts w:hint="eastAsia" w:ascii="仿宋_GB2312" w:hAnsi="仿宋_GB2312" w:eastAsia="仿宋_GB2312" w:cs="仿宋_GB2312"/>
          <w:sz w:val="28"/>
          <w:szCs w:val="28"/>
          <w:lang w:val="en-US" w:eastAsia="zh-CN"/>
        </w:rPr>
        <w:t>多年，整体积淤严重，估计约250m³，影响运行效果。根据生产运行状况，计划对明珠厂物化池及配水井进行系统性清淤，并把污泥外运处置，保证该厂生产工艺的可持续良性循环，更好的完成节能减排任务</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施工过程需严格按照我公司相关的有限空间作业规定要求实施，</w:t>
      </w:r>
      <w:r>
        <w:rPr>
          <w:rFonts w:hint="eastAsia" w:ascii="仿宋_GB2312" w:hAnsi="仿宋_GB2312" w:eastAsia="仿宋_GB2312" w:cs="仿宋_GB2312"/>
          <w:sz w:val="28"/>
          <w:szCs w:val="28"/>
          <w:lang w:val="zh-CN"/>
        </w:rPr>
        <w:t>杜绝安全事故的发生。</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二、项目技术要求</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rPr>
        <w:t>.工程量清单</w:t>
      </w:r>
    </w:p>
    <w:tbl>
      <w:tblPr>
        <w:tblStyle w:val="22"/>
        <w:tblW w:w="10388" w:type="dxa"/>
        <w:jc w:val="center"/>
        <w:tblLayout w:type="fixed"/>
        <w:tblCellMar>
          <w:top w:w="0" w:type="dxa"/>
          <w:left w:w="108" w:type="dxa"/>
          <w:bottom w:w="0" w:type="dxa"/>
          <w:right w:w="108" w:type="dxa"/>
        </w:tblCellMar>
      </w:tblPr>
      <w:tblGrid>
        <w:gridCol w:w="1080"/>
        <w:gridCol w:w="1615"/>
        <w:gridCol w:w="2205"/>
        <w:gridCol w:w="900"/>
        <w:gridCol w:w="840"/>
        <w:gridCol w:w="3748"/>
      </w:tblGrid>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6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22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内容</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7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tblPrEx>
          <w:tblCellMar>
            <w:top w:w="0" w:type="dxa"/>
            <w:left w:w="108" w:type="dxa"/>
            <w:bottom w:w="0" w:type="dxa"/>
            <w:right w:w="108" w:type="dxa"/>
          </w:tblCellMar>
        </w:tblPrEx>
        <w:trPr>
          <w:trHeight w:val="1565" w:hRule="atLeast"/>
          <w:jc w:val="center"/>
        </w:trPr>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61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明珠厂物化池及配水井清淤</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清理淤砂</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m³</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池面积约250㎡</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淤泥高度约1m</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1.清淤方式:停水清淤</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2、污泥外运处置</w:t>
            </w: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排水、降水</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洞内送抽风设施</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气体检测仪</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有毒气体检测</w:t>
            </w:r>
          </w:p>
        </w:tc>
      </w:tr>
      <w:tr>
        <w:tblPrEx>
          <w:tblCellMar>
            <w:top w:w="0" w:type="dxa"/>
            <w:left w:w="108" w:type="dxa"/>
            <w:bottom w:w="0" w:type="dxa"/>
            <w:right w:w="108" w:type="dxa"/>
          </w:tblCellMar>
        </w:tblPrEx>
        <w:trPr>
          <w:trHeight w:val="28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16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人工安装照明</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lang w:val="zh-CN"/>
        </w:rPr>
      </w:pP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2.设备基本情况</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明珠厂物化池自我公司接管运营以来，池内沉积淤泥严重，水下设备故障停止运行。根据生产运行状况，计划对明珠厂物化池及配水井进行系统性清淤工作，保证该厂生产工艺的可持续良性循环，更好的完成节能减排任务。</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.项目特殊要求：</w:t>
      </w:r>
      <w:r>
        <w:rPr>
          <w:rFonts w:hint="eastAsia" w:ascii="仿宋_GB2312" w:hAnsi="仿宋_GB2312" w:eastAsia="仿宋_GB2312" w:cs="仿宋_GB2312"/>
          <w:sz w:val="28"/>
          <w:szCs w:val="28"/>
          <w:lang w:val="en-US" w:eastAsia="zh-CN"/>
        </w:rPr>
        <w:t>清淤完成后，中标单位需把污泥外运处置。</w:t>
      </w: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1.工期：7天。</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2.质量要求：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（1）验收规范：执行《中华人民共和国行业标准--建筑拆除工程安全技术规范JGJ147-2016》、《建筑工程施工质量验收统─标准》GB50300-2013、《给水排水管道工程施工及验收规范》GB 50268 - 2008。</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（2）整体符合厂区美观要求。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3.安全文明施工要求：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（1）在工程进行中，承包单位要注意保护场内的各种管线和设施。若有任何损坏，须立即通知有关部门和发包人，并由损坏单位承担损失和修复费用。</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4.总包及分包规定：</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承包单位不许转包，不许擅自分包, 否则，发包人有权单方面终止合同，并令其立即退场，由此而造成的经济损失由承包单位负责赔偿。</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5.保修期：质保期为验收合格之日起1年。</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6.询价人将自承包人履行完合同义务之日起20天内组织验收，验收要求、验收标准及方法如下：</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（1）验收依据：询价文件、询价响应文件、相关国家的质量标准规定等均为验收依据。</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（2）承包单位根据要求进行改造，完成之后，改造区域应符合使用要求，并且符合美观与周边环境协调的要求。</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（3）发包人有权委托我国相关具有检验资质的部门、单位、机构针对项目进行检验。其检验结果将作为验收标准的组成部分之一。</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（4）验收时承包单位必须派代表参加。</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（5）验收过程所发生的一切费用由承包单位承担。</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7.付款方式：银行转账形式。</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8.承包方式：单价包干。</w:t>
      </w:r>
    </w:p>
    <w:p>
      <w:pPr>
        <w:ind w:firstLine="560" w:firstLineChars="200"/>
        <w:rPr>
          <w:rFonts w:ascii="仿宋_GB2312" w:eastAsia="仿宋_GB2312"/>
          <w:sz w:val="28"/>
          <w:szCs w:val="28"/>
        </w:rPr>
      </w:pPr>
      <w:r>
        <w:rPr>
          <w:rFonts w:hint="eastAsia" w:ascii="仿宋_GB2312" w:eastAsia="仿宋_GB2312"/>
          <w:sz w:val="28"/>
          <w:szCs w:val="28"/>
        </w:rPr>
        <w:t>。</w:t>
      </w: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ind w:left="0" w:leftChars="0" w:firstLine="0" w:firstLineChars="0"/>
        <w:rPr>
          <w:rFonts w:hint="eastAsia"/>
        </w:rPr>
      </w:pPr>
      <w:bookmarkStart w:id="73" w:name="_Toc537"/>
      <w:bookmarkStart w:id="74" w:name="_Toc1496"/>
      <w:bookmarkStart w:id="75" w:name="_Toc29835"/>
      <w:bookmarkStart w:id="76" w:name="_Toc25925"/>
      <w:bookmarkStart w:id="77" w:name="_Toc23330"/>
      <w:bookmarkStart w:id="78" w:name="_Toc18538"/>
      <w:bookmarkStart w:id="79" w:name="_Toc12135"/>
      <w:bookmarkStart w:id="80" w:name="_Toc4680"/>
      <w:bookmarkStart w:id="81" w:name="_Toc1284"/>
      <w:bookmarkStart w:id="82" w:name="_Toc15570"/>
      <w:bookmarkStart w:id="83" w:name="_Toc23353"/>
    </w:p>
    <w:p>
      <w:pPr>
        <w:pStyle w:val="4"/>
      </w:pPr>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5"/>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both"/>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5"/>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45"/>
        <w:spacing w:line="500" w:lineRule="exact"/>
        <w:jc w:val="center"/>
        <w:rPr>
          <w:rFonts w:hint="eastAsia" w:ascii="宋体" w:hAnsi="宋体"/>
          <w:b/>
          <w:sz w:val="52"/>
          <w:lang w:eastAsia="zh-CN"/>
        </w:rPr>
      </w:pPr>
    </w:p>
    <w:p>
      <w:pPr>
        <w:pStyle w:val="45"/>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bdr w:val="single" w:color="auto" w:sz="4" w:space="0"/>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A8"/>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pStyle w:val="12"/>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5"/>
        </w:numPr>
        <w:spacing w:before="120" w:afterLines="50" w:line="384" w:lineRule="auto"/>
        <w:ind w:firstLine="482" w:firstLineChars="200"/>
        <w:jc w:val="left"/>
        <w:rPr>
          <w:rFonts w:ascii="宋体" w:hAnsi="宋体" w:cs="宋体"/>
          <w:b/>
          <w:bCs/>
          <w:sz w:val="24"/>
        </w:rPr>
      </w:pPr>
      <w:bookmarkStart w:id="84" w:name="_Toc520190034"/>
      <w:bookmarkStart w:id="85" w:name="_Toc518992994"/>
      <w:bookmarkStart w:id="86" w:name="_Toc474245220"/>
      <w:r>
        <w:rPr>
          <w:rFonts w:hint="eastAsia" w:ascii="宋体" w:hAnsi="宋体" w:cs="宋体"/>
          <w:b/>
          <w:bCs/>
          <w:sz w:val="24"/>
        </w:rPr>
        <w:t>质量保证</w:t>
      </w:r>
      <w:bookmarkEnd w:id="84"/>
      <w:bookmarkEnd w:id="85"/>
      <w:bookmarkEnd w:id="86"/>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87" w:name="_Toc107446862"/>
      <w:bookmarkStart w:id="88" w:name="_Toc518993000"/>
      <w:bookmarkStart w:id="89" w:name="_Toc474245226"/>
      <w:bookmarkStart w:id="90" w:name="_Toc107447255"/>
      <w:bookmarkStart w:id="91" w:name="_Toc520190040"/>
      <w:bookmarkStart w:id="92" w:name="_Toc306350467"/>
      <w:bookmarkStart w:id="93" w:name="_Toc183666531"/>
      <w:bookmarkStart w:id="94" w:name="_Toc19692"/>
      <w:r>
        <w:rPr>
          <w:rFonts w:hint="eastAsia" w:ascii="宋体" w:hAnsi="宋体" w:cs="宋体"/>
          <w:b/>
          <w:bCs/>
          <w:sz w:val="24"/>
        </w:rPr>
        <w:t>第十一条不可抗力</w:t>
      </w:r>
      <w:bookmarkEnd w:id="87"/>
      <w:bookmarkEnd w:id="88"/>
      <w:bookmarkEnd w:id="89"/>
      <w:bookmarkEnd w:id="90"/>
      <w:bookmarkEnd w:id="91"/>
      <w:bookmarkEnd w:id="92"/>
      <w:bookmarkEnd w:id="93"/>
      <w:bookmarkEnd w:id="94"/>
    </w:p>
    <w:p>
      <w:pPr>
        <w:widowControl/>
        <w:autoSpaceDE w:val="0"/>
        <w:autoSpaceDN w:val="0"/>
        <w:adjustRightInd w:val="0"/>
        <w:spacing w:line="384" w:lineRule="auto"/>
        <w:ind w:firstLine="480" w:firstLineChars="200"/>
        <w:rPr>
          <w:rFonts w:ascii="宋体" w:hAnsi="宋体" w:cs="宋体"/>
          <w:bCs/>
          <w:sz w:val="24"/>
        </w:rPr>
      </w:pPr>
      <w:bookmarkStart w:id="95" w:name="_Toc183666532"/>
      <w:bookmarkStart w:id="96" w:name="_Toc12010"/>
      <w:bookmarkStart w:id="97"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8" w:name="_Toc107446864"/>
      <w:bookmarkStart w:id="99" w:name="_Toc107447257"/>
      <w:bookmarkStart w:id="100" w:name="_Toc520190041"/>
      <w:bookmarkStart w:id="101" w:name="_Toc118172294"/>
      <w:bookmarkStart w:id="102" w:name="_Toc474245227"/>
      <w:bookmarkStart w:id="103"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5"/>
      <w:bookmarkEnd w:id="96"/>
      <w:bookmarkEnd w:id="97"/>
      <w:bookmarkEnd w:id="98"/>
      <w:bookmarkEnd w:id="99"/>
      <w:bookmarkEnd w:id="100"/>
      <w:bookmarkEnd w:id="101"/>
      <w:bookmarkEnd w:id="102"/>
      <w:bookmarkEnd w:id="103"/>
    </w:p>
    <w:p>
      <w:pPr>
        <w:spacing w:line="384" w:lineRule="auto"/>
        <w:ind w:firstLine="482"/>
        <w:rPr>
          <w:rFonts w:ascii="宋体" w:hAnsi="宋体" w:cs="宋体"/>
          <w:bCs/>
          <w:sz w:val="24"/>
        </w:rPr>
      </w:pPr>
      <w:bookmarkStart w:id="104" w:name="_Toc306350469"/>
      <w:bookmarkStart w:id="105"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4"/>
      <w:bookmarkEnd w:id="105"/>
      <w:bookmarkStart w:id="106" w:name="_Toc518993003"/>
      <w:bookmarkStart w:id="107" w:name="_Toc474245229"/>
      <w:bookmarkStart w:id="108"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09" w:name="_Toc107447264"/>
      <w:bookmarkStart w:id="110" w:name="_Toc107446871"/>
      <w:r>
        <w:rPr>
          <w:rFonts w:hint="eastAsia" w:ascii="宋体" w:hAnsi="宋体" w:cs="宋体"/>
          <w:b/>
          <w:bCs/>
          <w:sz w:val="24"/>
        </w:rPr>
        <w:t>合同生效及其他</w:t>
      </w:r>
      <w:bookmarkEnd w:id="106"/>
      <w:bookmarkEnd w:id="107"/>
      <w:bookmarkEnd w:id="108"/>
      <w:bookmarkEnd w:id="109"/>
      <w:bookmarkEnd w:id="110"/>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
          <w:bCs w:val="0"/>
          <w:kern w:val="0"/>
          <w:sz w:val="21"/>
          <w:szCs w:val="21"/>
          <w:lang w:val="en-US" w:eastAsia="zh-CN"/>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46"/>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11" w:name="_Toc389815339"/>
      <w:bookmarkStart w:id="112" w:name="_Toc389815031"/>
      <w:bookmarkStart w:id="113"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bCs/>
          <w:sz w:val="24"/>
        </w:rPr>
      </w:pPr>
      <w:r>
        <w:rPr>
          <w:rFonts w:hint="eastAsia" w:ascii="宋体" w:hAnsi="宋体" w:cs="宋体"/>
          <w:b/>
          <w:szCs w:val="21"/>
        </w:rPr>
        <w:t>附件3：</w:t>
      </w:r>
      <w:bookmarkEnd w:id="111"/>
      <w:bookmarkEnd w:id="112"/>
      <w:bookmarkEnd w:id="113"/>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w:t>
      </w:r>
      <w:r>
        <w:rPr>
          <w:rFonts w:hint="eastAsia" w:ascii="宋体" w:hAnsi="宋体" w:eastAsia="宋体"/>
          <w:sz w:val="24"/>
          <w:lang w:eastAsia="zh-CN"/>
        </w:rPr>
        <w:t>广州从化净水有限公司</w:t>
      </w:r>
      <w:r>
        <w:rPr>
          <w:rFonts w:hint="eastAsia" w:ascii="宋体" w:hAnsi="宋体" w:eastAsia="宋体"/>
          <w:sz w:val="24"/>
        </w:rPr>
        <w:t>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w:t>
      </w:r>
      <w:r>
        <w:rPr>
          <w:rFonts w:hint="eastAsia" w:ascii="宋体" w:hAnsi="宋体" w:eastAsia="宋体"/>
          <w:sz w:val="24"/>
          <w:lang w:eastAsia="zh-CN"/>
        </w:rPr>
        <w:t>广州从化净水有限公司</w:t>
      </w:r>
      <w:r>
        <w:rPr>
          <w:rFonts w:hint="eastAsia" w:ascii="宋体" w:hAnsi="宋体" w:eastAsia="宋体"/>
          <w:sz w:val="24"/>
        </w:rPr>
        <w:t>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rFonts w:hint="eastAsia"/>
        </w:rPr>
      </w:pPr>
      <w:bookmarkStart w:id="114" w:name="_Toc16552"/>
      <w:bookmarkStart w:id="115" w:name="_Toc23515"/>
      <w:bookmarkStart w:id="116" w:name="_Toc30824"/>
      <w:bookmarkStart w:id="117" w:name="_Toc28358"/>
      <w:bookmarkStart w:id="118" w:name="_Toc8147"/>
      <w:bookmarkStart w:id="119" w:name="_Toc6230"/>
      <w:bookmarkStart w:id="120" w:name="_Toc5129"/>
      <w:bookmarkStart w:id="121" w:name="_Toc12169"/>
      <w:bookmarkStart w:id="122" w:name="_Toc3723"/>
      <w:bookmarkStart w:id="123" w:name="_Toc21847"/>
      <w:bookmarkStart w:id="124" w:name="_Toc1563"/>
    </w:p>
    <w:p>
      <w:pPr>
        <w:pStyle w:val="4"/>
      </w:pPr>
      <w:r>
        <w:pict>
          <v:shape id="_x0000_s2058" o:spid="_x0000_s2058" o:spt="32" type="#_x0000_t32" style="position:absolute;left:0pt;margin-left:187.5pt;margin-top:3.8pt;height:0pt;width:75.5pt;z-index:251668480;mso-width-relative:page;mso-height-relative:page;" o:connectortype="straight" filled="f" coordsize="21600,21600">
            <v:path arrowok="t"/>
            <v:fill on="f" focussize="0,0"/>
            <v:stroke/>
            <v:imagedata o:title=""/>
            <o:lock v:ext="edit"/>
          </v:shape>
        </w:pict>
      </w:r>
      <w:r>
        <w:pict>
          <v:shape id="_x0000_s2059" o:spid="_x0000_s2059" o:spt="32" type="#_x0000_t32" style="position:absolute;left:0pt;margin-left:185.35pt;margin-top:44.85pt;height:0pt;width:75.5pt;z-index:251669504;mso-width-relative:page;mso-height-relative:page;" o:connectortype="straight" filled="f" coordsize="21600,21600">
            <v:path arrowok="t"/>
            <v:fill on="f" focussize="0,0"/>
            <v:stroke/>
            <v:imagedata o:title=""/>
            <o:lock v:ext="edit"/>
          </v:shape>
        </w:pict>
      </w:r>
      <w:r>
        <w:rPr>
          <w:rFonts w:hint="eastAsia"/>
        </w:rPr>
        <w:t>第七章</w:t>
      </w:r>
      <w:bookmarkEnd w:id="114"/>
      <w:bookmarkEnd w:id="115"/>
      <w:bookmarkEnd w:id="116"/>
      <w:bookmarkEnd w:id="117"/>
      <w:bookmarkEnd w:id="118"/>
      <w:bookmarkEnd w:id="119"/>
      <w:bookmarkEnd w:id="120"/>
      <w:bookmarkEnd w:id="121"/>
      <w:bookmarkEnd w:id="122"/>
      <w:bookmarkEnd w:id="123"/>
      <w:bookmarkEnd w:id="124"/>
    </w:p>
    <w:p>
      <w:pPr>
        <w:pStyle w:val="35"/>
      </w:pPr>
    </w:p>
    <w:p>
      <w:pPr>
        <w:pStyle w:val="4"/>
      </w:pPr>
      <w:bookmarkStart w:id="125" w:name="_Toc22764"/>
      <w:bookmarkStart w:id="126" w:name="_Toc87616388"/>
      <w:bookmarkStart w:id="127" w:name="_Toc31564"/>
      <w:bookmarkStart w:id="128" w:name="_Toc24490"/>
      <w:bookmarkStart w:id="129" w:name="_Toc5342"/>
      <w:bookmarkStart w:id="130" w:name="_Toc21675"/>
      <w:bookmarkStart w:id="131" w:name="_Toc10840"/>
      <w:bookmarkStart w:id="132" w:name="_Toc17119"/>
      <w:bookmarkStart w:id="133" w:name="_Toc88209951"/>
      <w:bookmarkStart w:id="134" w:name="_Toc24815"/>
      <w:bookmarkStart w:id="135" w:name="_Toc30157"/>
      <w:bookmarkStart w:id="136" w:name="_Toc12610"/>
      <w:bookmarkStart w:id="137" w:name="_Toc12769"/>
      <w:r>
        <w:rPr>
          <w:rFonts w:hint="eastAsia"/>
        </w:rPr>
        <w:t>响应文件</w:t>
      </w:r>
      <w:r>
        <w:rPr>
          <w:rFonts w:hint="eastAsia"/>
          <w:lang w:val="en-US" w:eastAsia="zh-CN"/>
        </w:rPr>
        <w:t>格式要求</w:t>
      </w:r>
      <w:bookmarkEnd w:id="125"/>
      <w:bookmarkEnd w:id="126"/>
      <w:bookmarkEnd w:id="127"/>
      <w:bookmarkEnd w:id="128"/>
      <w:bookmarkEnd w:id="129"/>
      <w:bookmarkEnd w:id="130"/>
      <w:bookmarkEnd w:id="131"/>
      <w:bookmarkEnd w:id="132"/>
      <w:bookmarkEnd w:id="133"/>
      <w:bookmarkEnd w:id="134"/>
      <w:bookmarkEnd w:id="135"/>
      <w:bookmarkEnd w:id="136"/>
      <w:bookmarkEnd w:id="13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default" w:ascii="仿宋_GB2312" w:eastAsia="仿宋_GB2312"/>
          <w:sz w:val="30"/>
          <w:szCs w:val="30"/>
          <w:lang w:val="en-US" w:eastAsia="zh-CN"/>
        </w:rPr>
      </w:pPr>
      <w:r>
        <w:rPr>
          <w:rFonts w:hint="eastAsia" w:ascii="方正小标宋简体" w:eastAsia="方正小标宋简体"/>
          <w:sz w:val="44"/>
          <w:szCs w:val="44"/>
          <w:u w:val="single"/>
          <w:lang w:val="en-US" w:eastAsia="zh-CN"/>
        </w:rPr>
        <w:t>明珠污水处理厂物化池及附属配水井清淤项目</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30"/>
          <w:szCs w:val="30"/>
          <w:lang w:val="en-US" w:eastAsia="zh-CN"/>
        </w:rPr>
        <w:t>穗从化净水询[2022]062801</w:t>
      </w:r>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8" w:name="_Toc87616389"/>
      <w:bookmarkStart w:id="139" w:name="_Toc88209952"/>
      <w:r>
        <w:rPr>
          <w:rFonts w:hint="eastAsia" w:ascii="仿宋_GB2312" w:eastAsia="仿宋_GB2312"/>
          <w:sz w:val="28"/>
          <w:szCs w:val="28"/>
        </w:rPr>
        <w:t>1.响应函</w:t>
      </w:r>
      <w:bookmarkEnd w:id="138"/>
      <w:bookmarkEnd w:id="139"/>
    </w:p>
    <w:p>
      <w:pPr>
        <w:spacing w:line="600" w:lineRule="exact"/>
        <w:rPr>
          <w:rFonts w:hint="eastAsia" w:ascii="仿宋_GB2312" w:eastAsia="仿宋_GB2312"/>
          <w:sz w:val="28"/>
          <w:szCs w:val="28"/>
        </w:rPr>
      </w:pPr>
      <w:bookmarkStart w:id="140" w:name="_Toc88209953"/>
      <w:bookmarkStart w:id="141" w:name="_Toc87616390"/>
      <w:r>
        <w:rPr>
          <w:rFonts w:hint="eastAsia" w:ascii="仿宋_GB2312" w:eastAsia="仿宋_GB2312"/>
          <w:sz w:val="28"/>
          <w:szCs w:val="28"/>
        </w:rPr>
        <w:t>2.法定代表人证明或授权委托书</w:t>
      </w:r>
      <w:bookmarkEnd w:id="140"/>
      <w:bookmarkEnd w:id="141"/>
      <w:bookmarkStart w:id="142" w:name="_Toc87616393"/>
      <w:bookmarkStart w:id="143"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42"/>
      <w:bookmarkEnd w:id="143"/>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pPr>
    </w:p>
    <w:p>
      <w:pPr>
        <w:pStyle w:val="6"/>
        <w:rPr>
          <w:rFonts w:asciiTheme="minorEastAsia" w:hAnsiTheme="minorEastAsia" w:eastAsiaTheme="minorEastAsia"/>
          <w:sz w:val="28"/>
          <w:szCs w:val="28"/>
        </w:rPr>
      </w:pPr>
      <w:bookmarkStart w:id="144" w:name="_Toc12665"/>
      <w:bookmarkStart w:id="145" w:name="_Toc28619645"/>
      <w:bookmarkStart w:id="146" w:name="_Toc88209957"/>
      <w:bookmarkStart w:id="147" w:name="_Toc87616394"/>
      <w:bookmarkStart w:id="148" w:name="_Toc6313"/>
      <w:r>
        <w:rPr>
          <w:rFonts w:hint="eastAsia" w:asciiTheme="minorEastAsia" w:hAnsiTheme="minorEastAsia" w:eastAsiaTheme="minorEastAsia"/>
          <w:sz w:val="28"/>
          <w:szCs w:val="28"/>
        </w:rPr>
        <w:t>1.响应函</w:t>
      </w:r>
      <w:bookmarkEnd w:id="144"/>
      <w:bookmarkEnd w:id="145"/>
      <w:bookmarkEnd w:id="146"/>
      <w:bookmarkEnd w:id="147"/>
      <w:bookmarkEnd w:id="148"/>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cyan"/>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49" w:name="_Toc87616395"/>
      <w:bookmarkStart w:id="150" w:name="_Toc29833"/>
      <w:bookmarkStart w:id="151" w:name="_Toc88209958"/>
      <w:bookmarkStart w:id="152" w:name="_Toc22527"/>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49"/>
      <w:bookmarkEnd w:id="150"/>
      <w:bookmarkEnd w:id="151"/>
      <w:bookmarkEnd w:id="152"/>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53" w:name="_Toc19830"/>
      <w:bookmarkStart w:id="154" w:name="_Toc8086"/>
      <w:bookmarkStart w:id="155" w:name="_Toc88209963"/>
      <w:bookmarkStart w:id="156"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53"/>
      <w:bookmarkEnd w:id="154"/>
      <w:bookmarkEnd w:id="155"/>
      <w:bookmarkEnd w:id="156"/>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7"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Theme="minorEastAsia" w:hAnsiTheme="minorEastAsia" w:eastAsiaTheme="minorEastAsia"/>
          <w:sz w:val="28"/>
          <w:szCs w:val="28"/>
        </w:rPr>
      </w:pPr>
      <w:bookmarkStart w:id="158" w:name="_Toc32430"/>
      <w:bookmarkStart w:id="159"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58"/>
      <w:bookmarkEnd w:id="159"/>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W w:w="95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5"/>
        <w:gridCol w:w="705"/>
        <w:gridCol w:w="1054"/>
        <w:gridCol w:w="992"/>
        <w:gridCol w:w="425"/>
        <w:gridCol w:w="567"/>
        <w:gridCol w:w="880"/>
        <w:gridCol w:w="566"/>
        <w:gridCol w:w="982"/>
        <w:gridCol w:w="844"/>
        <w:gridCol w:w="566"/>
        <w:gridCol w:w="982"/>
        <w:gridCol w:w="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7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名称</w:t>
            </w:r>
          </w:p>
        </w:tc>
        <w:tc>
          <w:tcPr>
            <w:tcW w:w="105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产地、品牌</w:t>
            </w:r>
          </w:p>
        </w:tc>
        <w:tc>
          <w:tcPr>
            <w:tcW w:w="425"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2392"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510"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continue"/>
          </w:tcPr>
          <w:p>
            <w:pPr>
              <w:adjustRightInd w:val="0"/>
              <w:snapToGrid w:val="0"/>
              <w:rPr>
                <w:rFonts w:ascii="仿宋_GB2312" w:eastAsia="仿宋_GB2312" w:hAnsiTheme="minorEastAsia"/>
                <w:sz w:val="28"/>
                <w:szCs w:val="28"/>
              </w:rPr>
            </w:pPr>
          </w:p>
        </w:tc>
        <w:tc>
          <w:tcPr>
            <w:tcW w:w="705" w:type="dxa"/>
            <w:vMerge w:val="continue"/>
          </w:tcPr>
          <w:p>
            <w:pPr>
              <w:adjustRightInd w:val="0"/>
              <w:snapToGrid w:val="0"/>
              <w:rPr>
                <w:rFonts w:ascii="仿宋_GB2312" w:eastAsia="仿宋_GB2312" w:hAnsiTheme="minorEastAsia"/>
                <w:sz w:val="28"/>
                <w:szCs w:val="28"/>
              </w:rPr>
            </w:pPr>
          </w:p>
        </w:tc>
        <w:tc>
          <w:tcPr>
            <w:tcW w:w="1054" w:type="dxa"/>
            <w:vMerge w:val="continue"/>
          </w:tcPr>
          <w:p>
            <w:pPr>
              <w:adjustRightInd w:val="0"/>
              <w:snapToGrid w:val="0"/>
              <w:rPr>
                <w:rFonts w:ascii="仿宋_GB2312" w:eastAsia="仿宋_GB2312" w:hAnsiTheme="minorEastAsia"/>
                <w:sz w:val="28"/>
                <w:szCs w:val="28"/>
              </w:rPr>
            </w:pPr>
          </w:p>
        </w:tc>
        <w:tc>
          <w:tcPr>
            <w:tcW w:w="992"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425"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567" w:type="dxa"/>
            <w:vMerge w:val="continue"/>
            <w:tcBorders>
              <w:left w:val="single" w:color="auto" w:sz="4" w:space="0"/>
            </w:tcBorders>
          </w:tcPr>
          <w:p>
            <w:pPr>
              <w:adjustRightInd w:val="0"/>
              <w:snapToGrid w:val="0"/>
              <w:rPr>
                <w:rFonts w:ascii="仿宋_GB2312" w:eastAsia="仿宋_GB2312" w:hAnsiTheme="minorEastAsia"/>
                <w:sz w:val="28"/>
                <w:szCs w:val="28"/>
              </w:rPr>
            </w:pPr>
          </w:p>
        </w:tc>
        <w:tc>
          <w:tcPr>
            <w:tcW w:w="880"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510"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76" w:type="dxa"/>
            <w:gridSpan w:val="9"/>
            <w:tcBorders>
              <w:right w:val="single" w:color="auto" w:sz="4" w:space="0"/>
            </w:tcBorders>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850"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567"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pPr>
              <w:adjustRightInd w:val="0"/>
              <w:snapToGrid w:val="0"/>
              <w:rPr>
                <w:rFonts w:ascii="仿宋_GB2312" w:eastAsia="仿宋_GB2312" w:hAnsiTheme="minorEastAsia"/>
                <w:sz w:val="28"/>
                <w:szCs w:val="28"/>
              </w:rPr>
            </w:pPr>
          </w:p>
        </w:tc>
        <w:tc>
          <w:tcPr>
            <w:tcW w:w="850" w:type="dxa"/>
            <w:vMerge w:val="continue"/>
          </w:tcPr>
          <w:p>
            <w:pPr>
              <w:adjustRightInd w:val="0"/>
              <w:snapToGrid w:val="0"/>
              <w:rPr>
                <w:rFonts w:ascii="仿宋_GB2312" w:eastAsia="仿宋_GB2312" w:hAnsiTheme="minorEastAsia"/>
                <w:sz w:val="28"/>
                <w:szCs w:val="28"/>
              </w:rPr>
            </w:pPr>
          </w:p>
        </w:tc>
        <w:tc>
          <w:tcPr>
            <w:tcW w:w="567" w:type="dxa"/>
            <w:vMerge w:val="continue"/>
          </w:tcPr>
          <w:p>
            <w:pPr>
              <w:adjustRightInd w:val="0"/>
              <w:snapToGrid w:val="0"/>
              <w:rPr>
                <w:rFonts w:ascii="仿宋_GB2312" w:eastAsia="仿宋_GB2312" w:hAnsiTheme="minorEastAsia"/>
                <w:sz w:val="28"/>
                <w:szCs w:val="28"/>
              </w:rPr>
            </w:pPr>
          </w:p>
        </w:tc>
        <w:tc>
          <w:tcPr>
            <w:tcW w:w="851"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850"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850"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99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02"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
        <w:rPr>
          <w:rFonts w:hint="default"/>
          <w:lang w:val="en-US"/>
        </w:rPr>
      </w:pPr>
    </w:p>
    <w:p>
      <w:pPr>
        <w:pStyle w:val="6"/>
        <w:rPr>
          <w:rFonts w:asciiTheme="majorEastAsia" w:hAnsiTheme="majorEastAsia" w:eastAsiaTheme="majorEastAsia"/>
          <w:sz w:val="28"/>
          <w:szCs w:val="28"/>
        </w:rPr>
      </w:pPr>
      <w:bookmarkStart w:id="160" w:name="_Toc16386"/>
      <w:bookmarkStart w:id="161" w:name="_Toc87616402"/>
      <w:bookmarkStart w:id="162" w:name="_Toc88209965"/>
      <w:bookmarkStart w:id="163"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60"/>
      <w:bookmarkEnd w:id="161"/>
      <w:bookmarkEnd w:id="162"/>
      <w:bookmarkEnd w:id="163"/>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336468C"/>
    <w:multiLevelType w:val="singleLevel"/>
    <w:tmpl w:val="0336468C"/>
    <w:lvl w:ilvl="0" w:tentative="0">
      <w:start w:val="1"/>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3D60BA"/>
    <w:rsid w:val="00411689"/>
    <w:rsid w:val="005D618A"/>
    <w:rsid w:val="00911ECD"/>
    <w:rsid w:val="00A042E0"/>
    <w:rsid w:val="00B26BB1"/>
    <w:rsid w:val="00B26E21"/>
    <w:rsid w:val="00F83B64"/>
    <w:rsid w:val="02090C75"/>
    <w:rsid w:val="02A23A3C"/>
    <w:rsid w:val="03AC246A"/>
    <w:rsid w:val="03B23056"/>
    <w:rsid w:val="03DC3EBA"/>
    <w:rsid w:val="03F9794D"/>
    <w:rsid w:val="046A2461"/>
    <w:rsid w:val="06C64829"/>
    <w:rsid w:val="077D16D2"/>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5BC6B3C"/>
    <w:rsid w:val="1694429A"/>
    <w:rsid w:val="17635326"/>
    <w:rsid w:val="18236EFD"/>
    <w:rsid w:val="189D5B1F"/>
    <w:rsid w:val="18A34CD0"/>
    <w:rsid w:val="19B64DBC"/>
    <w:rsid w:val="1A373ACF"/>
    <w:rsid w:val="1A895341"/>
    <w:rsid w:val="1B0D071F"/>
    <w:rsid w:val="1B4568CE"/>
    <w:rsid w:val="1B586367"/>
    <w:rsid w:val="1B9015B7"/>
    <w:rsid w:val="1D5A79EE"/>
    <w:rsid w:val="1E0E2CD0"/>
    <w:rsid w:val="1E831280"/>
    <w:rsid w:val="1EBC4704"/>
    <w:rsid w:val="1F172EB5"/>
    <w:rsid w:val="1F94592D"/>
    <w:rsid w:val="1FB860DE"/>
    <w:rsid w:val="203C5A02"/>
    <w:rsid w:val="209D4C94"/>
    <w:rsid w:val="20E84705"/>
    <w:rsid w:val="218400BA"/>
    <w:rsid w:val="21AB1E2F"/>
    <w:rsid w:val="21D40498"/>
    <w:rsid w:val="22767047"/>
    <w:rsid w:val="23A05588"/>
    <w:rsid w:val="25431AEB"/>
    <w:rsid w:val="25BF43FD"/>
    <w:rsid w:val="25F86BCD"/>
    <w:rsid w:val="269E416A"/>
    <w:rsid w:val="272100D3"/>
    <w:rsid w:val="272C72FC"/>
    <w:rsid w:val="27EB149D"/>
    <w:rsid w:val="27FD3E52"/>
    <w:rsid w:val="28E11370"/>
    <w:rsid w:val="294A756A"/>
    <w:rsid w:val="29D5322D"/>
    <w:rsid w:val="2A025DD9"/>
    <w:rsid w:val="2A7C2231"/>
    <w:rsid w:val="2ABB753D"/>
    <w:rsid w:val="2B7A49FA"/>
    <w:rsid w:val="2C615D26"/>
    <w:rsid w:val="2C9C3D06"/>
    <w:rsid w:val="2CB679ED"/>
    <w:rsid w:val="2D173C07"/>
    <w:rsid w:val="2D424A86"/>
    <w:rsid w:val="2E7B52DB"/>
    <w:rsid w:val="2F324CFE"/>
    <w:rsid w:val="2FBA09F1"/>
    <w:rsid w:val="2FEF2ACF"/>
    <w:rsid w:val="30540211"/>
    <w:rsid w:val="312D7741"/>
    <w:rsid w:val="316F137F"/>
    <w:rsid w:val="31DF525F"/>
    <w:rsid w:val="32324C2E"/>
    <w:rsid w:val="327171DF"/>
    <w:rsid w:val="341E3434"/>
    <w:rsid w:val="360B7EBA"/>
    <w:rsid w:val="369C32FD"/>
    <w:rsid w:val="37666E72"/>
    <w:rsid w:val="38167A04"/>
    <w:rsid w:val="38D90141"/>
    <w:rsid w:val="394B167A"/>
    <w:rsid w:val="3A4E4336"/>
    <w:rsid w:val="3A6007FE"/>
    <w:rsid w:val="3B7C2CE4"/>
    <w:rsid w:val="3C0B5355"/>
    <w:rsid w:val="3CD4176B"/>
    <w:rsid w:val="3D1F44D9"/>
    <w:rsid w:val="3D5C38CD"/>
    <w:rsid w:val="3E5070F1"/>
    <w:rsid w:val="3F6C3589"/>
    <w:rsid w:val="3F850180"/>
    <w:rsid w:val="3F9004D6"/>
    <w:rsid w:val="400E4D5E"/>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F0709E"/>
    <w:rsid w:val="513C6A7B"/>
    <w:rsid w:val="5333545B"/>
    <w:rsid w:val="5450213C"/>
    <w:rsid w:val="5470578E"/>
    <w:rsid w:val="54D24048"/>
    <w:rsid w:val="54D64CD5"/>
    <w:rsid w:val="55887D69"/>
    <w:rsid w:val="561A0928"/>
    <w:rsid w:val="56423872"/>
    <w:rsid w:val="56B279F0"/>
    <w:rsid w:val="579D710E"/>
    <w:rsid w:val="581F22F6"/>
    <w:rsid w:val="586E1E17"/>
    <w:rsid w:val="58862C35"/>
    <w:rsid w:val="58C14957"/>
    <w:rsid w:val="5AE83A50"/>
    <w:rsid w:val="5BAB2917"/>
    <w:rsid w:val="5BFC33FA"/>
    <w:rsid w:val="5C3107A4"/>
    <w:rsid w:val="5C3B1B93"/>
    <w:rsid w:val="5C9220DF"/>
    <w:rsid w:val="5D4A15F3"/>
    <w:rsid w:val="5D69542A"/>
    <w:rsid w:val="5E0930EF"/>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9821375"/>
    <w:rsid w:val="6A334932"/>
    <w:rsid w:val="6A3353FF"/>
    <w:rsid w:val="6A5D63E6"/>
    <w:rsid w:val="6A5F24D1"/>
    <w:rsid w:val="6AE347EB"/>
    <w:rsid w:val="6B434AF0"/>
    <w:rsid w:val="6B57675A"/>
    <w:rsid w:val="6BDD7B4D"/>
    <w:rsid w:val="6EBC0B3A"/>
    <w:rsid w:val="6EF51C7D"/>
    <w:rsid w:val="6F8363E5"/>
    <w:rsid w:val="6FC746F5"/>
    <w:rsid w:val="70317AC6"/>
    <w:rsid w:val="70863262"/>
    <w:rsid w:val="70A76ED3"/>
    <w:rsid w:val="71860B17"/>
    <w:rsid w:val="723B27CC"/>
    <w:rsid w:val="72687227"/>
    <w:rsid w:val="72A03FD9"/>
    <w:rsid w:val="73406CFF"/>
    <w:rsid w:val="7383028C"/>
    <w:rsid w:val="73A25E44"/>
    <w:rsid w:val="741F68CF"/>
    <w:rsid w:val="7426720A"/>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133243"/>
    <w:rsid w:val="7E394207"/>
    <w:rsid w:val="7E4007A2"/>
    <w:rsid w:val="7E791CAD"/>
    <w:rsid w:val="7E94799B"/>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98</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汤</cp:lastModifiedBy>
  <cp:lastPrinted>2022-07-18T08:42:00Z</cp:lastPrinted>
  <dcterms:modified xsi:type="dcterms:W3CDTF">2022-08-24T01:37:15Z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