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highlight w:val="none"/>
          <w:lang w:val="en-US" w:eastAsia="zh-CN"/>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广州市净水有限公司2022年龙归分公司三期景观池增加循环消毒系统及余泥处置站围栏设置项目（第二次）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7519"/>
      <w:bookmarkStart w:id="6" w:name="_Toc1669"/>
      <w:bookmarkStart w:id="7" w:name="_Toc17801"/>
      <w:bookmarkStart w:id="8" w:name="_Toc31938"/>
      <w:bookmarkStart w:id="9" w:name="_Toc4275"/>
      <w:bookmarkStart w:id="10" w:name="_Toc11322"/>
    </w:p>
    <w:p>
      <w:pPr>
        <w:pStyle w:val="4"/>
        <w:jc w:val="both"/>
        <w:rPr>
          <w:rFonts w:hint="eastAsia"/>
          <w:color w:val="auto"/>
          <w:highlight w:val="none"/>
        </w:rPr>
      </w:pPr>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6950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848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spacing w:line="600" w:lineRule="exact"/>
        <w:jc w:val="center"/>
        <w:rPr>
          <w:rFonts w:hint="eastAsia" w:eastAsia="方正小标宋简体" w:asciiTheme="majorHAnsi" w:hAnsiTheme="majorHAnsi" w:cstheme="majorBidi"/>
          <w:b w:val="0"/>
          <w:bCs/>
          <w:color w:val="auto"/>
          <w:sz w:val="36"/>
          <w:szCs w:val="32"/>
          <w:highlight w:val="none"/>
          <w:u w:val="single"/>
          <w:lang w:val="en-US" w:eastAsia="zh-CN"/>
        </w:rPr>
      </w:pPr>
      <w:bookmarkStart w:id="11" w:name="_Toc9680"/>
      <w:bookmarkStart w:id="12" w:name="_Toc21373"/>
      <w:r>
        <w:rPr>
          <w:rFonts w:hint="eastAsia" w:eastAsia="方正小标宋简体" w:asciiTheme="majorHAnsi" w:hAnsiTheme="majorHAnsi" w:cstheme="majorBidi"/>
          <w:b w:val="0"/>
          <w:bCs/>
          <w:color w:val="auto"/>
          <w:sz w:val="36"/>
          <w:szCs w:val="32"/>
          <w:highlight w:val="none"/>
          <w:u w:val="single"/>
          <w:lang w:val="en-US" w:eastAsia="zh-CN"/>
        </w:rPr>
        <w:t>广州市净水有限公司2022年龙归分公司三期景观池增加循环消毒系统及余泥处置站围栏设置项目（第二次）</w:t>
      </w:r>
    </w:p>
    <w:p>
      <w:pPr>
        <w:pStyle w:val="4"/>
        <w:jc w:val="center"/>
        <w:rPr>
          <w:rFonts w:hint="eastAsia" w:eastAsia="方正小标宋简体"/>
          <w:color w:val="auto"/>
          <w:sz w:val="36"/>
          <w:szCs w:val="36"/>
          <w:highlight w:val="none"/>
          <w:lang w:eastAsia="zh-CN"/>
        </w:rPr>
      </w:pPr>
      <w:r>
        <w:rPr>
          <w:rFonts w:hint="eastAsia"/>
          <w:color w:val="auto"/>
          <w:sz w:val="36"/>
          <w:szCs w:val="36"/>
          <w:highlight w:val="none"/>
          <w:lang w:eastAsia="zh-CN"/>
        </w:rPr>
        <w:t>采购公告</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广州市净水有限公司2022年龙归分公司三期景观池增加循环消毒系统及余泥处置站围栏设置项目（第二次）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广州市净水有限公司2022年龙归分公司三期景观池增加循环消毒系统及余泥处置站围栏设置项目（第二次）</w:t>
      </w:r>
    </w:p>
    <w:p>
      <w:pPr>
        <w:widowControl/>
        <w:adjustRightInd/>
        <w:snapToGrid/>
        <w:spacing w:line="240" w:lineRule="auto"/>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XJ-20220826-8</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sz w:val="28"/>
          <w:szCs w:val="28"/>
          <w:highlight w:val="none"/>
          <w:u w:val="single"/>
          <w:lang w:val="en-US" w:eastAsia="zh-CN"/>
        </w:rPr>
        <w:t xml:space="preserve"> </w:t>
      </w:r>
      <w:r>
        <w:rPr>
          <w:rFonts w:hint="eastAsia" w:ascii="仿宋_GB2312" w:eastAsia="仿宋_GB2312" w:cstheme="minorBidi"/>
          <w:color w:val="auto"/>
          <w:sz w:val="28"/>
          <w:szCs w:val="28"/>
          <w:highlight w:val="none"/>
          <w:u w:val="single"/>
          <w:lang w:val="en-US" w:eastAsia="zh-CN"/>
        </w:rPr>
        <w:t>685713.54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其中不含税工程造价为629095元，税率为9%，绿色施工安全防护措施费为18903.15元；</w:t>
      </w:r>
      <w:r>
        <w:rPr>
          <w:rFonts w:hint="eastAsia" w:ascii="仿宋_GB2312" w:hAnsi="仿宋_GB2312" w:eastAsia="仿宋_GB2312" w:cs="仿宋_GB2312"/>
          <w:color w:val="auto"/>
          <w:sz w:val="28"/>
          <w:szCs w:val="28"/>
          <w:highlight w:val="none"/>
        </w:rPr>
        <w:t>绿色施工安全防护措施费为非竞争性费用，报价时须按询价文件规定的金额填写，不得参与竞争，否则按无效报价处理。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utoSpaceDE w:val="0"/>
        <w:autoSpaceDN w:val="0"/>
        <w:adjustRightInd/>
        <w:snapToGrid/>
        <w:spacing w:line="360" w:lineRule="auto"/>
        <w:ind w:firstLine="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color w:val="auto"/>
          <w:sz w:val="28"/>
          <w:szCs w:val="28"/>
          <w:highlight w:val="none"/>
          <w:u w:val="single"/>
          <w:lang w:val="en-US" w:eastAsia="zh-CN"/>
        </w:rPr>
        <w:t>项目一：三期景观池新增紫外线循环消毒系统，包含循环消毒系统工艺、土建、循环管道及配套电气、绿化等；项目二：余泥处置站周边新增隐形防护围栏，栽种绿植及恢复绿化；项目三：全面探测景观池，找出漏水点并做整体修复修复。</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u w:val="single"/>
          <w:lang w:val="en-US" w:eastAsia="zh-CN"/>
        </w:rPr>
        <w:t>45天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龙归分公司</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none"/>
          <w:lang w:val="en-US" w:eastAsia="zh-CN"/>
        </w:rPr>
        <w:t>满足采购文件要求。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市政公用工程施工总承包资质三级（或以上） </w:t>
      </w:r>
      <w:r>
        <w:rPr>
          <w:rFonts w:hint="eastAsia" w:ascii="仿宋_GB2312" w:eastAsia="仿宋_GB2312"/>
          <w:color w:val="auto"/>
          <w:sz w:val="28"/>
          <w:szCs w:val="28"/>
          <w:highlight w:val="none"/>
        </w:rPr>
        <w:t>资质；同时持有建设主管部门颁发的《安全生产许可证》并在有效期内。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具有一项</w:t>
      </w:r>
      <w:r>
        <w:rPr>
          <w:rFonts w:hint="eastAsia" w:ascii="仿宋_GB2312" w:eastAsia="仿宋_GB2312"/>
          <w:color w:val="auto"/>
          <w:sz w:val="28"/>
          <w:szCs w:val="28"/>
          <w:highlight w:val="none"/>
          <w:u w:val="single"/>
        </w:rPr>
        <w:t>类似园林景观施工</w:t>
      </w:r>
      <w:r>
        <w:rPr>
          <w:rFonts w:hint="eastAsia" w:ascii="仿宋_GB2312" w:eastAsia="仿宋_GB2312"/>
          <w:color w:val="auto"/>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市政工程相关专业二级（或以上级别）的注册建造师（或具备符合粤建市〔2010〕26号文规定的小型项目负责人资格</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t>□</w:t>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：供应商可自行选择是否前往现场踏勘，若前往现场踏勘须在规定时间内到达集中地点，逾期不再接待。</w:t>
      </w:r>
    </w:p>
    <w:p>
      <w:pPr>
        <w:pStyle w:val="2"/>
        <w:adjustRightInd w:val="0"/>
        <w:snapToGrid w:val="0"/>
        <w:spacing w:line="600" w:lineRule="exact"/>
        <w:ind w:firstLine="560" w:firstLineChars="200"/>
        <w:rPr>
          <w:rFonts w:hint="eastAsia" w:ascii="仿宋_GB2312" w:eastAsia="仿宋_GB2312" w:hAnsiTheme="minorHAnsi"/>
          <w:color w:val="auto"/>
          <w:sz w:val="28"/>
          <w:szCs w:val="28"/>
          <w:highlight w:val="none"/>
          <w:lang w:eastAsia="zh-CN"/>
        </w:rPr>
      </w:pPr>
      <w:r>
        <w:rPr>
          <w:rFonts w:hint="eastAsia" w:ascii="仿宋_GB2312" w:eastAsia="仿宋_GB2312"/>
          <w:color w:val="auto"/>
          <w:sz w:val="28"/>
          <w:szCs w:val="28"/>
          <w:highlight w:val="none"/>
          <w:lang w:eastAsia="zh-CN"/>
        </w:rPr>
        <w:t>防疫要求：</w:t>
      </w:r>
      <w:r>
        <w:rPr>
          <w:rFonts w:hint="eastAsia" w:ascii="仿宋_GB2312" w:eastAsia="仿宋_GB2312"/>
          <w:color w:val="auto"/>
          <w:sz w:val="28"/>
          <w:szCs w:val="28"/>
          <w:highlight w:val="none"/>
          <w:lang w:val="en-US" w:eastAsia="zh-CN"/>
        </w:rPr>
        <w:t>基于疫情防控形势，授权委托人须通过“广州净水公司”微信公众号当天（提前）预约，填写访客预约信息（包括：1.近7天内行程有异地中高风险地区及所在的地级市（、盟、州、直辖市的区）旅居史的来（返）穗人员拒绝来访；2.近7天行程内有异地本土疫情报告的地级市（、盟、州、直辖市的区）旅居史的来（返）穗人员应持有抵穗后来访前两次核酸检测证明，即“三天两检”（每次至少间隔24小时）3.除上述1、2以外临时来访人员，应持有抵穗后来访前24小时内的核酸检测证明）。待被访部室审核员审批通过后，凭访客手机生成的“通行访客码”通行。于门岗处测温并扫码填写调查问卷，手机显示问卷“提交成功”后方可进入厂区。</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踏勘现场联系人：王工</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 xml:space="preserve">踏勘现场联系人联系方式：13926481665 </w:t>
      </w:r>
    </w:p>
    <w:p>
      <w:pPr>
        <w:adjustRightInd w:val="0"/>
        <w:snapToGrid w:val="0"/>
        <w:spacing w:line="600" w:lineRule="exact"/>
        <w:ind w:firstLine="0"/>
        <w:rPr>
          <w:rFonts w:hint="default" w:ascii="仿宋_GB2312" w:eastAsia="仿宋_GB2312" w:hAnsiTheme="minorHAnsi"/>
          <w:color w:val="auto"/>
          <w:sz w:val="28"/>
          <w:szCs w:val="28"/>
          <w:highlight w:val="none"/>
          <w:lang w:val="en-US"/>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30</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-15</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non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广州市白云区龙归街南岭龙归北路20号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pStyle w:val="2"/>
        <w:rPr>
          <w:rFonts w:hint="eastAsia"/>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23749"/>
      <w:bookmarkStart w:id="16" w:name="_Toc32588"/>
      <w:bookmarkStart w:id="17" w:name="_Toc19295"/>
      <w:bookmarkStart w:id="18" w:name="_Toc7340"/>
      <w:bookmarkStart w:id="19" w:name="_Toc16557"/>
      <w:bookmarkStart w:id="20" w:name="_Toc16705"/>
      <w:bookmarkStart w:id="21" w:name="_Toc2331"/>
      <w:bookmarkStart w:id="22" w:name="_Toc25603"/>
      <w:bookmarkStart w:id="23" w:name="_Toc2324"/>
    </w:p>
    <w:p>
      <w:pPr>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20594"/>
      <w:bookmarkStart w:id="36" w:name="_Toc7118"/>
      <w:bookmarkStart w:id="37" w:name="_Toc14870"/>
      <w:bookmarkStart w:id="38" w:name="_Toc23581"/>
      <w:bookmarkStart w:id="39" w:name="_Toc10930"/>
      <w:bookmarkStart w:id="40" w:name="_Toc3156"/>
      <w:bookmarkStart w:id="41" w:name="_Toc4952"/>
      <w:bookmarkStart w:id="42" w:name="_Toc19050"/>
      <w:bookmarkStart w:id="43" w:name="_Toc14552"/>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7831"/>
      <w:bookmarkStart w:id="46" w:name="_Toc87616378"/>
      <w:bookmarkStart w:id="47" w:name="_Toc88209941"/>
      <w:bookmarkStart w:id="48" w:name="_Toc22212"/>
      <w:bookmarkStart w:id="49" w:name="_Toc21840"/>
      <w:bookmarkStart w:id="50" w:name="_Toc13898"/>
      <w:bookmarkStart w:id="51" w:name="_Toc32607"/>
      <w:bookmarkStart w:id="52" w:name="_Toc29484"/>
      <w:bookmarkStart w:id="53" w:name="_Toc21079"/>
      <w:bookmarkStart w:id="54" w:name="_Toc12177"/>
      <w:bookmarkStart w:id="55" w:name="_Toc30530"/>
      <w:bookmarkStart w:id="56" w:name="_Toc29345"/>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t>经评审的最低价法</w:t>
      </w:r>
    </w:p>
    <w:bookmarkEnd w:id="58"/>
    <w:bookmarkEnd w:id="59"/>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2"/>
        <w:rPr>
          <w:rFonts w:hint="eastAsia"/>
          <w:color w:val="auto"/>
          <w:szCs w:val="44"/>
          <w:highlight w:val="none"/>
        </w:rPr>
      </w:pPr>
    </w:p>
    <w:p>
      <w:pPr>
        <w:pStyle w:val="2"/>
        <w:rPr>
          <w:rFonts w:hint="eastAsia"/>
          <w:color w:val="auto"/>
          <w:szCs w:val="44"/>
          <w:highlight w:val="none"/>
        </w:rPr>
      </w:pPr>
    </w:p>
    <w:p>
      <w:pPr>
        <w:pStyle w:val="12"/>
        <w:numPr>
          <w:ilvl w:val="0"/>
          <w:numId w:val="4"/>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autoSpaceDE w:val="0"/>
        <w:autoSpaceDN w:val="0"/>
        <w:adjustRightInd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项目一：三期景观池新增紫外线循环消毒系统，包含循环消毒系统工艺、土建、循环管道及配套电气、绿化等；</w:t>
      </w:r>
    </w:p>
    <w:p>
      <w:pPr>
        <w:autoSpaceDE w:val="0"/>
        <w:autoSpaceDN w:val="0"/>
        <w:adjustRightInd w:val="0"/>
        <w:snapToGrid w:val="0"/>
        <w:spacing w:line="360" w:lineRule="auto"/>
        <w:ind w:firstLine="560" w:firstLineChars="200"/>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项目二：余泥处置站周边新增隐形防护围栏，栽种绿植及恢复绿化；</w:t>
      </w:r>
    </w:p>
    <w:p>
      <w:pPr>
        <w:autoSpaceDE w:val="0"/>
        <w:autoSpaceDN w:val="0"/>
        <w:adjustRightInd w:val="0"/>
        <w:snapToGrid w:val="0"/>
        <w:spacing w:line="360" w:lineRule="auto"/>
        <w:ind w:firstLine="560" w:firstLineChars="200"/>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项目三：全面探测景观池，找出漏水点并做整体修复修复。</w:t>
      </w:r>
    </w:p>
    <w:p>
      <w:pPr>
        <w:pStyle w:val="12"/>
        <w:numPr>
          <w:ilvl w:val="0"/>
          <w:numId w:val="0"/>
        </w:numPr>
        <w:adjustRightInd w:val="0"/>
        <w:snapToGrid w:val="0"/>
        <w:spacing w:line="300" w:lineRule="auto"/>
        <w:ind w:left="0" w:leftChars="0" w:firstLine="0" w:firstLineChars="0"/>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二、</w:t>
      </w:r>
      <w:r>
        <w:rPr>
          <w:rFonts w:hint="eastAsia" w:ascii="仿宋" w:hAnsi="仿宋" w:eastAsia="仿宋" w:cs="仿宋_GB2312"/>
          <w:b/>
          <w:color w:val="auto"/>
          <w:sz w:val="28"/>
          <w:szCs w:val="28"/>
          <w:highlight w:val="none"/>
        </w:rPr>
        <w:t>项目技术要求</w:t>
      </w:r>
    </w:p>
    <w:p>
      <w:pPr>
        <w:pStyle w:val="10"/>
        <w:ind w:firstLine="40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仿宋_GB2312" w:hAnsi="仿宋_GB2312" w:eastAsia="仿宋_GB2312" w:cs="仿宋_GB2312"/>
          <w:b w:val="0"/>
          <w:bCs w:val="0"/>
          <w:color w:val="auto"/>
          <w:sz w:val="28"/>
          <w:szCs w:val="28"/>
          <w:highlight w:val="none"/>
          <w:lang w:val="en-US" w:eastAsia="zh-CN"/>
        </w:rPr>
        <w:t>工程量清单：</w:t>
      </w:r>
    </w:p>
    <w:tbl>
      <w:tblPr>
        <w:tblStyle w:val="23"/>
        <w:tblW w:w="87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1"/>
        <w:gridCol w:w="1297"/>
        <w:gridCol w:w="3836"/>
        <w:gridCol w:w="1284"/>
        <w:gridCol w:w="1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94" w:hRule="atLeast"/>
        </w:trPr>
        <w:tc>
          <w:tcPr>
            <w:tcW w:w="871"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29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w:t>
            </w:r>
          </w:p>
        </w:tc>
        <w:tc>
          <w:tcPr>
            <w:tcW w:w="383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项目特征描述</w:t>
            </w:r>
          </w:p>
        </w:tc>
        <w:tc>
          <w:tcPr>
            <w:tcW w:w="128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计量单位</w:t>
            </w:r>
          </w:p>
        </w:tc>
        <w:tc>
          <w:tcPr>
            <w:tcW w:w="15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循环消毒系统</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设备井</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挖沟槽土方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1.挖沟槽土方，挖掘机开挖*0.95；人工开挖*0.05</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270.306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1.回填土 夯实机夯实 槽、坑</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105.9285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余方弃置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1.挖掘机装土方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2.自卸汽车运土方 运距1km内 实际运距(km):20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164.3775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现浇构件钢筋</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1.现浇构件圆钢 φ25内</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套管制作、安装</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1.DN50刚性套管</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套管制作、安装</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1.DN80刚性套管</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现浇混凝土池底</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1.150mm现浇钢砼池底</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17.6175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现浇混凝土池壁(隔墙)</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1.200mm现浇钢砼池壁</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不锈钢盖板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1.不锈钢盖板购装，尺寸详见图纸</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刚性防水</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1.池底抹灰：20mm厚M7.5水泥防水砂浆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刚性防水</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1.池壁抹灰：20mm厚M7.5水泥防水砂浆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垫层</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1.C15素砼垫层</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2.垫层厚度：100mm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C15素砼设备基础</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1.C15素砼设备基础</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5.9136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预埋铁件</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1.预埋C20槽钢、吊环、止水钢板</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t</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井、池渗漏试验</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块料墙面</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1.池壁贴块料600*600块料面砖</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2.20mm 1：2.5水泥砂浆找平层</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设备井合计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一体化设备</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一体化设备</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1.成套设备，含水泵、砂缸、消毒设备，详见图纸</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控制箱</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1.配置详见图纸</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回水口 DN50 ABS</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1.回水口 DN50 ABS</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布水口DN80 ABS</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1.可调节流量式布水口</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个</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一体化设备合计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工艺管网</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挖沟槽土方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1.挖掘机装土方</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余方弃置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1.自卸汽车运土方 运距1km内 实际运距(km):20</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0.5672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1.管基内回填中粗砂</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回填方</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1.管基内原土回填</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56.1491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低压塑料管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1.PE聚乙烯给水管 PE100 0.6Mpa</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4"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人行道砖恢复</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1.人行道砖 1：3水泥砂浆垫层(结合层) 厚度3cm</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2.水泥石屑混合料 水泥含量 6% 厚度(cm):30</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3.水泥混凝土路面 厚度 15cm</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工艺管网合计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绿化园建</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铺种草皮</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1.台湾草恢复</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2.草皮保养 人工灌溉 养护期4个月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绿化园建合计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隐形不锈钢护栏</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94"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铁艺栏杆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1.防护材料种类:不锈钢</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2.栏杆高度:1.5米</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3.主要参数:直径8mm*9根不锈钢绳索、2000x100x10厚钢板（间距2米）面喷墨绿色漆</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隐形不锈钢护栏合计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循环消毒系统合计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7"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电气</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配电箱</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1.1000*800配电箱购装</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2.户外安装</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3.箱内配置详见配电图</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台</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电缆保护管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1.SC50保护管埋地敷设</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2.工程量按图纸框算</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电缆保护管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1.SC30保护管埋地敷设</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2.工程量按图纸框算</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电力电缆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1.WDZB-1KV-4*35+1*16</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电力电缆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1.ZR-YJV-5*6</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电力电缆</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1.ZR-YJV-5*4</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电气合计</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漏水点检测与修复</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6"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池渗漏试验</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1.构筑物名称:景观池</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2.试验方式:闭水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3.其他:检查、排水、现场清理等</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m3</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89"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防水堵漏（单价暂定）</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1.部位:景观池</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2.材质:按现场据实确定</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3.工艺要求:对景观池空鼓区域、穿管区域进行详细摸排，据实制定方案</w:t>
            </w: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挡土板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池底模板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39</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池壁(隔墙)模板</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871"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40</w:t>
            </w:r>
          </w:p>
        </w:tc>
        <w:tc>
          <w:tcPr>
            <w:tcW w:w="129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楼梯</w:t>
            </w:r>
          </w:p>
        </w:tc>
        <w:tc>
          <w:tcPr>
            <w:tcW w:w="383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both"/>
              <w:rPr>
                <w:rFonts w:hint="eastAsia" w:ascii="仿宋" w:hAnsi="仿宋" w:eastAsia="仿宋" w:cs="仿宋"/>
                <w:color w:val="auto"/>
                <w:sz w:val="24"/>
                <w:szCs w:val="24"/>
                <w:highlight w:val="none"/>
                <w:lang w:val="en-US" w:eastAsia="zh-CN"/>
              </w:rPr>
            </w:pPr>
          </w:p>
        </w:tc>
        <w:tc>
          <w:tcPr>
            <w:tcW w:w="128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m2</w:t>
            </w:r>
          </w:p>
        </w:tc>
        <w:tc>
          <w:tcPr>
            <w:tcW w:w="1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pStyle w:val="2"/>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15.9</w:t>
            </w:r>
          </w:p>
        </w:tc>
      </w:tr>
    </w:tbl>
    <w:p>
      <w:pPr>
        <w:pStyle w:val="2"/>
        <w:rPr>
          <w:rFonts w:hint="eastAsia" w:ascii="仿宋" w:hAnsi="仿宋" w:eastAsia="仿宋" w:cs="仿宋"/>
          <w:color w:val="auto"/>
          <w:sz w:val="28"/>
          <w:szCs w:val="28"/>
          <w:highlight w:val="none"/>
          <w:lang w:val="en-US" w:eastAsia="zh-CN"/>
        </w:rPr>
      </w:pPr>
    </w:p>
    <w:p>
      <w:pPr>
        <w:autoSpaceDE w:val="0"/>
        <w:autoSpaceDN w:val="0"/>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项目特殊</w:t>
      </w:r>
      <w:r>
        <w:rPr>
          <w:rFonts w:hint="eastAsia" w:ascii="仿宋_GB2312" w:hAnsi="仿宋_GB2312" w:eastAsia="仿宋_GB2312" w:cs="仿宋_GB2312"/>
          <w:color w:val="auto"/>
          <w:sz w:val="28"/>
          <w:szCs w:val="28"/>
          <w:highlight w:val="none"/>
          <w:lang w:val="zh-CN"/>
        </w:rPr>
        <w:t>要求：</w:t>
      </w:r>
      <w:r>
        <w:rPr>
          <w:rFonts w:hint="eastAsia" w:ascii="仿宋_GB2312" w:hAnsi="仿宋_GB2312" w:eastAsia="仿宋_GB2312" w:cs="仿宋_GB2312"/>
          <w:color w:val="auto"/>
          <w:sz w:val="28"/>
          <w:szCs w:val="28"/>
          <w:highlight w:val="none"/>
          <w:lang w:val="en-US" w:eastAsia="zh-CN"/>
        </w:rPr>
        <w:t>无</w:t>
      </w:r>
      <w:r>
        <w:rPr>
          <w:rFonts w:hint="eastAsia" w:ascii="仿宋_GB2312" w:hAnsi="仿宋_GB2312" w:eastAsia="仿宋_GB2312" w:cs="仿宋_GB2312"/>
          <w:color w:val="auto"/>
          <w:sz w:val="28"/>
          <w:szCs w:val="28"/>
          <w:highlight w:val="none"/>
        </w:rPr>
        <w:t>。</w:t>
      </w:r>
    </w:p>
    <w:p>
      <w:pPr>
        <w:pStyle w:val="12"/>
        <w:adjustRightInd w:val="0"/>
        <w:snapToGrid w:val="0"/>
        <w:spacing w:line="300" w:lineRule="auto"/>
        <w:ind w:firstLine="562" w:firstLineChars="20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rPr>
        <w:t>三</w:t>
      </w:r>
      <w:r>
        <w:rPr>
          <w:rFonts w:hint="eastAsia" w:ascii="仿宋_GB2312" w:hAnsi="仿宋_GB2312" w:eastAsia="仿宋_GB2312" w:cs="仿宋_GB2312"/>
          <w:b/>
          <w:color w:val="auto"/>
          <w:sz w:val="28"/>
          <w:szCs w:val="28"/>
          <w:highlight w:val="none"/>
          <w:lang w:val="zh-CN"/>
        </w:rPr>
        <w:t>、项目商务要求</w:t>
      </w:r>
    </w:p>
    <w:bookmarkEnd w:id="60"/>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1.工期：</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工期：</w:t>
      </w:r>
      <w:r>
        <w:rPr>
          <w:rFonts w:hint="eastAsia" w:ascii="仿宋_GB2312" w:hAnsi="仿宋_GB2312" w:eastAsia="仿宋_GB2312" w:cs="仿宋_GB2312"/>
          <w:color w:val="auto"/>
          <w:sz w:val="28"/>
          <w:szCs w:val="28"/>
          <w:highlight w:val="none"/>
          <w:lang w:val="en-US" w:eastAsia="zh-CN"/>
        </w:rPr>
        <w:t>45</w:t>
      </w:r>
      <w:r>
        <w:rPr>
          <w:rFonts w:hint="eastAsia" w:ascii="仿宋_GB2312" w:hAnsi="仿宋_GB2312" w:eastAsia="仿宋_GB2312" w:cs="仿宋_GB2312"/>
          <w:color w:val="auto"/>
          <w:sz w:val="28"/>
          <w:szCs w:val="28"/>
          <w:highlight w:val="none"/>
          <w:lang w:val="zh-CN" w:eastAsia="zh-CN"/>
        </w:rPr>
        <w:t>天，具体开工时间以开工报告时间为准。。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施工期：具体日期以甲方（业主）发出的开工令为准，工作必须在</w:t>
      </w:r>
      <w:r>
        <w:rPr>
          <w:rFonts w:hint="eastAsia" w:ascii="仿宋_GB2312" w:hAnsi="仿宋_GB2312" w:eastAsia="仿宋_GB2312" w:cs="仿宋_GB2312"/>
          <w:color w:val="auto"/>
          <w:sz w:val="28"/>
          <w:szCs w:val="28"/>
          <w:highlight w:val="none"/>
          <w:lang w:val="en-US" w:eastAsia="zh-CN"/>
        </w:rPr>
        <w:t>45天内</w:t>
      </w:r>
      <w:r>
        <w:rPr>
          <w:rFonts w:hint="eastAsia" w:ascii="仿宋_GB2312" w:hAnsi="仿宋_GB2312" w:eastAsia="仿宋_GB2312" w:cs="仿宋_GB2312"/>
          <w:color w:val="auto"/>
          <w:sz w:val="28"/>
          <w:szCs w:val="28"/>
          <w:highlight w:val="none"/>
          <w:lang w:val="zh-CN" w:eastAsia="zh-CN"/>
        </w:rPr>
        <w:t>完成。</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2.质量要求：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（1）验收规范：执行《中华人民共和国行业标准--建筑拆除工程安全技术规范JGJ147-2016》、《建筑工程施工质量验收统─标准》GB50300-2013、《给水排水管道工程施工及验收规范》GB 50268 - 2008。</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（2）整体符合厂区美观要求。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3.安全文明施工要求：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（1）在工程进行中，承包单位要注意保护场内的各种管线和设施。若有任何损坏，须立即通知有关部门和发包人，并由损坏单位承担损失和修复费用。</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4.总包及分包规定：</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承包单位不许转包，不许擅自分包, 否则，发包人有权单方面终止合同，并令其立即退场，由此而造成的经济损失由承包单位负责赔偿。</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5.保修期：质保期为验收合格之日起1年。</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6.发包人将自承包商履行完合同义务之日起三十个工作日内组织验收，验收要求、验收标准及方法如下：</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（1）验收依据：询价文件、询价响应文件、相关国家的质量标准规定等均为验收依据。</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（2）承包单位根据要求进行改造，完成之后，改造区域应符合使用要求，并且符合美观与周边环境协调的要求。</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（3）发包人有权委托我国相关具有检验资质的部门、单位、机构针对项目进行检验。其检验结果将作为验收标准的组成部分之一。</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（4）验收时承包单位必须派代表参加。</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（5）验收过程所发生的一切费用由承包单位承担。</w:t>
      </w:r>
    </w:p>
    <w:p>
      <w:pPr>
        <w:pStyle w:val="2"/>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7.付款方式：采用网银支付。</w:t>
      </w:r>
    </w:p>
    <w:p>
      <w:pPr>
        <w:pStyle w:val="2"/>
        <w:rPr>
          <w:rFonts w:ascii="仿宋_GB2312" w:eastAsia="仿宋_GB2312" w:hAnsiTheme="minorEastAsia"/>
          <w:color w:val="auto"/>
          <w:szCs w:val="21"/>
          <w:highlight w:val="none"/>
        </w:rPr>
      </w:pPr>
      <w:r>
        <w:rPr>
          <w:rFonts w:hint="eastAsia" w:ascii="仿宋_GB2312" w:hAnsi="仿宋_GB2312" w:eastAsia="仿宋_GB2312" w:cs="仿宋_GB2312"/>
          <w:color w:val="auto"/>
          <w:sz w:val="28"/>
          <w:szCs w:val="28"/>
          <w:highlight w:val="none"/>
          <w:lang w:val="zh-CN" w:eastAsia="zh-CN"/>
        </w:rPr>
        <w:t>8.承包方式：包工、包料、包工期、包质量、包安全、包文明施工。综合单价包干、项目措施费包干。</w:t>
      </w:r>
    </w:p>
    <w:p>
      <w:pPr>
        <w:pStyle w:val="2"/>
        <w:rPr>
          <w:color w:val="auto"/>
          <w:highlight w:val="none"/>
        </w:rPr>
      </w:pPr>
    </w:p>
    <w:p>
      <w:pPr>
        <w:pStyle w:val="2"/>
        <w:rPr>
          <w:color w:val="auto"/>
          <w:highlight w:val="none"/>
        </w:rPr>
      </w:pPr>
    </w:p>
    <w:p>
      <w:pPr>
        <w:pStyle w:val="4"/>
        <w:rPr>
          <w:color w:val="auto"/>
          <w:highlight w:val="none"/>
        </w:rPr>
      </w:pPr>
      <w:bookmarkStart w:id="61" w:name="_Toc29835"/>
      <w:bookmarkStart w:id="62" w:name="_Toc12135"/>
      <w:bookmarkStart w:id="63" w:name="_Toc23330"/>
      <w:bookmarkStart w:id="64" w:name="_Toc4680"/>
      <w:bookmarkStart w:id="65" w:name="_Toc23353"/>
      <w:bookmarkStart w:id="66" w:name="_Toc1496"/>
      <w:bookmarkStart w:id="67" w:name="_Toc15570"/>
      <w:bookmarkStart w:id="68" w:name="_Toc537"/>
      <w:bookmarkStart w:id="69" w:name="_Toc25925"/>
      <w:bookmarkStart w:id="70" w:name="_Toc1284"/>
      <w:bookmarkStart w:id="71" w:name="_Toc18538"/>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2359025</wp:posOffset>
                </wp:positionH>
                <wp:positionV relativeFrom="paragraph">
                  <wp:posOffset>732790</wp:posOffset>
                </wp:positionV>
                <wp:extent cx="958850" cy="0"/>
                <wp:effectExtent l="0" t="0" r="0" b="0"/>
                <wp:wrapNone/>
                <wp:docPr id="1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185.75pt;margin-top:57.7pt;height:0pt;width:75.5pt;z-index:251675648;mso-width-relative:page;mso-height-relative:page;" filled="f" stroked="t" coordsize="21600,21600" o:gfxdata="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LDtn/XAAAACwEAAA8AAAAAAAAAAQAgAAAAIgAAAGRycy9kb3ducmV2LnhtbFBL&#10;AQIUABQAAAAIAIdO4kDIilOu9wEAAPEDAAAOAAAAAAAAAAEAIAAAACY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2334260</wp:posOffset>
                </wp:positionH>
                <wp:positionV relativeFrom="paragraph">
                  <wp:posOffset>133350</wp:posOffset>
                </wp:positionV>
                <wp:extent cx="958850" cy="0"/>
                <wp:effectExtent l="0" t="0" r="0" b="0"/>
                <wp:wrapNone/>
                <wp:docPr id="1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183.8pt;margin-top:10.5pt;height:0pt;width:75.5pt;z-index:251674624;mso-width-relative:page;mso-height-relative:page;" filled="f" stroked="t" coordsize="21600,21600" o:gfxdata="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DxQv9YAAAAJAQAADwAAAAAAAAABACAAAAAiAAAAZHJzL2Rvd25yZXYueG1sUEsB&#10;AhQAFAAAAAgAh07iQGqKhH73AQAA8QMAAA4AAAAAAAAAAQAgAAAAJQ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第六章</w:t>
      </w:r>
    </w:p>
    <w:bookmarkEnd w:id="61"/>
    <w:bookmarkEnd w:id="62"/>
    <w:bookmarkEnd w:id="63"/>
    <w:bookmarkEnd w:id="64"/>
    <w:bookmarkEnd w:id="65"/>
    <w:bookmarkEnd w:id="66"/>
    <w:bookmarkEnd w:id="67"/>
    <w:bookmarkEnd w:id="68"/>
    <w:bookmarkEnd w:id="69"/>
    <w:bookmarkEnd w:id="70"/>
    <w:bookmarkEnd w:id="71"/>
    <w:p>
      <w:pPr>
        <w:pStyle w:val="37"/>
        <w:rPr>
          <w:color w:val="auto"/>
          <w:highlight w:val="none"/>
        </w:rPr>
      </w:pPr>
    </w:p>
    <w:p>
      <w:pPr>
        <w:pStyle w:val="4"/>
        <w:rPr>
          <w:color w:val="auto"/>
          <w:highlight w:val="none"/>
        </w:rPr>
      </w:pPr>
      <w:bookmarkStart w:id="72" w:name="_Toc22797"/>
      <w:bookmarkStart w:id="73" w:name="_Toc323"/>
      <w:bookmarkStart w:id="74" w:name="_Toc12980"/>
      <w:bookmarkStart w:id="75" w:name="_Toc19686"/>
      <w:bookmarkStart w:id="76" w:name="_Toc1375"/>
      <w:bookmarkStart w:id="77" w:name="_Toc12721"/>
      <w:bookmarkStart w:id="78" w:name="_Toc12968"/>
      <w:bookmarkStart w:id="79" w:name="_Toc87616386"/>
      <w:bookmarkStart w:id="80" w:name="_Toc19088"/>
      <w:bookmarkStart w:id="81" w:name="_Toc22501"/>
      <w:bookmarkStart w:id="82" w:name="_Toc88209949"/>
      <w:bookmarkStart w:id="83" w:name="_Toc8183"/>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spacing w:line="400" w:lineRule="atLeast"/>
        <w:jc w:val="center"/>
        <w:rPr>
          <w:rFonts w:hint="eastAsia" w:ascii="宋体" w:hAnsi="宋体" w:cs="宋体"/>
          <w:b/>
          <w:bCs/>
          <w:color w:val="auto"/>
          <w:sz w:val="48"/>
          <w:szCs w:val="48"/>
          <w:highlight w:val="none"/>
        </w:rPr>
      </w:pPr>
      <w:bookmarkStart w:id="85" w:name="_Toc23515"/>
      <w:bookmarkStart w:id="86" w:name="_Toc3723"/>
      <w:bookmarkStart w:id="87" w:name="_Toc1563"/>
      <w:bookmarkStart w:id="88" w:name="_Toc5129"/>
      <w:bookmarkStart w:id="89" w:name="_Toc16552"/>
      <w:bookmarkStart w:id="90" w:name="_Toc12169"/>
      <w:bookmarkStart w:id="91" w:name="_Toc30824"/>
      <w:bookmarkStart w:id="92" w:name="_Toc28358"/>
      <w:bookmarkStart w:id="93" w:name="_Toc21847"/>
      <w:bookmarkStart w:id="94" w:name="_Toc6230"/>
      <w:bookmarkStart w:id="95" w:name="_Toc8147"/>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Cambria" w:hAnsi="Cambria" w:eastAsia="宋体"/>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r>
        <w:rPr>
          <w:rFonts w:hint="eastAsia" w:ascii="宋体" w:hAnsi="宋体"/>
          <w:bCs/>
          <w:color w:val="auto"/>
          <w:sz w:val="28"/>
          <w:highlight w:val="none"/>
        </w:rPr>
        <w:t>（示范文本）</w:t>
      </w: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2022年龙归分公司三期景观池增加循环消毒系统及余泥处置站围栏设置项目（第二次）</w:t>
      </w:r>
    </w:p>
    <w:p>
      <w:pPr>
        <w:pStyle w:val="28"/>
        <w:rPr>
          <w:rFonts w:hint="eastAsia" w:ascii="宋体" w:hAnsi="宋体" w:eastAsia="宋体" w:cs="宋体"/>
          <w:color w:val="auto"/>
          <w:highlight w:val="none"/>
          <w:lang w:val="en-US" w:eastAsia="zh-CN"/>
        </w:rPr>
      </w:pPr>
      <w:r>
        <w:rPr>
          <w:rFonts w:hint="eastAsia" w:ascii="宋体" w:hAnsi="宋体" w:eastAsia="宋体" w:cs="宋体"/>
          <w:b/>
          <w:color w:val="auto"/>
          <w:sz w:val="30"/>
          <w:szCs w:val="30"/>
          <w:highlight w:val="none"/>
          <w:lang w:val="en-US" w:eastAsia="zh-CN"/>
        </w:rPr>
        <w:t>项目编号：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beforeLines="-2147483648" w:line="400" w:lineRule="atLeast"/>
        <w:ind w:left="0" w:leftChars="0" w:firstLine="0" w:firstLineChars="0"/>
        <w:rPr>
          <w:rFonts w:hint="eastAsia" w:ascii="宋体" w:hAnsi="宋体" w:cs="宋体"/>
          <w:color w:val="auto"/>
          <w:sz w:val="24"/>
          <w:highlight w:val="none"/>
        </w:rPr>
      </w:pPr>
      <w:r>
        <w:rPr>
          <w:rFonts w:hint="eastAsia" w:ascii="宋体" w:hAnsi="宋体" w:cs="宋体"/>
          <w:b/>
          <w:color w:val="auto"/>
          <w:sz w:val="30"/>
          <w:highlight w:val="none"/>
        </w:rPr>
        <w:t>签约地点：广州市</w:t>
      </w:r>
    </w:p>
    <w:p>
      <w:pPr>
        <w:spacing w:beforeLines="30" w:line="384" w:lineRule="auto"/>
        <w:rPr>
          <w:rFonts w:hint="eastAsia" w:ascii="宋体" w:hAnsi="宋体" w:cs="宋体"/>
          <w:color w:val="auto"/>
          <w:sz w:val="24"/>
          <w:highlight w:val="none"/>
        </w:rPr>
      </w:pPr>
    </w:p>
    <w:p>
      <w:pPr>
        <w:spacing w:beforeLines="30" w:line="384" w:lineRule="auto"/>
        <w:ind w:left="210" w:leftChars="100" w:firstLine="600" w:firstLineChars="250"/>
        <w:rPr>
          <w:rFonts w:hint="eastAsia" w:ascii="宋体" w:hAnsi="宋体" w:cs="宋体"/>
          <w:b/>
          <w:bCs/>
          <w:color w:val="auto"/>
          <w:sz w:val="24"/>
          <w:highlight w:val="none"/>
        </w:rPr>
      </w:pPr>
      <w:bookmarkStart w:id="153" w:name="_GoBack"/>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w:t>
      </w:r>
      <w:bookmarkEnd w:id="153"/>
      <w:r>
        <w:rPr>
          <w:rFonts w:hint="eastAsia" w:ascii="宋体" w:hAnsi="宋体" w:cs="宋体"/>
          <w:color w:val="auto"/>
          <w:sz w:val="24"/>
          <w:highlight w:val="none"/>
        </w:rPr>
        <w:t>、行政法规，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 xml:space="preserve">（以下简称“乙方”）就 </w:t>
      </w:r>
      <w:r>
        <w:rPr>
          <w:rFonts w:hint="eastAsia" w:ascii="宋体" w:hAnsi="宋体" w:cs="宋体"/>
          <w:color w:val="auto"/>
          <w:sz w:val="24"/>
          <w:highlight w:val="none"/>
          <w:u w:val="single"/>
          <w:lang w:val="en-US" w:eastAsia="zh-CN"/>
        </w:rPr>
        <w:t>广州市净水有限公司2022年龙归分公司三期景观池增加循环消毒系统及余泥处置站围栏设置项目（第二次）</w:t>
      </w:r>
      <w:r>
        <w:rPr>
          <w:rFonts w:hint="eastAsia" w:ascii="宋体" w:hAnsi="宋体" w:cs="宋体"/>
          <w:color w:val="auto"/>
          <w:sz w:val="24"/>
          <w:highlight w:val="none"/>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384" w:lineRule="auto"/>
        <w:ind w:firstLine="482"/>
        <w:rPr>
          <w:rFonts w:ascii="宋体" w:hAnsi="宋体" w:cs="宋体"/>
          <w:bCs/>
          <w:color w:val="auto"/>
          <w:sz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⑼ 本合同其他附件；</w:t>
      </w:r>
    </w:p>
    <w:p>
      <w:pPr>
        <w:spacing w:line="384" w:lineRule="auto"/>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广州市净水有限公司2022年龙归分公司三期景观池增加循环消毒系统及余泥处置站围栏设置项目（第二次）</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2.2项目地点：</w:t>
      </w:r>
      <w:r>
        <w:rPr>
          <w:rFonts w:hint="eastAsia" w:ascii="宋体" w:hAnsi="宋体" w:cs="宋体"/>
          <w:color w:val="auto"/>
          <w:sz w:val="24"/>
          <w:highlight w:val="none"/>
          <w:u w:val="single"/>
          <w:lang w:eastAsia="zh-CN"/>
        </w:rPr>
        <w:t>广州市净水有限公司龙归分公司</w:t>
      </w:r>
      <w:r>
        <w:rPr>
          <w:rFonts w:hint="eastAsia" w:ascii="宋体" w:hAnsi="宋体" w:cs="宋体"/>
          <w:color w:val="auto"/>
          <w:sz w:val="24"/>
          <w:highlight w:val="none"/>
          <w:u w:val="single"/>
        </w:rPr>
        <w:t>。</w:t>
      </w:r>
    </w:p>
    <w:p>
      <w:pPr>
        <w:spacing w:line="384" w:lineRule="auto"/>
        <w:ind w:firstLine="480" w:firstLineChars="200"/>
        <w:rPr>
          <w:rFonts w:hint="eastAsia" w:ascii="宋体" w:hAnsi="宋体" w:eastAsia="宋体" w:cs="宋体"/>
          <w:color w:val="auto"/>
          <w:sz w:val="24"/>
          <w:highlight w:val="none"/>
          <w:lang w:val="zh-CN"/>
        </w:rPr>
      </w:pPr>
      <w:r>
        <w:rPr>
          <w:rFonts w:hint="eastAsia" w:ascii="宋体" w:hAnsi="宋体" w:cs="宋体"/>
          <w:color w:val="auto"/>
          <w:sz w:val="24"/>
          <w:highlight w:val="none"/>
        </w:rPr>
        <w:t>2.3项目内容：</w:t>
      </w:r>
      <w:r>
        <w:rPr>
          <w:rFonts w:hint="eastAsia" w:ascii="宋体" w:hAnsi="宋体" w:eastAsia="宋体" w:cs="宋体"/>
          <w:color w:val="auto"/>
          <w:sz w:val="24"/>
          <w:highlight w:val="none"/>
          <w:lang w:val="en-US" w:eastAsia="zh-CN"/>
        </w:rPr>
        <w:t xml:space="preserve">项目一：三期景观池新增紫外线循环消毒系统，包含循环消毒系统工艺、土建、循环管道及配套电气、绿化等；项目二：余泥处置站周边新增隐形防护围栏，栽种绿植及恢复绿化；项目三：全面探测景观池，找出漏水点并做整体修复修复。 </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hint="eastAsia" w:ascii="宋体" w:hAnsi="宋体" w:eastAsia="宋体" w:cs="宋体"/>
          <w:b/>
          <w:bCs/>
          <w:color w:val="auto"/>
          <w:sz w:val="24"/>
          <w:highlight w:val="none"/>
          <w:lang w:val="en-US" w:eastAsia="zh-CN"/>
        </w:rPr>
      </w:pPr>
      <w:r>
        <w:rPr>
          <w:rFonts w:hint="eastAsia" w:ascii="宋体" w:hAnsi="宋体" w:cs="宋体"/>
          <w:color w:val="auto"/>
          <w:szCs w:val="21"/>
          <w:highlight w:val="none"/>
        </w:rPr>
        <w:sym w:font="Wingdings 2" w:char="00A3"/>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bookmarkStart w:id="96" w:name="_Toc520190043"/>
      <w:bookmarkStart w:id="97" w:name="_Toc474245229"/>
      <w:bookmarkStart w:id="98" w:name="_Toc518993003"/>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8"/>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u w:val="single"/>
          <w:lang w:val="en-US" w:eastAsia="zh-CN"/>
        </w:rPr>
        <w:t>45</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，超过_</w:t>
      </w:r>
      <w:r>
        <w:rPr>
          <w:rFonts w:hint="eastAsia" w:ascii="宋体" w:hAnsi="宋体" w:cs="宋体"/>
          <w:bCs/>
          <w:color w:val="auto"/>
          <w:sz w:val="24"/>
          <w:highlight w:val="none"/>
          <w:u w:val="single"/>
          <w:lang w:eastAsia="zh-CN"/>
        </w:rPr>
        <w:t>5</w:t>
      </w:r>
      <w:r>
        <w:rPr>
          <w:rFonts w:ascii="宋体" w:hAnsi="宋体" w:cs="宋体"/>
          <w:bCs/>
          <w:color w:val="auto"/>
          <w:sz w:val="24"/>
          <w:highlight w:val="none"/>
        </w:rPr>
        <w:t>_日，甲方有权解除合同并要求乙方支付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5.6乙方不得随意更换项目负责人及</w:t>
      </w:r>
      <w:r>
        <w:rPr>
          <w:rFonts w:hint="eastAsia" w:asciiTheme="minorEastAsia" w:hAnsiTheme="minorEastAsia" w:eastAsiaTheme="minorEastAsia" w:cstheme="minorEastAsia"/>
          <w:color w:val="auto"/>
          <w:sz w:val="24"/>
          <w:szCs w:val="24"/>
          <w:highlight w:val="none"/>
          <w:lang w:val="en-US" w:eastAsia="zh-CN"/>
        </w:rPr>
        <w:t>附件5中的</w:t>
      </w:r>
      <w:r>
        <w:rPr>
          <w:rFonts w:hint="eastAsia" w:asciiTheme="minorEastAsia" w:hAnsiTheme="minorEastAsia" w:eastAsiaTheme="minorEastAsia" w:cstheme="minorEastAsia"/>
          <w:color w:val="auto"/>
          <w:sz w:val="24"/>
          <w:szCs w:val="24"/>
          <w:highlight w:val="none"/>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highlight w:val="none"/>
          <w:u w:val="single"/>
          <w:lang w:val="en-US" w:eastAsia="zh-CN"/>
        </w:rPr>
        <w:t>5000</w:t>
      </w:r>
      <w:r>
        <w:rPr>
          <w:rFonts w:hint="eastAsia" w:asciiTheme="minorEastAsia" w:hAnsiTheme="minorEastAsia" w:eastAsiaTheme="minorEastAsia" w:cstheme="minorEastAsia"/>
          <w:color w:val="auto"/>
          <w:sz w:val="24"/>
          <w:szCs w:val="24"/>
          <w:highlight w:val="none"/>
          <w:u w:val="single"/>
        </w:rPr>
        <w:t>元/人次</w:t>
      </w:r>
      <w:r>
        <w:rPr>
          <w:rFonts w:hint="eastAsia" w:asciiTheme="minorEastAsia" w:hAnsiTheme="minorEastAsia" w:eastAsiaTheme="minorEastAsia" w:cstheme="minorEastAsia"/>
          <w:color w:val="auto"/>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highlight w:val="none"/>
          <w:u w:val="single"/>
          <w:lang w:val="en-US" w:eastAsia="zh-CN"/>
        </w:rPr>
        <w:t xml:space="preserve"> 1000元/天</w:t>
      </w:r>
      <w:r>
        <w:rPr>
          <w:rFonts w:hint="eastAsia" w:asciiTheme="minorEastAsia" w:hAnsiTheme="minorEastAsia" w:eastAsiaTheme="minorEastAsia" w:cstheme="minorEastAsia"/>
          <w:color w:val="auto"/>
          <w:sz w:val="24"/>
          <w:szCs w:val="24"/>
          <w:highlight w:val="none"/>
          <w:lang w:val="en-US" w:eastAsia="zh-CN"/>
        </w:rPr>
        <w:t>，因此造成损失的，按实际发生额赔偿。</w:t>
      </w:r>
    </w:p>
    <w:p>
      <w:pPr>
        <w:pStyle w:val="28"/>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5.9在合同有效期内，乙方自愿接受甲方按《广州市净水有限公司经营建设项目参建企业不诚信行为管理办法》、《营运项目承包单位日常履约考评参照表（安全）》处理，具体处理标准详见附件</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p>
    <w:p>
      <w:pPr>
        <w:pStyle w:val="28"/>
        <w:rPr>
          <w:rFonts w:hint="eastAsia"/>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第六条实施条件及管理要求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 xml:space="preserve"> 1 </w:t>
      </w:r>
      <w:r>
        <w:rPr>
          <w:rFonts w:hint="eastAsia" w:ascii="宋体" w:hAnsi="宋体" w:cs="宋体"/>
          <w:color w:val="auto"/>
          <w:sz w:val="24"/>
          <w:highlight w:val="none"/>
        </w:rPr>
        <w:t>方式执行。</w:t>
      </w:r>
    </w:p>
    <w:p>
      <w:pPr>
        <w:spacing w:line="384" w:lineRule="auto"/>
        <w:ind w:firstLine="480" w:firstLineChars="2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2"/>
        <w:spacing w:line="384" w:lineRule="auto"/>
        <w:rPr>
          <w:rFonts w:hAnsi="宋体" w:cs="宋体"/>
          <w:b/>
          <w:bCs/>
          <w:color w:val="auto"/>
          <w:sz w:val="24"/>
          <w:szCs w:val="24"/>
          <w:highlight w:val="none"/>
        </w:rPr>
      </w:pPr>
      <w:r>
        <w:rPr>
          <w:rFonts w:hint="eastAsia" w:hAnsi="宋体" w:cs="宋体"/>
          <w:b/>
          <w:bCs/>
          <w:color w:val="auto"/>
          <w:sz w:val="24"/>
          <w:szCs w:val="24"/>
          <w:highlight w:val="none"/>
        </w:rPr>
        <w:t>第七条</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384" w:lineRule="auto"/>
        <w:rPr>
          <w:rFonts w:ascii="宋体" w:hAnsi="宋体" w:cs="宋体"/>
          <w:color w:val="auto"/>
          <w:sz w:val="24"/>
          <w:highlight w:val="none"/>
        </w:rPr>
      </w:pPr>
      <w:r>
        <w:rPr>
          <w:rFonts w:hint="eastAsia" w:ascii="宋体" w:hAnsi="宋体" w:cs="宋体"/>
          <w:b/>
          <w:bCs/>
          <w:color w:val="auto"/>
          <w:sz w:val="24"/>
          <w:highlight w:val="none"/>
        </w:rPr>
        <w:t>第八条付</w:t>
      </w:r>
      <w:r>
        <w:rPr>
          <w:rFonts w:hint="eastAsia" w:ascii="宋体" w:hAnsi="宋体" w:cs="宋体"/>
          <w:b/>
          <w:color w:val="auto"/>
          <w:sz w:val="24"/>
          <w:highlight w:val="none"/>
        </w:rPr>
        <w:t>款及履约担保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Ansi="宋体" w:cs="宋体"/>
          <w:color w:val="auto"/>
          <w:sz w:val="24"/>
          <w:szCs w:val="24"/>
          <w:highlight w:val="none"/>
        </w:rPr>
        <w:t>8.2</w:t>
      </w:r>
      <w:r>
        <w:rPr>
          <w:rFonts w:hint="eastAsia" w:hAnsi="宋体" w:cs="宋体"/>
          <w:color w:val="auto"/>
          <w:sz w:val="24"/>
          <w:szCs w:val="24"/>
          <w:highlight w:val="none"/>
          <w:u w:val="single"/>
        </w:rPr>
        <w:t>项目</w:t>
      </w:r>
      <w:r>
        <w:rPr>
          <w:rFonts w:hint="eastAsia" w:hAnsi="宋体" w:cs="宋体"/>
          <w:color w:val="auto"/>
          <w:sz w:val="24"/>
          <w:szCs w:val="24"/>
          <w:highlight w:val="none"/>
          <w:u w:val="single"/>
          <w:lang w:val="en-US" w:eastAsia="zh-CN"/>
        </w:rPr>
        <w:t>设备材料到货，经开箱</w:t>
      </w:r>
      <w:r>
        <w:rPr>
          <w:rFonts w:hint="eastAsia" w:hAnsi="宋体" w:cs="宋体"/>
          <w:color w:val="auto"/>
          <w:sz w:val="24"/>
          <w:szCs w:val="24"/>
          <w:highlight w:val="none"/>
          <w:u w:val="single"/>
        </w:rPr>
        <w:t>验收合格后，由乙方提交申请支付资料</w:t>
      </w:r>
      <w:r>
        <w:rPr>
          <w:rFonts w:hAnsi="宋体" w:cs="宋体"/>
          <w:color w:val="auto"/>
          <w:sz w:val="24"/>
          <w:szCs w:val="24"/>
          <w:highlight w:val="none"/>
          <w:u w:val="single"/>
        </w:rPr>
        <w:t xml:space="preserve"> 15 </w:t>
      </w:r>
      <w:r>
        <w:rPr>
          <w:rFonts w:hint="eastAsia" w:hAnsi="宋体" w:cs="宋体"/>
          <w:color w:val="auto"/>
          <w:sz w:val="24"/>
          <w:szCs w:val="24"/>
          <w:highlight w:val="none"/>
          <w:u w:val="single"/>
        </w:rPr>
        <w:t>个工作日内，甲方支付</w:t>
      </w:r>
      <w:r>
        <w:rPr>
          <w:rFonts w:hint="eastAsia" w:hAnsi="宋体" w:cs="宋体"/>
          <w:color w:val="auto"/>
          <w:sz w:val="24"/>
          <w:szCs w:val="24"/>
          <w:highlight w:val="none"/>
          <w:u w:val="single"/>
          <w:lang w:eastAsia="zh-CN"/>
        </w:rPr>
        <w:t>至</w:t>
      </w:r>
      <w:r>
        <w:rPr>
          <w:rFonts w:hint="eastAsia" w:hAnsi="宋体" w:cs="宋体"/>
          <w:color w:val="auto"/>
          <w:sz w:val="24"/>
          <w:szCs w:val="24"/>
          <w:highlight w:val="none"/>
          <w:u w:val="single"/>
        </w:rPr>
        <w:t>合同暂定总价的</w:t>
      </w:r>
      <w:r>
        <w:rPr>
          <w:rFonts w:hint="eastAsia" w:hAnsi="宋体" w:cs="宋体"/>
          <w:color w:val="auto"/>
          <w:sz w:val="24"/>
          <w:szCs w:val="24"/>
          <w:highlight w:val="none"/>
          <w:u w:val="single"/>
          <w:lang w:val="en-US" w:eastAsia="zh-CN"/>
        </w:rPr>
        <w:t>60</w:t>
      </w:r>
      <w:r>
        <w:rPr>
          <w:rFonts w:hint="eastAsia" w:hAnsi="宋体" w:cs="宋体"/>
          <w:color w:val="auto"/>
          <w:sz w:val="24"/>
          <w:szCs w:val="24"/>
          <w:highlight w:val="none"/>
          <w:u w:val="single"/>
        </w:rPr>
        <w:t>％即</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万元给乙方。</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如需）</w:t>
      </w:r>
    </w:p>
    <w:p>
      <w:pPr>
        <w:tabs>
          <w:tab w:val="left" w:pos="0"/>
        </w:tabs>
        <w:adjustRightInd w:val="0"/>
        <w:snapToGrid w:val="0"/>
        <w:spacing w:line="360" w:lineRule="auto"/>
        <w:ind w:firstLine="480" w:firstLineChars="200"/>
        <w:jc w:val="left"/>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u w:val="single"/>
          <w:lang w:val="en-US" w:eastAsia="zh-CN"/>
        </w:rPr>
        <w:t>项目验收合格后，</w:t>
      </w:r>
      <w:r>
        <w:rPr>
          <w:rFonts w:hint="eastAsia" w:ascii="宋体" w:hAnsi="宋体" w:cs="宋体"/>
          <w:color w:val="auto"/>
          <w:sz w:val="24"/>
          <w:highlight w:val="none"/>
          <w:lang w:val="en-US" w:eastAsia="zh-CN"/>
        </w:rPr>
        <w:t>经甲方或</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2"/>
        <w:spacing w:line="384" w:lineRule="auto"/>
        <w:ind w:firstLine="480" w:firstLineChars="200"/>
        <w:outlineLvl w:val="1"/>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8.2.3</w:t>
      </w:r>
      <w:r>
        <w:rPr>
          <w:rFonts w:hint="eastAsia" w:hAnsi="宋体" w:cs="宋体"/>
          <w:color w:val="auto"/>
          <w:sz w:val="24"/>
          <w:szCs w:val="24"/>
          <w:highlight w:val="none"/>
        </w:rPr>
        <w:t>本项目工程款的支付单位为：</w:t>
      </w:r>
      <w:r>
        <w:rPr>
          <w:rFonts w:hint="eastAsia" w:hAnsi="宋体" w:cs="宋体"/>
          <w:color w:val="auto"/>
          <w:sz w:val="24"/>
          <w:szCs w:val="24"/>
          <w:highlight w:val="none"/>
          <w:u w:val="single"/>
          <w:lang w:val="en-US" w:eastAsia="zh-CN"/>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9144010755584729Q</w:t>
      </w:r>
      <w:r>
        <w:rPr>
          <w:rFonts w:ascii="宋体" w:hAnsi="宋体" w:cs="宋体"/>
          <w:color w:val="auto"/>
          <w:sz w:val="24"/>
          <w:highlight w:val="none"/>
          <w:u w:val="single"/>
        </w:rPr>
        <w:t xml:space="preserve">  </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地址：</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广州市天河区临江大道501号,020-38890283</w:t>
      </w:r>
    </w:p>
    <w:p>
      <w:pPr>
        <w:spacing w:line="384" w:lineRule="auto"/>
        <w:ind w:firstLine="480" w:firstLineChars="200"/>
        <w:outlineLvl w:val="0"/>
        <w:rPr>
          <w:rFonts w:ascii="宋体" w:hAnsi="宋体" w:eastAsia="宋体" w:cs="宋体"/>
          <w:color w:val="auto"/>
          <w:sz w:val="24"/>
          <w:highlight w:val="none"/>
          <w:u w:val="single"/>
        </w:rPr>
      </w:pPr>
      <w:r>
        <w:rPr>
          <w:rFonts w:hint="eastAsia" w:ascii="宋体" w:hAnsi="宋体" w:cs="宋体"/>
          <w:color w:val="auto"/>
          <w:sz w:val="24"/>
          <w:highlight w:val="none"/>
          <w:u w:val="single"/>
        </w:rPr>
        <w:t xml:space="preserve">专用发票信息：民生银行广州分行0301014140006932  </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highlight w:val="none"/>
        </w:rPr>
        <w:t>无；</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hint="eastAsia" w:asciiTheme="minorEastAsia" w:hAnsiTheme="minorEastAsia" w:eastAsiaTheme="minorEastAsia" w:cstheme="minorEastAsia"/>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2"/>
        <w:spacing w:line="384" w:lineRule="auto"/>
        <w:ind w:firstLine="720" w:firstLineChars="300"/>
        <w:outlineLvl w:val="1"/>
        <w:rPr>
          <w:rFonts w:hint="eastAsia"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第九条竣工验收</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天内将经甲方审核的完整竣工资料（含竣工图）和竣工验收报告各一式四份交甲方，不按时报送工程竣工资料的，每逾期一天，甲方要求乙方支付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28"/>
        <w:ind w:firstLine="480" w:firstLineChars="200"/>
        <w:rPr>
          <w:rFonts w:hint="eastAsia"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9.5</w:t>
      </w:r>
      <w:r>
        <w:rPr>
          <w:rFonts w:hint="eastAsia" w:asciiTheme="minorEastAsia" w:hAnsiTheme="minorEastAsia" w:eastAsiaTheme="minorEastAsia" w:cstheme="minorEastAsia"/>
          <w:color w:val="auto"/>
          <w:highlight w:val="none"/>
        </w:rPr>
        <w:t>本合同竣工验收结算单位为</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lang w:val="en-US" w:eastAsia="zh-CN"/>
        </w:rPr>
        <w:t xml:space="preserve">    </w:t>
      </w:r>
    </w:p>
    <w:p>
      <w:pPr>
        <w:numPr>
          <w:ilvl w:val="0"/>
          <w:numId w:val="5"/>
        </w:numPr>
        <w:spacing w:before="120" w:afterLines="50" w:line="384" w:lineRule="auto"/>
        <w:ind w:firstLine="482" w:firstLineChars="200"/>
        <w:jc w:val="left"/>
        <w:rPr>
          <w:rFonts w:ascii="宋体" w:hAnsi="宋体" w:cs="宋体"/>
          <w:b/>
          <w:bCs/>
          <w:color w:val="auto"/>
          <w:sz w:val="24"/>
          <w:highlight w:val="none"/>
        </w:rPr>
      </w:pPr>
      <w:bookmarkStart w:id="99" w:name="_Toc520190034"/>
      <w:bookmarkStart w:id="100" w:name="_Toc518992994"/>
      <w:bookmarkStart w:id="101" w:name="_Toc474245220"/>
      <w:r>
        <w:rPr>
          <w:rFonts w:hint="eastAsia" w:ascii="宋体" w:hAnsi="宋体" w:cs="宋体"/>
          <w:b/>
          <w:bCs/>
          <w:color w:val="auto"/>
          <w:sz w:val="24"/>
          <w:highlight w:val="none"/>
        </w:rPr>
        <w:t>质量保证</w:t>
      </w:r>
      <w:bookmarkEnd w:id="99"/>
      <w:bookmarkEnd w:id="100"/>
      <w:bookmarkEnd w:id="101"/>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zh-CN"/>
        </w:rPr>
        <w:t>…</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Lines="50" w:afterLines="50" w:line="384" w:lineRule="auto"/>
        <w:ind w:firstLine="422" w:firstLineChars="175"/>
        <w:jc w:val="left"/>
        <w:rPr>
          <w:rFonts w:ascii="宋体" w:hAnsi="宋体" w:cs="宋体"/>
          <w:color w:val="auto"/>
          <w:sz w:val="24"/>
          <w:highlight w:val="none"/>
        </w:rPr>
      </w:pPr>
      <w:bookmarkStart w:id="102" w:name="_Toc183666531"/>
      <w:bookmarkStart w:id="103" w:name="_Toc520190040"/>
      <w:bookmarkStart w:id="104" w:name="_Toc107446862"/>
      <w:bookmarkStart w:id="105" w:name="_Toc306350467"/>
      <w:bookmarkStart w:id="106" w:name="_Toc107447255"/>
      <w:bookmarkStart w:id="107" w:name="_Toc518993000"/>
      <w:bookmarkStart w:id="108" w:name="_Toc474245226"/>
      <w:bookmarkStart w:id="109" w:name="_Toc19692"/>
      <w:r>
        <w:rPr>
          <w:rFonts w:hint="eastAsia" w:ascii="宋体" w:hAnsi="宋体" w:cs="宋体"/>
          <w:b/>
          <w:bCs/>
          <w:color w:val="auto"/>
          <w:sz w:val="24"/>
          <w:highlight w:val="none"/>
        </w:rPr>
        <w:t>第十一条不可抗力</w:t>
      </w:r>
      <w:bookmarkEnd w:id="102"/>
      <w:bookmarkEnd w:id="103"/>
      <w:bookmarkEnd w:id="104"/>
      <w:bookmarkEnd w:id="105"/>
      <w:bookmarkEnd w:id="106"/>
      <w:bookmarkEnd w:id="107"/>
      <w:bookmarkEnd w:id="108"/>
      <w:bookmarkEnd w:id="109"/>
    </w:p>
    <w:p>
      <w:pPr>
        <w:widowControl/>
        <w:autoSpaceDE w:val="0"/>
        <w:autoSpaceDN w:val="0"/>
        <w:adjustRightInd w:val="0"/>
        <w:spacing w:line="384" w:lineRule="auto"/>
        <w:ind w:firstLine="480" w:firstLineChars="200"/>
        <w:rPr>
          <w:rFonts w:ascii="宋体" w:hAnsi="宋体" w:cs="宋体"/>
          <w:bCs/>
          <w:color w:val="auto"/>
          <w:sz w:val="24"/>
          <w:highlight w:val="none"/>
        </w:rPr>
      </w:pPr>
      <w:bookmarkStart w:id="110" w:name="_Toc183666532"/>
      <w:bookmarkStart w:id="111" w:name="_Toc306350468"/>
      <w:bookmarkStart w:id="112" w:name="_Toc12010"/>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3" w:name="_Toc118172294"/>
      <w:bookmarkStart w:id="114" w:name="_Toc518993001"/>
      <w:bookmarkStart w:id="115" w:name="_Toc520190041"/>
      <w:bookmarkStart w:id="116" w:name="_Toc107447257"/>
      <w:bookmarkStart w:id="117" w:name="_Toc107446864"/>
      <w:bookmarkStart w:id="118" w:name="_Toc474245227"/>
    </w:p>
    <w:p>
      <w:pPr>
        <w:spacing w:beforeLines="50" w:afterLines="50"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十二条争议解决</w:t>
      </w:r>
      <w:bookmarkEnd w:id="110"/>
      <w:bookmarkEnd w:id="111"/>
      <w:bookmarkEnd w:id="112"/>
      <w:bookmarkEnd w:id="113"/>
      <w:bookmarkEnd w:id="114"/>
      <w:bookmarkEnd w:id="115"/>
      <w:bookmarkEnd w:id="116"/>
      <w:bookmarkEnd w:id="117"/>
      <w:bookmarkEnd w:id="118"/>
    </w:p>
    <w:p>
      <w:pPr>
        <w:spacing w:line="384" w:lineRule="auto"/>
        <w:ind w:firstLine="482"/>
        <w:rPr>
          <w:rFonts w:ascii="宋体" w:hAnsi="宋体" w:cs="宋体"/>
          <w:bCs/>
          <w:color w:val="auto"/>
          <w:sz w:val="24"/>
          <w:highlight w:val="none"/>
        </w:rPr>
      </w:pPr>
      <w:bookmarkStart w:id="119" w:name="_Toc183666533"/>
      <w:bookmarkStart w:id="120" w:name="_Toc306350469"/>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119"/>
      <w:bookmarkEnd w:id="120"/>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第十三条合同生效及其他</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hint="eastAsia" w:ascii="宋体" w:hAnsi="宋体" w:cs="宋体"/>
          <w:color w:val="auto"/>
          <w:sz w:val="24"/>
          <w:highlight w:val="none"/>
          <w:lang w:val="en-US" w:eastAsia="zh-CN"/>
        </w:rPr>
        <w:t>陆</w:t>
      </w:r>
      <w:r>
        <w:rPr>
          <w:rFonts w:hint="eastAsia" w:ascii="宋体" w:hAnsi="宋体" w:cs="宋体"/>
          <w:color w:val="auto"/>
          <w:sz w:val="24"/>
          <w:highlight w:val="none"/>
        </w:rPr>
        <w:t>份，其中：甲方</w:t>
      </w:r>
      <w:r>
        <w:rPr>
          <w:rFonts w:hint="eastAsia" w:ascii="宋体" w:hAnsi="宋体" w:cs="宋体"/>
          <w:color w:val="auto"/>
          <w:sz w:val="24"/>
          <w:highlight w:val="none"/>
          <w:lang w:val="en-US" w:eastAsia="zh-CN"/>
        </w:rPr>
        <w:t>肆</w:t>
      </w:r>
      <w:r>
        <w:rPr>
          <w:rFonts w:hint="eastAsia" w:ascii="宋体" w:hAnsi="宋体" w:cs="宋体"/>
          <w:color w:val="auto"/>
          <w:sz w:val="24"/>
          <w:highlight w:val="none"/>
        </w:rPr>
        <w:t>份，乙方</w:t>
      </w:r>
      <w:r>
        <w:rPr>
          <w:rFonts w:hint="eastAsia" w:ascii="宋体" w:hAnsi="宋体" w:cs="宋体"/>
          <w:color w:val="auto"/>
          <w:sz w:val="24"/>
          <w:highlight w:val="none"/>
          <w:lang w:val="en-US" w:eastAsia="zh-CN"/>
        </w:rPr>
        <w:t>贰</w:t>
      </w:r>
      <w:r>
        <w:rPr>
          <w:rFonts w:hint="eastAsia" w:ascii="宋体" w:hAnsi="宋体" w:cs="宋体"/>
          <w:color w:val="auto"/>
          <w:sz w:val="24"/>
          <w:highlight w:val="none"/>
        </w:rPr>
        <w:t>份。</w:t>
      </w:r>
    </w:p>
    <w:p>
      <w:pPr>
        <w:spacing w:line="384" w:lineRule="auto"/>
        <w:ind w:firstLine="480"/>
        <w:rPr>
          <w:rFonts w:hint="eastAsia" w:ascii="宋体" w:hAnsi="宋体" w:cs="宋体"/>
          <w:color w:val="auto"/>
          <w:sz w:val="24"/>
          <w:highlight w:val="none"/>
          <w:u w:val="single"/>
          <w:lang w:eastAsia="zh-CN"/>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w:t>
      </w:r>
    </w:p>
    <w:p>
      <w:pPr>
        <w:spacing w:line="384" w:lineRule="auto"/>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 xml:space="preserve">四 </w:t>
      </w:r>
      <w:r>
        <w:rPr>
          <w:rFonts w:hint="eastAsia" w:ascii="宋体" w:hAnsi="宋体" w:cs="宋体"/>
          <w:b/>
          <w:bCs/>
          <w:color w:val="auto"/>
          <w:sz w:val="24"/>
          <w:highlight w:val="none"/>
        </w:rPr>
        <w:t>条</w:t>
      </w:r>
      <w:bookmarkStart w:id="121" w:name="_Toc107446871"/>
      <w:bookmarkStart w:id="122" w:name="_Toc107447264"/>
      <w:r>
        <w:rPr>
          <w:rFonts w:hint="eastAsia" w:ascii="宋体" w:hAnsi="宋体" w:cs="宋体"/>
          <w:b/>
          <w:bCs/>
          <w:color w:val="auto"/>
          <w:sz w:val="24"/>
          <w:highlight w:val="none"/>
        </w:rPr>
        <w:t>合同生效及其他</w:t>
      </w:r>
      <w:bookmarkEnd w:id="96"/>
      <w:bookmarkEnd w:id="97"/>
      <w:bookmarkEnd w:id="98"/>
      <w:bookmarkEnd w:id="121"/>
      <w:bookmarkEnd w:id="122"/>
    </w:p>
    <w:p>
      <w:pPr>
        <w:spacing w:line="384" w:lineRule="auto"/>
        <w:ind w:firstLine="48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4</w:t>
      </w:r>
      <w:r>
        <w:rPr>
          <w:rFonts w:ascii="宋体" w:hAnsi="宋体" w:cs="宋体"/>
          <w:color w:val="auto"/>
          <w:sz w:val="24"/>
          <w:highlight w:val="none"/>
        </w:rPr>
        <w:t>.1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384" w:lineRule="auto"/>
        <w:ind w:firstLine="48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4</w:t>
      </w:r>
      <w:r>
        <w:rPr>
          <w:rFonts w:ascii="宋体" w:hAnsi="宋体" w:cs="宋体"/>
          <w:color w:val="auto"/>
          <w:sz w:val="24"/>
          <w:highlight w:val="none"/>
        </w:rPr>
        <w:t>.2</w:t>
      </w:r>
      <w:r>
        <w:rPr>
          <w:rFonts w:hint="eastAsia" w:ascii="宋体" w:hAnsi="宋体" w:cs="宋体"/>
          <w:color w:val="auto"/>
          <w:sz w:val="24"/>
          <w:highlight w:val="none"/>
        </w:rPr>
        <w:t>本合同正文一式</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伍</w:t>
      </w:r>
      <w:r>
        <w:rPr>
          <w:rFonts w:hint="eastAsia" w:ascii="宋体" w:hAnsi="宋体" w:cs="宋体"/>
          <w:color w:val="auto"/>
          <w:sz w:val="24"/>
          <w:highlight w:val="none"/>
        </w:rPr>
        <w:t>份，乙方</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rPr>
        <w:t>份。</w:t>
      </w:r>
    </w:p>
    <w:p>
      <w:pPr>
        <w:spacing w:line="384" w:lineRule="auto"/>
        <w:ind w:firstLine="480"/>
        <w:rPr>
          <w:color w:val="auto"/>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rPr>
        <w:t>3补充条款</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甲方指导项目负责人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电话：</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lang w:val="en-US" w:eastAsia="zh-CN"/>
        </w:rPr>
        <w:t>发包</w:t>
      </w:r>
      <w:r>
        <w:rPr>
          <w:rFonts w:hint="eastAsia" w:ascii="宋体" w:hAnsi="宋体" w:cs="宋体"/>
          <w:color w:val="auto"/>
          <w:sz w:val="24"/>
          <w:highlight w:val="none"/>
        </w:rPr>
        <w:t>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4.防疫管理协议书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7.不诚信行为的情形及相应被暂停参与投标活动的处理标准</w:t>
      </w:r>
    </w:p>
    <w:p>
      <w:pPr>
        <w:spacing w:line="480" w:lineRule="exact"/>
        <w:ind w:firstLine="720" w:firstLineChars="300"/>
        <w:rPr>
          <w:rFonts w:hint="eastAsia" w:ascii="宋体" w:hAnsi="宋体" w:eastAsia="宋体" w:cs="宋体"/>
          <w:color w:val="auto"/>
          <w:sz w:val="24"/>
          <w:szCs w:val="24"/>
          <w:highlight w:val="none"/>
        </w:rPr>
      </w:pPr>
    </w:p>
    <w:p>
      <w:pPr>
        <w:pStyle w:val="22"/>
        <w:ind w:left="0" w:leftChars="0" w:firstLine="0" w:firstLineChars="0"/>
        <w:rPr>
          <w:rFonts w:hint="eastAsia" w:ascii="宋体" w:hAnsi="宋体" w:eastAsia="宋体" w:cs="宋体"/>
          <w:color w:val="auto"/>
          <w:sz w:val="24"/>
          <w:szCs w:val="24"/>
          <w:highlight w:val="none"/>
        </w:rPr>
      </w:pPr>
    </w:p>
    <w:p>
      <w:pPr>
        <w:spacing w:line="384" w:lineRule="auto"/>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乙方：（盖章）</w:t>
      </w:r>
    </w:p>
    <w:p>
      <w:pPr>
        <w:spacing w:line="384" w:lineRule="auto"/>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w:t>
      </w:r>
    </w:p>
    <w:p>
      <w:pPr>
        <w:spacing w:line="384" w:lineRule="auto"/>
        <w:rPr>
          <w:rFonts w:ascii="宋体" w:hAnsi="宋体" w:cs="宋体"/>
          <w:color w:val="auto"/>
          <w:sz w:val="24"/>
          <w:highlight w:val="none"/>
        </w:rPr>
      </w:pPr>
      <w:r>
        <w:rPr>
          <w:rFonts w:hint="eastAsia" w:ascii="宋体" w:hAnsi="宋体" w:cs="宋体"/>
          <w:color w:val="auto"/>
          <w:sz w:val="24"/>
          <w:highlight w:val="none"/>
        </w:rPr>
        <w:t>授权代理人：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授权代理人：</w:t>
      </w:r>
    </w:p>
    <w:p>
      <w:pPr>
        <w:spacing w:line="384"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地址：</w:t>
      </w:r>
    </w:p>
    <w:p>
      <w:pPr>
        <w:spacing w:line="384" w:lineRule="auto"/>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经办人：</w:t>
      </w:r>
    </w:p>
    <w:p>
      <w:pPr>
        <w:spacing w:line="384"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p>
    <w:p>
      <w:pPr>
        <w:spacing w:line="384" w:lineRule="auto"/>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w:t>
      </w:r>
    </w:p>
    <w:p>
      <w:pPr>
        <w:spacing w:line="384" w:lineRule="auto"/>
        <w:ind w:left="6360" w:hanging="6360" w:hangingChars="2650"/>
        <w:rPr>
          <w:rFonts w:hint="eastAsia" w:ascii="宋体" w:hAnsi="宋体" w:cs="宋体"/>
          <w:color w:val="auto"/>
          <w:sz w:val="24"/>
          <w:highlight w:val="none"/>
        </w:rPr>
      </w:pPr>
      <w:r>
        <w:rPr>
          <w:rFonts w:hint="eastAsia" w:ascii="宋体" w:hAnsi="宋体" w:cs="宋体"/>
          <w:color w:val="auto"/>
          <w:sz w:val="24"/>
          <w:highlight w:val="none"/>
        </w:rPr>
        <w:t>签署日期：年月日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签署日期：年月日</w:t>
      </w:r>
    </w:p>
    <w:p>
      <w:pPr>
        <w:spacing w:line="500" w:lineRule="exact"/>
        <w:ind w:right="-624" w:rightChars="-297"/>
        <w:rPr>
          <w:rFonts w:hAnsi="宋体"/>
          <w:b/>
          <w:bCs/>
          <w:color w:val="auto"/>
          <w:szCs w:val="21"/>
          <w:highlight w:val="none"/>
        </w:rPr>
      </w:pPr>
      <w:r>
        <w:rPr>
          <w:rFonts w:hint="eastAsia"/>
          <w:b/>
          <w:bCs/>
          <w:color w:val="auto"/>
          <w:highlight w:val="none"/>
        </w:rPr>
        <w:t>以下空白。</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 xml:space="preserve">附件1  </w:t>
      </w:r>
      <w:r>
        <w:rPr>
          <w:rFonts w:hint="eastAsia" w:ascii="宋体" w:hAnsi="宋体" w:cs="宋体"/>
          <w:b/>
          <w:bCs/>
          <w:color w:val="auto"/>
          <w:szCs w:val="21"/>
          <w:highlight w:val="none"/>
          <w:lang w:val="en-US" w:eastAsia="zh-CN"/>
        </w:rPr>
        <w:t>发包</w:t>
      </w:r>
      <w:r>
        <w:rPr>
          <w:rFonts w:hint="eastAsia" w:ascii="宋体" w:hAnsi="宋体" w:cs="宋体"/>
          <w:b/>
          <w:bCs/>
          <w:color w:val="auto"/>
          <w:szCs w:val="21"/>
          <w:highlight w:val="none"/>
        </w:rPr>
        <w:t>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bookmarkStart w:id="123" w:name="_Toc387080836"/>
      <w:bookmarkStart w:id="124" w:name="_Toc389815031"/>
      <w:bookmarkStart w:id="125" w:name="_Toc389815339"/>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2022年龙归分公司</w:t>
      </w:r>
      <w:r>
        <w:rPr>
          <w:rFonts w:hint="eastAsia" w:ascii="仿宋_GB2312" w:hAnsi="仿宋_GB2312" w:eastAsia="仿宋_GB2312" w:cs="仿宋_GB2312"/>
          <w:b w:val="0"/>
          <w:bCs/>
          <w:color w:val="auto"/>
          <w:sz w:val="28"/>
          <w:szCs w:val="28"/>
          <w:highlight w:val="none"/>
          <w:u w:val="single"/>
          <w:lang w:eastAsia="zh-CN"/>
        </w:rPr>
        <w:t>三期景观池增加循环消毒系统及余泥处置站围栏设置项目（第二次）</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（2022年龙归分公司</w:t>
      </w:r>
      <w:r>
        <w:rPr>
          <w:rFonts w:hint="eastAsia" w:ascii="仿宋_GB2312" w:hAnsi="仿宋_GB2312" w:eastAsia="仿宋_GB2312" w:cs="仿宋_GB2312"/>
          <w:b w:val="0"/>
          <w:bCs/>
          <w:color w:val="auto"/>
          <w:sz w:val="28"/>
          <w:szCs w:val="28"/>
          <w:highlight w:val="none"/>
          <w:u w:val="single"/>
          <w:lang w:eastAsia="zh-CN"/>
        </w:rPr>
        <w:t>三期景观池增加循环消毒系统及余泥处置站围栏设置项目（第二次）</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hint="eastAsia" w:ascii="宋体" w:hAnsi="宋体" w:cs="宋体"/>
          <w:b/>
          <w:color w:val="auto"/>
          <w:szCs w:val="21"/>
          <w:highlight w:val="none"/>
        </w:rPr>
      </w:pPr>
    </w:p>
    <w:p>
      <w:pPr>
        <w:spacing w:line="240" w:lineRule="auto"/>
        <w:rPr>
          <w:rFonts w:ascii="宋体" w:hAnsi="宋体" w:cs="宋体"/>
          <w:b/>
          <w:color w:val="auto"/>
          <w:szCs w:val="21"/>
          <w:highlight w:val="none"/>
        </w:rPr>
      </w:pPr>
      <w:r>
        <w:rPr>
          <w:rFonts w:hint="eastAsia" w:ascii="宋体" w:hAnsi="宋体" w:cs="宋体"/>
          <w:b/>
          <w:color w:val="auto"/>
          <w:szCs w:val="21"/>
          <w:highlight w:val="none"/>
        </w:rPr>
        <w:t>附件3：</w:t>
      </w:r>
      <w:bookmarkEnd w:id="123"/>
      <w:bookmarkEnd w:id="124"/>
      <w:bookmarkEnd w:id="125"/>
      <w:r>
        <w:rPr>
          <w:rFonts w:hint="eastAsia" w:ascii="宋体" w:hAnsi="宋体" w:cs="宋体"/>
          <w:b/>
          <w:color w:val="auto"/>
          <w:szCs w:val="21"/>
          <w:highlight w:val="none"/>
        </w:rPr>
        <w:t>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hint="eastAsia"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pStyle w:val="28"/>
        <w:rPr>
          <w:color w:val="auto"/>
          <w:highlight w:val="none"/>
        </w:rPr>
      </w:pPr>
    </w:p>
    <w:p>
      <w:pPr>
        <w:spacing w:line="560" w:lineRule="exact"/>
        <w:rPr>
          <w:rFonts w:ascii="宋体" w:hAnsi="宋体" w:cs="Arial"/>
          <w:color w:val="auto"/>
          <w:kern w:val="0"/>
          <w:sz w:val="24"/>
          <w:highlight w:val="none"/>
        </w:rPr>
      </w:pPr>
      <w:bookmarkStart w:id="126"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Style w:val="26"/>
          <w:rFonts w:asciiTheme="minorEastAsia" w:hAnsiTheme="minorEastAsia" w:eastAsiaTheme="minorEastAsia"/>
          <w:b w:val="0"/>
          <w:color w:val="auto"/>
          <w:highlight w:val="none"/>
          <w:u w:val="single"/>
        </w:rPr>
      </w:pPr>
      <w:r>
        <w:rPr>
          <w:rFonts w:hint="eastAsia" w:ascii="宋体" w:hAnsi="宋体" w:cs="Arial"/>
          <w:color w:val="auto"/>
          <w:kern w:val="0"/>
          <w:sz w:val="24"/>
          <w:highlight w:val="none"/>
        </w:rPr>
        <w:t xml:space="preserve">乙方： </w:t>
      </w:r>
    </w:p>
    <w:bookmarkEnd w:id="126"/>
    <w:p>
      <w:pPr>
        <w:adjustRightInd w:val="0"/>
        <w:snapToGrid w:val="0"/>
        <w:spacing w:line="560" w:lineRule="exact"/>
        <w:ind w:firstLine="480" w:firstLineChars="200"/>
        <w:jc w:val="left"/>
        <w:rPr>
          <w:rFonts w:hint="eastAsia" w:asciiTheme="minorEastAsia" w:hAnsiTheme="minorEastAsia" w:eastAsiaTheme="minorEastAsia"/>
          <w:color w:val="auto"/>
          <w:sz w:val="24"/>
          <w:highlight w:val="non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eastAsia="zh-CN"/>
        </w:rPr>
        <w:t>2022年龙归分公司三期景观池增加循环消毒系统及余泥处置站围栏设置项目（第二次）</w:t>
      </w:r>
      <w:r>
        <w:rPr>
          <w:rFonts w:hint="eastAsia" w:asciiTheme="minorEastAsia" w:hAnsiTheme="minorEastAsia" w:eastAsiaTheme="minorEastAsia"/>
          <w:color w:val="auto"/>
          <w:sz w:val="24"/>
          <w:highlight w:val="none"/>
        </w:rPr>
        <w:t>的组成部分，与主合同具有同等法律效力。</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 二、甲方权责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五、补充条款：</w:t>
      </w:r>
      <w:r>
        <w:rPr>
          <w:rFonts w:hint="eastAsia" w:asciiTheme="minorEastAsia" w:hAnsiTheme="minorEastAsia" w:eastAsiaTheme="minorEastAsia"/>
          <w:b w:val="0"/>
          <w:bCs/>
          <w:color w:val="auto"/>
          <w:sz w:val="24"/>
          <w:highlight w:val="none"/>
          <w:u w:val="single"/>
        </w:rPr>
        <w:t xml:space="preserve">                 </w:t>
      </w:r>
      <w:r>
        <w:rPr>
          <w:rFonts w:hint="eastAsia" w:asciiTheme="minorEastAsia" w:hAnsiTheme="minorEastAsia" w:eastAsiaTheme="minorEastAsia"/>
          <w:b/>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82" w:firstLineChars="200"/>
        <w:jc w:val="left"/>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仿宋_GB2312" w:eastAsia="仿宋_GB2312" w:hAnsi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spacing w:line="360" w:lineRule="auto"/>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pStyle w:val="28"/>
        <w:rPr>
          <w:rFonts w:ascii="宋体" w:hAnsi="宋体" w:cs="宋体"/>
          <w:b/>
          <w:color w:val="auto"/>
          <w:szCs w:val="21"/>
          <w:highlight w:val="none"/>
        </w:rPr>
      </w:pPr>
    </w:p>
    <w:p>
      <w:pPr>
        <w:rPr>
          <w:rFonts w:ascii="宋体" w:hAnsi="宋体" w:cs="宋体"/>
          <w:b/>
          <w:color w:val="auto"/>
          <w:szCs w:val="21"/>
          <w:highlight w:val="none"/>
        </w:rPr>
      </w:pPr>
      <w:r>
        <w:rPr>
          <w:rFonts w:hint="eastAsia" w:ascii="宋体" w:hAnsi="宋体" w:cs="宋体"/>
          <w:b/>
          <w:color w:val="auto"/>
          <w:szCs w:val="21"/>
          <w:highlight w:val="none"/>
        </w:rPr>
        <w:t>附件4：防疫管理协议书</w:t>
      </w:r>
    </w:p>
    <w:p>
      <w:pPr>
        <w:spacing w:line="440" w:lineRule="exact"/>
        <w:jc w:val="center"/>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防疫</w:t>
      </w:r>
      <w:r>
        <w:rPr>
          <w:rFonts w:hint="eastAsia" w:ascii="仿宋_GB2312" w:eastAsia="仿宋_GB2312"/>
          <w:b/>
          <w:bCs/>
          <w:color w:val="auto"/>
          <w:sz w:val="28"/>
          <w:szCs w:val="28"/>
          <w:highlight w:val="none"/>
        </w:rPr>
        <w:t>管理协议书</w:t>
      </w:r>
    </w:p>
    <w:p>
      <w:pPr>
        <w:spacing w:line="440" w:lineRule="exact"/>
        <w:rPr>
          <w:rFonts w:ascii="仿宋_GB2312" w:hAnsi="宋体" w:eastAsia="仿宋_GB2312"/>
          <w:color w:val="auto"/>
          <w:sz w:val="24"/>
          <w:highlight w:val="none"/>
        </w:rPr>
      </w:pP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color w:val="auto"/>
          <w:highlight w:val="none"/>
          <w:u w:val="singl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Style w:val="26"/>
          <w:rFonts w:hint="eastAsia" w:ascii="仿宋" w:hAnsi="仿宋" w:eastAsia="仿宋"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本协议作为</w:t>
      </w:r>
      <w:r>
        <w:rPr>
          <w:rFonts w:hint="eastAsia" w:ascii="仿宋" w:hAnsi="仿宋" w:eastAsia="仿宋" w:cs="仿宋"/>
          <w:bCs/>
          <w:color w:val="auto"/>
          <w:sz w:val="24"/>
          <w:highlight w:val="none"/>
          <w:u w:val="single"/>
        </w:rPr>
        <w:t xml:space="preserve"> 2022年龙归分公司</w:t>
      </w:r>
      <w:r>
        <w:rPr>
          <w:rFonts w:hint="eastAsia" w:ascii="仿宋" w:hAnsi="仿宋" w:eastAsia="仿宋" w:cs="仿宋"/>
          <w:bCs/>
          <w:color w:val="auto"/>
          <w:sz w:val="24"/>
          <w:highlight w:val="none"/>
          <w:u w:val="single"/>
          <w:lang w:eastAsia="zh-CN"/>
        </w:rPr>
        <w:t>三期景观池增加循环消毒系统及余泥处置站围栏设置项目（第二次）</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sz w:val="24"/>
          <w:highlight w:val="none"/>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（一）开展疫情防控宣传教育，提高</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kern w:val="2"/>
          <w:sz w:val="24"/>
          <w:szCs w:val="24"/>
          <w:highlight w:val="none"/>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（二）</w:t>
      </w:r>
      <w:r>
        <w:rPr>
          <w:rFonts w:hint="eastAsia" w:ascii="仿宋" w:hAnsi="仿宋" w:eastAsia="仿宋" w:cs="仿宋"/>
          <w:color w:val="auto"/>
          <w:sz w:val="24"/>
          <w:highlight w:val="none"/>
          <w:lang w:val="en-US" w:eastAsia="zh-CN"/>
        </w:rPr>
        <w:t>做好乙方人员防控工作管理，及时提交防疫资料，落实疫情防控备案，必要时需</w:t>
      </w:r>
      <w:r>
        <w:rPr>
          <w:rFonts w:hint="eastAsia" w:ascii="仿宋" w:hAnsi="仿宋" w:eastAsia="仿宋" w:cs="仿宋"/>
          <w:color w:val="auto"/>
          <w:kern w:val="2"/>
          <w:sz w:val="24"/>
          <w:szCs w:val="24"/>
          <w:highlight w:val="none"/>
          <w:lang w:val="en-US" w:eastAsia="zh-CN" w:bidi="ar-SA"/>
        </w:rPr>
        <w:t>编制防控管理工作方案</w:t>
      </w:r>
      <w:r>
        <w:rPr>
          <w:rFonts w:hint="eastAsia" w:ascii="仿宋" w:hAnsi="仿宋" w:eastAsia="仿宋" w:cs="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（三）乙方人员须按照</w:t>
      </w:r>
      <w:r>
        <w:rPr>
          <w:rFonts w:hint="eastAsia" w:ascii="仿宋" w:hAnsi="仿宋" w:eastAsia="仿宋" w:cs="仿宋"/>
          <w:color w:val="auto"/>
          <w:kern w:val="2"/>
          <w:sz w:val="24"/>
          <w:szCs w:val="24"/>
          <w:highlight w:val="none"/>
          <w:lang w:val="en-US" w:eastAsia="zh-CN" w:bidi="ar-SA"/>
        </w:rPr>
        <w:t>甲方各厂区进厂门岗防控要求</w:t>
      </w:r>
      <w:r>
        <w:rPr>
          <w:rFonts w:hint="eastAsia" w:ascii="仿宋" w:hAnsi="仿宋" w:eastAsia="仿宋" w:cs="仿宋"/>
          <w:color w:val="auto"/>
          <w:sz w:val="24"/>
          <w:highlight w:val="none"/>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（五）各级政府、有关部门及甲方的其他</w:t>
      </w:r>
      <w:r>
        <w:rPr>
          <w:rFonts w:hint="eastAsia" w:ascii="仿宋" w:hAnsi="仿宋" w:eastAsia="仿宋" w:cs="仿宋"/>
          <w:color w:val="auto"/>
          <w:sz w:val="24"/>
          <w:highlight w:val="none"/>
          <w:lang w:val="en-US" w:eastAsia="zh-CN"/>
        </w:rPr>
        <w:t>防控要求</w:t>
      </w:r>
      <w:r>
        <w:rPr>
          <w:rFonts w:hint="eastAsia" w:ascii="仿宋" w:hAnsi="仿宋" w:eastAsia="仿宋" w:cs="仿宋"/>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color w:val="auto"/>
          <w:sz w:val="24"/>
          <w:highlight w:val="none"/>
        </w:rPr>
      </w:pPr>
    </w:p>
    <w:p>
      <w:pPr>
        <w:pStyle w:val="37"/>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五</w:t>
      </w:r>
      <w:r>
        <w:rPr>
          <w:rFonts w:hint="eastAsia" w:ascii="仿宋" w:hAnsi="仿宋" w:eastAsia="仿宋" w:cs="仿宋"/>
          <w:color w:val="auto"/>
          <w:sz w:val="24"/>
          <w:highlight w:val="none"/>
        </w:rPr>
        <w:t>、补充条款：</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pPr>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本协议与合同同时签订、同时终止、同时生效，具有相同的法律效力。合同由甲乙双方签字、盖章生效，甲方、乙方双方执持数量与主合同一致。。</w:t>
      </w:r>
    </w:p>
    <w:p>
      <w:pPr>
        <w:adjustRightInd w:val="0"/>
        <w:snapToGrid w:val="0"/>
        <w:spacing w:line="440" w:lineRule="exact"/>
        <w:rPr>
          <w:rFonts w:hint="eastAsia" w:ascii="仿宋" w:hAnsi="仿宋" w:eastAsia="仿宋" w:cs="仿宋"/>
          <w:color w:val="auto"/>
          <w:sz w:val="24"/>
          <w:highlight w:val="none"/>
        </w:rPr>
      </w:pPr>
    </w:p>
    <w:p>
      <w:pPr>
        <w:adjustRightInd w:val="0"/>
        <w:snapToGrid w:val="0"/>
        <w:spacing w:line="440" w:lineRule="exact"/>
        <w:ind w:left="1330" w:leftChars="5" w:hanging="1320" w:hangingChars="5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 xml:space="preserve">代表 （章）：                             </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代表（章）：                                                           　　              　　　　　　　</w:t>
      </w:r>
    </w:p>
    <w:p>
      <w:pPr>
        <w:adjustRightInd w:val="0"/>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　　　　　                 年   月  　日</w:t>
      </w:r>
    </w:p>
    <w:p>
      <w:pPr>
        <w:pStyle w:val="2"/>
        <w:ind w:firstLine="0"/>
        <w:rPr>
          <w:rFonts w:hint="eastAsia"/>
          <w:color w:val="auto"/>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附件5：工程量清单报价</w:t>
      </w:r>
    </w:p>
    <w:tbl>
      <w:tblPr>
        <w:tblStyle w:val="23"/>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5"/>
        <w:gridCol w:w="3918"/>
        <w:gridCol w:w="99"/>
        <w:gridCol w:w="1416"/>
        <w:gridCol w:w="649"/>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87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496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6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trPr>
        <w:tc>
          <w:tcPr>
            <w:tcW w:w="10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40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循环消毒系统</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电气</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漏水点检测与修复</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18903.15</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报价合计=1+2+3+5</w:t>
            </w: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rPr>
          <w:color w:val="auto"/>
          <w:highlight w:val="none"/>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321"/>
        <w:gridCol w:w="1201"/>
        <w:gridCol w:w="1970"/>
        <w:gridCol w:w="266"/>
        <w:gridCol w:w="428"/>
        <w:gridCol w:w="830"/>
        <w:gridCol w:w="88"/>
        <w:gridCol w:w="2"/>
        <w:gridCol w:w="696"/>
        <w:gridCol w:w="789"/>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2166" w:type="dxa"/>
          <w:trHeight w:val="524" w:hRule="atLeast"/>
        </w:trPr>
        <w:tc>
          <w:tcPr>
            <w:tcW w:w="6674" w:type="dxa"/>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8" w:hRule="atLeast"/>
        </w:trPr>
        <w:tc>
          <w:tcPr>
            <w:tcW w:w="884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506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61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16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2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25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循环消毒系统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1.挖沟槽土方，挖掘机开挖*0.95；人工开挖*0.05</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270.306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1.回填土 夯实机夯实 槽、坑</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105.9285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1.挖掘机装土方</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164.3775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1.现浇构件圆钢 φ25内</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040502008006</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1.DN50刚性套管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040502008007</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1.DN80刚性套管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现浇混凝土池底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1.150mm现浇钢砼池底</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17.6175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040601007002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现浇混凝土池壁(隔墙)</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1.200mm现浇钢砼池壁</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34.338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070205001001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不锈钢盖板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1.不锈钢盖板购装，尺寸详见图纸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块</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040601027003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1.池底抹灰：20mm厚M7.5水泥防水砂浆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040601027004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1.池壁抹灰：20mm厚M7.5水泥防水砂浆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040305001002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1.C15素砼垫层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2.垫层厚度：100mm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C15素砼设备基础</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1.C15素砼设备基础</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5.9136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040901009003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预埋铁件</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1.预埋C20槽钢、吊环、止水钢板</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040601030002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井、池渗漏试验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011204003001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块料墙面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1.池壁贴块料600*600块料面砖</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2.20mm 1：2.5水泥砂浆找平层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51.504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设备井合计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031006011002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1.成套设备，含水泵、砂缸、消毒设备，详见图纸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1.配置详见图纸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030804014003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回水口 DN50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1.回水口 DN50 ABS</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030804014004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布水口DN80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1.可调节流量式布水口</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一体化设备合计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工艺管网</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1.挖掘机装土方</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101.15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0.5672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1.管基内回填中粗砂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44.433</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1.管基内原土回填</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56.1491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030801016001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低压塑料管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1.PE聚乙烯给水管 PE100 0.6Mpa</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011107001002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人行道砖恢复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1.人行道砖 1：3水泥砂浆垫层(结合层) 厚度3cm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2.水泥石屑混合料 水泥含量 6% 厚度(cm):30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3.水泥混凝土路面 厚度 15cm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工艺管网合计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绿化园建</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050102012001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铺种草皮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1.台湾草恢复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2.草皮保养 人工灌溉 养护期4个月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662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绿化园建合计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隐形不锈钢护栏</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050307006001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铁艺栏杆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1.防护材料种类:不锈钢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2.栏杆高度:1.5米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3.主要参数:直径8mm*9根不锈钢绳索、2000x100x10厚钢板（间距2米）面喷墨绿色漆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隐形不锈钢护栏合计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循环消毒系统合计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电气</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1.1000*800配电箱购装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2.户外安装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3.箱内配置详见配电图</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1.SC50保护管埋地敷设</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1.SC30保护管埋地敷设</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1.WDZB-1KV-4*35+1*16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1.ZR-YJV-5*6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1.ZR-YJV-5*4</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电气合计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漏水点检测与修复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040601030003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1.构筑物名称:景观池</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2.试验方式:闭水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3.其他:检查、排水、现场清理等</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080403006001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防水堵漏（单价暂定）</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1.部位:景观池</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2.材质:按现场据实确定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3.工艺要求:对景观池空鼓区域、穿管区域进行详细摸排，据实制定方案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漏水点检测与修复合计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粤040101007001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挡土板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578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041102034001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池底模板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041102035001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池壁(隔墙)模板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011702024001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楼梯</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7370"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78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pStyle w:val="2"/>
        <w:ind w:firstLine="0"/>
        <w:rPr>
          <w:color w:val="auto"/>
          <w:highlight w:val="none"/>
        </w:rPr>
      </w:pPr>
    </w:p>
    <w:p>
      <w:pPr>
        <w:spacing w:line="360" w:lineRule="auto"/>
        <w:rPr>
          <w:rFonts w:hint="eastAsia" w:ascii="宋体" w:hAnsi="宋体" w:cs="宋体"/>
          <w:b/>
          <w:bCs/>
          <w:color w:val="auto"/>
          <w:szCs w:val="21"/>
          <w:highlight w:val="none"/>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8"/>
        <w:gridCol w:w="1230"/>
        <w:gridCol w:w="1583"/>
        <w:gridCol w:w="1276"/>
        <w:gridCol w:w="502"/>
        <w:gridCol w:w="190"/>
        <w:gridCol w:w="865"/>
        <w:gridCol w:w="503"/>
        <w:gridCol w:w="343"/>
        <w:gridCol w:w="833"/>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1" w:hRule="atLeast"/>
        </w:trPr>
        <w:tc>
          <w:tcPr>
            <w:tcW w:w="89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516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3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59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6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8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9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8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83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5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0"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18903.15</w:t>
            </w: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粤041109009001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1"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交通疏解员增加费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按照项目分部分项人工费的15%计算（有方案的按照方案计算），</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041108001001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3"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5354"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tbl>
      <w:tblPr>
        <w:tblStyle w:val="23"/>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395"/>
        <w:gridCol w:w="804"/>
        <w:gridCol w:w="805"/>
        <w:gridCol w:w="739"/>
        <w:gridCol w:w="70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trPr>
        <w:tc>
          <w:tcPr>
            <w:tcW w:w="88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44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50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0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3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50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2077"/>
        <w:gridCol w:w="2298"/>
        <w:gridCol w:w="168"/>
        <w:gridCol w:w="1381"/>
        <w:gridCol w:w="14"/>
        <w:gridCol w:w="86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 w:hRule="atLeast"/>
        </w:trPr>
        <w:tc>
          <w:tcPr>
            <w:tcW w:w="896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516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6"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4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9"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附件6 ：项目投入人员架构表/应急救援物资清单</w:t>
      </w:r>
    </w:p>
    <w:p>
      <w:pPr>
        <w:spacing w:line="360" w:lineRule="auto"/>
        <w:jc w:val="center"/>
        <w:outlineLvl w:val="3"/>
        <w:rPr>
          <w:rFonts w:ascii="宋体" w:hAnsi="宋体" w:cs="宋体"/>
          <w:b/>
          <w:color w:val="auto"/>
          <w:sz w:val="24"/>
          <w:szCs w:val="24"/>
          <w:highlight w:val="none"/>
        </w:rPr>
      </w:pPr>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color w:val="auto"/>
                <w:sz w:val="24"/>
                <w:szCs w:val="24"/>
                <w:highlight w:val="none"/>
              </w:rPr>
            </w:pPr>
          </w:p>
        </w:tc>
      </w:tr>
    </w:tbl>
    <w:p>
      <w:pPr>
        <w:spacing w:line="360" w:lineRule="auto"/>
        <w:rPr>
          <w:rFonts w:ascii="宋体" w:hAnsi="宋体" w:cs="宋体"/>
          <w:color w:val="auto"/>
          <w:sz w:val="24"/>
          <w:szCs w:val="24"/>
          <w:highlight w:val="none"/>
        </w:rPr>
      </w:pPr>
      <w:r>
        <w:rPr>
          <w:rFonts w:hint="eastAsia" w:ascii="宋体" w:hAnsi="宋体" w:cs="宋体"/>
          <w:b/>
          <w:bCs/>
          <w:color w:val="auto"/>
          <w:sz w:val="24"/>
          <w:szCs w:val="24"/>
          <w:highlight w:val="none"/>
        </w:rPr>
        <w:t>注： 本表作为合同附件，其内容必须是真实有效。</w:t>
      </w:r>
    </w:p>
    <w:p>
      <w:pPr>
        <w:pStyle w:val="28"/>
        <w:rPr>
          <w:rFonts w:hAnsi="宋体" w:eastAsia="宋体"/>
          <w:b/>
          <w:color w:val="auto"/>
          <w:highlight w:val="none"/>
        </w:rPr>
      </w:pPr>
    </w:p>
    <w:p>
      <w:pPr>
        <w:rPr>
          <w:rFonts w:ascii="宋体" w:hAnsi="宋体" w:cs="宋体"/>
          <w:bCs/>
          <w:color w:val="auto"/>
          <w:sz w:val="24"/>
          <w:szCs w:val="24"/>
          <w:highlight w:val="none"/>
        </w:rPr>
      </w:pPr>
    </w:p>
    <w:p>
      <w:pPr>
        <w:pStyle w:val="9"/>
        <w:rPr>
          <w:rFonts w:ascii="宋体" w:hAnsi="宋体" w:cs="宋体"/>
          <w:bCs/>
          <w:color w:val="auto"/>
          <w:sz w:val="24"/>
          <w:szCs w:val="24"/>
          <w:highlight w:val="none"/>
        </w:rPr>
      </w:pPr>
    </w:p>
    <w:p>
      <w:pPr>
        <w:pStyle w:val="10"/>
        <w:rPr>
          <w:rFonts w:ascii="宋体" w:hAnsi="宋体" w:cs="宋体"/>
          <w:bCs/>
          <w:color w:val="auto"/>
          <w:sz w:val="24"/>
          <w:szCs w:val="24"/>
          <w:highlight w:val="none"/>
        </w:rPr>
      </w:pPr>
    </w:p>
    <w:p>
      <w:pPr>
        <w:pStyle w:val="10"/>
        <w:rPr>
          <w:rFonts w:ascii="宋体" w:hAnsi="宋体" w:cs="宋体"/>
          <w:bCs/>
          <w:color w:val="auto"/>
          <w:sz w:val="24"/>
          <w:szCs w:val="24"/>
          <w:highlight w:val="none"/>
        </w:rPr>
      </w:pPr>
    </w:p>
    <w:p>
      <w:pPr>
        <w:pStyle w:val="10"/>
        <w:rPr>
          <w:rFonts w:ascii="宋体" w:hAnsi="宋体" w:cs="宋体"/>
          <w:bCs/>
          <w:color w:val="auto"/>
          <w:sz w:val="24"/>
          <w:szCs w:val="24"/>
          <w:highlight w:val="none"/>
        </w:rPr>
      </w:pPr>
    </w:p>
    <w:p>
      <w:pPr>
        <w:pStyle w:val="10"/>
        <w:rPr>
          <w:rFonts w:ascii="宋体" w:hAnsi="宋体" w:cs="宋体"/>
          <w:bCs/>
          <w:color w:val="auto"/>
          <w:sz w:val="24"/>
          <w:szCs w:val="24"/>
          <w:highlight w:val="none"/>
        </w:rPr>
      </w:pPr>
    </w:p>
    <w:p>
      <w:pPr>
        <w:pStyle w:val="10"/>
        <w:rPr>
          <w:rFonts w:ascii="宋体" w:hAnsi="宋体" w:cs="宋体"/>
          <w:bCs/>
          <w:color w:val="auto"/>
          <w:sz w:val="24"/>
          <w:szCs w:val="24"/>
          <w:highlight w:val="none"/>
        </w:rPr>
      </w:pPr>
    </w:p>
    <w:p>
      <w:pPr>
        <w:pStyle w:val="10"/>
        <w:rPr>
          <w:rFonts w:ascii="宋体" w:hAnsi="宋体" w:cs="宋体"/>
          <w:bCs/>
          <w:color w:val="auto"/>
          <w:sz w:val="24"/>
          <w:szCs w:val="24"/>
          <w:highlight w:val="none"/>
        </w:rPr>
      </w:pPr>
    </w:p>
    <w:p>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附件7 ：不诚信行为的情形及相应被暂停参与投标活动的处理标准</w:t>
      </w:r>
    </w:p>
    <w:p>
      <w:pPr>
        <w:adjustRightInd w:val="0"/>
        <w:snapToGrid w:val="0"/>
        <w:rPr>
          <w:rFonts w:ascii="宋体" w:hAnsi="宋体" w:cs="宋体"/>
          <w:color w:val="auto"/>
          <w:sz w:val="24"/>
          <w:highlight w:val="none"/>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widowControl/>
        <w:jc w:val="left"/>
        <w:rPr>
          <w:rFonts w:hint="eastAsia" w:ascii="宋体" w:hAnsi="宋体" w:cs="宋体"/>
          <w:color w:val="auto"/>
          <w:szCs w:val="21"/>
          <w:highlight w:val="none"/>
          <w:lang w:eastAsia="zh-CN"/>
        </w:rPr>
      </w:pPr>
    </w:p>
    <w:p>
      <w:pPr>
        <w:widowControl/>
        <w:jc w:val="left"/>
        <w:rPr>
          <w:rFonts w:hint="eastAsia" w:ascii="宋体" w:hAnsi="宋体" w:cs="宋体"/>
          <w:color w:val="auto"/>
          <w:szCs w:val="21"/>
          <w:highlight w:val="none"/>
          <w:lang w:eastAsia="zh-CN"/>
        </w:rPr>
      </w:pPr>
    </w:p>
    <w:p>
      <w:pPr>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p>
      <w:pPr>
        <w:pStyle w:val="2"/>
        <w:rPr>
          <w:rFonts w:hint="eastAsia" w:ascii="宋体" w:hAnsi="宋体" w:cs="宋体"/>
          <w:b/>
          <w:bCs/>
          <w:color w:val="auto"/>
          <w:sz w:val="24"/>
          <w:szCs w:val="24"/>
          <w:highlight w:val="none"/>
          <w:lang w:val="en-US" w:eastAsia="zh-CN"/>
        </w:rPr>
      </w:pPr>
    </w:p>
    <w:tbl>
      <w:tblPr>
        <w:tblStyle w:val="23"/>
        <w:tblW w:w="106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扣合同金额的30%～50%；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扣合同金额的20%～30%；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扣合同金额的10%～20%；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扣合同金额的5%～10%;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缺应急预案扣合同金额的6%或700；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缺应急预案扣合同金额的3%或3500；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缺应急预案扣合同金额的1.5%或5000；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缺应急预案扣合同金额的0.5%或1万；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缺安全架构扣合同金额的10%或2000；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缺安全架构扣合同金额的5%或5000；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缺安全架构扣合同金额的2%或1万；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缺安全架构扣合同金额的1%或2万；</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缺特种作业人员或特种作业人员不满足合同要求，扣合同金额的5%或500；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缺特种作业人员或特种作业人员不满足合同要求，扣合同金额的2%或2000；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缺特种作业人员或特种作业人员不满足合同要求，扣合同金额的1%或4500；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缺特种作业人员或特种作业人员不满足合同要求，扣合同金额的0.4%或8000；</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1.未设置应急物资点，未统一存放应急物资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2.应急物资点无应急物资清单或无应急物资每日检查表</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扣合同金额的3%～5%；</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扣合同金额的1%～2%；</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扣合同金额的0.5%～1%；</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扣合同金额的0.3%～0.4%；</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jc w:val="center"/>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color w:val="auto"/>
                <w:sz w:val="13"/>
                <w:szCs w:val="13"/>
                <w:highlight w:val="none"/>
                <w:lang w:val="en-US" w:eastAsia="zh-CN"/>
              </w:rPr>
            </w:pPr>
            <w:r>
              <w:rPr>
                <w:rFonts w:hint="eastAsia"/>
                <w:color w:val="auto"/>
                <w:sz w:val="13"/>
                <w:szCs w:val="13"/>
                <w:highlight w:val="none"/>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auto"/>
                <w:sz w:val="13"/>
                <w:szCs w:val="13"/>
                <w:highlight w:val="none"/>
                <w:lang w:val="en-US" w:eastAsia="zh-CN"/>
              </w:rPr>
            </w:pPr>
            <w:r>
              <w:rPr>
                <w:rFonts w:hint="eastAsia" w:ascii="仿宋_GB2312" w:hAnsi="仿宋_GB2312" w:eastAsia="仿宋_GB2312" w:cs="仿宋_GB2312"/>
                <w:color w:val="auto"/>
                <w:sz w:val="13"/>
                <w:szCs w:val="13"/>
                <w:highlight w:val="none"/>
                <w:lang w:val="en-US" w:eastAsia="zh-CN"/>
              </w:rPr>
              <w:t>2.本处理标准出自</w:t>
            </w:r>
            <w:r>
              <w:rPr>
                <w:rFonts w:hint="eastAsia" w:ascii="仿宋_GB2312" w:hAnsi="仿宋_GB2312" w:eastAsia="仿宋_GB2312" w:cs="仿宋_GB2312"/>
                <w:color w:val="auto"/>
                <w:sz w:val="13"/>
                <w:szCs w:val="13"/>
                <w:highlight w:val="none"/>
              </w:rPr>
              <w:t>《</w:t>
            </w:r>
            <w:r>
              <w:rPr>
                <w:rFonts w:hint="eastAsia" w:ascii="宋体" w:hAnsi="宋体" w:eastAsia="宋体" w:cs="宋体"/>
                <w:color w:val="auto"/>
                <w:sz w:val="13"/>
                <w:szCs w:val="13"/>
                <w:highlight w:val="none"/>
                <w:lang w:eastAsia="zh-CN"/>
              </w:rPr>
              <w:t>广州净水公司工程项目承包单位质量安全考评细则（试行）</w:t>
            </w:r>
            <w:r>
              <w:rPr>
                <w:rFonts w:hint="eastAsia" w:ascii="仿宋_GB2312" w:hAnsi="仿宋_GB2312" w:eastAsia="仿宋_GB2312" w:cs="仿宋_GB2312"/>
                <w:color w:val="auto"/>
                <w:sz w:val="13"/>
                <w:szCs w:val="13"/>
                <w:highlight w:val="none"/>
              </w:rPr>
              <w:t>》</w:t>
            </w:r>
            <w:r>
              <w:rPr>
                <w:rFonts w:hint="eastAsia" w:ascii="仿宋_GB2312" w:hAnsi="仿宋_GB2312" w:eastAsia="仿宋_GB2312" w:cs="仿宋_GB2312"/>
                <w:color w:val="auto"/>
                <w:sz w:val="13"/>
                <w:szCs w:val="13"/>
                <w:highlight w:val="none"/>
                <w:lang w:eastAsia="zh-CN"/>
              </w:rPr>
              <w:t>。</w:t>
            </w:r>
          </w:p>
          <w:p>
            <w:pPr>
              <w:pStyle w:val="2"/>
              <w:rPr>
                <w:rFonts w:hint="eastAsia"/>
                <w:color w:val="auto"/>
                <w:highlight w:val="none"/>
              </w:rPr>
            </w:pPr>
          </w:p>
        </w:tc>
      </w:tr>
    </w:tbl>
    <w:p>
      <w:pPr>
        <w:pStyle w:val="2"/>
        <w:ind w:left="0" w:leftChars="0" w:firstLine="0" w:firstLineChars="0"/>
        <w:rPr>
          <w:rFonts w:hint="eastAsia" w:ascii="宋体" w:hAnsi="宋体" w:cs="宋体"/>
          <w:b/>
          <w:bCs/>
          <w:color w:val="auto"/>
          <w:sz w:val="24"/>
          <w:szCs w:val="24"/>
          <w:highlight w:val="none"/>
          <w:lang w:val="en-US" w:eastAsia="zh-CN"/>
        </w:rPr>
      </w:pPr>
    </w:p>
    <w:p>
      <w:pPr>
        <w:pStyle w:val="2"/>
        <w:ind w:left="0" w:leftChars="0" w:firstLine="0" w:firstLineChars="0"/>
        <w:rPr>
          <w:rFonts w:hint="eastAsia" w:ascii="宋体" w:hAnsi="宋体" w:cs="宋体"/>
          <w:b/>
          <w:bCs/>
          <w:color w:val="auto"/>
          <w:sz w:val="24"/>
          <w:szCs w:val="24"/>
          <w:highlight w:val="none"/>
          <w:lang w:val="en-US" w:eastAsia="zh-CN"/>
        </w:rPr>
      </w:pPr>
    </w:p>
    <w:tbl>
      <w:tblPr>
        <w:tblStyle w:val="23"/>
        <w:tblW w:w="99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431"/>
        <w:gridCol w:w="480"/>
        <w:gridCol w:w="3869"/>
        <w:gridCol w:w="1058"/>
        <w:gridCol w:w="641"/>
        <w:gridCol w:w="641"/>
        <w:gridCol w:w="641"/>
        <w:gridCol w:w="641"/>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775"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auto"/>
                <w:sz w:val="16"/>
                <w:szCs w:val="16"/>
                <w:highlight w:val="none"/>
                <w:u w:val="none"/>
              </w:rPr>
            </w:pPr>
          </w:p>
        </w:tc>
        <w:tc>
          <w:tcPr>
            <w:tcW w:w="480"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auto"/>
                <w:sz w:val="16"/>
                <w:szCs w:val="16"/>
                <w:highlight w:val="none"/>
                <w:u w:val="none"/>
              </w:rPr>
            </w:pPr>
          </w:p>
        </w:tc>
        <w:tc>
          <w:tcPr>
            <w:tcW w:w="3869"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058"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64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c>
          <w:tcPr>
            <w:tcW w:w="123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jc w:val="center"/>
        </w:trPr>
        <w:tc>
          <w:tcPr>
            <w:tcW w:w="998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5124" w:type="dxa"/>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项目名称：</w:t>
            </w:r>
          </w:p>
        </w:tc>
        <w:tc>
          <w:tcPr>
            <w:tcW w:w="1058"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auto"/>
                <w:sz w:val="16"/>
                <w:szCs w:val="16"/>
                <w:highlight w:val="none"/>
                <w:u w:val="none"/>
              </w:rPr>
            </w:pPr>
          </w:p>
        </w:tc>
        <w:tc>
          <w:tcPr>
            <w:tcW w:w="3799"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auto"/>
                <w:sz w:val="16"/>
                <w:szCs w:val="16"/>
                <w:highlight w:val="none"/>
                <w:u w:val="none"/>
              </w:rPr>
            </w:pPr>
            <w:r>
              <w:rPr>
                <w:rFonts w:hint="eastAsia" w:ascii="等线" w:hAnsi="等线" w:eastAsia="等线" w:cs="等线"/>
                <w:b/>
                <w:i w:val="0"/>
                <w:color w:val="auto"/>
                <w:kern w:val="0"/>
                <w:sz w:val="16"/>
                <w:szCs w:val="16"/>
                <w:highlight w:val="none"/>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序号</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考评项目</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考评分项</w:t>
            </w:r>
          </w:p>
        </w:tc>
        <w:tc>
          <w:tcPr>
            <w:tcW w:w="386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考评内容</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考评标准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监理单位考评</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分公司考评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公司考评</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jc w:val="center"/>
        </w:trPr>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86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业务主管部门</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安全管理部门</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综合管理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受到业主单位或上级管理部门通报表扬的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加5～10分/项，可叠加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2</w:t>
            </w:r>
          </w:p>
        </w:tc>
        <w:tc>
          <w:tcPr>
            <w:tcW w:w="9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积极配合业主单位做好安全工作及相关宣传教育，积极主动排查隐患的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加5分/项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jc w:val="center"/>
        </w:trPr>
        <w:tc>
          <w:tcPr>
            <w:tcW w:w="9981"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安全事故</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事故类型</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发生重伤1人及以上安全事故，或直接经济损失达200万元以上的安全生产事故</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发生停产、影响环境、破坏公共设施、造成不良影响等事故的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扣40分/项，可叠加，到达100分，3年内禁止来我公司投标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7</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事故处理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1.发生事故或事件隐瞒不报的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2.未在1小时内向业主单位上报事故的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3.拒绝、不配合事故事件调查的或事故事件调查提供虚假信息</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4.未按规定和程序组织事故调查和事故处理的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5.未及时处理导致事故扩大的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6.未落实“四不放过”的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扣100分/项，同时3年内禁止来我公司投标</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8</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首次备案施工单位须提供的资料</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一般资料</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2.施工单位对施工人员的三级安全教育材料</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3.特殊时期需要增加的资料（如新冠疫情期间，需要增加的人员健康码和行程码资料）</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缺资料扣3～5分/项；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9</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施工方案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4.施工方案，应满足合同要求，内容至少包括：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施工点介绍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施工内容（含作业流程、风险分析、施工工艺等）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施工设备和材料（必要时含构件测试手段等）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正常施工安全物资（主要是安全防护设备、劳保用品）</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缺施工方案扣4～8分/项；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10</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应急预案</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5.应急预案，内容至少包括：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现场情况介绍</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风险评估</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应急流程</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应急物资清单</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外单位救援力量及联系方式等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缺应急预案扣4～8分/项；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资料有问题扣1～3分/项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11</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安全架构</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安全责任人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施工负责人（可与安全责任人为同一个人）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设备、物资管理人员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关键岗位人员、特种作业人员</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缺安全架构扣5～10分/项；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缺任何一类人员及其职责有问题扣2～4分/项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12</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人员资质</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7.施工人员花名册，人员应包含：</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施工负责人（需要施工管理人员资格证书）</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一般施工人员</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 xml:space="preserve">  可能需要进入厂区的其他人员（如监理人员、资料员等）</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注：如作业涉及危险作业，作业人员须有作业人员岗前职业病体检和筛选</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缺花名册扣3～5分/项；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缺特种作业人员或特种作业人员不满足合同要求扣3～5分/项；</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其他人员或资料有缺漏扣1～3分/项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13</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施工现场管理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现场面貌</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1.施工现场未开展有效围蔽</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3.现场无危险源公示、告知及相应警示</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4.材料堆放存在重大隐患</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14</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施工管理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1.现场未按施工方案落实安全防范措施的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2.危险作业未经业主人员审批先行施工的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3.未按施工方案施工的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15</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每日安全交底</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2.内容未结合当天的现场状况、特点、工序，对危险因素、施工内容、安全作业和应急措施进行交底的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扣2～4分/项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jc w:val="center"/>
        </w:trPr>
        <w:tc>
          <w:tcPr>
            <w:tcW w:w="3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auto"/>
                <w:sz w:val="16"/>
                <w:szCs w:val="16"/>
                <w:highlight w:val="none"/>
                <w:u w:val="none"/>
              </w:rPr>
            </w:pPr>
            <w:r>
              <w:rPr>
                <w:rFonts w:hint="eastAsia" w:ascii="等线" w:hAnsi="等线" w:eastAsia="等线" w:cs="等线"/>
                <w:i w:val="0"/>
                <w:color w:val="auto"/>
                <w:kern w:val="0"/>
                <w:sz w:val="16"/>
                <w:szCs w:val="16"/>
                <w:highlight w:val="none"/>
                <w:u w:val="none"/>
                <w:lang w:val="en-US" w:eastAsia="zh-CN" w:bidi="ar"/>
              </w:rPr>
              <w:t>16</w:t>
            </w: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auto"/>
                <w:sz w:val="16"/>
                <w:szCs w:val="16"/>
                <w:highlight w:val="none"/>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作业行为管理</w:t>
            </w:r>
          </w:p>
        </w:tc>
        <w:tc>
          <w:tcPr>
            <w:tcW w:w="38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1.违反9大危险作业相关作业规范的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2.现场存在违章作业、违章指挥等违反相关安全管理规定或制度的</w:t>
            </w:r>
            <w:r>
              <w:rPr>
                <w:rFonts w:hint="eastAsia" w:ascii="仿宋_GB2312" w:hAnsi="等线" w:eastAsia="仿宋_GB2312" w:cs="仿宋_GB2312"/>
                <w:i w:val="0"/>
                <w:color w:val="auto"/>
                <w:kern w:val="0"/>
                <w:sz w:val="16"/>
                <w:szCs w:val="16"/>
                <w:highlight w:val="none"/>
                <w:u w:val="none"/>
                <w:lang w:val="en-US" w:eastAsia="zh-CN" w:bidi="ar"/>
              </w:rPr>
              <w:br w:type="textWrapping"/>
            </w:r>
            <w:r>
              <w:rPr>
                <w:rFonts w:hint="eastAsia" w:ascii="仿宋_GB2312" w:hAnsi="等线" w:eastAsia="仿宋_GB2312" w:cs="仿宋_GB2312"/>
                <w:i w:val="0"/>
                <w:color w:val="auto"/>
                <w:kern w:val="0"/>
                <w:sz w:val="16"/>
                <w:szCs w:val="16"/>
                <w:highlight w:val="none"/>
                <w:u w:val="none"/>
                <w:lang w:val="en-US" w:eastAsia="zh-CN" w:bidi="ar"/>
              </w:rPr>
              <w:t>3.人员错误使用劳保用品3次以上的</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auto"/>
                <w:sz w:val="16"/>
                <w:szCs w:val="16"/>
                <w:highlight w:val="none"/>
                <w:u w:val="none"/>
              </w:rPr>
            </w:pPr>
            <w:r>
              <w:rPr>
                <w:rFonts w:hint="eastAsia" w:ascii="仿宋_GB2312" w:hAnsi="等线" w:eastAsia="仿宋_GB2312" w:cs="仿宋_GB2312"/>
                <w:i w:val="0"/>
                <w:color w:val="auto"/>
                <w:kern w:val="0"/>
                <w:sz w:val="16"/>
                <w:szCs w:val="16"/>
                <w:highlight w:val="none"/>
                <w:u w:val="none"/>
                <w:lang w:val="en-US" w:eastAsia="zh-CN" w:bidi="ar"/>
              </w:rPr>
              <w:t>扣3～5分/项</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auto"/>
                <w:sz w:val="16"/>
                <w:szCs w:val="16"/>
                <w:highlight w:val="none"/>
                <w:u w:val="none"/>
              </w:rPr>
            </w:pPr>
          </w:p>
        </w:tc>
      </w:tr>
    </w:tbl>
    <w:p>
      <w:pPr>
        <w:pStyle w:val="4"/>
        <w:jc w:val="both"/>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2334260</wp:posOffset>
                </wp:positionH>
                <wp:positionV relativeFrom="paragraph">
                  <wp:posOffset>481965</wp:posOffset>
                </wp:positionV>
                <wp:extent cx="958850" cy="0"/>
                <wp:effectExtent l="0" t="0" r="0" b="0"/>
                <wp:wrapNone/>
                <wp:docPr id="2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83.8pt;margin-top:37.95pt;height:0pt;width:75.5pt;z-index:251677696;mso-width-relative:page;mso-height-relative:page;" filled="f" stroked="t" coordsize="21600,21600" o:gfxdata="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T+Zv/XAAAACQEAAA8AAAAAAAAAAQAgAAAAIgAAAGRycy9kb3ducmV2LnhtbFBL&#10;AQIUABQAAAAIAIdO4kCTiqTr9wEAAPIDAAAOAAAAAAAAAAEAIAAAACY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2315845</wp:posOffset>
                </wp:positionH>
                <wp:positionV relativeFrom="paragraph">
                  <wp:posOffset>86995</wp:posOffset>
                </wp:positionV>
                <wp:extent cx="958850" cy="0"/>
                <wp:effectExtent l="0" t="0" r="0" b="0"/>
                <wp:wrapNone/>
                <wp:docPr id="1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0" o:spid="_x0000_s1026" o:spt="32" type="#_x0000_t32" style="position:absolute;left:0pt;margin-left:182.35pt;margin-top:6.85pt;height:0pt;width:75.5pt;z-index:251676672;mso-width-relative:page;mso-height-relative:page;" filled="f" stroked="t" coordsize="21600,21600" o:gfxdata="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vTV/tcAAAAJAQAADwAAAAAAAAABACAAAAAiAAAAZHJzL2Rvd25yZXYueG1sUEsB&#10;AhQAFAAAAAgAh07iQLgCNWz2AQAA8gMAAA4AAAAAAAAAAQAgAAAAJgEAAGRycy9lMm9Eb2MueG1s&#10;UEsFBgAAAAAGAAYAWQEAAI4FAAAAAA==&#10;">
                <v:fill on="f" focussize="0,0"/>
                <v:stroke color="#000000" joinstyle="round"/>
                <v:imagedata o:title=""/>
                <o:lock v:ext="edit" aspectratio="f"/>
              </v:shape>
            </w:pict>
          </mc:Fallback>
        </mc:AlternateContent>
      </w:r>
      <w:r>
        <w:rPr>
          <w:rFonts w:hint="eastAsia"/>
          <w:color w:val="auto"/>
          <w:highlight w:val="none"/>
        </w:rPr>
        <w:t>第七章</w:t>
      </w:r>
    </w:p>
    <w:p>
      <w:pPr>
        <w:pStyle w:val="37"/>
        <w:rPr>
          <w:color w:val="auto"/>
          <w:highlight w:val="none"/>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bookmarkEnd w:id="85"/>
    <w:bookmarkEnd w:id="86"/>
    <w:bookmarkEnd w:id="87"/>
    <w:bookmarkEnd w:id="88"/>
    <w:bookmarkEnd w:id="89"/>
    <w:bookmarkEnd w:id="90"/>
    <w:bookmarkEnd w:id="91"/>
    <w:bookmarkEnd w:id="92"/>
    <w:bookmarkEnd w:id="93"/>
    <w:bookmarkEnd w:id="94"/>
    <w:bookmarkEnd w:id="95"/>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8209952"/>
      <w:bookmarkStart w:id="128" w:name="_Toc87616389"/>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7616390"/>
      <w:bookmarkStart w:id="130" w:name="_Toc88209953"/>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33" w:name="_Toc88209957"/>
      <w:bookmarkStart w:id="134" w:name="_Toc28619645"/>
      <w:bookmarkStart w:id="135" w:name="_Toc12665"/>
      <w:bookmarkStart w:id="136" w:name="_Toc87616394"/>
      <w:bookmarkStart w:id="137" w:name="_Toc6313"/>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88209958"/>
      <w:bookmarkStart w:id="139" w:name="_Toc29833"/>
      <w:bookmarkStart w:id="140" w:name="_Toc87616395"/>
      <w:bookmarkStart w:id="141"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28"/>
          <w:szCs w:val="28"/>
          <w:highlight w:val="none"/>
        </w:rPr>
        <w:t xml:space="preserve">   供应商名称：</w:t>
      </w:r>
      <w:r>
        <w:rPr>
          <w:rFonts w:hint="eastAsia" w:ascii="仿宋_GB2312" w:hAnsi="宋体" w:eastAsia="仿宋_GB2312" w:cs="Times New Roman"/>
          <w:color w:val="auto"/>
          <w:sz w:val="28"/>
          <w:szCs w:val="28"/>
          <w:highlight w:val="none"/>
          <w:u w:val="single"/>
        </w:rPr>
        <w:t xml:space="preserve">                          </w:t>
      </w:r>
    </w:p>
    <w:p>
      <w:pPr>
        <w:pStyle w:val="13"/>
        <w:snapToGrid w:val="0"/>
        <w:spacing w:line="600" w:lineRule="exact"/>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rPr>
        <w:t xml:space="preserve">     单位性质：</w:t>
      </w:r>
      <w:r>
        <w:rPr>
          <w:rFonts w:hint="eastAsia" w:ascii="仿宋_GB2312" w:hAnsi="宋体" w:eastAsia="仿宋_GB2312" w:cs="Times New Roman"/>
          <w:color w:val="auto"/>
          <w:sz w:val="28"/>
          <w:szCs w:val="28"/>
          <w:highlight w:val="none"/>
          <w:u w:val="single"/>
        </w:rPr>
        <w:t xml:space="preserve">                            </w:t>
      </w:r>
    </w:p>
    <w:p>
      <w:pPr>
        <w:pStyle w:val="38"/>
        <w:snapToGrid w:val="0"/>
        <w:spacing w:after="0" w:line="600" w:lineRule="exact"/>
        <w:ind w:firstLine="700" w:firstLineChars="250"/>
        <w:rPr>
          <w:rFonts w:ascii="仿宋_GB2312" w:hAnsi="宋体" w:eastAsia="仿宋_GB2312" w:cs="Times New Roman"/>
          <w:color w:val="auto"/>
          <w:sz w:val="28"/>
          <w:szCs w:val="28"/>
          <w:highlight w:val="none"/>
          <w:u w:val="single"/>
        </w:rPr>
      </w:pPr>
      <w:r>
        <w:rPr>
          <w:rFonts w:hint="eastAsia" w:ascii="仿宋_GB2312" w:hAnsi="宋体" w:eastAsia="仿宋_GB2312" w:cs="Times New Roman"/>
          <w:color w:val="auto"/>
          <w:sz w:val="28"/>
          <w:szCs w:val="28"/>
          <w:highlight w:val="none"/>
        </w:rPr>
        <w:t>地    址：</w:t>
      </w:r>
      <w:r>
        <w:rPr>
          <w:rFonts w:hint="eastAsia" w:ascii="仿宋_GB2312" w:hAnsi="宋体" w:eastAsia="仿宋_GB2312" w:cs="Times New Roman"/>
          <w:color w:val="auto"/>
          <w:sz w:val="28"/>
          <w:szCs w:val="28"/>
          <w:highlight w:val="none"/>
          <w:u w:val="single"/>
        </w:rPr>
        <w:t xml:space="preserve">                            </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成立时间：</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年</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月</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日</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经营期限：</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姓名：</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性别：</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年龄：</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 xml:space="preserve"> 身份证号码：</w:t>
      </w:r>
      <w:r>
        <w:rPr>
          <w:rFonts w:hint="eastAsia" w:ascii="仿宋_GB2312" w:hAnsi="宋体" w:eastAsia="仿宋_GB2312" w:cs="Times New Roman"/>
          <w:color w:val="auto"/>
          <w:sz w:val="28"/>
          <w:szCs w:val="28"/>
          <w:highlight w:val="none"/>
          <w:u w:val="single"/>
        </w:rPr>
        <w:t xml:space="preserve">          </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职务：</w:t>
      </w:r>
      <w:r>
        <w:rPr>
          <w:rFonts w:hint="eastAsia" w:ascii="仿宋_GB2312" w:hAnsi="宋体" w:eastAsia="仿宋_GB2312" w:cs="Times New Roman"/>
          <w:color w:val="auto"/>
          <w:sz w:val="28"/>
          <w:szCs w:val="28"/>
          <w:highlight w:val="none"/>
          <w:u w:val="single"/>
        </w:rPr>
        <w:t xml:space="preserve">         </w:t>
      </w:r>
      <w:r>
        <w:rPr>
          <w:rFonts w:hint="eastAsia" w:ascii="仿宋_GB2312" w:hAnsi="宋体" w:eastAsia="仿宋_GB2312" w:cs="Times New Roman"/>
          <w:color w:val="auto"/>
          <w:sz w:val="28"/>
          <w:szCs w:val="28"/>
          <w:highlight w:val="none"/>
        </w:rPr>
        <w:t>系</w:t>
      </w:r>
      <w:r>
        <w:rPr>
          <w:rFonts w:hint="eastAsia" w:ascii="仿宋_GB2312" w:hAnsi="宋体" w:eastAsia="仿宋_GB2312" w:cs="Times New Roman"/>
          <w:color w:val="auto"/>
          <w:sz w:val="28"/>
          <w:szCs w:val="28"/>
          <w:highlight w:val="none"/>
          <w:u w:val="single"/>
        </w:rPr>
        <w:t xml:space="preserve">     (供应商名称)       </w:t>
      </w:r>
      <w:r>
        <w:rPr>
          <w:rFonts w:hint="eastAsia" w:ascii="仿宋_GB2312" w:hAnsi="宋体" w:eastAsia="仿宋_GB2312" w:cs="Times New Roman"/>
          <w:color w:val="auto"/>
          <w:sz w:val="28"/>
          <w:szCs w:val="28"/>
          <w:highlight w:val="none"/>
        </w:rPr>
        <w:t xml:space="preserve"> 的法定代表人。</w:t>
      </w:r>
    </w:p>
    <w:p>
      <w:pPr>
        <w:pStyle w:val="13"/>
        <w:snapToGrid w:val="0"/>
        <w:spacing w:line="600" w:lineRule="exact"/>
        <w:ind w:firstLine="719" w:firstLineChars="257"/>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特此证明。</w:t>
      </w:r>
    </w:p>
    <w:p>
      <w:pPr>
        <w:adjustRightInd w:val="0"/>
        <w:snapToGrid w:val="0"/>
        <w:spacing w:line="600" w:lineRule="exact"/>
        <w:ind w:firstLine="655" w:firstLineChars="234"/>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2" w:name="_Toc19830"/>
      <w:bookmarkStart w:id="143" w:name="_Toc87616400"/>
      <w:bookmarkStart w:id="144" w:name="_Toc8086"/>
      <w:bookmarkStart w:id="145"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US" w:eastAsia="zh-CN"/>
        </w:rPr>
        <w:t>*******</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10</w:t>
      </w:r>
      <w:r>
        <w:rPr>
          <w:rFonts w:hint="eastAsia" w:ascii="宋体" w:hAnsi="宋体" w:cs="宋体" w:eastAsiaTheme="minorEastAsia"/>
          <w:color w:val="auto"/>
          <w:sz w:val="24"/>
          <w:szCs w:val="24"/>
          <w:highlight w:val="none"/>
          <w:lang w:val="en-GB"/>
        </w:rPr>
        <w:t>）被纳入本项目采购人（包括市水投集团及相关所属企业）书面限制参与采购活动且处于有效期内的。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1</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7" w:name="_Toc32430"/>
      <w:bookmarkStart w:id="14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p>
    <w:tbl>
      <w:tblPr>
        <w:tblStyle w:val="23"/>
        <w:tblW w:w="8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5"/>
        <w:gridCol w:w="3918"/>
        <w:gridCol w:w="99"/>
        <w:gridCol w:w="1416"/>
        <w:gridCol w:w="649"/>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6" w:hRule="atLeast"/>
        </w:trPr>
        <w:tc>
          <w:tcPr>
            <w:tcW w:w="874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6" w:hRule="atLeast"/>
        </w:trPr>
        <w:tc>
          <w:tcPr>
            <w:tcW w:w="4963"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62"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trPr>
        <w:tc>
          <w:tcPr>
            <w:tcW w:w="10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401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汇总内容</w:t>
            </w:r>
          </w:p>
        </w:tc>
        <w:tc>
          <w:tcPr>
            <w:tcW w:w="206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613"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循环消毒系统</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电气</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漏水点检测与修复</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措施合计</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r>
              <w:rPr>
                <w:rFonts w:hint="eastAsia" w:ascii="仿宋_GB2312" w:eastAsia="仿宋_GB2312"/>
                <w:color w:val="auto"/>
                <w:sz w:val="28"/>
                <w:szCs w:val="28"/>
                <w:highlight w:val="none"/>
                <w:u w:val="single"/>
              </w:rPr>
              <w:t>18903.15</w:t>
            </w: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其他措施费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其他项目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税前工程造价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总造价</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2" w:hRule="atLeast"/>
        </w:trPr>
        <w:tc>
          <w:tcPr>
            <w:tcW w:w="10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401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人工费</w:t>
            </w:r>
          </w:p>
        </w:tc>
        <w:tc>
          <w:tcPr>
            <w:tcW w:w="206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报价合计=1+2+3+5</w:t>
            </w: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2" w:hRule="atLeast"/>
        </w:trPr>
        <w:tc>
          <w:tcPr>
            <w:tcW w:w="5062" w:type="dxa"/>
            <w:gridSpan w:val="3"/>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206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613"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3"/>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321"/>
        <w:gridCol w:w="1201"/>
        <w:gridCol w:w="1970"/>
        <w:gridCol w:w="266"/>
        <w:gridCol w:w="428"/>
        <w:gridCol w:w="830"/>
        <w:gridCol w:w="88"/>
        <w:gridCol w:w="2"/>
        <w:gridCol w:w="696"/>
        <w:gridCol w:w="789"/>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2166" w:type="dxa"/>
          <w:trHeight w:val="524" w:hRule="atLeast"/>
        </w:trPr>
        <w:tc>
          <w:tcPr>
            <w:tcW w:w="6674" w:type="dxa"/>
            <w:gridSpan w:val="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8" w:hRule="atLeast"/>
        </w:trPr>
        <w:tc>
          <w:tcPr>
            <w:tcW w:w="8840" w:type="dxa"/>
            <w:gridSpan w:val="1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9" w:hRule="atLeast"/>
        </w:trPr>
        <w:tc>
          <w:tcPr>
            <w:tcW w:w="506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61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16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20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2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项目特征描述</w:t>
            </w:r>
          </w:p>
        </w:tc>
        <w:tc>
          <w:tcPr>
            <w:tcW w:w="42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计量单位</w:t>
            </w:r>
          </w:p>
        </w:tc>
        <w:tc>
          <w:tcPr>
            <w:tcW w:w="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2256"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6"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综合单价</w:t>
            </w:r>
          </w:p>
        </w:tc>
        <w:tc>
          <w:tcPr>
            <w:tcW w:w="789"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综合合价</w:t>
            </w: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5"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20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22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42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6"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789"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循环消毒系统</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1.挖沟槽土方，挖掘机开挖*0.95；人工开挖*0.05</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270.306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1.回填土 夯实机夯实 槽、坑</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105.9285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1.挖掘机装土方</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164.3775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010515001002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现浇构件钢筋</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1.现浇构件圆钢 φ25内</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040502008006</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1.DN50刚性套管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040502008007</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套管制作、安装</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1.DN80刚性套管</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现浇混凝土池底</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1.150mm现浇钢砼池底</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17.6175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040601007002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现浇混凝土池壁(隔墙)</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1.200mm现浇钢砼池壁</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34.338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070205001001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不锈钢盖板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1.不锈钢盖板购装，尺寸详见图纸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块</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040601027003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1.池底抹灰：20mm厚M7.5水泥防水砂浆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040601027004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刚性防水</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1.池壁抹灰：20mm厚M7.5水泥防水砂浆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040305001002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垫层</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1.C15素砼垫层</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2.垫层厚度：100mm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010501006002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C15素砼设备基础</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1.C15素砼设备基础</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5.9136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040901009003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预埋铁件</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1.预埋C20槽钢、吊环、止水钢板</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040601030002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井、池渗漏试验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011204003001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块料墙面</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1.池壁贴块料600*600块料面砖</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2.20mm 1：2.5水泥砂浆找平层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51.504</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设备井合计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031006011002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一体化设备</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1.成套设备，含水泵、砂缸、消毒设备，详见图纸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030404016002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控制箱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1.配置详见图纸</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030804014003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回水口 DN50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1.回水口 DN50 ABS</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030804014004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布水口DN80 ABS</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1.可调节流量式布水口</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个</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一体化设备合计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工艺管网</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040101002003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挖沟槽土方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1.挖掘机装土方</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101.15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040103002003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余方弃置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1.自卸汽车运土方 运距1km内 实际运距(km):20</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0.5672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1.管基内回填中粗砂</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44.433</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040103001004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回填方</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1.管基内原土回填</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56.1491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030801016001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低压塑料管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1.PE聚乙烯给水管 PE100 0.6Mpa</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1"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011107001002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人行道砖恢复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1.人行道砖 1：3水泥砂浆垫层(结合层) 厚度3cm</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2.水泥石屑混合料 水泥含量 6% 厚度(cm):30</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3.水泥混凝土路面 厚度 15cm</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73.5</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工艺管网合计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绿化园建</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050102012001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铺种草皮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1.台湾草恢复</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2.草皮保养 人工灌溉 养护期4个月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662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绿化园建合计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隐形不锈钢护栏</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4"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050307006001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铁艺栏杆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1.防护材料种类:不锈钢</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2.栏杆高度:1.5米</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3.主要参数:直径8mm*9根不锈钢绳索、2000x100x10厚钢板（间距2米）面喷墨绿色漆</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隐形不锈钢护栏合计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循环消毒系统合计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电气</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030404017001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配电箱</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1.1000*800配电箱购装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2.户外安装</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3.箱内配置详见配电图</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1.SC50保护管埋地敷设</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030408003002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电缆保护管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1.SC30保护管埋地敷设</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2.工程量按图纸框算</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030408001002</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1.WDZB-1KV-4*35+1*16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1.ZR-YJV-5*6</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030408001004</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电力电缆</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1.ZR-YJV-5*4</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电气合计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漏水点检测与修复</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040601030003</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池渗漏试验</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1.构筑物名称:景观池</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2.试验方式:闭水</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3.其他:检查、排水、现场清理等</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m3</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2700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36</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080403006001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防水堵漏（单价暂定）</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1.部位:景观池</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2.材质:按现场据实确定</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3.工艺要求:对景观池空鼓区域、穿管区域进行详细摸排，据实制定方案</w:t>
            </w: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330</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2"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漏水点检测与修复合计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措施项目</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粤040101007001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挡土板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578</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041102034001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池底模板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16.02</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041102035001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池壁(隔墙)模板</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228.6</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011702024001</w:t>
            </w: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楼梯</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m2</w:t>
            </w: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15.9</w:t>
            </w: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c>
          <w:tcPr>
            <w:tcW w:w="13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20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单价措施合计</w:t>
            </w:r>
          </w:p>
        </w:tc>
        <w:tc>
          <w:tcPr>
            <w:tcW w:w="223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42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6"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7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7370" w:type="dxa"/>
            <w:gridSpan w:val="10"/>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78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68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8"/>
        <w:gridCol w:w="1230"/>
        <w:gridCol w:w="1583"/>
        <w:gridCol w:w="1276"/>
        <w:gridCol w:w="502"/>
        <w:gridCol w:w="190"/>
        <w:gridCol w:w="865"/>
        <w:gridCol w:w="503"/>
        <w:gridCol w:w="343"/>
        <w:gridCol w:w="833"/>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1" w:hRule="atLeast"/>
        </w:trPr>
        <w:tc>
          <w:tcPr>
            <w:tcW w:w="896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atLeast"/>
        </w:trPr>
        <w:tc>
          <w:tcPr>
            <w:tcW w:w="5162"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3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trPr>
        <w:tc>
          <w:tcPr>
            <w:tcW w:w="593"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项目编码</w:t>
            </w:r>
          </w:p>
        </w:tc>
        <w:tc>
          <w:tcPr>
            <w:tcW w:w="16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28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69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8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8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83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调整后金额</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(元)</w:t>
            </w:r>
          </w:p>
        </w:tc>
        <w:tc>
          <w:tcPr>
            <w:tcW w:w="105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30"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LSSGCSF00001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绿色施工安全防护措施费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18903.15</w:t>
            </w: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3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粤041109009001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文明工地增加费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041109002001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夜间施工增加费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61"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041109005001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交通疏解员增加费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按照项目分部分项人工费的15%计算（有方案的按照方案计算），</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5"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041108001001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地下管线交叉降效费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3"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粤041109008001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分部分项人工费+分部分项机具费</w:t>
            </w: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trPr>
        <w:tc>
          <w:tcPr>
            <w:tcW w:w="593"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QTFY00000001</w:t>
            </w:r>
          </w:p>
        </w:tc>
        <w:tc>
          <w:tcPr>
            <w:tcW w:w="16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28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69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5354"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8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85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83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105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3"/>
        <w:tblW w:w="8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6"/>
        <w:gridCol w:w="3395"/>
        <w:gridCol w:w="804"/>
        <w:gridCol w:w="805"/>
        <w:gridCol w:w="739"/>
        <w:gridCol w:w="703"/>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3" w:hRule="atLeast"/>
        </w:trPr>
        <w:tc>
          <w:tcPr>
            <w:tcW w:w="886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r>
              <w:rPr>
                <w:rFonts w:hint="eastAsia" w:ascii="宋体" w:hAnsi="宋体" w:eastAsia="宋体" w:cs="宋体"/>
                <w:b/>
                <w:i w:val="0"/>
                <w:color w:val="auto"/>
                <w:kern w:val="0"/>
                <w:sz w:val="40"/>
                <w:szCs w:val="40"/>
                <w:highlight w:val="none"/>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7" w:hRule="atLeast"/>
        </w:trPr>
        <w:tc>
          <w:tcPr>
            <w:tcW w:w="510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1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1" w:hRule="atLeast"/>
        </w:trPr>
        <w:tc>
          <w:tcPr>
            <w:tcW w:w="90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33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160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c>
          <w:tcPr>
            <w:tcW w:w="144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结算金额（元）</w:t>
            </w:r>
          </w:p>
        </w:tc>
        <w:tc>
          <w:tcPr>
            <w:tcW w:w="1508"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暂列金额</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材料暂估价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专业工程暂估价</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计日工</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总承包服务费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预算包干费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工程优质费</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概算幅度差</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现场签证费用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索赔费用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6" w:hRule="atLeast"/>
        </w:trPr>
        <w:tc>
          <w:tcPr>
            <w:tcW w:w="90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33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其他费用</w:t>
            </w:r>
          </w:p>
        </w:tc>
        <w:tc>
          <w:tcPr>
            <w:tcW w:w="160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1508"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6" w:hRule="atLeast"/>
        </w:trPr>
        <w:tc>
          <w:tcPr>
            <w:tcW w:w="906"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33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  计</w:t>
            </w:r>
          </w:p>
        </w:tc>
        <w:tc>
          <w:tcPr>
            <w:tcW w:w="160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44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auto"/>
                <w:sz w:val="18"/>
                <w:szCs w:val="18"/>
                <w:highlight w:val="none"/>
                <w:u w:val="none"/>
              </w:rPr>
            </w:pPr>
          </w:p>
        </w:tc>
        <w:tc>
          <w:tcPr>
            <w:tcW w:w="1508"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r>
    </w:tbl>
    <w:p>
      <w:pPr>
        <w:pStyle w:val="2"/>
        <w:rPr>
          <w:rFonts w:hint="default"/>
          <w:color w:val="auto"/>
          <w:highlight w:val="none"/>
          <w:lang w:val="en-US"/>
        </w:rPr>
      </w:pPr>
    </w:p>
    <w:tbl>
      <w:tblPr>
        <w:tblStyle w:val="23"/>
        <w:tblW w:w="8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2077"/>
        <w:gridCol w:w="2298"/>
        <w:gridCol w:w="168"/>
        <w:gridCol w:w="1381"/>
        <w:gridCol w:w="14"/>
        <w:gridCol w:w="86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 w:hRule="atLeast"/>
        </w:trPr>
        <w:tc>
          <w:tcPr>
            <w:tcW w:w="8960"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highlight w:val="none"/>
                <w:u w:val="none"/>
              </w:rPr>
            </w:pPr>
            <w:bookmarkStart w:id="149" w:name="_Toc6058"/>
            <w:bookmarkStart w:id="150" w:name="_Toc87616402"/>
            <w:bookmarkStart w:id="151" w:name="_Toc16386"/>
            <w:bookmarkStart w:id="152" w:name="_Toc88209965"/>
            <w:r>
              <w:rPr>
                <w:rFonts w:hint="eastAsia" w:ascii="宋体" w:hAnsi="宋体" w:eastAsia="宋体" w:cs="宋体"/>
                <w:b/>
                <w:i w:val="0"/>
                <w:color w:val="auto"/>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2" w:hRule="atLeast"/>
        </w:trPr>
        <w:tc>
          <w:tcPr>
            <w:tcW w:w="516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工程名称：2022年龙归分公司三期景观池增加循环消毒系统及余泥处置站围栏设置</w:t>
            </w:r>
          </w:p>
        </w:tc>
        <w:tc>
          <w:tcPr>
            <w:tcW w:w="1563"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标段：</w:t>
            </w:r>
          </w:p>
        </w:tc>
        <w:tc>
          <w:tcPr>
            <w:tcW w:w="223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6" w:hRule="atLeast"/>
        </w:trPr>
        <w:tc>
          <w:tcPr>
            <w:tcW w:w="78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207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246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计算基础</w:t>
            </w:r>
          </w:p>
        </w:tc>
        <w:tc>
          <w:tcPr>
            <w:tcW w:w="138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计算基数</w:t>
            </w:r>
          </w:p>
        </w:tc>
        <w:tc>
          <w:tcPr>
            <w:tcW w:w="87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计算费率</w:t>
            </w:r>
            <w:r>
              <w:rPr>
                <w:rFonts w:hint="eastAsia" w:ascii="宋体" w:hAnsi="宋体" w:eastAsia="宋体" w:cs="宋体"/>
                <w:i w:val="0"/>
                <w:color w:val="auto"/>
                <w:kern w:val="0"/>
                <w:sz w:val="20"/>
                <w:szCs w:val="20"/>
                <w:highlight w:val="none"/>
                <w:u w:val="none"/>
                <w:lang w:val="en-US" w:eastAsia="zh-CN" w:bidi="ar"/>
              </w:rPr>
              <w:br w:type="textWrapping"/>
            </w:r>
            <w:r>
              <w:rPr>
                <w:rFonts w:hint="eastAsia" w:ascii="宋体" w:hAnsi="宋体" w:eastAsia="宋体" w:cs="宋体"/>
                <w:i w:val="0"/>
                <w:color w:val="auto"/>
                <w:kern w:val="0"/>
                <w:sz w:val="20"/>
                <w:szCs w:val="20"/>
                <w:highlight w:val="none"/>
                <w:u w:val="none"/>
                <w:lang w:val="en-US" w:eastAsia="zh-CN" w:bidi="ar"/>
              </w:rPr>
              <w:t>(%)</w:t>
            </w:r>
          </w:p>
        </w:tc>
        <w:tc>
          <w:tcPr>
            <w:tcW w:w="137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9"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207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增值税销项税额</w:t>
            </w:r>
          </w:p>
        </w:tc>
        <w:tc>
          <w:tcPr>
            <w:tcW w:w="246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分部分项合计+措施合计+其他项目</w:t>
            </w:r>
          </w:p>
        </w:tc>
        <w:tc>
          <w:tcPr>
            <w:tcW w:w="138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87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c>
          <w:tcPr>
            <w:tcW w:w="137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3" w:hRule="atLeast"/>
        </w:trPr>
        <w:tc>
          <w:tcPr>
            <w:tcW w:w="7589" w:type="dxa"/>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    计</w:t>
            </w:r>
          </w:p>
        </w:tc>
        <w:tc>
          <w:tcPr>
            <w:tcW w:w="137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p>
        </w:tc>
      </w:tr>
    </w:tbl>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Jl58oBAACa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7q8psRxixM///xx/vXn/Ps7&#10;uc7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zsJl58oBAACaAwAADgAAAAAAAAABACAAAAAeAQAAZHJzL2Uyb0Rv&#10;Yy54bWxQSwUGAAAAAAYABgBZAQAAWg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E3461"/>
    <w:rsid w:val="02090C75"/>
    <w:rsid w:val="02845568"/>
    <w:rsid w:val="02A23A3C"/>
    <w:rsid w:val="035D130A"/>
    <w:rsid w:val="039110A9"/>
    <w:rsid w:val="03AC246A"/>
    <w:rsid w:val="03B23056"/>
    <w:rsid w:val="03DC3EBA"/>
    <w:rsid w:val="03F9794D"/>
    <w:rsid w:val="04311E39"/>
    <w:rsid w:val="046A2461"/>
    <w:rsid w:val="04794AEB"/>
    <w:rsid w:val="051C2970"/>
    <w:rsid w:val="060C3611"/>
    <w:rsid w:val="06AA06F8"/>
    <w:rsid w:val="06C64829"/>
    <w:rsid w:val="06E13A83"/>
    <w:rsid w:val="077D16D2"/>
    <w:rsid w:val="082A69F3"/>
    <w:rsid w:val="08675FC8"/>
    <w:rsid w:val="09B713FD"/>
    <w:rsid w:val="09E36E09"/>
    <w:rsid w:val="09E57B43"/>
    <w:rsid w:val="09EF6ACC"/>
    <w:rsid w:val="0A315056"/>
    <w:rsid w:val="0AA213B4"/>
    <w:rsid w:val="0AF61C7E"/>
    <w:rsid w:val="0AFB45AD"/>
    <w:rsid w:val="0B351E9B"/>
    <w:rsid w:val="0B4C50D3"/>
    <w:rsid w:val="0B7D3DAB"/>
    <w:rsid w:val="0B806B92"/>
    <w:rsid w:val="0B827E94"/>
    <w:rsid w:val="0B842F76"/>
    <w:rsid w:val="0BD070E1"/>
    <w:rsid w:val="0C247926"/>
    <w:rsid w:val="0C34359C"/>
    <w:rsid w:val="0D175D97"/>
    <w:rsid w:val="0D794204"/>
    <w:rsid w:val="0E2125D1"/>
    <w:rsid w:val="0E214211"/>
    <w:rsid w:val="0E5F2769"/>
    <w:rsid w:val="0F4D75A3"/>
    <w:rsid w:val="0F5B2DCA"/>
    <w:rsid w:val="0FED051E"/>
    <w:rsid w:val="0FEE4C29"/>
    <w:rsid w:val="10031608"/>
    <w:rsid w:val="10046082"/>
    <w:rsid w:val="10D30256"/>
    <w:rsid w:val="111703D2"/>
    <w:rsid w:val="112B101A"/>
    <w:rsid w:val="119B53FC"/>
    <w:rsid w:val="11C91AF8"/>
    <w:rsid w:val="12424CDC"/>
    <w:rsid w:val="125E66E4"/>
    <w:rsid w:val="12871873"/>
    <w:rsid w:val="129A2738"/>
    <w:rsid w:val="12B56BF1"/>
    <w:rsid w:val="12CB1A89"/>
    <w:rsid w:val="131840FB"/>
    <w:rsid w:val="13467417"/>
    <w:rsid w:val="136E76CF"/>
    <w:rsid w:val="1370678F"/>
    <w:rsid w:val="13C75DA5"/>
    <w:rsid w:val="13D47B54"/>
    <w:rsid w:val="145F08C6"/>
    <w:rsid w:val="14663C28"/>
    <w:rsid w:val="15776308"/>
    <w:rsid w:val="15BC6B3C"/>
    <w:rsid w:val="164D40B0"/>
    <w:rsid w:val="1694429A"/>
    <w:rsid w:val="17357AE4"/>
    <w:rsid w:val="17635326"/>
    <w:rsid w:val="17936CF1"/>
    <w:rsid w:val="17DD4A6A"/>
    <w:rsid w:val="18236EFD"/>
    <w:rsid w:val="182C3D55"/>
    <w:rsid w:val="189D5B1F"/>
    <w:rsid w:val="18A34CD0"/>
    <w:rsid w:val="19A53EA8"/>
    <w:rsid w:val="19B64DBC"/>
    <w:rsid w:val="1A373ACF"/>
    <w:rsid w:val="1A895341"/>
    <w:rsid w:val="1AAB6701"/>
    <w:rsid w:val="1B0D071F"/>
    <w:rsid w:val="1B4568CE"/>
    <w:rsid w:val="1B513B39"/>
    <w:rsid w:val="1B9015B7"/>
    <w:rsid w:val="1BF54245"/>
    <w:rsid w:val="1C05162B"/>
    <w:rsid w:val="1C867D3A"/>
    <w:rsid w:val="1C8E15E2"/>
    <w:rsid w:val="1CD25D2F"/>
    <w:rsid w:val="1D0E6976"/>
    <w:rsid w:val="1D5A79EE"/>
    <w:rsid w:val="1D6F012F"/>
    <w:rsid w:val="1E0E2CD0"/>
    <w:rsid w:val="1E831280"/>
    <w:rsid w:val="1EBC4704"/>
    <w:rsid w:val="1F172EB5"/>
    <w:rsid w:val="1F94592D"/>
    <w:rsid w:val="1FAA7995"/>
    <w:rsid w:val="1FB860DE"/>
    <w:rsid w:val="203C5A02"/>
    <w:rsid w:val="209D4C94"/>
    <w:rsid w:val="20E84705"/>
    <w:rsid w:val="213D1644"/>
    <w:rsid w:val="218400BA"/>
    <w:rsid w:val="21AB1E2F"/>
    <w:rsid w:val="21D40498"/>
    <w:rsid w:val="223905D4"/>
    <w:rsid w:val="22767047"/>
    <w:rsid w:val="238B30B1"/>
    <w:rsid w:val="23A05588"/>
    <w:rsid w:val="240476A1"/>
    <w:rsid w:val="2516601D"/>
    <w:rsid w:val="25431AEB"/>
    <w:rsid w:val="25BF43FD"/>
    <w:rsid w:val="25F86BCD"/>
    <w:rsid w:val="2605748B"/>
    <w:rsid w:val="269E416A"/>
    <w:rsid w:val="272100D3"/>
    <w:rsid w:val="272C72FC"/>
    <w:rsid w:val="275131CB"/>
    <w:rsid w:val="27EB149D"/>
    <w:rsid w:val="27F26EFD"/>
    <w:rsid w:val="27FD3E52"/>
    <w:rsid w:val="28BC3D0D"/>
    <w:rsid w:val="28E11370"/>
    <w:rsid w:val="294A756A"/>
    <w:rsid w:val="29781BF8"/>
    <w:rsid w:val="29C33ED0"/>
    <w:rsid w:val="29D5322D"/>
    <w:rsid w:val="2A025DD9"/>
    <w:rsid w:val="2A2619CB"/>
    <w:rsid w:val="2A557F75"/>
    <w:rsid w:val="2A7C2231"/>
    <w:rsid w:val="2A97408B"/>
    <w:rsid w:val="2ABB753D"/>
    <w:rsid w:val="2AEB2687"/>
    <w:rsid w:val="2B367DA6"/>
    <w:rsid w:val="2B7A49FA"/>
    <w:rsid w:val="2C615D26"/>
    <w:rsid w:val="2CB679ED"/>
    <w:rsid w:val="2CCF7C53"/>
    <w:rsid w:val="2D173C07"/>
    <w:rsid w:val="2D424A86"/>
    <w:rsid w:val="2D5D7769"/>
    <w:rsid w:val="2E7B52DB"/>
    <w:rsid w:val="2E8C5F2F"/>
    <w:rsid w:val="2F324CFE"/>
    <w:rsid w:val="2FBA09F1"/>
    <w:rsid w:val="2FEF2ACF"/>
    <w:rsid w:val="30540211"/>
    <w:rsid w:val="31112A0D"/>
    <w:rsid w:val="311F4B20"/>
    <w:rsid w:val="312D7741"/>
    <w:rsid w:val="31577493"/>
    <w:rsid w:val="316F137F"/>
    <w:rsid w:val="31DF525F"/>
    <w:rsid w:val="31EC162B"/>
    <w:rsid w:val="32195D2C"/>
    <w:rsid w:val="32324C2E"/>
    <w:rsid w:val="327171DF"/>
    <w:rsid w:val="33B30FA8"/>
    <w:rsid w:val="341E3434"/>
    <w:rsid w:val="34BB4442"/>
    <w:rsid w:val="35D00DF7"/>
    <w:rsid w:val="360B7EBA"/>
    <w:rsid w:val="362C793F"/>
    <w:rsid w:val="369C32FD"/>
    <w:rsid w:val="3743002A"/>
    <w:rsid w:val="37666E72"/>
    <w:rsid w:val="38081EA3"/>
    <w:rsid w:val="38167A04"/>
    <w:rsid w:val="38EA3CCE"/>
    <w:rsid w:val="390C6CD8"/>
    <w:rsid w:val="394B167A"/>
    <w:rsid w:val="39DA2868"/>
    <w:rsid w:val="3A4E4336"/>
    <w:rsid w:val="3A6007FE"/>
    <w:rsid w:val="3AD11318"/>
    <w:rsid w:val="3ADE7B13"/>
    <w:rsid w:val="3AF93D6C"/>
    <w:rsid w:val="3B1D52FE"/>
    <w:rsid w:val="3B7C2CE4"/>
    <w:rsid w:val="3BAF716B"/>
    <w:rsid w:val="3C0B5355"/>
    <w:rsid w:val="3C605640"/>
    <w:rsid w:val="3CD4176B"/>
    <w:rsid w:val="3CFE046A"/>
    <w:rsid w:val="3D1F44D9"/>
    <w:rsid w:val="3D5C38CD"/>
    <w:rsid w:val="3DAE7C70"/>
    <w:rsid w:val="3E5070F1"/>
    <w:rsid w:val="3F4563B2"/>
    <w:rsid w:val="3F6C3589"/>
    <w:rsid w:val="3F850180"/>
    <w:rsid w:val="3F8A0269"/>
    <w:rsid w:val="3F9004D6"/>
    <w:rsid w:val="3FBD54FE"/>
    <w:rsid w:val="400E4D5E"/>
    <w:rsid w:val="40E1138C"/>
    <w:rsid w:val="413814BA"/>
    <w:rsid w:val="41872511"/>
    <w:rsid w:val="423050F8"/>
    <w:rsid w:val="424236D9"/>
    <w:rsid w:val="42466655"/>
    <w:rsid w:val="42C82F57"/>
    <w:rsid w:val="435707E5"/>
    <w:rsid w:val="43C76AF7"/>
    <w:rsid w:val="446828F0"/>
    <w:rsid w:val="45093E85"/>
    <w:rsid w:val="45C13B4D"/>
    <w:rsid w:val="46054BCA"/>
    <w:rsid w:val="464C6AFC"/>
    <w:rsid w:val="468B0091"/>
    <w:rsid w:val="469F2B1C"/>
    <w:rsid w:val="46A107C3"/>
    <w:rsid w:val="46B15CE2"/>
    <w:rsid w:val="46BE113D"/>
    <w:rsid w:val="46E44B13"/>
    <w:rsid w:val="4703508A"/>
    <w:rsid w:val="475023F8"/>
    <w:rsid w:val="479D361E"/>
    <w:rsid w:val="47B141B1"/>
    <w:rsid w:val="47B74789"/>
    <w:rsid w:val="480F2B9D"/>
    <w:rsid w:val="48282920"/>
    <w:rsid w:val="483671E5"/>
    <w:rsid w:val="483D29F2"/>
    <w:rsid w:val="485321E0"/>
    <w:rsid w:val="48546AD3"/>
    <w:rsid w:val="48CA4868"/>
    <w:rsid w:val="48F005D3"/>
    <w:rsid w:val="49547ADD"/>
    <w:rsid w:val="49732351"/>
    <w:rsid w:val="498F4AF1"/>
    <w:rsid w:val="49A736C3"/>
    <w:rsid w:val="49C05787"/>
    <w:rsid w:val="49CF518D"/>
    <w:rsid w:val="4A58788D"/>
    <w:rsid w:val="4ADA1F63"/>
    <w:rsid w:val="4AE23D89"/>
    <w:rsid w:val="4B0E7FA0"/>
    <w:rsid w:val="4B2038D0"/>
    <w:rsid w:val="4B296E7D"/>
    <w:rsid w:val="4B79394E"/>
    <w:rsid w:val="4B877F28"/>
    <w:rsid w:val="4BE60D61"/>
    <w:rsid w:val="4C62728E"/>
    <w:rsid w:val="4D916BA6"/>
    <w:rsid w:val="4DC44169"/>
    <w:rsid w:val="4DCE3A17"/>
    <w:rsid w:val="4DE24E21"/>
    <w:rsid w:val="4E1B19A3"/>
    <w:rsid w:val="4E257ADB"/>
    <w:rsid w:val="4EF0709E"/>
    <w:rsid w:val="4F0469A4"/>
    <w:rsid w:val="50481220"/>
    <w:rsid w:val="50AA7044"/>
    <w:rsid w:val="513C6A7B"/>
    <w:rsid w:val="53040ABD"/>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8A6766"/>
    <w:rsid w:val="5AE83A50"/>
    <w:rsid w:val="5B353193"/>
    <w:rsid w:val="5BAB2917"/>
    <w:rsid w:val="5BC643E0"/>
    <w:rsid w:val="5BFC33FA"/>
    <w:rsid w:val="5C3107A4"/>
    <w:rsid w:val="5C3B1B93"/>
    <w:rsid w:val="5C9220DF"/>
    <w:rsid w:val="5D4A15F3"/>
    <w:rsid w:val="5D69542A"/>
    <w:rsid w:val="5D783B72"/>
    <w:rsid w:val="5DE17916"/>
    <w:rsid w:val="5E0930EF"/>
    <w:rsid w:val="5E3D4D53"/>
    <w:rsid w:val="5E4717E6"/>
    <w:rsid w:val="5E55774C"/>
    <w:rsid w:val="5EE76B53"/>
    <w:rsid w:val="5F0066F7"/>
    <w:rsid w:val="5F4B6D32"/>
    <w:rsid w:val="60045F96"/>
    <w:rsid w:val="600C198C"/>
    <w:rsid w:val="60104DDC"/>
    <w:rsid w:val="605C0804"/>
    <w:rsid w:val="6189617B"/>
    <w:rsid w:val="61B52BB6"/>
    <w:rsid w:val="61B749C2"/>
    <w:rsid w:val="62280D20"/>
    <w:rsid w:val="62A57C53"/>
    <w:rsid w:val="62CA2457"/>
    <w:rsid w:val="634A36E8"/>
    <w:rsid w:val="638240A1"/>
    <w:rsid w:val="63833423"/>
    <w:rsid w:val="63A5257B"/>
    <w:rsid w:val="63BD3DCC"/>
    <w:rsid w:val="63C61741"/>
    <w:rsid w:val="64560967"/>
    <w:rsid w:val="64905F38"/>
    <w:rsid w:val="656B1D10"/>
    <w:rsid w:val="65B841F9"/>
    <w:rsid w:val="65E97045"/>
    <w:rsid w:val="66022B28"/>
    <w:rsid w:val="664A38E2"/>
    <w:rsid w:val="66581E87"/>
    <w:rsid w:val="66B23A7E"/>
    <w:rsid w:val="66FA11D5"/>
    <w:rsid w:val="674302C7"/>
    <w:rsid w:val="677B09DA"/>
    <w:rsid w:val="680A5986"/>
    <w:rsid w:val="680D5F4B"/>
    <w:rsid w:val="68113F51"/>
    <w:rsid w:val="68E94770"/>
    <w:rsid w:val="68F949C9"/>
    <w:rsid w:val="693749A8"/>
    <w:rsid w:val="69521957"/>
    <w:rsid w:val="695A4290"/>
    <w:rsid w:val="69A27DD9"/>
    <w:rsid w:val="69A31286"/>
    <w:rsid w:val="6A1B0891"/>
    <w:rsid w:val="6A334932"/>
    <w:rsid w:val="6A3353FF"/>
    <w:rsid w:val="6A5D63E6"/>
    <w:rsid w:val="6A5F24D1"/>
    <w:rsid w:val="6A79523A"/>
    <w:rsid w:val="6AE347EB"/>
    <w:rsid w:val="6B434AF0"/>
    <w:rsid w:val="6B57675A"/>
    <w:rsid w:val="6BDD7B4D"/>
    <w:rsid w:val="6C2E3BA6"/>
    <w:rsid w:val="6CF52916"/>
    <w:rsid w:val="6E000C8B"/>
    <w:rsid w:val="6EAC6B91"/>
    <w:rsid w:val="6EBC0B3A"/>
    <w:rsid w:val="6EF51C7D"/>
    <w:rsid w:val="6EFB5C14"/>
    <w:rsid w:val="6F025DD7"/>
    <w:rsid w:val="6F8363E5"/>
    <w:rsid w:val="6FAC3CC5"/>
    <w:rsid w:val="6FC746F5"/>
    <w:rsid w:val="70317AC6"/>
    <w:rsid w:val="704B26F7"/>
    <w:rsid w:val="70863262"/>
    <w:rsid w:val="70A76ED3"/>
    <w:rsid w:val="70BD374B"/>
    <w:rsid w:val="71860B17"/>
    <w:rsid w:val="723B27CC"/>
    <w:rsid w:val="72687227"/>
    <w:rsid w:val="729F2B57"/>
    <w:rsid w:val="72A03FD9"/>
    <w:rsid w:val="72D16DA1"/>
    <w:rsid w:val="73406CFF"/>
    <w:rsid w:val="7383028C"/>
    <w:rsid w:val="73A25E44"/>
    <w:rsid w:val="741F68CF"/>
    <w:rsid w:val="75252DF3"/>
    <w:rsid w:val="75621536"/>
    <w:rsid w:val="75625727"/>
    <w:rsid w:val="75BF3154"/>
    <w:rsid w:val="764A07CF"/>
    <w:rsid w:val="764F6B3D"/>
    <w:rsid w:val="76CD2B7B"/>
    <w:rsid w:val="76D80645"/>
    <w:rsid w:val="76E03371"/>
    <w:rsid w:val="780E5898"/>
    <w:rsid w:val="782642CC"/>
    <w:rsid w:val="7894095E"/>
    <w:rsid w:val="78964555"/>
    <w:rsid w:val="78CF4963"/>
    <w:rsid w:val="79000679"/>
    <w:rsid w:val="79A416F0"/>
    <w:rsid w:val="79B03EB6"/>
    <w:rsid w:val="79D823D3"/>
    <w:rsid w:val="7A392094"/>
    <w:rsid w:val="7AE15A5C"/>
    <w:rsid w:val="7AF37579"/>
    <w:rsid w:val="7AF87F64"/>
    <w:rsid w:val="7B1C0C84"/>
    <w:rsid w:val="7B5A62DF"/>
    <w:rsid w:val="7B7A04A8"/>
    <w:rsid w:val="7B9047A1"/>
    <w:rsid w:val="7C0C3F6D"/>
    <w:rsid w:val="7C22163C"/>
    <w:rsid w:val="7C457B4B"/>
    <w:rsid w:val="7C595075"/>
    <w:rsid w:val="7C6B07B2"/>
    <w:rsid w:val="7D133243"/>
    <w:rsid w:val="7D945420"/>
    <w:rsid w:val="7DCC321F"/>
    <w:rsid w:val="7E2B04F7"/>
    <w:rsid w:val="7E394207"/>
    <w:rsid w:val="7E4007A2"/>
    <w:rsid w:val="7E791CAD"/>
    <w:rsid w:val="7EA50DFB"/>
    <w:rsid w:val="7EC86878"/>
    <w:rsid w:val="7F16390D"/>
    <w:rsid w:val="7F752917"/>
    <w:rsid w:val="7F7B4EF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kern w:val="0"/>
      <w:sz w:val="24"/>
    </w:rPr>
  </w:style>
  <w:style w:type="paragraph" w:styleId="22">
    <w:name w:val="Body Text First Indent"/>
    <w:basedOn w:val="9"/>
    <w:unhideWhenUsed/>
    <w:qFormat/>
    <w:uiPriority w:val="99"/>
    <w:pPr>
      <w:widowControl w:val="0"/>
      <w:spacing w:after="120" w:line="240" w:lineRule="auto"/>
      <w:ind w:firstLine="420"/>
    </w:pPr>
    <w:rPr>
      <w:kern w:val="2"/>
      <w:sz w:val="21"/>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5"/>
    <w:link w:val="18"/>
    <w:semiHidden/>
    <w:qFormat/>
    <w:uiPriority w:val="99"/>
    <w:rPr>
      <w:sz w:val="18"/>
      <w:szCs w:val="18"/>
    </w:rPr>
  </w:style>
  <w:style w:type="character" w:customStyle="1" w:styleId="30">
    <w:name w:val="页脚 Char"/>
    <w:basedOn w:val="25"/>
    <w:link w:val="17"/>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31379</Words>
  <Characters>35251</Characters>
  <Lines>1</Lines>
  <Paragraphs>1</Paragraphs>
  <TotalTime>1</TotalTime>
  <ScaleCrop>false</ScaleCrop>
  <LinksUpToDate>false</LinksUpToDate>
  <CharactersWithSpaces>37308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2022-07-27T01:02:00Z</cp:lastPrinted>
  <dcterms:modified xsi:type="dcterms:W3CDTF">2022-08-26T02:44:45Z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B43EECBAB9CA454DBC11C7BAC1013E28</vt:lpwstr>
  </property>
</Properties>
</file>