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color w:val="auto"/>
          <w:sz w:val="52"/>
          <w:szCs w:val="52"/>
          <w:highlight w:val="none"/>
          <w:lang w:val="en-US" w:eastAsia="zh-CN"/>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广州市净水有限公司2022年度EMG闸阀类备品备件采购项目（第二次）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color w:val="auto"/>
          <w:highlight w:val="none"/>
        </w:rPr>
      </w:pPr>
    </w:p>
    <w:p>
      <w:pPr>
        <w:pStyle w:val="2"/>
        <w:rPr>
          <w:rFonts w:hint="eastAsia"/>
          <w:color w:val="auto"/>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color w:val="auto"/>
          <w:highlight w:val="none"/>
        </w:rPr>
      </w:pPr>
      <w:r>
        <w:rPr>
          <w:rFonts w:ascii="黑体" w:hAnsi="黑体" w:eastAsia="黑体" w:cs="仿宋_GB2312"/>
          <w:color w:val="auto"/>
          <w:sz w:val="32"/>
          <w:szCs w:val="32"/>
          <w:highlight w:val="none"/>
        </w:rPr>
        <w:br w:type="page"/>
      </w:r>
    </w:p>
    <w:p>
      <w:pPr>
        <w:pStyle w:val="3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4"/>
        <w:jc w:val="both"/>
        <w:rPr>
          <w:rFonts w:hint="eastAsia"/>
          <w:color w:val="auto"/>
          <w:highlight w:val="none"/>
        </w:rPr>
      </w:pPr>
      <w:bookmarkStart w:id="4" w:name="_Toc31938"/>
      <w:bookmarkStart w:id="5" w:name="_Toc1669"/>
      <w:bookmarkStart w:id="6" w:name="_Toc19609"/>
      <w:bookmarkStart w:id="7" w:name="_Toc17801"/>
      <w:bookmarkStart w:id="8" w:name="_Toc11322"/>
      <w:bookmarkStart w:id="9" w:name="_Toc7519"/>
      <w:bookmarkStart w:id="10" w:name="_Toc4275"/>
    </w:p>
    <w:p>
      <w:pPr>
        <w:rPr>
          <w:rFonts w:hint="eastAsia"/>
          <w:color w:val="auto"/>
          <w:highlight w:val="none"/>
          <w:lang w:eastAsia="zh-CN"/>
        </w:rPr>
      </w:pPr>
      <w:r>
        <w:rPr>
          <w:rFonts w:hint="eastAsia"/>
          <w:color w:val="auto"/>
          <w:highlight w:val="none"/>
          <w:lang w:eastAsia="zh-CN"/>
        </w:rPr>
        <w:t>、</w:t>
      </w: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color w:val="auto"/>
          <w:highlight w:val="none"/>
          <w:lang w:eastAsia="zh-CN"/>
        </w:rPr>
      </w:pPr>
      <w:r>
        <w:rPr>
          <w:rFonts w:hint="eastAsia" w:asciiTheme="minorEastAsia" w:hAnsiTheme="minorEastAsia"/>
          <w:color w:val="auto"/>
          <w:sz w:val="24"/>
          <w:szCs w:val="24"/>
          <w:highlight w:val="none"/>
        </w:rPr>
        <w:t>适用于纸质评审的公开采购方式</w:t>
      </w:r>
      <w:bookmarkStart w:id="11" w:name="_Toc9680"/>
      <w:bookmarkStart w:id="12" w:name="_Toc21373"/>
    </w:p>
    <w:p>
      <w:pPr>
        <w:pStyle w:val="4"/>
        <w:jc w:val="center"/>
        <w:rPr>
          <w:rFonts w:hint="eastAsia" w:eastAsia="方正小标宋简体"/>
          <w:color w:val="auto"/>
          <w:highlight w:val="none"/>
          <w:lang w:eastAsia="zh-CN"/>
        </w:rPr>
      </w:pPr>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广州市净水有限公司2022年度EMG闸阀类备品备件采购项目（第二次）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广州市净水有限公司2022年度EMG闸阀类备品备件采购项目（第二次）</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XJ-20220826-7</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895950</w:t>
      </w:r>
      <w:r>
        <w:rPr>
          <w:rFonts w:hint="eastAsia" w:ascii="仿宋_GB2312" w:hAnsi="仿宋_GB2312" w:eastAsia="仿宋_GB2312" w:cs="仿宋_GB2312"/>
          <w:color w:val="auto"/>
          <w:sz w:val="28"/>
          <w:szCs w:val="28"/>
          <w:highlight w:val="none"/>
          <w:u w:val="single"/>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采购EMG闸阀类备品备件一批</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自收到甲方书面通知之日起30天内到货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广州市净水有限公司沥滘分公司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采购清单内备品备件之一的供货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default" w:ascii="Calibri" w:hAnsi="Calibri" w:eastAsia="仿宋_GB2312" w:cs="Calibri"/>
          <w:color w:val="auto"/>
          <w:sz w:val="28"/>
          <w:szCs w:val="28"/>
          <w:highlight w:val="none"/>
          <w:u w:val="single"/>
        </w:rPr>
        <w:t>①</w:t>
      </w:r>
      <w:r>
        <w:rPr>
          <w:rFonts w:hint="eastAsia" w:ascii="仿宋_GB2312" w:eastAsia="仿宋_GB2312"/>
          <w:color w:val="auto"/>
          <w:sz w:val="28"/>
          <w:szCs w:val="28"/>
          <w:highlight w:val="none"/>
          <w:u w:val="single"/>
          <w:lang w:val="en-US" w:eastAsia="zh-CN"/>
        </w:rPr>
        <w:t>提交响应文件时，</w:t>
      </w:r>
      <w:r>
        <w:rPr>
          <w:rFonts w:hint="eastAsia" w:ascii="仿宋_GB2312" w:eastAsia="仿宋_GB2312"/>
          <w:color w:val="auto"/>
          <w:sz w:val="28"/>
          <w:szCs w:val="28"/>
          <w:highlight w:val="none"/>
          <w:u w:val="single"/>
        </w:rPr>
        <w:t>供应商需出具承诺函，承诺中选后所提供的备件均为</w:t>
      </w:r>
      <w:r>
        <w:rPr>
          <w:rFonts w:hint="eastAsia" w:ascii="仿宋_GB2312" w:eastAsia="仿宋_GB2312"/>
          <w:color w:val="auto"/>
          <w:sz w:val="28"/>
          <w:szCs w:val="28"/>
          <w:highlight w:val="none"/>
          <w:u w:val="single"/>
          <w:lang w:val="en-US" w:eastAsia="zh-CN"/>
        </w:rPr>
        <w:t>原</w:t>
      </w:r>
      <w:r>
        <w:rPr>
          <w:rFonts w:hint="eastAsia" w:ascii="仿宋_GB2312" w:eastAsia="仿宋_GB2312"/>
          <w:color w:val="auto"/>
          <w:sz w:val="28"/>
          <w:szCs w:val="28"/>
          <w:highlight w:val="none"/>
          <w:u w:val="single"/>
        </w:rPr>
        <w:t>厂商</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制造商全新产品，所提供的产品必须与现有设备的所有参数相匹配且完全兼容（加盖单位公章）。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default" w:ascii="Calibri" w:hAnsi="Calibri" w:eastAsia="仿宋_GB2312" w:cs="Calibri"/>
          <w:color w:val="auto"/>
          <w:sz w:val="28"/>
          <w:szCs w:val="28"/>
          <w:highlight w:val="none"/>
          <w:u w:val="single"/>
          <w:lang w:val="en-US" w:eastAsia="zh-CN"/>
        </w:rPr>
        <w:t>②</w:t>
      </w:r>
      <w:r>
        <w:rPr>
          <w:rFonts w:hint="eastAsia" w:ascii="仿宋_GB2312" w:eastAsia="仿宋_GB2312"/>
          <w:color w:val="auto"/>
          <w:sz w:val="28"/>
          <w:szCs w:val="28"/>
          <w:highlight w:val="none"/>
          <w:u w:val="single"/>
          <w:lang w:val="en-US" w:eastAsia="zh-CN"/>
        </w:rPr>
        <w:t>中选后于</w:t>
      </w:r>
      <w:r>
        <w:rPr>
          <w:rFonts w:hint="eastAsia" w:ascii="仿宋_GB2312" w:eastAsia="仿宋_GB2312"/>
          <w:color w:val="auto"/>
          <w:sz w:val="28"/>
          <w:szCs w:val="28"/>
          <w:highlight w:val="none"/>
          <w:u w:val="single"/>
        </w:rPr>
        <w:t>合同签订前须提供拟供货</w:t>
      </w:r>
      <w:r>
        <w:rPr>
          <w:rFonts w:hint="eastAsia" w:ascii="仿宋_GB2312" w:eastAsia="仿宋_GB2312"/>
          <w:color w:val="auto"/>
          <w:sz w:val="28"/>
          <w:szCs w:val="28"/>
          <w:highlight w:val="none"/>
          <w:u w:val="single"/>
          <w:lang w:val="en-US" w:eastAsia="zh-CN"/>
        </w:rPr>
        <w:t>产品</w:t>
      </w:r>
      <w:r>
        <w:rPr>
          <w:rFonts w:hint="eastAsia" w:ascii="仿宋_GB2312" w:eastAsia="仿宋_GB2312"/>
          <w:color w:val="auto"/>
          <w:sz w:val="28"/>
          <w:szCs w:val="28"/>
          <w:highlight w:val="none"/>
          <w:u w:val="single"/>
        </w:rPr>
        <w:t>的制造商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厂商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授权书。</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default" w:ascii="Calibri" w:hAnsi="Calibri" w:eastAsia="仿宋_GB2312" w:cs="Calibri"/>
          <w:color w:val="auto"/>
          <w:sz w:val="28"/>
          <w:szCs w:val="28"/>
          <w:highlight w:val="none"/>
          <w:u w:val="single"/>
        </w:rPr>
        <w:t>③</w:t>
      </w:r>
      <w:r>
        <w:rPr>
          <w:rFonts w:hint="eastAsia" w:ascii="仿宋_GB2312" w:eastAsia="仿宋_GB2312"/>
          <w:color w:val="auto"/>
          <w:sz w:val="28"/>
          <w:szCs w:val="28"/>
          <w:highlight w:val="none"/>
          <w:u w:val="single"/>
        </w:rPr>
        <w:t>交货时，供应商需提供厂家出厂合格证明及其他应提供的文件资料（其他特殊需求详见技术需求）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202-38890841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9295"/>
      <w:bookmarkStart w:id="15" w:name="_Toc2331"/>
      <w:bookmarkStart w:id="16" w:name="_Toc25603"/>
      <w:bookmarkStart w:id="17" w:name="_Toc16705"/>
      <w:bookmarkStart w:id="18" w:name="_Toc9448"/>
      <w:bookmarkStart w:id="19" w:name="_Toc32588"/>
      <w:bookmarkStart w:id="20" w:name="_Toc23749"/>
      <w:bookmarkStart w:id="21" w:name="_Toc7340"/>
      <w:bookmarkStart w:id="22" w:name="_Toc2324"/>
      <w:bookmarkStart w:id="23" w:name="_Toc16557"/>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3"/>
        <w:rPr>
          <w:color w:val="auto"/>
          <w:highlight w:val="none"/>
        </w:rPr>
      </w:pPr>
    </w:p>
    <w:p>
      <w:pPr>
        <w:pStyle w:val="5"/>
        <w:rPr>
          <w:color w:val="auto"/>
          <w:highlight w:val="none"/>
        </w:rPr>
      </w:pPr>
      <w:bookmarkStart w:id="28" w:name="_Toc87616371"/>
      <w:bookmarkStart w:id="29" w:name="_Toc88209934"/>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3581"/>
      <w:bookmarkStart w:id="35" w:name="_Toc14552"/>
      <w:bookmarkStart w:id="36" w:name="_Toc3156"/>
      <w:bookmarkStart w:id="37" w:name="_Toc7118"/>
      <w:bookmarkStart w:id="38" w:name="_Toc7437"/>
      <w:bookmarkStart w:id="39" w:name="_Toc14870"/>
      <w:bookmarkStart w:id="40" w:name="_Toc20594"/>
      <w:bookmarkStart w:id="41" w:name="_Toc19050"/>
      <w:bookmarkStart w:id="42" w:name="_Toc4952"/>
      <w:bookmarkStart w:id="43" w:name="_Toc19759"/>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3"/>
        <w:rPr>
          <w:color w:val="auto"/>
          <w:highlight w:val="none"/>
        </w:rPr>
      </w:pPr>
    </w:p>
    <w:p>
      <w:pPr>
        <w:pStyle w:val="4"/>
        <w:rPr>
          <w:color w:val="auto"/>
          <w:highlight w:val="none"/>
        </w:rPr>
      </w:pPr>
      <w:bookmarkStart w:id="45" w:name="_Toc87616378"/>
      <w:bookmarkStart w:id="46" w:name="_Toc22212"/>
      <w:bookmarkStart w:id="47" w:name="_Toc29484"/>
      <w:bookmarkStart w:id="48" w:name="_Toc7831"/>
      <w:bookmarkStart w:id="49" w:name="_Toc88209941"/>
      <w:bookmarkStart w:id="50" w:name="_Toc30530"/>
      <w:bookmarkStart w:id="51" w:name="_Toc32607"/>
      <w:bookmarkStart w:id="52" w:name="_Toc6308"/>
      <w:bookmarkStart w:id="53" w:name="_Toc29345"/>
      <w:bookmarkStart w:id="54" w:name="_Toc12177"/>
      <w:bookmarkStart w:id="55" w:name="_Toc21079"/>
      <w:bookmarkStart w:id="56" w:name="_Toc13898"/>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szCs w:val="44"/>
          <w:highlight w:val="none"/>
        </w:rPr>
      </w:pPr>
    </w:p>
    <w:p>
      <w:pPr>
        <w:pStyle w:val="5"/>
        <w:jc w:val="both"/>
        <w:rPr>
          <w:rFonts w:hint="eastAsia"/>
          <w:color w:val="auto"/>
          <w:szCs w:val="44"/>
          <w:highlight w:val="none"/>
        </w:rPr>
      </w:pPr>
    </w:p>
    <w:p>
      <w:pPr>
        <w:pStyle w:val="2"/>
        <w:ind w:left="0" w:leftChars="0" w:firstLine="0" w:firstLineChars="0"/>
        <w:rPr>
          <w:rFonts w:hint="eastAsia"/>
          <w:color w:val="auto"/>
          <w:highlight w:val="none"/>
        </w:rPr>
      </w:pPr>
    </w:p>
    <w:p>
      <w:pPr>
        <w:pStyle w:val="12"/>
        <w:numPr>
          <w:ilvl w:val="0"/>
          <w:numId w:val="4"/>
        </w:numPr>
        <w:adjustRightInd w:val="0"/>
        <w:snapToGrid w:val="0"/>
        <w:spacing w:line="300" w:lineRule="auto"/>
        <w:rPr>
          <w:rFonts w:hint="eastAsia"/>
          <w:color w:val="auto"/>
          <w:szCs w:val="44"/>
          <w:highlight w:val="none"/>
        </w:rPr>
      </w:pPr>
      <w:r>
        <w:rPr>
          <w:rFonts w:hint="eastAsia" w:ascii="仿宋" w:hAnsi="仿宋" w:eastAsia="仿宋" w:cs="仿宋"/>
          <w:b/>
          <w:color w:val="auto"/>
          <w:sz w:val="28"/>
          <w:szCs w:val="28"/>
          <w:highlight w:val="none"/>
          <w:lang w:val="zh-CN"/>
        </w:rPr>
        <w:t>项目情况介绍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olor w:val="auto"/>
          <w:highlight w:val="none"/>
          <w:lang w:val="zh-CN" w:eastAsia="zh-CN"/>
        </w:rPr>
      </w:pPr>
      <w:r>
        <w:rPr>
          <w:rFonts w:hint="eastAsia" w:ascii="仿宋" w:hAnsi="仿宋" w:eastAsia="仿宋" w:cs="仿宋"/>
          <w:color w:val="auto"/>
          <w:sz w:val="28"/>
          <w:szCs w:val="28"/>
          <w:highlight w:val="none"/>
          <w:lang w:val="en-US" w:eastAsia="zh-CN"/>
        </w:rPr>
        <w:t>现采购EMG闸阀类设备备品备件一批。</w:t>
      </w:r>
    </w:p>
    <w:p>
      <w:pPr>
        <w:pStyle w:val="12"/>
        <w:numPr>
          <w:ilvl w:val="0"/>
          <w:numId w:val="4"/>
        </w:numPr>
        <w:adjustRightInd w:val="0"/>
        <w:snapToGrid w:val="0"/>
        <w:spacing w:line="300" w:lineRule="auto"/>
        <w:rPr>
          <w:rFonts w:hint="eastAsia" w:ascii="仿宋_GB2312" w:hAnsi="仿宋_GB2312" w:eastAsia="仿宋_GB2312" w:cs="仿宋_GB2312"/>
          <w:b w:val="0"/>
          <w:bCs/>
          <w:color w:val="auto"/>
          <w:sz w:val="28"/>
          <w:szCs w:val="28"/>
          <w:highlight w:val="none"/>
          <w:lang w:val="en-US" w:eastAsia="zh-CN"/>
        </w:rPr>
      </w:pPr>
      <w:r>
        <w:rPr>
          <w:rFonts w:hint="eastAsia" w:ascii="仿宋" w:hAnsi="仿宋" w:eastAsia="仿宋" w:cs="仿宋"/>
          <w:b/>
          <w:color w:val="auto"/>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供应商需按采购清单的型号、数量要求进行供货，货物必须符合国家法律法规规定的标准、行业标准；所有货物必须有产品合格证并于送货之日移交广州市净水有限公司对应分公司。所供货物必须为原厂全新产品，禁止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（二）提交响应文件时，供应商需出具承诺函，承诺中选后所提供的备件均为原厂商/制造商全新产品，所提供的产品必须与现有设备的所有参数相匹配且完全兼容（加盖单位公章）。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中选后、合同签订前须提供拟供货产品的制造商（厂商）授权书。交货时，供应商应在交货向甲方提供出厂合格证、产品质量证明文件、操作维修手册（如需）等（手册应包含货物情况、系统和主要部件常见故障、保养要求、紧急维修电话等内容）,并与甲方一起对供货设备进行现场检查验收，如发现质量问题（包括结构及外观检查）应由供应商人处理解决。开箱检验应有记录及双方签字生效。</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采购清单：</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596"/>
        <w:gridCol w:w="3186"/>
        <w:gridCol w:w="899"/>
        <w:gridCol w:w="899"/>
        <w:gridCol w:w="1192"/>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EMG闸阀类备品备件需求表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需求数量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EMG电动执行器主板</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DIM01A-005DCG（调节型）</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EMG电动执行器主板</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DIM01B-003DCG （开关型）</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EMG电动执行器DIM02A显示板</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DIM02-DCG</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EMG电动执行器交流接触器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U001-DCG（DIM250以下型号）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EMG电动执行器交流接触器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U002-DCG（DIM250及以上型号）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EMG电动执行器固态继电器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U003-DCG（频繁调节型）</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EM6-59-DCG(STL80-JZX0-S02)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EM6-120-DCG(STL80-JZX0-S02)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EM6-250-DCG(STL80-JZX0-S02)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EM6-500-DCG(STL80-JZX0-S02)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EMG电动执行器内外部接线盘</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DIM18-DCG</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bl>
    <w:p>
      <w:pPr>
        <w:rPr>
          <w:rFonts w:hint="eastAsia"/>
          <w:color w:val="auto"/>
          <w:highlight w:val="none"/>
          <w:lang w:val="en-US" w:eastAsia="zh-CN"/>
        </w:rPr>
      </w:pPr>
      <w:r>
        <w:rPr>
          <w:rFonts w:hint="eastAsia" w:ascii="仿宋_GB2312" w:eastAsia="仿宋_GB2312" w:hAnsiTheme="minorHAnsi" w:cstheme="minorBidi"/>
          <w:bCs w:val="0"/>
          <w:color w:val="auto"/>
          <w:kern w:val="2"/>
          <w:sz w:val="28"/>
          <w:szCs w:val="28"/>
          <w:highlight w:val="none"/>
          <w:lang w:val="en-US" w:eastAsia="zh-CN" w:bidi="ar-SA"/>
        </w:rPr>
        <w:t>若需求的产品出现停产情况，可以使用更新迭代的产品替换（需出具厂家/制造商说明函）</w:t>
      </w:r>
    </w:p>
    <w:p>
      <w:pPr>
        <w:pStyle w:val="2"/>
        <w:ind w:left="0" w:leftChars="0" w:firstLine="0" w:firstLineChars="0"/>
        <w:rPr>
          <w:rFonts w:hint="eastAsia" w:ascii="仿宋_GB2312" w:eastAsia="仿宋_GB2312" w:hAnsiTheme="minorHAnsi" w:cstheme="minorBidi"/>
          <w:bCs w:val="0"/>
          <w:color w:val="auto"/>
          <w:kern w:val="2"/>
          <w:sz w:val="28"/>
          <w:szCs w:val="28"/>
          <w:highlight w:val="none"/>
          <w:lang w:val="en-US" w:eastAsia="zh-CN" w:bidi="ar-SA"/>
        </w:rPr>
      </w:pP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三、商务要求</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（一）货期：自收到甲方书面通知之日起30天内到货，交货地点：广州市净水有限公司沥滘分公司。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 二 ) 包装、运输</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1.供应商所供货物应为制造商原装出厂包装箱号与货物出厂批号一致，包装须符合同等相关标准，因包装不良造成的损失由供应商负责。</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2.供应商负责将产品送到现场过程中的全部运输，包括装卸车、货物现场的搬运等。</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（三）质量要求和售后服务：</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1.确保货物为原装未拆封或未使用的合格产品，交货时须出具厂家出厂合格证明。</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2.货物在质保期（供货验收合格之日起1年内）内如有质量问题或未能适配原有设备时，供应商必须24小时内立即响应。</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（四）付款方式：采用网银支付。</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（五）自供应商履行完合同义务之日起15个工作日内组织验收，审定供应商供货的货物合格情况，进行结算审核。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（六）承包方式：单价包干。</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四、其他</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中选单位不得转包、分包。否则，甲方有权单方面终止合同，拒收其货物，由此而造成的经济损失由中选单位负责赔偿。</w:t>
      </w:r>
    </w:p>
    <w:bookmarkEnd w:id="60"/>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4"/>
        <w:jc w:val="both"/>
        <w:rPr>
          <w:rFonts w:hint="eastAsia"/>
          <w:color w:val="auto"/>
          <w:highlight w:val="none"/>
        </w:rPr>
      </w:pPr>
      <w:bookmarkStart w:id="61" w:name="_Toc537"/>
      <w:bookmarkStart w:id="62" w:name="_Toc23330"/>
      <w:bookmarkStart w:id="63" w:name="_Toc25925"/>
      <w:bookmarkStart w:id="64" w:name="_Toc4680"/>
      <w:bookmarkStart w:id="65" w:name="_Toc1496"/>
      <w:bookmarkStart w:id="66" w:name="_Toc12135"/>
      <w:bookmarkStart w:id="67" w:name="_Toc1284"/>
      <w:bookmarkStart w:id="68" w:name="_Toc23353"/>
      <w:bookmarkStart w:id="69" w:name="_Toc29835"/>
      <w:bookmarkStart w:id="70" w:name="_Toc18538"/>
      <w:bookmarkStart w:id="71" w:name="_Toc15570"/>
    </w:p>
    <w:p>
      <w:pPr>
        <w:rPr>
          <w:rFonts w:hint="eastAsia"/>
          <w:color w:val="auto"/>
          <w:highlight w:val="none"/>
        </w:rPr>
      </w:pPr>
    </w:p>
    <w:p>
      <w:pPr>
        <w:pStyle w:val="2"/>
        <w:rPr>
          <w:rFonts w:hint="eastAsia"/>
          <w:color w:val="auto"/>
          <w:highlight w:val="none"/>
          <w:lang w:eastAsia="zh-CN"/>
        </w:rPr>
      </w:pPr>
      <w:r>
        <w:rPr>
          <w:rFonts w:hint="eastAsia"/>
          <w:color w:val="auto"/>
          <w:highlight w:val="none"/>
          <w:lang w:eastAsia="zh-CN"/>
        </w:rPr>
        <w:t>、</w:t>
      </w: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3"/>
        <w:rPr>
          <w:color w:val="auto"/>
          <w:highlight w:val="none"/>
        </w:rPr>
      </w:pPr>
    </w:p>
    <w:p>
      <w:pPr>
        <w:pStyle w:val="4"/>
        <w:rPr>
          <w:color w:val="auto"/>
          <w:highlight w:val="none"/>
        </w:rPr>
      </w:pPr>
      <w:bookmarkStart w:id="72" w:name="_Toc19686"/>
      <w:bookmarkStart w:id="73" w:name="_Toc1375"/>
      <w:bookmarkStart w:id="74" w:name="_Toc87616386"/>
      <w:bookmarkStart w:id="75" w:name="_Toc12721"/>
      <w:bookmarkStart w:id="76" w:name="_Toc22501"/>
      <w:bookmarkStart w:id="77" w:name="_Toc12968"/>
      <w:bookmarkStart w:id="78" w:name="_Toc323"/>
      <w:bookmarkStart w:id="79" w:name="_Toc13309"/>
      <w:bookmarkStart w:id="80" w:name="_Toc19088"/>
      <w:bookmarkStart w:id="81" w:name="_Toc88209949"/>
      <w:bookmarkStart w:id="82" w:name="_Toc22797"/>
      <w:bookmarkStart w:id="83" w:name="_Toc8183"/>
      <w:bookmarkStart w:id="84" w:name="_Toc12980"/>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jc w:val="center"/>
        <w:rPr>
          <w:b/>
          <w:bCs w:val="0"/>
          <w:color w:val="auto"/>
          <w:sz w:val="48"/>
          <w:szCs w:val="48"/>
          <w:highlight w:val="none"/>
        </w:rPr>
      </w:pPr>
      <w:r>
        <w:rPr>
          <w:rFonts w:hint="eastAsia"/>
          <w:b/>
          <w:bCs w:val="0"/>
          <w:color w:val="auto"/>
          <w:sz w:val="48"/>
          <w:szCs w:val="48"/>
          <w:highlight w:val="none"/>
        </w:rPr>
        <w:t>广州市净水有限公司</w:t>
      </w:r>
    </w:p>
    <w:p>
      <w:pPr>
        <w:jc w:val="center"/>
        <w:rPr>
          <w:b/>
          <w:bCs w:val="0"/>
          <w:color w:val="auto"/>
          <w:sz w:val="48"/>
          <w:szCs w:val="48"/>
          <w:highlight w:val="none"/>
        </w:rPr>
      </w:pPr>
      <w:r>
        <w:rPr>
          <w:rFonts w:hint="eastAsia"/>
          <w:b/>
          <w:bCs w:val="0"/>
          <w:color w:val="auto"/>
          <w:sz w:val="48"/>
          <w:szCs w:val="48"/>
          <w:highlight w:val="none"/>
          <w:lang w:val="en-US" w:eastAsia="zh-CN"/>
        </w:rPr>
        <w:t>货物</w:t>
      </w:r>
      <w:r>
        <w:rPr>
          <w:rFonts w:hint="eastAsia"/>
          <w:b/>
          <w:bCs w:val="0"/>
          <w:color w:val="auto"/>
          <w:sz w:val="48"/>
          <w:szCs w:val="48"/>
          <w:highlight w:val="none"/>
        </w:rPr>
        <w:t>采购合同</w:t>
      </w:r>
    </w:p>
    <w:p>
      <w:pPr>
        <w:jc w:val="center"/>
        <w:rPr>
          <w:b/>
          <w:bCs w:val="0"/>
          <w:color w:val="auto"/>
          <w:sz w:val="28"/>
          <w:szCs w:val="28"/>
          <w:highlight w:val="none"/>
        </w:rPr>
      </w:pPr>
    </w:p>
    <w:p>
      <w:pPr>
        <w:jc w:val="center"/>
        <w:rPr>
          <w:b/>
          <w:bCs w:val="0"/>
          <w:color w:val="auto"/>
          <w:sz w:val="30"/>
          <w:highlight w:val="none"/>
        </w:rPr>
      </w:pPr>
    </w:p>
    <w:p>
      <w:pPr>
        <w:rPr>
          <w:rFonts w:hint="eastAsia"/>
          <w:b/>
          <w:bCs w:val="0"/>
          <w:color w:val="auto"/>
          <w:sz w:val="30"/>
          <w:highlight w:val="none"/>
        </w:rPr>
      </w:pPr>
      <w:r>
        <w:rPr>
          <w:rFonts w:hint="eastAsia"/>
          <w:b/>
          <w:bCs w:val="0"/>
          <w:color w:val="auto"/>
          <w:sz w:val="30"/>
          <w:highlight w:val="none"/>
        </w:rPr>
        <w:t>项目名称：</w:t>
      </w:r>
      <w:r>
        <w:rPr>
          <w:rFonts w:hint="eastAsia"/>
          <w:b/>
          <w:bCs w:val="0"/>
          <w:color w:val="auto"/>
          <w:sz w:val="30"/>
          <w:highlight w:val="none"/>
          <w:lang w:eastAsia="zh-CN"/>
        </w:rPr>
        <w:t>广州市净水有限公司2022年度EMG闸阀类备品备件采购项目（第二次）</w:t>
      </w:r>
    </w:p>
    <w:p>
      <w:pPr>
        <w:rPr>
          <w:rFonts w:hint="eastAsia"/>
          <w:b/>
          <w:bCs w:val="0"/>
          <w:color w:val="auto"/>
          <w:sz w:val="30"/>
          <w:highlight w:val="none"/>
          <w:lang w:val="en-US" w:eastAsia="zh-CN"/>
        </w:rPr>
      </w:pPr>
    </w:p>
    <w:p>
      <w:pPr>
        <w:rPr>
          <w:rFonts w:hint="eastAsia"/>
          <w:b/>
          <w:bCs w:val="0"/>
          <w:color w:val="auto"/>
          <w:sz w:val="30"/>
          <w:highlight w:val="none"/>
          <w:lang w:val="en-US" w:eastAsia="zh-CN"/>
        </w:rPr>
      </w:pPr>
      <w:r>
        <w:rPr>
          <w:rFonts w:hint="eastAsia"/>
          <w:b/>
          <w:bCs w:val="0"/>
          <w:color w:val="auto"/>
          <w:sz w:val="30"/>
          <w:highlight w:val="none"/>
          <w:lang w:val="en-US" w:eastAsia="zh-CN"/>
        </w:rPr>
        <w:t>项目编号：</w:t>
      </w:r>
    </w:p>
    <w:p>
      <w:pPr>
        <w:rPr>
          <w:rFonts w:hint="eastAsia"/>
          <w:b/>
          <w:bCs w:val="0"/>
          <w:color w:val="auto"/>
          <w:sz w:val="30"/>
          <w:highlight w:val="none"/>
          <w:lang w:val="en-US" w:eastAsia="zh-CN"/>
        </w:rPr>
      </w:pPr>
    </w:p>
    <w:p>
      <w:pPr>
        <w:rPr>
          <w:b/>
          <w:bCs w:val="0"/>
          <w:color w:val="auto"/>
          <w:sz w:val="30"/>
          <w:szCs w:val="30"/>
          <w:highlight w:val="none"/>
        </w:rPr>
      </w:pPr>
      <w:r>
        <w:rPr>
          <w:rFonts w:hint="eastAsia"/>
          <w:b/>
          <w:bCs w:val="0"/>
          <w:color w:val="auto"/>
          <w:sz w:val="30"/>
          <w:highlight w:val="none"/>
        </w:rPr>
        <w:t>合同编号：</w:t>
      </w:r>
      <w:r>
        <w:rPr>
          <w:rFonts w:hint="eastAsia" w:ascii="宋体" w:hAnsi="宋体" w:cs="宋体"/>
          <w:b/>
          <w:bCs w:val="0"/>
          <w:color w:val="auto"/>
          <w:sz w:val="30"/>
          <w:szCs w:val="30"/>
          <w:highlight w:val="none"/>
        </w:rPr>
        <w:t>穗净水合</w:t>
      </w:r>
      <w:r>
        <w:rPr>
          <w:rFonts w:ascii="宋体" w:hAnsi="宋体" w:cs="宋体"/>
          <w:b/>
          <w:bCs w:val="0"/>
          <w:color w:val="auto"/>
          <w:sz w:val="30"/>
          <w:szCs w:val="30"/>
          <w:highlight w:val="none"/>
        </w:rPr>
        <w:t xml:space="preserve">[ </w:t>
      </w:r>
      <w:r>
        <w:rPr>
          <w:rFonts w:hint="eastAsia" w:ascii="宋体" w:hAnsi="宋体" w:cs="宋体"/>
          <w:b/>
          <w:bCs w:val="0"/>
          <w:color w:val="auto"/>
          <w:sz w:val="30"/>
          <w:szCs w:val="30"/>
          <w:highlight w:val="none"/>
          <w:lang w:val="en-US" w:eastAsia="zh-CN"/>
        </w:rPr>
        <w:t>2022</w:t>
      </w:r>
      <w:r>
        <w:rPr>
          <w:rFonts w:ascii="宋体" w:hAnsi="宋体" w:cs="宋体"/>
          <w:b/>
          <w:bCs w:val="0"/>
          <w:color w:val="auto"/>
          <w:sz w:val="30"/>
          <w:szCs w:val="30"/>
          <w:highlight w:val="none"/>
        </w:rPr>
        <w:t xml:space="preserve"> ]    </w:t>
      </w:r>
      <w:r>
        <w:rPr>
          <w:rFonts w:hint="eastAsia" w:ascii="宋体" w:hAnsi="宋体" w:cs="宋体"/>
          <w:b/>
          <w:bCs w:val="0"/>
          <w:color w:val="auto"/>
          <w:sz w:val="30"/>
          <w:szCs w:val="30"/>
          <w:highlight w:val="none"/>
        </w:rPr>
        <w:t>号</w:t>
      </w:r>
    </w:p>
    <w:p>
      <w:pPr>
        <w:rPr>
          <w:b/>
          <w:bCs w:val="0"/>
          <w:color w:val="auto"/>
          <w:sz w:val="30"/>
          <w:szCs w:val="30"/>
          <w:highlight w:val="none"/>
        </w:rPr>
      </w:pPr>
    </w:p>
    <w:p>
      <w:pPr>
        <w:rPr>
          <w:b/>
          <w:bCs w:val="0"/>
          <w:color w:val="auto"/>
          <w:sz w:val="30"/>
          <w:highlight w:val="none"/>
          <w:u w:val="single"/>
        </w:rPr>
      </w:pPr>
      <w:r>
        <w:rPr>
          <w:rFonts w:hint="eastAsia"/>
          <w:b/>
          <w:bCs w:val="0"/>
          <w:color w:val="auto"/>
          <w:sz w:val="30"/>
          <w:highlight w:val="none"/>
        </w:rPr>
        <w:t>甲方（买方）：</w:t>
      </w:r>
      <w:r>
        <w:rPr>
          <w:rFonts w:hint="eastAsia"/>
          <w:b/>
          <w:bCs w:val="0"/>
          <w:color w:val="auto"/>
          <w:sz w:val="30"/>
          <w:highlight w:val="none"/>
          <w:u w:val="none"/>
        </w:rPr>
        <w:t>广州市净水有限公司</w:t>
      </w:r>
    </w:p>
    <w:p>
      <w:pPr>
        <w:rPr>
          <w:rFonts w:hint="eastAsia"/>
          <w:b/>
          <w:bCs w:val="0"/>
          <w:color w:val="auto"/>
          <w:sz w:val="30"/>
          <w:highlight w:val="none"/>
        </w:rPr>
      </w:pPr>
    </w:p>
    <w:p>
      <w:pPr>
        <w:rPr>
          <w:b/>
          <w:bCs w:val="0"/>
          <w:color w:val="auto"/>
          <w:sz w:val="30"/>
          <w:highlight w:val="none"/>
          <w:u w:val="single"/>
        </w:rPr>
      </w:pPr>
      <w:r>
        <w:rPr>
          <w:rFonts w:hint="eastAsia"/>
          <w:b/>
          <w:bCs w:val="0"/>
          <w:color w:val="auto"/>
          <w:sz w:val="30"/>
          <w:highlight w:val="none"/>
        </w:rPr>
        <w:t>乙方（卖方）：</w:t>
      </w:r>
      <w:r>
        <w:rPr>
          <w:b/>
          <w:bCs w:val="0"/>
          <w:color w:val="auto"/>
          <w:sz w:val="30"/>
          <w:highlight w:val="none"/>
          <w:u w:val="none"/>
        </w:rPr>
        <w:t xml:space="preserve">                  </w:t>
      </w:r>
    </w:p>
    <w:p>
      <w:pPr>
        <w:pStyle w:val="2"/>
        <w:rPr>
          <w:rFonts w:hint="eastAsia"/>
          <w:b/>
          <w:bCs w:val="0"/>
          <w:color w:val="auto"/>
          <w:highlight w:val="none"/>
        </w:rPr>
      </w:pPr>
    </w:p>
    <w:p>
      <w:pPr>
        <w:spacing w:line="500" w:lineRule="exact"/>
        <w:jc w:val="both"/>
        <w:rPr>
          <w:rFonts w:hint="eastAsia"/>
          <w:b/>
          <w:bCs w:val="0"/>
          <w:color w:val="auto"/>
          <w:sz w:val="30"/>
          <w:highlight w:val="none"/>
        </w:rPr>
      </w:pPr>
      <w:r>
        <w:rPr>
          <w:rFonts w:hint="eastAsia" w:ascii="宋体" w:hAnsi="宋体" w:cs="宋体"/>
          <w:b/>
          <w:color w:val="auto"/>
          <w:sz w:val="30"/>
          <w:szCs w:val="30"/>
          <w:highlight w:val="none"/>
        </w:rPr>
        <w:t xml:space="preserve">签订日期：       年   月   日   </w:t>
      </w:r>
    </w:p>
    <w:p>
      <w:pPr>
        <w:spacing w:line="500" w:lineRule="exact"/>
        <w:jc w:val="left"/>
        <w:rPr>
          <w:rFonts w:hint="eastAsia"/>
          <w:b/>
          <w:bCs w:val="0"/>
          <w:color w:val="auto"/>
          <w:sz w:val="30"/>
          <w:highlight w:val="none"/>
        </w:rPr>
      </w:pPr>
    </w:p>
    <w:p>
      <w:pPr>
        <w:spacing w:line="500" w:lineRule="exact"/>
        <w:jc w:val="left"/>
        <w:rPr>
          <w:rFonts w:ascii="宋体" w:hAnsi="宋体" w:eastAsia="宋体" w:cs="宋体"/>
          <w:b/>
          <w:bCs w:val="0"/>
          <w:color w:val="auto"/>
          <w:sz w:val="36"/>
          <w:szCs w:val="36"/>
          <w:highlight w:val="none"/>
          <w:lang w:val="zh-CN" w:eastAsia="zh-CN"/>
        </w:rPr>
      </w:pPr>
      <w:r>
        <w:rPr>
          <w:rFonts w:hint="eastAsia"/>
          <w:b/>
          <w:bCs w:val="0"/>
          <w:color w:val="auto"/>
          <w:sz w:val="30"/>
          <w:highlight w:val="none"/>
        </w:rPr>
        <w:t>签约地点：广州市</w:t>
      </w:r>
    </w:p>
    <w:p>
      <w:pPr>
        <w:spacing w:line="360" w:lineRule="auto"/>
        <w:ind w:firstLine="0" w:firstLineChars="0"/>
        <w:rPr>
          <w:rFonts w:hint="eastAsia"/>
          <w:b/>
          <w:bCs w:val="0"/>
          <w:color w:val="auto"/>
          <w:highlight w:val="none"/>
          <w:lang w:val="en-US" w:eastAsia="zh-CN"/>
        </w:rPr>
      </w:pPr>
      <w:r>
        <w:rPr>
          <w:rFonts w:hint="eastAsia"/>
          <w:b/>
          <w:bCs w:val="0"/>
          <w:color w:val="auto"/>
          <w:highlight w:val="none"/>
          <w:lang w:val="en-US" w:eastAsia="zh-CN"/>
        </w:rPr>
        <w:t xml:space="preserve">    </w:t>
      </w:r>
    </w:p>
    <w:p>
      <w:pPr>
        <w:pStyle w:val="2"/>
        <w:ind w:firstLine="0"/>
        <w:rPr>
          <w:rFonts w:hint="eastAsia" w:ascii="宋体" w:hAnsi="宋体" w:cs="宋体"/>
          <w:b/>
          <w:bCs w:val="0"/>
          <w:color w:val="auto"/>
          <w:sz w:val="24"/>
          <w:szCs w:val="24"/>
          <w:highlight w:val="none"/>
        </w:rPr>
      </w:pPr>
    </w:p>
    <w:p>
      <w:pPr>
        <w:pStyle w:val="2"/>
        <w:ind w:firstLine="0"/>
        <w:rPr>
          <w:rFonts w:hint="eastAsia" w:ascii="宋体" w:hAnsi="宋体" w:cs="宋体"/>
          <w:b/>
          <w:bCs w:val="0"/>
          <w:color w:val="auto"/>
          <w:sz w:val="24"/>
          <w:szCs w:val="24"/>
          <w:highlight w:val="none"/>
        </w:rPr>
      </w:pPr>
    </w:p>
    <w:p>
      <w:pPr>
        <w:pStyle w:val="2"/>
        <w:ind w:firstLine="0"/>
        <w:rPr>
          <w:rFonts w:hint="eastAsia" w:ascii="宋体" w:hAnsi="宋体" w:cs="宋体"/>
          <w:b/>
          <w:bCs w:val="0"/>
          <w:color w:val="auto"/>
          <w:sz w:val="24"/>
          <w:szCs w:val="24"/>
          <w:highlight w:val="none"/>
        </w:rPr>
      </w:pP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广州市净水有限公司2022年度EMG闸阀类备品备件采购项目（第二次）</w:t>
      </w:r>
      <w:r>
        <w:rPr>
          <w:rFonts w:hint="eastAsia" w:ascii="宋体" w:hAnsi="宋体" w:cs="宋体"/>
          <w:color w:val="auto"/>
          <w:sz w:val="24"/>
          <w:szCs w:val="24"/>
          <w:highlight w:val="none"/>
        </w:rPr>
        <w:t>和相应技术服务事宜，遵循平等、自愿、公平和诚实信用的原则，双方协商一致，订立本合同。</w:t>
      </w:r>
      <w:bookmarkStart w:id="85" w:name="_Toc183666513"/>
      <w:bookmarkStart w:id="86" w:name="_Toc520190026"/>
      <w:bookmarkStart w:id="87" w:name="_Toc1018"/>
      <w:bookmarkStart w:id="88" w:name="_Toc518992986"/>
      <w:bookmarkStart w:id="89" w:name="_Toc474245210"/>
    </w:p>
    <w:p>
      <w:pPr>
        <w:keepNext w:val="0"/>
        <w:keepLines w:val="0"/>
        <w:pageBreakBefore w:val="0"/>
        <w:kinsoku/>
        <w:wordWrap/>
        <w:overflowPunct/>
        <w:topLinePunct w:val="0"/>
        <w:bidi w:val="0"/>
        <w:spacing w:line="480" w:lineRule="exact"/>
        <w:ind w:firstLine="54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keepNext w:val="0"/>
        <w:keepLines w:val="0"/>
        <w:pageBreakBefore w:val="0"/>
        <w:kinsoku/>
        <w:wordWrap/>
        <w:overflowPunct/>
        <w:topLinePunct w:val="0"/>
        <w:bidi w:val="0"/>
        <w:spacing w:line="480" w:lineRule="exact"/>
        <w:textAlignment w:val="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85"/>
      <w:bookmarkEnd w:id="86"/>
      <w:bookmarkEnd w:id="87"/>
      <w:bookmarkEnd w:id="88"/>
      <w:bookmarkEnd w:id="89"/>
      <w:r>
        <w:rPr>
          <w:rFonts w:hint="eastAsia" w:ascii="宋体" w:hAnsi="宋体" w:cs="宋体"/>
          <w:b/>
          <w:color w:val="auto"/>
          <w:sz w:val="24"/>
          <w:szCs w:val="24"/>
          <w:highlight w:val="none"/>
        </w:rPr>
        <w:t>合同标的</w:t>
      </w:r>
    </w:p>
    <w:p>
      <w:pPr>
        <w:keepNext w:val="0"/>
        <w:keepLines w:val="0"/>
        <w:pageBreakBefore w:val="0"/>
        <w:kinsoku/>
        <w:wordWrap/>
        <w:overflowPunct/>
        <w:topLinePunct w:val="0"/>
        <w:autoSpaceDE w:val="0"/>
        <w:autoSpaceDN w:val="0"/>
        <w:bidi w:val="0"/>
        <w:adjustRightInd w:val="0"/>
        <w:spacing w:line="48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zh-CN"/>
        </w:rPr>
        <w:t>本合同所指</w:t>
      </w:r>
      <w:r>
        <w:rPr>
          <w:rFonts w:hint="eastAsia" w:ascii="宋体" w:hAnsi="宋体" w:cs="宋体"/>
          <w:color w:val="auto"/>
          <w:kern w:val="0"/>
          <w:sz w:val="24"/>
          <w:szCs w:val="24"/>
          <w:highlight w:val="none"/>
          <w:lang w:val="en-US" w:eastAsia="zh-CN"/>
        </w:rPr>
        <w:t>货物</w:t>
      </w:r>
      <w:r>
        <w:rPr>
          <w:rFonts w:hint="eastAsia" w:ascii="宋体" w:hAnsi="宋体" w:cs="宋体"/>
          <w:color w:val="auto"/>
          <w:kern w:val="0"/>
          <w:sz w:val="24"/>
          <w:szCs w:val="24"/>
          <w:highlight w:val="none"/>
          <w:lang w:val="zh-CN"/>
        </w:rPr>
        <w:t>为</w:t>
      </w:r>
      <w:r>
        <w:rPr>
          <w:rFonts w:hint="eastAsia" w:ascii="宋体" w:hAnsi="宋体" w:cs="宋体"/>
          <w:color w:val="auto"/>
          <w:kern w:val="0"/>
          <w:sz w:val="24"/>
          <w:szCs w:val="24"/>
          <w:highlight w:val="none"/>
          <w:u w:val="single"/>
          <w:lang w:val="zh-CN"/>
        </w:rPr>
        <w:t>EMG闸阀类备品备件</w:t>
      </w:r>
      <w:r>
        <w:rPr>
          <w:rFonts w:hint="eastAsia" w:ascii="宋体" w:hAnsi="宋体" w:cs="宋体"/>
          <w:color w:val="auto"/>
          <w:kern w:val="0"/>
          <w:sz w:val="24"/>
          <w:szCs w:val="24"/>
          <w:highlight w:val="none"/>
          <w:lang w:val="zh-CN"/>
        </w:rPr>
        <w:t>全新的原装产品，</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w:t>
      </w:r>
      <w:r>
        <w:rPr>
          <w:rFonts w:hint="eastAsia" w:ascii="宋体" w:hAnsi="宋体" w:cs="宋体"/>
          <w:color w:val="auto"/>
          <w:kern w:val="0"/>
          <w:sz w:val="24"/>
          <w:szCs w:val="24"/>
          <w:highlight w:val="none"/>
          <w:lang w:val="en-US" w:eastAsia="zh-CN"/>
        </w:rPr>
        <w:t>品牌</w:t>
      </w:r>
      <w:r>
        <w:rPr>
          <w:rFonts w:hint="eastAsia" w:ascii="宋体" w:hAnsi="宋体" w:cs="宋体"/>
          <w:color w:val="auto"/>
          <w:kern w:val="0"/>
          <w:sz w:val="24"/>
          <w:szCs w:val="24"/>
          <w:highlight w:val="none"/>
          <w:lang w:val="zh-CN"/>
        </w:rPr>
        <w:t>详见</w:t>
      </w:r>
      <w:r>
        <w:rPr>
          <w:rFonts w:hint="eastAsia" w:ascii="宋体" w:hAnsi="宋体" w:cs="宋体"/>
          <w:color w:val="auto"/>
          <w:kern w:val="0"/>
          <w:sz w:val="24"/>
          <w:szCs w:val="24"/>
          <w:highlight w:val="none"/>
          <w:lang w:val="en-US" w:eastAsia="zh-CN"/>
        </w:rPr>
        <w:t>参照附件5报价清单。</w:t>
      </w:r>
      <w:bookmarkStart w:id="90" w:name="_Toc17140"/>
      <w:bookmarkStart w:id="91" w:name="_Toc518992987"/>
      <w:bookmarkStart w:id="92" w:name="_Toc520190027"/>
      <w:bookmarkStart w:id="93" w:name="_Toc474245211"/>
    </w:p>
    <w:bookmarkEnd w:id="90"/>
    <w:p>
      <w:pPr>
        <w:keepNext w:val="0"/>
        <w:keepLines w:val="0"/>
        <w:pageBreakBefore w:val="0"/>
        <w:kinsoku/>
        <w:wordWrap/>
        <w:overflowPunct/>
        <w:topLinePunct w:val="0"/>
        <w:bidi w:val="0"/>
        <w:spacing w:after="120" w:afterLines="50" w:line="480" w:lineRule="exact"/>
        <w:ind w:firstLine="482" w:firstLineChars="200"/>
        <w:textAlignment w:val="auto"/>
        <w:rPr>
          <w:rFonts w:ascii="宋体" w:hAnsi="宋体" w:cs="宋体"/>
          <w:color w:val="auto"/>
          <w:sz w:val="24"/>
          <w:szCs w:val="24"/>
          <w:highlight w:val="none"/>
        </w:rPr>
      </w:pPr>
      <w:bookmarkStart w:id="94" w:name="_Toc183666514"/>
      <w:bookmarkStart w:id="95" w:name="_Toc107447235"/>
      <w:bookmarkStart w:id="96" w:name="_Toc107446842"/>
      <w:bookmarkStart w:id="97" w:name="_Toc26357"/>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keepNext w:val="0"/>
        <w:keepLines w:val="0"/>
        <w:pageBreakBefore w:val="0"/>
        <w:kinsoku/>
        <w:wordWrap/>
        <w:overflowPunct/>
        <w:topLinePunct w:val="0"/>
        <w:bidi w:val="0"/>
        <w:spacing w:after="120" w:afterLines="50"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合同生效后，收到甲方下单通知之日起30日内到货，并开箱验收合格。</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广州市净水有限公司对应分公司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w:t>
      </w:r>
    </w:p>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zh-CN"/>
        </w:rPr>
        <w:t>万元，（人民币）大写：</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合同单价为综合单价，该价格包括但不限于：货物的生产、产品检验（含出厂及到货验收）、运输（含转运）、包装、装卸（含卸车费用）、安装调试或指导安装调试运行（具体按“报价清单”）、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
          <w:color w:val="auto"/>
          <w:sz w:val="24"/>
          <w:szCs w:val="24"/>
          <w:highlight w:val="none"/>
        </w:rPr>
      </w:pPr>
      <w:bookmarkStart w:id="98" w:name="_Toc518992989"/>
      <w:bookmarkStart w:id="99" w:name="_Toc474245213"/>
      <w:bookmarkStart w:id="100" w:name="_Toc520190029"/>
      <w:bookmarkStart w:id="101" w:name="_Toc107446843"/>
      <w:bookmarkStart w:id="102" w:name="_Toc107447236"/>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98"/>
      <w:bookmarkEnd w:id="99"/>
      <w:bookmarkEnd w:id="100"/>
    </w:p>
    <w:bookmarkEnd w:id="101"/>
    <w:bookmarkEnd w:id="102"/>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highlight w:val="none"/>
        </w:rPr>
      </w:pPr>
      <w:bookmarkStart w:id="103" w:name="_Toc183666516"/>
      <w:bookmarkStart w:id="104"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A3"/>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2" w:char="0052"/>
      </w:r>
      <w:r>
        <w:rPr>
          <w:rFonts w:hint="eastAsia" w:ascii="宋体" w:hAnsi="宋体" w:eastAsia="宋体" w:cs="宋体"/>
          <w:bCs/>
          <w:color w:val="auto"/>
          <w:sz w:val="24"/>
          <w:szCs w:val="24"/>
          <w:highlight w:val="none"/>
          <w:lang w:val="en-US" w:eastAsia="zh-CN"/>
        </w:rPr>
        <w:t>有</w:t>
      </w:r>
      <w:r>
        <w:rPr>
          <w:rFonts w:hint="eastAsia" w:ascii="宋体" w:hAnsi="宋体" w:eastAsia="宋体" w:cs="宋体"/>
          <w:color w:val="auto"/>
          <w:szCs w:val="21"/>
          <w:highlight w:val="none"/>
          <w:lang w:val="en-US" w:eastAsia="zh-CN"/>
        </w:rPr>
        <w:t>，</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w:t>
      </w:r>
      <w:r>
        <w:rPr>
          <w:rFonts w:ascii="宋体" w:hAnsi="宋体" w:cs="宋体"/>
          <w:bCs/>
          <w:color w:val="auto"/>
          <w:sz w:val="24"/>
          <w:szCs w:val="24"/>
          <w:highlight w:val="none"/>
          <w:u w:val="single"/>
        </w:rPr>
        <w:t>0%</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元，（大写：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乙方按时交付合同货物后，甲方</w:t>
      </w:r>
      <w:r>
        <w:rPr>
          <w:rFonts w:hint="eastAsia" w:ascii="宋体" w:hAnsi="宋体" w:cs="宋体"/>
          <w:color w:val="auto"/>
          <w:sz w:val="24"/>
          <w:szCs w:val="24"/>
          <w:highlight w:val="none"/>
        </w:rPr>
        <w:t>属下分公司分别向</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支付该批次</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合同价的</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5.2.2乙方</w:t>
      </w:r>
      <w:r>
        <w:rPr>
          <w:rFonts w:hint="eastAsia" w:ascii="宋体" w:hAnsi="宋体" w:cs="宋体"/>
          <w:color w:val="auto"/>
          <w:sz w:val="24"/>
          <w:szCs w:val="24"/>
          <w:highlight w:val="none"/>
        </w:rPr>
        <w:t>按合同约定交付全部合同</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后，经甲方结算审核</w:t>
      </w:r>
      <w:r>
        <w:rPr>
          <w:rFonts w:hint="eastAsia" w:ascii="宋体" w:hAnsi="宋体" w:cs="宋体"/>
          <w:color w:val="auto"/>
          <w:sz w:val="24"/>
          <w:szCs w:val="24"/>
          <w:highlight w:val="none"/>
          <w:lang w:val="en-US" w:eastAsia="zh-CN"/>
        </w:rPr>
        <w:t>后，甲方</w:t>
      </w:r>
      <w:r>
        <w:rPr>
          <w:rFonts w:hint="eastAsia" w:ascii="宋体" w:hAnsi="宋体" w:cs="宋体"/>
          <w:color w:val="auto"/>
          <w:sz w:val="24"/>
          <w:szCs w:val="24"/>
          <w:highlight w:val="none"/>
        </w:rPr>
        <w:t>属下分公司分别收到等额的增值税专用发票后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2"/>
        <w:keepNext w:val="0"/>
        <w:keepLines w:val="0"/>
        <w:pageBreakBefore w:val="0"/>
        <w:kinsoku/>
        <w:wordWrap/>
        <w:overflowPunct/>
        <w:topLinePunct w:val="0"/>
        <w:bidi w:val="0"/>
        <w:spacing w:line="480" w:lineRule="exact"/>
        <w:ind w:firstLine="480" w:firstLineChars="200"/>
        <w:textAlignment w:val="auto"/>
        <w:outlineLvl w:val="1"/>
        <w:rPr>
          <w:rFonts w:hAnsi="宋体" w:cs="宋体"/>
          <w:color w:val="auto"/>
          <w:szCs w:val="24"/>
          <w:highlight w:val="none"/>
        </w:rPr>
      </w:pPr>
      <w:r>
        <w:rPr>
          <w:rFonts w:hint="eastAsia" w:ascii="宋体" w:hAnsi="宋体" w:eastAsia="宋体" w:cs="宋体"/>
          <w:color w:val="auto"/>
          <w:kern w:val="2"/>
          <w:sz w:val="24"/>
          <w:szCs w:val="24"/>
          <w:highlight w:val="none"/>
          <w:lang w:val="en-US" w:eastAsia="zh-CN" w:bidi="ar-SA"/>
        </w:rPr>
        <w:t>5.2.</w:t>
      </w:r>
      <w:r>
        <w:rPr>
          <w:rFonts w:hint="eastAsia"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质保期按合同第</w:t>
      </w:r>
      <w:r>
        <w:rPr>
          <w:rFonts w:hint="eastAsia" w:hAnsi="宋体" w:cs="宋体"/>
          <w:color w:val="auto"/>
          <w:kern w:val="2"/>
          <w:sz w:val="24"/>
          <w:szCs w:val="24"/>
          <w:highlight w:val="none"/>
          <w:lang w:val="en-US" w:eastAsia="zh-CN" w:bidi="ar-SA"/>
        </w:rPr>
        <w:t>十</w:t>
      </w:r>
      <w:r>
        <w:rPr>
          <w:rFonts w:hint="eastAsia" w:ascii="宋体" w:hAnsi="宋体" w:eastAsia="宋体" w:cs="宋体"/>
          <w:color w:val="auto"/>
          <w:kern w:val="2"/>
          <w:sz w:val="24"/>
          <w:szCs w:val="24"/>
          <w:highlight w:val="none"/>
          <w:lang w:val="en-US" w:eastAsia="zh-CN" w:bidi="ar-SA"/>
        </w:rPr>
        <w:t>条规定执行，质保期满且乙方不存在违约情形，乙方提交请款资料及等额增值税专用发票，甲方审核无误后在</w:t>
      </w:r>
      <w:r>
        <w:rPr>
          <w:rFonts w:hint="eastAsia" w:ascii="宋体" w:hAnsi="宋体" w:eastAsia="宋体" w:cs="宋体"/>
          <w:color w:val="auto"/>
          <w:kern w:val="2"/>
          <w:sz w:val="24"/>
          <w:szCs w:val="24"/>
          <w:highlight w:val="none"/>
          <w:u w:val="single"/>
          <w:lang w:val="en-US" w:eastAsia="zh-CN" w:bidi="ar-SA"/>
        </w:rPr>
        <w:t xml:space="preserve"> 15 </w:t>
      </w:r>
      <w:r>
        <w:rPr>
          <w:rFonts w:hint="eastAsia" w:ascii="宋体" w:hAnsi="宋体" w:eastAsia="宋体" w:cs="宋体"/>
          <w:color w:val="auto"/>
          <w:kern w:val="2"/>
          <w:sz w:val="24"/>
          <w:szCs w:val="24"/>
          <w:highlight w:val="none"/>
          <w:lang w:val="en-US" w:eastAsia="zh-CN" w:bidi="ar-SA"/>
        </w:rPr>
        <w:t>个工作日内支付合同结算价的5％（质保金）给乙方(无息)。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480" w:lineRule="exact"/>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乙方在收款前需向甲方提交等额增值税专用发票，增值税专用发票信息：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名称：广州市净水有限公司</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keepNext w:val="0"/>
        <w:keepLines w:val="0"/>
        <w:pageBreakBefore w:val="0"/>
        <w:kinsoku/>
        <w:wordWrap/>
        <w:overflowPunct/>
        <w:topLinePunct w:val="0"/>
        <w:bidi w:val="0"/>
        <w:spacing w:line="48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keepNext w:val="0"/>
        <w:keepLines w:val="0"/>
        <w:pageBreakBefore w:val="0"/>
        <w:kinsoku/>
        <w:wordWrap/>
        <w:overflowPunct/>
        <w:topLinePunct w:val="0"/>
        <w:bidi w:val="0"/>
        <w:spacing w:after="0" w:line="480" w:lineRule="exact"/>
        <w:ind w:firstLine="480" w:firstLineChars="200"/>
        <w:textAlignment w:val="auto"/>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ascii="宋体" w:hAnsi="宋体" w:cs="宋体"/>
          <w:color w:val="auto"/>
          <w:sz w:val="24"/>
          <w:szCs w:val="24"/>
          <w:highlight w:val="none"/>
        </w:rPr>
        <w:sym w:font="Wingdings" w:char="00A8"/>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（大写人民币：</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color w:val="auto"/>
          <w:highlight w:val="none"/>
        </w:rPr>
      </w:pPr>
      <w:r>
        <w:rPr>
          <w:rFonts w:hint="eastAsia" w:cs="宋体"/>
          <w:color w:val="auto"/>
          <w:highlight w:val="none"/>
        </w:rPr>
        <w:t>1、符合甲方要求（详见附件6保函格式）的银行独立保函，</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color w:val="auto"/>
          <w:highlight w:val="none"/>
        </w:rPr>
      </w:pPr>
      <w:r>
        <w:rPr>
          <w:rFonts w:hint="eastAsia" w:cs="宋体"/>
          <w:color w:val="auto"/>
          <w:highlight w:val="none"/>
        </w:rPr>
        <w:t>2、现金转账至甲方以下指定账户：</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keepNext w:val="0"/>
        <w:keepLines w:val="0"/>
        <w:pageBreakBefore w:val="0"/>
        <w:kinsoku/>
        <w:wordWrap/>
        <w:overflowPunct/>
        <w:topLinePunct w:val="0"/>
        <w:bidi w:val="0"/>
        <w:spacing w:line="480" w:lineRule="exact"/>
        <w:ind w:firstLine="480" w:firstLineChars="200"/>
        <w:textAlignment w:val="auto"/>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0"/>
        <w:keepNext w:val="0"/>
        <w:keepLines w:val="0"/>
        <w:pageBreakBefore w:val="0"/>
        <w:kinsoku/>
        <w:wordWrap/>
        <w:overflowPunct/>
        <w:topLinePunct w:val="0"/>
        <w:bidi w:val="0"/>
        <w:spacing w:before="0" w:beforeAutospacing="0" w:after="0" w:afterAutospacing="0" w:line="480" w:lineRule="exact"/>
        <w:ind w:firstLine="525"/>
        <w:textAlignment w:val="auto"/>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03"/>
    <w:bookmarkEnd w:id="104"/>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交货要求：乙方应在交货时无条件向甲方提供出厂合格证、产品质量证明文件、操作维修手册</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如需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等（手册应包含货物情况、系统和主要部件常见故障、保养要求、紧急维修电话等内容）。</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运抵交货地点后，甲乙双方根据合同约定对合同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的包装、外观与件数进行清点检查，并共同签署合同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外观检查记录。</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交付地点进行，</w:t>
      </w:r>
      <w:r>
        <w:rPr>
          <w:rFonts w:hint="eastAsia" w:ascii="宋体" w:hAnsi="宋体" w:cs="宋体"/>
          <w:color w:val="auto"/>
          <w:sz w:val="24"/>
          <w:szCs w:val="24"/>
          <w:highlight w:val="none"/>
        </w:rPr>
        <w:t>包括但不限于对合同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数量、规格、外观完好性进行检验。经验收合格后，甲方签发开箱检验合格证明。开箱验收合格前，</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的损坏风险由乙方承担。</w:t>
      </w:r>
    </w:p>
    <w:p>
      <w:pPr>
        <w:keepNext w:val="0"/>
        <w:keepLines w:val="0"/>
        <w:pageBreakBefore w:val="0"/>
        <w:kinsoku/>
        <w:wordWrap/>
        <w:overflowPunct/>
        <w:topLinePunct w:val="0"/>
        <w:bidi w:val="0"/>
        <w:adjustRightInd w:val="0"/>
        <w:snapToGrid w:val="0"/>
        <w:spacing w:after="0" w:line="48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外观检查与开箱检查发现的问题，如数量、规格、外表质量等与合同约定不符，</w:t>
      </w:r>
      <w:r>
        <w:rPr>
          <w:rFonts w:hint="eastAsia" w:ascii="宋体" w:hAnsi="宋体" w:cs="宋体"/>
          <w:color w:val="auto"/>
          <w:sz w:val="24"/>
          <w:szCs w:val="24"/>
          <w:highlight w:val="none"/>
          <w:lang w:eastAsia="zh-CN"/>
        </w:rPr>
        <w:t>货物或部件</w:t>
      </w:r>
      <w:r>
        <w:rPr>
          <w:rFonts w:hint="eastAsia" w:ascii="宋体" w:hAnsi="宋体" w:cs="宋体"/>
          <w:color w:val="auto"/>
          <w:sz w:val="24"/>
          <w:szCs w:val="24"/>
          <w:highlight w:val="none"/>
        </w:rPr>
        <w:t>因包装、运输、装卸问题造成的任何损坏、丢失，装箱文件短缺等，乙方应在不影响甲方生产运营的前提下，在甲方规定期限内消除合同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中存在的缺陷，用合格的新</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更换有缺陷的</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、退货或补发，并自行承担费用。甲方有权在</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缺陷消除或</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keepNext w:val="0"/>
        <w:keepLines w:val="0"/>
        <w:pageBreakBefore w:val="0"/>
        <w:kinsoku/>
        <w:wordWrap/>
        <w:overflowPunct/>
        <w:topLinePunct w:val="0"/>
        <w:bidi w:val="0"/>
        <w:spacing w:after="0" w:line="480" w:lineRule="exac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进行原厂正品验证，若合同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无法获原厂验证，甲方有权退回</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91"/>
    <w:bookmarkEnd w:id="92"/>
    <w:bookmarkEnd w:id="93"/>
    <w:bookmarkEnd w:id="94"/>
    <w:bookmarkEnd w:id="95"/>
    <w:bookmarkEnd w:id="96"/>
    <w:bookmarkEnd w:id="97"/>
    <w:p>
      <w:pPr>
        <w:keepNext w:val="0"/>
        <w:keepLines w:val="0"/>
        <w:pageBreakBefore w:val="0"/>
        <w:kinsoku/>
        <w:wordWrap/>
        <w:overflowPunct/>
        <w:topLinePunct w:val="0"/>
        <w:bidi w:val="0"/>
        <w:spacing w:before="120" w:after="120" w:line="480" w:lineRule="exact"/>
        <w:ind w:firstLine="482" w:firstLineChars="200"/>
        <w:textAlignment w:val="auto"/>
        <w:rPr>
          <w:rFonts w:ascii="宋体" w:hAnsi="宋体" w:cs="宋体"/>
          <w:b/>
          <w:color w:val="auto"/>
          <w:sz w:val="24"/>
          <w:szCs w:val="24"/>
          <w:highlight w:val="none"/>
        </w:rPr>
      </w:pPr>
      <w:bookmarkStart w:id="105" w:name="_Toc474245215"/>
      <w:bookmarkStart w:id="106" w:name="_Toc518992990"/>
      <w:bookmarkStart w:id="107" w:name="_Toc520190030"/>
      <w:bookmarkStart w:id="108" w:name="_Toc183666534"/>
      <w:bookmarkStart w:id="109" w:name="_Toc257"/>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05"/>
      <w:bookmarkEnd w:id="106"/>
      <w:bookmarkEnd w:id="107"/>
      <w:r>
        <w:rPr>
          <w:rFonts w:hint="eastAsia" w:ascii="宋体" w:hAnsi="宋体" w:cs="宋体"/>
          <w:b/>
          <w:color w:val="auto"/>
          <w:sz w:val="24"/>
          <w:szCs w:val="24"/>
          <w:highlight w:val="none"/>
        </w:rPr>
        <w:t>、标示及运输要求</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的特点，按照有关国家、行业标准要求，对</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及其零配件进行适合长途运输、多次搬运与装卸、防震、防水、防潮、防霉、防锈、防腐蚀等的坚固可靠包装，确保</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能适应高温、雨淋、潮湿环境下的长途运输、多次装卸与现场存放。</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10" w:name="_Toc107446851"/>
      <w:bookmarkStart w:id="111" w:name="_Toc107447244"/>
      <w:r>
        <w:rPr>
          <w:rFonts w:hint="eastAsia" w:ascii="宋体" w:hAnsi="宋体" w:cs="宋体"/>
          <w:bCs/>
          <w:color w:val="auto"/>
          <w:sz w:val="24"/>
          <w:szCs w:val="24"/>
          <w:highlight w:val="none"/>
        </w:rPr>
        <w:t>标志</w:t>
      </w:r>
    </w:p>
    <w:bookmarkEnd w:id="110"/>
    <w:bookmarkEnd w:id="111"/>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的外包装进行标志。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或其任何部件的损坏或遗失，乙方应自费对缺损的</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、部件进行修理、更换或补供。</w:t>
      </w:r>
      <w:bookmarkStart w:id="112" w:name="_Toc9269"/>
      <w:bookmarkStart w:id="113" w:name="_Toc518992992"/>
      <w:bookmarkStart w:id="114" w:name="_Toc183666521"/>
      <w:bookmarkStart w:id="115" w:name="_Toc474245218"/>
      <w:bookmarkStart w:id="116" w:name="_Toc306350457"/>
      <w:bookmarkStart w:id="117" w:name="_Toc520190032"/>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的备品备件应整套装运。</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名称、数量、箱数、总毛重、每箱尺寸、装运合同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总金额、运输方式、预计交付日期和合同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12"/>
    <w:bookmarkEnd w:id="113"/>
    <w:bookmarkEnd w:id="114"/>
    <w:bookmarkEnd w:id="115"/>
    <w:bookmarkEnd w:id="116"/>
    <w:bookmarkEnd w:id="117"/>
    <w:p>
      <w:pPr>
        <w:keepNext w:val="0"/>
        <w:keepLines w:val="0"/>
        <w:pageBreakBefore w:val="0"/>
        <w:kinsoku/>
        <w:wordWrap/>
        <w:overflowPunct/>
        <w:topLinePunct w:val="0"/>
        <w:bidi w:val="0"/>
        <w:adjustRightInd w:val="0"/>
        <w:snapToGrid w:val="0"/>
        <w:spacing w:before="120" w:beforeLines="50" w:after="120" w:afterLines="50" w:line="480" w:lineRule="exact"/>
        <w:ind w:firstLine="482" w:firstLineChars="200"/>
        <w:textAlignment w:val="auto"/>
        <w:rPr>
          <w:rFonts w:ascii="宋体" w:hAnsi="宋体" w:cs="宋体"/>
          <w:color w:val="auto"/>
          <w:sz w:val="24"/>
          <w:szCs w:val="24"/>
          <w:highlight w:val="none"/>
        </w:rPr>
      </w:pPr>
      <w:bookmarkStart w:id="118" w:name="_Toc18496"/>
      <w:bookmarkStart w:id="119" w:name="_Toc306350458"/>
      <w:bookmarkStart w:id="120" w:name="_Toc183666522"/>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调试运行等技术服务。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keepNext w:val="0"/>
        <w:keepLines w:val="0"/>
        <w:pageBreakBefore w:val="0"/>
        <w:kinsoku/>
        <w:wordWrap/>
        <w:overflowPunct/>
        <w:topLinePunct w:val="0"/>
        <w:autoSpaceDE w:val="0"/>
        <w:autoSpaceDN w:val="0"/>
        <w:bidi w:val="0"/>
        <w:adjustRightInd w:val="0"/>
        <w:spacing w:line="480" w:lineRule="exact"/>
        <w:ind w:firstLine="482" w:firstLineChars="200"/>
        <w:textAlignment w:val="auto"/>
        <w:rPr>
          <w:rFonts w:ascii="宋体" w:hAnsi="宋体" w:cs="宋体"/>
          <w:b/>
          <w:color w:val="auto"/>
          <w:sz w:val="24"/>
          <w:szCs w:val="24"/>
          <w:highlight w:val="none"/>
        </w:rPr>
      </w:pPr>
      <w:bookmarkStart w:id="121" w:name="_Toc474245220"/>
      <w:bookmarkStart w:id="122" w:name="_Toc520190034"/>
      <w:bookmarkStart w:id="123" w:name="_Toc518992994"/>
      <w:bookmarkStart w:id="124" w:name="_Toc4682"/>
      <w:bookmarkStart w:id="125" w:name="_Toc183666523"/>
      <w:bookmarkStart w:id="126" w:name="_Toc306350459"/>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21"/>
      <w:bookmarkEnd w:id="122"/>
      <w:bookmarkEnd w:id="123"/>
      <w:r>
        <w:rPr>
          <w:rFonts w:hint="eastAsia" w:ascii="宋体" w:hAnsi="宋体" w:cs="宋体"/>
          <w:b/>
          <w:color w:val="auto"/>
          <w:sz w:val="24"/>
          <w:szCs w:val="24"/>
          <w:highlight w:val="none"/>
        </w:rPr>
        <w:t>修</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货物</w:t>
      </w:r>
      <w:r>
        <w:rPr>
          <w:rFonts w:hint="eastAsia" w:ascii="宋体" w:hAnsi="宋体" w:cs="宋体"/>
          <w:color w:val="auto"/>
          <w:kern w:val="0"/>
          <w:sz w:val="24"/>
          <w:szCs w:val="24"/>
          <w:highlight w:val="none"/>
          <w:lang w:val="en-US" w:eastAsia="zh-CN"/>
        </w:rPr>
        <w:t>安装调试</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rPr>
        <w:t>。保修期内乙方应免费对</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进行日常维护保养及质量缺陷修复。</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期内，乙方应对货物质量问题负责。如货物质量问题导致处理水量、出水水质达不到合同要求的，乙方需无条件免费更换货物并支付合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lang w:eastAsia="zh-CN"/>
        </w:rPr>
        <w:t>货物</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乙方需无条件免费更换货物</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出现故障，乙方应在接到甲方通知后</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124"/>
      <w:bookmarkEnd w:id="125"/>
      <w:bookmarkEnd w:id="126"/>
      <w:bookmarkStart w:id="127" w:name="_Toc474245223"/>
      <w:bookmarkStart w:id="128" w:name="_Toc27734"/>
      <w:bookmarkStart w:id="129" w:name="_Toc107447250"/>
      <w:bookmarkStart w:id="130" w:name="_Toc518992997"/>
      <w:bookmarkStart w:id="131" w:name="_Toc520190037"/>
      <w:bookmarkStart w:id="132" w:name="_Toc183666528"/>
      <w:bookmarkStart w:id="133" w:name="_Toc107446857"/>
      <w:bookmarkStart w:id="134" w:name="_Toc306350464"/>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27"/>
      <w:bookmarkEnd w:id="128"/>
      <w:bookmarkEnd w:id="129"/>
      <w:bookmarkEnd w:id="130"/>
      <w:bookmarkEnd w:id="131"/>
      <w:bookmarkEnd w:id="132"/>
      <w:bookmarkEnd w:id="133"/>
      <w:bookmarkEnd w:id="134"/>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bookmarkStart w:id="135" w:name="_Toc5166"/>
      <w:bookmarkStart w:id="136" w:name="_Toc306350465"/>
      <w:bookmarkStart w:id="137" w:name="_Toc183666529"/>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highlight w:val="none"/>
          <w:u w:val="single"/>
        </w:rPr>
        <w:t>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经安装、调试、试车或运行显示，合同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更换有缺陷的</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或修补缺陷部分；</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所需的其他费用。</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keepNext w:val="0"/>
        <w:keepLines w:val="0"/>
        <w:pageBreakBefore w:val="0"/>
        <w:numPr>
          <w:ilvl w:val="255"/>
          <w:numId w:val="0"/>
        </w:numPr>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质量问题导致的一切损失。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安装、调试不成功和（或）造成合同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损坏的情况，乙方应在</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highlight w:val="none"/>
          <w:u w:val="single"/>
        </w:rPr>
        <w:t>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为贴牌、假冒、伪劣、翻新产品，或生产组成合同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的原材料、配件是贴牌、假冒、伪劣货物时，乙方应在甲方通知之日自行收回</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，甲方不负保管责任，</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设计使用寿命期内，如果乙方发现合同</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由于设计、制造、标识等原因存在足以危及人身、财产安全的缺陷，应及时通知甲方并采取修正或者补充标识、修理、更换等措施消除缺陷，因</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缺陷造成的一切损害，乙方应承担全部赔偿责任。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keepNext w:val="0"/>
        <w:keepLines w:val="0"/>
        <w:pageBreakBefore w:val="0"/>
        <w:kinsoku/>
        <w:wordWrap/>
        <w:overflowPunct/>
        <w:topLinePunct w:val="0"/>
        <w:bidi w:val="0"/>
        <w:spacing w:line="480" w:lineRule="exact"/>
        <w:ind w:firstLine="482"/>
        <w:textAlignment w:val="auto"/>
        <w:rPr>
          <w:rFonts w:hint="default"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highlight w:val="none"/>
        </w:rPr>
      </w:pPr>
      <w:bookmarkStart w:id="138" w:name="_Toc118086592"/>
      <w:bookmarkStart w:id="139" w:name="_Toc474245224"/>
      <w:bookmarkStart w:id="140" w:name="_Toc520190038"/>
      <w:bookmarkStart w:id="141" w:name="_Toc107446860"/>
      <w:bookmarkStart w:id="142" w:name="_Toc107447254"/>
      <w:bookmarkStart w:id="143" w:name="_Toc107446861"/>
      <w:bookmarkStart w:id="144" w:name="_Toc518992998"/>
      <w:bookmarkStart w:id="145" w:name="_Toc107447253"/>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或提供技术服务，并经甲方催告后仍未提供；</w:t>
      </w:r>
      <w:r>
        <w:rPr>
          <w:rFonts w:ascii="宋体" w:hAnsi="宋体" w:cs="宋体"/>
          <w:bCs/>
          <w:color w:val="auto"/>
          <w:sz w:val="24"/>
          <w:szCs w:val="24"/>
          <w:highlight w:val="none"/>
        </w:rPr>
        <w:t xml:space="preserve"> </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存在严重的质量问题，导致本合同目的不能实现；</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keepNext w:val="0"/>
        <w:keepLines w:val="0"/>
        <w:pageBreakBefore w:val="0"/>
        <w:widowControl w:val="0"/>
        <w:numPr>
          <w:ilvl w:val="255"/>
          <w:numId w:val="0"/>
        </w:numPr>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keepNext w:val="0"/>
        <w:keepLines w:val="0"/>
        <w:pageBreakBefore w:val="0"/>
        <w:kinsoku/>
        <w:wordWrap/>
        <w:overflowPunct/>
        <w:topLinePunct w:val="0"/>
        <w:bidi w:val="0"/>
        <w:spacing w:line="480" w:lineRule="exact"/>
        <w:ind w:firstLine="595" w:firstLineChars="248"/>
        <w:textAlignment w:val="auto"/>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keepNext w:val="0"/>
        <w:keepLines w:val="0"/>
        <w:pageBreakBefore w:val="0"/>
        <w:kinsoku/>
        <w:wordWrap/>
        <w:overflowPunct/>
        <w:topLinePunct w:val="0"/>
        <w:bidi w:val="0"/>
        <w:spacing w:line="480" w:lineRule="exact"/>
        <w:ind w:firstLine="720" w:firstLineChars="300"/>
        <w:textAlignment w:val="auto"/>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keepNext w:val="0"/>
        <w:keepLines w:val="0"/>
        <w:pageBreakBefore w:val="0"/>
        <w:kinsoku/>
        <w:wordWrap/>
        <w:overflowPunct/>
        <w:topLinePunct w:val="0"/>
        <w:bidi w:val="0"/>
        <w:spacing w:line="48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w:t>
      </w:r>
    </w:p>
    <w:p>
      <w:pPr>
        <w:keepNext w:val="0"/>
        <w:keepLines w:val="0"/>
        <w:pageBreakBefore w:val="0"/>
        <w:numPr>
          <w:ilvl w:val="0"/>
          <w:numId w:val="0"/>
        </w:numPr>
        <w:kinsoku/>
        <w:wordWrap/>
        <w:overflowPunct/>
        <w:topLinePunct w:val="0"/>
        <w:bidi w:val="0"/>
        <w:spacing w:line="480" w:lineRule="exact"/>
        <w:ind w:left="1200"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keepNext w:val="0"/>
        <w:keepLines w:val="0"/>
        <w:pageBreakBefore w:val="0"/>
        <w:numPr>
          <w:ilvl w:val="0"/>
          <w:numId w:val="0"/>
        </w:numPr>
        <w:kinsoku/>
        <w:wordWrap/>
        <w:overflowPunct/>
        <w:topLinePunct w:val="0"/>
        <w:bidi w:val="0"/>
        <w:spacing w:line="480" w:lineRule="exact"/>
        <w:ind w:firstLine="1200" w:firstLineChars="5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kinsoku/>
        <w:wordWrap/>
        <w:overflowPunct/>
        <w:topLinePunct w:val="0"/>
        <w:bidi w:val="0"/>
        <w:spacing w:line="480" w:lineRule="exact"/>
        <w:ind w:firstLine="1200" w:firstLineChars="5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报价清单</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.授权委托证明</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.履约保函（模板）</w:t>
      </w:r>
    </w:p>
    <w:tbl>
      <w:tblPr>
        <w:tblStyle w:val="21"/>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附件1  中</w:t>
      </w:r>
      <w:r>
        <w:rPr>
          <w:rFonts w:hint="eastAsia" w:ascii="宋体" w:hAnsi="宋体" w:cs="宋体"/>
          <w:b/>
          <w:bCs/>
          <w:color w:val="auto"/>
          <w:szCs w:val="21"/>
          <w:highlight w:val="none"/>
          <w:lang w:val="en-US" w:eastAsia="zh-CN"/>
        </w:rPr>
        <w:t>选</w:t>
      </w:r>
      <w:r>
        <w:rPr>
          <w:rFonts w:hint="eastAsia" w:ascii="宋体" w:hAnsi="宋体" w:cs="宋体"/>
          <w:b/>
          <w:bCs/>
          <w:color w:val="auto"/>
          <w:szCs w:val="21"/>
          <w:highlight w:val="none"/>
        </w:rPr>
        <w:t>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color w:val="auto"/>
          <w:szCs w:val="21"/>
          <w:highlight w:val="none"/>
          <w:lang w:val="en-US" w:eastAsia="zh-CN"/>
        </w:rPr>
        <w:t xml:space="preserve">附件2  </w:t>
      </w:r>
      <w:r>
        <w:rPr>
          <w:rFonts w:hint="eastAsia" w:ascii="宋体" w:hAnsi="宋体" w:eastAsia="宋体" w:cs="宋体"/>
          <w:b/>
          <w:bCs/>
          <w:color w:val="auto"/>
          <w:szCs w:val="21"/>
          <w:highlight w:val="none"/>
        </w:rPr>
        <w:t>廉洁协议</w:t>
      </w:r>
      <w:r>
        <w:rPr>
          <w:rFonts w:hint="eastAsia" w:ascii="宋体" w:hAnsi="宋体" w:eastAsia="宋体" w:cs="宋体"/>
          <w:b/>
          <w:bCs/>
          <w:color w:val="auto"/>
          <w:szCs w:val="21"/>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snapToGrid/>
        <w:spacing w:line="520" w:lineRule="exact"/>
        <w:jc w:val="center"/>
        <w:rPr>
          <w:rFonts w:hint="eastAsia"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廉洁协议</w:t>
      </w:r>
    </w:p>
    <w:p>
      <w:pPr>
        <w:pStyle w:val="2"/>
        <w:rPr>
          <w:rFonts w:hint="eastAsia"/>
          <w:color w:val="auto"/>
          <w:highlight w:val="none"/>
        </w:rPr>
      </w:pPr>
    </w:p>
    <w:p>
      <w:pPr>
        <w:keepNext w:val="0"/>
        <w:keepLines w:val="0"/>
        <w:pageBreakBefore w:val="0"/>
        <w:kinsoku/>
        <w:wordWrap/>
        <w:overflowPunct/>
        <w:topLinePunct w:val="0"/>
        <w:autoSpaceDE/>
        <w:autoSpaceDN/>
        <w:bidi w:val="0"/>
        <w:snapToGrid/>
        <w:spacing w:line="50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广州市净水有限公司2022年</w:t>
      </w:r>
      <w:r>
        <w:rPr>
          <w:rFonts w:hint="eastAsia" w:ascii="仿宋_GB2312" w:hAnsi="仿宋_GB2312" w:eastAsia="仿宋_GB2312" w:cs="仿宋_GB2312"/>
          <w:b w:val="0"/>
          <w:bCs/>
          <w:color w:val="auto"/>
          <w:sz w:val="28"/>
          <w:szCs w:val="28"/>
          <w:highlight w:val="none"/>
          <w:u w:val="single"/>
          <w:lang w:eastAsia="zh-CN"/>
        </w:rPr>
        <w:t>EMG闸阀类</w:t>
      </w:r>
      <w:r>
        <w:rPr>
          <w:rFonts w:hint="eastAsia" w:ascii="仿宋_GB2312" w:hAnsi="仿宋_GB2312" w:eastAsia="仿宋_GB2312" w:cs="仿宋_GB2312"/>
          <w:b w:val="0"/>
          <w:bCs/>
          <w:color w:val="auto"/>
          <w:sz w:val="28"/>
          <w:szCs w:val="28"/>
          <w:highlight w:val="none"/>
          <w:u w:val="single"/>
        </w:rPr>
        <w:t>备品备件采购</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甲方的义务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乙方的义务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违约责任</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广州市净水有限公司2022年</w:t>
      </w:r>
      <w:r>
        <w:rPr>
          <w:rFonts w:hint="eastAsia" w:ascii="仿宋_GB2312" w:hAnsi="仿宋_GB2312" w:eastAsia="仿宋_GB2312" w:cs="仿宋_GB2312"/>
          <w:b w:val="0"/>
          <w:bCs/>
          <w:color w:val="auto"/>
          <w:sz w:val="28"/>
          <w:szCs w:val="28"/>
          <w:highlight w:val="none"/>
          <w:u w:val="single"/>
          <w:lang w:eastAsia="zh-CN"/>
        </w:rPr>
        <w:t>EMG闸阀类</w:t>
      </w:r>
      <w:r>
        <w:rPr>
          <w:rFonts w:hint="eastAsia" w:ascii="仿宋_GB2312" w:hAnsi="仿宋_GB2312" w:eastAsia="仿宋_GB2312" w:cs="仿宋_GB2312"/>
          <w:b w:val="0"/>
          <w:bCs/>
          <w:color w:val="auto"/>
          <w:sz w:val="28"/>
          <w:szCs w:val="28"/>
          <w:highlight w:val="none"/>
          <w:u w:val="single"/>
        </w:rPr>
        <w:t>备品备件采购</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0"/>
        <w:keepNext w:val="0"/>
        <w:keepLines w:val="0"/>
        <w:pageBreakBefore w:val="0"/>
        <w:tabs>
          <w:tab w:val="left" w:pos="5100"/>
        </w:tabs>
        <w:kinsoku/>
        <w:wordWrap/>
        <w:overflowPunct/>
        <w:topLinePunct w:val="0"/>
        <w:autoSpaceDE/>
        <w:autoSpaceDN/>
        <w:bidi w:val="0"/>
        <w:snapToGrid/>
        <w:spacing w:line="50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0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Cs w:val="21"/>
          <w:highlight w:val="none"/>
          <w:lang w:val="en-US" w:eastAsia="zh-CN"/>
        </w:rPr>
      </w:pPr>
    </w:p>
    <w:p>
      <w:pPr>
        <w:adjustRightInd w:val="0"/>
        <w:snapToGrid w:val="0"/>
        <w:jc w:val="both"/>
        <w:rPr>
          <w:rFonts w:hint="eastAsia" w:ascii="宋体" w:hAnsi="宋体" w:eastAsia="宋体" w:cs="宋体"/>
          <w:b/>
          <w:bCs/>
          <w:color w:val="auto"/>
          <w:szCs w:val="21"/>
          <w:highlight w:val="none"/>
          <w:lang w:val="en-US" w:eastAsia="zh-CN"/>
        </w:rPr>
      </w:pPr>
    </w:p>
    <w:p>
      <w:pPr>
        <w:adjustRightInd w:val="0"/>
        <w:snapToGrid w:val="0"/>
        <w:jc w:val="both"/>
        <w:rPr>
          <w:rFonts w:hint="eastAsia" w:ascii="宋体" w:hAnsi="宋体" w:eastAsia="宋体" w:cs="宋体"/>
          <w:b/>
          <w:bCs/>
          <w:color w:val="auto"/>
          <w:szCs w:val="21"/>
          <w:highlight w:val="none"/>
          <w:lang w:val="en-US" w:eastAsia="zh-CN"/>
        </w:rPr>
      </w:pPr>
    </w:p>
    <w:p>
      <w:pPr>
        <w:adjustRightInd w:val="0"/>
        <w:snapToGrid w:val="0"/>
        <w:jc w:val="both"/>
        <w:rPr>
          <w:rFonts w:hint="eastAsia" w:ascii="宋体" w:hAnsi="宋体" w:eastAsia="宋体" w:cs="宋体"/>
          <w:b/>
          <w:bCs/>
          <w:color w:val="auto"/>
          <w:szCs w:val="21"/>
          <w:highlight w:val="none"/>
          <w:lang w:val="en-US" w:eastAsia="zh-CN"/>
        </w:rPr>
      </w:pPr>
    </w:p>
    <w:p>
      <w:pPr>
        <w:adjustRightInd w:val="0"/>
        <w:snapToGrid w:val="0"/>
        <w:jc w:val="both"/>
        <w:rPr>
          <w:rFonts w:hint="eastAsia" w:ascii="宋体" w:hAnsi="宋体" w:eastAsia="宋体" w:cs="宋体"/>
          <w:b/>
          <w:bCs/>
          <w:color w:val="auto"/>
          <w:szCs w:val="21"/>
          <w:highlight w:val="none"/>
          <w:lang w:val="en-US" w:eastAsia="zh-CN"/>
        </w:rPr>
      </w:pPr>
    </w:p>
    <w:p>
      <w:pPr>
        <w:adjustRightInd w:val="0"/>
        <w:snapToGrid w:val="0"/>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附件3.不诚信行为的情形及相应被暂停参与投标活动的处理标准</w:t>
      </w:r>
    </w:p>
    <w:p>
      <w:pPr>
        <w:pStyle w:val="2"/>
        <w:rPr>
          <w:rFonts w:hint="eastAsia"/>
          <w:color w:val="auto"/>
          <w:highlight w:val="none"/>
        </w:rPr>
      </w:pP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ascii="宋体" w:hAnsi="宋体"/>
          <w:b/>
          <w:color w:val="auto"/>
          <w:sz w:val="24"/>
          <w:highlight w:val="none"/>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ascii="宋体" w:hAnsi="宋体" w:cs="宋体"/>
          <w:b/>
          <w:color w:val="auto"/>
          <w:szCs w:val="21"/>
          <w:highlight w:val="none"/>
        </w:rPr>
      </w:pPr>
      <w:r>
        <w:rPr>
          <w:rFonts w:hint="eastAsia" w:ascii="宋体" w:hAnsi="宋体" w:eastAsia="宋体" w:cs="宋体"/>
          <w:b/>
          <w:bCs/>
          <w:color w:val="auto"/>
          <w:szCs w:val="21"/>
          <w:highlight w:val="none"/>
          <w:lang w:val="en-US" w:eastAsia="zh-CN"/>
        </w:rPr>
        <w:t>附件4：安全管理协议书</w:t>
      </w:r>
    </w:p>
    <w:p>
      <w:pPr>
        <w:spacing w:line="560" w:lineRule="exact"/>
        <w:jc w:val="center"/>
        <w:rPr>
          <w:rFonts w:hint="eastAsia" w:ascii="黑体" w:hAnsi="宋体" w:eastAsia="黑体" w:cs="宋体"/>
          <w:bCs/>
          <w:color w:val="auto"/>
          <w:kern w:val="0"/>
          <w:sz w:val="44"/>
          <w:szCs w:val="44"/>
          <w:highlight w:val="none"/>
        </w:rPr>
      </w:pP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广州市净水有限公司2022年</w:t>
      </w:r>
      <w:r>
        <w:rPr>
          <w:rFonts w:hint="eastAsia" w:asciiTheme="minorEastAsia" w:hAnsiTheme="minorEastAsia"/>
          <w:color w:val="auto"/>
          <w:sz w:val="24"/>
          <w:highlight w:val="none"/>
          <w:u w:val="single"/>
          <w:lang w:eastAsia="zh-CN"/>
        </w:rPr>
        <w:t>EMG闸阀类</w:t>
      </w:r>
      <w:r>
        <w:rPr>
          <w:rFonts w:hint="eastAsia" w:asciiTheme="minorEastAsia" w:hAnsiTheme="minorEastAsia" w:eastAsiaTheme="minorEastAsia"/>
          <w:color w:val="auto"/>
          <w:sz w:val="24"/>
          <w:highlight w:val="none"/>
          <w:u w:val="single"/>
        </w:rPr>
        <w:t>备品备件采购</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3"/>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5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附件5 报价清单</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158"/>
        <w:gridCol w:w="3186"/>
        <w:gridCol w:w="617"/>
        <w:gridCol w:w="617"/>
        <w:gridCol w:w="856"/>
        <w:gridCol w:w="876"/>
        <w:gridCol w:w="877"/>
        <w:gridCol w:w="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EMG闸阀类备品备件报价表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单价（元）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合价（元）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EMG电动执行器主板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DIM01A-005DCG（调节型）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EMG电动执行器主板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DIM01B-003DCG （开关型）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EMG电动执行器DIM02A显示板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DIM02-DCG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EMG电动执行器交流接触器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U001-DCG（DIM250以下型号）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EMG电动执行器交流接触器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U002-DCG（DIM250及以上型号）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EMG电动执行器固态继电器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U003-DCG（频繁调节型）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EM6-59-DCG(STL80-JZX0-S02)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EM6-120-DCG(STL80-JZX0-S02)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EM6-250-DCG(STL80-JZX0-S02)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EM6-500-DCG(STL80-JZX0-S02)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EMG电动执行器内外部接线盘</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DIM18-DCG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1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bl>
    <w:p>
      <w:pPr>
        <w:pStyle w:val="2"/>
        <w:rPr>
          <w:rFonts w:hint="eastAsia"/>
          <w:color w:val="auto"/>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附件6 授权委托证明</w:t>
      </w:r>
    </w:p>
    <w:p>
      <w:pPr>
        <w:pStyle w:val="2"/>
        <w:rPr>
          <w:rFonts w:hint="eastAsia"/>
          <w:color w:val="auto"/>
          <w:highlight w:val="none"/>
          <w:lang w:val="en-US" w:eastAsia="zh-CN"/>
        </w:rPr>
      </w:pPr>
    </w:p>
    <w:p>
      <w:pPr>
        <w:spacing w:line="560" w:lineRule="exac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szCs w:val="21"/>
          <w:highlight w:val="none"/>
          <w:lang w:val="en-US" w:eastAsia="zh-CN"/>
        </w:rPr>
        <w:t xml:space="preserve">附件7 履约保函模板     </w:t>
      </w:r>
      <w:r>
        <w:rPr>
          <w:rFonts w:hint="eastAsia" w:ascii="宋体" w:hAnsi="宋体" w:eastAsia="宋体" w:cs="宋体"/>
          <w:color w:val="auto"/>
          <w:kern w:val="0"/>
          <w:sz w:val="24"/>
          <w:highlight w:val="none"/>
          <w:lang w:val="en-US" w:eastAsia="zh-CN"/>
        </w:rPr>
        <w:t xml:space="preserve">                    </w:t>
      </w:r>
    </w:p>
    <w:p>
      <w:pPr>
        <w:spacing w:line="560" w:lineRule="exact"/>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履约保函模板</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               （受益人）</w:t>
      </w:r>
      <w:r>
        <w:rPr>
          <w:rFonts w:hint="eastAsia" w:ascii="宋体" w:hAnsi="宋体" w:eastAsia="宋体" w:cs="宋体"/>
          <w:color w:val="auto"/>
          <w:kern w:val="0"/>
          <w:sz w:val="24"/>
          <w:highlight w:val="none"/>
        </w:rPr>
        <w:br w:type="textWrapping"/>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二、贵单位的索赔申请应符合下述条件：</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（一）贵单位法定代表人或其授权代表签字并加盖单位公章；</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（二）在保函有效期内送达我行；</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（三）明确的索赔金额（不得超过本保函第一条所列之限额）。</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三、本保函自签发之日起生效，有效期至  年  月  日。本保函于下述任一事项发生之时立即失效，我行在本保函项下的保证义务即刻解除：</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（一）本保函有效期限届满；</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（二）我行保证的义务履行完毕。</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五、我行向你方支付索赔金额后，本保函担保金额即按贵方通知的索赔金额予以递减。</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六、保函失效后请将保函退回我行注销，无论正本最终退回与否，不影响本保函依上述约定自动失效。</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落款</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保函说明：</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保函不得有下列或类似含义的表述：</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1.银行承担的为连带责任保证、一般保证。</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2.未经银行书面同意，受益人与申请人修改合同或其项下附件时，银行的保证义务解除。</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3.合同撤销或无效的，保函失效。</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4.申请人对受益人的抗辩，银行有权向受益人主张。</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5.受益人请求付款的请款单据包含法院裁判文书、仲裁裁决、第三方单位出具的鉴定书等申请人违约的证明材料。</w:t>
      </w:r>
    </w:p>
    <w:p>
      <w:pPr>
        <w:spacing w:line="560" w:lineRule="exact"/>
        <w:ind w:firstLine="480" w:firstLineChars="200"/>
        <w:rPr>
          <w:rFonts w:hint="eastAsia" w:ascii="宋体" w:hAnsi="宋体" w:eastAsia="宋体" w:cs="宋体"/>
          <w:color w:val="auto"/>
          <w:kern w:val="0"/>
          <w:sz w:val="24"/>
          <w:highlight w:val="none"/>
        </w:rPr>
      </w:pPr>
    </w:p>
    <w:p>
      <w:pPr>
        <w:pStyle w:val="47"/>
        <w:rPr>
          <w:rFonts w:ascii="宋体" w:hAnsi="宋体" w:cs="宋体"/>
          <w:b/>
          <w:bCs/>
          <w:color w:val="auto"/>
          <w:szCs w:val="21"/>
          <w:highlight w:val="none"/>
        </w:rPr>
      </w:pPr>
    </w:p>
    <w:p>
      <w:pPr>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146" w:name="_Toc5129"/>
      <w:bookmarkStart w:id="147" w:name="_Toc1563"/>
      <w:bookmarkStart w:id="148" w:name="_Toc28358"/>
      <w:bookmarkStart w:id="149" w:name="_Toc8147"/>
      <w:bookmarkStart w:id="150" w:name="_Toc6230"/>
      <w:bookmarkStart w:id="151" w:name="_Toc21847"/>
      <w:bookmarkStart w:id="152" w:name="_Toc30824"/>
      <w:bookmarkStart w:id="153" w:name="_Toc23515"/>
      <w:bookmarkStart w:id="154" w:name="_Toc3723"/>
      <w:bookmarkStart w:id="155" w:name="_Toc12169"/>
      <w:bookmarkStart w:id="156" w:name="_Toc16552"/>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3"/>
        <w:rPr>
          <w:color w:val="auto"/>
          <w:highlight w:val="none"/>
        </w:rPr>
      </w:pPr>
    </w:p>
    <w:p>
      <w:pPr>
        <w:pStyle w:val="4"/>
        <w:rPr>
          <w:color w:val="auto"/>
          <w:highlight w:val="none"/>
        </w:rPr>
      </w:pPr>
      <w:bookmarkStart w:id="157" w:name="_Toc88209951"/>
      <w:bookmarkStart w:id="158" w:name="_Toc21675"/>
      <w:bookmarkStart w:id="159" w:name="_Toc22764"/>
      <w:bookmarkStart w:id="160" w:name="_Toc24490"/>
      <w:bookmarkStart w:id="161" w:name="_Toc10840"/>
      <w:bookmarkStart w:id="162" w:name="_Toc5342"/>
      <w:bookmarkStart w:id="163" w:name="_Toc24815"/>
      <w:bookmarkStart w:id="164" w:name="_Toc17119"/>
      <w:bookmarkStart w:id="165" w:name="_Toc31564"/>
      <w:bookmarkStart w:id="166" w:name="_Toc87616388"/>
      <w:bookmarkStart w:id="167" w:name="_Toc12769"/>
      <w:bookmarkStart w:id="168" w:name="_Toc30157"/>
      <w:bookmarkStart w:id="169" w:name="_Toc12610"/>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bookmarkStart w:id="196" w:name="_GoBack"/>
      <w:bookmarkEnd w:id="196"/>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8209952"/>
      <w:bookmarkStart w:id="171" w:name="_Toc87616389"/>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7616393"/>
      <w:bookmarkStart w:id="17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pStyle w:val="6"/>
        <w:rPr>
          <w:rFonts w:asciiTheme="minorEastAsia" w:hAnsiTheme="minorEastAsia" w:eastAsiaTheme="minorEastAsia"/>
          <w:color w:val="auto"/>
          <w:sz w:val="28"/>
          <w:szCs w:val="28"/>
          <w:highlight w:val="none"/>
        </w:rPr>
      </w:pPr>
      <w:bookmarkStart w:id="176" w:name="_Toc87616394"/>
      <w:bookmarkStart w:id="177" w:name="_Toc6313"/>
      <w:bookmarkStart w:id="178" w:name="_Toc88209957"/>
      <w:bookmarkStart w:id="179" w:name="_Toc12665"/>
      <w:bookmarkStart w:id="180" w:name="_Toc28619645"/>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eastAsia="仿宋_GB2312"/>
          <w:color w:val="auto"/>
          <w:sz w:val="28"/>
          <w:szCs w:val="28"/>
          <w:highlight w:val="none"/>
          <w:u w:val="single"/>
        </w:rPr>
        <w:t>承诺中选后所提供的备件均为</w:t>
      </w:r>
      <w:r>
        <w:rPr>
          <w:rFonts w:hint="eastAsia" w:ascii="仿宋_GB2312" w:eastAsia="仿宋_GB2312"/>
          <w:color w:val="auto"/>
          <w:sz w:val="28"/>
          <w:szCs w:val="28"/>
          <w:highlight w:val="none"/>
          <w:u w:val="single"/>
          <w:lang w:val="en-US" w:eastAsia="zh-CN"/>
        </w:rPr>
        <w:t>原</w:t>
      </w:r>
      <w:r>
        <w:rPr>
          <w:rFonts w:hint="eastAsia" w:ascii="仿宋_GB2312" w:eastAsia="仿宋_GB2312"/>
          <w:color w:val="auto"/>
          <w:sz w:val="28"/>
          <w:szCs w:val="28"/>
          <w:highlight w:val="none"/>
          <w:u w:val="single"/>
        </w:rPr>
        <w:t>厂商</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制造商全新产品，所提供的产品必须与现有设备的所有参数相匹配且完全兼容</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87616395"/>
      <w:bookmarkStart w:id="182" w:name="_Toc22527"/>
      <w:bookmarkStart w:id="183" w:name="_Toc29833"/>
      <w:bookmarkStart w:id="184"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87616400"/>
      <w:bookmarkStart w:id="186" w:name="_Toc19830"/>
      <w:bookmarkStart w:id="187" w:name="_Toc8086"/>
      <w:bookmarkStart w:id="18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GB"/>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90" w:name="_Toc32430"/>
      <w:bookmarkStart w:id="191"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0"/>
      <w:bookmarkEnd w:id="191"/>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158"/>
        <w:gridCol w:w="3186"/>
        <w:gridCol w:w="617"/>
        <w:gridCol w:w="617"/>
        <w:gridCol w:w="856"/>
        <w:gridCol w:w="876"/>
        <w:gridCol w:w="877"/>
        <w:gridCol w:w="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EMG闸阀类备品备件报价表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单价（元）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合价（元）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EMG电动执行器主板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DIM01A-005DCG（调节型）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EMG电动执行器主板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DIM01B-003DCG （开关型）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EMG电动执行器DIM02A显示板</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DIM02-DCG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EMG电动执行器交流接触器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U001-DCG（DIM250以下型号）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EMG电动执行器交流接触器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U002-DCG（DIM250及以上型号）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EMG电动执行器固态继电器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U003-DCG（频繁调节型）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EM6-59-DCG(STL80-JZX0-S02)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EM6-120-DCG(STL80-JZX0-S02)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EM6-250-DCG(STL80-JZX0-S02)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EMG电动执行器组合传感器</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EM6-500-DCG(STL80-JZX0-S02)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EMG电动执行器内外部接线盘</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DIM18-DCG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EMG</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92" w:name="_Toc16386"/>
      <w:bookmarkStart w:id="193" w:name="_Toc87616402"/>
      <w:bookmarkStart w:id="194" w:name="_Toc88209965"/>
      <w:bookmarkStart w:id="19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rFonts w:hint="eastAsia" w:eastAsiaTheme="minorEastAsia"/>
          <w:color w:val="auto"/>
          <w:highlight w:val="none"/>
          <w:lang w:val="en-US"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3E3461"/>
    <w:rsid w:val="01BB0F13"/>
    <w:rsid w:val="02090C75"/>
    <w:rsid w:val="021447C7"/>
    <w:rsid w:val="02A23A3C"/>
    <w:rsid w:val="035D130A"/>
    <w:rsid w:val="039110A9"/>
    <w:rsid w:val="03AC246A"/>
    <w:rsid w:val="03AE6061"/>
    <w:rsid w:val="03B23056"/>
    <w:rsid w:val="03DA023E"/>
    <w:rsid w:val="03DC3EBA"/>
    <w:rsid w:val="03F9794D"/>
    <w:rsid w:val="046A2461"/>
    <w:rsid w:val="051C2970"/>
    <w:rsid w:val="060C3611"/>
    <w:rsid w:val="06C64829"/>
    <w:rsid w:val="070E7B6E"/>
    <w:rsid w:val="071D62B7"/>
    <w:rsid w:val="07325EDD"/>
    <w:rsid w:val="077D16D2"/>
    <w:rsid w:val="082A69F3"/>
    <w:rsid w:val="083B3404"/>
    <w:rsid w:val="08675FC8"/>
    <w:rsid w:val="09294D9B"/>
    <w:rsid w:val="0995569B"/>
    <w:rsid w:val="09B713FD"/>
    <w:rsid w:val="09EF6ACC"/>
    <w:rsid w:val="0A315056"/>
    <w:rsid w:val="0AA213B4"/>
    <w:rsid w:val="0AF61C7E"/>
    <w:rsid w:val="0AFB45AD"/>
    <w:rsid w:val="0B351E9B"/>
    <w:rsid w:val="0B4C50D3"/>
    <w:rsid w:val="0B806B92"/>
    <w:rsid w:val="0B827E94"/>
    <w:rsid w:val="0B842F76"/>
    <w:rsid w:val="0BD070E1"/>
    <w:rsid w:val="0C2361E7"/>
    <w:rsid w:val="0C247926"/>
    <w:rsid w:val="0D794204"/>
    <w:rsid w:val="0E2125D1"/>
    <w:rsid w:val="0E214211"/>
    <w:rsid w:val="0E5F2769"/>
    <w:rsid w:val="0F4D75A3"/>
    <w:rsid w:val="0F5B2DCA"/>
    <w:rsid w:val="0FED051E"/>
    <w:rsid w:val="0FEE4C29"/>
    <w:rsid w:val="10031510"/>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892E3F"/>
    <w:rsid w:val="15BC6B3C"/>
    <w:rsid w:val="16360A7B"/>
    <w:rsid w:val="164D40B0"/>
    <w:rsid w:val="1694429A"/>
    <w:rsid w:val="17635326"/>
    <w:rsid w:val="17B803EA"/>
    <w:rsid w:val="1815096B"/>
    <w:rsid w:val="18236EFD"/>
    <w:rsid w:val="189D5B1F"/>
    <w:rsid w:val="18A34CD0"/>
    <w:rsid w:val="19A53EA8"/>
    <w:rsid w:val="19B64DBC"/>
    <w:rsid w:val="19EC6A4A"/>
    <w:rsid w:val="1A373ACF"/>
    <w:rsid w:val="1A7B10BA"/>
    <w:rsid w:val="1A895341"/>
    <w:rsid w:val="1B0D071F"/>
    <w:rsid w:val="1B4568CE"/>
    <w:rsid w:val="1B9015B7"/>
    <w:rsid w:val="1B950DA6"/>
    <w:rsid w:val="1BF54245"/>
    <w:rsid w:val="1CD367CA"/>
    <w:rsid w:val="1D086A45"/>
    <w:rsid w:val="1D0E6976"/>
    <w:rsid w:val="1D5A79EE"/>
    <w:rsid w:val="1E0E2CD0"/>
    <w:rsid w:val="1E831280"/>
    <w:rsid w:val="1EBC4704"/>
    <w:rsid w:val="1F172EB5"/>
    <w:rsid w:val="1F533A8C"/>
    <w:rsid w:val="1F94592D"/>
    <w:rsid w:val="1FB860DE"/>
    <w:rsid w:val="203C5A02"/>
    <w:rsid w:val="209D4C94"/>
    <w:rsid w:val="20B44FCD"/>
    <w:rsid w:val="20E84705"/>
    <w:rsid w:val="218400BA"/>
    <w:rsid w:val="21AB1E2F"/>
    <w:rsid w:val="21D40498"/>
    <w:rsid w:val="22767047"/>
    <w:rsid w:val="23A05588"/>
    <w:rsid w:val="23AB271F"/>
    <w:rsid w:val="240476A1"/>
    <w:rsid w:val="24727F65"/>
    <w:rsid w:val="24E72AE4"/>
    <w:rsid w:val="25431AEB"/>
    <w:rsid w:val="25BE3BFB"/>
    <w:rsid w:val="25BF43FD"/>
    <w:rsid w:val="25F00CA3"/>
    <w:rsid w:val="25F86BCD"/>
    <w:rsid w:val="2605748B"/>
    <w:rsid w:val="26396D26"/>
    <w:rsid w:val="264544A6"/>
    <w:rsid w:val="267702FB"/>
    <w:rsid w:val="269E416A"/>
    <w:rsid w:val="26C11C6B"/>
    <w:rsid w:val="272100D3"/>
    <w:rsid w:val="272C72FC"/>
    <w:rsid w:val="275131CB"/>
    <w:rsid w:val="278F6521"/>
    <w:rsid w:val="27EB149D"/>
    <w:rsid w:val="27FD3E52"/>
    <w:rsid w:val="283B3FAE"/>
    <w:rsid w:val="28E11370"/>
    <w:rsid w:val="294A756A"/>
    <w:rsid w:val="29781BF8"/>
    <w:rsid w:val="29C33ED0"/>
    <w:rsid w:val="29D5322D"/>
    <w:rsid w:val="2A025DD9"/>
    <w:rsid w:val="2A2619CB"/>
    <w:rsid w:val="2A7C2231"/>
    <w:rsid w:val="2A920E4F"/>
    <w:rsid w:val="2ABB753D"/>
    <w:rsid w:val="2AFE6EC4"/>
    <w:rsid w:val="2B7A49FA"/>
    <w:rsid w:val="2C615D26"/>
    <w:rsid w:val="2CB679ED"/>
    <w:rsid w:val="2D173C07"/>
    <w:rsid w:val="2D424A86"/>
    <w:rsid w:val="2DDA66B7"/>
    <w:rsid w:val="2E6F2D11"/>
    <w:rsid w:val="2E7B52DB"/>
    <w:rsid w:val="2ED60115"/>
    <w:rsid w:val="2F1279A2"/>
    <w:rsid w:val="2F324CFE"/>
    <w:rsid w:val="2FBA09F1"/>
    <w:rsid w:val="2FEF2ACF"/>
    <w:rsid w:val="2FF93D20"/>
    <w:rsid w:val="30540211"/>
    <w:rsid w:val="30E45100"/>
    <w:rsid w:val="31112A0D"/>
    <w:rsid w:val="311F4B20"/>
    <w:rsid w:val="312D7741"/>
    <w:rsid w:val="316F137F"/>
    <w:rsid w:val="31DF525F"/>
    <w:rsid w:val="31EC162B"/>
    <w:rsid w:val="32324C2E"/>
    <w:rsid w:val="327171DF"/>
    <w:rsid w:val="3391569E"/>
    <w:rsid w:val="341E3434"/>
    <w:rsid w:val="347245B2"/>
    <w:rsid w:val="34BB4442"/>
    <w:rsid w:val="3584136B"/>
    <w:rsid w:val="35FF5AA4"/>
    <w:rsid w:val="360B7EBA"/>
    <w:rsid w:val="36416867"/>
    <w:rsid w:val="367D5DD4"/>
    <w:rsid w:val="369C32FD"/>
    <w:rsid w:val="37666E72"/>
    <w:rsid w:val="378D0E20"/>
    <w:rsid w:val="38081EA3"/>
    <w:rsid w:val="38167A04"/>
    <w:rsid w:val="381C3783"/>
    <w:rsid w:val="394B167A"/>
    <w:rsid w:val="39DA2868"/>
    <w:rsid w:val="3A050A4A"/>
    <w:rsid w:val="3A055F4B"/>
    <w:rsid w:val="3A4E4336"/>
    <w:rsid w:val="3A6007FE"/>
    <w:rsid w:val="3A802587"/>
    <w:rsid w:val="3A852164"/>
    <w:rsid w:val="3AF93D6C"/>
    <w:rsid w:val="3AFD06C8"/>
    <w:rsid w:val="3B7C2CE4"/>
    <w:rsid w:val="3BAF716B"/>
    <w:rsid w:val="3C0B5355"/>
    <w:rsid w:val="3C5B7FD1"/>
    <w:rsid w:val="3CD4176B"/>
    <w:rsid w:val="3D1F44D9"/>
    <w:rsid w:val="3D5C38CD"/>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6C3A12"/>
    <w:rsid w:val="48CA4868"/>
    <w:rsid w:val="48F005D3"/>
    <w:rsid w:val="49547ADD"/>
    <w:rsid w:val="49732351"/>
    <w:rsid w:val="498F4AF1"/>
    <w:rsid w:val="49C05787"/>
    <w:rsid w:val="49CF518D"/>
    <w:rsid w:val="4A7F3979"/>
    <w:rsid w:val="4ADA1F63"/>
    <w:rsid w:val="4AE23D89"/>
    <w:rsid w:val="4B2038D0"/>
    <w:rsid w:val="4B296E7D"/>
    <w:rsid w:val="4B79394E"/>
    <w:rsid w:val="4B877F28"/>
    <w:rsid w:val="4D916BA6"/>
    <w:rsid w:val="4DC44169"/>
    <w:rsid w:val="4DE24E21"/>
    <w:rsid w:val="4E1B19A3"/>
    <w:rsid w:val="4E3B6172"/>
    <w:rsid w:val="4E48787F"/>
    <w:rsid w:val="4EF0709E"/>
    <w:rsid w:val="4F0469A4"/>
    <w:rsid w:val="4FC8402F"/>
    <w:rsid w:val="500E56F4"/>
    <w:rsid w:val="50540C73"/>
    <w:rsid w:val="50736D33"/>
    <w:rsid w:val="50752AF8"/>
    <w:rsid w:val="513C6A7B"/>
    <w:rsid w:val="52EC6EC2"/>
    <w:rsid w:val="532D486F"/>
    <w:rsid w:val="5333545B"/>
    <w:rsid w:val="538D0E89"/>
    <w:rsid w:val="5450213C"/>
    <w:rsid w:val="54D24048"/>
    <w:rsid w:val="54D64CD5"/>
    <w:rsid w:val="5532287C"/>
    <w:rsid w:val="55887D69"/>
    <w:rsid w:val="561A0928"/>
    <w:rsid w:val="56423872"/>
    <w:rsid w:val="569E06BC"/>
    <w:rsid w:val="56B279F0"/>
    <w:rsid w:val="56F20F86"/>
    <w:rsid w:val="5719734D"/>
    <w:rsid w:val="571E4D9E"/>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7CB09D8"/>
    <w:rsid w:val="67EE3B0F"/>
    <w:rsid w:val="680A5986"/>
    <w:rsid w:val="680D5F4B"/>
    <w:rsid w:val="68113F51"/>
    <w:rsid w:val="68E94770"/>
    <w:rsid w:val="68F949C9"/>
    <w:rsid w:val="695A4290"/>
    <w:rsid w:val="69F348AD"/>
    <w:rsid w:val="6A334932"/>
    <w:rsid w:val="6A3353FF"/>
    <w:rsid w:val="6A5D63E6"/>
    <w:rsid w:val="6A5F24D1"/>
    <w:rsid w:val="6A6F64F3"/>
    <w:rsid w:val="6ACA70C4"/>
    <w:rsid w:val="6AE347EB"/>
    <w:rsid w:val="6AEE0874"/>
    <w:rsid w:val="6B330365"/>
    <w:rsid w:val="6B434AF0"/>
    <w:rsid w:val="6B57675A"/>
    <w:rsid w:val="6B87098A"/>
    <w:rsid w:val="6BCF336C"/>
    <w:rsid w:val="6BDD7B4D"/>
    <w:rsid w:val="6D50116A"/>
    <w:rsid w:val="6EBC0B3A"/>
    <w:rsid w:val="6EF51C7D"/>
    <w:rsid w:val="6F8363E5"/>
    <w:rsid w:val="6F841DCF"/>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4AE68D5"/>
    <w:rsid w:val="75252DF3"/>
    <w:rsid w:val="75621536"/>
    <w:rsid w:val="75BF3154"/>
    <w:rsid w:val="764A07CF"/>
    <w:rsid w:val="764F6B3D"/>
    <w:rsid w:val="76CD2B7B"/>
    <w:rsid w:val="76D80645"/>
    <w:rsid w:val="76E03371"/>
    <w:rsid w:val="771211AA"/>
    <w:rsid w:val="77C019CB"/>
    <w:rsid w:val="780E5898"/>
    <w:rsid w:val="782642CC"/>
    <w:rsid w:val="7894095E"/>
    <w:rsid w:val="78964555"/>
    <w:rsid w:val="78CF4963"/>
    <w:rsid w:val="79000679"/>
    <w:rsid w:val="791C0FE5"/>
    <w:rsid w:val="794168B2"/>
    <w:rsid w:val="79A416F0"/>
    <w:rsid w:val="79B03EB6"/>
    <w:rsid w:val="79B61437"/>
    <w:rsid w:val="7ADA5A1B"/>
    <w:rsid w:val="7AE15A5C"/>
    <w:rsid w:val="7AF37579"/>
    <w:rsid w:val="7AF87F64"/>
    <w:rsid w:val="7B1C0C84"/>
    <w:rsid w:val="7B412ACE"/>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7"/>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标题 1 Char"/>
    <w:basedOn w:val="23"/>
    <w:link w:val="4"/>
    <w:qFormat/>
    <w:uiPriority w:val="9"/>
    <w:rPr>
      <w:rFonts w:eastAsia="方正小标宋简体"/>
      <w:bCs/>
      <w:kern w:val="44"/>
      <w:sz w:val="44"/>
      <w:szCs w:val="44"/>
    </w:rPr>
  </w:style>
  <w:style w:type="character" w:customStyle="1" w:styleId="28">
    <w:name w:val="标题 2 Char"/>
    <w:basedOn w:val="23"/>
    <w:link w:val="5"/>
    <w:qFormat/>
    <w:uiPriority w:val="9"/>
    <w:rPr>
      <w:rFonts w:eastAsia="方正小标宋简体" w:asciiTheme="majorHAnsi" w:hAnsiTheme="majorHAnsi" w:cstheme="majorBidi"/>
      <w:bCs/>
      <w:sz w:val="36"/>
      <w:szCs w:val="32"/>
    </w:rPr>
  </w:style>
  <w:style w:type="character" w:customStyle="1" w:styleId="29">
    <w:name w:val="标题 3 Char"/>
    <w:basedOn w:val="23"/>
    <w:link w:val="6"/>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link w:val="8"/>
    <w:qFormat/>
    <w:uiPriority w:val="99"/>
    <w:rPr>
      <w:sz w:val="16"/>
      <w:szCs w:val="16"/>
    </w:rPr>
  </w:style>
  <w:style w:type="character" w:customStyle="1" w:styleId="37">
    <w:name w:val="正文文本 3 Char1"/>
    <w:basedOn w:val="23"/>
    <w:link w:val="8"/>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2"/>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character" w:customStyle="1" w:styleId="43">
    <w:name w:val="font21"/>
    <w:basedOn w:val="23"/>
    <w:qFormat/>
    <w:uiPriority w:val="0"/>
    <w:rPr>
      <w:rFonts w:hint="eastAsia" w:ascii="宋体" w:hAnsi="宋体" w:eastAsia="宋体" w:cs="宋体"/>
      <w:color w:val="000000"/>
      <w:sz w:val="24"/>
      <w:szCs w:val="24"/>
      <w:u w:val="none"/>
    </w:rPr>
  </w:style>
  <w:style w:type="character" w:customStyle="1" w:styleId="44">
    <w:name w:val="font41"/>
    <w:basedOn w:val="23"/>
    <w:qFormat/>
    <w:uiPriority w:val="0"/>
    <w:rPr>
      <w:rFonts w:hint="eastAsia" w:ascii="宋体" w:hAnsi="宋体" w:eastAsia="宋体" w:cs="宋体"/>
      <w:color w:val="000000"/>
      <w:sz w:val="24"/>
      <w:szCs w:val="24"/>
      <w:u w:val="none"/>
    </w:rPr>
  </w:style>
  <w:style w:type="character" w:customStyle="1" w:styleId="45">
    <w:name w:val="font11"/>
    <w:basedOn w:val="23"/>
    <w:qFormat/>
    <w:uiPriority w:val="0"/>
    <w:rPr>
      <w:rFonts w:hint="eastAsia" w:ascii="宋体" w:hAnsi="宋体" w:eastAsia="宋体" w:cs="宋体"/>
      <w:color w:val="333333"/>
      <w:sz w:val="24"/>
      <w:szCs w:val="24"/>
      <w:u w:val="none"/>
    </w:rPr>
  </w:style>
  <w:style w:type="character" w:customStyle="1" w:styleId="46">
    <w:name w:val="font01"/>
    <w:basedOn w:val="23"/>
    <w:qFormat/>
    <w:uiPriority w:val="0"/>
    <w:rPr>
      <w:rFonts w:hint="eastAsia" w:ascii="宋体" w:hAnsi="宋体" w:eastAsia="宋体" w:cs="宋体"/>
      <w:color w:val="333333"/>
      <w:sz w:val="24"/>
      <w:szCs w:val="24"/>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71"/>
    <w:basedOn w:val="23"/>
    <w:qFormat/>
    <w:uiPriority w:val="0"/>
    <w:rPr>
      <w:rFonts w:hint="eastAsia" w:ascii="宋体" w:hAnsi="宋体" w:eastAsia="宋体" w:cs="宋体"/>
      <w:color w:val="000000"/>
      <w:sz w:val="12"/>
      <w:szCs w:val="12"/>
      <w:u w:val="none"/>
    </w:rPr>
  </w:style>
  <w:style w:type="character" w:customStyle="1" w:styleId="49">
    <w:name w:val="font61"/>
    <w:basedOn w:val="23"/>
    <w:qFormat/>
    <w:uiPriority w:val="0"/>
    <w:rPr>
      <w:rFonts w:hint="eastAsia" w:ascii="宋体" w:hAnsi="宋体" w:eastAsia="宋体" w:cs="宋体"/>
      <w:color w:val="000000"/>
      <w:sz w:val="24"/>
      <w:szCs w:val="24"/>
      <w:u w:val="none"/>
    </w:rPr>
  </w:style>
  <w:style w:type="character" w:customStyle="1" w:styleId="50">
    <w:name w:val="font112"/>
    <w:basedOn w:val="23"/>
    <w:qFormat/>
    <w:uiPriority w:val="0"/>
    <w:rPr>
      <w:rFonts w:ascii="微软雅黑" w:hAnsi="微软雅黑" w:eastAsia="微软雅黑" w:cs="微软雅黑"/>
      <w:color w:val="000000"/>
      <w:sz w:val="18"/>
      <w:szCs w:val="18"/>
      <w:u w:val="none"/>
    </w:rPr>
  </w:style>
  <w:style w:type="character" w:customStyle="1" w:styleId="51">
    <w:name w:val="font121"/>
    <w:basedOn w:val="23"/>
    <w:qFormat/>
    <w:uiPriority w:val="0"/>
    <w:rPr>
      <w:rFonts w:hint="eastAsia" w:ascii="宋体" w:hAnsi="宋体" w:eastAsia="宋体" w:cs="宋体"/>
      <w:color w:val="000000"/>
      <w:sz w:val="18"/>
      <w:szCs w:val="18"/>
      <w:u w:val="none"/>
    </w:rPr>
  </w:style>
  <w:style w:type="character" w:customStyle="1" w:styleId="52">
    <w:name w:val="font131"/>
    <w:basedOn w:val="23"/>
    <w:qFormat/>
    <w:uiPriority w:val="0"/>
    <w:rPr>
      <w:rFonts w:hint="eastAsia" w:ascii="微软雅黑" w:hAnsi="微软雅黑" w:eastAsia="微软雅黑" w:cs="微软雅黑"/>
      <w:color w:val="333333"/>
      <w:sz w:val="18"/>
      <w:szCs w:val="18"/>
      <w:u w:val="none"/>
    </w:rPr>
  </w:style>
  <w:style w:type="character" w:customStyle="1" w:styleId="53">
    <w:name w:val="font141"/>
    <w:basedOn w:val="23"/>
    <w:qFormat/>
    <w:uiPriority w:val="0"/>
    <w:rPr>
      <w:rFonts w:hint="eastAsia" w:ascii="宋体" w:hAnsi="宋体" w:eastAsia="宋体" w:cs="宋体"/>
      <w:color w:val="333333"/>
      <w:sz w:val="18"/>
      <w:szCs w:val="18"/>
      <w:u w:val="none"/>
    </w:rPr>
  </w:style>
  <w:style w:type="character" w:customStyle="1" w:styleId="54">
    <w:name w:val="font101"/>
    <w:basedOn w:val="23"/>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21653</Words>
  <Characters>23199</Characters>
  <Lines>300</Lines>
  <Paragraphs>84</Paragraphs>
  <TotalTime>39</TotalTime>
  <ScaleCrop>false</ScaleCrop>
  <LinksUpToDate>false</LinksUpToDate>
  <CharactersWithSpaces>25340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2022-07-05T08:42:00Z</cp:lastPrinted>
  <dcterms:modified xsi:type="dcterms:W3CDTF">2022-08-26T02:50:37Z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F9C4B5CD898644C48940B36A8E51041C</vt:lpwstr>
  </property>
</Properties>
</file>