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54" w:name="_GoBack"/>
      <w:bookmarkEnd w:id="154"/>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广州市净水有限公司猎德分公司维修旧加药间自控系统工程项目（第二次）</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宋体" w:eastAsia="等线"/>
          <w:sz w:val="24"/>
          <w:szCs w:val="24"/>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669"/>
      <w:bookmarkStart w:id="6" w:name="_Toc31938"/>
      <w:bookmarkStart w:id="7" w:name="_Toc11322"/>
      <w:bookmarkStart w:id="8" w:name="_Toc7519"/>
      <w:bookmarkStart w:id="9" w:name="_Toc1960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color w:val="auto"/>
          <w:highlight w:val="none"/>
        </w:rPr>
      </w:pPr>
      <w:bookmarkStart w:id="11" w:name="_Toc26363"/>
      <w:bookmarkStart w:id="12" w:name="_Toc14238"/>
      <w:bookmarkStart w:id="13" w:name="_Toc10122"/>
      <w:bookmarkStart w:id="14" w:name="_Toc30131"/>
      <w:bookmarkStart w:id="15" w:name="_Toc8201"/>
      <w:bookmarkStart w:id="16" w:name="_Toc88209924"/>
      <w:bookmarkStart w:id="17" w:name="_Toc2659"/>
      <w:bookmarkStart w:id="18" w:name="_Toc28995"/>
      <w:bookmarkStart w:id="19" w:name="_Toc30989"/>
      <w:bookmarkStart w:id="20" w:name="_Toc999"/>
      <w:bookmarkStart w:id="21" w:name="_Toc15709"/>
      <w:bookmarkStart w:id="22" w:name="_Toc5230"/>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color w:val="auto"/>
          <w:highlight w:val="none"/>
          <w:u w:val="single"/>
        </w:rPr>
        <w:t>广州市净水有限公司</w:t>
      </w:r>
      <w:r>
        <w:rPr>
          <w:rFonts w:hint="eastAsia" w:cstheme="majorBidi"/>
          <w:b w:val="0"/>
          <w:bCs/>
          <w:color w:val="auto"/>
          <w:sz w:val="36"/>
          <w:szCs w:val="32"/>
          <w:highlight w:val="none"/>
          <w:u w:val="single"/>
          <w:lang w:val="en-US" w:eastAsia="zh-CN"/>
        </w:rPr>
        <w:t>猎德分公司维修旧加药间自控系统工程（第二次）</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广州市净水有限公司猎德分公司维修旧加药间自控系统工程（第二次）</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 w:hAnsi="仿宋" w:eastAsia="仿宋" w:cs="仿宋"/>
          <w:color w:val="auto"/>
          <w:sz w:val="28"/>
          <w:szCs w:val="28"/>
          <w:highlight w:val="none"/>
          <w:u w:val="single"/>
        </w:rPr>
        <w:sym w:font="Wingdings 2" w:char="00A3"/>
      </w:r>
      <w:r>
        <w:rPr>
          <w:rFonts w:hint="eastAsia" w:ascii="仿宋" w:hAnsi="仿宋" w:eastAsia="仿宋" w:cs="仿宋"/>
          <w:color w:val="auto"/>
          <w:sz w:val="28"/>
          <w:szCs w:val="28"/>
          <w:highlight w:val="none"/>
          <w:u w:val="single"/>
          <w:lang w:val="en-US" w:eastAsia="zh-CN"/>
        </w:rPr>
        <w:t>邀请</w:t>
      </w:r>
      <w:r>
        <w:rPr>
          <w:rFonts w:hint="eastAsia" w:ascii="仿宋" w:hAnsi="仿宋" w:eastAsia="仿宋" w:cs="仿宋"/>
          <w:color w:val="auto"/>
          <w:sz w:val="28"/>
          <w:szCs w:val="28"/>
          <w:highlight w:val="none"/>
          <w:u w:val="single"/>
        </w:rPr>
        <w:t>询比</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sym w:font="Wingdings 2" w:char="0052"/>
      </w:r>
      <w:r>
        <w:rPr>
          <w:rFonts w:hint="eastAsia" w:ascii="仿宋" w:hAnsi="仿宋" w:eastAsia="仿宋" w:cs="仿宋"/>
          <w:color w:val="auto"/>
          <w:sz w:val="28"/>
          <w:szCs w:val="28"/>
          <w:highlight w:val="none"/>
          <w:u w:val="single"/>
          <w:lang w:val="en-US" w:eastAsia="zh-CN"/>
        </w:rPr>
        <w:t>公开询比</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广州市净水有限公司猎德分公司维修旧加药间自控系统工程（第二次）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XJ-20220826-3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25.558460</w:t>
      </w:r>
      <w:r>
        <w:rPr>
          <w:rFonts w:hint="eastAsia" w:ascii="仿宋" w:hAnsi="仿宋" w:eastAsia="仿宋" w:cs="仿宋"/>
          <w:color w:val="auto"/>
          <w:sz w:val="28"/>
          <w:szCs w:val="28"/>
          <w:highlight w:val="none"/>
          <w:u w:val="single"/>
          <w:lang w:val="zh-CN"/>
        </w:rPr>
        <w:t>万元人民币</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其中不含税造为234481.28元，绿色施工安全防措施费为3871.17元，税率为9%。</w:t>
      </w:r>
    </w:p>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ind w:firstLine="560" w:firstLineChars="200"/>
        <w:rPr>
          <w:color w:val="auto"/>
          <w:highlight w:val="none"/>
        </w:rPr>
      </w:pPr>
      <w:r>
        <w:rPr>
          <w:rFonts w:hint="eastAsia" w:ascii="仿宋" w:hAnsi="仿宋" w:eastAsia="仿宋" w:cs="仿宋"/>
          <w:color w:val="auto"/>
          <w:sz w:val="28"/>
          <w:szCs w:val="28"/>
          <w:highlight w:val="none"/>
          <w:u w:val="none"/>
          <w:lang w:val="en-US" w:eastAsia="zh-CN"/>
        </w:rPr>
        <w:t>本项目对旧加药间自控系统进行维修，更换现场PLC控制柜和HMI柜，使该PLC控制柜满足原自控系统要求，恢复原加药间PLC控制柜设计及工艺功能。维修内容包括：将旧加药间PLC柜工况不佳及已停产的PLC模块进行更换，并重新梳理所有加药泵、流量计、液位计、加药阀控制等设备的信号，按猎德分公司生产工艺需要，将现有设备的信号接入到旧加药间PLC站，再上传至中控室，并在中控室Intouch操作系统显示。</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val="en-US" w:eastAsia="zh-CN"/>
        </w:rPr>
        <w:t>60天。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
          <w:color w:val="auto"/>
          <w:sz w:val="28"/>
          <w:szCs w:val="28"/>
          <w:highlight w:val="none"/>
          <w:u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w:t>
      </w:r>
      <w:r>
        <w:rPr>
          <w:rFonts w:hint="eastAsia" w:ascii="仿宋_GB2312" w:eastAsia="仿宋_GB2312"/>
          <w:color w:val="auto"/>
          <w:sz w:val="28"/>
          <w:szCs w:val="28"/>
          <w:highlight w:val="none"/>
          <w:u w:val="none"/>
        </w:rPr>
        <w:t>当具备</w:t>
      </w:r>
      <w:r>
        <w:rPr>
          <w:rFonts w:hint="eastAsia" w:ascii="仿宋_GB2312" w:hAnsi="仿宋_GB2312" w:eastAsia="仿宋_GB2312" w:cs="仿宋_GB2312"/>
          <w:color w:val="auto"/>
          <w:sz w:val="28"/>
          <w:szCs w:val="28"/>
          <w:highlight w:val="none"/>
          <w:u w:val="none"/>
          <w:lang w:val="zh-CN"/>
        </w:rPr>
        <w:t>电子与智能化工程专业承包二级</w:t>
      </w:r>
      <w:r>
        <w:rPr>
          <w:rFonts w:hint="eastAsia" w:ascii="仿宋" w:hAnsi="仿宋" w:eastAsia="仿宋" w:cs="仿宋"/>
          <w:color w:val="auto"/>
          <w:sz w:val="28"/>
          <w:szCs w:val="28"/>
          <w:highlight w:val="none"/>
          <w:u w:val="none"/>
        </w:rPr>
        <w:t>（或以上）资质</w:t>
      </w:r>
      <w:r>
        <w:rPr>
          <w:rFonts w:hint="eastAsia" w:ascii="仿宋" w:hAnsi="仿宋" w:eastAsia="仿宋" w:cs="仿宋"/>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同时具有建设主管部门颁发且在有效期内的《安全生产许可证》资质。</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2019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一项自控系统新建或改造</w:t>
      </w:r>
      <w:r>
        <w:rPr>
          <w:rFonts w:hint="eastAsia" w:ascii="仿宋_GB2312" w:eastAsia="仿宋_GB2312"/>
          <w:color w:val="auto"/>
          <w:sz w:val="28"/>
          <w:szCs w:val="28"/>
          <w:highlight w:val="none"/>
          <w:u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机电安装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  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adjustRightInd w:val="0"/>
        <w:snapToGrid w:val="0"/>
        <w:spacing w:line="600" w:lineRule="exact"/>
        <w:ind w:firstLine="560" w:firstLineChars="200"/>
        <w:rPr>
          <w:rFonts w:hint="eastAsia" w:ascii="仿宋_GB2312" w:eastAsia="仿宋_GB2312" w:hAnsiTheme="minorHAnsi"/>
          <w:color w:val="auto"/>
          <w:sz w:val="28"/>
          <w:szCs w:val="28"/>
          <w:highlight w:val="none"/>
          <w:lang w:eastAsia="zh-CN"/>
        </w:rPr>
      </w:pPr>
      <w:r>
        <w:rPr>
          <w:rFonts w:hint="eastAsia" w:ascii="仿宋_GB2312" w:eastAsia="仿宋_GB2312"/>
          <w:color w:val="auto"/>
          <w:sz w:val="28"/>
          <w:szCs w:val="28"/>
          <w:highlight w:val="none"/>
          <w:lang w:eastAsia="zh-CN"/>
        </w:rPr>
        <w:t>防疫要求：</w:t>
      </w:r>
      <w:r>
        <w:rPr>
          <w:rFonts w:hint="eastAsia" w:ascii="仿宋_GB2312" w:eastAsia="仿宋_GB2312"/>
          <w:color w:val="auto"/>
          <w:sz w:val="28"/>
          <w:szCs w:val="28"/>
          <w:highlight w:val="none"/>
          <w:lang w:val="en-US" w:eastAsia="zh-CN"/>
        </w:rPr>
        <w:t>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踏勘现场联系人：林工</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踏勘现场联系人联系方式：18868189567</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non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30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广州市天河区临江大道501号广州净水公司猎德分公司。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26</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26" w:name="_Toc10891"/>
    </w:p>
    <w:p>
      <w:pPr>
        <w:rPr>
          <w:rFonts w:hint="eastAsia"/>
          <w:color w:val="auto"/>
          <w:highlight w:val="none"/>
        </w:rPr>
      </w:pPr>
    </w:p>
    <w:p>
      <w:pPr>
        <w:pStyle w:val="2"/>
        <w:rPr>
          <w:rFonts w:hint="eastAsia"/>
          <w:color w:val="auto"/>
          <w:highlight w:val="none"/>
        </w:rPr>
      </w:pPr>
    </w:p>
    <w:p>
      <w:pPr>
        <w:pStyle w:val="2"/>
        <w:rPr>
          <w:rFonts w:hint="default"/>
          <w:color w:val="auto"/>
          <w:highlight w:val="none"/>
        </w:rPr>
      </w:pPr>
    </w:p>
    <w:p>
      <w:pPr>
        <w:pStyle w:val="4"/>
        <w:rPr>
          <w:color w:val="auto"/>
          <w:highlight w:val="none"/>
        </w:rPr>
      </w:pPr>
      <w:bookmarkStart w:id="27" w:name="_Toc25603"/>
      <w:bookmarkStart w:id="28" w:name="_Toc16557"/>
      <w:bookmarkStart w:id="29" w:name="_Toc2324"/>
      <w:bookmarkStart w:id="30" w:name="_Toc16705"/>
      <w:bookmarkStart w:id="31" w:name="_Toc7340"/>
      <w:bookmarkStart w:id="32" w:name="_Toc9448"/>
      <w:bookmarkStart w:id="33" w:name="_Toc2331"/>
      <w:bookmarkStart w:id="34" w:name="_Toc23749"/>
      <w:bookmarkStart w:id="35" w:name="_Toc32588"/>
      <w:bookmarkStart w:id="36" w:name="_Toc19295"/>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color w:val="auto"/>
          <w:highlight w:val="none"/>
        </w:rPr>
      </w:pPr>
    </w:p>
    <w:p>
      <w:pPr>
        <w:pStyle w:val="5"/>
        <w:rPr>
          <w:color w:val="auto"/>
          <w:highlight w:val="none"/>
        </w:rPr>
      </w:pPr>
      <w:bookmarkStart w:id="37" w:name="_Toc3416"/>
      <w:bookmarkStart w:id="38" w:name="_Toc2339"/>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9" w:name="_Toc21455"/>
      <w:bookmarkStart w:id="40"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0"/>
        <w:rPr>
          <w:color w:val="auto"/>
          <w:highlight w:val="none"/>
        </w:rPr>
      </w:pPr>
    </w:p>
    <w:p>
      <w:pPr>
        <w:pStyle w:val="5"/>
        <w:rPr>
          <w:color w:val="auto"/>
          <w:highlight w:val="none"/>
        </w:rPr>
      </w:pPr>
      <w:bookmarkStart w:id="41" w:name="_Toc87616371"/>
      <w:bookmarkStart w:id="42" w:name="_Toc88209934"/>
      <w:bookmarkStart w:id="43" w:name="_Toc7040"/>
      <w:bookmarkStart w:id="44" w:name="_Toc7303"/>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5" w:name="_Toc24895"/>
      <w:bookmarkStart w:id="46" w:name="_Toc3789"/>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7" w:name="_Toc20594"/>
      <w:bookmarkStart w:id="48" w:name="_Toc19759"/>
      <w:bookmarkStart w:id="49" w:name="_Toc7118"/>
      <w:bookmarkStart w:id="50" w:name="_Toc14552"/>
      <w:bookmarkStart w:id="51" w:name="_Toc19050"/>
      <w:bookmarkStart w:id="52" w:name="_Toc14870"/>
      <w:bookmarkStart w:id="53" w:name="_Toc23581"/>
      <w:bookmarkStart w:id="54" w:name="_Toc7437"/>
      <w:bookmarkStart w:id="55" w:name="_Toc4952"/>
      <w:bookmarkStart w:id="56" w:name="_Toc10930"/>
      <w:bookmarkStart w:id="57"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0"/>
        <w:rPr>
          <w:color w:val="auto"/>
          <w:highlight w:val="none"/>
        </w:rPr>
      </w:pPr>
    </w:p>
    <w:p>
      <w:pPr>
        <w:pStyle w:val="4"/>
        <w:rPr>
          <w:color w:val="auto"/>
          <w:highlight w:val="none"/>
        </w:rPr>
      </w:pPr>
      <w:bookmarkStart w:id="58" w:name="_Toc29484"/>
      <w:bookmarkStart w:id="59" w:name="_Toc21840"/>
      <w:bookmarkStart w:id="60" w:name="_Toc7831"/>
      <w:bookmarkStart w:id="61" w:name="_Toc12177"/>
      <w:bookmarkStart w:id="62" w:name="_Toc32607"/>
      <w:bookmarkStart w:id="63" w:name="_Toc21079"/>
      <w:bookmarkStart w:id="64" w:name="_Toc29345"/>
      <w:bookmarkStart w:id="65" w:name="_Toc88209941"/>
      <w:bookmarkStart w:id="66" w:name="_Toc13898"/>
      <w:bookmarkStart w:id="67" w:name="_Toc87616378"/>
      <w:bookmarkStart w:id="68" w:name="_Toc22212"/>
      <w:bookmarkStart w:id="69" w:name="_Toc6308"/>
      <w:bookmarkStart w:id="70" w:name="_Toc30530"/>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1" w:name="_Toc26826"/>
      <w:bookmarkStart w:id="72" w:name="_Toc23033"/>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3"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default"/>
          <w:szCs w:val="22"/>
        </w:rPr>
      </w:pPr>
    </w:p>
    <w:p>
      <w:pPr>
        <w:pStyle w:val="5"/>
        <w:jc w:val="both"/>
        <w:rPr>
          <w:rFonts w:hint="eastAsia" w:eastAsia="方正小标宋简体"/>
          <w:color w:val="auto"/>
          <w:szCs w:val="44"/>
          <w:highlight w:val="none"/>
          <w:lang w:val="en-US" w:eastAsia="zh-CN"/>
        </w:rPr>
      </w:pPr>
    </w:p>
    <w:p>
      <w:pPr>
        <w:rPr>
          <w:rFonts w:hint="eastAsia" w:eastAsia="方正小标宋简体"/>
          <w:color w:val="auto"/>
          <w:szCs w:val="44"/>
          <w:highlight w:val="none"/>
          <w:lang w:val="en-US" w:eastAsia="zh-CN"/>
        </w:rPr>
      </w:pPr>
    </w:p>
    <w:p>
      <w:pPr>
        <w:pStyle w:val="2"/>
        <w:rPr>
          <w:rFonts w:hint="eastAsia"/>
          <w:lang w:val="en-US" w:eastAsia="zh-CN"/>
        </w:rPr>
      </w:pPr>
    </w:p>
    <w:p>
      <w:pPr>
        <w:pStyle w:val="13"/>
        <w:numPr>
          <w:ilvl w:val="-1"/>
          <w:numId w:val="0"/>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color w:val="auto"/>
          <w:kern w:val="0"/>
          <w:sz w:val="28"/>
          <w:szCs w:val="28"/>
          <w:highlight w:val="none"/>
          <w:lang w:val="en-US" w:eastAsia="zh-CN"/>
        </w:rPr>
        <w:t>一、</w:t>
      </w:r>
      <w:r>
        <w:rPr>
          <w:rFonts w:hint="eastAsia" w:ascii="仿宋" w:hAnsi="仿宋" w:eastAsia="仿宋" w:cs="仿宋_GB2312"/>
          <w:b/>
          <w:bCs/>
          <w:color w:val="auto"/>
          <w:kern w:val="0"/>
          <w:sz w:val="28"/>
          <w:szCs w:val="28"/>
          <w:highlight w:val="none"/>
          <w:lang w:val="en-US" w:eastAsia="zh-CN"/>
        </w:rPr>
        <w:t>项目内容及需求</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猎德分公司厂区旧加药间PLC自控系统设置了1个PLC控制柜以控制一二期的17台加药泵及二期反应池的部分设备，投产运行至今已有十多年。目前旧加药间PLC自控系统的现场操作屏与PLC间存在通信故障，无法正常通信，影响正常生产；且该站点PLC系统硬件采用法国施耐德昆腾（QUANTUM）系列产品，现该系列产品已停产，市面无法采购备件。根据电气自动化产品正常寿命管理要求（按安全生命周期10年计算），该PLC自控系统已进入安全风险高发期，处于不安全、不稳定的工作阶段，现计划对该PLC自控系统进行维修，以保证正常生产、保障出水水质稳定达标排放。</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原PLC配置：本次维修PLC主站对象为1个旧加药间PLC主站，系统采用TSXP573634M，原PLC站配置1套的触摸屏，触摸屏为早期的施耐德键盘式人机界面。</w:t>
      </w:r>
    </w:p>
    <w:p>
      <w:pPr>
        <w:pStyle w:val="7"/>
        <w:rPr>
          <w:rFonts w:hint="eastAsia" w:ascii="仿宋" w:hAnsi="仿宋" w:eastAsia="仿宋" w:cs="仿宋"/>
          <w:b w:val="0"/>
          <w:bCs w:val="0"/>
          <w:color w:val="auto"/>
          <w:kern w:val="2"/>
          <w:sz w:val="28"/>
          <w:szCs w:val="28"/>
          <w:highlight w:val="none"/>
          <w:u w:val="none"/>
          <w:lang w:val="en-US" w:eastAsia="zh-CN" w:bidi="ar-SA"/>
        </w:rPr>
      </w:pPr>
    </w:p>
    <w:p>
      <w:pPr>
        <w:pStyle w:val="13"/>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autoSpaceDE w:val="0"/>
        <w:autoSpaceDN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zh-CN"/>
        </w:rPr>
        <w:t>（</w:t>
      </w:r>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zh-CN"/>
        </w:rPr>
        <w:t>）</w:t>
      </w:r>
      <w:r>
        <w:rPr>
          <w:rFonts w:hint="eastAsia" w:ascii="仿宋" w:hAnsi="仿宋" w:eastAsia="仿宋" w:cs="仿宋"/>
          <w:b/>
          <w:color w:val="auto"/>
          <w:sz w:val="28"/>
          <w:szCs w:val="28"/>
          <w:highlight w:val="none"/>
        </w:rPr>
        <w:t>工程量清单</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2"/>
        <w:gridCol w:w="1848"/>
        <w:gridCol w:w="5"/>
        <w:gridCol w:w="3822"/>
        <w:gridCol w:w="11"/>
        <w:gridCol w:w="1234"/>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8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60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7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UPS电源及配电柜</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1.规格:不间断电源3KVA,1H，柜内含UPS配电分配开关，含散热风扇、电池层架，防雷接地等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2.型号:不间断电源3KVA,1H</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IO机架</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1.名称:IO机架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2.型号规格:BMXXBP1200,12槽，电源不占槽位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3.安装方式:柜内安装</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1.名称:电源模块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2.型号:BMXCPS3020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3.规格:36W，100-240V AC输入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4.输出形式:240V AC输入</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CPU处理器模块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1.名称:CPU处理器模块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2.型号:BMEP584040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3.规格:M580 ePAC 高性能Level 40 单机处理器，18MB，支持DIO和RIO</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以太网模块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1.名称:以太网模块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2.型号:BMENOC0301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3.类型:Modbus TCP和EtherNet/IP，10/100M，3个RJ45 Ethernet 口， 支持菊花链（环）拓扑结构，仅支持Modicon ePAC CPU</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数字量输入模块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1.名称:数字量输入模块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2.型号:BMXDDI6402K</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3.规格:64点输入24VDC，漏型，IEC3类，1×FCN40点</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数字量输出模块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1.名称:数字量输出模块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2.型号:BMXDDO6402K</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3.规格:64点输出24VDC晶体管，0.1A,源型，  通道间诊断和保护，1×FCN40点</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模拟量输入模块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1.名称:模拟量输入模块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2.型号:BMXAMI0810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3.规格:隔离模拟量输入，8通道，多量程(电压/电流） ，高速，高精度：16位  ，通道间隔离</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模拟量输出模块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1.名称:模拟量输出模块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2.型号:BMXAMO0802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3.规格:8通道，多量程（电流），高速，高精度：16位 ，通道间非隔离</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现场总线通讯模块</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1.名称:现场总线通讯模块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2.型号:BMXNOM0200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3.规格:MB现场总线通讯模块，2通道串行，1 * RS232/485 + 1 * RS485</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离散量输入/输出电缆</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1.名称:离散量输入/输出电缆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2.型号:BMXFCW303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3.规格:1×FCN连接头， 2×20根带有颜色编码的飞线，长度：3M</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端子式继电器</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1.名称:端子式继电器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2.型号:PLC-BSC-24DC</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端子块</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1.名称:端子块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2.型号:BMXFTB2820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3.规格:压线式端子块（28点）</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螺钉端子块</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1.名称:螺钉端子块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2.型号:BMXFTB2020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3.规格:螺钉端子块（20点）</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直流电源</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1.种类:直流电源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2.规格:24V 10A</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触摸屏</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1.名称:触摸屏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2.型号:HMIDT642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3.规格:12寸彩色触摸屏，带以太网接口</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PLC控制柜</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1.名称:一二三期加药间PLC柜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2.型号:宽800*厚600*高2000，单面双开门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3.规格:含照明、散热风扇及滤网、门限开关、柜内配电、隔离继电器、防雷接地等</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不锈钢现场控制箱</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1.名称：不锈钢现场控制箱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2.型号:宽500*厚400*高6000，单面双开门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3.规格:可视、防雨，带1000mm高立柱，4个动力回路及按钮指示灯</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控制柜辅材、装配、接线、出厂测试、包装、运输</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辅材包括：微断、保险盒、端子、线耳、接地铜条、电线等；</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现场电气查线、设计</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PLC柜程序修改、转换、远程I/O机架、RS485现场总线</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Modicon Quantum改为Modicon M580，远程I/O站点软件、现场RS485总线</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中控室组态软件，报警、趋势、数据库修改</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Modicon Quantum改为Modicon M580，Intouch组态软件修改</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现场触摸屏程序编制</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由XBTGT6330改为HMIDT642，需重新编程</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原PLC柜拆除</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PLC柜现场安装</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新PLC机柜安装，电气连接，光纤熔接，网络连接，电缆整理，安装耗材，图纸完善等</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PLC系统安装调试</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1.名称:PLC系统安装调试</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pStyle w:val="2"/>
        <w:rPr>
          <w:rFonts w:hint="eastAsia"/>
          <w:color w:val="auto"/>
          <w:highlight w:val="none"/>
        </w:rPr>
      </w:pPr>
    </w:p>
    <w:p>
      <w:pPr>
        <w:autoSpaceDE w:val="0"/>
        <w:autoSpaceDN w:val="0"/>
        <w:ind w:firstLine="562" w:firstLineChars="200"/>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w:t>
      </w:r>
      <w:r>
        <w:rPr>
          <w:rFonts w:hint="eastAsia" w:ascii="仿宋" w:hAnsi="仿宋" w:eastAsia="仿宋" w:cs="仿宋"/>
          <w:b/>
          <w:color w:val="auto"/>
          <w:sz w:val="28"/>
          <w:szCs w:val="28"/>
          <w:highlight w:val="none"/>
        </w:rPr>
        <w:t>二</w:t>
      </w:r>
      <w:r>
        <w:rPr>
          <w:rFonts w:hint="eastAsia" w:ascii="仿宋" w:hAnsi="仿宋" w:eastAsia="仿宋" w:cs="仿宋"/>
          <w:b/>
          <w:color w:val="auto"/>
          <w:sz w:val="28"/>
          <w:szCs w:val="28"/>
          <w:highlight w:val="none"/>
          <w:lang w:val="zh-CN"/>
        </w:rPr>
        <w:t>）</w:t>
      </w:r>
      <w:r>
        <w:rPr>
          <w:rFonts w:hint="eastAsia" w:ascii="仿宋" w:hAnsi="仿宋" w:eastAsia="仿宋" w:cs="仿宋"/>
          <w:b/>
          <w:color w:val="auto"/>
          <w:sz w:val="28"/>
          <w:szCs w:val="28"/>
          <w:highlight w:val="none"/>
        </w:rPr>
        <w:t>项目技术</w:t>
      </w:r>
      <w:r>
        <w:rPr>
          <w:rFonts w:hint="eastAsia" w:ascii="仿宋" w:hAnsi="仿宋" w:eastAsia="仿宋" w:cs="仿宋"/>
          <w:b/>
          <w:color w:val="auto"/>
          <w:sz w:val="28"/>
          <w:szCs w:val="28"/>
          <w:highlight w:val="none"/>
          <w:lang w:val="zh-CN"/>
        </w:rPr>
        <w:t>要求</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本项目对加药间自控系统进行维修更换，为了与原自控系统更好兼容，</w:t>
      </w:r>
      <w:r>
        <w:rPr>
          <w:rFonts w:hint="eastAsia" w:ascii="仿宋" w:hAnsi="仿宋" w:eastAsia="仿宋" w:cs="仿宋_GB2312"/>
          <w:color w:val="auto"/>
          <w:spacing w:val="0"/>
          <w:sz w:val="28"/>
          <w:szCs w:val="28"/>
          <w:highlight w:val="none"/>
          <w:lang w:val="en-US" w:eastAsia="zh-CN"/>
        </w:rPr>
        <w:t>更换的PLC模块</w:t>
      </w:r>
      <w:r>
        <w:rPr>
          <w:rFonts w:hint="eastAsia" w:ascii="仿宋" w:hAnsi="仿宋" w:eastAsia="仿宋" w:cs="仿宋_GB2312"/>
          <w:color w:val="auto"/>
          <w:spacing w:val="0"/>
          <w:sz w:val="28"/>
          <w:szCs w:val="28"/>
          <w:highlight w:val="none"/>
        </w:rPr>
        <w:t>需</w:t>
      </w:r>
      <w:r>
        <w:rPr>
          <w:rFonts w:hint="eastAsia" w:ascii="仿宋" w:hAnsi="仿宋" w:eastAsia="仿宋" w:cs="仿宋_GB2312"/>
          <w:color w:val="auto"/>
          <w:spacing w:val="0"/>
          <w:sz w:val="28"/>
          <w:szCs w:val="28"/>
          <w:highlight w:val="none"/>
          <w:lang w:val="en-US" w:eastAsia="zh-CN"/>
        </w:rPr>
        <w:t>和原PLC的品牌保持一致</w:t>
      </w:r>
      <w:r>
        <w:rPr>
          <w:rFonts w:hint="eastAsia" w:ascii="仿宋" w:hAnsi="仿宋" w:eastAsia="仿宋" w:cs="仿宋_GB2312"/>
          <w:color w:val="auto"/>
          <w:spacing w:val="0"/>
          <w:sz w:val="28"/>
          <w:szCs w:val="28"/>
          <w:highlight w:val="none"/>
        </w:rPr>
        <w:t>，等级</w:t>
      </w:r>
      <w:r>
        <w:rPr>
          <w:rFonts w:hint="eastAsia" w:ascii="仿宋" w:hAnsi="仿宋" w:eastAsia="仿宋" w:cs="仿宋_GB2312"/>
          <w:color w:val="auto"/>
          <w:spacing w:val="0"/>
          <w:sz w:val="28"/>
          <w:szCs w:val="28"/>
          <w:highlight w:val="none"/>
          <w:lang w:val="en-US" w:eastAsia="zh-CN"/>
        </w:rPr>
        <w:t>参考并不</w:t>
      </w:r>
      <w:r>
        <w:rPr>
          <w:rFonts w:hint="eastAsia" w:ascii="仿宋" w:hAnsi="仿宋" w:eastAsia="仿宋" w:cs="仿宋_GB2312"/>
          <w:color w:val="auto"/>
          <w:spacing w:val="0"/>
          <w:sz w:val="28"/>
          <w:szCs w:val="28"/>
          <w:highlight w:val="none"/>
        </w:rPr>
        <w:t>低于原施耐德</w:t>
      </w:r>
      <w:r>
        <w:rPr>
          <w:rFonts w:hint="eastAsia" w:ascii="仿宋" w:hAnsi="仿宋" w:eastAsia="仿宋" w:cs="仿宋"/>
          <w:color w:val="auto"/>
          <w:sz w:val="28"/>
          <w:szCs w:val="28"/>
          <w:highlight w:val="none"/>
          <w:lang w:val="en-US" w:eastAsia="zh-CN"/>
        </w:rPr>
        <w:t>昆腾（Quantum）M580系列，使原有PLC站的控制程序（UNITY PRO)可以进行转换编译，若无法转换编译，要按原工艺流程重新编程；原HMI须更换，触摸屏人机界面需重新开发；原PLC站的UPS电源须更新，并且采用柜式不间断电源与PLC柜并列安装；与配电电力监控单元及温度控制器、变频器通讯采用Modbus现场总线方式通信；维修完成后的旧加药间PLC站通过冗余环网型单模千兆光纤工业以太网方式与中控室服务器进行数据交换。</w:t>
      </w:r>
    </w:p>
    <w:p>
      <w:pPr>
        <w:pStyle w:val="55"/>
        <w:spacing w:before="156" w:after="156"/>
        <w:ind w:firstLine="551" w:firstLineChars="196"/>
        <w:rPr>
          <w:rFonts w:ascii="仿宋" w:hAnsi="仿宋" w:eastAsia="仿宋" w:cs="仿宋_GB2312"/>
          <w:bCs w:val="0"/>
          <w:color w:val="auto"/>
          <w:spacing w:val="0"/>
          <w:szCs w:val="28"/>
          <w:highlight w:val="none"/>
        </w:rPr>
      </w:pPr>
      <w:bookmarkStart w:id="74" w:name="_Toc23749710"/>
      <w:r>
        <w:rPr>
          <w:rFonts w:hint="eastAsia" w:ascii="仿宋" w:hAnsi="仿宋" w:eastAsia="仿宋" w:cs="仿宋_GB2312"/>
          <w:bCs w:val="0"/>
          <w:color w:val="auto"/>
          <w:spacing w:val="0"/>
          <w:szCs w:val="28"/>
          <w:highlight w:val="none"/>
          <w:lang w:val="en-US" w:eastAsia="zh-CN"/>
        </w:rPr>
        <w:t>1</w:t>
      </w:r>
      <w:r>
        <w:rPr>
          <w:rFonts w:hint="eastAsia" w:ascii="仿宋" w:hAnsi="仿宋" w:eastAsia="仿宋" w:cs="仿宋_GB2312"/>
          <w:bCs w:val="0"/>
          <w:color w:val="auto"/>
          <w:spacing w:val="0"/>
          <w:szCs w:val="28"/>
          <w:highlight w:val="none"/>
        </w:rPr>
        <w:t>.</w:t>
      </w:r>
      <w:r>
        <w:rPr>
          <w:rFonts w:hint="eastAsia" w:ascii="仿宋" w:hAnsi="仿宋" w:eastAsia="仿宋" w:cs="仿宋_GB2312"/>
          <w:bCs w:val="0"/>
          <w:color w:val="auto"/>
          <w:spacing w:val="0"/>
          <w:szCs w:val="28"/>
          <w:highlight w:val="none"/>
          <w:lang w:val="en-US" w:eastAsia="zh-CN"/>
        </w:rPr>
        <w:t>维修</w:t>
      </w:r>
      <w:r>
        <w:rPr>
          <w:rFonts w:hint="eastAsia" w:ascii="仿宋" w:hAnsi="仿宋" w:eastAsia="仿宋" w:cs="仿宋_GB2312"/>
          <w:bCs w:val="0"/>
          <w:color w:val="auto"/>
          <w:spacing w:val="0"/>
          <w:szCs w:val="28"/>
          <w:highlight w:val="none"/>
        </w:rPr>
        <w:t>方案</w:t>
      </w:r>
      <w:bookmarkEnd w:id="74"/>
    </w:p>
    <w:p>
      <w:pPr>
        <w:pStyle w:val="56"/>
        <w:spacing w:before="156" w:after="156"/>
        <w:ind w:firstLine="562" w:firstLineChars="200"/>
        <w:rPr>
          <w:rFonts w:hint="eastAsia" w:ascii="仿宋" w:hAnsi="仿宋" w:eastAsia="仿宋" w:cs="仿宋_GB2312"/>
          <w:bCs w:val="0"/>
          <w:color w:val="auto"/>
          <w:spacing w:val="0"/>
          <w:sz w:val="28"/>
          <w:szCs w:val="28"/>
          <w:highlight w:val="none"/>
        </w:rPr>
      </w:pPr>
      <w:bookmarkStart w:id="75" w:name="_Toc23749711"/>
      <w:r>
        <w:rPr>
          <w:rFonts w:hint="eastAsia" w:ascii="仿宋" w:hAnsi="仿宋" w:eastAsia="仿宋" w:cs="仿宋_GB2312"/>
          <w:bCs w:val="0"/>
          <w:color w:val="auto"/>
          <w:spacing w:val="0"/>
          <w:sz w:val="28"/>
          <w:szCs w:val="28"/>
          <w:highlight w:val="none"/>
        </w:rPr>
        <w:t>（1）</w:t>
      </w:r>
      <w:r>
        <w:rPr>
          <w:rFonts w:hint="eastAsia" w:ascii="仿宋" w:hAnsi="仿宋" w:eastAsia="仿宋" w:cs="仿宋_GB2312"/>
          <w:bCs w:val="0"/>
          <w:color w:val="auto"/>
          <w:spacing w:val="0"/>
          <w:sz w:val="28"/>
          <w:szCs w:val="28"/>
          <w:highlight w:val="none"/>
          <w:lang w:val="en-US" w:eastAsia="zh-CN"/>
        </w:rPr>
        <w:t>维修</w:t>
      </w:r>
      <w:r>
        <w:rPr>
          <w:rFonts w:hint="eastAsia" w:ascii="仿宋" w:hAnsi="仿宋" w:eastAsia="仿宋" w:cs="仿宋_GB2312"/>
          <w:bCs w:val="0"/>
          <w:color w:val="auto"/>
          <w:spacing w:val="0"/>
          <w:sz w:val="28"/>
          <w:szCs w:val="28"/>
          <w:highlight w:val="none"/>
        </w:rPr>
        <w:t>内容</w:t>
      </w:r>
      <w:bookmarkEnd w:id="75"/>
    </w:p>
    <w:p>
      <w:pPr>
        <w:pStyle w:val="56"/>
        <w:spacing w:before="156" w:after="156"/>
        <w:ind w:firstLine="560" w:firstLineChars="200"/>
        <w:rPr>
          <w:rFonts w:hint="eastAsia" w:ascii="仿宋" w:hAnsi="仿宋" w:eastAsia="仿宋" w:cs="仿宋_GB2312"/>
          <w:b w:val="0"/>
          <w:bCs w:val="0"/>
          <w:color w:val="auto"/>
          <w:spacing w:val="0"/>
          <w:sz w:val="28"/>
          <w:szCs w:val="28"/>
          <w:highlight w:val="none"/>
          <w:lang w:eastAsia="zh-CN"/>
        </w:rPr>
      </w:pPr>
      <w:bookmarkStart w:id="76" w:name="_Toc23749712"/>
      <w:r>
        <w:rPr>
          <w:rFonts w:hint="eastAsia" w:ascii="仿宋" w:hAnsi="仿宋" w:eastAsia="仿宋" w:cs="仿宋_GB2312"/>
          <w:b w:val="0"/>
          <w:color w:val="auto"/>
          <w:spacing w:val="0"/>
          <w:sz w:val="28"/>
          <w:szCs w:val="28"/>
          <w:highlight w:val="none"/>
          <w:lang w:val="en-US" w:eastAsia="zh-CN"/>
        </w:rPr>
        <w:t>更换现场PLC控制柜和HMI柜，使该PLC控制柜满足原自控系统要求，恢复原加药间PLC控制柜设计及工艺功能。将旧加药间PLC柜工况不佳及已停产的PLC模块（CPU模块、输入输出模块、电源模块等）进行更换，并重新梳理所有加药泵、流量计、液位计、加药阀控制等设备的信号，按猎德分公司生产工艺需要，将现有设备的信号接入到旧加药间PLC站，再上传至中控室，并在中控室Intouch操作系统显示。</w:t>
      </w:r>
    </w:p>
    <w:p>
      <w:pPr>
        <w:pStyle w:val="56"/>
        <w:spacing w:before="156" w:after="156"/>
        <w:ind w:firstLine="562" w:firstLineChars="200"/>
        <w:rPr>
          <w:rFonts w:hint="eastAsia" w:ascii="仿宋" w:hAnsi="仿宋" w:eastAsia="仿宋" w:cs="仿宋_GB2312"/>
          <w:bCs w:val="0"/>
          <w:color w:val="auto"/>
          <w:spacing w:val="0"/>
          <w:sz w:val="28"/>
          <w:szCs w:val="28"/>
          <w:highlight w:val="none"/>
        </w:rPr>
      </w:pPr>
      <w:r>
        <w:rPr>
          <w:rFonts w:hint="eastAsia" w:ascii="仿宋" w:hAnsi="仿宋" w:eastAsia="仿宋" w:cs="仿宋_GB2312"/>
          <w:bCs w:val="0"/>
          <w:color w:val="auto"/>
          <w:spacing w:val="0"/>
          <w:sz w:val="28"/>
          <w:szCs w:val="28"/>
          <w:highlight w:val="none"/>
        </w:rPr>
        <w:t xml:space="preserve">（2） </w:t>
      </w:r>
      <w:r>
        <w:rPr>
          <w:rFonts w:hint="eastAsia" w:ascii="仿宋" w:hAnsi="仿宋" w:eastAsia="仿宋" w:cs="仿宋_GB2312"/>
          <w:bCs w:val="0"/>
          <w:color w:val="auto"/>
          <w:spacing w:val="0"/>
          <w:sz w:val="28"/>
          <w:szCs w:val="28"/>
          <w:highlight w:val="none"/>
          <w:lang w:val="en-US" w:eastAsia="zh-CN"/>
        </w:rPr>
        <w:t>维修</w:t>
      </w:r>
      <w:r>
        <w:rPr>
          <w:rFonts w:hint="eastAsia" w:ascii="仿宋" w:hAnsi="仿宋" w:eastAsia="仿宋" w:cs="仿宋_GB2312"/>
          <w:bCs w:val="0"/>
          <w:color w:val="auto"/>
          <w:spacing w:val="0"/>
          <w:sz w:val="28"/>
          <w:szCs w:val="28"/>
          <w:highlight w:val="none"/>
        </w:rPr>
        <w:t>原则</w:t>
      </w:r>
      <w:bookmarkEnd w:id="76"/>
    </w:p>
    <w:p>
      <w:pPr>
        <w:pStyle w:val="56"/>
        <w:spacing w:before="156" w:after="156"/>
        <w:ind w:firstLine="560" w:firstLineChars="200"/>
        <w:rPr>
          <w:rFonts w:ascii="仿宋" w:hAnsi="仿宋" w:eastAsia="仿宋" w:cs="仿宋_GB2312"/>
          <w:b w:val="0"/>
          <w:color w:val="auto"/>
          <w:spacing w:val="0"/>
          <w:sz w:val="28"/>
          <w:szCs w:val="28"/>
          <w:highlight w:val="none"/>
        </w:rPr>
      </w:pPr>
      <w:r>
        <w:rPr>
          <w:rFonts w:ascii="仿宋" w:hAnsi="仿宋" w:eastAsia="仿宋" w:cs="仿宋_GB2312"/>
          <w:b w:val="0"/>
          <w:color w:val="auto"/>
          <w:spacing w:val="0"/>
          <w:sz w:val="28"/>
          <w:szCs w:val="28"/>
          <w:highlight w:val="none"/>
        </w:rPr>
        <w:t>本设计在对本工程进行净水厂今后整体发展设计考虑的基础上</w:t>
      </w:r>
      <w:r>
        <w:rPr>
          <w:rFonts w:hint="eastAsia" w:ascii="仿宋" w:hAnsi="仿宋" w:eastAsia="仿宋" w:cs="仿宋_GB2312"/>
          <w:b w:val="0"/>
          <w:color w:val="auto"/>
          <w:spacing w:val="0"/>
          <w:sz w:val="28"/>
          <w:szCs w:val="28"/>
          <w:highlight w:val="none"/>
        </w:rPr>
        <w:t>，</w:t>
      </w:r>
      <w:r>
        <w:rPr>
          <w:rFonts w:ascii="仿宋" w:hAnsi="仿宋" w:eastAsia="仿宋" w:cs="仿宋_GB2312"/>
          <w:b w:val="0"/>
          <w:color w:val="auto"/>
          <w:spacing w:val="0"/>
          <w:sz w:val="28"/>
          <w:szCs w:val="28"/>
          <w:highlight w:val="none"/>
        </w:rPr>
        <w:t>确定PLC控制的方案</w:t>
      </w:r>
      <w:r>
        <w:rPr>
          <w:rFonts w:hint="eastAsia" w:ascii="仿宋" w:hAnsi="仿宋" w:eastAsia="仿宋" w:cs="仿宋_GB2312"/>
          <w:b w:val="0"/>
          <w:color w:val="auto"/>
          <w:spacing w:val="0"/>
          <w:sz w:val="28"/>
          <w:szCs w:val="28"/>
          <w:highlight w:val="none"/>
        </w:rPr>
        <w:t>，</w:t>
      </w:r>
      <w:r>
        <w:rPr>
          <w:rFonts w:ascii="仿宋" w:hAnsi="仿宋" w:eastAsia="仿宋" w:cs="仿宋_GB2312"/>
          <w:b w:val="0"/>
          <w:color w:val="auto"/>
          <w:spacing w:val="0"/>
          <w:sz w:val="28"/>
          <w:szCs w:val="28"/>
          <w:highlight w:val="none"/>
        </w:rPr>
        <w:t>充分考虑硬件和软件的衔接</w:t>
      </w:r>
      <w:r>
        <w:rPr>
          <w:rFonts w:hint="eastAsia" w:ascii="仿宋" w:hAnsi="仿宋" w:eastAsia="仿宋" w:cs="仿宋_GB2312"/>
          <w:b w:val="0"/>
          <w:color w:val="auto"/>
          <w:spacing w:val="0"/>
          <w:sz w:val="28"/>
          <w:szCs w:val="28"/>
          <w:highlight w:val="none"/>
        </w:rPr>
        <w:t>，</w:t>
      </w:r>
      <w:r>
        <w:rPr>
          <w:rFonts w:ascii="仿宋" w:hAnsi="仿宋" w:eastAsia="仿宋" w:cs="仿宋_GB2312"/>
          <w:b w:val="0"/>
          <w:color w:val="auto"/>
          <w:spacing w:val="0"/>
          <w:sz w:val="28"/>
          <w:szCs w:val="28"/>
          <w:highlight w:val="none"/>
        </w:rPr>
        <w:t>做到管理方便</w:t>
      </w:r>
      <w:r>
        <w:rPr>
          <w:rFonts w:hint="eastAsia" w:ascii="仿宋" w:hAnsi="仿宋" w:eastAsia="仿宋" w:cs="仿宋_GB2312"/>
          <w:b w:val="0"/>
          <w:color w:val="auto"/>
          <w:spacing w:val="0"/>
          <w:sz w:val="28"/>
          <w:szCs w:val="28"/>
          <w:highlight w:val="none"/>
        </w:rPr>
        <w:t>，与现在整个控制系统</w:t>
      </w:r>
      <w:r>
        <w:rPr>
          <w:rFonts w:ascii="仿宋" w:hAnsi="仿宋" w:eastAsia="仿宋" w:cs="仿宋_GB2312"/>
          <w:b w:val="0"/>
          <w:color w:val="auto"/>
          <w:spacing w:val="0"/>
          <w:sz w:val="28"/>
          <w:szCs w:val="28"/>
          <w:highlight w:val="none"/>
        </w:rPr>
        <w:t>无缝衔接</w:t>
      </w:r>
      <w:r>
        <w:rPr>
          <w:rFonts w:hint="eastAsia" w:ascii="仿宋" w:hAnsi="仿宋" w:eastAsia="仿宋" w:cs="仿宋_GB2312"/>
          <w:b w:val="0"/>
          <w:color w:val="auto"/>
          <w:spacing w:val="0"/>
          <w:sz w:val="28"/>
          <w:szCs w:val="28"/>
          <w:highlight w:val="none"/>
        </w:rPr>
        <w:t>以及今后扩展。</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本次</w:t>
      </w:r>
      <w:r>
        <w:rPr>
          <w:rFonts w:hint="eastAsia" w:ascii="仿宋" w:hAnsi="仿宋" w:eastAsia="仿宋" w:cs="仿宋_GB2312"/>
          <w:color w:val="auto"/>
          <w:spacing w:val="0"/>
          <w:sz w:val="28"/>
          <w:szCs w:val="28"/>
          <w:highlight w:val="none"/>
          <w:lang w:val="en-US" w:eastAsia="zh-CN"/>
        </w:rPr>
        <w:t>维修后的</w:t>
      </w:r>
      <w:r>
        <w:rPr>
          <w:rFonts w:hint="eastAsia" w:ascii="仿宋" w:hAnsi="仿宋" w:eastAsia="仿宋" w:cs="仿宋_GB2312"/>
          <w:color w:val="auto"/>
          <w:spacing w:val="0"/>
          <w:sz w:val="28"/>
          <w:szCs w:val="28"/>
          <w:highlight w:val="none"/>
        </w:rPr>
        <w:t>PLC柜网络采用冗余千兆光纤环网，无缝联入净水厂现在的冗余千兆光纤环网，并在自动化监控中心实现对本次</w:t>
      </w:r>
      <w:r>
        <w:rPr>
          <w:rFonts w:hint="eastAsia" w:ascii="仿宋" w:hAnsi="仿宋" w:eastAsia="仿宋" w:cs="仿宋_GB2312"/>
          <w:color w:val="auto"/>
          <w:spacing w:val="0"/>
          <w:sz w:val="28"/>
          <w:szCs w:val="28"/>
          <w:highlight w:val="none"/>
          <w:lang w:val="en-US" w:eastAsia="zh-CN"/>
        </w:rPr>
        <w:t>维修</w:t>
      </w:r>
      <w:r>
        <w:rPr>
          <w:rFonts w:hint="eastAsia" w:ascii="仿宋" w:hAnsi="仿宋" w:eastAsia="仿宋" w:cs="仿宋_GB2312"/>
          <w:color w:val="auto"/>
          <w:spacing w:val="0"/>
          <w:sz w:val="28"/>
          <w:szCs w:val="28"/>
          <w:highlight w:val="none"/>
        </w:rPr>
        <w:t>的</w:t>
      </w:r>
      <w:r>
        <w:rPr>
          <w:rFonts w:hint="eastAsia" w:ascii="仿宋" w:hAnsi="仿宋" w:eastAsia="仿宋" w:cs="仿宋_GB2312"/>
          <w:color w:val="auto"/>
          <w:spacing w:val="0"/>
          <w:sz w:val="28"/>
          <w:szCs w:val="28"/>
          <w:highlight w:val="none"/>
          <w:lang w:val="en-US" w:eastAsia="zh-CN"/>
        </w:rPr>
        <w:t>旧加药间</w:t>
      </w:r>
      <w:r>
        <w:rPr>
          <w:rFonts w:hint="eastAsia" w:ascii="仿宋" w:hAnsi="仿宋" w:eastAsia="仿宋" w:cs="仿宋_GB2312"/>
          <w:color w:val="auto"/>
          <w:spacing w:val="0"/>
          <w:sz w:val="28"/>
          <w:szCs w:val="28"/>
          <w:highlight w:val="none"/>
        </w:rPr>
        <w:t>所有工艺、电气设备的统一监控，满足污水处理的自动化管理要求。</w:t>
      </w:r>
    </w:p>
    <w:p>
      <w:pPr>
        <w:autoSpaceDE w:val="0"/>
        <w:autoSpaceDN w:val="0"/>
        <w:ind w:firstLine="562" w:firstLine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2</w:t>
      </w:r>
      <w:r>
        <w:rPr>
          <w:rFonts w:hint="eastAsia" w:ascii="仿宋" w:hAnsi="仿宋" w:eastAsia="仿宋" w:cs="仿宋_GB2312"/>
          <w:b/>
          <w:color w:val="auto"/>
          <w:sz w:val="28"/>
          <w:szCs w:val="28"/>
          <w:highlight w:val="none"/>
        </w:rPr>
        <w:t>.自动化控制系统要求</w:t>
      </w:r>
    </w:p>
    <w:p>
      <w:pPr>
        <w:pStyle w:val="58"/>
        <w:spacing w:before="156"/>
        <w:ind w:firstLine="703" w:firstLineChars="25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1） 系统结构</w:t>
      </w:r>
    </w:p>
    <w:p>
      <w:pPr>
        <w:pStyle w:val="57"/>
        <w:ind w:firstLine="700" w:firstLineChars="25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生产过程的监控按集中管理，分散控制的原则设计。系统采用三层结构，即管理层、控制层、设备层三个层次构成。</w:t>
      </w:r>
    </w:p>
    <w:p>
      <w:pPr>
        <w:pStyle w:val="57"/>
        <w:numPr>
          <w:ilvl w:val="0"/>
          <w:numId w:val="4"/>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管理层包括上位I/O服务器、能源管理服务器、数据服务器、接口服务器、视频服务器、工程师站、操作员站、电能管理工作站、大屏幕系统（含拼接服务器）等设备；</w:t>
      </w:r>
    </w:p>
    <w:p>
      <w:pPr>
        <w:pStyle w:val="57"/>
        <w:numPr>
          <w:ilvl w:val="0"/>
          <w:numId w:val="4"/>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控制层采用光纤工业以太网，支持I/O信息和报文的传送设置信息的优先级，有效数据共享，支持多主机、对等及混合结构。控制层为多个就地控制站组成，设备设在就地控制站，核心设备为PLC，对于距离较远且设备相对集中的地方设远程IO站。本次更换控制层设备主要包括：</w:t>
      </w:r>
      <w:r>
        <w:rPr>
          <w:rFonts w:hint="eastAsia" w:ascii="仿宋" w:hAnsi="仿宋" w:eastAsia="仿宋" w:cs="仿宋_GB2312"/>
          <w:color w:val="auto"/>
          <w:spacing w:val="0"/>
          <w:sz w:val="28"/>
          <w:szCs w:val="28"/>
          <w:highlight w:val="none"/>
          <w:lang w:val="en-US" w:eastAsia="zh-CN"/>
        </w:rPr>
        <w:t>1</w:t>
      </w:r>
      <w:r>
        <w:rPr>
          <w:rFonts w:hint="eastAsia" w:ascii="仿宋" w:hAnsi="仿宋" w:eastAsia="仿宋" w:cs="仿宋_GB2312"/>
          <w:color w:val="auto"/>
          <w:spacing w:val="0"/>
          <w:sz w:val="28"/>
          <w:szCs w:val="28"/>
          <w:highlight w:val="none"/>
        </w:rPr>
        <w:t>个</w:t>
      </w:r>
      <w:r>
        <w:rPr>
          <w:rFonts w:hint="eastAsia" w:ascii="仿宋" w:hAnsi="仿宋" w:eastAsia="仿宋" w:cs="仿宋_GB2312"/>
          <w:color w:val="auto"/>
          <w:spacing w:val="0"/>
          <w:sz w:val="28"/>
          <w:szCs w:val="28"/>
          <w:highlight w:val="none"/>
          <w:lang w:val="en-US" w:eastAsia="zh-CN"/>
        </w:rPr>
        <w:t>旧加药间</w:t>
      </w:r>
      <w:r>
        <w:rPr>
          <w:rFonts w:hint="eastAsia" w:ascii="仿宋" w:hAnsi="仿宋" w:eastAsia="仿宋" w:cs="仿宋_GB2312"/>
          <w:color w:val="auto"/>
          <w:spacing w:val="0"/>
          <w:sz w:val="28"/>
          <w:szCs w:val="28"/>
          <w:highlight w:val="none"/>
        </w:rPr>
        <w:t>PLC站和不间断电源（UPS）。</w:t>
      </w:r>
    </w:p>
    <w:p>
      <w:pPr>
        <w:pStyle w:val="57"/>
        <w:numPr>
          <w:ilvl w:val="0"/>
          <w:numId w:val="4"/>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设备层由现场仪表、阀门电动执行机构、变频器、现场设备控制箱等系统构成。所有设备控制要求：</w:t>
      </w:r>
    </w:p>
    <w:p>
      <w:pPr>
        <w:pStyle w:val="57"/>
        <w:numPr>
          <w:ilvl w:val="0"/>
          <w:numId w:val="5"/>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同一工序的同类工艺设备能轮换；</w:t>
      </w:r>
    </w:p>
    <w:p>
      <w:pPr>
        <w:pStyle w:val="57"/>
        <w:numPr>
          <w:ilvl w:val="0"/>
          <w:numId w:val="5"/>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停电以后复电，应依次启动，不能同时启动，以避免冲击。</w:t>
      </w:r>
    </w:p>
    <w:p>
      <w:pPr>
        <w:pStyle w:val="58"/>
        <w:spacing w:before="156"/>
        <w:ind w:firstLine="56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2）控制方式</w:t>
      </w:r>
    </w:p>
    <w:p>
      <w:pPr>
        <w:pStyle w:val="57"/>
        <w:ind w:firstLine="56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正常情况下，现场设备设三级控制：就地、现场</w:t>
      </w:r>
      <w:r>
        <w:rPr>
          <w:rFonts w:hint="eastAsia" w:ascii="仿宋" w:hAnsi="仿宋" w:eastAsia="仿宋" w:cs="仿宋_GB2312"/>
          <w:color w:val="auto"/>
          <w:spacing w:val="0"/>
          <w:sz w:val="28"/>
          <w:szCs w:val="28"/>
          <w:highlight w:val="none"/>
        </w:rPr>
        <w:t>PLC控制</w:t>
      </w:r>
      <w:r>
        <w:rPr>
          <w:rFonts w:ascii="仿宋" w:hAnsi="仿宋" w:eastAsia="仿宋" w:cs="仿宋_GB2312"/>
          <w:color w:val="auto"/>
          <w:spacing w:val="0"/>
          <w:sz w:val="28"/>
          <w:szCs w:val="28"/>
          <w:highlight w:val="none"/>
        </w:rPr>
        <w:t>站（包括工艺设备配套控制设备）、中控室</w:t>
      </w:r>
      <w:r>
        <w:rPr>
          <w:rFonts w:hint="eastAsia" w:ascii="仿宋" w:hAnsi="仿宋" w:eastAsia="仿宋" w:cs="仿宋_GB2312"/>
          <w:color w:val="auto"/>
          <w:spacing w:val="0"/>
          <w:sz w:val="28"/>
          <w:szCs w:val="28"/>
          <w:highlight w:val="none"/>
        </w:rPr>
        <w:t>，</w:t>
      </w:r>
      <w:r>
        <w:rPr>
          <w:rFonts w:ascii="仿宋" w:hAnsi="仿宋" w:eastAsia="仿宋" w:cs="仿宋_GB2312"/>
          <w:color w:val="auto"/>
          <w:spacing w:val="0"/>
          <w:sz w:val="28"/>
          <w:szCs w:val="28"/>
          <w:highlight w:val="none"/>
        </w:rPr>
        <w:t>本项目主要是现场PLC站。</w:t>
      </w:r>
    </w:p>
    <w:p>
      <w:pPr>
        <w:pStyle w:val="57"/>
        <w:ind w:firstLine="56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现场PL</w:t>
      </w:r>
      <w:r>
        <w:rPr>
          <w:rFonts w:hint="eastAsia" w:ascii="仿宋" w:hAnsi="仿宋" w:eastAsia="仿宋" w:cs="仿宋_GB2312"/>
          <w:color w:val="auto"/>
          <w:spacing w:val="0"/>
          <w:sz w:val="28"/>
          <w:szCs w:val="28"/>
          <w:highlight w:val="none"/>
        </w:rPr>
        <w:t>C控制站</w:t>
      </w:r>
      <w:r>
        <w:rPr>
          <w:rFonts w:ascii="仿宋" w:hAnsi="仿宋" w:eastAsia="仿宋" w:cs="仿宋_GB2312"/>
          <w:color w:val="auto"/>
          <w:spacing w:val="0"/>
          <w:sz w:val="28"/>
          <w:szCs w:val="28"/>
          <w:highlight w:val="none"/>
        </w:rPr>
        <w:t>、水厂中控室级均设有“手动/自动”两种控制方式，就地控制级设有“就地/遥控”两种方式。</w:t>
      </w:r>
    </w:p>
    <w:p>
      <w:pPr>
        <w:pStyle w:val="57"/>
        <w:ind w:firstLine="56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现场PL</w:t>
      </w:r>
      <w:r>
        <w:rPr>
          <w:rFonts w:hint="eastAsia" w:ascii="仿宋" w:hAnsi="仿宋" w:eastAsia="仿宋" w:cs="仿宋_GB2312"/>
          <w:color w:val="auto"/>
          <w:spacing w:val="0"/>
          <w:sz w:val="28"/>
          <w:szCs w:val="28"/>
          <w:highlight w:val="none"/>
        </w:rPr>
        <w:t>C控制站</w:t>
      </w:r>
      <w:r>
        <w:rPr>
          <w:rFonts w:ascii="仿宋" w:hAnsi="仿宋" w:eastAsia="仿宋" w:cs="仿宋_GB2312"/>
          <w:color w:val="auto"/>
          <w:spacing w:val="0"/>
          <w:sz w:val="28"/>
          <w:szCs w:val="28"/>
          <w:highlight w:val="none"/>
        </w:rPr>
        <w:t>与中控室控制优先权，以“申请优先”的方式，通过程序确定，为无扰动切换。</w:t>
      </w:r>
    </w:p>
    <w:p>
      <w:pPr>
        <w:pStyle w:val="57"/>
        <w:ind w:firstLine="56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当中控室监控设备发生故障，不影响</w:t>
      </w:r>
      <w:r>
        <w:rPr>
          <w:rFonts w:hint="eastAsia" w:ascii="仿宋" w:hAnsi="仿宋" w:eastAsia="仿宋" w:cs="仿宋_GB2312"/>
          <w:color w:val="auto"/>
          <w:spacing w:val="0"/>
          <w:sz w:val="28"/>
          <w:szCs w:val="28"/>
          <w:highlight w:val="none"/>
        </w:rPr>
        <w:t>污水处理生产工艺</w:t>
      </w:r>
      <w:r>
        <w:rPr>
          <w:rFonts w:ascii="仿宋" w:hAnsi="仿宋" w:eastAsia="仿宋" w:cs="仿宋_GB2312"/>
          <w:color w:val="auto"/>
          <w:spacing w:val="0"/>
          <w:sz w:val="28"/>
          <w:szCs w:val="28"/>
          <w:highlight w:val="none"/>
        </w:rPr>
        <w:t>的运行，操作人员可通过现场PLC站按预先设置的运行模式来监控</w:t>
      </w:r>
      <w:r>
        <w:rPr>
          <w:rFonts w:hint="eastAsia" w:ascii="仿宋" w:hAnsi="仿宋" w:eastAsia="仿宋" w:cs="仿宋_GB2312"/>
          <w:color w:val="auto"/>
          <w:spacing w:val="0"/>
          <w:sz w:val="28"/>
          <w:szCs w:val="28"/>
          <w:highlight w:val="none"/>
        </w:rPr>
        <w:t>生产线</w:t>
      </w:r>
      <w:r>
        <w:rPr>
          <w:rFonts w:ascii="仿宋" w:hAnsi="仿宋" w:eastAsia="仿宋" w:cs="仿宋_GB2312"/>
          <w:color w:val="auto"/>
          <w:spacing w:val="0"/>
          <w:sz w:val="28"/>
          <w:szCs w:val="28"/>
          <w:highlight w:val="none"/>
        </w:rPr>
        <w:t>的运行。</w:t>
      </w:r>
    </w:p>
    <w:p>
      <w:pPr>
        <w:pStyle w:val="57"/>
        <w:ind w:firstLine="56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当现场PLC站发生故障时，可通过就地控制级上的“就地/遥控”选择开关切换实现就地手动操作。</w:t>
      </w:r>
    </w:p>
    <w:p>
      <w:pPr>
        <w:pStyle w:val="57"/>
        <w:ind w:firstLine="56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当厂级数据通讯网络出现故障时，现场PLC站可独立完成本站的监控任务，使</w:t>
      </w:r>
      <w:r>
        <w:rPr>
          <w:rFonts w:hint="eastAsia" w:ascii="仿宋" w:hAnsi="仿宋" w:eastAsia="仿宋" w:cs="仿宋_GB2312"/>
          <w:color w:val="auto"/>
          <w:spacing w:val="0"/>
          <w:sz w:val="28"/>
          <w:szCs w:val="28"/>
          <w:highlight w:val="none"/>
        </w:rPr>
        <w:t>污水处理工艺</w:t>
      </w:r>
      <w:r>
        <w:rPr>
          <w:rFonts w:ascii="仿宋" w:hAnsi="仿宋" w:eastAsia="仿宋" w:cs="仿宋_GB2312"/>
          <w:color w:val="auto"/>
          <w:spacing w:val="0"/>
          <w:sz w:val="28"/>
          <w:szCs w:val="28"/>
          <w:highlight w:val="none"/>
        </w:rPr>
        <w:t>流程仍能正常运行。</w:t>
      </w:r>
    </w:p>
    <w:p>
      <w:pPr>
        <w:pStyle w:val="58"/>
        <w:spacing w:before="156"/>
        <w:ind w:firstLine="56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3） 通讯网络</w:t>
      </w:r>
    </w:p>
    <w:p>
      <w:pPr>
        <w:pStyle w:val="57"/>
        <w:ind w:firstLine="560"/>
        <w:rPr>
          <w:rFonts w:hint="eastAsia"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第一层：信息层</w:t>
      </w:r>
    </w:p>
    <w:p>
      <w:pPr>
        <w:pStyle w:val="57"/>
        <w:ind w:firstLine="56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由系统主服务器、数据库服务器、操作员站、工程师站、液晶拼接显示单元（配控制计算机）、便携式电脑、工业以太网交换机和网络打印机组成的控制设备构成。采用基于IEEE802.3标准的1000Mbps以太网星型网络拓扑结构。</w:t>
      </w:r>
    </w:p>
    <w:p>
      <w:pPr>
        <w:pStyle w:val="57"/>
        <w:ind w:firstLine="56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第二层：控制层</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管理层与控制层设备之间采用以光纤为主干的环形工业以太网通讯（水平布线采用屏蔽双绞线系统），通过网管型交换机的QoS管理功能，当网络处于堵塞等异常情况时能让重要流量优先、可预期地被处理，厂区生产监控网络应具有最高的处理优先级，确保生产监控的高可靠性。现场控制站节点通过光纤以太网交换机接上工业以太网主干，本期</w:t>
      </w:r>
      <w:r>
        <w:rPr>
          <w:rFonts w:hint="eastAsia" w:ascii="仿宋" w:hAnsi="仿宋" w:eastAsia="仿宋" w:cs="仿宋_GB2312"/>
          <w:color w:val="auto"/>
          <w:spacing w:val="0"/>
          <w:sz w:val="28"/>
          <w:szCs w:val="28"/>
          <w:highlight w:val="none"/>
          <w:lang w:val="en-US" w:eastAsia="zh-CN"/>
        </w:rPr>
        <w:t>旧加药间</w:t>
      </w:r>
      <w:r>
        <w:rPr>
          <w:rFonts w:hint="eastAsia" w:ascii="仿宋" w:hAnsi="仿宋" w:eastAsia="仿宋" w:cs="仿宋_GB2312"/>
          <w:color w:val="auto"/>
          <w:spacing w:val="0"/>
          <w:sz w:val="28"/>
          <w:szCs w:val="28"/>
          <w:highlight w:val="none"/>
        </w:rPr>
        <w:t>PLC柜配置1个光纤工业以太网交换机接入主干的环形工业以太网。</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第三层：设备层</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自控设备层与控制层之间采用常规I/O信号与工业以太网、现场总线通讯相结合的连接方式。</w:t>
      </w:r>
    </w:p>
    <w:p>
      <w:pPr>
        <w:pStyle w:val="58"/>
        <w:spacing w:before="156"/>
        <w:ind w:firstLine="56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4）</w:t>
      </w:r>
      <w:r>
        <w:rPr>
          <w:rFonts w:ascii="仿宋" w:hAnsi="仿宋" w:eastAsia="仿宋" w:cs="仿宋_GB2312"/>
          <w:color w:val="auto"/>
          <w:sz w:val="28"/>
          <w:szCs w:val="28"/>
          <w:highlight w:val="none"/>
        </w:rPr>
        <w:t xml:space="preserve">PLC控制站功能 </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现场PLC主站应具有下列功能：</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具有实时监测所属监控工艺流程范围内的生产过程参数（压力、流量、液位），并对采集的上述参数进行处理同时供上位机储存、显示。</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具有实时监测所属监控工艺流程范围内主要设备的运行状态，并对其进行采集、处理同时供上位机储存、显示。</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所属监控工艺流程范围内的相关工艺流程、各主要工艺设备运行状态、工艺参数，能在现场PLC柜上的人机界面（彩色触摸屏）进行动态实时显示使生产管理人员掌握当前生产运行情况。</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具有全自动控制或调节计量泵、阀门等设备。</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具有自动进行越限保护处理，和设备故障自动进行保护功能。</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对上位机的错误指令进行屏蔽处理。</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用户能自行根据工艺或其它因素的变化进行系统组态。</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具有可靠的安全措施，具有保护口令，防止越权修改程序。</w:t>
      </w:r>
    </w:p>
    <w:p>
      <w:pPr>
        <w:pStyle w:val="57"/>
        <w:numPr>
          <w:ilvl w:val="0"/>
          <w:numId w:val="6"/>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系统具有较强的自检功能和故障自恢复功能。能够承受运行中的各种干扰。</w:t>
      </w:r>
    </w:p>
    <w:p>
      <w:pPr>
        <w:pStyle w:val="57"/>
        <w:numPr>
          <w:ilvl w:val="0"/>
          <w:numId w:val="6"/>
        </w:numPr>
        <w:spacing w:before="156"/>
        <w:ind w:left="425" w:hanging="425" w:firstLineChars="0"/>
        <w:rPr>
          <w:rFonts w:hint="eastAsia" w:ascii="仿宋" w:hAnsi="仿宋" w:eastAsia="仿宋" w:cs="仿宋_GB2312"/>
          <w:color w:val="auto"/>
          <w:sz w:val="28"/>
          <w:szCs w:val="28"/>
          <w:highlight w:val="none"/>
          <w:lang w:eastAsia="zh-CN"/>
        </w:rPr>
      </w:pPr>
      <w:r>
        <w:rPr>
          <w:rFonts w:ascii="仿宋" w:hAnsi="仿宋" w:eastAsia="仿宋" w:cs="仿宋_GB2312"/>
          <w:color w:val="auto"/>
          <w:spacing w:val="0"/>
          <w:sz w:val="28"/>
          <w:szCs w:val="28"/>
          <w:highlight w:val="none"/>
        </w:rPr>
        <w:t>现场PLC柜负责向所辖区域内的仪表供电。</w:t>
      </w:r>
    </w:p>
    <w:p>
      <w:pPr>
        <w:pStyle w:val="58"/>
        <w:spacing w:before="156"/>
        <w:ind w:firstLine="56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5）系统技术指标</w:t>
      </w:r>
    </w:p>
    <w:tbl>
      <w:tblPr>
        <w:tblStyle w:val="2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735"/>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color w:val="auto"/>
                <w:highlight w:val="none"/>
              </w:rPr>
            </w:pPr>
            <w:r>
              <w:rPr>
                <w:rFonts w:hint="eastAsia"/>
                <w:color w:val="auto"/>
                <w:highlight w:val="none"/>
              </w:rPr>
              <w:t>技术指标</w:t>
            </w:r>
          </w:p>
        </w:tc>
        <w:tc>
          <w:tcPr>
            <w:tcW w:w="4261" w:type="dxa"/>
            <w:noWrap w:val="0"/>
            <w:vAlign w:val="top"/>
          </w:tcPr>
          <w:p>
            <w:pPr>
              <w:rPr>
                <w:color w:val="auto"/>
                <w:highlight w:val="none"/>
              </w:rPr>
            </w:pPr>
            <w:r>
              <w:rPr>
                <w:rFonts w:hint="eastAsia"/>
                <w:color w:val="auto"/>
                <w:highlight w:val="none"/>
              </w:rPr>
              <w:t>规定数值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color w:val="auto"/>
                <w:highlight w:val="none"/>
              </w:rPr>
            </w:pPr>
            <w:r>
              <w:rPr>
                <w:rFonts w:hint="eastAsia"/>
                <w:color w:val="auto"/>
                <w:highlight w:val="none"/>
              </w:rPr>
              <w:t>数据扫描周期</w:t>
            </w:r>
          </w:p>
        </w:tc>
        <w:tc>
          <w:tcPr>
            <w:tcW w:w="4261" w:type="dxa"/>
            <w:noWrap w:val="0"/>
            <w:vAlign w:val="top"/>
          </w:tcPr>
          <w:p>
            <w:pPr>
              <w:rPr>
                <w:color w:val="auto"/>
                <w:highlight w:val="none"/>
              </w:rPr>
            </w:pPr>
            <w:r>
              <w:rPr>
                <w:rFonts w:hint="eastAsia"/>
                <w:color w:val="auto"/>
                <w:highlight w:val="none"/>
              </w:rPr>
              <w:t>≤100ms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color w:val="auto"/>
                <w:highlight w:val="none"/>
              </w:rPr>
            </w:pPr>
            <w:r>
              <w:rPr>
                <w:rFonts w:hint="eastAsia"/>
                <w:color w:val="auto"/>
                <w:highlight w:val="none"/>
              </w:rPr>
              <w:t>数据传输时间</w:t>
            </w:r>
          </w:p>
        </w:tc>
        <w:tc>
          <w:tcPr>
            <w:tcW w:w="4261" w:type="dxa"/>
            <w:noWrap w:val="0"/>
            <w:vAlign w:val="top"/>
          </w:tcPr>
          <w:p>
            <w:pPr>
              <w:rPr>
                <w:color w:val="auto"/>
                <w:highlight w:val="none"/>
              </w:rPr>
            </w:pPr>
            <w:r>
              <w:rPr>
                <w:rFonts w:hint="eastAsia"/>
                <w:color w:val="auto"/>
                <w:highlight w:val="none"/>
              </w:rPr>
              <w:t>≤500ms（PLC至上位机）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color w:val="auto"/>
                <w:highlight w:val="none"/>
              </w:rPr>
            </w:pPr>
            <w:r>
              <w:rPr>
                <w:rFonts w:hint="eastAsia"/>
                <w:color w:val="auto"/>
                <w:highlight w:val="none"/>
              </w:rPr>
              <w:t>控制命令</w:t>
            </w:r>
            <w:r>
              <w:rPr>
                <w:rFonts w:hint="eastAsia"/>
                <w:color w:val="auto"/>
                <w:sz w:val="18"/>
                <w:szCs w:val="18"/>
                <w:highlight w:val="none"/>
              </w:rPr>
              <w:t>传送</w:t>
            </w:r>
            <w:r>
              <w:rPr>
                <w:rFonts w:hint="eastAsia"/>
                <w:color w:val="auto"/>
                <w:highlight w:val="none"/>
              </w:rPr>
              <w:t>时间</w:t>
            </w:r>
          </w:p>
        </w:tc>
        <w:tc>
          <w:tcPr>
            <w:tcW w:w="4261" w:type="dxa"/>
            <w:noWrap w:val="0"/>
            <w:vAlign w:val="top"/>
          </w:tcPr>
          <w:p>
            <w:pPr>
              <w:rPr>
                <w:color w:val="auto"/>
                <w:highlight w:val="none"/>
              </w:rPr>
            </w:pPr>
            <w:r>
              <w:rPr>
                <w:rFonts w:hint="eastAsia"/>
                <w:color w:val="auto"/>
                <w:highlight w:val="none"/>
              </w:rPr>
              <w:t>≤1s（上位机至PLC）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color w:val="auto"/>
                <w:highlight w:val="none"/>
              </w:rPr>
            </w:pPr>
            <w:r>
              <w:rPr>
                <w:rFonts w:hint="eastAsia"/>
                <w:color w:val="auto"/>
                <w:highlight w:val="none"/>
              </w:rPr>
              <w:t>实时画面数据更新周期</w:t>
            </w:r>
          </w:p>
        </w:tc>
        <w:tc>
          <w:tcPr>
            <w:tcW w:w="4261" w:type="dxa"/>
            <w:noWrap w:val="0"/>
            <w:vAlign w:val="top"/>
          </w:tcPr>
          <w:p>
            <w:pPr>
              <w:rPr>
                <w:color w:val="auto"/>
                <w:highlight w:val="none"/>
              </w:rPr>
            </w:pPr>
            <w:r>
              <w:rPr>
                <w:rFonts w:hint="eastAsia"/>
                <w:color w:val="auto"/>
                <w:highlight w:val="none"/>
              </w:rPr>
              <w:t>≤1s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color w:val="auto"/>
                <w:highlight w:val="none"/>
              </w:rPr>
            </w:pPr>
            <w:r>
              <w:rPr>
                <w:rFonts w:hint="eastAsia"/>
                <w:color w:val="auto"/>
                <w:highlight w:val="none"/>
              </w:rPr>
              <w:t>实时画面调用时间</w:t>
            </w:r>
          </w:p>
        </w:tc>
        <w:tc>
          <w:tcPr>
            <w:tcW w:w="4261" w:type="dxa"/>
            <w:noWrap w:val="0"/>
            <w:vAlign w:val="top"/>
          </w:tcPr>
          <w:p>
            <w:pPr>
              <w:rPr>
                <w:color w:val="auto"/>
                <w:highlight w:val="none"/>
              </w:rPr>
            </w:pPr>
            <w:r>
              <w:rPr>
                <w:rFonts w:hint="eastAsia"/>
                <w:color w:val="auto"/>
                <w:highlight w:val="none"/>
              </w:rPr>
              <w:t>≤3s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27" w:type="dxa"/>
            <w:gridSpan w:val="2"/>
            <w:noWrap w:val="0"/>
            <w:vAlign w:val="top"/>
          </w:tcPr>
          <w:p>
            <w:pPr>
              <w:rPr>
                <w:color w:val="auto"/>
                <w:highlight w:val="none"/>
              </w:rPr>
            </w:pPr>
            <w:r>
              <w:rPr>
                <w:rFonts w:hint="eastAsia"/>
                <w:color w:val="auto"/>
                <w:highlight w:val="none"/>
              </w:rPr>
              <w:t>平均故障间隔时间（MTBF）</w:t>
            </w:r>
          </w:p>
        </w:tc>
        <w:tc>
          <w:tcPr>
            <w:tcW w:w="4261" w:type="dxa"/>
            <w:noWrap w:val="0"/>
            <w:vAlign w:val="top"/>
          </w:tcPr>
          <w:p>
            <w:pPr>
              <w:rPr>
                <w:color w:val="auto"/>
                <w:highlight w:val="none"/>
              </w:rPr>
            </w:pPr>
            <w:r>
              <w:rPr>
                <w:rFonts w:hint="eastAsia"/>
                <w:color w:val="auto"/>
                <w:highlight w:val="none"/>
              </w:rPr>
              <w:t>≥600000h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color w:val="auto"/>
                <w:highlight w:val="none"/>
              </w:rPr>
            </w:pPr>
            <w:r>
              <w:rPr>
                <w:rFonts w:hint="eastAsia"/>
                <w:color w:val="auto"/>
                <w:highlight w:val="none"/>
              </w:rPr>
              <w:t>站间事件分辨率</w:t>
            </w:r>
          </w:p>
        </w:tc>
        <w:tc>
          <w:tcPr>
            <w:tcW w:w="4261" w:type="dxa"/>
            <w:noWrap w:val="0"/>
            <w:vAlign w:val="top"/>
          </w:tcPr>
          <w:p>
            <w:pPr>
              <w:rPr>
                <w:color w:val="auto"/>
                <w:highlight w:val="none"/>
              </w:rPr>
            </w:pPr>
            <w:r>
              <w:rPr>
                <w:rFonts w:hint="eastAsia"/>
                <w:color w:val="auto"/>
                <w:highlight w:val="none"/>
              </w:rPr>
              <w:t>≤20ms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top"/>
          </w:tcPr>
          <w:p>
            <w:pPr>
              <w:rPr>
                <w:color w:val="auto"/>
                <w:highlight w:val="none"/>
              </w:rPr>
            </w:pPr>
            <w:r>
              <w:rPr>
                <w:rFonts w:hint="eastAsia"/>
                <w:color w:val="auto"/>
                <w:highlight w:val="none"/>
              </w:rPr>
              <w:t>LAN负荷率</w:t>
            </w:r>
          </w:p>
        </w:tc>
        <w:tc>
          <w:tcPr>
            <w:tcW w:w="2735" w:type="dxa"/>
            <w:noWrap w:val="0"/>
            <w:vAlign w:val="top"/>
          </w:tcPr>
          <w:p>
            <w:pPr>
              <w:rPr>
                <w:color w:val="auto"/>
                <w:highlight w:val="none"/>
              </w:rPr>
            </w:pPr>
            <w:r>
              <w:rPr>
                <w:rFonts w:hint="eastAsia"/>
                <w:color w:val="auto"/>
                <w:highlight w:val="none"/>
              </w:rPr>
              <w:t>正常状态任意30min内</w:t>
            </w:r>
          </w:p>
        </w:tc>
        <w:tc>
          <w:tcPr>
            <w:tcW w:w="4261" w:type="dxa"/>
            <w:noWrap w:val="0"/>
            <w:vAlign w:val="top"/>
          </w:tcPr>
          <w:p>
            <w:pPr>
              <w:rPr>
                <w:color w:val="auto"/>
                <w:highlight w:val="none"/>
              </w:rPr>
            </w:pPr>
            <w:r>
              <w:rPr>
                <w:rFonts w:hint="eastAsia"/>
                <w:color w:val="auto"/>
                <w:highlight w:val="none"/>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top"/>
          </w:tcPr>
          <w:p>
            <w:pPr>
              <w:rPr>
                <w:color w:val="auto"/>
                <w:highlight w:val="none"/>
              </w:rPr>
            </w:pPr>
          </w:p>
        </w:tc>
        <w:tc>
          <w:tcPr>
            <w:tcW w:w="2735" w:type="dxa"/>
            <w:noWrap w:val="0"/>
            <w:vAlign w:val="top"/>
          </w:tcPr>
          <w:p>
            <w:pPr>
              <w:rPr>
                <w:color w:val="auto"/>
                <w:highlight w:val="none"/>
              </w:rPr>
            </w:pPr>
            <w:r>
              <w:rPr>
                <w:rFonts w:hint="eastAsia"/>
                <w:color w:val="auto"/>
                <w:highlight w:val="none"/>
              </w:rPr>
              <w:t>突发任务时10S内</w:t>
            </w:r>
          </w:p>
        </w:tc>
        <w:tc>
          <w:tcPr>
            <w:tcW w:w="4261" w:type="dxa"/>
            <w:noWrap w:val="0"/>
            <w:vAlign w:val="top"/>
          </w:tcPr>
          <w:p>
            <w:pPr>
              <w:rPr>
                <w:color w:val="auto"/>
                <w:highlight w:val="none"/>
              </w:rPr>
            </w:pPr>
            <w:r>
              <w:rPr>
                <w:rFonts w:hint="eastAsia"/>
                <w:color w:val="auto"/>
                <w:highlight w:val="none"/>
              </w:rPr>
              <w:t>&lt;30%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color w:val="auto"/>
                <w:highlight w:val="none"/>
              </w:rPr>
            </w:pPr>
            <w:r>
              <w:rPr>
                <w:rFonts w:hint="eastAsia"/>
                <w:color w:val="auto"/>
                <w:highlight w:val="none"/>
              </w:rPr>
              <w:t>通信故障恢复时间</w:t>
            </w:r>
          </w:p>
        </w:tc>
        <w:tc>
          <w:tcPr>
            <w:tcW w:w="4261" w:type="dxa"/>
            <w:noWrap w:val="0"/>
            <w:vAlign w:val="top"/>
          </w:tcPr>
          <w:p>
            <w:pPr>
              <w:rPr>
                <w:color w:val="auto"/>
                <w:highlight w:val="none"/>
              </w:rPr>
            </w:pPr>
            <w:r>
              <w:rPr>
                <w:rFonts w:hint="eastAsia"/>
                <w:color w:val="auto"/>
                <w:highlight w:val="none"/>
              </w:rPr>
              <w:t>≤0.5s</w:t>
            </w:r>
          </w:p>
        </w:tc>
      </w:tr>
    </w:tbl>
    <w:p>
      <w:pPr>
        <w:pStyle w:val="57"/>
        <w:rPr>
          <w:rFonts w:hint="eastAsia"/>
          <w:color w:val="auto"/>
          <w:highlight w:val="none"/>
        </w:rPr>
      </w:pPr>
    </w:p>
    <w:p>
      <w:pPr>
        <w:pStyle w:val="57"/>
        <w:ind w:firstLine="551" w:firstLineChars="196"/>
        <w:rPr>
          <w:rFonts w:ascii="仿宋" w:hAnsi="仿宋" w:eastAsia="仿宋" w:cs="仿宋_GB2312"/>
          <w:b/>
          <w:color w:val="auto"/>
          <w:spacing w:val="0"/>
          <w:sz w:val="28"/>
          <w:szCs w:val="28"/>
          <w:highlight w:val="none"/>
        </w:rPr>
      </w:pPr>
      <w:r>
        <w:rPr>
          <w:rFonts w:hint="eastAsia" w:ascii="仿宋" w:hAnsi="仿宋" w:eastAsia="仿宋" w:cs="仿宋_GB2312"/>
          <w:b/>
          <w:color w:val="auto"/>
          <w:spacing w:val="0"/>
          <w:sz w:val="28"/>
          <w:szCs w:val="28"/>
          <w:highlight w:val="none"/>
          <w:lang w:val="en-US" w:eastAsia="zh-CN"/>
        </w:rPr>
        <w:t>3</w:t>
      </w:r>
      <w:r>
        <w:rPr>
          <w:rFonts w:hint="eastAsia" w:ascii="仿宋" w:hAnsi="仿宋" w:eastAsia="仿宋" w:cs="仿宋_GB2312"/>
          <w:b/>
          <w:color w:val="auto"/>
          <w:spacing w:val="0"/>
          <w:sz w:val="28"/>
          <w:szCs w:val="28"/>
          <w:highlight w:val="none"/>
        </w:rPr>
        <w:t>.</w:t>
      </w:r>
      <w:bookmarkStart w:id="77" w:name="_Toc23749715"/>
      <w:r>
        <w:rPr>
          <w:rFonts w:hint="eastAsia" w:ascii="仿宋" w:hAnsi="仿宋" w:eastAsia="仿宋" w:cs="仿宋_GB2312"/>
          <w:b/>
          <w:color w:val="auto"/>
          <w:spacing w:val="0"/>
          <w:sz w:val="28"/>
          <w:szCs w:val="28"/>
          <w:highlight w:val="none"/>
          <w:lang w:val="en-US" w:eastAsia="zh-CN"/>
        </w:rPr>
        <w:t>旧加药间</w:t>
      </w:r>
      <w:r>
        <w:rPr>
          <w:rFonts w:hint="eastAsia" w:ascii="仿宋" w:hAnsi="仿宋" w:eastAsia="仿宋" w:cs="仿宋_GB2312"/>
          <w:b/>
          <w:color w:val="auto"/>
          <w:spacing w:val="0"/>
          <w:sz w:val="28"/>
          <w:szCs w:val="28"/>
          <w:highlight w:val="none"/>
        </w:rPr>
        <w:t>PLC控制站</w:t>
      </w:r>
      <w:bookmarkEnd w:id="77"/>
      <w:r>
        <w:rPr>
          <w:rFonts w:hint="eastAsia" w:ascii="仿宋" w:hAnsi="仿宋" w:eastAsia="仿宋" w:cs="仿宋_GB2312"/>
          <w:b/>
          <w:color w:val="auto"/>
          <w:spacing w:val="0"/>
          <w:sz w:val="28"/>
          <w:szCs w:val="28"/>
          <w:highlight w:val="none"/>
        </w:rPr>
        <w:t>要求说明</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原</w:t>
      </w:r>
      <w:r>
        <w:rPr>
          <w:rFonts w:hint="eastAsia" w:ascii="仿宋" w:hAnsi="仿宋" w:eastAsia="仿宋" w:cs="仿宋_GB2312"/>
          <w:color w:val="auto"/>
          <w:spacing w:val="0"/>
          <w:sz w:val="28"/>
          <w:szCs w:val="28"/>
          <w:highlight w:val="none"/>
          <w:lang w:val="en-US" w:eastAsia="zh-CN"/>
        </w:rPr>
        <w:t>旧加药间</w:t>
      </w:r>
      <w:r>
        <w:rPr>
          <w:rFonts w:hint="eastAsia" w:ascii="仿宋" w:hAnsi="仿宋" w:eastAsia="仿宋" w:cs="仿宋_GB2312"/>
          <w:color w:val="auto"/>
          <w:spacing w:val="0"/>
          <w:sz w:val="28"/>
          <w:szCs w:val="28"/>
          <w:highlight w:val="none"/>
        </w:rPr>
        <w:t>PLC控制站监控范围</w:t>
      </w:r>
      <w:r>
        <w:rPr>
          <w:rFonts w:hint="eastAsia" w:ascii="仿宋" w:hAnsi="仿宋" w:eastAsia="仿宋" w:cs="仿宋_GB2312"/>
          <w:color w:val="auto"/>
          <w:spacing w:val="0"/>
          <w:sz w:val="28"/>
          <w:szCs w:val="28"/>
          <w:highlight w:val="none"/>
          <w:lang w:val="en-US" w:eastAsia="zh-CN"/>
        </w:rPr>
        <w:t>为</w:t>
      </w:r>
      <w:r>
        <w:rPr>
          <w:rFonts w:hint="eastAsia" w:ascii="仿宋" w:hAnsi="仿宋" w:eastAsia="仿宋" w:cs="仿宋_GB2312"/>
          <w:color w:val="auto"/>
          <w:spacing w:val="0"/>
          <w:sz w:val="28"/>
          <w:szCs w:val="28"/>
          <w:highlight w:val="none"/>
        </w:rPr>
        <w:t>对应</w:t>
      </w:r>
      <w:r>
        <w:rPr>
          <w:rFonts w:hint="eastAsia" w:ascii="仿宋" w:hAnsi="仿宋" w:eastAsia="仿宋" w:cs="仿宋_GB2312"/>
          <w:color w:val="auto"/>
          <w:spacing w:val="0"/>
          <w:sz w:val="28"/>
          <w:szCs w:val="28"/>
          <w:highlight w:val="none"/>
          <w:lang w:val="en-US" w:eastAsia="zh-CN"/>
        </w:rPr>
        <w:t>加药间</w:t>
      </w:r>
      <w:r>
        <w:rPr>
          <w:rFonts w:hint="eastAsia" w:ascii="仿宋" w:hAnsi="仿宋" w:eastAsia="仿宋" w:cs="仿宋_GB2312"/>
          <w:color w:val="auto"/>
          <w:spacing w:val="0"/>
          <w:sz w:val="28"/>
          <w:szCs w:val="28"/>
          <w:highlight w:val="none"/>
        </w:rPr>
        <w:t>，对相应设备和仪表等数据采集和根据工艺要求对设备的控制，以及与中控室电脑和其他PLC站通讯，交换数据。</w:t>
      </w:r>
    </w:p>
    <w:p>
      <w:pPr>
        <w:pStyle w:val="57"/>
        <w:ind w:firstLine="560"/>
        <w:rPr>
          <w:rFonts w:ascii="仿宋" w:hAnsi="仿宋" w:eastAsia="仿宋" w:cs="仿宋_GB2312"/>
          <w:b/>
          <w:bCs/>
          <w:color w:val="auto"/>
          <w:spacing w:val="0"/>
          <w:sz w:val="28"/>
          <w:szCs w:val="28"/>
          <w:highlight w:val="none"/>
        </w:rPr>
      </w:pPr>
      <w:r>
        <w:rPr>
          <w:rFonts w:hint="eastAsia" w:ascii="仿宋" w:hAnsi="仿宋" w:eastAsia="仿宋" w:cs="仿宋_GB2312"/>
          <w:b/>
          <w:bCs/>
          <w:color w:val="auto"/>
          <w:spacing w:val="0"/>
          <w:sz w:val="28"/>
          <w:szCs w:val="28"/>
          <w:highlight w:val="none"/>
          <w:lang w:eastAsia="zh-CN"/>
        </w:rPr>
        <w:t>（</w:t>
      </w:r>
      <w:r>
        <w:rPr>
          <w:rFonts w:hint="eastAsia" w:ascii="仿宋" w:hAnsi="仿宋" w:eastAsia="仿宋" w:cs="仿宋_GB2312"/>
          <w:b/>
          <w:bCs/>
          <w:color w:val="auto"/>
          <w:spacing w:val="0"/>
          <w:sz w:val="28"/>
          <w:szCs w:val="28"/>
          <w:highlight w:val="none"/>
        </w:rPr>
        <w:t>1）</w:t>
      </w:r>
      <w:r>
        <w:rPr>
          <w:rFonts w:hint="eastAsia" w:ascii="仿宋" w:hAnsi="仿宋" w:eastAsia="仿宋" w:cs="仿宋_GB2312"/>
          <w:b/>
          <w:bCs/>
          <w:color w:val="auto"/>
          <w:spacing w:val="0"/>
          <w:sz w:val="28"/>
          <w:szCs w:val="28"/>
          <w:highlight w:val="none"/>
          <w:lang w:val="en-US" w:eastAsia="zh-CN"/>
        </w:rPr>
        <w:t>旧加药间</w:t>
      </w:r>
      <w:r>
        <w:rPr>
          <w:rFonts w:hint="eastAsia" w:ascii="仿宋" w:hAnsi="仿宋" w:eastAsia="仿宋" w:cs="仿宋_GB2312"/>
          <w:b/>
          <w:bCs/>
          <w:color w:val="auto"/>
          <w:spacing w:val="0"/>
          <w:sz w:val="28"/>
          <w:szCs w:val="28"/>
          <w:highlight w:val="none"/>
        </w:rPr>
        <w:t>PLC控制站硬件配置</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PLC控制站实现方式为现场操作终端（触摸屏）+可编程序控制器（PLC）+仪器、仪表及变送器。</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PLC站主要设备构成：</w:t>
      </w:r>
    </w:p>
    <w:p>
      <w:pPr>
        <w:pStyle w:val="57"/>
        <w:numPr>
          <w:ilvl w:val="0"/>
          <w:numId w:val="7"/>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一台现场触摸屏；</w:t>
      </w:r>
    </w:p>
    <w:p>
      <w:pPr>
        <w:pStyle w:val="57"/>
        <w:numPr>
          <w:ilvl w:val="0"/>
          <w:numId w:val="7"/>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用于本站自动控制、工艺参数采集和网络连接的PLC系统，包括CPU模块、DI、DO、AI、AO模块和各种网络通讯接口适配器等；</w:t>
      </w:r>
    </w:p>
    <w:p>
      <w:pPr>
        <w:pStyle w:val="57"/>
        <w:numPr>
          <w:ilvl w:val="0"/>
          <w:numId w:val="7"/>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过电压保护器以及各种隔离器，包括电源防雷器、断路器、熔断器，中间继电器、信号防雷器等。</w:t>
      </w:r>
    </w:p>
    <w:p>
      <w:pPr>
        <w:pStyle w:val="57"/>
        <w:numPr>
          <w:ilvl w:val="0"/>
          <w:numId w:val="7"/>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PLC柜、接线端子以及防潮、通风、照明等附件。</w:t>
      </w:r>
    </w:p>
    <w:p>
      <w:pPr>
        <w:pStyle w:val="57"/>
        <w:numPr>
          <w:ilvl w:val="0"/>
          <w:numId w:val="7"/>
        </w:numPr>
        <w:ind w:left="425" w:leftChars="0" w:hanging="425" w:firstLineChars="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UPS电源，</w:t>
      </w:r>
      <w:r>
        <w:rPr>
          <w:rFonts w:hint="eastAsia" w:ascii="仿宋" w:hAnsi="仿宋" w:eastAsia="仿宋" w:cs="仿宋_GB2312"/>
          <w:color w:val="auto"/>
          <w:spacing w:val="0"/>
          <w:sz w:val="28"/>
          <w:szCs w:val="28"/>
          <w:highlight w:val="none"/>
          <w:lang w:val="en-US" w:eastAsia="zh-CN"/>
        </w:rPr>
        <w:t>现场配备</w:t>
      </w:r>
      <w:r>
        <w:rPr>
          <w:rFonts w:hint="eastAsia" w:ascii="仿宋" w:hAnsi="仿宋" w:eastAsia="仿宋" w:cs="仿宋_GB2312"/>
          <w:color w:val="auto"/>
          <w:spacing w:val="0"/>
          <w:sz w:val="28"/>
          <w:szCs w:val="28"/>
          <w:highlight w:val="none"/>
        </w:rPr>
        <w:t>1台UPS电源。</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PLC作为控制器，现场显示控制屏作为现场人机接口，完成对工艺参数，设备的运行状态、故障状态进行监测和控制。通过网络把信号送中央控制室计算机操作站完成指示、记录、报表和报警打印等监控管理功能。</w:t>
      </w:r>
    </w:p>
    <w:p>
      <w:pPr>
        <w:pStyle w:val="57"/>
        <w:ind w:firstLine="560"/>
        <w:rPr>
          <w:rFonts w:hint="default" w:ascii="仿宋" w:hAnsi="仿宋" w:eastAsia="仿宋" w:cs="仿宋_GB2312"/>
          <w:color w:val="auto"/>
          <w:spacing w:val="0"/>
          <w:sz w:val="28"/>
          <w:szCs w:val="28"/>
          <w:highlight w:val="none"/>
          <w:lang w:val="en-US"/>
        </w:rPr>
      </w:pPr>
      <w:r>
        <w:rPr>
          <w:rFonts w:hint="eastAsia" w:ascii="仿宋" w:hAnsi="仿宋" w:eastAsia="仿宋" w:cs="仿宋_GB2312"/>
          <w:color w:val="auto"/>
          <w:spacing w:val="0"/>
          <w:sz w:val="28"/>
          <w:szCs w:val="28"/>
          <w:highlight w:val="none"/>
          <w:lang w:val="en-US" w:eastAsia="zh-CN"/>
        </w:rPr>
        <w:t>旧加药间PLC站IO配置：DI=192,DO=64,AI=32,AO=16，带工业以太网接口、现场总线MB、MB+接口；</w:t>
      </w:r>
      <w:r>
        <w:rPr>
          <w:rFonts w:hint="eastAsia" w:ascii="仿宋" w:hAnsi="仿宋" w:eastAsia="仿宋" w:cs="仿宋_GB2312"/>
          <w:color w:val="auto"/>
          <w:spacing w:val="0"/>
          <w:sz w:val="28"/>
          <w:szCs w:val="28"/>
          <w:highlight w:val="none"/>
        </w:rPr>
        <w:t>具体硬件配置</w:t>
      </w:r>
      <w:r>
        <w:rPr>
          <w:rFonts w:hint="eastAsia" w:ascii="仿宋" w:hAnsi="仿宋" w:eastAsia="仿宋" w:cs="仿宋_GB2312"/>
          <w:color w:val="auto"/>
          <w:spacing w:val="0"/>
          <w:sz w:val="28"/>
          <w:szCs w:val="28"/>
          <w:highlight w:val="none"/>
          <w:lang w:val="en-US" w:eastAsia="zh-CN"/>
        </w:rPr>
        <w:t>见工程量清单。</w:t>
      </w:r>
    </w:p>
    <w:p>
      <w:pPr>
        <w:pStyle w:val="58"/>
        <w:spacing w:before="156"/>
        <w:ind w:firstLine="56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2）PLC站网络配置</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PLC站通过网线接入光纤工业以太网交换机，交换机通过光纤接入净水厂光纤主干环网上，实现与中控室电脑和其他PLC站通讯。</w:t>
      </w:r>
    </w:p>
    <w:p>
      <w:pPr>
        <w:pStyle w:val="58"/>
        <w:spacing w:before="156"/>
        <w:ind w:firstLine="56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3）</w:t>
      </w:r>
      <w:r>
        <w:rPr>
          <w:rFonts w:hint="eastAsia" w:ascii="仿宋" w:hAnsi="仿宋" w:eastAsia="仿宋" w:cs="仿宋_GB2312"/>
          <w:color w:val="auto"/>
          <w:sz w:val="28"/>
          <w:szCs w:val="28"/>
          <w:highlight w:val="none"/>
          <w:lang w:val="en-US" w:eastAsia="zh-CN"/>
        </w:rPr>
        <w:t>旧加药间</w:t>
      </w:r>
      <w:r>
        <w:rPr>
          <w:rFonts w:hint="eastAsia" w:ascii="仿宋" w:hAnsi="仿宋" w:eastAsia="仿宋" w:cs="仿宋_GB2312"/>
          <w:color w:val="auto"/>
          <w:sz w:val="28"/>
          <w:szCs w:val="28"/>
          <w:highlight w:val="none"/>
        </w:rPr>
        <w:t>PLC控制站功能</w:t>
      </w:r>
    </w:p>
    <w:p>
      <w:pPr>
        <w:pStyle w:val="57"/>
        <w:ind w:firstLine="560"/>
        <w:rPr>
          <w:rFonts w:ascii="仿宋" w:hAnsi="仿宋" w:eastAsia="仿宋" w:cs="仿宋_GB2312"/>
          <w:color w:val="auto"/>
          <w:spacing w:val="0"/>
          <w:sz w:val="28"/>
          <w:szCs w:val="28"/>
          <w:highlight w:val="none"/>
        </w:rPr>
      </w:pPr>
      <w:r>
        <w:rPr>
          <w:rFonts w:hint="eastAsia" w:ascii="仿宋" w:hAnsi="仿宋" w:eastAsia="仿宋" w:cs="仿宋_GB2312"/>
          <w:color w:val="auto"/>
          <w:spacing w:val="0"/>
          <w:sz w:val="28"/>
          <w:szCs w:val="28"/>
          <w:highlight w:val="none"/>
        </w:rPr>
        <w:t>原PLC系统采用</w:t>
      </w:r>
      <w:r>
        <w:rPr>
          <w:rFonts w:hint="eastAsia" w:ascii="仿宋" w:hAnsi="仿宋" w:eastAsia="仿宋" w:cs="仿宋"/>
          <w:color w:val="auto"/>
          <w:sz w:val="28"/>
          <w:szCs w:val="28"/>
          <w:highlight w:val="none"/>
          <w:lang w:val="en-US" w:eastAsia="zh-CN"/>
        </w:rPr>
        <w:t>TSXP573634M</w:t>
      </w:r>
      <w:r>
        <w:rPr>
          <w:rFonts w:hint="eastAsia" w:ascii="仿宋" w:hAnsi="仿宋" w:eastAsia="仿宋" w:cs="仿宋_GB2312"/>
          <w:color w:val="auto"/>
          <w:spacing w:val="0"/>
          <w:sz w:val="28"/>
          <w:szCs w:val="28"/>
          <w:highlight w:val="none"/>
        </w:rPr>
        <w:t>处理器，PLC程序可导入新的PLC系统中，能实现原PLC系统的所有功能，再根据猎德分公司生产工艺调整需要做适当更改或根据工艺要求重新编制PLC应用程序</w:t>
      </w:r>
      <w:r>
        <w:rPr>
          <w:rFonts w:hint="eastAsia" w:ascii="仿宋" w:hAnsi="仿宋" w:eastAsia="仿宋" w:cs="仿宋_GB2312"/>
          <w:color w:val="auto"/>
          <w:spacing w:val="0"/>
          <w:sz w:val="28"/>
          <w:szCs w:val="28"/>
          <w:highlight w:val="none"/>
          <w:lang w:eastAsia="zh-CN"/>
        </w:rPr>
        <w:t>，</w:t>
      </w:r>
      <w:r>
        <w:rPr>
          <w:rFonts w:hint="eastAsia" w:ascii="仿宋" w:hAnsi="仿宋" w:eastAsia="仿宋" w:cs="仿宋_GB2312"/>
          <w:b/>
          <w:color w:val="auto"/>
          <w:spacing w:val="0"/>
          <w:sz w:val="28"/>
          <w:szCs w:val="28"/>
          <w:highlight w:val="none"/>
        </w:rPr>
        <w:t>具体细节需要中标人与猎德分公司进行二次深化设计</w:t>
      </w:r>
      <w:r>
        <w:rPr>
          <w:rFonts w:hint="eastAsia" w:ascii="仿宋" w:hAnsi="仿宋" w:eastAsia="仿宋" w:cs="仿宋_GB2312"/>
          <w:color w:val="auto"/>
          <w:spacing w:val="0"/>
          <w:sz w:val="28"/>
          <w:szCs w:val="28"/>
          <w:highlight w:val="none"/>
        </w:rPr>
        <w:t>，不限于以下功能</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具有实时监测所属监控工艺流程范围内的生产过程参数（如压力、流量、液位），并对采集的上述参数进行处理同时供上位机储存、显示。</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具有实时监测所属监控工艺流程范围内主要设备的运行状态，并对其进行采集、处理同时供上位机储存、显示。</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所属监控工艺流程范围内的相关工艺流程、各主要工艺设备运行状态、工艺参数，能在现场PLC柜上的人机界面（彩色触摸屏）进行动态实时显示使生产管理人员掌握当前生产运行情况。</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w:t>
      </w:r>
      <w:r>
        <w:rPr>
          <w:rFonts w:hint="eastAsia" w:ascii="仿宋" w:hAnsi="仿宋" w:eastAsia="仿宋" w:cs="仿宋_GB2312"/>
          <w:color w:val="auto"/>
          <w:spacing w:val="0"/>
          <w:sz w:val="28"/>
          <w:szCs w:val="28"/>
          <w:highlight w:val="none"/>
          <w:lang w:val="en-US" w:eastAsia="zh-CN"/>
        </w:rPr>
        <w:t>计量</w:t>
      </w:r>
      <w:r>
        <w:rPr>
          <w:rFonts w:ascii="仿宋" w:hAnsi="仿宋" w:eastAsia="仿宋" w:cs="仿宋_GB2312"/>
          <w:color w:val="auto"/>
          <w:spacing w:val="0"/>
          <w:sz w:val="28"/>
          <w:szCs w:val="28"/>
          <w:highlight w:val="none"/>
        </w:rPr>
        <w:t>泵、阀门等设备</w:t>
      </w:r>
      <w:r>
        <w:rPr>
          <w:rFonts w:hint="eastAsia" w:ascii="仿宋" w:hAnsi="仿宋" w:eastAsia="仿宋" w:cs="仿宋_GB2312"/>
          <w:color w:val="auto"/>
          <w:spacing w:val="0"/>
          <w:sz w:val="28"/>
          <w:szCs w:val="28"/>
          <w:highlight w:val="none"/>
        </w:rPr>
        <w:t>，</w:t>
      </w:r>
      <w:r>
        <w:rPr>
          <w:rFonts w:ascii="仿宋" w:hAnsi="仿宋" w:eastAsia="仿宋" w:cs="仿宋_GB2312"/>
          <w:color w:val="auto"/>
          <w:spacing w:val="0"/>
          <w:sz w:val="28"/>
          <w:szCs w:val="28"/>
          <w:highlight w:val="none"/>
        </w:rPr>
        <w:t>根据设备累计运行时间均衡使用设备。</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具有自动进行越限保护处理，和设备故障自动进行保护功能。</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对上位机的错误指令进行屏蔽处理。</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用户能自行根据工艺或其它因素的变化进行系统组态。</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具有可靠的安全措施，具有保护口令，防止越权修改程序。</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系统具有较强的自检功能和故障自恢复功能。能够承受运行中的各种干扰。</w:t>
      </w:r>
    </w:p>
    <w:p>
      <w:pPr>
        <w:pStyle w:val="57"/>
        <w:numPr>
          <w:ilvl w:val="0"/>
          <w:numId w:val="8"/>
        </w:numPr>
        <w:ind w:left="425" w:leftChars="0" w:hanging="425" w:firstLineChars="0"/>
        <w:rPr>
          <w:rFonts w:ascii="仿宋" w:hAnsi="仿宋" w:eastAsia="仿宋" w:cs="仿宋_GB2312"/>
          <w:color w:val="auto"/>
          <w:spacing w:val="0"/>
          <w:sz w:val="28"/>
          <w:szCs w:val="28"/>
          <w:highlight w:val="none"/>
        </w:rPr>
      </w:pPr>
      <w:r>
        <w:rPr>
          <w:rFonts w:ascii="仿宋" w:hAnsi="仿宋" w:eastAsia="仿宋" w:cs="仿宋_GB2312"/>
          <w:color w:val="auto"/>
          <w:spacing w:val="0"/>
          <w:sz w:val="28"/>
          <w:szCs w:val="28"/>
          <w:highlight w:val="none"/>
        </w:rPr>
        <w:t>现场PLC柜负责向所辖区域内的仪表供电。</w:t>
      </w:r>
    </w:p>
    <w:p>
      <w:pPr>
        <w:pStyle w:val="58"/>
        <w:spacing w:before="156"/>
        <w:ind w:firstLine="562"/>
        <w:rPr>
          <w:rFonts w:ascii="仿宋" w:hAnsi="仿宋" w:eastAsia="仿宋" w:cs="仿宋_GB2312"/>
          <w:b w:val="0"/>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4）触摸屏：</w:t>
      </w:r>
      <w:r>
        <w:rPr>
          <w:rFonts w:hint="eastAsia" w:ascii="仿宋" w:hAnsi="仿宋" w:eastAsia="仿宋" w:cs="仿宋_GB2312"/>
          <w:b w:val="0"/>
          <w:color w:val="auto"/>
          <w:sz w:val="28"/>
          <w:szCs w:val="28"/>
          <w:highlight w:val="none"/>
        </w:rPr>
        <w:t>原触摸屏是按键式老款，</w:t>
      </w:r>
      <w:r>
        <w:rPr>
          <w:rFonts w:hint="eastAsia" w:ascii="仿宋" w:hAnsi="仿宋" w:eastAsia="仿宋" w:cs="仿宋_GB2312"/>
          <w:b w:val="0"/>
          <w:color w:val="auto"/>
          <w:sz w:val="28"/>
          <w:szCs w:val="28"/>
          <w:highlight w:val="none"/>
          <w:lang w:val="en-US" w:eastAsia="zh-CN"/>
        </w:rPr>
        <w:t>已</w:t>
      </w:r>
      <w:r>
        <w:rPr>
          <w:rFonts w:hint="eastAsia" w:ascii="仿宋" w:hAnsi="仿宋" w:eastAsia="仿宋" w:cs="仿宋_GB2312"/>
          <w:b w:val="0"/>
          <w:color w:val="auto"/>
          <w:sz w:val="28"/>
          <w:szCs w:val="28"/>
          <w:highlight w:val="none"/>
        </w:rPr>
        <w:t>停产</w:t>
      </w:r>
      <w:r>
        <w:rPr>
          <w:rFonts w:hint="eastAsia" w:ascii="仿宋" w:hAnsi="仿宋" w:eastAsia="仿宋" w:cs="仿宋_GB2312"/>
          <w:b w:val="0"/>
          <w:color w:val="auto"/>
          <w:sz w:val="28"/>
          <w:szCs w:val="28"/>
          <w:highlight w:val="none"/>
          <w:lang w:eastAsia="zh-CN"/>
        </w:rPr>
        <w:t>，</w:t>
      </w:r>
      <w:r>
        <w:rPr>
          <w:rFonts w:hint="eastAsia" w:ascii="仿宋" w:hAnsi="仿宋" w:eastAsia="仿宋" w:cs="仿宋_GB2312"/>
          <w:b w:val="0"/>
          <w:color w:val="auto"/>
          <w:sz w:val="28"/>
          <w:szCs w:val="28"/>
          <w:highlight w:val="none"/>
        </w:rPr>
        <w:t>须更换</w:t>
      </w:r>
      <w:r>
        <w:rPr>
          <w:rFonts w:hint="eastAsia" w:ascii="仿宋" w:hAnsi="仿宋" w:eastAsia="仿宋" w:cs="仿宋_GB2312"/>
          <w:b w:val="0"/>
          <w:color w:val="auto"/>
          <w:sz w:val="28"/>
          <w:szCs w:val="28"/>
          <w:highlight w:val="none"/>
          <w:lang w:val="en-US" w:eastAsia="zh-CN"/>
        </w:rPr>
        <w:t>为</w:t>
      </w:r>
      <w:r>
        <w:rPr>
          <w:rFonts w:hint="eastAsia" w:ascii="仿宋" w:hAnsi="仿宋" w:eastAsia="仿宋" w:cs="仿宋_GB2312"/>
          <w:b w:val="0"/>
          <w:color w:val="auto"/>
          <w:sz w:val="28"/>
          <w:szCs w:val="28"/>
          <w:highlight w:val="none"/>
        </w:rPr>
        <w:t>12寸彩色触摸屏，带以太网接口，</w:t>
      </w:r>
      <w:r>
        <w:rPr>
          <w:rFonts w:hint="eastAsia" w:ascii="仿宋" w:hAnsi="仿宋" w:eastAsia="仿宋" w:cs="仿宋_GB2312"/>
          <w:b w:val="0"/>
          <w:color w:val="auto"/>
          <w:sz w:val="28"/>
          <w:szCs w:val="28"/>
          <w:highlight w:val="none"/>
          <w:lang w:val="en-US" w:eastAsia="zh-CN"/>
        </w:rPr>
        <w:t>参考品牌型号为施耐德</w:t>
      </w:r>
      <w:r>
        <w:rPr>
          <w:rFonts w:hint="eastAsia" w:ascii="仿宋" w:hAnsi="仿宋" w:eastAsia="仿宋" w:cs="仿宋_GB2312"/>
          <w:b w:val="0"/>
          <w:color w:val="auto"/>
          <w:sz w:val="28"/>
          <w:szCs w:val="28"/>
          <w:highlight w:val="none"/>
        </w:rPr>
        <w:t>HMIDT642</w:t>
      </w:r>
      <w:r>
        <w:rPr>
          <w:rFonts w:hint="eastAsia" w:ascii="仿宋" w:hAnsi="仿宋" w:eastAsia="仿宋" w:cs="仿宋_GB2312"/>
          <w:b w:val="0"/>
          <w:color w:val="auto"/>
          <w:sz w:val="28"/>
          <w:szCs w:val="28"/>
          <w:highlight w:val="none"/>
          <w:lang w:eastAsia="zh-CN"/>
        </w:rPr>
        <w:t>，</w:t>
      </w:r>
      <w:r>
        <w:rPr>
          <w:rFonts w:hint="eastAsia" w:ascii="仿宋" w:hAnsi="仿宋" w:eastAsia="仿宋" w:cs="仿宋_GB2312"/>
          <w:b w:val="0"/>
          <w:color w:val="auto"/>
          <w:sz w:val="28"/>
          <w:szCs w:val="28"/>
          <w:highlight w:val="none"/>
        </w:rPr>
        <w:t>触摸屏人机界面需重新开发。</w:t>
      </w:r>
    </w:p>
    <w:p>
      <w:pPr>
        <w:pStyle w:val="58"/>
        <w:spacing w:before="156"/>
        <w:ind w:firstLine="562"/>
        <w:rPr>
          <w:rFonts w:ascii="仿宋" w:hAnsi="仿宋" w:eastAsia="仿宋" w:cs="仿宋_GB2312"/>
          <w:b w:val="0"/>
          <w:color w:val="auto"/>
          <w:sz w:val="28"/>
          <w:szCs w:val="28"/>
          <w:highlight w:val="none"/>
        </w:rPr>
      </w:pP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5）UPS电源：</w:t>
      </w:r>
      <w:r>
        <w:rPr>
          <w:rFonts w:hint="eastAsia" w:ascii="仿宋" w:hAnsi="仿宋" w:eastAsia="仿宋" w:cs="仿宋_GB2312"/>
          <w:b w:val="0"/>
          <w:color w:val="auto"/>
          <w:sz w:val="28"/>
          <w:szCs w:val="28"/>
          <w:highlight w:val="none"/>
        </w:rPr>
        <w:t>原PLC站的UPS电源须</w:t>
      </w:r>
      <w:r>
        <w:rPr>
          <w:rFonts w:hint="eastAsia" w:ascii="仿宋" w:hAnsi="仿宋" w:eastAsia="仿宋" w:cs="仿宋_GB2312"/>
          <w:b w:val="0"/>
          <w:color w:val="auto"/>
          <w:sz w:val="28"/>
          <w:szCs w:val="28"/>
          <w:highlight w:val="none"/>
          <w:lang w:val="en-US" w:eastAsia="zh-CN"/>
        </w:rPr>
        <w:t>更换为与原容量一致的UPS，</w:t>
      </w:r>
      <w:r>
        <w:rPr>
          <w:rFonts w:hint="eastAsia" w:ascii="仿宋" w:hAnsi="仿宋" w:eastAsia="仿宋" w:cs="仿宋_GB2312"/>
          <w:b w:val="0"/>
          <w:color w:val="auto"/>
          <w:sz w:val="28"/>
          <w:szCs w:val="28"/>
          <w:highlight w:val="none"/>
        </w:rPr>
        <w:t>并且采用柜式不间断电源与PLC柜并列安装；</w:t>
      </w:r>
    </w:p>
    <w:p>
      <w:pPr>
        <w:pStyle w:val="14"/>
        <w:ind w:firstLine="480" w:firstLineChars="200"/>
        <w:rPr>
          <w:rFonts w:hint="default"/>
          <w:color w:val="auto"/>
          <w:highlight w:val="none"/>
          <w:lang w:val="en-US" w:eastAsia="zh-CN"/>
        </w:rPr>
      </w:pPr>
    </w:p>
    <w:p>
      <w:pPr>
        <w:pStyle w:val="14"/>
        <w:rPr>
          <w:color w:val="auto"/>
          <w:highlight w:val="none"/>
        </w:rPr>
      </w:pP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 w:hAnsi="仿宋" w:eastAsia="仿宋" w:cs="仿宋_GB2312"/>
          <w:bCs/>
          <w:color w:val="auto"/>
          <w:sz w:val="28"/>
          <w:szCs w:val="28"/>
          <w:highlight w:val="none"/>
          <w:lang w:val="en-US" w:eastAsia="zh-CN"/>
        </w:rPr>
        <w:t>60</w:t>
      </w:r>
      <w:r>
        <w:rPr>
          <w:rFonts w:hint="eastAsia" w:ascii="仿宋" w:hAnsi="仿宋" w:eastAsia="仿宋" w:cs="仿宋_GB2312"/>
          <w:bCs/>
          <w:color w:val="auto"/>
          <w:sz w:val="28"/>
          <w:szCs w:val="28"/>
          <w:highlight w:val="none"/>
        </w:rPr>
        <w:t>天。</w:t>
      </w:r>
      <w:r>
        <w:rPr>
          <w:rFonts w:hint="eastAsia" w:ascii="仿宋" w:hAnsi="仿宋" w:eastAsia="仿宋" w:cs="仿宋_GB2312"/>
          <w:bCs/>
          <w:color w:val="auto"/>
          <w:sz w:val="28"/>
          <w:szCs w:val="28"/>
          <w:highlight w:val="none"/>
          <w:lang w:val="zh-CN"/>
        </w:rPr>
        <w:t>施工期：具体日期以甲方（业主）发出的开工令为准。</w:t>
      </w: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ind w:firstLine="560" w:firstLineChars="200"/>
        <w:rPr>
          <w:rFonts w:hint="eastAsia" w:ascii="仿宋" w:hAnsi="仿宋" w:eastAsia="仿宋" w:cs="仿宋_GB2312"/>
          <w:bCs/>
          <w:color w:val="auto"/>
          <w:sz w:val="28"/>
          <w:szCs w:val="28"/>
          <w:highlight w:val="none"/>
          <w:lang w:val="zh-CN"/>
        </w:rPr>
      </w:pPr>
      <w:r>
        <w:rPr>
          <w:rFonts w:hint="eastAsia" w:ascii="仿宋" w:hAnsi="仿宋" w:eastAsia="仿宋" w:cs="仿宋_GB2312"/>
          <w:bCs/>
          <w:color w:val="auto"/>
          <w:sz w:val="28"/>
          <w:szCs w:val="28"/>
          <w:highlight w:val="none"/>
          <w:lang w:val="zh-CN"/>
        </w:rPr>
        <w:t>（</w:t>
      </w:r>
      <w:r>
        <w:rPr>
          <w:rFonts w:hint="eastAsia" w:ascii="仿宋" w:hAnsi="仿宋" w:eastAsia="仿宋" w:cs="仿宋_GB2312"/>
          <w:bCs/>
          <w:color w:val="auto"/>
          <w:sz w:val="28"/>
          <w:szCs w:val="28"/>
          <w:highlight w:val="none"/>
          <w:lang w:val="en-US" w:eastAsia="zh-CN"/>
        </w:rPr>
        <w:t>3）</w:t>
      </w:r>
      <w:r>
        <w:rPr>
          <w:rFonts w:hint="eastAsia" w:ascii="仿宋" w:hAnsi="仿宋" w:eastAsia="仿宋" w:cs="仿宋_GB2312"/>
          <w:bCs/>
          <w:color w:val="auto"/>
          <w:sz w:val="28"/>
          <w:szCs w:val="28"/>
          <w:highlight w:val="none"/>
          <w:u w:val="single"/>
          <w:lang w:val="zh-CN"/>
        </w:rPr>
        <w:t>报价单位应对</w:t>
      </w:r>
      <w:r>
        <w:rPr>
          <w:rFonts w:hint="eastAsia" w:ascii="仿宋" w:hAnsi="仿宋" w:eastAsia="仿宋" w:cs="仿宋_GB2312"/>
          <w:bCs/>
          <w:color w:val="auto"/>
          <w:sz w:val="28"/>
          <w:szCs w:val="28"/>
          <w:highlight w:val="none"/>
          <w:u w:val="single"/>
          <w:lang w:val="en-US" w:eastAsia="zh-CN"/>
        </w:rPr>
        <w:t>本项目</w:t>
      </w:r>
      <w:r>
        <w:rPr>
          <w:rFonts w:hint="eastAsia" w:ascii="仿宋" w:hAnsi="仿宋" w:eastAsia="仿宋" w:cs="仿宋_GB2312"/>
          <w:bCs/>
          <w:color w:val="auto"/>
          <w:sz w:val="28"/>
          <w:szCs w:val="28"/>
          <w:highlight w:val="none"/>
          <w:u w:val="single"/>
          <w:lang w:val="zh-CN"/>
        </w:rPr>
        <w:t>做好</w:t>
      </w:r>
      <w:r>
        <w:rPr>
          <w:rFonts w:hint="eastAsia" w:ascii="仿宋" w:hAnsi="仿宋" w:eastAsia="仿宋" w:cs="仿宋_GB2312"/>
          <w:bCs/>
          <w:color w:val="auto"/>
          <w:sz w:val="28"/>
          <w:szCs w:val="28"/>
          <w:highlight w:val="none"/>
          <w:u w:val="single"/>
          <w:lang w:val="en-US" w:eastAsia="zh-CN"/>
        </w:rPr>
        <w:t>施工</w:t>
      </w:r>
      <w:r>
        <w:rPr>
          <w:rFonts w:hint="eastAsia" w:ascii="仿宋" w:hAnsi="仿宋" w:eastAsia="仿宋" w:cs="仿宋_GB2312"/>
          <w:bCs/>
          <w:color w:val="auto"/>
          <w:sz w:val="28"/>
          <w:szCs w:val="28"/>
          <w:highlight w:val="none"/>
          <w:u w:val="single"/>
          <w:lang w:val="zh-CN"/>
        </w:rPr>
        <w:t>方案。（递交响应文件时需提供计划方案，并加盖公章）</w:t>
      </w:r>
    </w:p>
    <w:p>
      <w:pPr>
        <w:autoSpaceDE w:val="0"/>
        <w:autoSpaceDN w:val="0"/>
        <w:ind w:firstLine="560" w:firstLineChars="200"/>
        <w:rPr>
          <w:rFonts w:ascii="仿宋" w:hAnsi="仿宋" w:eastAsia="仿宋" w:cs="仿宋_GB2312"/>
          <w:bCs/>
          <w:color w:val="auto"/>
          <w:sz w:val="28"/>
          <w:szCs w:val="28"/>
          <w:highlight w:val="none"/>
        </w:rPr>
      </w:pPr>
      <w:r>
        <w:rPr>
          <w:rFonts w:hint="eastAsia" w:ascii="仿宋" w:hAnsi="仿宋" w:eastAsia="仿宋" w:cs="仿宋_GB2312"/>
          <w:bCs/>
          <w:color w:val="auto"/>
          <w:sz w:val="28"/>
          <w:szCs w:val="28"/>
          <w:highlight w:val="none"/>
          <w:lang w:val="zh-CN"/>
        </w:rPr>
        <w:t>（</w:t>
      </w:r>
      <w:r>
        <w:rPr>
          <w:rFonts w:hint="eastAsia" w:ascii="仿宋" w:hAnsi="仿宋" w:eastAsia="仿宋" w:cs="仿宋_GB2312"/>
          <w:bCs/>
          <w:color w:val="auto"/>
          <w:sz w:val="28"/>
          <w:szCs w:val="28"/>
          <w:highlight w:val="none"/>
          <w:lang w:val="en-US" w:eastAsia="zh-CN"/>
        </w:rPr>
        <w:t>4）</w:t>
      </w:r>
      <w:r>
        <w:rPr>
          <w:rFonts w:hint="eastAsia" w:ascii="仿宋" w:hAnsi="仿宋" w:eastAsia="仿宋" w:cs="仿宋_GB2312"/>
          <w:bCs/>
          <w:color w:val="auto"/>
          <w:sz w:val="28"/>
          <w:szCs w:val="28"/>
          <w:highlight w:val="none"/>
          <w:lang w:val="zh-CN"/>
        </w:rPr>
        <w:t>在项目期间，报价单位不得更换项目负责人，若我单位</w:t>
      </w:r>
      <w:r>
        <w:rPr>
          <w:rFonts w:hint="eastAsia" w:ascii="仿宋" w:hAnsi="仿宋" w:eastAsia="仿宋" w:cs="仿宋_GB2312"/>
          <w:bCs/>
          <w:color w:val="auto"/>
          <w:sz w:val="28"/>
          <w:szCs w:val="28"/>
          <w:highlight w:val="none"/>
          <w:lang w:val="en-US" w:eastAsia="zh-CN"/>
        </w:rPr>
        <w:t>在质保期内</w:t>
      </w:r>
      <w:r>
        <w:rPr>
          <w:rFonts w:hint="eastAsia" w:ascii="仿宋" w:hAnsi="仿宋" w:eastAsia="仿宋" w:cs="仿宋_GB2312"/>
          <w:bCs/>
          <w:color w:val="auto"/>
          <w:sz w:val="28"/>
          <w:szCs w:val="28"/>
          <w:highlight w:val="none"/>
          <w:lang w:val="zh-CN"/>
        </w:rPr>
        <w:t>发生设备故障等情况，应保证24小时均提供现场应急服务。</w:t>
      </w:r>
    </w:p>
    <w:p>
      <w:pPr>
        <w:pStyle w:val="2"/>
        <w:rPr>
          <w:color w:val="auto"/>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73"/>
    <w:p>
      <w:pPr>
        <w:pStyle w:val="2"/>
        <w:ind w:firstLine="0"/>
        <w:rPr>
          <w:rFonts w:hint="eastAsia"/>
          <w:color w:val="auto"/>
          <w:highlight w:val="none"/>
        </w:rPr>
      </w:pPr>
      <w:bookmarkStart w:id="78" w:name="_Toc1284"/>
      <w:bookmarkStart w:id="79" w:name="_Toc15570"/>
      <w:bookmarkStart w:id="80" w:name="_Toc4680"/>
      <w:bookmarkStart w:id="81" w:name="_Toc29835"/>
      <w:bookmarkStart w:id="82" w:name="_Toc12135"/>
      <w:bookmarkStart w:id="83" w:name="_Toc23353"/>
      <w:bookmarkStart w:id="84" w:name="_Toc18538"/>
      <w:bookmarkStart w:id="85" w:name="_Toc537"/>
      <w:bookmarkStart w:id="86" w:name="_Toc23330"/>
      <w:bookmarkStart w:id="87" w:name="_Toc1496"/>
      <w:bookmarkStart w:id="88" w:name="_Toc25925"/>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center"/>
        <w:rPr>
          <w:rFonts w:hint="eastAsia"/>
          <w:color w:val="auto"/>
          <w:highlight w:val="none"/>
        </w:rPr>
      </w:pPr>
    </w:p>
    <w:p>
      <w:pPr>
        <w:pStyle w:val="4"/>
        <w:jc w:val="center"/>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8"/>
      <w:bookmarkEnd w:id="79"/>
      <w:bookmarkEnd w:id="80"/>
      <w:bookmarkEnd w:id="81"/>
      <w:bookmarkEnd w:id="82"/>
      <w:bookmarkEnd w:id="83"/>
      <w:bookmarkEnd w:id="84"/>
      <w:bookmarkEnd w:id="85"/>
      <w:bookmarkEnd w:id="86"/>
      <w:bookmarkEnd w:id="87"/>
      <w:bookmarkEnd w:id="88"/>
    </w:p>
    <w:p>
      <w:pPr>
        <w:pStyle w:val="40"/>
        <w:rPr>
          <w:color w:val="auto"/>
          <w:highlight w:val="none"/>
        </w:rPr>
      </w:pPr>
    </w:p>
    <w:p>
      <w:pPr>
        <w:pStyle w:val="4"/>
        <w:rPr>
          <w:color w:val="auto"/>
          <w:highlight w:val="none"/>
        </w:rPr>
      </w:pPr>
      <w:bookmarkStart w:id="89" w:name="_Toc13309"/>
      <w:bookmarkStart w:id="90" w:name="_Toc12968"/>
      <w:bookmarkStart w:id="91" w:name="_Toc8183"/>
      <w:bookmarkStart w:id="92" w:name="_Toc1375"/>
      <w:bookmarkStart w:id="93" w:name="_Toc22501"/>
      <w:bookmarkStart w:id="94" w:name="_Toc12721"/>
      <w:bookmarkStart w:id="95" w:name="_Toc22797"/>
      <w:bookmarkStart w:id="96" w:name="_Toc12980"/>
      <w:bookmarkStart w:id="97" w:name="_Toc19088"/>
      <w:bookmarkStart w:id="98" w:name="_Toc87616386"/>
      <w:bookmarkStart w:id="99" w:name="_Toc88209949"/>
      <w:bookmarkStart w:id="100" w:name="_Toc323"/>
      <w:bookmarkStart w:id="101" w:name="_Toc19686"/>
      <w:r>
        <w:rPr>
          <w:rFonts w:hint="eastAsia"/>
          <w:color w:val="auto"/>
          <w:highlight w:val="none"/>
        </w:rPr>
        <w:t>合同</w:t>
      </w:r>
      <w:bookmarkEnd w:id="89"/>
      <w:bookmarkEnd w:id="90"/>
      <w:bookmarkEnd w:id="91"/>
      <w:bookmarkEnd w:id="92"/>
      <w:bookmarkEnd w:id="93"/>
      <w:bookmarkEnd w:id="94"/>
      <w:bookmarkEnd w:id="95"/>
      <w:bookmarkEnd w:id="96"/>
      <w:bookmarkEnd w:id="97"/>
      <w:bookmarkEnd w:id="98"/>
      <w:bookmarkEnd w:id="99"/>
      <w:bookmarkEnd w:id="100"/>
      <w:bookmarkEnd w:id="10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广州市净水有限公司猎德分公司维修旧加药间自控系统工程（第二次）项目</w:t>
      </w:r>
    </w:p>
    <w:p>
      <w:pPr>
        <w:pStyle w:val="50"/>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102" w:name="合同"/>
      <w:bookmarkEnd w:id="102"/>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ind w:left="0" w:leftChars="0" w:firstLine="0" w:firstLineChars="0"/>
        <w:rPr>
          <w:rFonts w:hint="eastAsia" w:ascii="宋体" w:hAnsi="宋体" w:cs="宋体"/>
          <w:b/>
          <w:color w:val="auto"/>
          <w:sz w:val="30"/>
          <w:highlight w:val="none"/>
          <w:lang w:val="zh-CN"/>
        </w:rPr>
      </w:pPr>
    </w:p>
    <w:p>
      <w:pPr>
        <w:pStyle w:val="7"/>
        <w:ind w:left="0" w:leftChars="0" w:firstLine="0" w:firstLineChars="0"/>
        <w:rPr>
          <w:rFonts w:hint="eastAsia" w:ascii="宋体" w:hAnsi="宋体" w:cs="宋体"/>
          <w:b/>
          <w:color w:val="auto"/>
          <w:sz w:val="30"/>
          <w:highlight w:val="none"/>
          <w:lang w:val="zh-CN"/>
        </w:rPr>
      </w:pP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广州市净水有限公司猎德分公司维修旧加药间自控系统工程（第二次）项目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olor w:val="auto"/>
          <w:sz w:val="24"/>
          <w:highlight w:val="none"/>
          <w:u w:val="single"/>
          <w:lang w:eastAsia="zh-CN"/>
        </w:rPr>
        <w:t>广州市净水有限公司猎德分公司维修旧加药间自控系统工程（第二次）项目</w:t>
      </w:r>
    </w:p>
    <w:p>
      <w:pPr>
        <w:spacing w:line="500" w:lineRule="exact"/>
        <w:ind w:firstLine="480" w:firstLineChars="200"/>
        <w:outlineLvl w:val="1"/>
        <w:rPr>
          <w:rFonts w:hint="default" w:hAnsi="宋体" w:cs="宋体"/>
          <w:color w:val="auto"/>
          <w:sz w:val="24"/>
          <w:szCs w:val="20"/>
          <w:highlight w:val="none"/>
          <w:lang w:val="en-US" w:eastAsia="zh-CN"/>
        </w:rPr>
      </w:pPr>
      <w:r>
        <w:rPr>
          <w:rFonts w:hint="eastAsia" w:ascii="宋体" w:hAnsi="宋体" w:cs="宋体"/>
          <w:color w:val="auto"/>
          <w:sz w:val="24"/>
          <w:highlight w:val="none"/>
        </w:rPr>
        <w:t xml:space="preserve">2.2项目地点： </w:t>
      </w:r>
      <w:r>
        <w:rPr>
          <w:rFonts w:hint="eastAsia" w:ascii="宋体" w:hAnsi="宋体" w:cs="宋体"/>
          <w:color w:val="auto"/>
          <w:sz w:val="24"/>
          <w:highlight w:val="none"/>
          <w:u w:val="single"/>
          <w:lang w:val="en-US" w:eastAsia="zh-CN"/>
        </w:rPr>
        <w:t>猎德分公司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2.4项目内容</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本项目对旧加药间自控系统进行维修。维修内容包括：将旧加药间PLC柜工况不佳及已停产的PLC模块进行维修及更换，并重新梳理所有加药泵、流量计、液位计、加药阀控制等设备的信号，按猎德分公司生产工艺需要，将现有设备的信号接入到旧加药间PLC站，再上传至中控室，并在中控室Intouch操作系统显示。</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9"/>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60天</w:t>
      </w:r>
      <w:r>
        <w:rPr>
          <w:rFonts w:hint="eastAsia" w:ascii="宋体" w:hAnsi="宋体" w:cs="宋体"/>
          <w:b/>
          <w:bCs/>
          <w:color w:val="auto"/>
          <w:sz w:val="24"/>
          <w:highlight w:val="none"/>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50"/>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 xml:space="preserve">项目验收合格后，由乙方提交申请支付资料 </w:t>
      </w:r>
      <w:r>
        <w:rPr>
          <w:rFonts w:hint="eastAsia" w:hAnsi="宋体" w:cs="宋体"/>
          <w:color w:val="auto"/>
          <w:sz w:val="24"/>
          <w:szCs w:val="24"/>
          <w:highlight w:val="none"/>
          <w:lang w:val="en-US" w:eastAsia="zh-CN"/>
        </w:rPr>
        <w:t>30</w:t>
      </w:r>
      <w:r>
        <w:rPr>
          <w:rFonts w:hint="eastAsia" w:hAnsi="宋体" w:cs="宋体"/>
          <w:color w:val="auto"/>
          <w:sz w:val="24"/>
          <w:szCs w:val="24"/>
          <w:highlight w:val="none"/>
        </w:rPr>
        <w:t xml:space="preserve"> 个工作日内，甲方支付至合同暂定总价的</w:t>
      </w:r>
      <w:r>
        <w:rPr>
          <w:rFonts w:hint="eastAsia" w:hAnsi="宋体" w:cs="宋体"/>
          <w:color w:val="auto"/>
          <w:sz w:val="24"/>
          <w:szCs w:val="24"/>
          <w:highlight w:val="none"/>
          <w:u w:val="single"/>
          <w:lang w:val="en-US" w:eastAsia="zh-CN"/>
        </w:rPr>
        <w:t>80%即     万元</w:t>
      </w:r>
      <w:r>
        <w:rPr>
          <w:rFonts w:hint="eastAsia" w:hAnsi="宋体" w:cs="宋体"/>
          <w:color w:val="auto"/>
          <w:sz w:val="24"/>
          <w:szCs w:val="24"/>
          <w:highlight w:val="none"/>
          <w:u w:val="single"/>
        </w:rPr>
        <w:t>给乙方。</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w:t>
      </w:r>
      <w:r>
        <w:rPr>
          <w:rFonts w:hint="eastAsia" w:hAnsi="宋体" w:cs="宋体"/>
          <w:color w:val="auto"/>
          <w:sz w:val="24"/>
          <w:highlight w:val="none"/>
          <w:u w:val="single"/>
          <w:lang w:val="en-US" w:eastAsia="zh-CN"/>
        </w:rPr>
        <w:t>30</w:t>
      </w:r>
      <w:r>
        <w:rPr>
          <w:rFonts w:hAnsi="宋体" w:cs="宋体"/>
          <w:color w:val="auto"/>
          <w:sz w:val="24"/>
          <w:highlight w:val="none"/>
          <w:u w:val="single"/>
        </w:rPr>
        <w:t xml:space="preserve">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3"/>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 猎德分公司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猎德分公司 </w:t>
      </w:r>
    </w:p>
    <w:p>
      <w:pPr>
        <w:numPr>
          <w:ilvl w:val="0"/>
          <w:numId w:val="10"/>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color w:val="auto"/>
          <w:sz w:val="24"/>
          <w:highlight w:val="none"/>
        </w:rPr>
      </w:pP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50"/>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p>
    <w:p>
      <w:pPr>
        <w:pStyle w:val="50"/>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陈秋彬</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020-38890587</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Theme="minorEastAsia" w:hAnsiTheme="minorEastAsia" w:eastAsiaTheme="minorEastAsia"/>
          <w:b/>
          <w:color w:val="auto"/>
          <w:sz w:val="24"/>
          <w:highlight w:val="none"/>
        </w:rPr>
      </w:pP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7"/>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50"/>
        <w:rPr>
          <w:rFonts w:hAnsi="宋体"/>
          <w:b/>
          <w:bCs/>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p>
      <w:pPr>
        <w:pStyle w:val="2"/>
        <w:rPr>
          <w:rFonts w:hint="default"/>
          <w:color w:val="auto"/>
          <w:highlight w:val="none"/>
          <w:lang w:val="en-US" w:eastAsia="zh-CN"/>
        </w:rPr>
      </w:pPr>
      <w:r>
        <w:rPr>
          <w:rFonts w:hint="eastAsia"/>
          <w:color w:val="auto"/>
          <w:highlight w:val="none"/>
          <w:lang w:val="en-US" w:eastAsia="zh-CN"/>
        </w:rPr>
        <w:t>详见响应文件格式5 报价表</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pStyle w:val="50"/>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tbl>
      <w:tblPr>
        <w:tblStyle w:val="24"/>
        <w:tblpPr w:leftFromText="180" w:rightFromText="180" w:vertAnchor="text" w:horzAnchor="page" w:tblpX="1406" w:tblpY="127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jc w:val="left"/>
        <w:rPr>
          <w:rFonts w:hint="default" w:eastAsia="宋体"/>
          <w:color w:val="auto"/>
          <w:highlight w:val="none"/>
          <w:lang w:val="en-US" w:eastAsia="zh-CN"/>
        </w:rPr>
      </w:pPr>
      <w:r>
        <w:rPr>
          <w:rFonts w:hint="eastAsia"/>
          <w:color w:val="auto"/>
          <w:highlight w:val="none"/>
          <w:lang w:val="en-US" w:eastAsia="zh-CN"/>
        </w:rPr>
        <w:t>附件8</w:t>
      </w:r>
    </w:p>
    <w:p>
      <w:pPr>
        <w:pStyle w:val="2"/>
        <w:ind w:left="0" w:leftChars="0" w:firstLine="0" w:firstLineChars="0"/>
        <w:rPr>
          <w:rFonts w:ascii="宋体" w:hAnsi="宋体" w:cs="宋体"/>
          <w:b/>
          <w:bCs/>
          <w:color w:val="auto"/>
          <w:sz w:val="24"/>
          <w:szCs w:val="24"/>
          <w:highlight w:val="none"/>
        </w:rPr>
      </w:pPr>
    </w:p>
    <w:p>
      <w:pPr>
        <w:pStyle w:val="2"/>
        <w:ind w:left="0" w:leftChars="0" w:firstLine="0" w:firstLineChars="0"/>
        <w:rPr>
          <w:rFonts w:ascii="宋体" w:hAnsi="宋体" w:cs="宋体"/>
          <w:b/>
          <w:bCs/>
          <w:color w:val="auto"/>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default"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03" w:name="_Toc30824"/>
      <w:bookmarkStart w:id="104" w:name="_Toc12169"/>
      <w:bookmarkStart w:id="105" w:name="_Toc21847"/>
      <w:bookmarkStart w:id="106" w:name="_Toc1563"/>
      <w:bookmarkStart w:id="107" w:name="_Toc6230"/>
      <w:bookmarkStart w:id="108" w:name="_Toc28358"/>
      <w:bookmarkStart w:id="109" w:name="_Toc16552"/>
      <w:bookmarkStart w:id="110" w:name="_Toc3723"/>
      <w:bookmarkStart w:id="111" w:name="_Toc8147"/>
      <w:bookmarkStart w:id="112" w:name="_Toc5129"/>
      <w:bookmarkStart w:id="113" w:name="_Toc23515"/>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3"/>
      <w:bookmarkEnd w:id="104"/>
      <w:bookmarkEnd w:id="105"/>
      <w:bookmarkEnd w:id="106"/>
      <w:bookmarkEnd w:id="107"/>
      <w:bookmarkEnd w:id="108"/>
      <w:bookmarkEnd w:id="109"/>
      <w:bookmarkEnd w:id="110"/>
      <w:bookmarkEnd w:id="111"/>
      <w:bookmarkEnd w:id="112"/>
      <w:bookmarkEnd w:id="113"/>
    </w:p>
    <w:p>
      <w:pPr>
        <w:pStyle w:val="40"/>
        <w:rPr>
          <w:color w:val="auto"/>
          <w:highlight w:val="none"/>
        </w:rPr>
      </w:pPr>
    </w:p>
    <w:p>
      <w:pPr>
        <w:pStyle w:val="4"/>
        <w:rPr>
          <w:color w:val="auto"/>
          <w:highlight w:val="none"/>
        </w:rPr>
      </w:pPr>
      <w:bookmarkStart w:id="114" w:name="_Toc10840"/>
      <w:bookmarkStart w:id="115" w:name="_Toc21675"/>
      <w:bookmarkStart w:id="116" w:name="_Toc5342"/>
      <w:bookmarkStart w:id="117" w:name="_Toc22764"/>
      <w:bookmarkStart w:id="118" w:name="_Toc12610"/>
      <w:bookmarkStart w:id="119" w:name="_Toc87616388"/>
      <w:bookmarkStart w:id="120" w:name="_Toc17119"/>
      <w:bookmarkStart w:id="121" w:name="_Toc24490"/>
      <w:bookmarkStart w:id="122" w:name="_Toc88209951"/>
      <w:bookmarkStart w:id="123" w:name="_Toc30157"/>
      <w:bookmarkStart w:id="124" w:name="_Toc31564"/>
      <w:bookmarkStart w:id="125" w:name="_Toc24815"/>
      <w:bookmarkStart w:id="126" w:name="_Toc12769"/>
      <w:r>
        <w:rPr>
          <w:rFonts w:hint="eastAsia"/>
          <w:color w:val="auto"/>
          <w:highlight w:val="none"/>
        </w:rPr>
        <w:t>响应文件</w:t>
      </w:r>
      <w:r>
        <w:rPr>
          <w:rFonts w:hint="eastAsia"/>
          <w:color w:val="auto"/>
          <w:highlight w:val="none"/>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8209952"/>
      <w:bookmarkStart w:id="128" w:name="_Toc87616389"/>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7616390"/>
      <w:bookmarkStart w:id="130" w:name="_Toc88209953"/>
      <w:r>
        <w:rPr>
          <w:rFonts w:hint="eastAsia" w:ascii="仿宋_GB2312" w:eastAsia="仿宋_GB2312"/>
          <w:color w:val="auto"/>
          <w:sz w:val="28"/>
          <w:szCs w:val="28"/>
          <w:highlight w:val="none"/>
        </w:rPr>
        <w:t>2.法定代表人证明或授权委托书</w:t>
      </w:r>
      <w:bookmarkEnd w:id="129"/>
      <w:bookmarkEnd w:id="130"/>
      <w:bookmarkStart w:id="131" w:name="_Toc88209956"/>
      <w:bookmarkStart w:id="13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3" w:name="_Toc12665"/>
      <w:bookmarkStart w:id="134" w:name="_Toc87616394"/>
      <w:bookmarkStart w:id="135" w:name="_Toc88209957"/>
      <w:bookmarkStart w:id="136" w:name="_Toc6313"/>
      <w:bookmarkStart w:id="137" w:name="_Toc28619645"/>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87616395"/>
      <w:bookmarkStart w:id="139" w:name="_Toc22527"/>
      <w:bookmarkStart w:id="140" w:name="_Toc29833"/>
      <w:bookmarkStart w:id="141"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2" w:name="_Toc87616400"/>
      <w:bookmarkStart w:id="143" w:name="_Toc19830"/>
      <w:bookmarkStart w:id="144" w:name="_Toc8086"/>
      <w:bookmarkStart w:id="145"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46"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广州市净水有限公司猎德分公司维修旧加药间自控系统工程项目（第二次）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7" w:name="_Toc32430"/>
      <w:bookmarkStart w:id="148"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（1）报价表说明</w:t>
      </w:r>
      <w:bookmarkStart w:id="149" w:name="工程量清单"/>
      <w:bookmarkEnd w:id="149"/>
    </w:p>
    <w:tbl>
      <w:tblPr>
        <w:tblStyle w:val="25"/>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pPr>
              <w:pStyle w:val="50"/>
              <w:jc w:val="center"/>
              <w:rPr>
                <w:rFonts w:hint="eastAsia" w:ascii="宋体" w:hAnsi="宋体" w:eastAsia="宋体" w:cs="宋体"/>
                <w:color w:val="auto"/>
                <w:sz w:val="24"/>
                <w:szCs w:val="24"/>
                <w:highlight w:val="none"/>
                <w:lang w:eastAsia="zh-CN"/>
              </w:rPr>
            </w:pPr>
            <w:r>
              <w:rPr>
                <w:rFonts w:hint="eastAsia" w:hAnsi="宋体" w:eastAsia="宋体" w:cs="宋体"/>
                <w:b/>
                <w:bCs/>
                <w:color w:val="auto"/>
                <w:sz w:val="24"/>
                <w:szCs w:val="24"/>
                <w:highlight w:val="none"/>
                <w:lang w:eastAsia="zh-CN"/>
              </w:rPr>
              <w:t>广州市净水有限公司</w:t>
            </w:r>
            <w:r>
              <w:rPr>
                <w:rFonts w:hint="eastAsia" w:hAnsi="宋体" w:eastAsia="宋体"/>
                <w:b/>
                <w:bCs/>
                <w:color w:val="auto"/>
                <w:highlight w:val="none"/>
                <w:lang w:eastAsia="zh-CN"/>
              </w:rPr>
              <w:t>猎德分公司维修旧加药间自控系统工程（第二次）</w:t>
            </w:r>
            <w:r>
              <w:rPr>
                <w:rFonts w:hint="eastAsia" w:hAnsi="宋体" w:eastAsia="宋体" w:cs="宋体"/>
                <w:b/>
                <w:bCs/>
                <w:color w:val="auto"/>
                <w:sz w:val="24"/>
                <w:szCs w:val="24"/>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00" w:type="dxa"/>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p>
        </w:tc>
        <w:tc>
          <w:tcPr>
            <w:tcW w:w="2986" w:type="dxa"/>
            <w:vAlign w:val="center"/>
          </w:tcPr>
          <w:p>
            <w:pPr>
              <w:pStyle w:val="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shd w:val="clear" w:color="auto" w:fill="auto"/>
            <w:vAlign w:val="center"/>
          </w:tcPr>
          <w:p>
            <w:pPr>
              <w:pStyle w:val="13"/>
              <w:spacing w:line="360" w:lineRule="auto"/>
              <w:jc w:val="center"/>
              <w:outlineLvl w:val="1"/>
              <w:rPr>
                <w:rFonts w:hint="eastAsia" w:ascii="宋体" w:hAnsi="宋体" w:eastAsia="宋体" w:cs="宋体"/>
                <w:b/>
                <w:bCs/>
                <w:color w:val="auto"/>
                <w:sz w:val="24"/>
                <w:szCs w:val="24"/>
                <w:highlight w:val="none"/>
              </w:rPr>
            </w:pPr>
          </w:p>
        </w:tc>
        <w:tc>
          <w:tcPr>
            <w:tcW w:w="4800" w:type="dxa"/>
            <w:shd w:val="clear" w:color="auto" w:fill="auto"/>
            <w:vAlign w:val="center"/>
          </w:tcPr>
          <w:p>
            <w:pPr>
              <w:pStyle w:val="13"/>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2986" w:type="dxa"/>
            <w:vAlign w:val="center"/>
          </w:tcPr>
          <w:p>
            <w:pPr>
              <w:pStyle w:val="50"/>
              <w:jc w:val="center"/>
              <w:rPr>
                <w:rFonts w:hint="eastAsia" w:ascii="宋体" w:hAnsi="宋体" w:eastAsia="宋体" w:cs="宋体"/>
                <w:color w:val="auto"/>
                <w:sz w:val="24"/>
                <w:szCs w:val="24"/>
                <w:highlight w:val="none"/>
              </w:rPr>
            </w:pPr>
          </w:p>
        </w:tc>
      </w:tr>
    </w:tbl>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p>
      <w:pPr>
        <w:pStyle w:val="10"/>
        <w:rPr>
          <w:color w:val="auto"/>
          <w:highlight w:val="none"/>
        </w:rPr>
      </w:pPr>
    </w:p>
    <w:p>
      <w:pPr>
        <w:jc w:val="center"/>
        <w:rPr>
          <w:color w:val="auto"/>
          <w:highlight w:val="none"/>
        </w:rPr>
      </w:pPr>
      <w:r>
        <w:rPr>
          <w:rFonts w:hint="eastAsia" w:ascii="宋体" w:hAnsi="宋体"/>
          <w:b/>
          <w:bCs/>
          <w:color w:val="auto"/>
          <w:kern w:val="0"/>
          <w:sz w:val="40"/>
          <w:szCs w:val="40"/>
          <w:highlight w:val="none"/>
        </w:rPr>
        <w:t>单位工程预算汇总表</w:t>
      </w:r>
    </w:p>
    <w:tbl>
      <w:tblPr>
        <w:tblStyle w:val="24"/>
        <w:tblW w:w="4998" w:type="pct"/>
        <w:tblInd w:w="0" w:type="dxa"/>
        <w:tblLayout w:type="autofit"/>
        <w:tblCellMar>
          <w:top w:w="0" w:type="dxa"/>
          <w:left w:w="108" w:type="dxa"/>
          <w:bottom w:w="0" w:type="dxa"/>
          <w:right w:w="108" w:type="dxa"/>
        </w:tblCellMar>
      </w:tblPr>
      <w:tblGrid>
        <w:gridCol w:w="550"/>
        <w:gridCol w:w="551"/>
        <w:gridCol w:w="865"/>
        <w:gridCol w:w="1046"/>
        <w:gridCol w:w="2200"/>
        <w:gridCol w:w="416"/>
        <w:gridCol w:w="24"/>
        <w:gridCol w:w="603"/>
        <w:gridCol w:w="1036"/>
        <w:gridCol w:w="4"/>
        <w:gridCol w:w="1110"/>
        <w:gridCol w:w="647"/>
        <w:gridCol w:w="4"/>
      </w:tblGrid>
      <w:tr>
        <w:tblPrEx>
          <w:tblCellMar>
            <w:top w:w="0" w:type="dxa"/>
            <w:left w:w="108" w:type="dxa"/>
            <w:bottom w:w="0" w:type="dxa"/>
            <w:right w:w="108" w:type="dxa"/>
          </w:tblCellMar>
        </w:tblPrEx>
        <w:trPr>
          <w:gridAfter w:val="1"/>
          <w:wAfter w:w="4" w:type="dxa"/>
          <w:trHeight w:val="375" w:hRule="atLeast"/>
        </w:trPr>
        <w:tc>
          <w:tcPr>
            <w:tcW w:w="608"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序号</w:t>
            </w:r>
          </w:p>
        </w:tc>
        <w:tc>
          <w:tcPr>
            <w:tcW w:w="2512"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汇总内容</w:t>
            </w:r>
          </w:p>
        </w:tc>
        <w:tc>
          <w:tcPr>
            <w:tcW w:w="907"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金额:(元)</w:t>
            </w:r>
          </w:p>
        </w:tc>
        <w:tc>
          <w:tcPr>
            <w:tcW w:w="970"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其中：暂估价(元)</w:t>
            </w: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分部分项合计</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措施合计</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2.1</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绿色施工安全防护措施费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2.2</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其他措施费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其他项目</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3.1</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暂列金额</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3.2</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暂估价</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3.3</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计日工</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3.4</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总承包服务费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3.5</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预算包干费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3.6</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工程优质费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3.7</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概算幅度差</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3.8</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索赔费用</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3.9</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现场签证费用</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3.10</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其他费用</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4</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税前工程造价</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5</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增值税销项税额</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6</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总造价</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7</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人工费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3121"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招标控制价合计=1+2+3+5</w:t>
            </w:r>
          </w:p>
        </w:tc>
        <w:tc>
          <w:tcPr>
            <w:tcW w:w="907"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highlight w:val="none"/>
              </w:rPr>
            </w:pPr>
          </w:p>
        </w:tc>
        <w:tc>
          <w:tcPr>
            <w:tcW w:w="970"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cs="宋体"/>
                <w:color w:val="auto"/>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78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57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21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34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544"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7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1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61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7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1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1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UPS电源及配电柜</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031101007001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UPS电源及配电柜</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1.规格:不间断电源3KVA,1H，柜内含UPS配电分配开关，含散热风扇、电池层架，防雷接地等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2.型号:不间断电源3KVA,1H</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UPS电源及配电柜合计</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一二三期加药间PLC站</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030502001006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IO机架</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1.名称:IO机架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2.型号规格:BMXXBP1200,12槽，电源不占槽位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3.安装方式:柜内安装</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030904008046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1.名称:电源模块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2.型号:BMXCPS3020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3.规格:36W，100-240V AC输入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4.输出形式:240V AC输入</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030904008047</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CPU处理器模块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1.名称:CPU处理器模块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2.型号:BMEP584040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3.规格:M580 ePAC 高性能Level 40 单机处理器，18MB，支持DIO和RIO</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030904008048</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以太网模块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1.名称:以太网模块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2.型号:BMENOC0301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3.类型:Modbus TCP和EtherNet/IP，10/100M，3个RJ45 Ethernet 口， 支持菊花链（环）拓扑结构，仅支持Modicon ePAC CPU</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030904008049</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数字量输入模块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1.名称:数字量输入模块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2.型号:BMXDDI6402K</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3.规格:64点输入24VDC，漏型，IEC3类，1×FCN40点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030904008050</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数字量输出模块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1.名称:数字量输出模块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2.型号:BMXDDO6402K</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3.规格:64点输出24VDC晶体管，0.1A,源型，  通道间诊断和保护，1×FCN40点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030904008051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模拟量输入模块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1.名称:模拟量输入模块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2.型号:BMXAMI0810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3.规格:隔离模拟量输入，8通道，多量程(电压/电流） ，高速，高精度：16位  ，通道间隔离</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030904008052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模拟量输出模块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1.名称:模拟量输出模块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2.型号:BMXAMO0802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3.规格:8通道，多量程（电流），高速，高精度：16位 ，通道间非隔离</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030904008053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现场总线通讯模块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1.名称:现场总线通讯模块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2.型号:BMXNOM0200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3.规格:MB现场总线通讯模块，2通道串行，1 * RS232/485 + 1 * RS485</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030608010006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离散量输入/输出电缆</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1.名称:离散量输入/输出电缆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2.型号:BMXFCW303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3.规格:1×FCN连接头， 2×20根带有颜色编码的飞线，长度：3M</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030404032013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端子式继电器</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1.名称:端子式继电器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2.型号:PLC-BSC-24DC</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030404032011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端子块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1.名称:端子块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2.型号:BMXFTB2820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3.规格:压线式端子块（28点）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030404032012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螺钉端子块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1.名称:螺钉端子块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2.型号:BMXFTB2020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3.规格:螺钉端子块（20点）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031101001006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直流电源</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1.种类:直流电源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2.规格:24V 10A</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粤030503011006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触摸屏</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1.名称:触摸屏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2.型号:HMIDT642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3.规格:12寸彩色触摸屏，带以太网接口</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030404004006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PLC控制柜</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1.名称:一二三期加药间PLC柜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2.型号:宽800*厚600*高2000，单面双开门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3.规格:含照明、散热风扇及滤网、门限开关、柜内配电、隔离继电器、防雷接地等</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030404004007</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不锈钢现场控制箱</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1.名称：不锈钢现场控制箱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2.型号:宽500*厚400*高6000，单面双开门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3.规格:可视、防雨，带1000mm高立柱，4个动力回路及按钮指示灯</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03B031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控制柜辅材、装配、接线、出厂测试、包装、运输</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辅材包括：微断、保险盒、端子、线耳、接地铜条、电线等；</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03B032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现场电气查线、设计</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03B033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PLC柜程序修改、转换、远程I/O机架、RS485现场总线</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Modicon Quantum改为Modicon M580，远程I/O站点软件、现场RS485总线</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030501017011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中控室组态软件，报警、趋势、数据库修改</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Modicon Quantum改为Modicon M580，Intouch组态软件修改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030501017012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现场触摸屏程序编制</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由XBTGT6330改为HMIDT642，需重新编程</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03B034</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原PLC柜拆除</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03B035</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PLC柜现场安装</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新PLC机柜安装，电气连接，光纤熔接，网络连接，电缆整理，安装耗材，图纸完善等</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030503009006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PLC系统安装调试</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1.名称:PLC系统安装调试</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pStyle w:val="50"/>
        <w:rPr>
          <w:rFonts w:hAnsi="宋体" w:eastAsia="宋体"/>
          <w:b/>
          <w:bCs/>
          <w:color w:val="auto"/>
          <w:sz w:val="21"/>
          <w:szCs w:val="21"/>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
        <w:gridCol w:w="1469"/>
        <w:gridCol w:w="843"/>
        <w:gridCol w:w="992"/>
        <w:gridCol w:w="537"/>
        <w:gridCol w:w="916"/>
        <w:gridCol w:w="601"/>
        <w:gridCol w:w="701"/>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7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254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分部分项人工费+分部分项机械费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宋体" w:hAnsi="宋体" w:eastAsia="宋体" w:cs="宋体"/>
                <w:i w:val="0"/>
                <w:iCs w:val="0"/>
                <w:color w:val="auto"/>
                <w:sz w:val="20"/>
                <w:szCs w:val="20"/>
                <w:highlight w:val="none"/>
                <w:u w:val="none"/>
                <w:lang w:val="en-US"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3871.17</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lang w:bidi="ar"/>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分部分项人工费+分部分项机械费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交通疏解员增加费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按照项目分部分项人工费的15%计算（有方案的按照方案计算），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粤041109008001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分部分项人工费+分部分项机械费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赶工措施费=（1-δ）*分部分项的（人工费+施工机具费）*0.30 （0.8≤δ＜1   式中：δ=合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bl>
    <w:p>
      <w:pPr>
        <w:pStyle w:val="31"/>
        <w:rPr>
          <w:rFonts w:hint="eastAsia" w:ascii="仿宋" w:hAnsi="仿宋" w:eastAsia="仿宋" w:cs="仿宋_GB2312"/>
          <w:b/>
          <w:color w:val="auto"/>
          <w:sz w:val="28"/>
          <w:szCs w:val="28"/>
          <w:highlight w:val="none"/>
        </w:rPr>
      </w:pPr>
    </w:p>
    <w:p>
      <w:pPr>
        <w:pStyle w:val="31"/>
        <w:rPr>
          <w:rFonts w:hint="eastAsia" w:ascii="仿宋" w:hAnsi="仿宋" w:eastAsia="仿宋" w:cs="仿宋_GB2312"/>
          <w:b/>
          <w:color w:val="auto"/>
          <w:sz w:val="28"/>
          <w:szCs w:val="28"/>
          <w:highlight w:val="none"/>
        </w:rPr>
      </w:pPr>
    </w:p>
    <w:p>
      <w:pPr>
        <w:pStyle w:val="31"/>
        <w:rPr>
          <w:rFonts w:hint="eastAsia" w:ascii="仿宋" w:hAnsi="仿宋" w:eastAsia="仿宋" w:cs="仿宋_GB2312"/>
          <w:b/>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6"/>
        <w:rPr>
          <w:rFonts w:hint="eastAsia" w:asciiTheme="majorEastAsia" w:hAnsiTheme="majorEastAsia" w:eastAsiaTheme="majorEastAsia"/>
          <w:color w:val="auto"/>
          <w:sz w:val="28"/>
          <w:szCs w:val="28"/>
          <w:highlight w:val="none"/>
        </w:rPr>
      </w:pPr>
      <w:bookmarkStart w:id="150" w:name="_Toc6058"/>
      <w:bookmarkStart w:id="151" w:name="_Toc87616402"/>
      <w:bookmarkStart w:id="152" w:name="_Toc16386"/>
      <w:bookmarkStart w:id="153"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0"/>
      <w:bookmarkEnd w:id="151"/>
      <w:bookmarkEnd w:id="152"/>
      <w:bookmarkEnd w:id="153"/>
    </w:p>
    <w:p>
      <w:pPr>
        <w:rPr>
          <w:color w:val="auto"/>
          <w:highlight w:val="none"/>
        </w:rPr>
      </w:pPr>
    </w:p>
    <w:p>
      <w:pPr>
        <w:numPr>
          <w:ilvl w:val="0"/>
          <w:numId w:val="11"/>
        </w:numPr>
        <w:adjustRightInd w:val="0"/>
        <w:snapToGrid w:val="0"/>
        <w:spacing w:line="600" w:lineRule="exact"/>
        <w:ind w:firstLine="570"/>
        <w:rPr>
          <w:rFonts w:hint="eastAsia" w:ascii="仿宋_GB2312" w:eastAsia="仿宋_GB2312" w:hAnsiTheme="minorEastAsia"/>
          <w:color w:val="auto"/>
          <w:sz w:val="28"/>
          <w:szCs w:val="28"/>
          <w:highlight w:val="none"/>
          <w:lang w:val="zh-CN"/>
        </w:rPr>
      </w:pPr>
      <w:r>
        <w:rPr>
          <w:rFonts w:hint="eastAsia" w:ascii="仿宋_GB2312" w:eastAsia="仿宋_GB2312" w:hAnsiTheme="minorEastAsia"/>
          <w:color w:val="auto"/>
          <w:sz w:val="28"/>
          <w:szCs w:val="28"/>
          <w:highlight w:val="none"/>
          <w:lang w:val="zh-CN"/>
        </w:rPr>
        <w:t>报价单位应对</w:t>
      </w:r>
      <w:r>
        <w:rPr>
          <w:rFonts w:hint="eastAsia" w:ascii="仿宋_GB2312" w:eastAsia="仿宋_GB2312" w:hAnsiTheme="minorEastAsia"/>
          <w:color w:val="auto"/>
          <w:sz w:val="28"/>
          <w:szCs w:val="28"/>
          <w:highlight w:val="none"/>
          <w:lang w:val="en-US" w:eastAsia="zh-CN"/>
        </w:rPr>
        <w:t>本项目</w:t>
      </w:r>
      <w:r>
        <w:rPr>
          <w:rFonts w:hint="eastAsia" w:ascii="仿宋_GB2312" w:eastAsia="仿宋_GB2312" w:hAnsiTheme="minorEastAsia"/>
          <w:color w:val="auto"/>
          <w:sz w:val="28"/>
          <w:szCs w:val="28"/>
          <w:highlight w:val="none"/>
          <w:lang w:val="zh-CN"/>
        </w:rPr>
        <w:t>做好</w:t>
      </w:r>
      <w:r>
        <w:rPr>
          <w:rFonts w:hint="eastAsia" w:ascii="仿宋_GB2312" w:eastAsia="仿宋_GB2312" w:hAnsiTheme="minorEastAsia"/>
          <w:color w:val="auto"/>
          <w:sz w:val="28"/>
          <w:szCs w:val="28"/>
          <w:highlight w:val="none"/>
          <w:lang w:val="en-US" w:eastAsia="zh-CN"/>
        </w:rPr>
        <w:t>施工</w:t>
      </w:r>
      <w:r>
        <w:rPr>
          <w:rFonts w:hint="eastAsia" w:ascii="仿宋_GB2312" w:eastAsia="仿宋_GB2312" w:hAnsiTheme="minorEastAsia"/>
          <w:color w:val="auto"/>
          <w:sz w:val="28"/>
          <w:szCs w:val="28"/>
          <w:highlight w:val="none"/>
          <w:lang w:val="zh-CN"/>
        </w:rPr>
        <w:t>方案。（递交响应文件时需提供计划方案，并加盖公章）</w:t>
      </w:r>
    </w:p>
    <w:p>
      <w:pPr>
        <w:pStyle w:val="2"/>
        <w:numPr>
          <w:ilvl w:val="-1"/>
          <w:numId w:val="0"/>
        </w:numPr>
        <w:ind w:left="420" w:firstLine="0"/>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2.</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16EB4"/>
    <w:multiLevelType w:val="singleLevel"/>
    <w:tmpl w:val="83516EB4"/>
    <w:lvl w:ilvl="0" w:tentative="0">
      <w:start w:val="1"/>
      <w:numFmt w:val="upperLetter"/>
      <w:lvlText w:val="%1."/>
      <w:lvlJc w:val="left"/>
      <w:pPr>
        <w:ind w:left="425" w:hanging="425"/>
      </w:pPr>
      <w:rPr>
        <w:rFonts w:hint="default"/>
      </w:rPr>
    </w:lvl>
  </w:abstractNum>
  <w:abstractNum w:abstractNumId="1">
    <w:nsid w:val="91154758"/>
    <w:multiLevelType w:val="singleLevel"/>
    <w:tmpl w:val="91154758"/>
    <w:lvl w:ilvl="0" w:tentative="0">
      <w:start w:val="1"/>
      <w:numFmt w:val="upperLetter"/>
      <w:lvlText w:val="%1."/>
      <w:lvlJc w:val="left"/>
      <w:pPr>
        <w:ind w:left="425" w:hanging="425"/>
      </w:pPr>
      <w:rPr>
        <w:rFonts w:hint="default"/>
      </w:rPr>
    </w:lvl>
  </w:abstractNum>
  <w:abstractNum w:abstractNumId="2">
    <w:nsid w:val="AF404009"/>
    <w:multiLevelType w:val="singleLevel"/>
    <w:tmpl w:val="AF404009"/>
    <w:lvl w:ilvl="0" w:tentative="0">
      <w:start w:val="1"/>
      <w:numFmt w:val="lowerLetter"/>
      <w:lvlText w:val="%1."/>
      <w:lvlJc w:val="left"/>
      <w:pPr>
        <w:ind w:left="425" w:hanging="425"/>
      </w:pPr>
      <w:rPr>
        <w:rFonts w:hint="default"/>
      </w:rPr>
    </w:lvl>
  </w:abstractNum>
  <w:abstractNum w:abstractNumId="3">
    <w:nsid w:val="B302B05F"/>
    <w:multiLevelType w:val="singleLevel"/>
    <w:tmpl w:val="B302B05F"/>
    <w:lvl w:ilvl="0" w:tentative="0">
      <w:start w:val="1"/>
      <w:numFmt w:val="decimal"/>
      <w:suff w:val="nothing"/>
      <w:lvlText w:val="（%1）"/>
      <w:lvlJc w:val="left"/>
    </w:lvl>
  </w:abstractNum>
  <w:abstractNum w:abstractNumId="4">
    <w:nsid w:val="B3ED48C8"/>
    <w:multiLevelType w:val="singleLevel"/>
    <w:tmpl w:val="B3ED48C8"/>
    <w:lvl w:ilvl="0" w:tentative="0">
      <w:start w:val="1"/>
      <w:numFmt w:val="upperLetter"/>
      <w:lvlText w:val="%1."/>
      <w:lvlJc w:val="left"/>
      <w:pPr>
        <w:ind w:left="425" w:hanging="425"/>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CD4AA885"/>
    <w:multiLevelType w:val="singleLevel"/>
    <w:tmpl w:val="CD4AA885"/>
    <w:lvl w:ilvl="0" w:tentative="0">
      <w:start w:val="1"/>
      <w:numFmt w:val="upperLetter"/>
      <w:lvlText w:val="%1."/>
      <w:lvlJc w:val="left"/>
      <w:pPr>
        <w:ind w:left="425" w:hanging="425"/>
      </w:pPr>
      <w:rPr>
        <w:rFonts w:hint="default"/>
      </w:rPr>
    </w:lvl>
  </w:abstractNum>
  <w:abstractNum w:abstractNumId="7">
    <w:nsid w:val="F474C9A6"/>
    <w:multiLevelType w:val="singleLevel"/>
    <w:tmpl w:val="F474C9A6"/>
    <w:lvl w:ilvl="0" w:tentative="0">
      <w:start w:val="10"/>
      <w:numFmt w:val="chineseCounting"/>
      <w:suff w:val="space"/>
      <w:lvlText w:val="第%1条"/>
      <w:lvlJc w:val="left"/>
      <w:rPr>
        <w:rFonts w:hint="eastAsia"/>
      </w:rPr>
    </w:lvl>
  </w:abstractNum>
  <w:abstractNum w:abstractNumId="8">
    <w:nsid w:val="4734DCE6"/>
    <w:multiLevelType w:val="singleLevel"/>
    <w:tmpl w:val="4734DCE6"/>
    <w:lvl w:ilvl="0" w:tentative="0">
      <w:start w:val="1"/>
      <w:numFmt w:val="decimal"/>
      <w:lvlText w:val="%1."/>
      <w:lvlJc w:val="left"/>
      <w:pPr>
        <w:tabs>
          <w:tab w:val="left" w:pos="312"/>
        </w:tabs>
      </w:pPr>
    </w:lvl>
  </w:abstractNum>
  <w:abstractNum w:abstractNumId="9">
    <w:nsid w:val="6F403782"/>
    <w:multiLevelType w:val="singleLevel"/>
    <w:tmpl w:val="6F403782"/>
    <w:lvl w:ilvl="0" w:tentative="0">
      <w:start w:val="1"/>
      <w:numFmt w:val="decimal"/>
      <w:lvlText w:val="%1."/>
      <w:lvlJc w:val="left"/>
      <w:pPr>
        <w:tabs>
          <w:tab w:val="left" w:pos="312"/>
        </w:tabs>
      </w:pPr>
    </w:lvl>
  </w:abstractNum>
  <w:abstractNum w:abstractNumId="10">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0"/>
  </w:num>
  <w:num w:numId="3">
    <w:abstractNumId w:val="8"/>
  </w:num>
  <w:num w:numId="4">
    <w:abstractNumId w:val="6"/>
  </w:num>
  <w:num w:numId="5">
    <w:abstractNumId w:val="2"/>
  </w:num>
  <w:num w:numId="6">
    <w:abstractNumId w:val="0"/>
  </w:num>
  <w:num w:numId="7">
    <w:abstractNumId w:val="1"/>
  </w:num>
  <w:num w:numId="8">
    <w:abstractNumId w:val="4"/>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DC5628"/>
    <w:rsid w:val="00F83B64"/>
    <w:rsid w:val="01693DA9"/>
    <w:rsid w:val="01A441C4"/>
    <w:rsid w:val="02090C75"/>
    <w:rsid w:val="026A1699"/>
    <w:rsid w:val="02A23A3C"/>
    <w:rsid w:val="02B86948"/>
    <w:rsid w:val="033E3595"/>
    <w:rsid w:val="034F6853"/>
    <w:rsid w:val="03AC246A"/>
    <w:rsid w:val="03B23056"/>
    <w:rsid w:val="03DC3EBA"/>
    <w:rsid w:val="03F9794D"/>
    <w:rsid w:val="046A2461"/>
    <w:rsid w:val="054F221B"/>
    <w:rsid w:val="065A53BA"/>
    <w:rsid w:val="0685597A"/>
    <w:rsid w:val="06C64829"/>
    <w:rsid w:val="06E00919"/>
    <w:rsid w:val="073E03D2"/>
    <w:rsid w:val="077D16D2"/>
    <w:rsid w:val="08675FC8"/>
    <w:rsid w:val="089E342C"/>
    <w:rsid w:val="08F46FC3"/>
    <w:rsid w:val="090856DB"/>
    <w:rsid w:val="09B713FD"/>
    <w:rsid w:val="09EF6ACC"/>
    <w:rsid w:val="0A315056"/>
    <w:rsid w:val="0A3420AE"/>
    <w:rsid w:val="0AFB45AD"/>
    <w:rsid w:val="0B351E9B"/>
    <w:rsid w:val="0B4C50D3"/>
    <w:rsid w:val="0B806B92"/>
    <w:rsid w:val="0B827E94"/>
    <w:rsid w:val="0BD070E1"/>
    <w:rsid w:val="0C247926"/>
    <w:rsid w:val="0CAC4BB4"/>
    <w:rsid w:val="0D302A9E"/>
    <w:rsid w:val="0D794204"/>
    <w:rsid w:val="0E2125D1"/>
    <w:rsid w:val="0E214211"/>
    <w:rsid w:val="0E5F2769"/>
    <w:rsid w:val="0EFF0A15"/>
    <w:rsid w:val="0F4D75A3"/>
    <w:rsid w:val="0F510E72"/>
    <w:rsid w:val="0F5B2DCA"/>
    <w:rsid w:val="0FED051E"/>
    <w:rsid w:val="0FEE4C29"/>
    <w:rsid w:val="10046082"/>
    <w:rsid w:val="106802DE"/>
    <w:rsid w:val="10765325"/>
    <w:rsid w:val="10BF1DC6"/>
    <w:rsid w:val="112B101A"/>
    <w:rsid w:val="119B53FC"/>
    <w:rsid w:val="11AE0BD5"/>
    <w:rsid w:val="12424CDC"/>
    <w:rsid w:val="129A2738"/>
    <w:rsid w:val="12B56BF1"/>
    <w:rsid w:val="12CB1A89"/>
    <w:rsid w:val="131840FB"/>
    <w:rsid w:val="13467417"/>
    <w:rsid w:val="136E76CF"/>
    <w:rsid w:val="14B10AE1"/>
    <w:rsid w:val="150D16E3"/>
    <w:rsid w:val="15BC6B3C"/>
    <w:rsid w:val="164B259C"/>
    <w:rsid w:val="16852E1E"/>
    <w:rsid w:val="1694429A"/>
    <w:rsid w:val="17635326"/>
    <w:rsid w:val="17E525A4"/>
    <w:rsid w:val="18236EFD"/>
    <w:rsid w:val="189D5B1F"/>
    <w:rsid w:val="18A34CD0"/>
    <w:rsid w:val="197D0C1B"/>
    <w:rsid w:val="19B64DBC"/>
    <w:rsid w:val="1A14399F"/>
    <w:rsid w:val="1A373ACF"/>
    <w:rsid w:val="1A6027C5"/>
    <w:rsid w:val="1A895341"/>
    <w:rsid w:val="1B0D071F"/>
    <w:rsid w:val="1B4568CE"/>
    <w:rsid w:val="1B4C0C41"/>
    <w:rsid w:val="1B9015B7"/>
    <w:rsid w:val="1C496023"/>
    <w:rsid w:val="1C872CE0"/>
    <w:rsid w:val="1D2D0C9B"/>
    <w:rsid w:val="1D3D7931"/>
    <w:rsid w:val="1D5A79EE"/>
    <w:rsid w:val="1E0E2CD0"/>
    <w:rsid w:val="1E831280"/>
    <w:rsid w:val="1EBC4704"/>
    <w:rsid w:val="1F172EB5"/>
    <w:rsid w:val="1F94592D"/>
    <w:rsid w:val="1FB860DE"/>
    <w:rsid w:val="203C5A02"/>
    <w:rsid w:val="209D4C94"/>
    <w:rsid w:val="20E84705"/>
    <w:rsid w:val="218400BA"/>
    <w:rsid w:val="21AB1E2F"/>
    <w:rsid w:val="21D40498"/>
    <w:rsid w:val="2244347D"/>
    <w:rsid w:val="225752A3"/>
    <w:rsid w:val="22767047"/>
    <w:rsid w:val="22CF2CE6"/>
    <w:rsid w:val="23620F58"/>
    <w:rsid w:val="23A05588"/>
    <w:rsid w:val="23D82F6C"/>
    <w:rsid w:val="24284C5D"/>
    <w:rsid w:val="25431AEB"/>
    <w:rsid w:val="25650D8D"/>
    <w:rsid w:val="25BF43FD"/>
    <w:rsid w:val="25EB4C08"/>
    <w:rsid w:val="25F86BCD"/>
    <w:rsid w:val="2605748B"/>
    <w:rsid w:val="261105FB"/>
    <w:rsid w:val="26655B34"/>
    <w:rsid w:val="269E416A"/>
    <w:rsid w:val="26B02FC7"/>
    <w:rsid w:val="272100D3"/>
    <w:rsid w:val="272C72FC"/>
    <w:rsid w:val="27923EBF"/>
    <w:rsid w:val="27EB149D"/>
    <w:rsid w:val="27FD3E52"/>
    <w:rsid w:val="28B263D9"/>
    <w:rsid w:val="28E11370"/>
    <w:rsid w:val="294A756A"/>
    <w:rsid w:val="29D5322D"/>
    <w:rsid w:val="2A025DD9"/>
    <w:rsid w:val="2A7C2231"/>
    <w:rsid w:val="2A8F679F"/>
    <w:rsid w:val="2ABB753D"/>
    <w:rsid w:val="2B0231B6"/>
    <w:rsid w:val="2B1574B4"/>
    <w:rsid w:val="2B7A49FA"/>
    <w:rsid w:val="2C615D26"/>
    <w:rsid w:val="2CB679ED"/>
    <w:rsid w:val="2D173C07"/>
    <w:rsid w:val="2D424A86"/>
    <w:rsid w:val="2E6A25C9"/>
    <w:rsid w:val="2E7B52DB"/>
    <w:rsid w:val="2EC7093F"/>
    <w:rsid w:val="2F245777"/>
    <w:rsid w:val="2F324CFE"/>
    <w:rsid w:val="2FBA09F1"/>
    <w:rsid w:val="2FEF2ACF"/>
    <w:rsid w:val="30540211"/>
    <w:rsid w:val="305C5857"/>
    <w:rsid w:val="30697FFE"/>
    <w:rsid w:val="30C15407"/>
    <w:rsid w:val="30E57E97"/>
    <w:rsid w:val="312D7741"/>
    <w:rsid w:val="316F137F"/>
    <w:rsid w:val="3198371B"/>
    <w:rsid w:val="31DF525F"/>
    <w:rsid w:val="32324C2E"/>
    <w:rsid w:val="327171DF"/>
    <w:rsid w:val="341E3434"/>
    <w:rsid w:val="353F533B"/>
    <w:rsid w:val="35A252CE"/>
    <w:rsid w:val="360B7EBA"/>
    <w:rsid w:val="369C32FD"/>
    <w:rsid w:val="37666E72"/>
    <w:rsid w:val="38155281"/>
    <w:rsid w:val="38167A04"/>
    <w:rsid w:val="38A827D0"/>
    <w:rsid w:val="3922642F"/>
    <w:rsid w:val="394B167A"/>
    <w:rsid w:val="39B45610"/>
    <w:rsid w:val="39D76BC3"/>
    <w:rsid w:val="3A4E4336"/>
    <w:rsid w:val="3A6007FE"/>
    <w:rsid w:val="3A70772D"/>
    <w:rsid w:val="3AAA5F15"/>
    <w:rsid w:val="3AB14335"/>
    <w:rsid w:val="3B304A04"/>
    <w:rsid w:val="3B7C2CE4"/>
    <w:rsid w:val="3C0B5355"/>
    <w:rsid w:val="3C935564"/>
    <w:rsid w:val="3CD4176B"/>
    <w:rsid w:val="3D1F44D9"/>
    <w:rsid w:val="3D5C38CD"/>
    <w:rsid w:val="3DA80295"/>
    <w:rsid w:val="3E5070F1"/>
    <w:rsid w:val="3E6163E7"/>
    <w:rsid w:val="3F6C3589"/>
    <w:rsid w:val="3F7B55EB"/>
    <w:rsid w:val="3F850180"/>
    <w:rsid w:val="3F9004D6"/>
    <w:rsid w:val="400E4D5E"/>
    <w:rsid w:val="40245BFB"/>
    <w:rsid w:val="404C3D75"/>
    <w:rsid w:val="40E1138C"/>
    <w:rsid w:val="413814BA"/>
    <w:rsid w:val="414B1D27"/>
    <w:rsid w:val="41872511"/>
    <w:rsid w:val="41BB32EF"/>
    <w:rsid w:val="41E8109F"/>
    <w:rsid w:val="42466655"/>
    <w:rsid w:val="424B7EFB"/>
    <w:rsid w:val="42694B47"/>
    <w:rsid w:val="42C82F57"/>
    <w:rsid w:val="439D5045"/>
    <w:rsid w:val="43C76AF7"/>
    <w:rsid w:val="441B1CE9"/>
    <w:rsid w:val="446828F0"/>
    <w:rsid w:val="45C13B4D"/>
    <w:rsid w:val="46054BCA"/>
    <w:rsid w:val="464C6AFC"/>
    <w:rsid w:val="468B0091"/>
    <w:rsid w:val="46A107C3"/>
    <w:rsid w:val="46B15CE2"/>
    <w:rsid w:val="46BE113D"/>
    <w:rsid w:val="46E44B13"/>
    <w:rsid w:val="46E56AF6"/>
    <w:rsid w:val="4703508A"/>
    <w:rsid w:val="475023F8"/>
    <w:rsid w:val="479D361E"/>
    <w:rsid w:val="47B74789"/>
    <w:rsid w:val="480F2B9D"/>
    <w:rsid w:val="48282920"/>
    <w:rsid w:val="485321E0"/>
    <w:rsid w:val="48546AD3"/>
    <w:rsid w:val="48574836"/>
    <w:rsid w:val="48CA4868"/>
    <w:rsid w:val="48F005D3"/>
    <w:rsid w:val="49117E59"/>
    <w:rsid w:val="49576915"/>
    <w:rsid w:val="498F4AF1"/>
    <w:rsid w:val="49C05787"/>
    <w:rsid w:val="49CF518D"/>
    <w:rsid w:val="4A5C209C"/>
    <w:rsid w:val="4A8A1E8A"/>
    <w:rsid w:val="4ADA1F63"/>
    <w:rsid w:val="4AE23D89"/>
    <w:rsid w:val="4AEC2FDE"/>
    <w:rsid w:val="4B2038D0"/>
    <w:rsid w:val="4B296E7D"/>
    <w:rsid w:val="4B877F28"/>
    <w:rsid w:val="4BFE2C73"/>
    <w:rsid w:val="4CC60794"/>
    <w:rsid w:val="4D272D40"/>
    <w:rsid w:val="4D2E044D"/>
    <w:rsid w:val="4D5B0BCA"/>
    <w:rsid w:val="4D916BA6"/>
    <w:rsid w:val="4DC44169"/>
    <w:rsid w:val="4E460417"/>
    <w:rsid w:val="4EF0709E"/>
    <w:rsid w:val="4F2706FC"/>
    <w:rsid w:val="4F4546D1"/>
    <w:rsid w:val="5011784D"/>
    <w:rsid w:val="50590023"/>
    <w:rsid w:val="50910AE4"/>
    <w:rsid w:val="513C043B"/>
    <w:rsid w:val="513C6A7B"/>
    <w:rsid w:val="523D3563"/>
    <w:rsid w:val="5333545B"/>
    <w:rsid w:val="5450213C"/>
    <w:rsid w:val="5483348F"/>
    <w:rsid w:val="548B69EE"/>
    <w:rsid w:val="54D24048"/>
    <w:rsid w:val="54D64CD5"/>
    <w:rsid w:val="54E10A7B"/>
    <w:rsid w:val="55446DD5"/>
    <w:rsid w:val="55887D69"/>
    <w:rsid w:val="561A0928"/>
    <w:rsid w:val="56423872"/>
    <w:rsid w:val="56B279F0"/>
    <w:rsid w:val="579D710E"/>
    <w:rsid w:val="58044513"/>
    <w:rsid w:val="581F22F6"/>
    <w:rsid w:val="586E1E17"/>
    <w:rsid w:val="58862C35"/>
    <w:rsid w:val="58C14957"/>
    <w:rsid w:val="5AE83A50"/>
    <w:rsid w:val="5B3F3205"/>
    <w:rsid w:val="5BAB2917"/>
    <w:rsid w:val="5BBF6B42"/>
    <w:rsid w:val="5BFC33FA"/>
    <w:rsid w:val="5C3107A4"/>
    <w:rsid w:val="5C3B1B93"/>
    <w:rsid w:val="5C66348F"/>
    <w:rsid w:val="5C9220DF"/>
    <w:rsid w:val="5D4A15F3"/>
    <w:rsid w:val="5D69542A"/>
    <w:rsid w:val="5E0930EF"/>
    <w:rsid w:val="5E3D4D53"/>
    <w:rsid w:val="5E4717E6"/>
    <w:rsid w:val="5E4760F5"/>
    <w:rsid w:val="5E55774C"/>
    <w:rsid w:val="60104DDC"/>
    <w:rsid w:val="605C0804"/>
    <w:rsid w:val="61841BCA"/>
    <w:rsid w:val="6189617B"/>
    <w:rsid w:val="61B52BB6"/>
    <w:rsid w:val="61B749C2"/>
    <w:rsid w:val="62280D20"/>
    <w:rsid w:val="62574277"/>
    <w:rsid w:val="62CA2457"/>
    <w:rsid w:val="638240A1"/>
    <w:rsid w:val="63A5257B"/>
    <w:rsid w:val="63BD3DCC"/>
    <w:rsid w:val="63C61741"/>
    <w:rsid w:val="64560967"/>
    <w:rsid w:val="649F73AF"/>
    <w:rsid w:val="656B1D10"/>
    <w:rsid w:val="65CB48DF"/>
    <w:rsid w:val="66022B28"/>
    <w:rsid w:val="662F1AB4"/>
    <w:rsid w:val="66581E87"/>
    <w:rsid w:val="66BE4928"/>
    <w:rsid w:val="66FA11D5"/>
    <w:rsid w:val="674302C7"/>
    <w:rsid w:val="680A5986"/>
    <w:rsid w:val="680D5F4B"/>
    <w:rsid w:val="68113F51"/>
    <w:rsid w:val="68E94770"/>
    <w:rsid w:val="68F949C9"/>
    <w:rsid w:val="695A4290"/>
    <w:rsid w:val="6A334932"/>
    <w:rsid w:val="6A3353FF"/>
    <w:rsid w:val="6A5D63E6"/>
    <w:rsid w:val="6A5F24D1"/>
    <w:rsid w:val="6A990101"/>
    <w:rsid w:val="6AE347EB"/>
    <w:rsid w:val="6B434AF0"/>
    <w:rsid w:val="6B57675A"/>
    <w:rsid w:val="6BDD7B4D"/>
    <w:rsid w:val="6BF3021A"/>
    <w:rsid w:val="6BFA291A"/>
    <w:rsid w:val="6E7A168D"/>
    <w:rsid w:val="6EBC0B3A"/>
    <w:rsid w:val="6EF51C7D"/>
    <w:rsid w:val="6F752F80"/>
    <w:rsid w:val="6F8363E5"/>
    <w:rsid w:val="6FC746F5"/>
    <w:rsid w:val="701B378E"/>
    <w:rsid w:val="70317AC6"/>
    <w:rsid w:val="70863262"/>
    <w:rsid w:val="70A76ED3"/>
    <w:rsid w:val="71860B17"/>
    <w:rsid w:val="720A7AF8"/>
    <w:rsid w:val="720C499E"/>
    <w:rsid w:val="723B27CC"/>
    <w:rsid w:val="72687227"/>
    <w:rsid w:val="72A03FD9"/>
    <w:rsid w:val="72B96427"/>
    <w:rsid w:val="72EA1C5E"/>
    <w:rsid w:val="73406CFF"/>
    <w:rsid w:val="7383028C"/>
    <w:rsid w:val="738B2FF4"/>
    <w:rsid w:val="73A25E44"/>
    <w:rsid w:val="741F68CF"/>
    <w:rsid w:val="747D01A7"/>
    <w:rsid w:val="75252DF3"/>
    <w:rsid w:val="754166FC"/>
    <w:rsid w:val="75621536"/>
    <w:rsid w:val="75BF3154"/>
    <w:rsid w:val="76115521"/>
    <w:rsid w:val="764A07CF"/>
    <w:rsid w:val="764F6B3D"/>
    <w:rsid w:val="76CC6C50"/>
    <w:rsid w:val="76CD2B7B"/>
    <w:rsid w:val="76D80645"/>
    <w:rsid w:val="76E03371"/>
    <w:rsid w:val="780E5898"/>
    <w:rsid w:val="782642CC"/>
    <w:rsid w:val="7894095E"/>
    <w:rsid w:val="79000679"/>
    <w:rsid w:val="79376689"/>
    <w:rsid w:val="79A416F0"/>
    <w:rsid w:val="79B03EB6"/>
    <w:rsid w:val="7A7F4688"/>
    <w:rsid w:val="7A863496"/>
    <w:rsid w:val="7ABC034E"/>
    <w:rsid w:val="7AF37579"/>
    <w:rsid w:val="7AF87F64"/>
    <w:rsid w:val="7B1C0C84"/>
    <w:rsid w:val="7B5A62DF"/>
    <w:rsid w:val="7B7A04A8"/>
    <w:rsid w:val="7C0C3F6D"/>
    <w:rsid w:val="7C22163C"/>
    <w:rsid w:val="7C595075"/>
    <w:rsid w:val="7C6B07B2"/>
    <w:rsid w:val="7D124E8E"/>
    <w:rsid w:val="7D133243"/>
    <w:rsid w:val="7DBB2E80"/>
    <w:rsid w:val="7E394207"/>
    <w:rsid w:val="7E4007A2"/>
    <w:rsid w:val="7E791CAD"/>
    <w:rsid w:val="7EA50DFB"/>
    <w:rsid w:val="7EC86878"/>
    <w:rsid w:val="7ED735CD"/>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第3级"/>
    <w:basedOn w:val="6"/>
    <w:qFormat/>
    <w:uiPriority w:val="0"/>
    <w:pPr>
      <w:keepNext w:val="0"/>
      <w:keepLines w:val="0"/>
      <w:spacing w:beforeLines="50" w:afterLines="50" w:line="312" w:lineRule="auto"/>
      <w:jc w:val="left"/>
    </w:pPr>
    <w:rPr>
      <w:rFonts w:ascii="宋体" w:hAnsi="Arial Unicode MS"/>
      <w:spacing w:val="4"/>
      <w:sz w:val="28"/>
    </w:rPr>
  </w:style>
  <w:style w:type="paragraph" w:customStyle="1" w:styleId="56">
    <w:name w:val="第4级"/>
    <w:basedOn w:val="55"/>
    <w:next w:val="57"/>
    <w:qFormat/>
    <w:uiPriority w:val="0"/>
    <w:pPr>
      <w:spacing w:before="50" w:after="50"/>
      <w:outlineLvl w:val="3"/>
    </w:pPr>
    <w:rPr>
      <w:kern w:val="2"/>
      <w:sz w:val="24"/>
    </w:rPr>
  </w:style>
  <w:style w:type="paragraph" w:customStyle="1" w:styleId="57">
    <w:name w:val="A正文"/>
    <w:basedOn w:val="1"/>
    <w:qFormat/>
    <w:uiPriority w:val="0"/>
    <w:pPr>
      <w:spacing w:line="312" w:lineRule="auto"/>
      <w:ind w:firstLine="496" w:firstLineChars="200"/>
    </w:pPr>
    <w:rPr>
      <w:rFonts w:ascii="宋体" w:hAnsi="宋体"/>
      <w:spacing w:val="4"/>
      <w:sz w:val="24"/>
    </w:rPr>
  </w:style>
  <w:style w:type="paragraph" w:customStyle="1" w:styleId="58">
    <w:name w:val="变黑体"/>
    <w:basedOn w:val="1"/>
    <w:qFormat/>
    <w:uiPriority w:val="0"/>
    <w:pPr>
      <w:spacing w:beforeLines="50" w:line="312" w:lineRule="auto"/>
      <w:ind w:firstLine="482" w:firstLineChars="200"/>
    </w:pPr>
    <w:rPr>
      <w:rFonts w:asci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33967</Words>
  <Characters>37071</Characters>
  <Lines>300</Lines>
  <Paragraphs>84</Paragraphs>
  <TotalTime>7</TotalTime>
  <ScaleCrop>false</ScaleCrop>
  <LinksUpToDate>false</LinksUpToDate>
  <CharactersWithSpaces>39380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2022-08-26T06:44:33Z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24A06E6A48294884863F3FE3754F1C61</vt:lpwstr>
  </property>
</Properties>
</file>