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color w:val="auto"/>
          <w:sz w:val="52"/>
          <w:szCs w:val="52"/>
          <w:highlight w:val="none"/>
          <w:lang w:eastAsia="zh-CN"/>
        </w:rPr>
        <w:t>京溪分公司硫酸铝加药池改造工程（第二次）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采购公告（采购邀请书）</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18145"/>
      <w:bookmarkStart w:id="1" w:name="_Toc26148"/>
    </w:p>
    <w:p>
      <w:pPr>
        <w:rPr>
          <w:color w:val="auto"/>
          <w:highlight w:val="none"/>
        </w:rPr>
      </w:pPr>
    </w:p>
    <w:p>
      <w:pPr>
        <w:pStyle w:val="4"/>
        <w:jc w:val="both"/>
        <w:rPr>
          <w:color w:val="auto"/>
          <w:highlight w:val="none"/>
        </w:rPr>
      </w:pPr>
      <w:bookmarkStart w:id="2" w:name="_Toc1711"/>
      <w:bookmarkStart w:id="3" w:name="_Toc17696"/>
      <w:bookmarkStart w:id="4" w:name="_Toc17801"/>
      <w:bookmarkStart w:id="5" w:name="_Toc1669"/>
      <w:bookmarkStart w:id="6" w:name="_Toc19609"/>
      <w:bookmarkStart w:id="7" w:name="_Toc7519"/>
      <w:bookmarkStart w:id="8" w:name="_Toc4275"/>
      <w:bookmarkStart w:id="9" w:name="_Toc11322"/>
      <w:bookmarkStart w:id="10" w:name="_Toc31938"/>
    </w:p>
    <w:p/>
    <w:p>
      <w:pPr>
        <w:pStyle w:val="4"/>
        <w:rPr>
          <w:color w:val="auto"/>
          <w:highlight w:val="none"/>
        </w:rPr>
      </w:pPr>
    </w:p>
    <w:p>
      <w:pPr>
        <w:pStyle w:val="4"/>
        <w:rPr>
          <w:color w:val="auto"/>
          <w:highlight w:val="none"/>
        </w:rPr>
      </w:pPr>
    </w:p>
    <w:p>
      <w:pPr>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rPr>
          <w:color w:val="auto"/>
          <w:szCs w:val="21"/>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eastAsia="zh-CN"/>
        </w:rPr>
        <w:t>京溪分公司硫酸铝加药池改造工程（第二次）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已具备采购条件，现邀请合格单位参加本</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t xml:space="preserve">□邀请询比 </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eastAsia="zh-CN"/>
        </w:rPr>
        <w:t>京溪分公司硫酸铝加药池改造工程（第二次）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XJ-20220826-1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bookmarkStart w:id="133" w:name="_GoBack"/>
      <w:bookmarkEnd w:id="133"/>
    </w:p>
    <w:p>
      <w:pPr>
        <w:rPr>
          <w:rFonts w:hint="eastAsia"/>
          <w:color w:val="auto"/>
          <w:kern w:val="0"/>
          <w:szCs w:val="21"/>
          <w:highlight w:val="non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141232.94</w:t>
      </w:r>
      <w:r>
        <w:rPr>
          <w:rFonts w:hint="eastAsia" w:ascii="仿宋_GB2312" w:eastAsia="仿宋_GB2312"/>
          <w:color w:val="auto"/>
          <w:sz w:val="28"/>
          <w:szCs w:val="28"/>
          <w:highlight w:val="none"/>
          <w:u w:val="single"/>
        </w:rPr>
        <w:t xml:space="preserve"> 元（人民币） </w:t>
      </w:r>
      <w:r>
        <w:rPr>
          <w:rFonts w:hint="eastAsia" w:ascii="仿宋_GB2312" w:eastAsia="仿宋_GB2312"/>
          <w:color w:val="auto"/>
          <w:sz w:val="28"/>
          <w:szCs w:val="28"/>
          <w:highlight w:val="none"/>
        </w:rPr>
        <w:t>（其中税前造价为129571.50元，税率为9%，绿色施工安全防护措施费4</w:t>
      </w:r>
      <w:r>
        <w:rPr>
          <w:rFonts w:ascii="仿宋_GB2312" w:eastAsia="仿宋_GB2312"/>
          <w:color w:val="auto"/>
          <w:sz w:val="28"/>
          <w:szCs w:val="28"/>
          <w:highlight w:val="none"/>
        </w:rPr>
        <w:t>204.41</w:t>
      </w:r>
      <w:r>
        <w:rPr>
          <w:rFonts w:hint="eastAsia" w:ascii="仿宋_GB2312" w:eastAsia="仿宋_GB2312"/>
          <w:color w:val="auto"/>
          <w:sz w:val="28"/>
          <w:szCs w:val="28"/>
          <w:highlight w:val="none"/>
        </w:rPr>
        <w:t>元（其中建筑工程部分绿色施工安全防护措施费为2463.81元，安装工程部分绿色施工安全防护措施费为1740.60元）。绿色施工安全防护措施费非竞争性费用，报价时须按询价文件规定的金额填写，不得参与竞争，否则按无效报价处理。）</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21"/>
        <w:adjustRightInd w:val="0"/>
        <w:snapToGrid w:val="0"/>
        <w:spacing w:before="0" w:beforeAutospacing="0" w:after="0" w:afterAutospacing="0" w:line="360" w:lineRule="auto"/>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 xml:space="preserve"> 京溪分公司现有两个硫酸铝加药池，总容积为68.5立方米，在紧急情况下，储存量无法满足15日的药剂存量。需在无需调整投加点情况下，新增一个容积为50立方米左右的硫酸铝加药池及硫酸铝加药池相应配套给排水管道，新增加药池投加管道至原有硫酸铝加药池总管，地面加药口至硫酸铝加药池补给管道的改造，新增加药池液位计，新增加药池上方消防管道拆除及移位重新安装等。</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60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2.3地点：</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广州市白云区犀牛二马路1号京溪地下净水厂 </w:t>
      </w:r>
      <w:r>
        <w:rPr>
          <w:rFonts w:hint="eastAsia" w:ascii="仿宋_GB2312" w:eastAsia="仿宋_GB2312"/>
          <w:color w:val="auto"/>
          <w:sz w:val="28"/>
          <w:szCs w:val="28"/>
          <w:highlight w:val="none"/>
          <w:u w:val="single"/>
          <w:lang w:eastAsia="zh-CN"/>
        </w:rPr>
        <w:t>。</w:t>
      </w:r>
    </w:p>
    <w:p>
      <w:pPr>
        <w:rPr>
          <w:color w:val="auto"/>
          <w:szCs w:val="21"/>
          <w:highlight w:val="none"/>
        </w:rPr>
      </w:pPr>
      <w:r>
        <w:rPr>
          <w:rFonts w:hint="eastAsia" w:ascii="仿宋_GB2312" w:eastAsia="仿宋_GB2312"/>
          <w:color w:val="auto"/>
          <w:sz w:val="28"/>
          <w:szCs w:val="28"/>
          <w:highlight w:val="none"/>
        </w:rPr>
        <w:t>2.4质量要求：</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按合同条款和有关技术标准规范进行验收。使用的各种材料必须符合设计和有关技术标准规范要求。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市政工程施工总承包三级（或以上级别资质）和建设主管部门颁发且在有效期内的《安全生产许可证》 </w:t>
      </w:r>
      <w:r>
        <w:rPr>
          <w:rFonts w:hint="eastAsia" w:ascii="仿宋_GB2312" w:eastAsia="仿宋_GB2312"/>
          <w:color w:val="auto"/>
          <w:sz w:val="28"/>
          <w:szCs w:val="28"/>
          <w:highlight w:val="none"/>
        </w:rPr>
        <w:t>资质。</w:t>
      </w:r>
    </w:p>
    <w:p>
      <w:pPr>
        <w:adjustRightInd w:val="0"/>
        <w:snapToGrid w:val="0"/>
        <w:spacing w:line="600" w:lineRule="exact"/>
        <w:jc w:val="left"/>
        <w:rPr>
          <w:rFonts w:ascii="仿宋_GB2312" w:eastAsia="仿宋_GB2312"/>
          <w:color w:val="auto"/>
          <w:sz w:val="28"/>
          <w:szCs w:val="28"/>
          <w:highlight w:val="none"/>
        </w:rPr>
      </w:pPr>
      <w:r>
        <w:rPr>
          <w:rFonts w:ascii="Wingdings 2" w:hAnsi="Wingdings 2" w:eastAsia="仿宋_GB2312"/>
          <w:color w:val="auto"/>
          <w:sz w:val="28"/>
          <w:szCs w:val="28"/>
          <w:highlight w:val="none"/>
        </w:rPr>
        <w:sym w:font="Wingdings 2" w:char="00A3"/>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201</w:t>
      </w:r>
      <w:r>
        <w:rPr>
          <w:rFonts w:hint="eastAsia" w:ascii="仿宋_GB2312" w:eastAsia="仿宋_GB2312"/>
          <w:color w:val="auto"/>
          <w:sz w:val="28"/>
          <w:szCs w:val="28"/>
          <w:highlight w:val="none"/>
          <w:u w:val="none"/>
        </w:rPr>
        <w:t xml:space="preserve">9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市政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员</w:t>
      </w:r>
      <w:r>
        <w:rPr>
          <w:rFonts w:hint="eastAsia" w:ascii="仿宋_GB2312" w:eastAsia="仿宋_GB2312"/>
          <w:color w:val="auto"/>
          <w:sz w:val="28"/>
          <w:szCs w:val="28"/>
          <w:highlight w:val="none"/>
        </w:rPr>
        <w:t>资格条件。</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w:t>
      </w:r>
      <w:r>
        <w:rPr>
          <w:rFonts w:ascii="仿宋_GB2312" w:eastAsia="仿宋_GB2312"/>
          <w:color w:val="auto"/>
          <w:sz w:val="28"/>
          <w:szCs w:val="28"/>
          <w:highlight w:val="none"/>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□组织：供应商可自行选择是否前往现场踏勘，若前往现场踏勘须在规定时间内到达集中地点，逾期不再接待。</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踏勘现场联系人：</w:t>
      </w:r>
      <w:r>
        <w:rPr>
          <w:rFonts w:hint="eastAsia" w:ascii="仿宋_GB2312" w:eastAsia="仿宋_GB2312"/>
          <w:color w:val="auto"/>
          <w:sz w:val="28"/>
          <w:szCs w:val="28"/>
          <w:highlight w:val="none"/>
          <w:u w:val="non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踏勘现场联系人联系方式：</w:t>
      </w:r>
      <w:r>
        <w:rPr>
          <w:rFonts w:hint="eastAsia" w:ascii="仿宋_GB2312" w:eastAsia="仿宋_GB2312"/>
          <w:color w:val="auto"/>
          <w:sz w:val="28"/>
          <w:szCs w:val="28"/>
          <w:highlight w:val="none"/>
          <w:u w:val="non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踏勘</w:t>
      </w:r>
      <w:r>
        <w:rPr>
          <w:rFonts w:hint="eastAsia" w:ascii="仿宋_GB2312" w:eastAsia="仿宋_GB2312"/>
          <w:color w:val="auto"/>
          <w:sz w:val="28"/>
          <w:szCs w:val="28"/>
          <w:highlight w:val="none"/>
          <w:u w:val="none"/>
        </w:rPr>
        <w:t>（答疑）集合</w:t>
      </w:r>
      <w:r>
        <w:rPr>
          <w:rFonts w:hint="eastAsia" w:ascii="仿宋_GB2312" w:eastAsia="仿宋_GB2312"/>
          <w:color w:val="auto"/>
          <w:sz w:val="28"/>
          <w:szCs w:val="28"/>
          <w:highlight w:val="none"/>
          <w:u w:val="none"/>
        </w:rPr>
        <w:t>时间：</w:t>
      </w:r>
    </w:p>
    <w:p>
      <w:pPr>
        <w:adjustRightInd w:val="0"/>
        <w:snapToGrid w:val="0"/>
        <w:spacing w:line="600" w:lineRule="exact"/>
        <w:jc w:val="left"/>
        <w:rPr>
          <w:rFonts w:ascii="Calibri" w:hAnsi="Calibri" w:eastAsia="宋体"/>
          <w:color w:val="auto"/>
          <w:szCs w:val="21"/>
          <w:highlight w:val="none"/>
        </w:rPr>
      </w:pPr>
      <w:r>
        <w:rPr>
          <w:rFonts w:hint="eastAsia" w:ascii="仿宋_GB2312" w:eastAsia="仿宋_GB2312"/>
          <w:color w:val="auto"/>
          <w:sz w:val="28"/>
          <w:szCs w:val="28"/>
          <w:highlight w:val="none"/>
        </w:rPr>
        <w:t>踏勘集中地点：</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adjustRightInd w:val="0"/>
        <w:snapToGrid w:val="0"/>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360" w:lineRule="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r>
              <w:rPr>
                <w:rFonts w:ascii="仿宋_GB2312" w:eastAsia="仿宋_GB2312"/>
                <w:color w:val="auto"/>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适用于纸质评审的采购项目</w:t>
      </w:r>
      <w:bookmarkStart w:id="13" w:name="_Toc10891"/>
      <w:bookmarkStart w:id="14" w:name="_Toc23749"/>
      <w:bookmarkStart w:id="15" w:name="_Toc25603"/>
      <w:bookmarkStart w:id="16" w:name="_Toc16557"/>
      <w:bookmarkStart w:id="17" w:name="_Toc7340"/>
      <w:bookmarkStart w:id="18" w:name="_Toc16705"/>
      <w:bookmarkStart w:id="19" w:name="_Toc9448"/>
      <w:bookmarkStart w:id="20" w:name="_Toc19295"/>
      <w:bookmarkStart w:id="21" w:name="_Toc2324"/>
      <w:bookmarkStart w:id="22" w:name="_Toc32588"/>
      <w:bookmarkStart w:id="23" w:name="_Toc2331"/>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rFonts w:hint="eastAsia" w:eastAsia="等线"/>
          <w:color w:val="auto"/>
          <w:highlight w:val="none"/>
          <w:lang w:eastAsia="zh-CN"/>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6"/>
        <w:rPr>
          <w:rFonts w:hint="eastAsia"/>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p>
    <w:p>
      <w:pPr>
        <w:pStyle w:val="5"/>
        <w:rPr>
          <w:rFonts w:asciiTheme="minorHAnsi" w:hAnsiTheme="minorHAnsi" w:cstheme="minorBidi"/>
          <w:color w:val="auto"/>
          <w:kern w:val="44"/>
          <w:sz w:val="44"/>
          <w:szCs w:val="44"/>
          <w:highlight w:val="none"/>
        </w:rPr>
      </w:pP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6"/>
        <w:rPr>
          <w:color w:val="auto"/>
          <w:highlight w:val="none"/>
        </w:rPr>
      </w:pPr>
    </w:p>
    <w:p>
      <w:pPr>
        <w:pStyle w:val="5"/>
        <w:rPr>
          <w:color w:val="auto"/>
          <w:highlight w:val="none"/>
        </w:rPr>
      </w:pPr>
      <w:bookmarkStart w:id="28" w:name="_Toc87616371"/>
      <w:bookmarkStart w:id="29" w:name="_Toc88209934"/>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5"/>
        <w:jc w:val="both"/>
        <w:rPr>
          <w:rFonts w:hint="eastAsia"/>
          <w:color w:val="auto"/>
          <w:highlight w:val="none"/>
        </w:rPr>
      </w:pPr>
      <w:bookmarkStart w:id="32" w:name="_Toc24895"/>
      <w:bookmarkStart w:id="33" w:name="_Toc3789"/>
    </w:p>
    <w:p>
      <w:pPr>
        <w:rPr>
          <w:rFonts w:hint="eastAsia"/>
          <w:color w:val="auto"/>
          <w:highlight w:val="none"/>
        </w:rPr>
      </w:pPr>
    </w:p>
    <w:p>
      <w:pPr>
        <w:pStyle w:val="2"/>
        <w:rPr>
          <w:rFonts w:hint="eastAsia"/>
          <w:color w:val="auto"/>
          <w:highlight w:val="none"/>
        </w:rPr>
      </w:pPr>
    </w:p>
    <w:p>
      <w:pPr>
        <w:pStyle w:val="5"/>
        <w:jc w:val="both"/>
        <w:rPr>
          <w:rFonts w:hint="eastAsia"/>
          <w:color w:val="auto"/>
          <w:highlight w:val="none"/>
        </w:rPr>
      </w:pPr>
    </w:p>
    <w:p>
      <w:pPr>
        <w:rPr>
          <w:rFonts w:hint="eastAsia"/>
        </w:rPr>
      </w:pPr>
    </w:p>
    <w:p>
      <w:pPr>
        <w:pStyle w:val="5"/>
        <w:jc w:val="both"/>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14870"/>
      <w:bookmarkStart w:id="36" w:name="_Toc10930"/>
      <w:bookmarkStart w:id="37" w:name="_Toc23581"/>
      <w:bookmarkStart w:id="38" w:name="_Toc4952"/>
      <w:bookmarkStart w:id="39" w:name="_Toc7437"/>
      <w:bookmarkStart w:id="40" w:name="_Toc14552"/>
      <w:bookmarkStart w:id="41" w:name="_Toc7118"/>
      <w:bookmarkStart w:id="42" w:name="_Toc20594"/>
      <w:bookmarkStart w:id="43" w:name="_Toc3156"/>
      <w:bookmarkStart w:id="44"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13898"/>
      <w:bookmarkStart w:id="46" w:name="_Toc32607"/>
      <w:bookmarkStart w:id="47" w:name="_Toc29345"/>
      <w:bookmarkStart w:id="48" w:name="_Toc6308"/>
      <w:bookmarkStart w:id="49" w:name="_Toc21840"/>
      <w:bookmarkStart w:id="50" w:name="_Toc21079"/>
      <w:bookmarkStart w:id="51" w:name="_Toc12177"/>
      <w:bookmarkStart w:id="52" w:name="_Toc30530"/>
      <w:bookmarkStart w:id="53" w:name="_Toc88209941"/>
      <w:bookmarkStart w:id="54" w:name="_Toc22212"/>
      <w:bookmarkStart w:id="55" w:name="_Toc29484"/>
      <w:bookmarkStart w:id="56" w:name="_Toc7831"/>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b/>
          <w:color w:val="auto"/>
          <w:szCs w:val="36"/>
          <w:highlight w:val="none"/>
        </w:rPr>
      </w:pPr>
      <w:r>
        <w:rPr>
          <w:rFonts w:ascii="Wingdings 2" w:hAnsi="Wingdings 2" w:eastAsia="仿宋_GB2312"/>
          <w:color w:val="auto"/>
          <w:sz w:val="24"/>
          <w:szCs w:val="24"/>
          <w:highlight w:val="none"/>
        </w:rPr>
        <w:sym w:font="Wingdings 2" w:char="0052"/>
      </w:r>
      <w:r>
        <w:rPr>
          <w:rFonts w:hint="eastAsia" w:ascii="方正小标宋简体"/>
          <w:b/>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12"/>
        <w:autoSpaceDE w:val="0"/>
        <w:adjustRightInd w:val="0"/>
        <w:snapToGrid w:val="0"/>
        <w:spacing w:line="500" w:lineRule="exact"/>
        <w:rPr>
          <w:rFonts w:ascii="仿宋" w:hAnsi="仿宋" w:eastAsia="仿宋" w:cs="仿宋_GB2312"/>
          <w:color w:val="auto"/>
          <w:sz w:val="28"/>
          <w:szCs w:val="28"/>
          <w:highlight w:val="none"/>
        </w:rPr>
      </w:pPr>
      <w:r>
        <w:rPr>
          <w:rFonts w:hint="eastAsia" w:ascii="仿宋" w:hAnsi="仿宋" w:eastAsia="仿宋" w:cs="仿宋_GB2312"/>
          <w:b/>
          <w:color w:val="auto"/>
          <w:sz w:val="28"/>
          <w:szCs w:val="28"/>
          <w:highlight w:val="none"/>
        </w:rPr>
        <w:t>一、项目技术要求</w:t>
      </w:r>
      <w:r>
        <w:rPr>
          <w:rFonts w:hint="eastAsia" w:ascii="仿宋" w:hAnsi="仿宋" w:eastAsia="仿宋" w:cs="仿宋_GB2312"/>
          <w:b/>
          <w:color w:val="auto"/>
          <w:sz w:val="28"/>
          <w:szCs w:val="28"/>
          <w:highlight w:val="none"/>
        </w:rPr>
        <w:tab/>
      </w:r>
    </w:p>
    <w:p>
      <w:pPr>
        <w:autoSpaceDE w:val="0"/>
        <w:spacing w:line="500" w:lineRule="exact"/>
        <w:ind w:firstLine="560" w:firstLineChars="200"/>
        <w:rPr>
          <w:rFonts w:hint="eastAsia" w:ascii="Times New Roman" w:hAnsi="Times New Roman" w:eastAsia="仿宋_GB2312" w:cs="Times New Roman"/>
          <w:color w:val="auto"/>
          <w:sz w:val="28"/>
          <w:szCs w:val="28"/>
          <w:highlight w:val="none"/>
        </w:rPr>
      </w:pPr>
      <w:r>
        <w:rPr>
          <w:rFonts w:ascii="仿宋_GB2312" w:hAnsi="Times New Roman" w:eastAsia="仿宋_GB2312"/>
          <w:color w:val="auto"/>
          <w:sz w:val="28"/>
          <w:szCs w:val="28"/>
          <w:highlight w:val="none"/>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26"/>
        <w:ind w:firstLine="560"/>
        <w:rPr>
          <w:rFonts w:hint="eastAsia" w:ascii="仿宋_GB2312" w:hAnsi="宋体" w:eastAsia="仿宋_GB2312" w:cs="Times New Roman"/>
          <w:color w:val="auto"/>
          <w:szCs w:val="28"/>
          <w:highlight w:val="none"/>
        </w:rPr>
      </w:pPr>
      <w:r>
        <w:rPr>
          <w:rFonts w:hint="eastAsia" w:ascii="仿宋_GB2312" w:hAnsi="宋体" w:eastAsia="仿宋_GB2312" w:cs="Times New Roman"/>
          <w:color w:val="auto"/>
          <w:szCs w:val="28"/>
          <w:highlight w:val="none"/>
        </w:rPr>
        <w:t>项目说明：京溪分公司现有两个硫酸铝加药池，总容积为68.5立方米，在紧急情况下，储存量无法满足15日的药剂存量。需在无需调整投加点情况下，新增一个容积为50立方米左右的硫酸铝加药池及硫酸铝加药池相应配套给排水管道，新增加药池投加管道至原有硫酸铝加药池总管，地面加药口至硫酸铝加药池补给管道的改造，新增加药池液位计，新增加药池上方消防管道拆除及移位重新安装等。</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项目服务内容如下：</w:t>
      </w:r>
    </w:p>
    <w:p>
      <w:pPr>
        <w:pStyle w:val="26"/>
        <w:rPr>
          <w:color w:val="auto"/>
          <w:highlight w:val="none"/>
        </w:rPr>
      </w:pPr>
      <w:r>
        <w:rPr>
          <w:rFonts w:hint="eastAsia" w:ascii="仿宋_GB2312" w:eastAsia="仿宋_GB2312"/>
          <w:color w:val="auto"/>
          <w:szCs w:val="28"/>
          <w:highlight w:val="none"/>
        </w:rPr>
        <w:t xml:space="preserve"> </w:t>
      </w:r>
      <w:r>
        <w:rPr>
          <w:rFonts w:hint="eastAsia" w:ascii="仿宋_GB2312" w:eastAsia="仿宋_GB2312"/>
          <w:color w:val="auto"/>
          <w:szCs w:val="28"/>
          <w:highlight w:val="none"/>
          <w:lang w:eastAsia="zh-CN"/>
        </w:rPr>
        <w:t>京溪分公司硫酸铝加药池改造工程（第二次）</w:t>
      </w:r>
      <w:r>
        <w:rPr>
          <w:rFonts w:hint="eastAsia" w:ascii="仿宋_GB2312" w:eastAsia="仿宋_GB2312"/>
          <w:color w:val="auto"/>
          <w:szCs w:val="28"/>
          <w:highlight w:val="none"/>
        </w:rPr>
        <w:t>建筑工程部分</w:t>
      </w:r>
    </w:p>
    <w:tbl>
      <w:tblPr>
        <w:tblStyle w:val="22"/>
        <w:tblW w:w="9298" w:type="dxa"/>
        <w:tblInd w:w="-3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50"/>
        <w:gridCol w:w="1705"/>
        <w:gridCol w:w="4773"/>
        <w:gridCol w:w="1063"/>
        <w:gridCol w:w="11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序号</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项目名称</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项目特征描述</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计量单位</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工程量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混凝土及钢筋混凝土工程</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ind w:right="200"/>
              <w:jc w:val="right"/>
              <w:rPr>
                <w:rFonts w:ascii="宋体" w:hAnsi="宋体"/>
                <w:color w:val="auto"/>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9"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钢筋混凝土构件拆除</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1.构件名称:拆除钢筋混凝土有梁板</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m3</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0.98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2"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池底板</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1.名称:混凝土池底板</w:t>
            </w:r>
            <w:r>
              <w:rPr>
                <w:rFonts w:hint="eastAsia" w:ascii="宋体" w:hAnsi="宋体"/>
                <w:color w:val="auto"/>
                <w:sz w:val="20"/>
                <w:highlight w:val="none"/>
              </w:rPr>
              <w:br w:type="textWrapping"/>
            </w:r>
            <w:r>
              <w:rPr>
                <w:rFonts w:hint="eastAsia" w:ascii="宋体" w:hAnsi="宋体"/>
                <w:color w:val="auto"/>
                <w:sz w:val="20"/>
                <w:highlight w:val="none"/>
              </w:rPr>
              <w:t>2.混凝土强度等级:商品混凝土C30</w:t>
            </w:r>
            <w:r>
              <w:rPr>
                <w:rFonts w:hint="eastAsia" w:ascii="宋体" w:hAnsi="宋体"/>
                <w:color w:val="auto"/>
                <w:sz w:val="20"/>
                <w:highlight w:val="none"/>
              </w:rPr>
              <w:br w:type="textWrapping"/>
            </w:r>
            <w:r>
              <w:rPr>
                <w:rFonts w:hint="eastAsia" w:ascii="宋体" w:hAnsi="宋体"/>
                <w:color w:val="auto"/>
                <w:sz w:val="20"/>
                <w:highlight w:val="none"/>
              </w:rPr>
              <w:t>3.抗渗等级:P6</w:t>
            </w:r>
            <w:r>
              <w:rPr>
                <w:rFonts w:hint="eastAsia" w:ascii="宋体" w:hAnsi="宋体"/>
                <w:color w:val="auto"/>
                <w:sz w:val="20"/>
                <w:highlight w:val="none"/>
              </w:rPr>
              <w:br w:type="textWrapping"/>
            </w:r>
            <w:r>
              <w:rPr>
                <w:rFonts w:hint="eastAsia" w:ascii="宋体" w:hAnsi="宋体"/>
                <w:color w:val="auto"/>
                <w:sz w:val="20"/>
                <w:highlight w:val="none"/>
              </w:rPr>
              <w:t>4.添加剂:双掺8%抗裂剂和抗裂纤维,抗裂纤维掺量为0.9kg/m3</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m3</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7.32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19"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3</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水池检修口反边</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1.名称:水池检修口反边</w:t>
            </w:r>
            <w:r>
              <w:rPr>
                <w:rFonts w:hint="eastAsia" w:ascii="宋体" w:hAnsi="宋体"/>
                <w:color w:val="auto"/>
                <w:sz w:val="20"/>
                <w:highlight w:val="none"/>
              </w:rPr>
              <w:br w:type="textWrapping"/>
            </w:r>
            <w:r>
              <w:rPr>
                <w:rFonts w:hint="eastAsia" w:ascii="宋体" w:hAnsi="宋体"/>
                <w:color w:val="auto"/>
                <w:sz w:val="20"/>
                <w:highlight w:val="none"/>
              </w:rPr>
              <w:t>2.混凝土强度等级:商品混凝土C30</w:t>
            </w:r>
            <w:r>
              <w:rPr>
                <w:rFonts w:hint="eastAsia" w:ascii="宋体" w:hAnsi="宋体"/>
                <w:color w:val="auto"/>
                <w:sz w:val="20"/>
                <w:highlight w:val="none"/>
              </w:rPr>
              <w:br w:type="textWrapping"/>
            </w:r>
            <w:r>
              <w:rPr>
                <w:rFonts w:hint="eastAsia" w:ascii="宋体" w:hAnsi="宋体"/>
                <w:color w:val="auto"/>
                <w:sz w:val="20"/>
                <w:highlight w:val="none"/>
              </w:rPr>
              <w:t>3.抗渗等级:P6</w:t>
            </w:r>
            <w:r>
              <w:rPr>
                <w:rFonts w:hint="eastAsia" w:ascii="宋体" w:hAnsi="宋体"/>
                <w:color w:val="auto"/>
                <w:sz w:val="20"/>
                <w:highlight w:val="none"/>
              </w:rPr>
              <w:br w:type="textWrapping"/>
            </w:r>
            <w:r>
              <w:rPr>
                <w:rFonts w:hint="eastAsia" w:ascii="宋体" w:hAnsi="宋体"/>
                <w:color w:val="auto"/>
                <w:sz w:val="20"/>
                <w:highlight w:val="none"/>
              </w:rPr>
              <w:t>4.添加剂:双掺8%抗裂剂和抗裂纤维,抗裂纤维掺量为0.9kg/m3</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m3</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0.09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71"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4</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矩形梁</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1.名称:混凝土矩形梁</w:t>
            </w:r>
            <w:r>
              <w:rPr>
                <w:rFonts w:hint="eastAsia" w:ascii="宋体" w:hAnsi="宋体"/>
                <w:color w:val="auto"/>
                <w:sz w:val="20"/>
                <w:highlight w:val="none"/>
              </w:rPr>
              <w:br w:type="textWrapping"/>
            </w:r>
            <w:r>
              <w:rPr>
                <w:rFonts w:hint="eastAsia" w:ascii="宋体" w:hAnsi="宋体"/>
                <w:color w:val="auto"/>
                <w:sz w:val="20"/>
                <w:highlight w:val="none"/>
              </w:rPr>
              <w:t>2.混凝土强度等级:商品混凝土C30</w:t>
            </w:r>
            <w:r>
              <w:rPr>
                <w:rFonts w:hint="eastAsia" w:ascii="宋体" w:hAnsi="宋体"/>
                <w:color w:val="auto"/>
                <w:sz w:val="20"/>
                <w:highlight w:val="none"/>
              </w:rPr>
              <w:br w:type="textWrapping"/>
            </w:r>
            <w:r>
              <w:rPr>
                <w:rFonts w:hint="eastAsia" w:ascii="宋体" w:hAnsi="宋体"/>
                <w:color w:val="auto"/>
                <w:sz w:val="20"/>
                <w:highlight w:val="none"/>
              </w:rPr>
              <w:t>3.抗渗等级:P6</w:t>
            </w:r>
            <w:r>
              <w:rPr>
                <w:rFonts w:hint="eastAsia" w:ascii="宋体" w:hAnsi="宋体"/>
                <w:color w:val="auto"/>
                <w:sz w:val="20"/>
                <w:highlight w:val="none"/>
              </w:rPr>
              <w:br w:type="textWrapping"/>
            </w:r>
            <w:r>
              <w:rPr>
                <w:rFonts w:hint="eastAsia" w:ascii="宋体" w:hAnsi="宋体"/>
                <w:color w:val="auto"/>
                <w:sz w:val="20"/>
                <w:highlight w:val="none"/>
              </w:rPr>
              <w:t>4.添加剂:双掺8%抗裂剂和抗裂纤维,抗裂纤维掺量为0.9kg/m3</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m3</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4"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5</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池壁</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1.名称:混凝土水池侧壁</w:t>
            </w:r>
            <w:r>
              <w:rPr>
                <w:rFonts w:hint="eastAsia" w:ascii="宋体" w:hAnsi="宋体"/>
                <w:color w:val="auto"/>
                <w:sz w:val="20"/>
                <w:highlight w:val="none"/>
              </w:rPr>
              <w:br w:type="textWrapping"/>
            </w:r>
            <w:r>
              <w:rPr>
                <w:rFonts w:hint="eastAsia" w:ascii="宋体" w:hAnsi="宋体"/>
                <w:color w:val="auto"/>
                <w:sz w:val="20"/>
                <w:highlight w:val="none"/>
              </w:rPr>
              <w:t>2.混凝土强度等级:商品混凝土C30</w:t>
            </w:r>
            <w:r>
              <w:rPr>
                <w:rFonts w:hint="eastAsia" w:ascii="宋体" w:hAnsi="宋体"/>
                <w:color w:val="auto"/>
                <w:sz w:val="20"/>
                <w:highlight w:val="none"/>
              </w:rPr>
              <w:br w:type="textWrapping"/>
            </w:r>
            <w:r>
              <w:rPr>
                <w:rFonts w:hint="eastAsia" w:ascii="宋体" w:hAnsi="宋体"/>
                <w:color w:val="auto"/>
                <w:sz w:val="20"/>
                <w:highlight w:val="none"/>
              </w:rPr>
              <w:t>3.抗渗等级:P6</w:t>
            </w:r>
            <w:r>
              <w:rPr>
                <w:rFonts w:hint="eastAsia" w:ascii="宋体" w:hAnsi="宋体"/>
                <w:color w:val="auto"/>
                <w:sz w:val="20"/>
                <w:highlight w:val="none"/>
              </w:rPr>
              <w:br w:type="textWrapping"/>
            </w:r>
            <w:r>
              <w:rPr>
                <w:rFonts w:hint="eastAsia" w:ascii="宋体" w:hAnsi="宋体"/>
                <w:color w:val="auto"/>
                <w:sz w:val="20"/>
                <w:highlight w:val="none"/>
              </w:rPr>
              <w:t>4.添加剂:双掺8%抗裂剂和抗裂纤维,抗裂纤维掺量为0.9kg/m3</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m3</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15.63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0"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6</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现浇构件钢筋</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1.名称:现浇构件钢筋</w:t>
            </w:r>
            <w:r>
              <w:rPr>
                <w:rFonts w:hint="eastAsia" w:ascii="宋体" w:hAnsi="宋体"/>
                <w:color w:val="auto"/>
                <w:sz w:val="20"/>
                <w:highlight w:val="none"/>
              </w:rPr>
              <w:br w:type="textWrapping"/>
            </w:r>
            <w:r>
              <w:rPr>
                <w:rFonts w:hint="eastAsia" w:ascii="宋体" w:hAnsi="宋体"/>
                <w:color w:val="auto"/>
                <w:sz w:val="20"/>
                <w:highlight w:val="none"/>
              </w:rPr>
              <w:t>2.规格:III级(HRB400)，φ10以内</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t</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0.047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7"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7</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现浇构件钢筋</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1.名称:现浇构件钢筋</w:t>
            </w:r>
            <w:r>
              <w:rPr>
                <w:rFonts w:hint="eastAsia" w:ascii="宋体" w:hAnsi="宋体"/>
                <w:color w:val="auto"/>
                <w:sz w:val="20"/>
                <w:highlight w:val="none"/>
              </w:rPr>
              <w:br w:type="textWrapping"/>
            </w:r>
            <w:r>
              <w:rPr>
                <w:rFonts w:hint="eastAsia" w:ascii="宋体" w:hAnsi="宋体"/>
                <w:color w:val="auto"/>
                <w:sz w:val="20"/>
                <w:highlight w:val="none"/>
              </w:rPr>
              <w:t>2.规格:III级(HRB400)，φ25以内</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t</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4.298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8</w:t>
            </w:r>
          </w:p>
        </w:tc>
        <w:tc>
          <w:tcPr>
            <w:tcW w:w="1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支撑钢筋(铁马)</w:t>
            </w:r>
          </w:p>
        </w:tc>
        <w:tc>
          <w:tcPr>
            <w:tcW w:w="4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1.名称:支撑钢筋</w:t>
            </w:r>
            <w:r>
              <w:rPr>
                <w:rFonts w:hint="eastAsia" w:ascii="宋体" w:hAnsi="宋体"/>
                <w:color w:val="auto"/>
                <w:sz w:val="20"/>
                <w:highlight w:val="none"/>
              </w:rPr>
              <w:br w:type="textWrapping"/>
            </w:r>
            <w:r>
              <w:rPr>
                <w:rFonts w:hint="eastAsia" w:ascii="宋体" w:hAnsi="宋体"/>
                <w:color w:val="auto"/>
                <w:sz w:val="20"/>
                <w:highlight w:val="none"/>
              </w:rPr>
              <w:t>2.规格:I级(HPB300)，φ12</w:t>
            </w:r>
          </w:p>
        </w:tc>
        <w:tc>
          <w:tcPr>
            <w:tcW w:w="10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t</w:t>
            </w:r>
          </w:p>
        </w:tc>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0.013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9</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植筋</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1.名称:植筋</w:t>
            </w:r>
            <w:r>
              <w:rPr>
                <w:rFonts w:hint="eastAsia" w:ascii="宋体" w:hAnsi="宋体"/>
                <w:color w:val="auto"/>
                <w:sz w:val="20"/>
                <w:highlight w:val="none"/>
              </w:rPr>
              <w:br w:type="textWrapping"/>
            </w:r>
            <w:r>
              <w:rPr>
                <w:rFonts w:hint="eastAsia" w:ascii="宋体" w:hAnsi="宋体"/>
                <w:color w:val="auto"/>
                <w:sz w:val="20"/>
                <w:highlight w:val="none"/>
              </w:rPr>
              <w:t>2.规格:III级(HRB400)，φ8</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根</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10</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原有楼层板破洞</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1.名称:原有楼层板破洞</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m3</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11</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原有楼层板混凝土回填</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1.名称:原有楼层板混凝土回填</w:t>
            </w:r>
            <w:r>
              <w:rPr>
                <w:rFonts w:hint="eastAsia" w:ascii="宋体" w:hAnsi="宋体"/>
                <w:color w:val="auto"/>
                <w:sz w:val="20"/>
                <w:highlight w:val="none"/>
              </w:rPr>
              <w:br w:type="textWrapping"/>
            </w:r>
            <w:r>
              <w:rPr>
                <w:rFonts w:hint="eastAsia" w:ascii="宋体" w:hAnsi="宋体"/>
                <w:color w:val="auto"/>
                <w:sz w:val="20"/>
                <w:highlight w:val="none"/>
              </w:rPr>
              <w:t>2.混凝土强度等级:商品混凝土C30</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m3</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12</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原地沟细石混凝土回填</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1.名称:原地沟细石混凝土回填</w:t>
            </w:r>
            <w:r>
              <w:rPr>
                <w:rFonts w:hint="eastAsia" w:ascii="宋体" w:hAnsi="宋体"/>
                <w:color w:val="auto"/>
                <w:sz w:val="20"/>
                <w:highlight w:val="none"/>
              </w:rPr>
              <w:br w:type="textWrapping"/>
            </w:r>
            <w:r>
              <w:rPr>
                <w:rFonts w:hint="eastAsia" w:ascii="宋体" w:hAnsi="宋体"/>
                <w:color w:val="auto"/>
                <w:sz w:val="20"/>
                <w:highlight w:val="none"/>
              </w:rPr>
              <w:t>2.混凝土强度等级:细石混凝土</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m3</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0"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13</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预埋铁件</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1.名称:预埋铁件</w:t>
            </w:r>
            <w:r>
              <w:rPr>
                <w:rFonts w:hint="eastAsia" w:ascii="宋体" w:hAnsi="宋体"/>
                <w:color w:val="auto"/>
                <w:sz w:val="20"/>
                <w:highlight w:val="none"/>
              </w:rPr>
              <w:br w:type="textWrapping"/>
            </w:r>
            <w:r>
              <w:rPr>
                <w:rFonts w:hint="eastAsia" w:ascii="宋体" w:hAnsi="宋体"/>
                <w:color w:val="auto"/>
                <w:sz w:val="20"/>
                <w:highlight w:val="none"/>
              </w:rPr>
              <w:t>2.规格:详见设计文件</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t</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6"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　</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装饰工程</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　</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　</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14</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水池底板防腐涂料</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1.名称:水池底板防腐涂料</w:t>
            </w:r>
            <w:r>
              <w:rPr>
                <w:rFonts w:hint="eastAsia" w:ascii="宋体" w:hAnsi="宋体"/>
                <w:color w:val="auto"/>
                <w:sz w:val="20"/>
                <w:highlight w:val="none"/>
              </w:rPr>
              <w:br w:type="textWrapping"/>
            </w:r>
            <w:r>
              <w:rPr>
                <w:rFonts w:hint="eastAsia" w:ascii="宋体" w:hAnsi="宋体"/>
                <w:color w:val="auto"/>
                <w:sz w:val="20"/>
                <w:highlight w:val="none"/>
              </w:rPr>
              <w:t>2.做法:厚浆型防腐蚀涂料,涂层厚度不小于200um</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15</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水池内壁防腐涂料</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1.名称:水池内壁防腐涂料</w:t>
            </w:r>
            <w:r>
              <w:rPr>
                <w:rFonts w:hint="eastAsia" w:ascii="宋体" w:hAnsi="宋体"/>
                <w:color w:val="auto"/>
                <w:sz w:val="20"/>
                <w:highlight w:val="none"/>
              </w:rPr>
              <w:br w:type="textWrapping"/>
            </w:r>
            <w:r>
              <w:rPr>
                <w:rFonts w:hint="eastAsia" w:ascii="宋体" w:hAnsi="宋体"/>
                <w:color w:val="auto"/>
                <w:sz w:val="20"/>
                <w:highlight w:val="none"/>
              </w:rPr>
              <w:t>2.做法:厚浆型防腐蚀涂料,涂层厚度不小于200um</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64.25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16</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水池顶板底面防腐涂料</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1.名称:水池顶板底面防腐涂料</w:t>
            </w:r>
            <w:r>
              <w:rPr>
                <w:rFonts w:hint="eastAsia" w:ascii="宋体" w:hAnsi="宋体"/>
                <w:color w:val="auto"/>
                <w:sz w:val="20"/>
                <w:highlight w:val="none"/>
              </w:rPr>
              <w:br w:type="textWrapping"/>
            </w:r>
            <w:r>
              <w:rPr>
                <w:rFonts w:hint="eastAsia" w:ascii="宋体" w:hAnsi="宋体"/>
                <w:color w:val="auto"/>
                <w:sz w:val="20"/>
                <w:highlight w:val="none"/>
              </w:rPr>
              <w:t>2.做法:防腐蚀涂料,涂层厚度不小于150um</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18.76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17</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水池内衬玻璃</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1.名称:水池内衬玻璃</w:t>
            </w:r>
            <w:r>
              <w:rPr>
                <w:rFonts w:hint="eastAsia" w:ascii="宋体" w:hAnsi="宋体"/>
                <w:color w:val="auto"/>
                <w:sz w:val="20"/>
                <w:highlight w:val="none"/>
              </w:rPr>
              <w:br w:type="textWrapping"/>
            </w:r>
            <w:r>
              <w:rPr>
                <w:rFonts w:hint="eastAsia" w:ascii="宋体" w:hAnsi="宋体"/>
                <w:color w:val="auto"/>
                <w:sz w:val="20"/>
                <w:highlight w:val="none"/>
              </w:rPr>
              <w:t>2.材料:内衬15mm玻璃钢</w:t>
            </w:r>
            <w:r>
              <w:rPr>
                <w:rFonts w:hint="eastAsia" w:ascii="宋体" w:hAnsi="宋体"/>
                <w:color w:val="auto"/>
                <w:sz w:val="20"/>
                <w:highlight w:val="none"/>
              </w:rPr>
              <w:br w:type="textWrapping"/>
            </w:r>
            <w:r>
              <w:rPr>
                <w:rFonts w:hint="eastAsia" w:ascii="宋体" w:hAnsi="宋体"/>
                <w:color w:val="auto"/>
                <w:sz w:val="20"/>
                <w:highlight w:val="none"/>
              </w:rPr>
              <w:t>3.位置:水池底板、侧壁及顶板底</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101.09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18</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墙面一般抹灰</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1.名称:水池池壁外侧底层抹灰</w:t>
            </w:r>
            <w:r>
              <w:rPr>
                <w:rFonts w:hint="eastAsia" w:ascii="宋体" w:hAnsi="宋体"/>
                <w:color w:val="auto"/>
                <w:sz w:val="20"/>
                <w:highlight w:val="none"/>
              </w:rPr>
              <w:br w:type="textWrapping"/>
            </w:r>
            <w:r>
              <w:rPr>
                <w:rFonts w:hint="eastAsia" w:ascii="宋体" w:hAnsi="宋体"/>
                <w:color w:val="auto"/>
                <w:sz w:val="20"/>
                <w:highlight w:val="none"/>
              </w:rPr>
              <w:t>2.面层:5mm厚1:0.5:2.5水泥石灰膏砂浆抹平</w:t>
            </w:r>
            <w:r>
              <w:rPr>
                <w:rFonts w:hint="eastAsia" w:ascii="宋体" w:hAnsi="宋体"/>
                <w:color w:val="auto"/>
                <w:sz w:val="20"/>
                <w:highlight w:val="none"/>
              </w:rPr>
              <w:br w:type="textWrapping"/>
            </w:r>
            <w:r>
              <w:rPr>
                <w:rFonts w:hint="eastAsia" w:ascii="宋体" w:hAnsi="宋体"/>
                <w:color w:val="auto"/>
                <w:sz w:val="20"/>
                <w:highlight w:val="none"/>
              </w:rPr>
              <w:t>3.底层:9mm厚1:0.5:3水泥石灰膏砂浆打底扫毛</w:t>
            </w:r>
            <w:r>
              <w:rPr>
                <w:rFonts w:hint="eastAsia" w:ascii="宋体" w:hAnsi="宋体"/>
                <w:color w:val="auto"/>
                <w:sz w:val="20"/>
                <w:highlight w:val="none"/>
              </w:rPr>
              <w:br w:type="textWrapping"/>
            </w:r>
            <w:r>
              <w:rPr>
                <w:rFonts w:hint="eastAsia" w:ascii="宋体" w:hAnsi="宋体"/>
                <w:color w:val="auto"/>
                <w:sz w:val="20"/>
                <w:highlight w:val="none"/>
              </w:rPr>
              <w:t>4.素水泥浆一道(内掺建筑胶)</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48.55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19</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墙面喷刷涂料</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1.名称:水池池壁外侧涂料</w:t>
            </w:r>
            <w:r>
              <w:rPr>
                <w:rFonts w:hint="eastAsia" w:ascii="宋体" w:hAnsi="宋体"/>
                <w:color w:val="auto"/>
                <w:sz w:val="20"/>
                <w:highlight w:val="none"/>
              </w:rPr>
              <w:br w:type="textWrapping"/>
            </w:r>
            <w:r>
              <w:rPr>
                <w:rFonts w:hint="eastAsia" w:ascii="宋体" w:hAnsi="宋体"/>
                <w:color w:val="auto"/>
                <w:sz w:val="20"/>
                <w:highlight w:val="none"/>
              </w:rPr>
              <w:t>2.面层:刷大白浆饰面</w:t>
            </w:r>
            <w:r>
              <w:rPr>
                <w:rFonts w:hint="eastAsia" w:ascii="宋体" w:hAnsi="宋体"/>
                <w:color w:val="auto"/>
                <w:sz w:val="20"/>
                <w:highlight w:val="none"/>
              </w:rPr>
              <w:br w:type="textWrapping"/>
            </w:r>
            <w:r>
              <w:rPr>
                <w:rFonts w:hint="eastAsia" w:ascii="宋体" w:hAnsi="宋体"/>
                <w:color w:val="auto"/>
                <w:sz w:val="20"/>
                <w:highlight w:val="none"/>
              </w:rPr>
              <w:t>3.腻子:2mm厚耐水腻子分遍刮平</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48.55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7"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其他</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20</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检修口盖板</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1.名称:检修口盖板</w:t>
            </w:r>
            <w:r>
              <w:rPr>
                <w:rFonts w:hint="eastAsia" w:ascii="宋体" w:hAnsi="宋体"/>
                <w:color w:val="auto"/>
                <w:sz w:val="20"/>
                <w:highlight w:val="none"/>
              </w:rPr>
              <w:br w:type="textWrapping"/>
            </w:r>
            <w:r>
              <w:rPr>
                <w:rFonts w:hint="eastAsia" w:ascii="宋体" w:hAnsi="宋体"/>
                <w:color w:val="auto"/>
                <w:sz w:val="20"/>
                <w:highlight w:val="none"/>
              </w:rPr>
              <w:t>2.材料:3mm玻璃钢</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0.64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21</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井、池渗漏试验</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1.名称:井、池渗漏试验</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m3</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22</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止水带</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1.名称:止水带</w:t>
            </w:r>
            <w:r>
              <w:rPr>
                <w:rFonts w:hint="eastAsia" w:ascii="宋体" w:hAnsi="宋体"/>
                <w:color w:val="auto"/>
                <w:sz w:val="20"/>
                <w:highlight w:val="none"/>
              </w:rPr>
              <w:br w:type="textWrapping"/>
            </w:r>
            <w:r>
              <w:rPr>
                <w:rFonts w:hint="eastAsia" w:ascii="宋体" w:hAnsi="宋体"/>
                <w:color w:val="auto"/>
                <w:sz w:val="20"/>
                <w:highlight w:val="none"/>
              </w:rPr>
              <w:t>2.止水带材料种类:不锈钢 -3*400</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29.6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9"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　</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措施项目</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　</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　</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1"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23</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满堂脚手架</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1.搭设高度:5.2m内</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24</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矩形梁</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1.名称:矩形梁模板</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25</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水池底板模板</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1.名称:水池底板模板</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3.57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6"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26</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水池侧壁模板</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1.名称:水池侧壁模板</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109.62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4"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27</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检修口反边模板</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1.名称:检修口反边模板</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m2</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28</w:t>
            </w:r>
          </w:p>
        </w:tc>
        <w:tc>
          <w:tcPr>
            <w:tcW w:w="170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二次搬运</w:t>
            </w:r>
          </w:p>
        </w:tc>
        <w:tc>
          <w:tcPr>
            <w:tcW w:w="4773"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1.材料品种:钢筋、砂浆、混凝土</w:t>
            </w:r>
            <w:r>
              <w:rPr>
                <w:rFonts w:hint="eastAsia" w:ascii="宋体" w:hAnsi="宋体"/>
                <w:color w:val="auto"/>
                <w:sz w:val="20"/>
                <w:highlight w:val="none"/>
              </w:rPr>
              <w:br w:type="textWrapping"/>
            </w:r>
            <w:r>
              <w:rPr>
                <w:rFonts w:hint="eastAsia" w:ascii="宋体" w:hAnsi="宋体"/>
                <w:color w:val="auto"/>
                <w:sz w:val="20"/>
                <w:highlight w:val="none"/>
              </w:rPr>
              <w:t>2.运输距离:200m</w:t>
            </w:r>
            <w:r>
              <w:rPr>
                <w:rFonts w:hint="eastAsia" w:ascii="宋体" w:hAnsi="宋体"/>
                <w:color w:val="auto"/>
                <w:sz w:val="20"/>
                <w:highlight w:val="none"/>
              </w:rPr>
              <w:br w:type="textWrapping"/>
            </w:r>
            <w:r>
              <w:rPr>
                <w:rFonts w:hint="eastAsia" w:ascii="宋体" w:hAnsi="宋体"/>
                <w:color w:val="auto"/>
                <w:sz w:val="20"/>
                <w:highlight w:val="none"/>
              </w:rPr>
              <w:t>3.其他:详见图纸说明</w:t>
            </w:r>
          </w:p>
        </w:tc>
        <w:tc>
          <w:tcPr>
            <w:tcW w:w="1063"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项</w:t>
            </w:r>
          </w:p>
        </w:tc>
        <w:tc>
          <w:tcPr>
            <w:tcW w:w="1107"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w:t>
            </w:r>
          </w:p>
        </w:tc>
      </w:tr>
    </w:tbl>
    <w:p>
      <w:pPr>
        <w:pStyle w:val="26"/>
        <w:rPr>
          <w:color w:val="auto"/>
          <w:highlight w:val="none"/>
        </w:rPr>
      </w:pPr>
      <w:r>
        <w:rPr>
          <w:rFonts w:hint="eastAsia"/>
          <w:color w:val="auto"/>
          <w:highlight w:val="none"/>
          <w:lang w:eastAsia="zh-CN"/>
        </w:rPr>
        <w:t>京溪分公司硫酸铝加药池改造工程（第二次）</w:t>
      </w:r>
      <w:r>
        <w:rPr>
          <w:rFonts w:hint="eastAsia"/>
          <w:color w:val="auto"/>
          <w:highlight w:val="none"/>
        </w:rPr>
        <w:t>安装工程部分</w:t>
      </w:r>
    </w:p>
    <w:tbl>
      <w:tblPr>
        <w:tblStyle w:val="22"/>
        <w:tblW w:w="9300" w:type="dxa"/>
        <w:tblInd w:w="-341" w:type="dxa"/>
        <w:tblLayout w:type="autofit"/>
        <w:tblCellMar>
          <w:top w:w="0" w:type="dxa"/>
          <w:left w:w="108" w:type="dxa"/>
          <w:bottom w:w="0" w:type="dxa"/>
          <w:right w:w="108" w:type="dxa"/>
        </w:tblCellMar>
      </w:tblPr>
      <w:tblGrid>
        <w:gridCol w:w="668"/>
        <w:gridCol w:w="1615"/>
        <w:gridCol w:w="4849"/>
        <w:gridCol w:w="1077"/>
        <w:gridCol w:w="1091"/>
      </w:tblGrid>
      <w:tr>
        <w:tblPrEx>
          <w:tblCellMar>
            <w:top w:w="0" w:type="dxa"/>
            <w:left w:w="108" w:type="dxa"/>
            <w:bottom w:w="0" w:type="dxa"/>
            <w:right w:w="108" w:type="dxa"/>
          </w:tblCellMar>
        </w:tblPrEx>
        <w:trPr>
          <w:trHeight w:val="360" w:hRule="atLeast"/>
        </w:trPr>
        <w:tc>
          <w:tcPr>
            <w:tcW w:w="668" w:type="dxa"/>
            <w:vMerge w:val="restart"/>
            <w:tcBorders>
              <w:top w:val="single" w:color="000000" w:sz="8" w:space="0"/>
              <w:left w:val="single" w:color="000000" w:sz="8" w:space="0"/>
              <w:right w:val="single" w:color="000000" w:sz="8" w:space="0"/>
            </w:tcBorders>
            <w:vAlign w:val="center"/>
          </w:tcPr>
          <w:p>
            <w:pPr>
              <w:rPr>
                <w:rFonts w:ascii="宋体" w:hAnsi="宋体"/>
                <w:color w:val="auto"/>
                <w:sz w:val="20"/>
                <w:highlight w:val="none"/>
              </w:rPr>
            </w:pPr>
            <w:r>
              <w:rPr>
                <w:rFonts w:hint="eastAsia" w:ascii="宋体" w:hAnsi="宋体"/>
                <w:color w:val="auto"/>
                <w:sz w:val="20"/>
                <w:highlight w:val="none"/>
              </w:rPr>
              <w:t>序号</w:t>
            </w:r>
          </w:p>
        </w:tc>
        <w:tc>
          <w:tcPr>
            <w:tcW w:w="1615" w:type="dxa"/>
            <w:vMerge w:val="restart"/>
            <w:tcBorders>
              <w:top w:val="single" w:color="000000" w:sz="8" w:space="0"/>
              <w:left w:val="nil"/>
              <w:right w:val="single" w:color="000000" w:sz="8" w:space="0"/>
            </w:tcBorders>
            <w:vAlign w:val="center"/>
          </w:tcPr>
          <w:p>
            <w:pPr>
              <w:rPr>
                <w:rFonts w:ascii="宋体" w:hAnsi="宋体"/>
                <w:color w:val="auto"/>
                <w:sz w:val="20"/>
                <w:highlight w:val="none"/>
              </w:rPr>
            </w:pPr>
            <w:r>
              <w:rPr>
                <w:rFonts w:hint="eastAsia" w:ascii="宋体" w:hAnsi="宋体"/>
                <w:color w:val="auto"/>
                <w:sz w:val="20"/>
                <w:highlight w:val="none"/>
              </w:rPr>
              <w:t>项目名称</w:t>
            </w:r>
          </w:p>
        </w:tc>
        <w:tc>
          <w:tcPr>
            <w:tcW w:w="4849" w:type="dxa"/>
            <w:vMerge w:val="restart"/>
            <w:tcBorders>
              <w:top w:val="single" w:color="000000" w:sz="8" w:space="0"/>
              <w:left w:val="nil"/>
              <w:right w:val="single" w:color="000000" w:sz="8" w:space="0"/>
            </w:tcBorders>
            <w:vAlign w:val="center"/>
          </w:tcPr>
          <w:p>
            <w:pPr>
              <w:rPr>
                <w:rFonts w:ascii="宋体" w:hAnsi="宋体"/>
                <w:color w:val="auto"/>
                <w:sz w:val="20"/>
                <w:highlight w:val="none"/>
              </w:rPr>
            </w:pPr>
            <w:r>
              <w:rPr>
                <w:rFonts w:hint="eastAsia" w:ascii="宋体" w:hAnsi="宋体"/>
                <w:color w:val="auto"/>
                <w:sz w:val="20"/>
                <w:highlight w:val="none"/>
              </w:rPr>
              <w:t>项目特征</w:t>
            </w:r>
          </w:p>
        </w:tc>
        <w:tc>
          <w:tcPr>
            <w:tcW w:w="1077" w:type="dxa"/>
            <w:vMerge w:val="restart"/>
            <w:tcBorders>
              <w:top w:val="single" w:color="000000" w:sz="8" w:space="0"/>
              <w:left w:val="nil"/>
              <w:right w:val="single" w:color="000000" w:sz="8" w:space="0"/>
            </w:tcBorders>
            <w:vAlign w:val="center"/>
          </w:tcPr>
          <w:p>
            <w:pPr>
              <w:rPr>
                <w:rFonts w:ascii="宋体" w:hAnsi="宋体"/>
                <w:color w:val="auto"/>
                <w:sz w:val="20"/>
                <w:highlight w:val="none"/>
              </w:rPr>
            </w:pPr>
            <w:r>
              <w:rPr>
                <w:rFonts w:hint="eastAsia" w:ascii="宋体" w:hAnsi="宋体"/>
                <w:color w:val="auto"/>
                <w:sz w:val="20"/>
                <w:highlight w:val="none"/>
              </w:rPr>
              <w:t>计量单位</w:t>
            </w:r>
          </w:p>
        </w:tc>
        <w:tc>
          <w:tcPr>
            <w:tcW w:w="1091" w:type="dxa"/>
            <w:vMerge w:val="restart"/>
            <w:tcBorders>
              <w:top w:val="single" w:color="000000" w:sz="8" w:space="0"/>
              <w:left w:val="nil"/>
              <w:right w:val="single" w:color="000000" w:sz="8" w:space="0"/>
            </w:tcBorders>
            <w:vAlign w:val="center"/>
          </w:tcPr>
          <w:p>
            <w:pPr>
              <w:rPr>
                <w:rFonts w:ascii="宋体" w:hAnsi="宋体"/>
                <w:color w:val="auto"/>
                <w:sz w:val="20"/>
                <w:highlight w:val="none"/>
              </w:rPr>
            </w:pPr>
            <w:r>
              <w:rPr>
                <w:rFonts w:hint="eastAsia" w:ascii="宋体" w:hAnsi="宋体"/>
                <w:color w:val="auto"/>
                <w:sz w:val="20"/>
                <w:highlight w:val="none"/>
              </w:rPr>
              <w:t>工程量</w:t>
            </w:r>
          </w:p>
        </w:tc>
      </w:tr>
      <w:tr>
        <w:tblPrEx>
          <w:tblCellMar>
            <w:top w:w="0" w:type="dxa"/>
            <w:left w:w="108" w:type="dxa"/>
            <w:bottom w:w="0" w:type="dxa"/>
            <w:right w:w="108" w:type="dxa"/>
          </w:tblCellMar>
        </w:tblPrEx>
        <w:trPr>
          <w:trHeight w:val="312" w:hRule="atLeast"/>
        </w:trPr>
        <w:tc>
          <w:tcPr>
            <w:tcW w:w="668"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olor w:val="auto"/>
                <w:sz w:val="20"/>
                <w:highlight w:val="none"/>
              </w:rPr>
            </w:pPr>
          </w:p>
        </w:tc>
        <w:tc>
          <w:tcPr>
            <w:tcW w:w="1615" w:type="dxa"/>
            <w:vMerge w:val="continue"/>
            <w:tcBorders>
              <w:top w:val="single" w:color="000000" w:sz="8" w:space="0"/>
              <w:left w:val="nil"/>
              <w:bottom w:val="single" w:color="000000" w:sz="8" w:space="0"/>
              <w:right w:val="single" w:color="000000" w:sz="8" w:space="0"/>
            </w:tcBorders>
            <w:vAlign w:val="center"/>
          </w:tcPr>
          <w:p>
            <w:pPr>
              <w:rPr>
                <w:rFonts w:ascii="宋体" w:hAnsi="宋体"/>
                <w:color w:val="auto"/>
                <w:sz w:val="20"/>
                <w:highlight w:val="none"/>
              </w:rPr>
            </w:pPr>
          </w:p>
        </w:tc>
        <w:tc>
          <w:tcPr>
            <w:tcW w:w="4849" w:type="dxa"/>
            <w:vMerge w:val="continue"/>
            <w:tcBorders>
              <w:top w:val="single" w:color="000000" w:sz="8" w:space="0"/>
              <w:left w:val="nil"/>
              <w:bottom w:val="single" w:color="000000" w:sz="8" w:space="0"/>
              <w:right w:val="single" w:color="000000" w:sz="8" w:space="0"/>
            </w:tcBorders>
            <w:vAlign w:val="center"/>
          </w:tcPr>
          <w:p>
            <w:pPr>
              <w:rPr>
                <w:rFonts w:ascii="宋体" w:hAnsi="宋体"/>
                <w:color w:val="auto"/>
                <w:sz w:val="20"/>
                <w:highlight w:val="none"/>
              </w:rPr>
            </w:pPr>
          </w:p>
        </w:tc>
        <w:tc>
          <w:tcPr>
            <w:tcW w:w="1077" w:type="dxa"/>
            <w:vMerge w:val="continue"/>
            <w:tcBorders>
              <w:top w:val="single" w:color="000000" w:sz="8" w:space="0"/>
              <w:left w:val="nil"/>
              <w:bottom w:val="single" w:color="000000" w:sz="8" w:space="0"/>
              <w:right w:val="single" w:color="000000" w:sz="8" w:space="0"/>
            </w:tcBorders>
            <w:vAlign w:val="center"/>
          </w:tcPr>
          <w:p>
            <w:pPr>
              <w:rPr>
                <w:rFonts w:ascii="宋体" w:hAnsi="宋体"/>
                <w:color w:val="auto"/>
                <w:sz w:val="20"/>
                <w:highlight w:val="none"/>
              </w:rPr>
            </w:pPr>
          </w:p>
        </w:tc>
        <w:tc>
          <w:tcPr>
            <w:tcW w:w="1091" w:type="dxa"/>
            <w:vMerge w:val="continue"/>
            <w:tcBorders>
              <w:top w:val="single" w:color="000000" w:sz="8" w:space="0"/>
              <w:left w:val="nil"/>
              <w:bottom w:val="single" w:color="000000" w:sz="8" w:space="0"/>
              <w:right w:val="single" w:color="000000" w:sz="8" w:space="0"/>
            </w:tcBorders>
            <w:vAlign w:val="center"/>
          </w:tcPr>
          <w:p>
            <w:pPr>
              <w:rPr>
                <w:rFonts w:ascii="宋体" w:hAnsi="宋体"/>
                <w:color w:val="auto"/>
                <w:sz w:val="20"/>
                <w:highlight w:val="none"/>
              </w:rPr>
            </w:pPr>
          </w:p>
        </w:tc>
      </w:tr>
      <w:tr>
        <w:tblPrEx>
          <w:tblCellMar>
            <w:top w:w="0" w:type="dxa"/>
            <w:left w:w="108" w:type="dxa"/>
            <w:bottom w:w="0" w:type="dxa"/>
            <w:right w:w="108" w:type="dxa"/>
          </w:tblCellMar>
        </w:tblPrEx>
        <w:trPr>
          <w:trHeight w:val="272"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　</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给水系统</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　</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　</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　</w:t>
            </w:r>
          </w:p>
        </w:tc>
      </w:tr>
      <w:tr>
        <w:tblPrEx>
          <w:tblCellMar>
            <w:top w:w="0" w:type="dxa"/>
            <w:left w:w="108" w:type="dxa"/>
            <w:bottom w:w="0" w:type="dxa"/>
            <w:right w:w="108" w:type="dxa"/>
          </w:tblCellMar>
        </w:tblPrEx>
        <w:trPr>
          <w:trHeight w:val="578"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物位检测仪表</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1.名称:超声波液位计</w:t>
            </w:r>
            <w:r>
              <w:rPr>
                <w:rFonts w:hint="eastAsia" w:ascii="宋体" w:hAnsi="宋体"/>
                <w:color w:val="auto"/>
                <w:sz w:val="20"/>
                <w:highlight w:val="none"/>
              </w:rPr>
              <w:br w:type="textWrapping"/>
            </w:r>
            <w:r>
              <w:rPr>
                <w:rFonts w:hint="eastAsia" w:ascii="宋体" w:hAnsi="宋体"/>
                <w:color w:val="auto"/>
                <w:sz w:val="20"/>
                <w:highlight w:val="none"/>
              </w:rPr>
              <w:t>2.规格:量程:0~5米</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台</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w:t>
            </w:r>
          </w:p>
        </w:tc>
      </w:tr>
      <w:tr>
        <w:tblPrEx>
          <w:tblCellMar>
            <w:top w:w="0" w:type="dxa"/>
            <w:left w:w="108" w:type="dxa"/>
            <w:bottom w:w="0" w:type="dxa"/>
            <w:right w:w="108" w:type="dxa"/>
          </w:tblCellMar>
        </w:tblPrEx>
        <w:trPr>
          <w:trHeight w:val="578"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流量仪表</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1.名称:电磁流量计</w:t>
            </w:r>
            <w:r>
              <w:rPr>
                <w:rFonts w:hint="eastAsia" w:ascii="宋体" w:hAnsi="宋体"/>
                <w:color w:val="auto"/>
                <w:sz w:val="20"/>
                <w:highlight w:val="none"/>
              </w:rPr>
              <w:br w:type="textWrapping"/>
            </w:r>
            <w:r>
              <w:rPr>
                <w:rFonts w:hint="eastAsia" w:ascii="宋体" w:hAnsi="宋体"/>
                <w:color w:val="auto"/>
                <w:sz w:val="20"/>
                <w:highlight w:val="none"/>
              </w:rPr>
              <w:t>2.规格:DN150</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台</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w:t>
            </w:r>
          </w:p>
        </w:tc>
      </w:tr>
      <w:tr>
        <w:tblPrEx>
          <w:tblCellMar>
            <w:top w:w="0" w:type="dxa"/>
            <w:left w:w="108" w:type="dxa"/>
            <w:bottom w:w="0" w:type="dxa"/>
            <w:right w:w="108" w:type="dxa"/>
          </w:tblCellMar>
        </w:tblPrEx>
        <w:trPr>
          <w:trHeight w:val="987"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3</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给、排水附(配)件</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1.名称:溢流喇叭口</w:t>
            </w:r>
            <w:r>
              <w:rPr>
                <w:rFonts w:hint="eastAsia" w:ascii="宋体" w:hAnsi="宋体"/>
                <w:color w:val="auto"/>
                <w:sz w:val="20"/>
                <w:highlight w:val="none"/>
              </w:rPr>
              <w:br w:type="textWrapping"/>
            </w:r>
            <w:r>
              <w:rPr>
                <w:rFonts w:hint="eastAsia" w:ascii="宋体" w:hAnsi="宋体"/>
                <w:color w:val="auto"/>
                <w:sz w:val="20"/>
                <w:highlight w:val="none"/>
              </w:rPr>
              <w:t>2.型号、规格:DN150、PN1.0MPa</w:t>
            </w:r>
            <w:r>
              <w:rPr>
                <w:rFonts w:hint="eastAsia" w:ascii="宋体" w:hAnsi="宋体"/>
                <w:color w:val="auto"/>
                <w:sz w:val="20"/>
                <w:highlight w:val="none"/>
              </w:rPr>
              <w:br w:type="textWrapping"/>
            </w:r>
            <w:r>
              <w:rPr>
                <w:rFonts w:hint="eastAsia" w:ascii="宋体" w:hAnsi="宋体"/>
                <w:color w:val="auto"/>
                <w:sz w:val="20"/>
                <w:highlight w:val="none"/>
              </w:rPr>
              <w:t>3.材质:优质PVC-U</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w:t>
            </w:r>
          </w:p>
        </w:tc>
      </w:tr>
      <w:tr>
        <w:tblPrEx>
          <w:tblCellMar>
            <w:top w:w="0" w:type="dxa"/>
            <w:left w:w="108" w:type="dxa"/>
            <w:bottom w:w="0" w:type="dxa"/>
            <w:right w:w="108" w:type="dxa"/>
          </w:tblCellMar>
        </w:tblPrEx>
        <w:trPr>
          <w:trHeight w:val="96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4</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除污器(过滤器)</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1.名称:Y型过滤器</w:t>
            </w:r>
            <w:r>
              <w:rPr>
                <w:rFonts w:hint="eastAsia" w:ascii="宋体" w:hAnsi="宋体"/>
                <w:color w:val="auto"/>
                <w:sz w:val="20"/>
                <w:highlight w:val="none"/>
              </w:rPr>
              <w:br w:type="textWrapping"/>
            </w:r>
            <w:r>
              <w:rPr>
                <w:rFonts w:hint="eastAsia" w:ascii="宋体" w:hAnsi="宋体"/>
                <w:color w:val="auto"/>
                <w:sz w:val="20"/>
                <w:highlight w:val="none"/>
              </w:rPr>
              <w:t>2.规格、压力等级:DN150、PN1.0MPa</w:t>
            </w:r>
            <w:r>
              <w:rPr>
                <w:rFonts w:hint="eastAsia" w:ascii="宋体" w:hAnsi="宋体"/>
                <w:color w:val="auto"/>
                <w:sz w:val="20"/>
                <w:highlight w:val="none"/>
              </w:rPr>
              <w:br w:type="textWrapping"/>
            </w:r>
            <w:r>
              <w:rPr>
                <w:rFonts w:hint="eastAsia" w:ascii="宋体" w:hAnsi="宋体"/>
                <w:color w:val="auto"/>
                <w:sz w:val="20"/>
                <w:highlight w:val="none"/>
              </w:rPr>
              <w:t>3.材质:优质PVC-U</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组</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w:t>
            </w:r>
          </w:p>
        </w:tc>
      </w:tr>
      <w:tr>
        <w:tblPrEx>
          <w:tblCellMar>
            <w:top w:w="0" w:type="dxa"/>
            <w:left w:w="108" w:type="dxa"/>
            <w:bottom w:w="0" w:type="dxa"/>
            <w:right w:w="108" w:type="dxa"/>
          </w:tblCellMar>
        </w:tblPrEx>
        <w:trPr>
          <w:trHeight w:val="84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5</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焊接法兰阀门</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1.类型:球阀</w:t>
            </w:r>
            <w:r>
              <w:rPr>
                <w:rFonts w:hint="eastAsia" w:ascii="宋体" w:hAnsi="宋体"/>
                <w:color w:val="auto"/>
                <w:sz w:val="20"/>
                <w:highlight w:val="none"/>
              </w:rPr>
              <w:br w:type="textWrapping"/>
            </w:r>
            <w:r>
              <w:rPr>
                <w:rFonts w:hint="eastAsia" w:ascii="宋体" w:hAnsi="宋体"/>
                <w:color w:val="auto"/>
                <w:sz w:val="20"/>
                <w:highlight w:val="none"/>
              </w:rPr>
              <w:t>2.材质:优质PVC-U</w:t>
            </w:r>
            <w:r>
              <w:rPr>
                <w:rFonts w:hint="eastAsia" w:ascii="宋体" w:hAnsi="宋体"/>
                <w:color w:val="auto"/>
                <w:sz w:val="20"/>
                <w:highlight w:val="none"/>
              </w:rPr>
              <w:br w:type="textWrapping"/>
            </w:r>
            <w:r>
              <w:rPr>
                <w:rFonts w:hint="eastAsia" w:ascii="宋体" w:hAnsi="宋体"/>
                <w:color w:val="auto"/>
                <w:sz w:val="20"/>
                <w:highlight w:val="none"/>
              </w:rPr>
              <w:t>3.规格、压力等级:DN150</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3</w:t>
            </w:r>
          </w:p>
        </w:tc>
      </w:tr>
      <w:tr>
        <w:tblPrEx>
          <w:tblCellMar>
            <w:top w:w="0" w:type="dxa"/>
            <w:left w:w="108" w:type="dxa"/>
            <w:bottom w:w="0" w:type="dxa"/>
            <w:right w:w="108" w:type="dxa"/>
          </w:tblCellMar>
        </w:tblPrEx>
        <w:trPr>
          <w:trHeight w:val="84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6</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焊接法兰阀门</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1.类型:球阀</w:t>
            </w:r>
            <w:r>
              <w:rPr>
                <w:rFonts w:hint="eastAsia" w:ascii="宋体" w:hAnsi="宋体"/>
                <w:color w:val="auto"/>
                <w:sz w:val="20"/>
                <w:highlight w:val="none"/>
              </w:rPr>
              <w:br w:type="textWrapping"/>
            </w:r>
            <w:r>
              <w:rPr>
                <w:rFonts w:hint="eastAsia" w:ascii="宋体" w:hAnsi="宋体"/>
                <w:color w:val="auto"/>
                <w:sz w:val="20"/>
                <w:highlight w:val="none"/>
              </w:rPr>
              <w:t>2.材质:优质PVC-U</w:t>
            </w:r>
            <w:r>
              <w:rPr>
                <w:rFonts w:hint="eastAsia" w:ascii="宋体" w:hAnsi="宋体"/>
                <w:color w:val="auto"/>
                <w:sz w:val="20"/>
                <w:highlight w:val="none"/>
              </w:rPr>
              <w:br w:type="textWrapping"/>
            </w:r>
            <w:r>
              <w:rPr>
                <w:rFonts w:hint="eastAsia" w:ascii="宋体" w:hAnsi="宋体"/>
                <w:color w:val="auto"/>
                <w:sz w:val="20"/>
                <w:highlight w:val="none"/>
              </w:rPr>
              <w:t>3.规格、压力等级:DN50</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w:t>
            </w:r>
          </w:p>
        </w:tc>
      </w:tr>
      <w:tr>
        <w:tblPrEx>
          <w:tblCellMar>
            <w:top w:w="0" w:type="dxa"/>
            <w:left w:w="108" w:type="dxa"/>
            <w:bottom w:w="0" w:type="dxa"/>
            <w:right w:w="108" w:type="dxa"/>
          </w:tblCellMar>
        </w:tblPrEx>
        <w:trPr>
          <w:trHeight w:val="1178"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7</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塑料管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1.安装部位:室内</w:t>
            </w:r>
            <w:r>
              <w:rPr>
                <w:rFonts w:hint="eastAsia" w:ascii="宋体" w:hAnsi="宋体"/>
                <w:color w:val="auto"/>
                <w:sz w:val="20"/>
                <w:highlight w:val="none"/>
              </w:rPr>
              <w:br w:type="textWrapping"/>
            </w:r>
            <w:r>
              <w:rPr>
                <w:rFonts w:hint="eastAsia" w:ascii="宋体" w:hAnsi="宋体"/>
                <w:color w:val="auto"/>
                <w:sz w:val="20"/>
                <w:highlight w:val="none"/>
              </w:rPr>
              <w:t>2.介质:给水</w:t>
            </w:r>
            <w:r>
              <w:rPr>
                <w:rFonts w:hint="eastAsia" w:ascii="宋体" w:hAnsi="宋体"/>
                <w:color w:val="auto"/>
                <w:sz w:val="20"/>
                <w:highlight w:val="none"/>
              </w:rPr>
              <w:br w:type="textWrapping"/>
            </w:r>
            <w:r>
              <w:rPr>
                <w:rFonts w:hint="eastAsia" w:ascii="宋体" w:hAnsi="宋体"/>
                <w:color w:val="auto"/>
                <w:sz w:val="20"/>
                <w:highlight w:val="none"/>
              </w:rPr>
              <w:t>3.材质、规格:优质PVC-U DN150</w:t>
            </w:r>
            <w:r>
              <w:rPr>
                <w:rFonts w:hint="eastAsia" w:ascii="宋体" w:hAnsi="宋体"/>
                <w:color w:val="auto"/>
                <w:sz w:val="20"/>
                <w:highlight w:val="none"/>
              </w:rPr>
              <w:br w:type="textWrapping"/>
            </w:r>
            <w:r>
              <w:rPr>
                <w:rFonts w:hint="eastAsia" w:ascii="宋体" w:hAnsi="宋体"/>
                <w:color w:val="auto"/>
                <w:sz w:val="20"/>
                <w:highlight w:val="none"/>
              </w:rPr>
              <w:t>4.连接形式:粘接</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9.2</w:t>
            </w:r>
          </w:p>
        </w:tc>
      </w:tr>
      <w:tr>
        <w:tblPrEx>
          <w:tblCellMar>
            <w:top w:w="0" w:type="dxa"/>
            <w:left w:w="108" w:type="dxa"/>
            <w:bottom w:w="0" w:type="dxa"/>
            <w:right w:w="108" w:type="dxa"/>
          </w:tblCellMar>
        </w:tblPrEx>
        <w:trPr>
          <w:trHeight w:val="1239"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8</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塑料管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1.安装部位:室内</w:t>
            </w:r>
            <w:r>
              <w:rPr>
                <w:rFonts w:hint="eastAsia" w:ascii="宋体" w:hAnsi="宋体"/>
                <w:color w:val="auto"/>
                <w:sz w:val="20"/>
                <w:highlight w:val="none"/>
              </w:rPr>
              <w:br w:type="textWrapping"/>
            </w:r>
            <w:r>
              <w:rPr>
                <w:rFonts w:hint="eastAsia" w:ascii="宋体" w:hAnsi="宋体"/>
                <w:color w:val="auto"/>
                <w:sz w:val="20"/>
                <w:highlight w:val="none"/>
              </w:rPr>
              <w:t>2.介质:给水</w:t>
            </w:r>
            <w:r>
              <w:rPr>
                <w:rFonts w:hint="eastAsia" w:ascii="宋体" w:hAnsi="宋体"/>
                <w:color w:val="auto"/>
                <w:sz w:val="20"/>
                <w:highlight w:val="none"/>
              </w:rPr>
              <w:br w:type="textWrapping"/>
            </w:r>
            <w:r>
              <w:rPr>
                <w:rFonts w:hint="eastAsia" w:ascii="宋体" w:hAnsi="宋体"/>
                <w:color w:val="auto"/>
                <w:sz w:val="20"/>
                <w:highlight w:val="none"/>
              </w:rPr>
              <w:t>3.材质、规格:优质PVC-U DN100</w:t>
            </w:r>
            <w:r>
              <w:rPr>
                <w:rFonts w:hint="eastAsia" w:ascii="宋体" w:hAnsi="宋体"/>
                <w:color w:val="auto"/>
                <w:sz w:val="20"/>
                <w:highlight w:val="none"/>
              </w:rPr>
              <w:br w:type="textWrapping"/>
            </w:r>
            <w:r>
              <w:rPr>
                <w:rFonts w:hint="eastAsia" w:ascii="宋体" w:hAnsi="宋体"/>
                <w:color w:val="auto"/>
                <w:sz w:val="20"/>
                <w:highlight w:val="none"/>
              </w:rPr>
              <w:t>4.连接形式:粘接</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1.2</w:t>
            </w:r>
          </w:p>
        </w:tc>
      </w:tr>
      <w:tr>
        <w:tblPrEx>
          <w:tblCellMar>
            <w:top w:w="0" w:type="dxa"/>
            <w:left w:w="108" w:type="dxa"/>
            <w:bottom w:w="0" w:type="dxa"/>
            <w:right w:w="108" w:type="dxa"/>
          </w:tblCellMar>
        </w:tblPrEx>
        <w:trPr>
          <w:trHeight w:val="9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9</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塑料管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1.安装部位:室内</w:t>
            </w:r>
            <w:r>
              <w:rPr>
                <w:rFonts w:hint="eastAsia" w:ascii="宋体" w:hAnsi="宋体"/>
                <w:color w:val="auto"/>
                <w:sz w:val="20"/>
                <w:highlight w:val="none"/>
              </w:rPr>
              <w:br w:type="textWrapping"/>
            </w:r>
            <w:r>
              <w:rPr>
                <w:rFonts w:hint="eastAsia" w:ascii="宋体" w:hAnsi="宋体"/>
                <w:color w:val="auto"/>
                <w:sz w:val="20"/>
                <w:highlight w:val="none"/>
              </w:rPr>
              <w:t>2.介质:给水</w:t>
            </w:r>
            <w:r>
              <w:rPr>
                <w:rFonts w:hint="eastAsia" w:ascii="宋体" w:hAnsi="宋体"/>
                <w:color w:val="auto"/>
                <w:sz w:val="20"/>
                <w:highlight w:val="none"/>
              </w:rPr>
              <w:br w:type="textWrapping"/>
            </w:r>
            <w:r>
              <w:rPr>
                <w:rFonts w:hint="eastAsia" w:ascii="宋体" w:hAnsi="宋体"/>
                <w:color w:val="auto"/>
                <w:sz w:val="20"/>
                <w:highlight w:val="none"/>
              </w:rPr>
              <w:t>3.材质、规格:优质PVC-U DN50</w:t>
            </w:r>
            <w:r>
              <w:rPr>
                <w:rFonts w:hint="eastAsia" w:ascii="宋体" w:hAnsi="宋体"/>
                <w:color w:val="auto"/>
                <w:sz w:val="20"/>
                <w:highlight w:val="none"/>
              </w:rPr>
              <w:br w:type="textWrapping"/>
            </w:r>
            <w:r>
              <w:rPr>
                <w:rFonts w:hint="eastAsia" w:ascii="宋体" w:hAnsi="宋体"/>
                <w:color w:val="auto"/>
                <w:sz w:val="20"/>
                <w:highlight w:val="none"/>
              </w:rPr>
              <w:t>4.连接形式:粘接</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8.1</w:t>
            </w:r>
          </w:p>
        </w:tc>
      </w:tr>
      <w:tr>
        <w:tblPrEx>
          <w:tblCellMar>
            <w:top w:w="0" w:type="dxa"/>
            <w:left w:w="108" w:type="dxa"/>
            <w:bottom w:w="0" w:type="dxa"/>
            <w:right w:w="108" w:type="dxa"/>
          </w:tblCellMar>
        </w:tblPrEx>
        <w:trPr>
          <w:trHeight w:val="9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10</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套管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1.名称、类型:预埋A型柔性防水套管</w:t>
            </w:r>
            <w:r>
              <w:rPr>
                <w:rFonts w:hint="eastAsia" w:ascii="宋体" w:hAnsi="宋体"/>
                <w:color w:val="auto"/>
                <w:sz w:val="20"/>
                <w:highlight w:val="none"/>
              </w:rPr>
              <w:br w:type="textWrapping"/>
            </w:r>
            <w:r>
              <w:rPr>
                <w:rFonts w:hint="eastAsia" w:ascii="宋体" w:hAnsi="宋体"/>
                <w:color w:val="auto"/>
                <w:sz w:val="20"/>
                <w:highlight w:val="none"/>
              </w:rPr>
              <w:t>2.规格:φ203</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2</w:t>
            </w:r>
          </w:p>
        </w:tc>
      </w:tr>
      <w:tr>
        <w:tblPrEx>
          <w:tblCellMar>
            <w:top w:w="0" w:type="dxa"/>
            <w:left w:w="108" w:type="dxa"/>
            <w:bottom w:w="0" w:type="dxa"/>
            <w:right w:w="108" w:type="dxa"/>
          </w:tblCellMar>
        </w:tblPrEx>
        <w:trPr>
          <w:trHeight w:val="68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11</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套管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1.名称、类型:预埋A型柔性防水套管</w:t>
            </w:r>
            <w:r>
              <w:rPr>
                <w:rFonts w:hint="eastAsia" w:ascii="宋体" w:hAnsi="宋体"/>
                <w:color w:val="auto"/>
                <w:sz w:val="20"/>
                <w:highlight w:val="none"/>
              </w:rPr>
              <w:br w:type="textWrapping"/>
            </w:r>
            <w:r>
              <w:rPr>
                <w:rFonts w:hint="eastAsia" w:ascii="宋体" w:hAnsi="宋体"/>
                <w:color w:val="auto"/>
                <w:sz w:val="20"/>
                <w:highlight w:val="none"/>
              </w:rPr>
              <w:t>2.规格:φ146</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w:t>
            </w:r>
          </w:p>
        </w:tc>
      </w:tr>
      <w:tr>
        <w:tblPrEx>
          <w:tblCellMar>
            <w:top w:w="0" w:type="dxa"/>
            <w:left w:w="108" w:type="dxa"/>
            <w:bottom w:w="0" w:type="dxa"/>
            <w:right w:w="108" w:type="dxa"/>
          </w:tblCellMar>
        </w:tblPrEx>
        <w:trPr>
          <w:trHeight w:val="589"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12</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套管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1.名称、类型:钢套管</w:t>
            </w:r>
            <w:r>
              <w:rPr>
                <w:rFonts w:hint="eastAsia" w:ascii="宋体" w:hAnsi="宋体"/>
                <w:color w:val="auto"/>
                <w:sz w:val="20"/>
                <w:highlight w:val="none"/>
              </w:rPr>
              <w:br w:type="textWrapping"/>
            </w:r>
            <w:r>
              <w:rPr>
                <w:rFonts w:hint="eastAsia" w:ascii="宋体" w:hAnsi="宋体"/>
                <w:color w:val="auto"/>
                <w:sz w:val="20"/>
                <w:highlight w:val="none"/>
              </w:rPr>
              <w:t>2.规格:φ114</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2</w:t>
            </w:r>
          </w:p>
        </w:tc>
      </w:tr>
      <w:tr>
        <w:tblPrEx>
          <w:tblCellMar>
            <w:top w:w="0" w:type="dxa"/>
            <w:left w:w="108" w:type="dxa"/>
            <w:bottom w:w="0" w:type="dxa"/>
            <w:right w:w="108" w:type="dxa"/>
          </w:tblCellMar>
        </w:tblPrEx>
        <w:trPr>
          <w:trHeight w:val="285"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　</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管道拆除系统</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　</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　</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　</w:t>
            </w:r>
          </w:p>
        </w:tc>
      </w:tr>
      <w:tr>
        <w:tblPrEx>
          <w:tblCellMar>
            <w:top w:w="0" w:type="dxa"/>
            <w:left w:w="108" w:type="dxa"/>
            <w:bottom w:w="0" w:type="dxa"/>
            <w:right w:w="108" w:type="dxa"/>
          </w:tblCellMar>
        </w:tblPrEx>
        <w:trPr>
          <w:trHeight w:val="54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13</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1.部位:室内</w:t>
            </w:r>
            <w:r>
              <w:rPr>
                <w:rFonts w:hint="eastAsia" w:ascii="宋体" w:hAnsi="宋体"/>
                <w:color w:val="auto"/>
                <w:sz w:val="20"/>
                <w:highlight w:val="none"/>
              </w:rPr>
              <w:br w:type="textWrapping"/>
            </w:r>
            <w:r>
              <w:rPr>
                <w:rFonts w:hint="eastAsia" w:ascii="宋体" w:hAnsi="宋体"/>
                <w:color w:val="auto"/>
                <w:sz w:val="20"/>
                <w:highlight w:val="none"/>
              </w:rPr>
              <w:t>2.材质、规格:拆除喷淋管 DN65以内</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5</w:t>
            </w:r>
          </w:p>
        </w:tc>
      </w:tr>
      <w:tr>
        <w:tblPrEx>
          <w:tblCellMar>
            <w:top w:w="0" w:type="dxa"/>
            <w:left w:w="108" w:type="dxa"/>
            <w:bottom w:w="0" w:type="dxa"/>
            <w:right w:w="108" w:type="dxa"/>
          </w:tblCellMar>
        </w:tblPrEx>
        <w:trPr>
          <w:trHeight w:val="57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14</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1.部位:室内</w:t>
            </w:r>
            <w:r>
              <w:rPr>
                <w:rFonts w:hint="eastAsia" w:ascii="宋体" w:hAnsi="宋体"/>
                <w:color w:val="auto"/>
                <w:sz w:val="20"/>
                <w:highlight w:val="none"/>
              </w:rPr>
              <w:br w:type="textWrapping"/>
            </w:r>
            <w:r>
              <w:rPr>
                <w:rFonts w:hint="eastAsia" w:ascii="宋体" w:hAnsi="宋体"/>
                <w:color w:val="auto"/>
                <w:sz w:val="20"/>
                <w:highlight w:val="none"/>
              </w:rPr>
              <w:t>2.材质、规格:拆除喷淋管 DN40以内</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10.9</w:t>
            </w:r>
          </w:p>
        </w:tc>
      </w:tr>
      <w:tr>
        <w:tblPrEx>
          <w:tblCellMar>
            <w:top w:w="0" w:type="dxa"/>
            <w:left w:w="108" w:type="dxa"/>
            <w:bottom w:w="0" w:type="dxa"/>
            <w:right w:w="108" w:type="dxa"/>
          </w:tblCellMar>
        </w:tblPrEx>
        <w:trPr>
          <w:trHeight w:val="549"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15</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1.部位:室内</w:t>
            </w:r>
            <w:r>
              <w:rPr>
                <w:rFonts w:hint="eastAsia" w:ascii="宋体" w:hAnsi="宋体"/>
                <w:color w:val="auto"/>
                <w:sz w:val="20"/>
                <w:highlight w:val="none"/>
              </w:rPr>
              <w:br w:type="textWrapping"/>
            </w:r>
            <w:r>
              <w:rPr>
                <w:rFonts w:hint="eastAsia" w:ascii="宋体" w:hAnsi="宋体"/>
                <w:color w:val="auto"/>
                <w:sz w:val="20"/>
                <w:highlight w:val="none"/>
              </w:rPr>
              <w:t>2.材质、规格:拆除喷淋管 DN25以内</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7.2</w:t>
            </w:r>
          </w:p>
        </w:tc>
      </w:tr>
      <w:tr>
        <w:tblPrEx>
          <w:tblCellMar>
            <w:top w:w="0" w:type="dxa"/>
            <w:left w:w="108" w:type="dxa"/>
            <w:bottom w:w="0" w:type="dxa"/>
            <w:right w:w="108" w:type="dxa"/>
          </w:tblCellMar>
        </w:tblPrEx>
        <w:trPr>
          <w:trHeight w:val="656"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16</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消火栓钢管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1.部位:室内</w:t>
            </w:r>
            <w:r>
              <w:rPr>
                <w:rFonts w:hint="eastAsia" w:ascii="宋体" w:hAnsi="宋体"/>
                <w:color w:val="auto"/>
                <w:sz w:val="20"/>
                <w:highlight w:val="none"/>
              </w:rPr>
              <w:br w:type="textWrapping"/>
            </w:r>
            <w:r>
              <w:rPr>
                <w:rFonts w:hint="eastAsia" w:ascii="宋体" w:hAnsi="宋体"/>
                <w:color w:val="auto"/>
                <w:sz w:val="20"/>
                <w:highlight w:val="none"/>
              </w:rPr>
              <w:t>2.材质、规格:拆除消火栓管 DN150</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7.7</w:t>
            </w:r>
          </w:p>
        </w:tc>
      </w:tr>
      <w:tr>
        <w:tblPrEx>
          <w:tblCellMar>
            <w:top w:w="0" w:type="dxa"/>
            <w:left w:w="108" w:type="dxa"/>
            <w:bottom w:w="0" w:type="dxa"/>
            <w:right w:w="108" w:type="dxa"/>
          </w:tblCellMar>
        </w:tblPrEx>
        <w:trPr>
          <w:trHeight w:val="636"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17</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塑料管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1.部位:室内</w:t>
            </w:r>
            <w:r>
              <w:rPr>
                <w:rFonts w:hint="eastAsia" w:ascii="宋体" w:hAnsi="宋体"/>
                <w:color w:val="auto"/>
                <w:sz w:val="20"/>
                <w:highlight w:val="none"/>
              </w:rPr>
              <w:br w:type="textWrapping"/>
            </w:r>
            <w:r>
              <w:rPr>
                <w:rFonts w:hint="eastAsia" w:ascii="宋体" w:hAnsi="宋体"/>
                <w:color w:val="auto"/>
                <w:sz w:val="20"/>
                <w:highlight w:val="none"/>
              </w:rPr>
              <w:t>2.材质、规格:拆除给水管DN100</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6.5</w:t>
            </w:r>
          </w:p>
        </w:tc>
      </w:tr>
      <w:tr>
        <w:tblPrEx>
          <w:tblCellMar>
            <w:top w:w="0" w:type="dxa"/>
            <w:left w:w="108" w:type="dxa"/>
            <w:bottom w:w="0" w:type="dxa"/>
            <w:right w:w="108" w:type="dxa"/>
          </w:tblCellMar>
        </w:tblPrEx>
        <w:trPr>
          <w:trHeight w:val="286"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　</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新增管道</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　</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　</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　</w:t>
            </w:r>
          </w:p>
        </w:tc>
      </w:tr>
      <w:tr>
        <w:tblPrEx>
          <w:tblCellMar>
            <w:top w:w="0" w:type="dxa"/>
            <w:left w:w="108" w:type="dxa"/>
            <w:bottom w:w="0" w:type="dxa"/>
            <w:right w:w="108" w:type="dxa"/>
          </w:tblCellMar>
        </w:tblPrEx>
        <w:trPr>
          <w:trHeight w:val="93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18</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1.安装部位:室内</w:t>
            </w:r>
            <w:r>
              <w:rPr>
                <w:rFonts w:hint="eastAsia" w:ascii="宋体" w:hAnsi="宋体"/>
                <w:color w:val="auto"/>
                <w:sz w:val="20"/>
                <w:highlight w:val="none"/>
              </w:rPr>
              <w:br w:type="textWrapping"/>
            </w:r>
            <w:r>
              <w:rPr>
                <w:rFonts w:hint="eastAsia" w:ascii="宋体" w:hAnsi="宋体"/>
                <w:color w:val="auto"/>
                <w:sz w:val="20"/>
                <w:highlight w:val="none"/>
              </w:rPr>
              <w:t>2.材质、规格:内外壁热镀锌钢管DN65、1.6MPa</w:t>
            </w:r>
            <w:r>
              <w:rPr>
                <w:rFonts w:hint="eastAsia" w:ascii="宋体" w:hAnsi="宋体"/>
                <w:color w:val="auto"/>
                <w:sz w:val="20"/>
                <w:highlight w:val="none"/>
              </w:rPr>
              <w:br w:type="textWrapping"/>
            </w:r>
            <w:r>
              <w:rPr>
                <w:rFonts w:hint="eastAsia" w:ascii="宋体" w:hAnsi="宋体"/>
                <w:color w:val="auto"/>
                <w:sz w:val="20"/>
                <w:highlight w:val="none"/>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9</w:t>
            </w:r>
          </w:p>
        </w:tc>
      </w:tr>
      <w:tr>
        <w:tblPrEx>
          <w:tblCellMar>
            <w:top w:w="0" w:type="dxa"/>
            <w:left w:w="108" w:type="dxa"/>
            <w:bottom w:w="0" w:type="dxa"/>
            <w:right w:w="108" w:type="dxa"/>
          </w:tblCellMar>
        </w:tblPrEx>
        <w:trPr>
          <w:trHeight w:val="92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19</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1.安装部位:室内</w:t>
            </w:r>
            <w:r>
              <w:rPr>
                <w:rFonts w:hint="eastAsia" w:ascii="宋体" w:hAnsi="宋体"/>
                <w:color w:val="auto"/>
                <w:sz w:val="20"/>
                <w:highlight w:val="none"/>
              </w:rPr>
              <w:br w:type="textWrapping"/>
            </w:r>
            <w:r>
              <w:rPr>
                <w:rFonts w:hint="eastAsia" w:ascii="宋体" w:hAnsi="宋体"/>
                <w:color w:val="auto"/>
                <w:sz w:val="20"/>
                <w:highlight w:val="none"/>
              </w:rPr>
              <w:t>2.材质、规格:内外壁热镀锌钢管DN50、1.6MPa</w:t>
            </w:r>
            <w:r>
              <w:rPr>
                <w:rFonts w:hint="eastAsia" w:ascii="宋体" w:hAnsi="宋体"/>
                <w:color w:val="auto"/>
                <w:sz w:val="20"/>
                <w:highlight w:val="none"/>
              </w:rPr>
              <w:br w:type="textWrapping"/>
            </w:r>
            <w:r>
              <w:rPr>
                <w:rFonts w:hint="eastAsia" w:ascii="宋体" w:hAnsi="宋体"/>
                <w:color w:val="auto"/>
                <w:sz w:val="20"/>
                <w:highlight w:val="none"/>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3</w:t>
            </w:r>
          </w:p>
        </w:tc>
      </w:tr>
      <w:tr>
        <w:tblPrEx>
          <w:tblCellMar>
            <w:top w:w="0" w:type="dxa"/>
            <w:left w:w="108" w:type="dxa"/>
            <w:bottom w:w="0" w:type="dxa"/>
            <w:right w:w="108" w:type="dxa"/>
          </w:tblCellMar>
        </w:tblPrEx>
        <w:trPr>
          <w:trHeight w:val="93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20</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1.安装部位:室内</w:t>
            </w:r>
            <w:r>
              <w:rPr>
                <w:rFonts w:hint="eastAsia" w:ascii="宋体" w:hAnsi="宋体"/>
                <w:color w:val="auto"/>
                <w:sz w:val="20"/>
                <w:highlight w:val="none"/>
              </w:rPr>
              <w:br w:type="textWrapping"/>
            </w:r>
            <w:r>
              <w:rPr>
                <w:rFonts w:hint="eastAsia" w:ascii="宋体" w:hAnsi="宋体"/>
                <w:color w:val="auto"/>
                <w:sz w:val="20"/>
                <w:highlight w:val="none"/>
              </w:rPr>
              <w:t>2.材质、规格:内外壁热镀锌钢管DN40、1.6MPa</w:t>
            </w:r>
            <w:r>
              <w:rPr>
                <w:rFonts w:hint="eastAsia" w:ascii="宋体" w:hAnsi="宋体"/>
                <w:color w:val="auto"/>
                <w:sz w:val="20"/>
                <w:highlight w:val="none"/>
              </w:rPr>
              <w:br w:type="textWrapping"/>
            </w:r>
            <w:r>
              <w:rPr>
                <w:rFonts w:hint="eastAsia" w:ascii="宋体" w:hAnsi="宋体"/>
                <w:color w:val="auto"/>
                <w:sz w:val="20"/>
                <w:highlight w:val="none"/>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4</w:t>
            </w:r>
          </w:p>
        </w:tc>
      </w:tr>
      <w:tr>
        <w:tblPrEx>
          <w:tblCellMar>
            <w:top w:w="0" w:type="dxa"/>
            <w:left w:w="108" w:type="dxa"/>
            <w:bottom w:w="0" w:type="dxa"/>
            <w:right w:w="108" w:type="dxa"/>
          </w:tblCellMar>
        </w:tblPrEx>
        <w:trPr>
          <w:trHeight w:val="91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21</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1.安装部位:室内</w:t>
            </w:r>
            <w:r>
              <w:rPr>
                <w:rFonts w:hint="eastAsia" w:ascii="宋体" w:hAnsi="宋体"/>
                <w:color w:val="auto"/>
                <w:sz w:val="20"/>
                <w:highlight w:val="none"/>
              </w:rPr>
              <w:br w:type="textWrapping"/>
            </w:r>
            <w:r>
              <w:rPr>
                <w:rFonts w:hint="eastAsia" w:ascii="宋体" w:hAnsi="宋体"/>
                <w:color w:val="auto"/>
                <w:sz w:val="20"/>
                <w:highlight w:val="none"/>
              </w:rPr>
              <w:t>2.材质、规格:内外壁热镀锌钢管DN32、1.6MPa</w:t>
            </w:r>
            <w:r>
              <w:rPr>
                <w:rFonts w:hint="eastAsia" w:ascii="宋体" w:hAnsi="宋体"/>
                <w:color w:val="auto"/>
                <w:sz w:val="20"/>
                <w:highlight w:val="none"/>
              </w:rPr>
              <w:br w:type="textWrapping"/>
            </w:r>
            <w:r>
              <w:rPr>
                <w:rFonts w:hint="eastAsia" w:ascii="宋体" w:hAnsi="宋体"/>
                <w:color w:val="auto"/>
                <w:sz w:val="20"/>
                <w:highlight w:val="none"/>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6</w:t>
            </w:r>
          </w:p>
        </w:tc>
      </w:tr>
      <w:tr>
        <w:tblPrEx>
          <w:tblCellMar>
            <w:top w:w="0" w:type="dxa"/>
            <w:left w:w="108" w:type="dxa"/>
            <w:bottom w:w="0" w:type="dxa"/>
            <w:right w:w="108" w:type="dxa"/>
          </w:tblCellMar>
        </w:tblPrEx>
        <w:trPr>
          <w:trHeight w:val="889"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22</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水喷淋钢管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1.安装部位:室内</w:t>
            </w:r>
            <w:r>
              <w:rPr>
                <w:rFonts w:hint="eastAsia" w:ascii="宋体" w:hAnsi="宋体"/>
                <w:color w:val="auto"/>
                <w:sz w:val="20"/>
                <w:highlight w:val="none"/>
              </w:rPr>
              <w:br w:type="textWrapping"/>
            </w:r>
            <w:r>
              <w:rPr>
                <w:rFonts w:hint="eastAsia" w:ascii="宋体" w:hAnsi="宋体"/>
                <w:color w:val="auto"/>
                <w:sz w:val="20"/>
                <w:highlight w:val="none"/>
              </w:rPr>
              <w:t>2.材质、规格:内外壁热镀锌钢管DN25、1.6MPa</w:t>
            </w:r>
            <w:r>
              <w:rPr>
                <w:rFonts w:hint="eastAsia" w:ascii="宋体" w:hAnsi="宋体"/>
                <w:color w:val="auto"/>
                <w:sz w:val="20"/>
                <w:highlight w:val="none"/>
              </w:rPr>
              <w:br w:type="textWrapping"/>
            </w:r>
            <w:r>
              <w:rPr>
                <w:rFonts w:hint="eastAsia" w:ascii="宋体" w:hAnsi="宋体"/>
                <w:color w:val="auto"/>
                <w:sz w:val="20"/>
                <w:highlight w:val="none"/>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6</w:t>
            </w:r>
          </w:p>
        </w:tc>
      </w:tr>
      <w:tr>
        <w:tblPrEx>
          <w:tblCellMar>
            <w:top w:w="0" w:type="dxa"/>
            <w:left w:w="108" w:type="dxa"/>
            <w:bottom w:w="0" w:type="dxa"/>
            <w:right w:w="108" w:type="dxa"/>
          </w:tblCellMar>
        </w:tblPrEx>
        <w:trPr>
          <w:trHeight w:val="861"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23</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水喷淋(雾)喷头</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1.名称:直立式喷头 K80</w:t>
            </w:r>
            <w:r>
              <w:rPr>
                <w:rFonts w:hint="eastAsia" w:ascii="宋体" w:hAnsi="宋体"/>
                <w:color w:val="auto"/>
                <w:sz w:val="20"/>
                <w:highlight w:val="none"/>
              </w:rPr>
              <w:br w:type="textWrapping"/>
            </w:r>
            <w:r>
              <w:rPr>
                <w:rFonts w:hint="eastAsia" w:ascii="宋体" w:hAnsi="宋体"/>
                <w:color w:val="auto"/>
                <w:sz w:val="20"/>
                <w:highlight w:val="none"/>
              </w:rPr>
              <w:t>2.其他:动作温度68℃</w:t>
            </w:r>
            <w:r>
              <w:rPr>
                <w:rFonts w:hint="eastAsia" w:ascii="宋体" w:hAnsi="宋体"/>
                <w:color w:val="auto"/>
                <w:sz w:val="20"/>
                <w:highlight w:val="none"/>
              </w:rPr>
              <w:br w:type="textWrapping"/>
            </w:r>
            <w:r>
              <w:rPr>
                <w:rFonts w:hint="eastAsia" w:ascii="宋体" w:hAnsi="宋体"/>
                <w:color w:val="auto"/>
                <w:sz w:val="20"/>
                <w:highlight w:val="none"/>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个</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7</w:t>
            </w:r>
          </w:p>
        </w:tc>
      </w:tr>
      <w:tr>
        <w:tblPrEx>
          <w:tblCellMar>
            <w:top w:w="0" w:type="dxa"/>
            <w:left w:w="108" w:type="dxa"/>
            <w:bottom w:w="0" w:type="dxa"/>
            <w:right w:w="108" w:type="dxa"/>
          </w:tblCellMar>
        </w:tblPrEx>
        <w:trPr>
          <w:trHeight w:val="84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24</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消火栓钢管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1.安装部位:室内</w:t>
            </w:r>
            <w:r>
              <w:rPr>
                <w:rFonts w:hint="eastAsia" w:ascii="宋体" w:hAnsi="宋体"/>
                <w:color w:val="auto"/>
                <w:sz w:val="20"/>
                <w:highlight w:val="none"/>
              </w:rPr>
              <w:br w:type="textWrapping"/>
            </w:r>
            <w:r>
              <w:rPr>
                <w:rFonts w:hint="eastAsia" w:ascii="宋体" w:hAnsi="宋体"/>
                <w:color w:val="auto"/>
                <w:sz w:val="20"/>
                <w:highlight w:val="none"/>
              </w:rPr>
              <w:t>2.材质、规格:内外壁热镀锌钢管 DN150、1.6MPA</w:t>
            </w:r>
            <w:r>
              <w:rPr>
                <w:rFonts w:hint="eastAsia" w:ascii="宋体" w:hAnsi="宋体"/>
                <w:color w:val="auto"/>
                <w:sz w:val="20"/>
                <w:highlight w:val="none"/>
              </w:rPr>
              <w:br w:type="textWrapping"/>
            </w:r>
            <w:r>
              <w:rPr>
                <w:rFonts w:hint="eastAsia" w:ascii="宋体" w:hAnsi="宋体"/>
                <w:color w:val="auto"/>
                <w:sz w:val="20"/>
                <w:highlight w:val="none"/>
              </w:rPr>
              <w:t>3.其他:符合设计及规范要求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20</w:t>
            </w:r>
          </w:p>
        </w:tc>
      </w:tr>
      <w:tr>
        <w:tblPrEx>
          <w:tblCellMar>
            <w:top w:w="0" w:type="dxa"/>
            <w:left w:w="108" w:type="dxa"/>
            <w:bottom w:w="0" w:type="dxa"/>
            <w:right w:w="108" w:type="dxa"/>
          </w:tblCellMar>
        </w:tblPrEx>
        <w:trPr>
          <w:trHeight w:val="1160"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25</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塑料管</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1.安装部位:室内</w:t>
            </w:r>
            <w:r>
              <w:rPr>
                <w:rFonts w:hint="eastAsia" w:ascii="宋体" w:hAnsi="宋体"/>
                <w:color w:val="auto"/>
                <w:sz w:val="20"/>
                <w:highlight w:val="none"/>
              </w:rPr>
              <w:br w:type="textWrapping"/>
            </w:r>
            <w:r>
              <w:rPr>
                <w:rFonts w:hint="eastAsia" w:ascii="宋体" w:hAnsi="宋体"/>
                <w:color w:val="auto"/>
                <w:sz w:val="20"/>
                <w:highlight w:val="none"/>
              </w:rPr>
              <w:t>2.介质:给水</w:t>
            </w:r>
            <w:r>
              <w:rPr>
                <w:rFonts w:hint="eastAsia" w:ascii="宋体" w:hAnsi="宋体"/>
                <w:color w:val="auto"/>
                <w:sz w:val="20"/>
                <w:highlight w:val="none"/>
              </w:rPr>
              <w:br w:type="textWrapping"/>
            </w:r>
            <w:r>
              <w:rPr>
                <w:rFonts w:hint="eastAsia" w:ascii="宋体" w:hAnsi="宋体"/>
                <w:color w:val="auto"/>
                <w:sz w:val="20"/>
                <w:highlight w:val="none"/>
              </w:rPr>
              <w:t>3.材质、规格:PE给水管 DN100、1.0MPA</w:t>
            </w:r>
            <w:r>
              <w:rPr>
                <w:rFonts w:hint="eastAsia" w:ascii="宋体" w:hAnsi="宋体"/>
                <w:color w:val="auto"/>
                <w:sz w:val="20"/>
                <w:highlight w:val="none"/>
              </w:rPr>
              <w:br w:type="textWrapping"/>
            </w:r>
            <w:r>
              <w:rPr>
                <w:rFonts w:hint="eastAsia" w:ascii="宋体" w:hAnsi="宋体"/>
                <w:color w:val="auto"/>
                <w:sz w:val="20"/>
                <w:highlight w:val="none"/>
              </w:rPr>
              <w:t>4.其他:符合设计及规范要求</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m</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20</w:t>
            </w:r>
          </w:p>
        </w:tc>
      </w:tr>
      <w:tr>
        <w:tblPrEx>
          <w:tblCellMar>
            <w:top w:w="0" w:type="dxa"/>
            <w:left w:w="108" w:type="dxa"/>
            <w:bottom w:w="0" w:type="dxa"/>
            <w:right w:w="108" w:type="dxa"/>
          </w:tblCellMar>
        </w:tblPrEx>
        <w:trPr>
          <w:trHeight w:val="289"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　</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措施项目</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　</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　</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　</w:t>
            </w:r>
          </w:p>
        </w:tc>
      </w:tr>
      <w:tr>
        <w:tblPrEx>
          <w:tblCellMar>
            <w:top w:w="0" w:type="dxa"/>
            <w:left w:w="108" w:type="dxa"/>
            <w:bottom w:w="0" w:type="dxa"/>
            <w:right w:w="108" w:type="dxa"/>
          </w:tblCellMar>
        </w:tblPrEx>
        <w:trPr>
          <w:trHeight w:val="363" w:hRule="atLeast"/>
        </w:trPr>
        <w:tc>
          <w:tcPr>
            <w:tcW w:w="6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26</w:t>
            </w:r>
          </w:p>
        </w:tc>
        <w:tc>
          <w:tcPr>
            <w:tcW w:w="1615"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脚手架搭拆费</w:t>
            </w:r>
          </w:p>
        </w:tc>
        <w:tc>
          <w:tcPr>
            <w:tcW w:w="4849" w:type="dxa"/>
            <w:tcBorders>
              <w:top w:val="single" w:color="000000" w:sz="8" w:space="0"/>
              <w:left w:val="nil"/>
              <w:bottom w:val="single" w:color="000000" w:sz="8" w:space="0"/>
              <w:right w:val="single" w:color="000000" w:sz="8" w:space="0"/>
            </w:tcBorders>
            <w:shd w:val="clear" w:color="auto" w:fill="FFFFFF"/>
            <w:vAlign w:val="center"/>
          </w:tcPr>
          <w:p>
            <w:pPr>
              <w:rPr>
                <w:rFonts w:ascii="宋体" w:hAnsi="宋体"/>
                <w:color w:val="auto"/>
                <w:sz w:val="20"/>
                <w:highlight w:val="none"/>
              </w:rPr>
            </w:pPr>
            <w:r>
              <w:rPr>
                <w:rFonts w:hint="eastAsia" w:ascii="宋体" w:hAnsi="宋体"/>
                <w:color w:val="auto"/>
                <w:sz w:val="20"/>
                <w:highlight w:val="none"/>
              </w:rPr>
              <w:t>　</w:t>
            </w:r>
          </w:p>
        </w:tc>
        <w:tc>
          <w:tcPr>
            <w:tcW w:w="1077"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olor w:val="auto"/>
                <w:sz w:val="20"/>
                <w:highlight w:val="none"/>
              </w:rPr>
            </w:pPr>
            <w:r>
              <w:rPr>
                <w:rFonts w:hint="eastAsia" w:ascii="宋体" w:hAnsi="宋体"/>
                <w:color w:val="auto"/>
                <w:sz w:val="20"/>
                <w:highlight w:val="none"/>
              </w:rPr>
              <w:t>项</w:t>
            </w:r>
          </w:p>
        </w:tc>
        <w:tc>
          <w:tcPr>
            <w:tcW w:w="1091" w:type="dxa"/>
            <w:tcBorders>
              <w:top w:val="single" w:color="000000" w:sz="8" w:space="0"/>
              <w:left w:val="nil"/>
              <w:bottom w:val="single" w:color="000000" w:sz="8" w:space="0"/>
              <w:right w:val="single" w:color="000000" w:sz="8" w:space="0"/>
            </w:tcBorders>
            <w:shd w:val="clear" w:color="auto" w:fill="FFFFFF"/>
            <w:vAlign w:val="center"/>
          </w:tcPr>
          <w:p>
            <w:pPr>
              <w:jc w:val="right"/>
              <w:rPr>
                <w:rFonts w:ascii="宋体" w:hAnsi="宋体"/>
                <w:color w:val="auto"/>
                <w:sz w:val="20"/>
                <w:highlight w:val="none"/>
              </w:rPr>
            </w:pPr>
            <w:r>
              <w:rPr>
                <w:rFonts w:hint="eastAsia" w:ascii="宋体" w:hAnsi="宋体"/>
                <w:color w:val="auto"/>
                <w:sz w:val="20"/>
                <w:highlight w:val="none"/>
              </w:rPr>
              <w:t>1</w:t>
            </w:r>
          </w:p>
        </w:tc>
      </w:tr>
      <w:bookmarkEnd w:id="58"/>
    </w:tbl>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r>
        <w:rPr>
          <w:color w:val="auto"/>
          <w:highlight w:val="none"/>
        </w:rPr>
        <w:br w:type="textWrapping"/>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59" w:name="_Toc25925"/>
      <w:bookmarkStart w:id="60" w:name="_Toc12135"/>
      <w:bookmarkStart w:id="61" w:name="_Toc1496"/>
      <w:bookmarkStart w:id="62" w:name="_Toc15570"/>
      <w:bookmarkStart w:id="63" w:name="_Toc23330"/>
      <w:bookmarkStart w:id="64" w:name="_Toc29835"/>
      <w:bookmarkStart w:id="65" w:name="_Toc23353"/>
      <w:bookmarkStart w:id="66" w:name="_Toc18538"/>
      <w:bookmarkStart w:id="67" w:name="_Toc4680"/>
      <w:bookmarkStart w:id="68" w:name="_Toc537"/>
      <w:bookmarkStart w:id="69" w:name="_Toc128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6"/>
        <w:rPr>
          <w:color w:val="auto"/>
          <w:highlight w:val="none"/>
        </w:rPr>
      </w:pPr>
    </w:p>
    <w:p>
      <w:pPr>
        <w:pStyle w:val="4"/>
        <w:rPr>
          <w:color w:val="auto"/>
          <w:highlight w:val="none"/>
        </w:rPr>
      </w:pPr>
      <w:bookmarkStart w:id="70" w:name="_Toc8183"/>
      <w:bookmarkStart w:id="71" w:name="_Toc19686"/>
      <w:bookmarkStart w:id="72" w:name="_Toc22797"/>
      <w:bookmarkStart w:id="73" w:name="_Toc22501"/>
      <w:bookmarkStart w:id="74" w:name="_Toc323"/>
      <w:bookmarkStart w:id="75" w:name="_Toc12721"/>
      <w:bookmarkStart w:id="76" w:name="_Toc12980"/>
      <w:bookmarkStart w:id="77" w:name="_Toc1375"/>
      <w:bookmarkStart w:id="78" w:name="_Toc13309"/>
      <w:bookmarkStart w:id="79" w:name="_Toc19088"/>
      <w:bookmarkStart w:id="80" w:name="_Toc87616386"/>
      <w:bookmarkStart w:id="81" w:name="_Toc88209949"/>
      <w:bookmarkStart w:id="82" w:name="_Toc12968"/>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spacing w:line="400" w:lineRule="atLeast"/>
        <w:jc w:val="center"/>
        <w:rPr>
          <w:rFonts w:ascii="宋体" w:hAnsi="宋体"/>
          <w:b/>
          <w:bCs/>
          <w:color w:val="auto"/>
          <w:sz w:val="48"/>
          <w:szCs w:val="48"/>
          <w:highlight w:val="none"/>
        </w:rPr>
      </w:pPr>
    </w:p>
    <w:p>
      <w:pPr>
        <w:pStyle w:val="2"/>
        <w:rPr>
          <w:rFonts w:ascii="宋体" w:hAnsi="宋体"/>
          <w:b/>
          <w:bCs/>
          <w:color w:val="auto"/>
          <w:sz w:val="48"/>
          <w:szCs w:val="48"/>
          <w:highlight w:val="none"/>
        </w:rPr>
      </w:pPr>
    </w:p>
    <w:p>
      <w:pPr>
        <w:pStyle w:val="2"/>
        <w:rPr>
          <w:rFonts w:ascii="宋体" w:hAnsi="宋体"/>
          <w:b/>
          <w:bCs/>
          <w:color w:val="auto"/>
          <w:sz w:val="48"/>
          <w:szCs w:val="48"/>
          <w:highlight w:val="none"/>
        </w:rPr>
      </w:pPr>
    </w:p>
    <w:p>
      <w:pPr>
        <w:pStyle w:val="2"/>
        <w:rPr>
          <w:rFonts w:ascii="宋体" w:hAnsi="宋体"/>
          <w:b/>
          <w:bCs/>
          <w:color w:val="auto"/>
          <w:sz w:val="48"/>
          <w:szCs w:val="48"/>
          <w:highlight w:val="none"/>
        </w:rPr>
      </w:pPr>
    </w:p>
    <w:p>
      <w:pPr>
        <w:spacing w:line="400" w:lineRule="atLeast"/>
        <w:jc w:val="center"/>
        <w:rPr>
          <w:rFonts w:ascii="宋体" w:hAnsi="宋体"/>
          <w:b/>
          <w:bCs/>
          <w:color w:val="auto"/>
          <w:sz w:val="48"/>
          <w:szCs w:val="48"/>
          <w:highlight w:val="none"/>
        </w:rPr>
      </w:pPr>
      <w:r>
        <w:rPr>
          <w:rFonts w:hint="eastAsia" w:ascii="宋体" w:hAnsi="宋体"/>
          <w:b/>
          <w:bCs/>
          <w:color w:val="auto"/>
          <w:sz w:val="48"/>
          <w:szCs w:val="48"/>
          <w:highlight w:val="none"/>
        </w:rPr>
        <w:t>广州市净水有限公司</w:t>
      </w:r>
    </w:p>
    <w:p>
      <w:pPr>
        <w:spacing w:line="400" w:lineRule="atLeast"/>
        <w:jc w:val="center"/>
        <w:rPr>
          <w:rFonts w:ascii="Cambria" w:hAnsi="Cambria"/>
          <w:b/>
          <w:bCs/>
          <w:color w:val="auto"/>
          <w:sz w:val="52"/>
          <w:szCs w:val="52"/>
          <w:highlight w:val="none"/>
        </w:rPr>
      </w:pPr>
      <w:r>
        <w:rPr>
          <w:rFonts w:hint="eastAsia" w:ascii="宋体" w:hAnsi="宋体"/>
          <w:b/>
          <w:bCs/>
          <w:color w:val="auto"/>
          <w:sz w:val="48"/>
          <w:szCs w:val="48"/>
          <w:highlight w:val="none"/>
        </w:rPr>
        <w:t>设备维修维护/技改项目合同</w:t>
      </w:r>
    </w:p>
    <w:p>
      <w:pPr>
        <w:spacing w:line="400" w:lineRule="atLeast"/>
        <w:jc w:val="center"/>
        <w:rPr>
          <w:rFonts w:ascii="宋体" w:hAnsi="宋体"/>
          <w:b/>
          <w:color w:val="auto"/>
          <w:sz w:val="28"/>
          <w:szCs w:val="28"/>
          <w:highlight w:val="none"/>
        </w:rPr>
      </w:pPr>
      <w:r>
        <w:rPr>
          <w:rFonts w:hint="eastAsia" w:ascii="宋体" w:hAnsi="宋体"/>
          <w:b/>
          <w:color w:val="auto"/>
          <w:sz w:val="28"/>
          <w:szCs w:val="28"/>
          <w:highlight w:val="none"/>
        </w:rPr>
        <w:t xml:space="preserve"> </w:t>
      </w:r>
    </w:p>
    <w:p>
      <w:pPr>
        <w:spacing w:line="400" w:lineRule="atLeast"/>
        <w:jc w:val="center"/>
        <w:rPr>
          <w:rFonts w:ascii="宋体" w:hAnsi="宋体"/>
          <w:b/>
          <w:color w:val="auto"/>
          <w:sz w:val="28"/>
          <w:szCs w:val="28"/>
          <w:highlight w:val="none"/>
        </w:rPr>
      </w:pPr>
      <w:r>
        <w:rPr>
          <w:rFonts w:hint="eastAsia" w:ascii="宋体" w:hAnsi="宋体"/>
          <w:b/>
          <w:color w:val="auto"/>
          <w:sz w:val="28"/>
          <w:szCs w:val="28"/>
          <w:highlight w:val="none"/>
        </w:rPr>
        <w:t xml:space="preserve"> </w:t>
      </w:r>
    </w:p>
    <w:p>
      <w:pPr>
        <w:spacing w:line="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spacing w:line="0" w:lineRule="atLeast"/>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 xml:space="preserve"> </w:t>
      </w:r>
    </w:p>
    <w:p>
      <w:pPr>
        <w:spacing w:line="360" w:lineRule="auto"/>
        <w:ind w:left="1506" w:hanging="1506" w:hangingChars="500"/>
        <w:rPr>
          <w:rFonts w:hint="eastAsia" w:ascii="宋体" w:hAnsi="宋体" w:eastAsiaTheme="minorEastAsia"/>
          <w:b/>
          <w:color w:val="auto"/>
          <w:sz w:val="30"/>
          <w:szCs w:val="30"/>
          <w:highlight w:val="none"/>
          <w:lang w:eastAsia="zh-CN"/>
        </w:rPr>
      </w:pPr>
      <w:r>
        <w:rPr>
          <w:rFonts w:hint="eastAsia" w:ascii="宋体" w:hAnsi="宋体"/>
          <w:b/>
          <w:color w:val="auto"/>
          <w:sz w:val="30"/>
          <w:szCs w:val="30"/>
          <w:highlight w:val="none"/>
        </w:rPr>
        <w:t>项目名称: 广州市净水有限公司</w:t>
      </w:r>
      <w:r>
        <w:rPr>
          <w:rFonts w:hint="eastAsia" w:ascii="宋体" w:hAnsi="宋体"/>
          <w:b/>
          <w:color w:val="auto"/>
          <w:sz w:val="30"/>
          <w:szCs w:val="30"/>
          <w:highlight w:val="none"/>
          <w:lang w:eastAsia="zh-CN"/>
        </w:rPr>
        <w:t>京溪分公司硫酸铝加药池改造工程（第二次）</w:t>
      </w:r>
    </w:p>
    <w:p>
      <w:pPr>
        <w:pStyle w:val="52"/>
        <w:spacing w:line="360" w:lineRule="auto"/>
        <w:rPr>
          <w:color w:val="auto"/>
          <w:highlight w:val="none"/>
        </w:rPr>
      </w:pPr>
      <w:r>
        <w:rPr>
          <w:rFonts w:hint="eastAsia"/>
          <w:color w:val="auto"/>
          <w:highlight w:val="none"/>
        </w:rPr>
        <w:t xml:space="preserve"> </w:t>
      </w:r>
    </w:p>
    <w:p>
      <w:pPr>
        <w:pStyle w:val="52"/>
        <w:spacing w:line="360" w:lineRule="auto"/>
        <w:rPr>
          <w:color w:val="auto"/>
          <w:highlight w:val="none"/>
        </w:rPr>
      </w:pP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项目编号：</w:t>
      </w:r>
    </w:p>
    <w:p>
      <w:pPr>
        <w:spacing w:line="400" w:lineRule="atLeast"/>
        <w:rPr>
          <w:rFonts w:ascii="宋体" w:hAnsi="宋体"/>
          <w:b/>
          <w:bCs/>
          <w:color w:val="auto"/>
          <w:sz w:val="30"/>
          <w:szCs w:val="30"/>
          <w:highlight w:val="none"/>
        </w:rPr>
      </w:pPr>
      <w:r>
        <w:rPr>
          <w:rFonts w:hint="eastAsia" w:ascii="宋体" w:hAnsi="宋体"/>
          <w:b/>
          <w:color w:val="auto"/>
          <w:sz w:val="30"/>
          <w:szCs w:val="30"/>
          <w:highlight w:val="none"/>
        </w:rPr>
        <w:t>合同编号：</w:t>
      </w:r>
      <w:r>
        <w:rPr>
          <w:rFonts w:hint="eastAsia" w:ascii="宋体" w:hAnsi="宋体"/>
          <w:b/>
          <w:bCs/>
          <w:color w:val="auto"/>
          <w:sz w:val="30"/>
          <w:szCs w:val="30"/>
          <w:highlight w:val="none"/>
        </w:rPr>
        <w:t>穗净水合[     ]    号</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甲方：广州市净水有限公司</w:t>
      </w:r>
    </w:p>
    <w:p>
      <w:pPr>
        <w:spacing w:line="400" w:lineRule="atLeast"/>
        <w:rPr>
          <w:rFonts w:ascii="宋体" w:hAnsi="宋体"/>
          <w:color w:val="auto"/>
          <w:sz w:val="30"/>
          <w:szCs w:val="30"/>
          <w:highlight w:val="none"/>
        </w:rPr>
      </w:pPr>
      <w:r>
        <w:rPr>
          <w:rFonts w:hint="eastAsia" w:ascii="宋体" w:hAnsi="宋体"/>
          <w:b/>
          <w:color w:val="auto"/>
          <w:sz w:val="30"/>
          <w:szCs w:val="30"/>
          <w:highlight w:val="none"/>
        </w:rPr>
        <w:t>乙方</w:t>
      </w:r>
      <w:r>
        <w:rPr>
          <w:rFonts w:hint="eastAsia" w:ascii="宋体" w:hAnsi="宋体"/>
          <w:color w:val="auto"/>
          <w:sz w:val="30"/>
          <w:szCs w:val="30"/>
          <w:highlight w:val="none"/>
        </w:rPr>
        <w:t>：</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rPr>
          <w:rFonts w:ascii="Times New Roman" w:hAnsi="Times New Roman"/>
          <w:color w:val="auto"/>
          <w:szCs w:val="21"/>
          <w:highlight w:val="none"/>
        </w:rPr>
      </w:pPr>
      <w:r>
        <w:rPr>
          <w:color w:val="auto"/>
          <w:highlight w:val="none"/>
        </w:rPr>
        <w:t xml:space="preserve"> </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签订日期：       年   月   日     </w:t>
      </w:r>
    </w:p>
    <w:p>
      <w:pPr>
        <w:spacing w:line="400" w:lineRule="atLeast"/>
        <w:rPr>
          <w:rFonts w:ascii="宋体" w:hAnsi="宋体"/>
          <w:color w:val="auto"/>
          <w:sz w:val="24"/>
          <w:szCs w:val="24"/>
          <w:highlight w:val="none"/>
        </w:rPr>
      </w:pPr>
      <w:r>
        <w:rPr>
          <w:rFonts w:hint="eastAsia" w:ascii="宋体" w:hAnsi="宋体"/>
          <w:b/>
          <w:color w:val="auto"/>
          <w:sz w:val="30"/>
          <w:szCs w:val="30"/>
          <w:highlight w:val="none"/>
        </w:rPr>
        <w:t>签约地点：广州市</w:t>
      </w:r>
    </w:p>
    <w:p>
      <w:pPr>
        <w:rPr>
          <w:rFonts w:ascii="Times New Roman" w:hAnsi="Times New Roman"/>
          <w:color w:val="auto"/>
          <w:szCs w:val="21"/>
          <w:highlight w:val="none"/>
        </w:rPr>
      </w:pPr>
      <w:r>
        <w:rPr>
          <w:color w:val="auto"/>
          <w:highlight w:val="none"/>
        </w:rPr>
        <w:t xml:space="preserve"> </w:t>
      </w:r>
    </w:p>
    <w:p>
      <w:pPr>
        <w:pStyle w:val="52"/>
        <w:rPr>
          <w:color w:val="auto"/>
          <w:highlight w:val="none"/>
        </w:rPr>
      </w:pPr>
      <w:r>
        <w:rPr>
          <w:rFonts w:hint="eastAsia"/>
          <w:color w:val="auto"/>
          <w:highlight w:val="none"/>
        </w:rPr>
        <w:t xml:space="preserve"> </w:t>
      </w:r>
    </w:p>
    <w:p>
      <w:pPr>
        <w:pStyle w:val="52"/>
        <w:rPr>
          <w:color w:val="auto"/>
          <w:highlight w:val="none"/>
        </w:rPr>
      </w:pPr>
    </w:p>
    <w:p>
      <w:pPr>
        <w:pStyle w:val="52"/>
        <w:rPr>
          <w:color w:val="auto"/>
          <w:highlight w:val="none"/>
        </w:rPr>
      </w:pPr>
    </w:p>
    <w:p>
      <w:pPr>
        <w:pStyle w:val="52"/>
        <w:rPr>
          <w:color w:val="auto"/>
          <w:highlight w:val="none"/>
        </w:rPr>
      </w:pPr>
    </w:p>
    <w:p>
      <w:pPr>
        <w:pStyle w:val="52"/>
        <w:rPr>
          <w:color w:val="auto"/>
          <w:highlight w:val="none"/>
        </w:rPr>
      </w:pPr>
    </w:p>
    <w:p>
      <w:pPr>
        <w:pStyle w:val="52"/>
        <w:rPr>
          <w:rFonts w:hint="eastAsia"/>
          <w:color w:val="auto"/>
          <w:highlight w:val="none"/>
        </w:rPr>
      </w:pPr>
    </w:p>
    <w:p>
      <w:pPr>
        <w:spacing w:before="93" w:beforeLines="30" w:line="560" w:lineRule="exact"/>
        <w:ind w:left="210" w:leftChars="100" w:firstLine="600" w:firstLineChars="250"/>
        <w:rPr>
          <w:rFonts w:ascii="宋体" w:hAnsi="宋体"/>
          <w:color w:val="auto"/>
          <w:sz w:val="24"/>
          <w:szCs w:val="24"/>
          <w:highlight w:val="none"/>
          <w:u w:val="single"/>
        </w:rPr>
      </w:pPr>
      <w:r>
        <w:rPr>
          <w:rFonts w:hint="eastAsia" w:ascii="宋体" w:hAnsi="宋体"/>
          <w:color w:val="auto"/>
          <w:sz w:val="24"/>
          <w:szCs w:val="24"/>
          <w:highlight w:val="none"/>
        </w:rPr>
        <w:t>根据《中华人民共和国民法典》及其他有关法律、行政法规，</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rPr>
        <w:t xml:space="preserve"> （以下简称“甲方”）与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（以下简称“乙方”）就</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u w:val="single"/>
          <w:lang w:eastAsia="zh-CN"/>
        </w:rPr>
        <w:t>京溪分公司硫酸铝加药池改造工程（第二次）</w:t>
      </w:r>
      <w:r>
        <w:rPr>
          <w:rFonts w:hint="eastAsia" w:ascii="宋体" w:hAnsi="宋体"/>
          <w:color w:val="auto"/>
          <w:sz w:val="24"/>
          <w:szCs w:val="24"/>
          <w:highlight w:val="none"/>
        </w:rPr>
        <w:t>承接工作事宜，遵循平等、自愿、公平和诚实信用的原则，双方协商一致，订立本合同。</w:t>
      </w:r>
    </w:p>
    <w:p>
      <w:pPr>
        <w:spacing w:before="93" w:beforeLines="30" w:line="560" w:lineRule="exact"/>
        <w:ind w:left="210" w:leftChars="100"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第一条 组成合同的文件及优先顺序</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 xml:space="preserve"> 下列文件（如有）均为本合同的组成部分，可视为能相互说明和补充的，如果合同文件存在歧义或相矛盾的地方，则根据以下次序判断：</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 xml:space="preserve">⑴ </w:t>
      </w:r>
      <w:r>
        <w:rPr>
          <w:rFonts w:hint="eastAsia" w:ascii="宋体" w:hAnsi="宋体"/>
          <w:color w:val="auto"/>
          <w:sz w:val="24"/>
          <w:szCs w:val="24"/>
          <w:highlight w:val="none"/>
        </w:rPr>
        <w:t>在本合同实施过程双方签署的补充与修正文件</w:t>
      </w:r>
      <w:r>
        <w:rPr>
          <w:rFonts w:hint="eastAsia" w:ascii="宋体" w:hAnsi="宋体"/>
          <w:bCs/>
          <w:color w:val="auto"/>
          <w:sz w:val="24"/>
          <w:szCs w:val="24"/>
          <w:highlight w:val="none"/>
        </w:rPr>
        <w:t>；</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⑵ 本合同书；</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⑶ 成交通知书/委托函；</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⑷ 询价文件；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⑸ 响应文件；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⑹ 标准、规范及有关技术性文件；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⑺ 图纸；</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⑻ 工程量清单/</w:t>
      </w:r>
      <w:r>
        <w:rPr>
          <w:rFonts w:hint="eastAsia" w:ascii="宋体" w:hAnsi="宋体"/>
          <w:color w:val="auto"/>
          <w:sz w:val="24"/>
          <w:szCs w:val="24"/>
          <w:highlight w:val="none"/>
        </w:rPr>
        <w:t>工程报价单或预算书；</w:t>
      </w:r>
    </w:p>
    <w:p>
      <w:pPr>
        <w:spacing w:line="560" w:lineRule="exact"/>
        <w:ind w:firstLine="482"/>
        <w:rPr>
          <w:rFonts w:ascii="宋体" w:hAnsi="宋体"/>
          <w:b/>
          <w:bCs/>
          <w:color w:val="auto"/>
          <w:sz w:val="24"/>
          <w:szCs w:val="24"/>
          <w:highlight w:val="none"/>
        </w:rPr>
      </w:pPr>
      <w:r>
        <w:rPr>
          <w:rFonts w:hint="eastAsia" w:ascii="宋体" w:hAnsi="宋体"/>
          <w:bCs/>
          <w:color w:val="auto"/>
          <w:sz w:val="24"/>
          <w:szCs w:val="24"/>
          <w:highlight w:val="none"/>
        </w:rPr>
        <w:t>⑼ 本合同其他附件；</w:t>
      </w:r>
    </w:p>
    <w:p>
      <w:pPr>
        <w:spacing w:line="560" w:lineRule="exact"/>
        <w:ind w:firstLine="482"/>
        <w:rPr>
          <w:rFonts w:ascii="宋体" w:hAnsi="宋体"/>
          <w:b/>
          <w:bCs/>
          <w:color w:val="auto"/>
          <w:sz w:val="24"/>
          <w:szCs w:val="24"/>
          <w:highlight w:val="none"/>
        </w:rPr>
      </w:pPr>
      <w:r>
        <w:rPr>
          <w:rFonts w:hint="eastAsia" w:ascii="宋体" w:hAnsi="宋体"/>
          <w:b/>
          <w:bCs/>
          <w:color w:val="auto"/>
          <w:sz w:val="24"/>
          <w:szCs w:val="24"/>
          <w:highlight w:val="none"/>
        </w:rPr>
        <w:t>第二条 项目概况、项目承包范围</w:t>
      </w:r>
    </w:p>
    <w:p>
      <w:pPr>
        <w:spacing w:line="560" w:lineRule="exact"/>
        <w:ind w:firstLine="480" w:firstLineChars="200"/>
        <w:rPr>
          <w:rFonts w:hint="eastAsia" w:ascii="宋体" w:hAnsi="宋体" w:eastAsiaTheme="minorEastAsia"/>
          <w:color w:val="auto"/>
          <w:sz w:val="24"/>
          <w:szCs w:val="24"/>
          <w:highlight w:val="none"/>
          <w:u w:val="single"/>
          <w:lang w:eastAsia="zh-CN"/>
        </w:rPr>
      </w:pPr>
      <w:r>
        <w:rPr>
          <w:rFonts w:hint="eastAsia" w:ascii="宋体" w:hAnsi="宋体"/>
          <w:color w:val="auto"/>
          <w:sz w:val="24"/>
          <w:szCs w:val="24"/>
          <w:highlight w:val="none"/>
        </w:rPr>
        <w:t>2.1项目名称：</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u w:val="single"/>
          <w:lang w:eastAsia="zh-CN"/>
        </w:rPr>
        <w:t>京溪分公司硫酸铝加药池改造工程（第二次）</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2.2项目地点： </w:t>
      </w:r>
      <w:r>
        <w:rPr>
          <w:rFonts w:hint="eastAsia" w:hAnsi="宋体"/>
          <w:color w:val="auto"/>
          <w:sz w:val="24"/>
          <w:szCs w:val="24"/>
          <w:highlight w:val="none"/>
          <w:u w:val="single"/>
        </w:rPr>
        <w:t xml:space="preserve">广州市白云区犀牛二马路1号京溪地下净水厂  </w:t>
      </w:r>
      <w:r>
        <w:rPr>
          <w:rFonts w:hint="eastAsia" w:hAnsi="宋体"/>
          <w:color w:val="auto"/>
          <w:sz w:val="24"/>
          <w:szCs w:val="24"/>
          <w:highlight w:val="none"/>
        </w:rPr>
        <w:t>。</w:t>
      </w:r>
    </w:p>
    <w:p>
      <w:pPr>
        <w:spacing w:line="560" w:lineRule="exact"/>
        <w:rPr>
          <w:rFonts w:hAnsi="Times New Roman"/>
          <w:color w:val="auto"/>
          <w:szCs w:val="21"/>
          <w:highlight w:val="none"/>
        </w:rPr>
      </w:pPr>
      <w:r>
        <w:rPr>
          <w:rFonts w:hint="eastAsia" w:ascii="宋体" w:hAnsi="宋体"/>
          <w:color w:val="auto"/>
          <w:sz w:val="24"/>
          <w:szCs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2.4项目内容</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京溪分公司现有两个硫酸铝加药池，总容积为68.5立方米，在紧急情况下，储存量无法满足15日的药剂存量。需在无需调整投加点情况下，新增一个容积为50立方米左右的硫酸铝加药池及硫酸铝加药池相应配套给排水管道，新增加药池投加管道至原有硫酸铝加药池总管，地面加药口至硫酸铝加药池补给管道的改造，新增加药池液位计，新增加药池上方消防管道拆除及移位重新安装等。</w:t>
      </w:r>
    </w:p>
    <w:p>
      <w:pPr>
        <w:spacing w:line="5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第三条 项目承包方式</w:t>
      </w:r>
    </w:p>
    <w:p>
      <w:pPr>
        <w:spacing w:line="560" w:lineRule="exact"/>
        <w:ind w:firstLine="482" w:firstLineChars="200"/>
        <w:rPr>
          <w:rFonts w:ascii="宋体" w:hAnsi="宋体"/>
          <w:color w:val="auto"/>
          <w:sz w:val="24"/>
          <w:szCs w:val="24"/>
          <w:highlight w:val="none"/>
        </w:rPr>
      </w:pPr>
      <w:r>
        <w:rPr>
          <w:rFonts w:ascii="Segoe UI Symbol" w:hAnsi="Segoe UI Symbol"/>
          <w:b/>
          <w:bCs/>
          <w:color w:val="auto"/>
          <w:sz w:val="24"/>
          <w:szCs w:val="24"/>
          <w:highlight w:val="none"/>
        </w:rPr>
        <w:t>☑</w:t>
      </w:r>
      <w:r>
        <w:rPr>
          <w:rFonts w:hint="eastAsia" w:ascii="宋体" w:hAnsi="宋体"/>
          <w:color w:val="auto"/>
          <w:sz w:val="24"/>
          <w:szCs w:val="24"/>
          <w:highlight w:val="none"/>
        </w:rPr>
        <w:t>包工、包料、包工期、包质量、包安全、包文明施工。综合单价包干、项目措施费包干。（单价包干要求附工程量报价/工程预算书）</w:t>
      </w:r>
    </w:p>
    <w:p>
      <w:pPr>
        <w:spacing w:line="560" w:lineRule="exact"/>
        <w:ind w:firstLine="480" w:firstLineChars="200"/>
        <w:rPr>
          <w:rFonts w:ascii="宋体" w:hAnsi="宋体"/>
          <w:color w:val="auto"/>
          <w:sz w:val="24"/>
          <w:szCs w:val="24"/>
          <w:highlight w:val="none"/>
        </w:rPr>
      </w:pPr>
      <w:r>
        <w:rPr>
          <w:rFonts w:ascii="Wingdings" w:hAnsi="Wingdings"/>
          <w:bCs/>
          <w:color w:val="auto"/>
          <w:sz w:val="24"/>
          <w:szCs w:val="24"/>
          <w:highlight w:val="none"/>
        </w:rPr>
        <w:t>¨</w:t>
      </w:r>
      <w:r>
        <w:rPr>
          <w:rFonts w:hint="eastAsia" w:ascii="宋体" w:hAnsi="宋体"/>
          <w:color w:val="auto"/>
          <w:sz w:val="24"/>
          <w:szCs w:val="24"/>
          <w:highlight w:val="none"/>
        </w:rPr>
        <w:t>包工、包料、包质量、包工期、包安全、包文明施工、包设计、包调试、包验收的施工图纸，以总价包干形式。</w:t>
      </w:r>
    </w:p>
    <w:p>
      <w:pPr>
        <w:spacing w:line="5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第四条 合同价款</w:t>
      </w:r>
    </w:p>
    <w:p>
      <w:pPr>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4.1合同价款按以下</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执行。</w:t>
      </w:r>
    </w:p>
    <w:p>
      <w:pPr>
        <w:numPr>
          <w:ilvl w:val="0"/>
          <w:numId w:val="4"/>
        </w:num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合同暂定总价为：</w:t>
      </w:r>
      <w:r>
        <w:rPr>
          <w:rFonts w:hint="eastAsia" w:ascii="宋体" w:hAnsi="宋体"/>
          <w:b/>
          <w:color w:val="auto"/>
          <w:sz w:val="24"/>
          <w:szCs w:val="24"/>
          <w:highlight w:val="none"/>
          <w:u w:val="single"/>
        </w:rPr>
        <w:t>人民币            元</w:t>
      </w:r>
      <w:r>
        <w:rPr>
          <w:rFonts w:hint="eastAsia" w:ascii="宋体" w:hAnsi="宋体"/>
          <w:color w:val="auto"/>
          <w:sz w:val="24"/>
          <w:szCs w:val="24"/>
          <w:highlight w:val="none"/>
        </w:rPr>
        <w:t>（大写:</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）。经甲方或甲方委托有资质第三方机构审核后，审核价作为合同结算价。若合同结算价超合同暂定总价，双方另行签订补充协议。</w:t>
      </w:r>
    </w:p>
    <w:p>
      <w:pPr>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合同总价组成：项目</w:t>
      </w:r>
      <w:r>
        <w:rPr>
          <w:rFonts w:hint="eastAsia" w:ascii="宋体" w:hAnsi="宋体"/>
          <w:b/>
          <w:color w:val="auto"/>
          <w:sz w:val="24"/>
          <w:szCs w:val="24"/>
          <w:highlight w:val="none"/>
          <w:u w:val="single"/>
        </w:rPr>
        <w:t>人民币    元</w:t>
      </w:r>
      <w:r>
        <w:rPr>
          <w:rFonts w:hint="eastAsia" w:ascii="宋体" w:hAnsi="宋体"/>
          <w:color w:val="auto"/>
          <w:sz w:val="24"/>
          <w:szCs w:val="24"/>
          <w:highlight w:val="none"/>
        </w:rPr>
        <w:t>（大写:</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综合单价为：附件5工程量清单报价。</w:t>
      </w:r>
    </w:p>
    <w:p>
      <w:pPr>
        <w:autoSpaceDE w:val="0"/>
        <w:autoSpaceDN w:val="0"/>
        <w:adjustRightIn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60" w:lineRule="exact"/>
        <w:ind w:firstLine="480" w:firstLineChars="200"/>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合同以总价包干形式，合同暂定总价为：</w:t>
      </w:r>
      <w:r>
        <w:rPr>
          <w:rFonts w:hint="eastAsia" w:ascii="宋体" w:hAnsi="宋体"/>
          <w:b/>
          <w:color w:val="auto"/>
          <w:sz w:val="24"/>
          <w:szCs w:val="24"/>
          <w:highlight w:val="none"/>
          <w:u w:val="single"/>
        </w:rPr>
        <w:t>人民币</w:t>
      </w:r>
      <w:r>
        <w:rPr>
          <w:rFonts w:hint="eastAsia" w:ascii="宋体" w:hAnsi="宋体"/>
          <w:color w:val="auto"/>
          <w:sz w:val="24"/>
          <w:szCs w:val="24"/>
          <w:highlight w:val="none"/>
          <w:u w:val="single"/>
        </w:rPr>
        <w:t xml:space="preserve"> / </w:t>
      </w:r>
      <w:r>
        <w:rPr>
          <w:rFonts w:hint="eastAsia" w:ascii="宋体" w:hAnsi="宋体"/>
          <w:b/>
          <w:color w:val="auto"/>
          <w:sz w:val="24"/>
          <w:szCs w:val="24"/>
          <w:highlight w:val="none"/>
          <w:u w:val="single"/>
        </w:rPr>
        <w:t>元</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）。经甲方或甲方委托有资质第三方机构审核后，若结算审核价比合同暂定总价低，则以结算审核价作为合同结算价，否则以合同暂定总价为合同结算价。</w:t>
      </w:r>
    </w:p>
    <w:p>
      <w:pPr>
        <w:adjustRightInd w:val="0"/>
        <w:snapToGrid w:val="0"/>
        <w:spacing w:line="560" w:lineRule="exact"/>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4.2本合同约定的价格为含税价价格</w:t>
      </w:r>
      <w:r>
        <w:rPr>
          <w:rFonts w:hint="eastAsia" w:ascii="宋体" w:hAnsi="宋体"/>
          <w:color w:val="auto"/>
          <w:sz w:val="24"/>
          <w:szCs w:val="24"/>
          <w:highlight w:val="none"/>
        </w:rPr>
        <w:t>（税率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9</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），合同履行期间国家税率调整或乙方开票的实际税率与前述税率不一致的，不含税价不变，价税合计按实际税率相应调整，以开具发票时间为准。</w:t>
      </w:r>
    </w:p>
    <w:p>
      <w:pPr>
        <w:adjustRightInd w:val="0"/>
        <w:snapToGrid w:val="0"/>
        <w:spacing w:line="56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4.3因非乙方原因引起工程量报价清单中工程量发生增减，且单个子目工程量变化幅度在25%以内（含）时，按工程量报价清单中列明的子目单价结算。否则，按新增单价执行。</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4.4合同中没有适用于变更工程项目的单价的，按新增单价执行。</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新增单价计价原则：</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2.项目计价材料、设备价格的控制：按以下顺序作为降序优先级依次采用工程开工报告中开工日期当月的下列价格：</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（1）《广州地区建设工程常用材料税前综合价格》（下称综合价格）。</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（2）《广州地区建设工程材料（设备）厂商价格信息》（下称厂商价格）下浮10-20%。</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（3）综合价格、厂商价格中缺项的，采用由北京瑞恒达建筑咨询有限公司提供服务的“慧讯网”中查到的相应材料、设备价格的工程价。</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（4）通过市场询价双方协商确定。</w:t>
      </w:r>
    </w:p>
    <w:p>
      <w:pPr>
        <w:widowControl/>
        <w:adjustRightInd w:val="0"/>
        <w:snapToGrid w:val="0"/>
        <w:spacing w:line="560" w:lineRule="exact"/>
        <w:ind w:firstLine="480" w:firstLineChars="200"/>
        <w:rPr>
          <w:rFonts w:ascii="Times New Roman" w:hAnsi="Times New Roman"/>
          <w:color w:val="auto"/>
          <w:szCs w:val="21"/>
          <w:highlight w:val="none"/>
        </w:rPr>
      </w:pPr>
      <w:r>
        <w:rPr>
          <w:rFonts w:hint="eastAsia" w:ascii="宋体" w:hAnsi="宋体"/>
          <w:color w:val="auto"/>
          <w:kern w:val="0"/>
          <w:sz w:val="24"/>
          <w:szCs w:val="24"/>
          <w:highlight w:val="none"/>
        </w:rPr>
        <w:t>3.按1、2组价后下浮5%计取。</w:t>
      </w:r>
    </w:p>
    <w:p>
      <w:pPr>
        <w:widowControl/>
        <w:adjustRightInd w:val="0"/>
        <w:snapToGrid w:val="0"/>
        <w:spacing w:line="56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第五条 工期及要求</w:t>
      </w:r>
    </w:p>
    <w:p>
      <w:pPr>
        <w:widowControl/>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5.1开工日期暂定为：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w:t>
      </w:r>
      <w:r>
        <w:rPr>
          <w:rFonts w:hint="eastAsia" w:ascii="宋体" w:hAnsi="宋体"/>
          <w:color w:val="auto"/>
          <w:sz w:val="24"/>
          <w:szCs w:val="24"/>
          <w:highlight w:val="none"/>
        </w:rPr>
        <w:t>总日历天数</w:t>
      </w:r>
      <w:r>
        <w:rPr>
          <w:rFonts w:ascii="宋体" w:hAnsi="宋体"/>
          <w:color w:val="auto"/>
          <w:sz w:val="24"/>
          <w:szCs w:val="24"/>
          <w:highlight w:val="none"/>
          <w:u w:val="single"/>
        </w:rPr>
        <w:t>60</w:t>
      </w:r>
      <w:r>
        <w:rPr>
          <w:rFonts w:hint="eastAsia" w:ascii="宋体" w:hAnsi="宋体"/>
          <w:color w:val="auto"/>
          <w:sz w:val="24"/>
          <w:szCs w:val="24"/>
          <w:highlight w:val="none"/>
        </w:rPr>
        <w:t>天。</w:t>
      </w:r>
      <w:r>
        <w:rPr>
          <w:rFonts w:hint="eastAsia" w:ascii="宋体" w:hAnsi="宋体"/>
          <w:color w:val="auto"/>
          <w:sz w:val="24"/>
          <w:szCs w:val="24"/>
          <w:highlight w:val="none"/>
        </w:rPr>
        <w:t>乙方未能按合同工期竣工验收的，每逾期一天，甲方有权要求乙方按合同暂定总价的 1%支付违约金，逾期达到</w:t>
      </w:r>
      <w:r>
        <w:rPr>
          <w:rFonts w:hint="eastAsia" w:ascii="宋体" w:hAnsi="宋体"/>
          <w:color w:val="auto"/>
          <w:sz w:val="24"/>
          <w:szCs w:val="24"/>
          <w:highlight w:val="none"/>
          <w:u w:val="single"/>
        </w:rPr>
        <w:t>30</w:t>
      </w:r>
      <w:r>
        <w:rPr>
          <w:rFonts w:hint="eastAsia" w:ascii="宋体" w:hAnsi="宋体"/>
          <w:color w:val="auto"/>
          <w:sz w:val="24"/>
          <w:szCs w:val="24"/>
          <w:highlight w:val="none"/>
        </w:rPr>
        <w:t>天及以上的，甲方有权解除合同并要求乙方支付</w:t>
      </w:r>
      <w:r>
        <w:rPr>
          <w:rFonts w:hint="eastAsia" w:ascii="宋体" w:hAnsi="宋体"/>
          <w:color w:val="auto"/>
          <w:sz w:val="24"/>
          <w:szCs w:val="24"/>
          <w:highlight w:val="none"/>
          <w:u w:val="single"/>
        </w:rPr>
        <w:t>合同暂定总价的20%</w:t>
      </w:r>
      <w:r>
        <w:rPr>
          <w:rFonts w:hint="eastAsia" w:ascii="宋体" w:hAnsi="宋体"/>
          <w:color w:val="auto"/>
          <w:sz w:val="24"/>
          <w:szCs w:val="24"/>
          <w:highlight w:val="none"/>
        </w:rPr>
        <w:t>作为违约金。</w:t>
      </w:r>
    </w:p>
    <w:p>
      <w:pPr>
        <w:widowControl/>
        <w:spacing w:line="56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6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5.3乙方应按合同及甲方提供的技术文件要求进行本项目实施和安装。乙方未经甲方同意，不得将本项目图纸泄露或转给第三人。除乙方存档需要的图纸外，乙方应于项目质量保修期满后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bCs/>
          <w:color w:val="auto"/>
          <w:sz w:val="24"/>
          <w:szCs w:val="24"/>
          <w:highlight w:val="none"/>
          <w:u w:val="single"/>
        </w:rPr>
        <w:t xml:space="preserve"> 7 </w:t>
      </w:r>
      <w:r>
        <w:rPr>
          <w:rFonts w:hint="eastAsia" w:ascii="宋体" w:hAnsi="宋体"/>
          <w:bCs/>
          <w:color w:val="auto"/>
          <w:sz w:val="24"/>
          <w:szCs w:val="24"/>
          <w:highlight w:val="none"/>
        </w:rPr>
        <w:t>日内将全部图纸退还给甲方。</w:t>
      </w:r>
    </w:p>
    <w:p>
      <w:pPr>
        <w:widowControl/>
        <w:spacing w:line="560" w:lineRule="exact"/>
        <w:ind w:left="1"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5.4合同约定的项目，乙方不得转包、分包。否则，甲方有权单方面终止合同，并令其立即退场，由此而造成的经济损失由乙方负责赔偿。</w:t>
      </w:r>
    </w:p>
    <w:p>
      <w:pPr>
        <w:widowControl/>
        <w:spacing w:line="560" w:lineRule="exact"/>
        <w:ind w:left="1"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bCs/>
          <w:color w:val="auto"/>
          <w:sz w:val="24"/>
          <w:szCs w:val="24"/>
          <w:highlight w:val="none"/>
          <w:u w:val="single"/>
        </w:rPr>
        <w:t>7</w:t>
      </w:r>
      <w:r>
        <w:rPr>
          <w:rFonts w:hint="eastAsia" w:ascii="宋体" w:hAnsi="宋体"/>
          <w:bCs/>
          <w:color w:val="auto"/>
          <w:sz w:val="24"/>
          <w:szCs w:val="24"/>
          <w:highlight w:val="none"/>
        </w:rPr>
        <w:t>日，甲方有权解除合同并要求乙方支付合同暂定总价的20%作为违约金（如合同另行约定违约责任，从其约定）。</w:t>
      </w:r>
    </w:p>
    <w:p>
      <w:pPr>
        <w:pStyle w:val="12"/>
        <w:spacing w:line="560" w:lineRule="exact"/>
        <w:ind w:firstLine="448" w:firstLineChars="200"/>
        <w:outlineLvl w:val="1"/>
        <w:rPr>
          <w:rFonts w:hAnsi="宋体"/>
          <w:color w:val="auto"/>
          <w:spacing w:val="-8"/>
          <w:sz w:val="24"/>
          <w:szCs w:val="24"/>
          <w:highlight w:val="none"/>
        </w:rPr>
      </w:pPr>
      <w:r>
        <w:rPr>
          <w:rFonts w:hint="eastAsia" w:hAnsi="宋体"/>
          <w:color w:val="auto"/>
          <w:spacing w:val="-8"/>
          <w:sz w:val="24"/>
          <w:szCs w:val="24"/>
          <w:highlight w:val="none"/>
        </w:rPr>
        <w:t>5.6乙方不得随意更换项目负责人及附件6中的相关人员，如确须更换，应提前征得甲方同意。如有违反，甲方有权解除合同并要求乙方支付</w:t>
      </w:r>
      <w:r>
        <w:rPr>
          <w:rFonts w:hint="eastAsia" w:hAnsi="宋体"/>
          <w:color w:val="auto"/>
          <w:spacing w:val="-8"/>
          <w:sz w:val="24"/>
          <w:szCs w:val="24"/>
          <w:highlight w:val="none"/>
          <w:u w:val="single"/>
        </w:rPr>
        <w:t>5000元/人次</w:t>
      </w:r>
      <w:r>
        <w:rPr>
          <w:rFonts w:hint="eastAsia" w:hAnsi="宋体"/>
          <w:color w:val="auto"/>
          <w:spacing w:val="-8"/>
          <w:sz w:val="24"/>
          <w:szCs w:val="24"/>
          <w:highlight w:val="none"/>
        </w:rPr>
        <w:t xml:space="preserve">作为违约金，以及赔偿由此造成的一切损失(包含质量安全事故、工期延误、增加投资等)。   </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bCs/>
          <w:color w:val="auto"/>
          <w:spacing w:val="-8"/>
          <w:sz w:val="24"/>
          <w:szCs w:val="24"/>
          <w:highlight w:val="none"/>
        </w:rPr>
        <w:t>5.7施工过程中，项目负责人应驻场管理，否则甲方有权要求乙方支付违约</w:t>
      </w:r>
      <w:r>
        <w:rPr>
          <w:rFonts w:hint="eastAsia" w:ascii="宋体" w:hAnsi="宋体"/>
          <w:bCs/>
          <w:color w:val="auto"/>
          <w:spacing w:val="-8"/>
          <w:sz w:val="24"/>
          <w:szCs w:val="24"/>
          <w:highlight w:val="none"/>
          <w:u w:val="single"/>
        </w:rPr>
        <w:t xml:space="preserve"> 1000元/天</w:t>
      </w:r>
      <w:r>
        <w:rPr>
          <w:rFonts w:hint="eastAsia" w:ascii="宋体" w:hAnsi="宋体"/>
          <w:bCs/>
          <w:color w:val="auto"/>
          <w:spacing w:val="-8"/>
          <w:sz w:val="24"/>
          <w:szCs w:val="24"/>
          <w:highlight w:val="none"/>
        </w:rPr>
        <w:t>，因此造成损失的，按实际发生额赔偿。</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color w:val="auto"/>
          <w:spacing w:val="-8"/>
          <w:sz w:val="24"/>
          <w:szCs w:val="24"/>
          <w:highlight w:val="none"/>
        </w:rPr>
        <w:t>5.8施工过程中，乙方应负责配备现场的应急物资。具体应急物资配备详见附件应急救援物资清单。</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color w:val="auto"/>
          <w:spacing w:val="-8"/>
          <w:sz w:val="24"/>
          <w:szCs w:val="24"/>
          <w:highlight w:val="none"/>
        </w:rPr>
        <w:t>5.9在合同有效期内，乙方自愿接受甲方按《广州市净水有限公司经营建设项目参建企业不诚信行为管理办法》、《营运项目承包单位日常履约考评参照表（安全）》处理，具体处理标准详见附件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olor w:val="auto"/>
          <w:spacing w:val="-8"/>
          <w:sz w:val="24"/>
          <w:szCs w:val="24"/>
          <w:highlight w:val="none"/>
          <w:u w:val="single"/>
        </w:rPr>
        <w:t>7</w:t>
      </w:r>
      <w:r>
        <w:rPr>
          <w:rFonts w:hint="eastAsia" w:ascii="宋体" w:hAnsi="宋体"/>
          <w:color w:val="auto"/>
          <w:spacing w:val="-8"/>
          <w:sz w:val="24"/>
          <w:szCs w:val="24"/>
          <w:highlight w:val="none"/>
          <w:u w:val="none"/>
          <w:lang w:eastAsia="zh-CN"/>
        </w:rPr>
        <w:t>、</w:t>
      </w:r>
      <w:r>
        <w:rPr>
          <w:rFonts w:hint="eastAsia" w:ascii="宋体" w:hAnsi="宋体"/>
          <w:color w:val="auto"/>
          <w:spacing w:val="-8"/>
          <w:sz w:val="24"/>
          <w:szCs w:val="24"/>
          <w:highlight w:val="none"/>
          <w:u w:val="none"/>
          <w:lang w:val="en-US" w:eastAsia="zh-CN"/>
        </w:rPr>
        <w:t>8</w:t>
      </w:r>
      <w:r>
        <w:rPr>
          <w:rFonts w:hint="eastAsia" w:ascii="宋体" w:hAnsi="宋体"/>
          <w:color w:val="auto"/>
          <w:spacing w:val="-8"/>
          <w:sz w:val="24"/>
          <w:szCs w:val="24"/>
          <w:highlight w:val="none"/>
          <w:lang w:val="en-US" w:eastAsia="zh-CN"/>
        </w:rPr>
        <w:t>、9</w:t>
      </w:r>
      <w:r>
        <w:rPr>
          <w:rFonts w:hint="eastAsia" w:ascii="宋体" w:hAnsi="宋体"/>
          <w:color w:val="auto"/>
          <w:spacing w:val="-8"/>
          <w:sz w:val="24"/>
          <w:szCs w:val="24"/>
          <w:highlight w:val="none"/>
        </w:rPr>
        <w:t>。</w:t>
      </w:r>
    </w:p>
    <w:p>
      <w:pPr>
        <w:spacing w:line="5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第六条 实施条件及管理要求</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6.2施工用水用电采用以下</w:t>
      </w:r>
      <w:r>
        <w:rPr>
          <w:rFonts w:hint="eastAsia" w:ascii="宋体" w:hAnsi="宋体"/>
          <w:color w:val="auto"/>
          <w:sz w:val="24"/>
          <w:szCs w:val="24"/>
          <w:highlight w:val="none"/>
          <w:u w:val="single"/>
        </w:rPr>
        <w:t>(1)</w:t>
      </w:r>
      <w:r>
        <w:rPr>
          <w:rFonts w:hint="eastAsia" w:ascii="宋体" w:hAnsi="宋体"/>
          <w:color w:val="auto"/>
          <w:sz w:val="24"/>
          <w:szCs w:val="24"/>
          <w:highlight w:val="none"/>
        </w:rPr>
        <w:t>方式执行。</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（1）由甲方提供施工用水用电接口，水电费按合同综合单价水电含量计算，从甲方支付的工程款中直接扣回。</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（2）由甲方提供施工用水用电接口，费用按</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（月/项）目结算，由乙方向甲方或甲方下辖分公司/子公司支付。水电费用按所属供电局、自来水公司收费标准，按实计算。</w:t>
      </w:r>
    </w:p>
    <w:p>
      <w:pPr>
        <w:pStyle w:val="52"/>
        <w:spacing w:line="560" w:lineRule="exact"/>
        <w:ind w:firstLine="480" w:firstLineChars="200"/>
        <w:rPr>
          <w:rFonts w:hAnsi="宋体" w:eastAsia="宋体"/>
          <w:color w:val="auto"/>
          <w:kern w:val="2"/>
          <w:highlight w:val="none"/>
        </w:rPr>
      </w:pPr>
      <w:r>
        <w:rPr>
          <w:rFonts w:hint="eastAsia" w:hAnsi="宋体" w:eastAsia="宋体"/>
          <w:color w:val="auto"/>
          <w:kern w:val="2"/>
          <w:highlight w:val="none"/>
        </w:rPr>
        <w:t>（3）由乙方自行负责。</w:t>
      </w:r>
    </w:p>
    <w:p>
      <w:pPr>
        <w:spacing w:line="560" w:lineRule="exact"/>
        <w:ind w:firstLine="480" w:firstLineChars="200"/>
        <w:rPr>
          <w:rFonts w:ascii="宋体" w:hAnsi="宋体" w:eastAsia="宋体"/>
          <w:color w:val="auto"/>
          <w:sz w:val="24"/>
          <w:szCs w:val="24"/>
          <w:highlight w:val="none"/>
        </w:rPr>
      </w:pPr>
      <w:r>
        <w:rPr>
          <w:rFonts w:hint="eastAsia" w:ascii="宋体" w:hAnsi="宋体"/>
          <w:color w:val="auto"/>
          <w:sz w:val="24"/>
          <w:szCs w:val="24"/>
          <w:highlight w:val="none"/>
        </w:rPr>
        <w:t>6.3施工时间安排：上午7：00-12：00，下午14：00-18：00，施工时间如需变动，以甲方的书面或口头通知为准。</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6.4进场施工人员必须严格遵守污水处理厂一切规章制度。进入施工现场人员必须佩戴出入证，并自觉接受门岗检查。</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6.5环境保护要求：</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（1）做好施工噪声、废气、废水等控制；</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（2）按照国家及广州市相关规定做好建筑垃圾的处理。</w:t>
      </w:r>
    </w:p>
    <w:p>
      <w:pPr>
        <w:snapToGrid w:val="0"/>
        <w:spacing w:line="560" w:lineRule="exact"/>
        <w:ind w:firstLine="480" w:firstLineChars="200"/>
        <w:rPr>
          <w:rFonts w:ascii="Times New Roman" w:hAnsi="宋体" w:cs="宋体"/>
          <w:color w:val="auto"/>
          <w:sz w:val="24"/>
          <w:szCs w:val="24"/>
          <w:highlight w:val="none"/>
        </w:rPr>
      </w:pPr>
      <w:r>
        <w:rPr>
          <w:rFonts w:hint="eastAsia" w:ascii="宋体" w:hAnsi="宋体"/>
          <w:color w:val="auto"/>
          <w:sz w:val="24"/>
          <w:szCs w:val="24"/>
          <w:highlight w:val="none"/>
        </w:rPr>
        <w:t>6.6按相关法律法规及甲方相关作业施工管理要求执行。</w:t>
      </w:r>
    </w:p>
    <w:p>
      <w:pPr>
        <w:pStyle w:val="12"/>
        <w:spacing w:line="560" w:lineRule="exact"/>
        <w:rPr>
          <w:rFonts w:hAnsi="宋体" w:cs="Courier New"/>
          <w:b/>
          <w:bCs/>
          <w:color w:val="auto"/>
          <w:sz w:val="24"/>
          <w:szCs w:val="24"/>
          <w:highlight w:val="none"/>
        </w:rPr>
      </w:pPr>
      <w:r>
        <w:rPr>
          <w:rFonts w:hint="eastAsia" w:hAnsi="宋体"/>
          <w:color w:val="auto"/>
          <w:sz w:val="24"/>
          <w:szCs w:val="24"/>
          <w:highlight w:val="none"/>
        </w:rPr>
        <w:t xml:space="preserve">    </w:t>
      </w:r>
      <w:r>
        <w:rPr>
          <w:rFonts w:hint="eastAsia" w:hAnsi="宋体"/>
          <w:b/>
          <w:bCs/>
          <w:color w:val="auto"/>
          <w:sz w:val="24"/>
          <w:szCs w:val="24"/>
          <w:highlight w:val="none"/>
        </w:rPr>
        <w:t>第七条 材料及设备供应</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本项目承包范围内所需的设备材料、成品、未成品、运输、保管、质量等责任均由乙方承担。甲方不提供材料。</w:t>
      </w:r>
    </w:p>
    <w:p>
      <w:pPr>
        <w:spacing w:line="560" w:lineRule="exact"/>
        <w:ind w:left="-2" w:leftChars="-1" w:firstLine="480" w:firstLineChars="200"/>
        <w:rPr>
          <w:rFonts w:ascii="宋体" w:hAnsi="宋体"/>
          <w:color w:val="auto"/>
          <w:sz w:val="24"/>
          <w:szCs w:val="24"/>
          <w:highlight w:val="none"/>
        </w:rPr>
      </w:pPr>
      <w:r>
        <w:rPr>
          <w:rFonts w:hint="eastAsia" w:ascii="宋体" w:hAnsi="宋体"/>
          <w:color w:val="auto"/>
          <w:sz w:val="24"/>
          <w:szCs w:val="24"/>
          <w:highlight w:val="none"/>
        </w:rPr>
        <w:t>7.1采购供应的材料、其名称、品种、型号、规格、质量等，均应符合国家、地方及行业有关规范及要求。</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7.2所有材料必须具备合格证明，并保证产品的有效性。</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7.3由于乙方提供的伪劣、假冒等所有不合格材料而导致的损失、事故及一切后果，均由乙方负责并赔偿甲方所有损失，并负责更换所有已施工的不合格材料。</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7.4乙方必须根据投标文件/询价响应文件（如有）上主要材料的明细（包括厂家、规格、品质等级等）提供材料。工程实施时，如发现材料不一致，甲方有权拒用，造成损失由乙方承担。</w:t>
      </w:r>
    </w:p>
    <w:p>
      <w:pPr>
        <w:spacing w:line="560" w:lineRule="exact"/>
        <w:ind w:left="-2" w:leftChars="-1" w:firstLine="480" w:firstLineChars="200"/>
        <w:rPr>
          <w:rFonts w:ascii="宋体" w:hAnsi="宋体"/>
          <w:color w:val="auto"/>
          <w:sz w:val="24"/>
          <w:szCs w:val="24"/>
          <w:highlight w:val="none"/>
        </w:rPr>
      </w:pPr>
      <w:r>
        <w:rPr>
          <w:rFonts w:hint="eastAsia" w:ascii="宋体" w:hAnsi="宋体"/>
          <w:color w:val="auto"/>
          <w:sz w:val="24"/>
          <w:szCs w:val="24"/>
          <w:highlight w:val="none"/>
        </w:rPr>
        <w:t>7.5 甲方有权对施工质量进行监督、检查或检验，也可自行委托第三方进行质量检验，甲方或第三方的检验结果作为最终的质量评定结果。</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7.6 承包范围之内工程所用之设备，由乙方提供。</w:t>
      </w:r>
    </w:p>
    <w:p>
      <w:pPr>
        <w:spacing w:line="560" w:lineRule="exact"/>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第八条 付</w:t>
      </w:r>
      <w:r>
        <w:rPr>
          <w:rFonts w:hint="eastAsia" w:ascii="宋体" w:hAnsi="宋体"/>
          <w:b/>
          <w:color w:val="auto"/>
          <w:sz w:val="24"/>
          <w:szCs w:val="24"/>
          <w:highlight w:val="none"/>
        </w:rPr>
        <w:t>款及履约担保</w:t>
      </w:r>
    </w:p>
    <w:p>
      <w:pPr>
        <w:spacing w:line="560" w:lineRule="exact"/>
        <w:ind w:firstLine="480" w:firstLineChars="200"/>
        <w:rPr>
          <w:rFonts w:ascii="宋体" w:hAnsi="宋体"/>
          <w:bCs/>
          <w:color w:val="auto"/>
          <w:sz w:val="24"/>
          <w:szCs w:val="24"/>
          <w:highlight w:val="none"/>
          <w:u w:val="single"/>
        </w:rPr>
      </w:pPr>
      <w:r>
        <w:rPr>
          <w:rFonts w:hint="eastAsia" w:ascii="宋体" w:hAnsi="宋体"/>
          <w:color w:val="auto"/>
          <w:sz w:val="24"/>
          <w:szCs w:val="24"/>
          <w:highlight w:val="none"/>
        </w:rPr>
        <w:t>8.1</w:t>
      </w:r>
      <w:r>
        <w:rPr>
          <w:rFonts w:hint="eastAsia" w:ascii="宋体" w:hAnsi="宋体"/>
          <w:bCs/>
          <w:color w:val="auto"/>
          <w:sz w:val="24"/>
          <w:szCs w:val="24"/>
          <w:highlight w:val="none"/>
        </w:rPr>
        <w:t>预付款的支付：</w:t>
      </w:r>
      <w:r>
        <w:rPr>
          <w:rFonts w:ascii="Wingdings" w:hAnsi="Wingdings"/>
          <w:b/>
          <w:color w:val="auto"/>
          <w:sz w:val="24"/>
          <w:szCs w:val="24"/>
          <w:highlight w:val="none"/>
        </w:rPr>
        <w:t>þ</w:t>
      </w:r>
      <w:r>
        <w:rPr>
          <w:rFonts w:hint="eastAsia" w:ascii="宋体" w:hAnsi="宋体"/>
          <w:bCs/>
          <w:color w:val="auto"/>
          <w:sz w:val="24"/>
          <w:szCs w:val="24"/>
          <w:highlight w:val="none"/>
        </w:rPr>
        <w:t xml:space="preserve">无； </w:t>
      </w:r>
      <w:r>
        <w:rPr>
          <w:rFonts w:hint="eastAsia" w:ascii="宋体" w:hAnsi="宋体" w:cs="Segoe UI Symbol"/>
          <w:b/>
          <w:bCs/>
          <w:color w:val="auto"/>
          <w:sz w:val="24"/>
          <w:szCs w:val="24"/>
          <w:highlight w:val="none"/>
        </w:rPr>
        <w:t>□</w:t>
      </w:r>
      <w:r>
        <w:rPr>
          <w:rFonts w:hint="eastAsia" w:ascii="宋体" w:hAnsi="宋体" w:cs="Segoe UI Symbol"/>
          <w:bCs/>
          <w:color w:val="auto"/>
          <w:sz w:val="24"/>
          <w:szCs w:val="24"/>
          <w:highlight w:val="none"/>
        </w:rPr>
        <w:t>有</w:t>
      </w:r>
      <w:r>
        <w:rPr>
          <w:rFonts w:hint="eastAsia" w:ascii="Segoe UI Symbol" w:hAnsi="Segoe UI Symbol" w:cs="Segoe UI Symbol"/>
          <w:b/>
          <w:color w:val="auto"/>
          <w:sz w:val="24"/>
          <w:szCs w:val="24"/>
          <w:highlight w:val="none"/>
        </w:rPr>
        <w:t xml:space="preserve"> </w:t>
      </w:r>
      <w:r>
        <w:rPr>
          <w:rFonts w:hint="eastAsia" w:ascii="宋体" w:hAnsi="宋体"/>
          <w:bCs/>
          <w:color w:val="auto"/>
          <w:sz w:val="24"/>
          <w:szCs w:val="24"/>
          <w:highlight w:val="none"/>
        </w:rPr>
        <w:t>合同签订后，乙方开具等额的增值税专用发票及提交履约担保担保（如有）后</w:t>
      </w:r>
      <w:r>
        <w:rPr>
          <w:rFonts w:hint="eastAsia" w:ascii="宋体" w:hAnsi="宋体"/>
          <w:bCs/>
          <w:color w:val="auto"/>
          <w:sz w:val="24"/>
          <w:szCs w:val="24"/>
          <w:highlight w:val="none"/>
          <w:u w:val="single"/>
        </w:rPr>
        <w:t xml:space="preserve"> 10 </w:t>
      </w:r>
      <w:r>
        <w:rPr>
          <w:rFonts w:hint="eastAsia" w:ascii="宋体" w:hAnsi="宋体"/>
          <w:bCs/>
          <w:color w:val="auto"/>
          <w:sz w:val="24"/>
          <w:szCs w:val="24"/>
          <w:highlight w:val="none"/>
        </w:rPr>
        <w:t>个工作日内，甲方支付合同</w:t>
      </w:r>
      <w:r>
        <w:rPr>
          <w:rFonts w:hint="eastAsia" w:ascii="宋体" w:hAnsi="宋体"/>
          <w:color w:val="auto"/>
          <w:sz w:val="24"/>
          <w:szCs w:val="24"/>
          <w:highlight w:val="none"/>
        </w:rPr>
        <w:t>暂定总价</w:t>
      </w:r>
      <w:r>
        <w:rPr>
          <w:rFonts w:hint="eastAsia" w:ascii="宋体" w:hAnsi="宋体"/>
          <w:bCs/>
          <w:color w:val="auto"/>
          <w:sz w:val="24"/>
          <w:szCs w:val="24"/>
          <w:highlight w:val="none"/>
        </w:rPr>
        <w:t>的</w:t>
      </w:r>
      <w:r>
        <w:rPr>
          <w:rFonts w:hint="eastAsia" w:ascii="宋体" w:hAnsi="宋体"/>
          <w:bCs/>
          <w:color w:val="auto"/>
          <w:sz w:val="24"/>
          <w:szCs w:val="24"/>
          <w:highlight w:val="none"/>
          <w:u w:val="single"/>
        </w:rPr>
        <w:t>30%</w:t>
      </w:r>
      <w:r>
        <w:rPr>
          <w:rFonts w:hint="eastAsia" w:ascii="宋体" w:hAnsi="宋体"/>
          <w:color w:val="auto"/>
          <w:sz w:val="24"/>
          <w:szCs w:val="24"/>
          <w:highlight w:val="none"/>
        </w:rPr>
        <w:t>即</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元（大写：</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r>
        <w:rPr>
          <w:rFonts w:hint="eastAsia" w:ascii="宋体" w:hAnsi="宋体"/>
          <w:bCs/>
          <w:color w:val="auto"/>
          <w:sz w:val="24"/>
          <w:szCs w:val="24"/>
          <w:highlight w:val="none"/>
        </w:rPr>
        <w:t>作为预付款。</w:t>
      </w:r>
      <w:r>
        <w:rPr>
          <w:rFonts w:hint="eastAsia" w:ascii="宋体" w:hAnsi="宋体"/>
          <w:color w:val="auto"/>
          <w:sz w:val="24"/>
          <w:szCs w:val="24"/>
          <w:highlight w:val="none"/>
        </w:rPr>
        <w:t>若合同解除或终止，乙方在</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个工作日内返还预付款（无息）。</w:t>
      </w:r>
      <w:r>
        <w:rPr>
          <w:rFonts w:hint="eastAsia" w:ascii="宋体" w:hAnsi="宋体"/>
          <w:bCs/>
          <w:color w:val="auto"/>
          <w:kern w:val="0"/>
          <w:sz w:val="24"/>
          <w:szCs w:val="24"/>
          <w:highlight w:val="none"/>
        </w:rPr>
        <w:t>逾期未返还，每逾期一天，乙方应按合同暂定总价的</w:t>
      </w:r>
      <w:r>
        <w:rPr>
          <w:rFonts w:hint="eastAsia" w:ascii="宋体" w:hAnsi="宋体"/>
          <w:bCs/>
          <w:color w:val="auto"/>
          <w:kern w:val="0"/>
          <w:sz w:val="24"/>
          <w:szCs w:val="24"/>
          <w:highlight w:val="none"/>
          <w:u w:val="single"/>
        </w:rPr>
        <w:t>万分之五/天</w:t>
      </w:r>
      <w:r>
        <w:rPr>
          <w:rFonts w:hint="eastAsia" w:ascii="宋体" w:hAnsi="宋体"/>
          <w:bCs/>
          <w:color w:val="auto"/>
          <w:kern w:val="0"/>
          <w:sz w:val="24"/>
          <w:szCs w:val="24"/>
          <w:highlight w:val="none"/>
        </w:rPr>
        <w:t>支付违约金</w:t>
      </w:r>
      <w:r>
        <w:rPr>
          <w:rFonts w:hint="eastAsia" w:ascii="宋体" w:hAnsi="宋体"/>
          <w:color w:val="auto"/>
          <w:sz w:val="24"/>
          <w:szCs w:val="24"/>
          <w:highlight w:val="none"/>
        </w:rPr>
        <w:t>。</w:t>
      </w:r>
    </w:p>
    <w:p>
      <w:pPr>
        <w:pStyle w:val="12"/>
        <w:spacing w:line="560" w:lineRule="exact"/>
        <w:ind w:firstLine="480" w:firstLineChars="200"/>
        <w:outlineLvl w:val="1"/>
        <w:rPr>
          <w:rFonts w:hAnsi="宋体"/>
          <w:bCs/>
          <w:color w:val="auto"/>
          <w:sz w:val="24"/>
          <w:szCs w:val="24"/>
          <w:highlight w:val="none"/>
        </w:rPr>
      </w:pPr>
      <w:r>
        <w:rPr>
          <w:rFonts w:hint="eastAsia" w:hAnsi="宋体"/>
          <w:color w:val="auto"/>
          <w:sz w:val="24"/>
          <w:szCs w:val="24"/>
          <w:highlight w:val="none"/>
        </w:rPr>
        <w:t>8.2项目验收合格后，由乙方提交申请支付资料 15 个工作日内，甲方支付至合同暂定总价的80％即</w:t>
      </w:r>
      <w:r>
        <w:rPr>
          <w:rFonts w:hint="eastAsia" w:hAnsi="宋体"/>
          <w:bCs/>
          <w:color w:val="auto"/>
          <w:sz w:val="24"/>
          <w:szCs w:val="24"/>
          <w:highlight w:val="none"/>
        </w:rPr>
        <w:t>￥</w:t>
      </w:r>
      <w:r>
        <w:rPr>
          <w:rFonts w:hint="eastAsia" w:hAnsi="宋体"/>
          <w:b/>
          <w:color w:val="auto"/>
          <w:sz w:val="24"/>
          <w:szCs w:val="24"/>
          <w:highlight w:val="none"/>
          <w:u w:val="single"/>
        </w:rPr>
        <w:t xml:space="preserve">     </w:t>
      </w:r>
      <w:r>
        <w:rPr>
          <w:rFonts w:hint="eastAsia" w:hAnsi="宋体"/>
          <w:bCs/>
          <w:color w:val="auto"/>
          <w:sz w:val="24"/>
          <w:szCs w:val="24"/>
          <w:highlight w:val="none"/>
        </w:rPr>
        <w:t>元</w:t>
      </w:r>
      <w:r>
        <w:rPr>
          <w:rFonts w:hint="eastAsia" w:hAnsi="宋体"/>
          <w:color w:val="auto"/>
          <w:sz w:val="24"/>
          <w:szCs w:val="24"/>
          <w:highlight w:val="none"/>
        </w:rPr>
        <w:t>（大写：</w:t>
      </w:r>
      <w:r>
        <w:rPr>
          <w:rFonts w:hint="eastAsia" w:hAnsi="宋体"/>
          <w:color w:val="auto"/>
          <w:sz w:val="24"/>
          <w:szCs w:val="24"/>
          <w:highlight w:val="none"/>
          <w:u w:val="single"/>
        </w:rPr>
        <w:t xml:space="preserve">        </w:t>
      </w:r>
      <w:r>
        <w:rPr>
          <w:rFonts w:hint="eastAsia" w:hAnsi="宋体"/>
          <w:color w:val="auto"/>
          <w:sz w:val="24"/>
          <w:szCs w:val="24"/>
          <w:highlight w:val="none"/>
        </w:rPr>
        <w:t>）</w:t>
      </w:r>
      <w:r>
        <w:rPr>
          <w:rFonts w:hint="eastAsia" w:hAnsi="宋体"/>
          <w:bCs/>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8.2.1项目验收合格后，经甲方或甲方委托有资质第三方机构审核后，由乙方提交申请支付资料</w:t>
      </w:r>
      <w:r>
        <w:rPr>
          <w:rFonts w:hint="eastAsia" w:ascii="宋体" w:hAnsi="宋体"/>
          <w:color w:val="auto"/>
          <w:sz w:val="24"/>
          <w:szCs w:val="24"/>
          <w:highlight w:val="none"/>
          <w:u w:val="single"/>
        </w:rPr>
        <w:t>15</w:t>
      </w:r>
      <w:r>
        <w:rPr>
          <w:rFonts w:hint="eastAsia" w:ascii="宋体" w:hAnsi="宋体"/>
          <w:color w:val="auto"/>
          <w:sz w:val="24"/>
          <w:szCs w:val="24"/>
          <w:highlight w:val="none"/>
        </w:rPr>
        <w:t>个工作日内，甲方支付至合同结算价的95%。</w:t>
      </w:r>
    </w:p>
    <w:p>
      <w:pPr>
        <w:spacing w:line="560" w:lineRule="exact"/>
        <w:ind w:firstLine="480" w:firstLineChars="200"/>
        <w:outlineLvl w:val="1"/>
        <w:rPr>
          <w:rFonts w:ascii="Times New Roman" w:hAnsi="宋体" w:cs="宋体"/>
          <w:color w:val="auto"/>
          <w:sz w:val="24"/>
          <w:szCs w:val="24"/>
          <w:highlight w:val="none"/>
        </w:rPr>
      </w:pPr>
      <w:r>
        <w:rPr>
          <w:rFonts w:hint="eastAsia" w:ascii="宋体" w:hAnsi="宋体"/>
          <w:color w:val="auto"/>
          <w:sz w:val="24"/>
          <w:szCs w:val="24"/>
          <w:highlight w:val="none"/>
        </w:rPr>
        <w:t>8.2.2</w:t>
      </w:r>
      <w:r>
        <w:rPr>
          <w:rFonts w:hAnsi="宋体" w:cs="宋体"/>
          <w:color w:val="auto"/>
          <w:sz w:val="24"/>
          <w:szCs w:val="24"/>
          <w:highlight w:val="none"/>
        </w:rPr>
        <w:t xml:space="preserve"> </w:t>
      </w:r>
      <w:r>
        <w:rPr>
          <w:rFonts w:hint="eastAsia" w:ascii="宋体" w:hAnsi="宋体"/>
          <w:color w:val="auto"/>
          <w:sz w:val="24"/>
          <w:szCs w:val="24"/>
          <w:highlight w:val="none"/>
        </w:rPr>
        <w:t>质保期按合同第十条规定执行，质保期满后且乙方不存在违约情形，由乙方提交申请质保金退还资料</w:t>
      </w:r>
      <w:r>
        <w:rPr>
          <w:rFonts w:hAnsi="宋体" w:cs="宋体"/>
          <w:color w:val="auto"/>
          <w:sz w:val="24"/>
          <w:szCs w:val="24"/>
          <w:highlight w:val="none"/>
          <w:u w:val="single"/>
        </w:rPr>
        <w:t xml:space="preserve"> 15 </w:t>
      </w:r>
      <w:r>
        <w:rPr>
          <w:rFonts w:hint="eastAsia" w:ascii="宋体" w:hAnsi="宋体"/>
          <w:color w:val="auto"/>
          <w:sz w:val="24"/>
          <w:szCs w:val="24"/>
          <w:highlight w:val="none"/>
        </w:rPr>
        <w:t>个工作日内，甲方支付合同结算价的</w:t>
      </w:r>
      <w:r>
        <w:rPr>
          <w:rFonts w:hAnsi="宋体" w:cs="宋体"/>
          <w:color w:val="auto"/>
          <w:sz w:val="24"/>
          <w:szCs w:val="24"/>
          <w:highlight w:val="none"/>
        </w:rPr>
        <w:t>5</w:t>
      </w:r>
      <w:r>
        <w:rPr>
          <w:rFonts w:hint="eastAsia" w:ascii="宋体" w:hAnsi="宋体"/>
          <w:color w:val="auto"/>
          <w:sz w:val="24"/>
          <w:szCs w:val="24"/>
          <w:highlight w:val="none"/>
        </w:rPr>
        <w:t>％（质保金）给乙方（无息）。</w:t>
      </w:r>
    </w:p>
    <w:p>
      <w:pPr>
        <w:spacing w:line="560" w:lineRule="exact"/>
        <w:ind w:firstLine="480" w:firstLineChars="200"/>
        <w:outlineLvl w:val="1"/>
        <w:rPr>
          <w:rFonts w:hAnsi="宋体" w:cs="宋体"/>
          <w:color w:val="auto"/>
          <w:sz w:val="24"/>
          <w:szCs w:val="24"/>
          <w:highlight w:val="none"/>
        </w:rPr>
      </w:pPr>
      <w:r>
        <w:rPr>
          <w:rFonts w:hint="eastAsia" w:ascii="宋体" w:hAnsi="宋体"/>
          <w:color w:val="auto"/>
          <w:sz w:val="24"/>
          <w:szCs w:val="24"/>
          <w:highlight w:val="none"/>
        </w:rPr>
        <w:t>8.2.3本项目工程款的支付单位为：</w:t>
      </w:r>
      <w:r>
        <w:rPr>
          <w:rFonts w:hint="eastAsia" w:hAnsi="宋体"/>
          <w:color w:val="auto"/>
          <w:sz w:val="24"/>
          <w:szCs w:val="24"/>
          <w:highlight w:val="none"/>
          <w:u w:val="single"/>
        </w:rPr>
        <w:t>广州市净水有限公司京溪分公司</w:t>
      </w:r>
      <w:r>
        <w:rPr>
          <w:rFonts w:hint="eastAsia" w:hAnsi="宋体"/>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8.3乙方收款账户：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收款账号：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开户行：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8.4乙方在收款前需提交等额增值税专用发票给甲方。增值税专用发票信息：</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名称：</w:t>
      </w:r>
      <w:r>
        <w:rPr>
          <w:rFonts w:hint="eastAsia" w:ascii="宋体" w:hAnsi="宋体"/>
          <w:color w:val="auto"/>
          <w:sz w:val="24"/>
          <w:szCs w:val="24"/>
          <w:highlight w:val="none"/>
          <w:u w:val="single"/>
        </w:rPr>
        <w:t>广州市净水有限公司</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税号：</w:t>
      </w:r>
      <w:r>
        <w:rPr>
          <w:rFonts w:hint="eastAsia" w:ascii="宋体" w:hAnsi="宋体"/>
          <w:color w:val="auto"/>
          <w:sz w:val="24"/>
          <w:szCs w:val="24"/>
          <w:highlight w:val="none"/>
          <w:u w:val="single"/>
        </w:rPr>
        <w:t>91440101755584729Q</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地址及电话：</w:t>
      </w:r>
      <w:r>
        <w:rPr>
          <w:rFonts w:hint="eastAsia" w:ascii="宋体" w:hAnsi="宋体"/>
          <w:color w:val="auto"/>
          <w:sz w:val="24"/>
          <w:szCs w:val="24"/>
          <w:highlight w:val="none"/>
          <w:u w:val="single"/>
        </w:rPr>
        <w:t>广州市天河区临江大道501号 020-38890283</w:t>
      </w:r>
      <w:r>
        <w:rPr>
          <w:rFonts w:hint="eastAsia" w:ascii="宋体" w:hAnsi="宋体"/>
          <w:color w:val="auto"/>
          <w:sz w:val="24"/>
          <w:szCs w:val="24"/>
          <w:highlight w:val="none"/>
        </w:rPr>
        <w:t>；</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开户行/账号：</w:t>
      </w:r>
      <w:r>
        <w:rPr>
          <w:rFonts w:hint="eastAsia" w:ascii="宋体" w:hAnsi="宋体"/>
          <w:color w:val="auto"/>
          <w:sz w:val="24"/>
          <w:szCs w:val="24"/>
          <w:highlight w:val="none"/>
          <w:u w:val="single"/>
        </w:rPr>
        <w:t>民生银行广州分行0301014140006932</w:t>
      </w:r>
      <w:r>
        <w:rPr>
          <w:rFonts w:hint="eastAsia" w:ascii="宋体" w:hAnsi="宋体"/>
          <w:color w:val="auto"/>
          <w:sz w:val="24"/>
          <w:szCs w:val="24"/>
          <w:highlight w:val="none"/>
        </w:rPr>
        <w:t xml:space="preserve">。                            </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8.5履约担保：</w:t>
      </w:r>
      <w:r>
        <w:rPr>
          <w:rFonts w:ascii="Wingdings" w:hAnsi="Wingdings"/>
          <w:b/>
          <w:color w:val="auto"/>
          <w:sz w:val="24"/>
          <w:szCs w:val="24"/>
          <w:highlight w:val="none"/>
        </w:rPr>
        <w:t>þ</w:t>
      </w:r>
      <w:r>
        <w:rPr>
          <w:rFonts w:hint="eastAsia" w:ascii="宋体" w:hAnsi="宋体"/>
          <w:bCs/>
          <w:color w:val="auto"/>
          <w:sz w:val="24"/>
          <w:szCs w:val="24"/>
          <w:highlight w:val="none"/>
        </w:rPr>
        <w:t xml:space="preserve">无；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有 本合同签订后10日内</w:t>
      </w:r>
      <w:r>
        <w:rPr>
          <w:rFonts w:hint="eastAsia" w:ascii="宋体" w:hAnsi="宋体"/>
          <w:color w:val="auto"/>
          <w:sz w:val="24"/>
          <w:szCs w:val="24"/>
          <w:highlight w:val="none"/>
          <w:u w:val="single"/>
        </w:rPr>
        <w:t>以合同暂定总价的10%作为履约保证金，</w:t>
      </w:r>
      <w:r>
        <w:rPr>
          <w:rFonts w:hint="eastAsia" w:ascii="宋体" w:hAnsi="宋体"/>
          <w:color w:val="auto"/>
          <w:sz w:val="24"/>
          <w:szCs w:val="24"/>
          <w:highlight w:val="none"/>
        </w:rPr>
        <w:t>金额为：</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元（大写人民币：</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），未按时提供的，甲方有权解除合同并要求乙方支付</w:t>
      </w:r>
      <w:r>
        <w:rPr>
          <w:rFonts w:hint="eastAsia" w:ascii="宋体" w:hAnsi="宋体"/>
          <w:color w:val="auto"/>
          <w:sz w:val="24"/>
          <w:szCs w:val="24"/>
          <w:highlight w:val="none"/>
          <w:u w:val="single"/>
        </w:rPr>
        <w:t>合同暂定总价20%</w:t>
      </w:r>
      <w:r>
        <w:rPr>
          <w:rFonts w:hint="eastAsia" w:ascii="宋体" w:hAnsi="宋体"/>
          <w:color w:val="auto"/>
          <w:sz w:val="24"/>
          <w:szCs w:val="24"/>
          <w:highlight w:val="none"/>
        </w:rPr>
        <w:t>作为违约金。</w:t>
      </w:r>
    </w:p>
    <w:p>
      <w:pPr>
        <w:pStyle w:val="21"/>
        <w:spacing w:before="0" w:beforeAutospacing="0" w:after="0" w:afterAutospacing="0" w:line="560" w:lineRule="exact"/>
        <w:ind w:firstLine="480" w:firstLineChars="200"/>
        <w:rPr>
          <w:color w:val="auto"/>
          <w:highlight w:val="none"/>
        </w:rPr>
      </w:pPr>
      <w:r>
        <w:rPr>
          <w:rFonts w:hint="eastAsia"/>
          <w:color w:val="auto"/>
          <w:highlight w:val="none"/>
        </w:rPr>
        <w:t>8.5.1履约担保按以下任一种形式提供：</w:t>
      </w:r>
    </w:p>
    <w:p>
      <w:pPr>
        <w:pStyle w:val="21"/>
        <w:spacing w:before="0" w:beforeAutospacing="0" w:after="0" w:afterAutospacing="0" w:line="56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60" w:lineRule="exact"/>
        <w:ind w:firstLine="480"/>
        <w:rPr>
          <w:color w:val="auto"/>
          <w:highlight w:val="none"/>
        </w:rPr>
      </w:pPr>
      <w:r>
        <w:rPr>
          <w:rFonts w:hint="eastAsia"/>
          <w:color w:val="auto"/>
          <w:highlight w:val="none"/>
        </w:rPr>
        <w:t>（2）现金转账至甲方以下指定账户：</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户名：广州市净水有限公司</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账号：82010154900000342</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开户行：浦发银行广州分行</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8.5.2履约担保的担保期限和返还</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（1）履约银行保函（或现金履约保证金）的担保期限：从提供履约担保（或转账成功）之日起至合同履行完成。</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（2）履约银行保函在合同履行完成后，由乙方提出申请，甲方在28日内返还，不支付利息。</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（3）延长担保期限。乙方以履约银行保函形式提交履约保证金的，在银行保函到期前，乙方应提前</w:t>
      </w:r>
      <w:r>
        <w:rPr>
          <w:rFonts w:hint="eastAsia" w:ascii="宋体" w:hAnsi="宋体"/>
          <w:color w:val="auto"/>
          <w:sz w:val="24"/>
          <w:szCs w:val="24"/>
          <w:highlight w:val="none"/>
          <w:u w:val="single"/>
        </w:rPr>
        <w:t xml:space="preserve"> 7 </w:t>
      </w:r>
      <w:r>
        <w:rPr>
          <w:rFonts w:hint="eastAsia" w:ascii="宋体" w:hAnsi="宋体"/>
          <w:color w:val="auto"/>
          <w:sz w:val="24"/>
          <w:szCs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60" w:lineRule="exact"/>
        <w:ind w:left="199" w:leftChars="95" w:firstLine="360" w:firstLineChars="150"/>
        <w:rPr>
          <w:color w:val="auto"/>
          <w:highlight w:val="none"/>
          <w:u w:val="single"/>
        </w:rPr>
      </w:pPr>
      <w:r>
        <w:rPr>
          <w:rFonts w:hint="eastAsia"/>
          <w:color w:val="auto"/>
          <w:highlight w:val="none"/>
        </w:rPr>
        <w:t>（4）现金履约保证金的退还：合同履行完成后，由乙方提出申请，甲方在</w:t>
      </w:r>
      <w:r>
        <w:rPr>
          <w:rFonts w:hint="eastAsia"/>
          <w:color w:val="auto"/>
          <w:highlight w:val="none"/>
          <w:u w:val="single"/>
        </w:rPr>
        <w:t>28</w:t>
      </w:r>
      <w:r>
        <w:rPr>
          <w:rFonts w:hint="eastAsia"/>
          <w:color w:val="auto"/>
          <w:highlight w:val="none"/>
        </w:rPr>
        <w:t>日内将剩余保证金（无息）返还。</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8.5.3甲方按本合同规定提取履约担保金额后，乙方应在收到甲方通知后</w:t>
      </w:r>
      <w:r>
        <w:rPr>
          <w:rFonts w:hint="eastAsia" w:ascii="宋体" w:hAnsi="宋体"/>
          <w:color w:val="auto"/>
          <w:sz w:val="24"/>
          <w:szCs w:val="24"/>
          <w:highlight w:val="none"/>
          <w:u w:val="single"/>
        </w:rPr>
        <w:t xml:space="preserve"> 7</w:t>
      </w:r>
      <w:r>
        <w:rPr>
          <w:rFonts w:hint="eastAsia" w:ascii="宋体" w:hAnsi="宋体"/>
          <w:color w:val="auto"/>
          <w:sz w:val="24"/>
          <w:szCs w:val="24"/>
          <w:highlight w:val="none"/>
        </w:rPr>
        <w:t>日内补足数额，逾期未补足的，则甲方有权提取履约担保的全部余额并解除合同。</w:t>
      </w:r>
    </w:p>
    <w:p>
      <w:pPr>
        <w:adjustRightInd w:val="0"/>
        <w:snapToGrid w:val="0"/>
        <w:spacing w:line="560" w:lineRule="exact"/>
        <w:ind w:firstLine="480" w:firstLineChars="200"/>
        <w:jc w:val="left"/>
        <w:outlineLvl w:val="1"/>
        <w:rPr>
          <w:rFonts w:ascii="宋体" w:hAnsi="宋体"/>
          <w:bCs/>
          <w:color w:val="auto"/>
          <w:sz w:val="24"/>
          <w:szCs w:val="24"/>
          <w:highlight w:val="none"/>
          <w:u w:val="single"/>
        </w:rPr>
      </w:pPr>
      <w:r>
        <w:rPr>
          <w:rFonts w:hint="eastAsia" w:ascii="宋体" w:hAnsi="宋体"/>
          <w:color w:val="auto"/>
          <w:sz w:val="24"/>
          <w:szCs w:val="24"/>
          <w:highlight w:val="none"/>
        </w:rPr>
        <w:t xml:space="preserve">8.6付款方式： </w:t>
      </w:r>
      <w:r>
        <w:rPr>
          <w:rFonts w:ascii="Segoe UI Symbol" w:hAnsi="Segoe UI Symbol"/>
          <w:b/>
          <w:bCs/>
          <w:color w:val="auto"/>
          <w:sz w:val="24"/>
          <w:szCs w:val="24"/>
          <w:highlight w:val="none"/>
        </w:rPr>
        <w:t>☑</w:t>
      </w:r>
      <w:r>
        <w:rPr>
          <w:rFonts w:hint="eastAsia" w:ascii="宋体" w:hAnsi="宋体"/>
          <w:color w:val="auto"/>
          <w:sz w:val="24"/>
          <w:szCs w:val="24"/>
          <w:highlight w:val="none"/>
        </w:rPr>
        <w:t xml:space="preserve">网银支付；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 xml:space="preserve">支票；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其他：</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u w:val="single"/>
        </w:rPr>
        <w:t xml:space="preserve"> </w:t>
      </w:r>
    </w:p>
    <w:p>
      <w:pPr>
        <w:pStyle w:val="12"/>
        <w:spacing w:line="560" w:lineRule="exact"/>
        <w:ind w:firstLine="482" w:firstLineChars="200"/>
        <w:outlineLvl w:val="1"/>
        <w:rPr>
          <w:rFonts w:hAnsi="宋体"/>
          <w:b/>
          <w:bCs/>
          <w:color w:val="auto"/>
          <w:sz w:val="24"/>
          <w:szCs w:val="24"/>
          <w:highlight w:val="none"/>
        </w:rPr>
      </w:pPr>
      <w:r>
        <w:rPr>
          <w:rFonts w:hint="eastAsia" w:hAnsi="宋体"/>
          <w:b/>
          <w:bCs/>
          <w:color w:val="auto"/>
          <w:sz w:val="24"/>
          <w:szCs w:val="24"/>
          <w:highlight w:val="none"/>
        </w:rPr>
        <w:t>第九条 竣工验收</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9.1乙方应在工程完工后30天内将经甲方审核的完整竣工资料（含竣工图）和竣工验收报告各</w:t>
      </w:r>
      <w:r>
        <w:rPr>
          <w:rFonts w:hint="eastAsia" w:ascii="宋体" w:hAnsi="宋体"/>
          <w:color w:val="auto"/>
          <w:sz w:val="24"/>
          <w:szCs w:val="24"/>
          <w:highlight w:val="none"/>
          <w:u w:val="single"/>
        </w:rPr>
        <w:t>一式肆份</w:t>
      </w:r>
      <w:r>
        <w:rPr>
          <w:rFonts w:hint="eastAsia" w:ascii="宋体" w:hAnsi="宋体"/>
          <w:color w:val="auto"/>
          <w:sz w:val="24"/>
          <w:szCs w:val="24"/>
          <w:highlight w:val="none"/>
        </w:rPr>
        <w:t>交甲方，不按时报送工程竣工资料的，每逾期一天，甲方要求乙方支付</w:t>
      </w:r>
      <w:r>
        <w:rPr>
          <w:rFonts w:hint="eastAsia" w:ascii="宋体" w:hAnsi="宋体"/>
          <w:color w:val="auto"/>
          <w:sz w:val="24"/>
          <w:szCs w:val="24"/>
          <w:highlight w:val="none"/>
          <w:u w:val="single"/>
        </w:rPr>
        <w:t>合同暂定总价</w:t>
      </w:r>
      <w:r>
        <w:rPr>
          <w:rFonts w:hint="eastAsia" w:ascii="宋体" w:hAnsi="宋体"/>
          <w:bCs/>
          <w:color w:val="auto"/>
          <w:sz w:val="24"/>
          <w:szCs w:val="24"/>
          <w:highlight w:val="none"/>
          <w:u w:val="single"/>
        </w:rPr>
        <w:t>万分之五/天</w:t>
      </w:r>
      <w:r>
        <w:rPr>
          <w:rFonts w:hint="eastAsia" w:ascii="宋体" w:hAnsi="宋体"/>
          <w:color w:val="auto"/>
          <w:sz w:val="24"/>
          <w:szCs w:val="24"/>
          <w:highlight w:val="none"/>
        </w:rPr>
        <w:t>，并在支付合同款时抵扣。</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9.3工程竣工验收通过，乙方送交完整的竣工验收资料和竣工验收报告的日期为实际竣工日期。工程按甲方要求修改后通过竣工验收的，实际竣工日期为乙方修改后提请甲方验收的日期。</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9.4竣工档案的整理和移交</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（a）竣工文件资料、竣工图档案（原件）各一式四份；</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（b）与本款（a）项内容相同的电子版档案一式二份；</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olor w:val="auto"/>
          <w:sz w:val="24"/>
          <w:szCs w:val="24"/>
          <w:highlight w:val="none"/>
          <w:u w:val="single"/>
        </w:rPr>
        <w:t>合同暂定总价</w:t>
      </w:r>
      <w:r>
        <w:rPr>
          <w:rFonts w:hint="eastAsia" w:ascii="宋体" w:hAnsi="宋体"/>
          <w:bCs/>
          <w:color w:val="auto"/>
          <w:sz w:val="24"/>
          <w:szCs w:val="24"/>
          <w:highlight w:val="none"/>
          <w:u w:val="single"/>
        </w:rPr>
        <w:t>万分之五/天</w:t>
      </w:r>
      <w:r>
        <w:rPr>
          <w:rFonts w:hint="eastAsia" w:ascii="宋体" w:hAnsi="宋体"/>
          <w:color w:val="auto"/>
          <w:sz w:val="24"/>
          <w:szCs w:val="24"/>
          <w:highlight w:val="none"/>
        </w:rPr>
        <w:t>违约金。</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（3）电子版竣工图的编制，以甲方提供的电子版施工图为基础。乙方在移交竣工档案时，应一并移交甲方提供的电子版施工图。</w:t>
      </w:r>
    </w:p>
    <w:p>
      <w:pPr>
        <w:pStyle w:val="12"/>
        <w:spacing w:line="560" w:lineRule="exact"/>
        <w:ind w:firstLine="480" w:firstLineChars="200"/>
        <w:outlineLvl w:val="1"/>
        <w:rPr>
          <w:rFonts w:hAnsi="宋体"/>
          <w:color w:val="auto"/>
          <w:sz w:val="24"/>
          <w:szCs w:val="24"/>
          <w:highlight w:val="none"/>
        </w:rPr>
      </w:pPr>
      <w:r>
        <w:rPr>
          <w:rFonts w:hint="eastAsia" w:hAnsi="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60" w:lineRule="exact"/>
        <w:ind w:firstLine="480" w:firstLineChars="200"/>
        <w:outlineLvl w:val="1"/>
        <w:rPr>
          <w:rFonts w:hAnsi="宋体"/>
          <w:color w:val="auto"/>
          <w:sz w:val="24"/>
          <w:szCs w:val="24"/>
          <w:highlight w:val="none"/>
        </w:rPr>
      </w:pPr>
      <w:r>
        <w:rPr>
          <w:rFonts w:hint="eastAsia" w:hAnsi="宋体"/>
          <w:color w:val="auto"/>
          <w:sz w:val="24"/>
          <w:szCs w:val="24"/>
          <w:highlight w:val="none"/>
        </w:rPr>
        <w:t>9.5本合同竣工验收结算单位为：</w:t>
      </w:r>
      <w:r>
        <w:rPr>
          <w:rFonts w:hint="eastAsia" w:hAnsi="宋体"/>
          <w:color w:val="auto"/>
          <w:sz w:val="24"/>
          <w:szCs w:val="24"/>
          <w:highlight w:val="none"/>
          <w:u w:val="single"/>
        </w:rPr>
        <w:t>广州市净水有限公司京溪分公司</w:t>
      </w:r>
      <w:r>
        <w:rPr>
          <w:rFonts w:hint="eastAsia" w:hAnsi="宋体"/>
          <w:color w:val="auto"/>
          <w:sz w:val="24"/>
          <w:szCs w:val="24"/>
          <w:highlight w:val="none"/>
        </w:rPr>
        <w:t>。</w:t>
      </w:r>
    </w:p>
    <w:p>
      <w:pPr>
        <w:numPr>
          <w:ilvl w:val="0"/>
          <w:numId w:val="5"/>
        </w:numPr>
        <w:spacing w:before="120" w:after="156" w:afterLines="50" w:line="56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质量保证</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10.1乙方保证所承包的项目质量符合国家相关标准和规范。对产品质量依据原厂商标准及国家标准从严执行。</w:t>
      </w:r>
    </w:p>
    <w:p>
      <w:pPr>
        <w:autoSpaceDE w:val="0"/>
        <w:autoSpaceDN w:val="0"/>
        <w:adjustRightInd w:val="0"/>
        <w:spacing w:line="560" w:lineRule="exact"/>
        <w:ind w:left="420"/>
        <w:rPr>
          <w:rFonts w:ascii="宋体" w:hAnsi="宋体"/>
          <w:color w:val="auto"/>
          <w:kern w:val="0"/>
          <w:sz w:val="24"/>
          <w:szCs w:val="24"/>
          <w:highlight w:val="none"/>
        </w:rPr>
      </w:pPr>
      <w:r>
        <w:rPr>
          <w:rFonts w:hint="eastAsia" w:ascii="宋体" w:hAnsi="宋体"/>
          <w:bCs/>
          <w:color w:val="auto"/>
          <w:sz w:val="24"/>
          <w:szCs w:val="24"/>
          <w:highlight w:val="none"/>
        </w:rPr>
        <w:t>10.2 本项目质量保修期为</w:t>
      </w:r>
      <w:r>
        <w:rPr>
          <w:rFonts w:hint="eastAsia" w:ascii="宋体" w:hAnsi="宋体"/>
          <w:color w:val="auto"/>
          <w:kern w:val="0"/>
          <w:sz w:val="24"/>
          <w:szCs w:val="24"/>
          <w:highlight w:val="none"/>
        </w:rPr>
        <w:t>自验收合格之日起</w:t>
      </w:r>
      <w:r>
        <w:rPr>
          <w:rFonts w:hint="eastAsia" w:ascii="宋体" w:hAnsi="宋体"/>
          <w:color w:val="auto"/>
          <w:kern w:val="0"/>
          <w:sz w:val="24"/>
          <w:szCs w:val="24"/>
          <w:highlight w:val="none"/>
          <w:u w:val="single"/>
        </w:rPr>
        <w:t xml:space="preserve"> 壹 </w:t>
      </w:r>
      <w:r>
        <w:rPr>
          <w:rFonts w:hint="eastAsia" w:ascii="宋体" w:hAnsi="宋体"/>
          <w:color w:val="auto"/>
          <w:kern w:val="0"/>
          <w:sz w:val="24"/>
          <w:szCs w:val="24"/>
          <w:highlight w:val="none"/>
        </w:rPr>
        <w:t>年。</w:t>
      </w:r>
    </w:p>
    <w:p>
      <w:pPr>
        <w:spacing w:line="560" w:lineRule="exact"/>
        <w:ind w:firstLine="420" w:firstLineChars="175"/>
        <w:rPr>
          <w:rFonts w:ascii="宋体" w:hAnsi="宋体"/>
          <w:bCs/>
          <w:color w:val="auto"/>
          <w:sz w:val="24"/>
          <w:szCs w:val="24"/>
          <w:highlight w:val="none"/>
        </w:rPr>
      </w:pPr>
      <w:r>
        <w:rPr>
          <w:rFonts w:hint="eastAsia" w:ascii="宋体" w:hAnsi="宋体"/>
          <w:bCs/>
          <w:color w:val="auto"/>
          <w:sz w:val="24"/>
          <w:szCs w:val="24"/>
          <w:highlight w:val="none"/>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bCs/>
          <w:color w:val="auto"/>
          <w:sz w:val="24"/>
          <w:szCs w:val="24"/>
          <w:highlight w:val="none"/>
          <w:u w:val="single"/>
        </w:rPr>
        <w:t>合同暂定总价的10%/次</w:t>
      </w:r>
      <w:r>
        <w:rPr>
          <w:rFonts w:hint="eastAsia" w:ascii="宋体" w:hAnsi="宋体"/>
          <w:bCs/>
          <w:color w:val="auto"/>
          <w:sz w:val="24"/>
          <w:szCs w:val="24"/>
          <w:highlight w:val="none"/>
        </w:rPr>
        <w:t>作为违约金。</w:t>
      </w:r>
    </w:p>
    <w:p>
      <w:pPr>
        <w:spacing w:before="156" w:beforeLines="50" w:after="156" w:afterLines="50" w:line="560" w:lineRule="exact"/>
        <w:ind w:firstLine="422" w:firstLineChars="175"/>
        <w:jc w:val="left"/>
        <w:rPr>
          <w:rFonts w:hint="eastAsia" w:ascii="宋体" w:hAnsi="宋体"/>
          <w:b/>
          <w:bCs/>
          <w:color w:val="auto"/>
          <w:sz w:val="24"/>
          <w:szCs w:val="24"/>
          <w:highlight w:val="none"/>
        </w:rPr>
      </w:pPr>
    </w:p>
    <w:p>
      <w:pPr>
        <w:spacing w:before="156" w:beforeLines="50" w:after="156" w:afterLines="50" w:line="560" w:lineRule="exact"/>
        <w:ind w:firstLine="422" w:firstLineChars="175"/>
        <w:jc w:val="left"/>
        <w:rPr>
          <w:rFonts w:ascii="宋体" w:hAnsi="宋体"/>
          <w:color w:val="auto"/>
          <w:sz w:val="24"/>
          <w:szCs w:val="24"/>
          <w:highlight w:val="none"/>
        </w:rPr>
      </w:pPr>
      <w:r>
        <w:rPr>
          <w:rFonts w:hint="eastAsia" w:ascii="宋体" w:hAnsi="宋体"/>
          <w:b/>
          <w:bCs/>
          <w:color w:val="auto"/>
          <w:sz w:val="24"/>
          <w:szCs w:val="24"/>
          <w:highlight w:val="none"/>
        </w:rPr>
        <w:t>第十一条 不可抗力</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（1）</w:t>
      </w:r>
      <w:r>
        <w:rPr>
          <w:rFonts w:hint="eastAsia" w:ascii="宋体" w:hAnsi="宋体"/>
          <w:bCs/>
          <w:color w:val="auto"/>
          <w:sz w:val="24"/>
          <w:szCs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（2）</w:t>
      </w:r>
      <w:r>
        <w:rPr>
          <w:rFonts w:hint="eastAsia" w:ascii="宋体" w:hAnsi="宋体"/>
          <w:bCs/>
          <w:color w:val="auto"/>
          <w:sz w:val="24"/>
          <w:szCs w:val="24"/>
          <w:highlight w:val="none"/>
        </w:rPr>
        <w:t>战争行为、入侵、武装冲突或外敌行为、封锁、暴乱、恐怖行为或军事演习；</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60" w:lineRule="exact"/>
        <w:ind w:firstLine="482"/>
        <w:jc w:val="left"/>
        <w:rPr>
          <w:rFonts w:ascii="宋体" w:hAnsi="宋体"/>
          <w:bCs/>
          <w:color w:val="auto"/>
          <w:sz w:val="24"/>
          <w:szCs w:val="24"/>
          <w:highlight w:val="none"/>
        </w:rPr>
      </w:pPr>
      <w:r>
        <w:rPr>
          <w:rFonts w:hint="eastAsia" w:ascii="宋体" w:hAnsi="宋体"/>
          <w:bCs/>
          <w:color w:val="auto"/>
          <w:sz w:val="24"/>
          <w:szCs w:val="24"/>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6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十二条 争议解决</w:t>
      </w:r>
    </w:p>
    <w:p>
      <w:pPr>
        <w:spacing w:before="156" w:beforeLines="50" w:after="156" w:afterLines="50" w:line="560" w:lineRule="exact"/>
        <w:ind w:firstLine="482"/>
        <w:jc w:val="left"/>
        <w:rPr>
          <w:rFonts w:ascii="宋体" w:hAnsi="宋体"/>
          <w:bCs/>
          <w:color w:val="auto"/>
          <w:sz w:val="24"/>
          <w:szCs w:val="24"/>
          <w:highlight w:val="none"/>
        </w:rPr>
      </w:pPr>
      <w:r>
        <w:rPr>
          <w:rFonts w:hint="eastAsia" w:ascii="宋体" w:hAnsi="宋体"/>
          <w:bCs/>
          <w:color w:val="auto"/>
          <w:sz w:val="24"/>
          <w:szCs w:val="24"/>
          <w:highlight w:val="none"/>
        </w:rPr>
        <w:t>12.1 甲乙双方应通过友好协商，解决在执行本合同所发生的或与本合同有关的一切争议。如协商不能解决争议，任何一方均可依法向甲方所在地人民法院提起诉讼。</w:t>
      </w:r>
    </w:p>
    <w:p>
      <w:pPr>
        <w:spacing w:line="560" w:lineRule="exact"/>
        <w:ind w:firstLine="482"/>
        <w:jc w:val="left"/>
        <w:rPr>
          <w:rFonts w:ascii="宋体" w:hAnsi="宋体"/>
          <w:b/>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olor w:val="auto"/>
          <w:sz w:val="24"/>
          <w:szCs w:val="24"/>
          <w:highlight w:val="none"/>
        </w:rPr>
        <w:t>在甲方同意的情况下，除有争端之外的合同其它部分在争端解决前应继续执行。</w:t>
      </w:r>
    </w:p>
    <w:p>
      <w:pPr>
        <w:spacing w:line="56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第十三条 合同生效及其他</w:t>
      </w:r>
    </w:p>
    <w:p>
      <w:pPr>
        <w:spacing w:line="560" w:lineRule="exact"/>
        <w:ind w:firstLine="480"/>
        <w:rPr>
          <w:rFonts w:ascii="宋体" w:hAnsi="宋体"/>
          <w:color w:val="auto"/>
          <w:sz w:val="24"/>
          <w:szCs w:val="24"/>
          <w:highlight w:val="none"/>
        </w:rPr>
      </w:pPr>
      <w:r>
        <w:rPr>
          <w:rFonts w:hint="eastAsia" w:ascii="宋体" w:hAnsi="宋体"/>
          <w:color w:val="auto"/>
          <w:sz w:val="24"/>
          <w:szCs w:val="24"/>
          <w:highlight w:val="none"/>
        </w:rPr>
        <w:t>13.1本合同经双方法定代表人或授权代表签字并加盖双方公章后生效.</w:t>
      </w:r>
    </w:p>
    <w:p>
      <w:pPr>
        <w:spacing w:line="560" w:lineRule="exact"/>
        <w:ind w:firstLine="480"/>
        <w:rPr>
          <w:rFonts w:ascii="宋体" w:hAnsi="宋体"/>
          <w:color w:val="auto"/>
          <w:sz w:val="24"/>
          <w:szCs w:val="24"/>
          <w:highlight w:val="none"/>
        </w:rPr>
      </w:pPr>
      <w:r>
        <w:rPr>
          <w:rFonts w:hint="eastAsia" w:ascii="宋体" w:hAnsi="宋体"/>
          <w:color w:val="auto"/>
          <w:sz w:val="24"/>
          <w:szCs w:val="24"/>
          <w:highlight w:val="none"/>
        </w:rPr>
        <w:t>13.2本合同正文一式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份，其中：甲方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份，乙方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p>
    <w:p>
      <w:pPr>
        <w:spacing w:line="56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13.3补充条款：</w:t>
      </w:r>
      <w:r>
        <w:rPr>
          <w:rFonts w:hint="eastAsia" w:ascii="宋体" w:hAnsi="宋体"/>
          <w:color w:val="auto"/>
          <w:sz w:val="24"/>
          <w:szCs w:val="24"/>
          <w:highlight w:val="none"/>
          <w:u w:val="single"/>
        </w:rPr>
        <w:t xml:space="preserve">     </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附件：1.中标通知书</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2.廉洁协议</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3.营运场所施工安全协议书</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4.防疫管理协议书</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 xml:space="preserve">      5.工程量清单报价</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 xml:space="preserve">      6.项目投入人员架构表/应急救援物资清单</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7.不诚信行为的情形及相应被暂停参与投标活动的处理标准</w:t>
      </w:r>
    </w:p>
    <w:p>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8.营运项目承包单位日常履约考评参照表（安全）</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9.营运项目承包单位综合履约考评表（安全）</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甲方：广州市净水有限公司（盖章）     乙方：   （盖章）</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法定代表人或                         法定代表人或</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授权代理人：                         授权代理人：</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地址：                               地址：</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经办人：                             经办人：</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联系电话：                           联系电话：</w:t>
      </w:r>
    </w:p>
    <w:p>
      <w:pPr>
        <w:spacing w:line="560" w:lineRule="exact"/>
        <w:ind w:left="6360" w:hanging="6360" w:hangingChars="2650"/>
        <w:rPr>
          <w:rFonts w:ascii="宋体" w:hAnsi="宋体"/>
          <w:color w:val="auto"/>
          <w:sz w:val="24"/>
          <w:szCs w:val="24"/>
          <w:highlight w:val="none"/>
        </w:rPr>
      </w:pPr>
      <w:r>
        <w:rPr>
          <w:rFonts w:hint="eastAsia" w:ascii="宋体" w:hAnsi="宋体"/>
          <w:color w:val="auto"/>
          <w:sz w:val="24"/>
          <w:szCs w:val="24"/>
          <w:highlight w:val="none"/>
        </w:rPr>
        <w:t>传真：                               传真：</w:t>
      </w:r>
    </w:p>
    <w:p>
      <w:pPr>
        <w:spacing w:line="560" w:lineRule="exact"/>
        <w:ind w:left="6360" w:hanging="6360" w:hangingChars="2650"/>
        <w:rPr>
          <w:rFonts w:hint="eastAsia" w:ascii="宋体" w:hAnsi="宋体"/>
          <w:color w:val="auto"/>
          <w:sz w:val="24"/>
          <w:szCs w:val="24"/>
          <w:highlight w:val="none"/>
        </w:rPr>
      </w:pPr>
      <w:r>
        <w:rPr>
          <w:rFonts w:hint="eastAsia" w:ascii="宋体" w:hAnsi="宋体"/>
          <w:color w:val="auto"/>
          <w:sz w:val="24"/>
          <w:szCs w:val="24"/>
          <w:highlight w:val="none"/>
        </w:rPr>
        <w:t xml:space="preserve">签署日期：    年    月    日         签署日期：    年    月    日  </w:t>
      </w:r>
    </w:p>
    <w:p>
      <w:pPr>
        <w:spacing w:line="560" w:lineRule="exact"/>
        <w:ind w:right="-624" w:rightChars="-297"/>
        <w:rPr>
          <w:rFonts w:hint="eastAsia" w:ascii="Times New Roman" w:hAnsi="Times New Roman"/>
          <w:b/>
          <w:bCs/>
          <w:color w:val="auto"/>
          <w:szCs w:val="21"/>
          <w:highlight w:val="none"/>
        </w:rPr>
      </w:pPr>
      <w:r>
        <w:rPr>
          <w:rFonts w:hint="eastAsia" w:ascii="宋体" w:hAnsi="宋体"/>
          <w:b/>
          <w:bCs/>
          <w:color w:val="auto"/>
          <w:highlight w:val="none"/>
        </w:rPr>
        <w:t>以下空白。</w:t>
      </w:r>
    </w:p>
    <w:p>
      <w:pPr>
        <w:spacing w:line="360" w:lineRule="auto"/>
        <w:rPr>
          <w:rFonts w:hint="eastAsia" w:ascii="宋体" w:hAnsi="宋体"/>
          <w:b/>
          <w:bCs/>
          <w:color w:val="auto"/>
          <w:highlight w:val="none"/>
        </w:rPr>
      </w:pPr>
    </w:p>
    <w:p>
      <w:pPr>
        <w:spacing w:line="360" w:lineRule="auto"/>
        <w:rPr>
          <w:rFonts w:hint="eastAsia" w:ascii="宋体" w:hAnsi="宋体"/>
          <w:b/>
          <w:bCs/>
          <w:color w:val="auto"/>
          <w:highlight w:val="none"/>
        </w:rPr>
      </w:pPr>
    </w:p>
    <w:p>
      <w:pPr>
        <w:spacing w:line="360" w:lineRule="auto"/>
        <w:rPr>
          <w:rFonts w:ascii="宋体" w:hAnsi="宋体" w:cs="宋体"/>
          <w:b/>
          <w:bCs/>
          <w:color w:val="auto"/>
          <w:highlight w:val="none"/>
        </w:rPr>
      </w:pPr>
      <w:r>
        <w:rPr>
          <w:rFonts w:hint="eastAsia" w:ascii="宋体" w:hAnsi="宋体"/>
          <w:b/>
          <w:bCs/>
          <w:color w:val="auto"/>
          <w:highlight w:val="none"/>
        </w:rPr>
        <w:t>附件1  中标通知书</w:t>
      </w:r>
    </w:p>
    <w:p>
      <w:pPr>
        <w:spacing w:line="360" w:lineRule="auto"/>
        <w:rPr>
          <w:rFonts w:ascii="宋体" w:hAnsi="宋体" w:cs="Times New Roman"/>
          <w:b/>
          <w:bCs/>
          <w:color w:val="auto"/>
          <w:highlight w:val="none"/>
        </w:rPr>
      </w:pPr>
      <w:r>
        <w:rPr>
          <w:rFonts w:hint="eastAsia" w:ascii="宋体" w:hAnsi="宋体"/>
          <w:b/>
          <w:bCs/>
          <w:color w:val="auto"/>
          <w:highlight w:val="none"/>
        </w:rPr>
        <w:t>附件2：廉洁协议</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 </w:t>
      </w:r>
    </w:p>
    <w:p>
      <w:pPr>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rPr>
        <w:t>(以下称甲方)与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(以下称乙方)，特此订立本协议共同遵照执行。</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第一条甲乙双方的权利和义务</w:t>
      </w:r>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（二）严格执行</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u w:val="single"/>
          <w:lang w:eastAsia="zh-CN"/>
        </w:rPr>
        <w:t>京溪分公司硫酸铝加药池改造工程（第二次）</w:t>
      </w:r>
      <w:r>
        <w:rPr>
          <w:rFonts w:ascii="宋体" w:hAnsi="宋体"/>
          <w:color w:val="auto"/>
          <w:sz w:val="24"/>
          <w:szCs w:val="24"/>
          <w:highlight w:val="none"/>
          <w:u w:val="single"/>
        </w:rPr>
        <w:t xml:space="preserve"> </w:t>
      </w:r>
      <w:r>
        <w:rPr>
          <w:rFonts w:hint="eastAsia" w:ascii="宋体" w:hAnsi="宋体"/>
          <w:color w:val="auto"/>
          <w:sz w:val="24"/>
          <w:szCs w:val="24"/>
          <w:highlight w:val="none"/>
        </w:rPr>
        <w:t>合同（以下简称：主合同），自觉履行合同约定的相关义务。</w:t>
      </w:r>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（三）在业务活动中坚持公开、公正、诚信、透明的原则，不得损害国家、集体利益。</w:t>
      </w:r>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第二条甲方的义务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szCs w:val="24"/>
          <w:highlight w:val="none"/>
        </w:rPr>
      </w:pPr>
      <w:r>
        <w:rPr>
          <w:rFonts w:hint="eastAsia" w:ascii="宋体" w:hAnsi="宋体"/>
          <w:color w:val="auto"/>
          <w:sz w:val="24"/>
          <w:szCs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szCs w:val="24"/>
          <w:highlight w:val="none"/>
        </w:rPr>
      </w:pPr>
      <w:r>
        <w:rPr>
          <w:rFonts w:hint="eastAsia" w:ascii="宋体" w:hAnsi="宋体"/>
          <w:color w:val="auto"/>
          <w:sz w:val="24"/>
          <w:szCs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szCs w:val="24"/>
          <w:highlight w:val="none"/>
        </w:rPr>
      </w:pPr>
      <w:r>
        <w:rPr>
          <w:rFonts w:hint="eastAsia" w:ascii="宋体" w:hAnsi="宋体"/>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szCs w:val="24"/>
          <w:highlight w:val="none"/>
        </w:rPr>
      </w:pPr>
      <w:r>
        <w:rPr>
          <w:rFonts w:hint="eastAsia" w:ascii="宋体" w:hAnsi="宋体"/>
          <w:color w:val="auto"/>
          <w:sz w:val="24"/>
          <w:szCs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szCs w:val="24"/>
          <w:highlight w:val="none"/>
        </w:rPr>
      </w:pPr>
      <w:r>
        <w:rPr>
          <w:rFonts w:hint="eastAsia" w:ascii="宋体" w:hAnsi="宋体"/>
          <w:color w:val="auto"/>
          <w:sz w:val="24"/>
          <w:szCs w:val="24"/>
          <w:highlight w:val="none"/>
        </w:rPr>
        <w:t>（七）甲方工作人员不得接受乙方给予或赠送的干股或红利。</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第三条乙方的义务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szCs w:val="24"/>
          <w:highlight w:val="none"/>
        </w:rPr>
      </w:pPr>
      <w:r>
        <w:rPr>
          <w:rFonts w:hint="eastAsia" w:ascii="宋体" w:hAnsi="宋体"/>
          <w:color w:val="auto"/>
          <w:sz w:val="24"/>
          <w:szCs w:val="24"/>
          <w:highlight w:val="none"/>
        </w:rPr>
        <w:t>（三）乙方不得以任何理由安排甲方工作人员参加可能影响相关业务公开、公正、公平性的宴请及娱乐活动。</w:t>
      </w:r>
    </w:p>
    <w:p>
      <w:pPr>
        <w:pStyle w:val="15"/>
        <w:ind w:left="0" w:leftChars="0" w:firstLine="480" w:firstLineChars="200"/>
        <w:rPr>
          <w:rFonts w:ascii="Times New Roman" w:hAnsi="Times New Roman"/>
          <w:color w:val="auto"/>
          <w:sz w:val="24"/>
          <w:szCs w:val="24"/>
          <w:highlight w:val="none"/>
        </w:rPr>
      </w:pPr>
      <w:r>
        <w:rPr>
          <w:rFonts w:hint="eastAsia" w:ascii="宋体" w:hAnsi="宋体"/>
          <w:color w:val="auto"/>
          <w:sz w:val="24"/>
          <w:szCs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（七）乙方不得向甲方工作人员提供干股或红利。</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第四条违约责任</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甲方举报投诉联系部门：广州市净水有限公司</w:t>
      </w:r>
      <w:r>
        <w:rPr>
          <w:rFonts w:hint="eastAsia" w:ascii="宋体" w:hAnsi="宋体"/>
          <w:color w:val="auto"/>
          <w:sz w:val="24"/>
          <w:szCs w:val="24"/>
          <w:highlight w:val="none"/>
          <w:u w:val="single"/>
        </w:rPr>
        <w:t>纪检室</w:t>
      </w:r>
      <w:r>
        <w:rPr>
          <w:rFonts w:hint="eastAsia" w:ascii="宋体" w:hAnsi="宋体"/>
          <w:color w:val="auto"/>
          <w:sz w:val="24"/>
          <w:szCs w:val="24"/>
          <w:highlight w:val="none"/>
        </w:rPr>
        <w:t>，联系电话：</w:t>
      </w:r>
      <w:r>
        <w:rPr>
          <w:rFonts w:hint="eastAsia" w:ascii="宋体" w:hAnsi="宋体"/>
          <w:color w:val="auto"/>
          <w:sz w:val="24"/>
          <w:szCs w:val="24"/>
          <w:highlight w:val="none"/>
          <w:u w:val="single"/>
        </w:rPr>
        <w:t xml:space="preserve"> 020-38890265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1、扣除乙方全部履约保证金；</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2、解除主合同；</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3、追究乙方合同其他违约责任；</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乙方无条件接受甲方处理意见并承担给甲方造成的损失，全额返还用不正当手段获取的非法所得，并承担相应的法律责任。</w:t>
      </w:r>
    </w:p>
    <w:p>
      <w:pPr>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ind w:firstLine="482" w:firstLineChars="200"/>
        <w:rPr>
          <w:rFonts w:ascii="宋体" w:hAnsi="宋体"/>
          <w:color w:val="auto"/>
          <w:kern w:val="0"/>
          <w:sz w:val="24"/>
          <w:szCs w:val="24"/>
          <w:highlight w:val="none"/>
        </w:rPr>
      </w:pPr>
      <w:r>
        <w:rPr>
          <w:rFonts w:hint="eastAsia" w:ascii="宋体" w:hAnsi="宋体"/>
          <w:b/>
          <w:bCs/>
          <w:color w:val="auto"/>
          <w:sz w:val="24"/>
          <w:szCs w:val="24"/>
          <w:highlight w:val="none"/>
        </w:rPr>
        <w:t xml:space="preserve">第五条 </w:t>
      </w:r>
      <w:r>
        <w:rPr>
          <w:rFonts w:hint="eastAsia" w:ascii="宋体" w:hAnsi="宋体"/>
          <w:color w:val="auto"/>
          <w:kern w:val="0"/>
          <w:sz w:val="24"/>
          <w:szCs w:val="24"/>
          <w:highlight w:val="none"/>
        </w:rPr>
        <w:t xml:space="preserve">本协议执行情况，接受有管辖权的纪检、监察部门的监督，双方应予以配合检查调查。 </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 xml:space="preserve"> </w:t>
      </w:r>
    </w:p>
    <w:p>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第六条</w:t>
      </w:r>
      <w:r>
        <w:rPr>
          <w:rFonts w:hint="eastAsia" w:ascii="宋体" w:hAnsi="宋体"/>
          <w:color w:val="auto"/>
          <w:sz w:val="24"/>
          <w:szCs w:val="24"/>
          <w:highlight w:val="none"/>
        </w:rPr>
        <w:t>本协议作为</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u w:val="single"/>
          <w:lang w:eastAsia="zh-CN"/>
        </w:rPr>
        <w:t>京溪分公司硫酸铝加药池改造工程（第二次）</w:t>
      </w:r>
      <w:r>
        <w:rPr>
          <w:rFonts w:hint="eastAsia" w:ascii="宋体" w:hAnsi="宋体"/>
          <w:color w:val="auto"/>
          <w:sz w:val="24"/>
          <w:szCs w:val="24"/>
          <w:highlight w:val="none"/>
          <w:u w:val="single"/>
        </w:rPr>
        <w:t>（穗净水合【    】    号）</w:t>
      </w:r>
      <w:r>
        <w:rPr>
          <w:rFonts w:hint="eastAsia" w:ascii="宋体" w:hAnsi="宋体"/>
          <w:color w:val="auto"/>
          <w:sz w:val="24"/>
          <w:szCs w:val="24"/>
          <w:highlight w:val="none"/>
        </w:rPr>
        <w:t>合同的附件，并具有同等的法律效力，本协议自双方签字盖章之日起生效，与主合同同时终止。</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br w:type="textWrapping"/>
      </w:r>
      <w:r>
        <w:rPr>
          <w:rFonts w:hint="eastAsia" w:ascii="宋体" w:hAnsi="宋体"/>
          <w:color w:val="auto"/>
          <w:sz w:val="24"/>
          <w:szCs w:val="24"/>
          <w:highlight w:val="none"/>
        </w:rPr>
        <w:t>甲方（盖章）：                     乙方（盖章）：</w:t>
      </w:r>
    </w:p>
    <w:p>
      <w:pPr>
        <w:pStyle w:val="53"/>
        <w:spacing w:line="360" w:lineRule="auto"/>
        <w:ind w:left="7200" w:firstLine="0" w:firstLineChars="0"/>
        <w:jc w:val="left"/>
        <w:rPr>
          <w:rFonts w:ascii="宋体" w:hAnsi="宋体"/>
          <w:color w:val="auto"/>
          <w:sz w:val="24"/>
          <w:szCs w:val="24"/>
          <w:highlight w:val="none"/>
        </w:rPr>
      </w:pPr>
      <w:r>
        <w:rPr>
          <w:rFonts w:hint="eastAsia" w:ascii="宋体" w:hAnsi="宋体"/>
          <w:color w:val="auto"/>
          <w:sz w:val="24"/>
          <w:szCs w:val="24"/>
          <w:highlight w:val="none"/>
        </w:rPr>
        <w:t xml:space="preserve"> </w:t>
      </w:r>
    </w:p>
    <w:p>
      <w:pPr>
        <w:spacing w:line="360" w:lineRule="auto"/>
        <w:ind w:left="7200" w:hanging="7200" w:hangingChars="3000"/>
        <w:rPr>
          <w:rFonts w:ascii="宋体" w:hAnsi="宋体"/>
          <w:color w:val="auto"/>
          <w:sz w:val="24"/>
          <w:szCs w:val="24"/>
          <w:highlight w:val="none"/>
        </w:rPr>
      </w:pPr>
      <w:r>
        <w:rPr>
          <w:rFonts w:hint="eastAsia" w:ascii="宋体" w:hAnsi="宋体"/>
          <w:color w:val="auto"/>
          <w:sz w:val="24"/>
          <w:szCs w:val="24"/>
          <w:highlight w:val="none"/>
        </w:rPr>
        <w:t>签约代表：                         签约代表：</w:t>
      </w:r>
    </w:p>
    <w:p>
      <w:pPr>
        <w:spacing w:line="360" w:lineRule="auto"/>
        <w:rPr>
          <w:rFonts w:ascii="宋体" w:hAnsi="宋体"/>
          <w:color w:val="auto"/>
          <w:szCs w:val="21"/>
          <w:highlight w:val="none"/>
        </w:rPr>
      </w:pPr>
      <w:r>
        <w:rPr>
          <w:rFonts w:hint="eastAsia" w:ascii="宋体" w:hAnsi="宋体"/>
          <w:color w:val="auto"/>
          <w:sz w:val="24"/>
          <w:szCs w:val="24"/>
          <w:highlight w:val="none"/>
        </w:rPr>
        <w:t>日期:    年  月  日</w:t>
      </w:r>
      <w:r>
        <w:rPr>
          <w:rFonts w:hint="eastAsia" w:ascii="宋体" w:hAnsi="宋体"/>
          <w:color w:val="auto"/>
          <w:sz w:val="24"/>
          <w:szCs w:val="24"/>
          <w:highlight w:val="none"/>
        </w:rPr>
        <w:tab/>
      </w:r>
      <w:r>
        <w:rPr>
          <w:rFonts w:ascii="宋体" w:hAnsi="宋体"/>
          <w:color w:val="auto"/>
          <w:sz w:val="24"/>
          <w:szCs w:val="24"/>
          <w:highlight w:val="none"/>
        </w:rPr>
        <w:t xml:space="preserve">              </w:t>
      </w:r>
      <w:r>
        <w:rPr>
          <w:rFonts w:hint="eastAsia" w:ascii="宋体" w:hAnsi="宋体"/>
          <w:color w:val="auto"/>
          <w:sz w:val="24"/>
          <w:szCs w:val="24"/>
          <w:highlight w:val="none"/>
        </w:rPr>
        <w:t>日期：  年  月  日</w:t>
      </w:r>
    </w:p>
    <w:p>
      <w:pPr>
        <w:spacing w:line="360" w:lineRule="auto"/>
        <w:rPr>
          <w:rFonts w:ascii="宋体" w:hAnsi="宋体"/>
          <w:b/>
          <w:color w:val="auto"/>
          <w:sz w:val="24"/>
          <w:szCs w:val="24"/>
          <w:highlight w:val="none"/>
        </w:rPr>
      </w:pPr>
    </w:p>
    <w:p>
      <w:pPr>
        <w:pStyle w:val="52"/>
        <w:rPr>
          <w:rFonts w:hAnsi="宋体"/>
          <w:b/>
          <w:color w:val="auto"/>
          <w:highlight w:val="none"/>
        </w:rPr>
      </w:pPr>
      <w:r>
        <w:rPr>
          <w:rFonts w:hint="eastAsia" w:hAnsi="宋体"/>
          <w:b/>
          <w:color w:val="auto"/>
          <w:highlight w:val="none"/>
        </w:rPr>
        <w:t xml:space="preserve"> </w:t>
      </w: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ascii="宋体" w:hAnsi="宋体"/>
          <w:b/>
          <w:color w:val="auto"/>
          <w:highlight w:val="none"/>
        </w:rPr>
      </w:pPr>
      <w:r>
        <w:rPr>
          <w:rFonts w:hint="eastAsia" w:ascii="宋体" w:hAnsi="宋体"/>
          <w:b/>
          <w:color w:val="auto"/>
          <w:highlight w:val="none"/>
        </w:rPr>
        <w:t>附件3：营运场所施工安全协议书</w:t>
      </w:r>
    </w:p>
    <w:p>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spacing w:line="560" w:lineRule="exact"/>
        <w:jc w:val="center"/>
        <w:rPr>
          <w:rFonts w:ascii="黑体" w:hAnsi="Batang" w:eastAsia="黑体" w:cs="Batang"/>
          <w:bCs/>
          <w:color w:val="auto"/>
          <w:kern w:val="0"/>
          <w:sz w:val="44"/>
          <w:szCs w:val="44"/>
          <w:highlight w:val="none"/>
        </w:rPr>
      </w:pPr>
      <w:r>
        <w:rPr>
          <w:rFonts w:hint="eastAsia" w:ascii="黑体" w:hAnsi="黑体"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r>
        <w:rPr>
          <w:rFonts w:hint="eastAsia" w:ascii="仿宋_GB2312" w:hAnsi="宋体" w:eastAsia="仿宋_GB2312"/>
          <w:color w:val="auto"/>
          <w:sz w:val="24"/>
          <w:szCs w:val="24"/>
          <w:highlight w:val="none"/>
        </w:rPr>
        <w:t xml:space="preserve"> </w:t>
      </w:r>
    </w:p>
    <w:p>
      <w:pPr>
        <w:spacing w:line="560" w:lineRule="exact"/>
        <w:rPr>
          <w:rFonts w:ascii="宋体" w:hAnsi="宋体" w:eastAsia="宋体" w:cs="Arial"/>
          <w:color w:val="auto"/>
          <w:kern w:val="0"/>
          <w:sz w:val="24"/>
          <w:szCs w:val="24"/>
          <w:highlight w:val="none"/>
        </w:rPr>
      </w:pPr>
      <w:r>
        <w:rPr>
          <w:rFonts w:hint="eastAsia" w:ascii="宋体" w:hAnsi="宋体" w:cs="Arial"/>
          <w:color w:val="auto"/>
          <w:kern w:val="0"/>
          <w:sz w:val="24"/>
          <w:szCs w:val="24"/>
          <w:highlight w:val="none"/>
        </w:rPr>
        <w:t>甲方：</w:t>
      </w:r>
      <w:r>
        <w:rPr>
          <w:rFonts w:hint="eastAsia" w:ascii="宋体" w:hAnsi="宋体"/>
          <w:color w:val="auto"/>
          <w:sz w:val="24"/>
          <w:szCs w:val="24"/>
          <w:highlight w:val="none"/>
        </w:rPr>
        <w:t>广州市净水有限公司</w:t>
      </w:r>
    </w:p>
    <w:p>
      <w:pPr>
        <w:spacing w:line="560" w:lineRule="exact"/>
        <w:rPr>
          <w:rFonts w:ascii="宋体" w:hAnsi="宋体" w:cs="Arial"/>
          <w:color w:val="auto"/>
          <w:kern w:val="0"/>
          <w:sz w:val="24"/>
          <w:szCs w:val="24"/>
          <w:highlight w:val="none"/>
        </w:rPr>
      </w:pPr>
      <w:r>
        <w:rPr>
          <w:rFonts w:hint="eastAsia" w:ascii="宋体" w:hAnsi="宋体" w:cs="Arial"/>
          <w:color w:val="auto"/>
          <w:kern w:val="0"/>
          <w:sz w:val="24"/>
          <w:szCs w:val="24"/>
          <w:highlight w:val="none"/>
        </w:rPr>
        <w:t xml:space="preserve">乙方： </w:t>
      </w:r>
    </w:p>
    <w:p>
      <w:pPr>
        <w:spacing w:line="560" w:lineRule="exact"/>
        <w:jc w:val="left"/>
        <w:rPr>
          <w:rStyle w:val="57"/>
          <w:rFonts w:ascii="宋体" w:hAnsi="宋体"/>
          <w:b w:val="0"/>
          <w:color w:val="auto"/>
          <w:szCs w:val="21"/>
          <w:highlight w:val="none"/>
          <w:u w:val="single"/>
        </w:rPr>
      </w:pPr>
      <w:r>
        <w:rPr>
          <w:rStyle w:val="57"/>
          <w:rFonts w:hint="eastAsia" w:ascii="宋体" w:hAnsi="宋体"/>
          <w:b w:val="0"/>
          <w:color w:val="auto"/>
          <w:highlight w:val="none"/>
          <w:u w:val="single"/>
        </w:rPr>
        <w:t xml:space="preserve"> </w:t>
      </w:r>
    </w:p>
    <w:p>
      <w:pPr>
        <w:adjustRightInd w:val="0"/>
        <w:snapToGrid w:val="0"/>
        <w:spacing w:line="560" w:lineRule="exact"/>
        <w:ind w:firstLine="480" w:firstLineChars="200"/>
        <w:jc w:val="left"/>
        <w:rPr>
          <w:color w:val="auto"/>
          <w:sz w:val="24"/>
          <w:szCs w:val="24"/>
          <w:highlight w:val="none"/>
        </w:rPr>
      </w:pPr>
      <w:r>
        <w:rPr>
          <w:rFonts w:hint="eastAsia" w:ascii="宋体" w:hAnsi="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一、本协议与主合同的关系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本协议作为</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u w:val="single"/>
          <w:lang w:eastAsia="zh-CN"/>
        </w:rPr>
        <w:t>京溪分公司硫酸铝加药池改造工程（第二次）</w:t>
      </w:r>
      <w:r>
        <w:rPr>
          <w:rFonts w:hint="eastAsia" w:ascii="宋体" w:hAnsi="宋体"/>
          <w:color w:val="auto"/>
          <w:sz w:val="24"/>
          <w:szCs w:val="24"/>
          <w:highlight w:val="none"/>
        </w:rPr>
        <w:t>的组成部分，与主合同具有同等法律效力。</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 xml:space="preserve"> 二、甲方权责</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（三）要求乙方遵守的甲方安全管理要求。</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1.按主合同相关条款进行经济扣罚；</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3.限制投保，或经其他单位承包后以分别方参与项目实施；</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4.向上级进行反映，包括但不限于广东省市政行业协会、广州市市政公路协会等。</w:t>
      </w:r>
    </w:p>
    <w:p>
      <w:pPr>
        <w:spacing w:line="560" w:lineRule="exact"/>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cs="Times New Roman"/>
          <w:b/>
          <w:color w:val="auto"/>
          <w:sz w:val="24"/>
          <w:szCs w:val="24"/>
          <w:highlight w:val="none"/>
        </w:rPr>
      </w:pPr>
      <w:r>
        <w:rPr>
          <w:rFonts w:hint="eastAsia" w:ascii="宋体" w:hAnsi="宋体"/>
          <w:b/>
          <w:color w:val="auto"/>
          <w:sz w:val="24"/>
          <w:szCs w:val="24"/>
          <w:highlight w:val="none"/>
        </w:rPr>
        <w:t>三、乙方权责</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（三）乙方应在合同签订后</w:t>
      </w:r>
      <w:r>
        <w:rPr>
          <w:rFonts w:hint="eastAsia" w:ascii="宋体" w:hAnsi="宋体"/>
          <w:color w:val="auto"/>
          <w:sz w:val="24"/>
          <w:szCs w:val="24"/>
          <w:highlight w:val="none"/>
          <w:u w:val="single"/>
        </w:rPr>
        <w:t xml:space="preserve"> 15 </w:t>
      </w:r>
      <w:r>
        <w:rPr>
          <w:rFonts w:hint="eastAsia" w:ascii="宋体" w:hAnsi="宋体"/>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四、事故责任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5"/>
        <w:spacing w:line="560" w:lineRule="exact"/>
        <w:ind w:left="-2" w:firstLine="482" w:firstLineChars="200"/>
        <w:rPr>
          <w:rFonts w:ascii="宋体" w:hAnsi="宋体"/>
          <w:color w:val="auto"/>
          <w:sz w:val="24"/>
          <w:szCs w:val="24"/>
          <w:highlight w:val="none"/>
        </w:rPr>
      </w:pPr>
      <w:r>
        <w:rPr>
          <w:rFonts w:hint="eastAsia" w:ascii="宋体" w:hAnsi="宋体"/>
          <w:b/>
          <w:color w:val="auto"/>
          <w:sz w:val="24"/>
          <w:szCs w:val="24"/>
          <w:highlight w:val="none"/>
        </w:rPr>
        <w:t>五、补充条款：</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六、附则</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4473" w:type="dxa"/>
            <w:tcBorders>
              <w:top w:val="nil"/>
              <w:left w:val="nil"/>
              <w:bottom w:val="nil"/>
              <w:right w:val="nil"/>
            </w:tcBorders>
          </w:tcPr>
          <w:p>
            <w:pPr>
              <w:adjustRightInd w:val="0"/>
              <w:snapToGrid w:val="0"/>
              <w:spacing w:line="560" w:lineRule="exact"/>
              <w:rPr>
                <w:rFonts w:ascii="宋体" w:hAnsi="宋体" w:eastAsia="宋体"/>
                <w:color w:val="auto"/>
                <w:sz w:val="24"/>
                <w:szCs w:val="24"/>
                <w:highlight w:val="none"/>
              </w:rPr>
            </w:pPr>
            <w:r>
              <w:rPr>
                <w:rFonts w:hint="eastAsia" w:ascii="宋体" w:hAnsi="宋体"/>
                <w:color w:val="auto"/>
                <w:sz w:val="24"/>
                <w:szCs w:val="24"/>
                <w:highlight w:val="none"/>
              </w:rPr>
              <w:t>甲方：</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签约代表：</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联系电话：</w:t>
            </w:r>
          </w:p>
          <w:p>
            <w:pPr>
              <w:adjustRightInd w:val="0"/>
              <w:snapToGrid w:val="0"/>
              <w:spacing w:line="560" w:lineRule="exact"/>
              <w:ind w:firstLine="240" w:firstLineChars="100"/>
              <w:jc w:val="right"/>
              <w:rPr>
                <w:rFonts w:ascii="宋体" w:hAnsi="宋体"/>
                <w:color w:val="auto"/>
                <w:sz w:val="24"/>
                <w:szCs w:val="24"/>
                <w:highlight w:val="none"/>
              </w:rPr>
            </w:pPr>
            <w:r>
              <w:rPr>
                <w:rFonts w:hint="eastAsia" w:ascii="宋体" w:hAnsi="宋体"/>
                <w:color w:val="auto"/>
                <w:sz w:val="24"/>
                <w:szCs w:val="24"/>
                <w:highlight w:val="none"/>
              </w:rPr>
              <w:t>年    月    日</w:t>
            </w:r>
          </w:p>
        </w:tc>
        <w:tc>
          <w:tcPr>
            <w:tcW w:w="4474" w:type="dxa"/>
            <w:tcBorders>
              <w:top w:val="nil"/>
              <w:left w:val="nil"/>
              <w:bottom w:val="nil"/>
              <w:right w:val="nil"/>
            </w:tcBorders>
          </w:tcPr>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乙方：</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签约代表：</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联系电话：</w:t>
            </w:r>
          </w:p>
          <w:p>
            <w:pPr>
              <w:adjustRightInd w:val="0"/>
              <w:snapToGrid w:val="0"/>
              <w:spacing w:line="560" w:lineRule="exact"/>
              <w:jc w:val="right"/>
              <w:rPr>
                <w:rFonts w:ascii="宋体" w:hAnsi="宋体"/>
                <w:color w:val="auto"/>
                <w:sz w:val="24"/>
                <w:szCs w:val="24"/>
                <w:highlight w:val="none"/>
              </w:rPr>
            </w:pPr>
            <w:r>
              <w:rPr>
                <w:rFonts w:hint="eastAsia" w:ascii="宋体" w:hAnsi="宋体"/>
                <w:color w:val="auto"/>
                <w:sz w:val="24"/>
                <w:szCs w:val="24"/>
                <w:highlight w:val="none"/>
              </w:rPr>
              <w:t>年    月    日</w:t>
            </w:r>
          </w:p>
        </w:tc>
      </w:tr>
    </w:tbl>
    <w:p>
      <w:pPr>
        <w:spacing w:line="360" w:lineRule="auto"/>
        <w:rPr>
          <w:rFonts w:ascii="宋体" w:hAnsi="宋体" w:cs="Times New Roman"/>
          <w:b/>
          <w:color w:val="auto"/>
          <w:szCs w:val="21"/>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ascii="宋体" w:hAnsi="宋体"/>
          <w:b/>
          <w:color w:val="auto"/>
          <w:highlight w:val="none"/>
        </w:rPr>
      </w:pPr>
      <w:r>
        <w:rPr>
          <w:rFonts w:hint="eastAsia" w:ascii="宋体" w:hAnsi="宋体"/>
          <w:b/>
          <w:color w:val="auto"/>
          <w:highlight w:val="none"/>
        </w:rPr>
        <w:t>附件4：防疫管理协议书</w:t>
      </w:r>
    </w:p>
    <w:p>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防疫管理协议书</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u w:val="single"/>
        </w:rPr>
        <w:t>广州市净水有限公司</w:t>
      </w:r>
    </w:p>
    <w:p>
      <w:pPr>
        <w:adjustRightInd w:val="0"/>
        <w:snapToGrid w:val="0"/>
        <w:spacing w:line="440" w:lineRule="exact"/>
        <w:ind w:firstLine="480" w:firstLineChars="200"/>
        <w:jc w:val="left"/>
        <w:rPr>
          <w:rStyle w:val="57"/>
          <w:rFonts w:ascii="宋体" w:hAnsi="宋体"/>
          <w:b w:val="0"/>
          <w:color w:val="auto"/>
          <w:szCs w:val="21"/>
          <w:highlight w:val="none"/>
          <w:u w:val="single"/>
        </w:rPr>
      </w:pPr>
      <w:r>
        <w:rPr>
          <w:rFonts w:hint="eastAsia" w:ascii="宋体" w:hAnsi="宋体"/>
          <w:color w:val="auto"/>
          <w:sz w:val="24"/>
          <w:szCs w:val="24"/>
          <w:highlight w:val="none"/>
        </w:rPr>
        <w:t xml:space="preserve">乙方: </w:t>
      </w:r>
      <w:r>
        <w:rPr>
          <w:rFonts w:hint="eastAsia" w:ascii="宋体" w:hAnsi="宋体"/>
          <w:color w:val="auto"/>
          <w:sz w:val="24"/>
          <w:szCs w:val="24"/>
          <w:highlight w:val="none"/>
          <w:u w:val="single"/>
        </w:rPr>
        <w:t xml:space="preserve">                  </w:t>
      </w:r>
    </w:p>
    <w:p>
      <w:pPr>
        <w:spacing w:line="440" w:lineRule="exact"/>
        <w:ind w:firstLine="540" w:firstLineChars="225"/>
        <w:rPr>
          <w:color w:val="auto"/>
          <w:sz w:val="24"/>
          <w:szCs w:val="24"/>
          <w:highlight w:val="none"/>
        </w:rPr>
      </w:pPr>
      <w:r>
        <w:rPr>
          <w:rFonts w:hint="eastAsia" w:ascii="宋体" w:hAnsi="宋体"/>
          <w:color w:val="auto"/>
          <w:sz w:val="24"/>
          <w:szCs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一、本协议与主协议的关系</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本协议作为</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u w:val="single"/>
          <w:lang w:eastAsia="zh-CN"/>
        </w:rPr>
        <w:t>京溪分公司硫酸铝加药池改造工程（第二次）</w:t>
      </w:r>
      <w:r>
        <w:rPr>
          <w:rFonts w:hint="eastAsia" w:ascii="宋体" w:hAnsi="宋体"/>
          <w:bCs/>
          <w:color w:val="auto"/>
          <w:sz w:val="24"/>
          <w:szCs w:val="24"/>
          <w:highlight w:val="none"/>
          <w:u w:val="single"/>
        </w:rPr>
        <w:t>合同</w:t>
      </w:r>
      <w:r>
        <w:rPr>
          <w:rFonts w:hint="eastAsia" w:ascii="宋体" w:hAnsi="宋体"/>
          <w:color w:val="auto"/>
          <w:sz w:val="24"/>
          <w:szCs w:val="24"/>
          <w:highlight w:val="none"/>
        </w:rPr>
        <w:t>的组成部分，与主合同具有同等法律</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二、甲乙双方权力及义务</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（二）甲乙双方应积极配合，出现问题及时采取应急响应措施，迅速妥善处置项目施工场所普通发热病例、可疑病例和突发新冠肺炎疫情，并第一时间报送对方。</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（三）甲乙双方应掌握维修施工人员情况，与建设主管部门和属地疫情防控指挥部门形成联防联控机制，建立快速有效的处置工作流程，建设、维修工地正常施工秩序</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三、甲方的义务</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（一）甲方应指导乙方项目维修施工人员需养成和保持戴口罩、“一米线”、勤洗手、勤通风、少聚集、错时用餐、“两点一线”简单生活等良好卫生习惯。</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（二）甲方应提供给乙方项目维修施工人员安全工作环境，指导乙方维修施工人员及家属增强自我防护意识，关注重点疫情信息，降低感染风险。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（三）甲方在施工前需开展疫情防控教育，同时对乙方人员防控落实情况进行监督，采取措施堵塞疫情防控漏洞。</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（四）组织开展应急演练，确保应急情况下维修施工人员疫情发生时安全健康，保障各项工作有序、规范。</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四、乙方的义务</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（一）乙方需配合甲方开展疫情防控宣传教育，提高项目维修施工人员自我防护意识。</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（二）配合甲方要求做好维修施工人员防控工作管理，及时提交防疫资料，落实疫情防控备案，必要时需编制防控管理工作方案</w:t>
      </w:r>
      <w:r>
        <w:rPr>
          <w:rFonts w:hint="eastAsia" w:ascii="宋体" w:hAnsi="宋体"/>
          <w:color w:val="auto"/>
          <w:sz w:val="32"/>
          <w:szCs w:val="32"/>
          <w:highlight w:val="none"/>
        </w:rPr>
        <w:t>。</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宋体" w:hAnsi="宋体"/>
          <w:color w:val="auto"/>
          <w:szCs w:val="21"/>
          <w:highlight w:val="none"/>
        </w:rPr>
      </w:pPr>
      <w:r>
        <w:rPr>
          <w:rFonts w:hint="eastAsia" w:ascii="宋体" w:hAnsi="宋体"/>
          <w:color w:val="auto"/>
          <w:sz w:val="24"/>
          <w:szCs w:val="24"/>
          <w:highlight w:val="none"/>
        </w:rPr>
        <w:t>（五）积极配合甲方各厂区进厂门岗防控要求。</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五、扣罚情况</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（一）乙方项目维修施工人员及其密接亲属有重点区域、重点场所旅居史未报备的，每发现一人，从乙方当月服务费中扣500元；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（三）乙方项目维修施工人员拒不配合甲方疫情防控要求或不满足甲方防疫工作要求的，甲方有权要求乙方3天内更换服务人员。</w:t>
      </w:r>
    </w:p>
    <w:p>
      <w:pPr>
        <w:pStyle w:val="55"/>
        <w:spacing w:line="440" w:lineRule="exact"/>
        <w:ind w:left="-2" w:firstLine="480" w:firstLineChars="200"/>
        <w:rPr>
          <w:rFonts w:ascii="宋体" w:hAnsi="宋体"/>
          <w:color w:val="auto"/>
          <w:sz w:val="24"/>
          <w:szCs w:val="24"/>
          <w:highlight w:val="none"/>
        </w:rPr>
      </w:pPr>
      <w:r>
        <w:rPr>
          <w:rFonts w:hint="eastAsia" w:ascii="宋体" w:hAnsi="宋体"/>
          <w:color w:val="auto"/>
          <w:sz w:val="24"/>
          <w:szCs w:val="24"/>
          <w:highlight w:val="none"/>
        </w:rPr>
        <w:t>六、补充条款：</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七、附则</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本协议与合同同时签订、同时终止、同时生效，具有相同的法律效力。合同由甲乙双方签字、盖章生效。</w:t>
      </w:r>
    </w:p>
    <w:p>
      <w:pPr>
        <w:adjustRightInd w:val="0"/>
        <w:snapToGrid w:val="0"/>
        <w:spacing w:line="440" w:lineRule="exact"/>
        <w:ind w:left="1330" w:leftChars="5" w:hanging="1320" w:hangingChars="550"/>
        <w:rPr>
          <w:rFonts w:ascii="宋体" w:hAnsi="宋体"/>
          <w:color w:val="auto"/>
          <w:sz w:val="24"/>
          <w:szCs w:val="24"/>
          <w:highlight w:val="none"/>
        </w:rPr>
      </w:pPr>
      <w:r>
        <w:rPr>
          <w:rFonts w:hint="eastAsia" w:ascii="宋体" w:hAnsi="宋体"/>
          <w:color w:val="auto"/>
          <w:sz w:val="24"/>
          <w:szCs w:val="24"/>
          <w:highlight w:val="none"/>
        </w:rPr>
        <w:t xml:space="preserve">   甲方代表 （章）：                      乙方代表（章）：                                                                                   </w:t>
      </w:r>
    </w:p>
    <w:p>
      <w:pPr>
        <w:adjustRightInd w:val="0"/>
        <w:snapToGrid w:val="0"/>
        <w:spacing w:line="440" w:lineRule="exact"/>
        <w:ind w:firstLine="960" w:firstLineChars="400"/>
        <w:rPr>
          <w:rFonts w:ascii="宋体" w:hAnsi="宋体"/>
          <w:b/>
          <w:color w:val="auto"/>
          <w:szCs w:val="21"/>
          <w:highlight w:val="none"/>
        </w:rPr>
      </w:pPr>
      <w:r>
        <w:rPr>
          <w:rFonts w:hint="eastAsia" w:ascii="宋体" w:hAnsi="宋体"/>
          <w:color w:val="auto"/>
          <w:sz w:val="24"/>
          <w:szCs w:val="24"/>
          <w:highlight w:val="none"/>
        </w:rPr>
        <w:t xml:space="preserve"> 年  月  日                            年   月   日</w:t>
      </w:r>
    </w:p>
    <w:p>
      <w:pPr>
        <w:spacing w:line="360" w:lineRule="auto"/>
        <w:rPr>
          <w:rFonts w:ascii="宋体" w:hAnsi="宋体"/>
          <w:b/>
          <w:bCs/>
          <w:color w:val="auto"/>
          <w:highlight w:val="none"/>
        </w:rPr>
      </w:pPr>
      <w:r>
        <w:rPr>
          <w:rFonts w:hint="eastAsia" w:ascii="宋体" w:hAnsi="宋体"/>
          <w:b/>
          <w:bCs/>
          <w:color w:val="auto"/>
          <w:highlight w:val="none"/>
        </w:rPr>
        <w:t>附件5：工程量清单报价</w:t>
      </w:r>
    </w:p>
    <w:p>
      <w:pPr>
        <w:pStyle w:val="12"/>
        <w:jc w:val="center"/>
        <w:rPr>
          <w:color w:val="auto"/>
          <w:highlight w:val="none"/>
        </w:rPr>
      </w:pPr>
      <w:r>
        <w:rPr>
          <w:rFonts w:hint="eastAsia" w:ascii="仿宋_GB2312" w:hAnsi="仿宋_GB2312" w:eastAsia="仿宋_GB2312" w:cs="仿宋_GB2312"/>
          <w:b/>
          <w:color w:val="auto"/>
          <w:sz w:val="28"/>
          <w:szCs w:val="28"/>
          <w:highlight w:val="none"/>
          <w:lang w:val="en-US" w:eastAsia="zh-CN"/>
        </w:rPr>
        <w:t>详见响应文件格式要求</w:t>
      </w:r>
      <w:r>
        <w:rPr>
          <w:rFonts w:hint="eastAsia" w:hAnsi="宋体" w:cs="仿宋_GB2312"/>
          <w:b/>
          <w:color w:val="auto"/>
          <w:sz w:val="28"/>
          <w:szCs w:val="28"/>
          <w:highlight w:val="none"/>
        </w:rPr>
        <w:t>工程量清单报价</w:t>
      </w:r>
    </w:p>
    <w:p>
      <w:pPr>
        <w:pStyle w:val="52"/>
        <w:rPr>
          <w:rFonts w:hAnsi="宋体" w:eastAsia="宋体"/>
          <w:b/>
          <w:bCs/>
          <w:color w:val="auto"/>
          <w:sz w:val="21"/>
          <w:szCs w:val="21"/>
          <w:highlight w:val="none"/>
        </w:rPr>
      </w:pPr>
      <w:r>
        <w:rPr>
          <w:rFonts w:hint="eastAsia" w:hAnsi="宋体" w:eastAsia="宋体"/>
          <w:b/>
          <w:bCs/>
          <w:color w:val="auto"/>
          <w:sz w:val="21"/>
          <w:szCs w:val="21"/>
          <w:highlight w:val="none"/>
        </w:rPr>
        <w:t xml:space="preserve"> </w:t>
      </w:r>
    </w:p>
    <w:p>
      <w:pPr>
        <w:pStyle w:val="52"/>
        <w:rPr>
          <w:rFonts w:hAnsi="宋体" w:eastAsia="宋体"/>
          <w:b/>
          <w:bCs/>
          <w:color w:val="auto"/>
          <w:sz w:val="21"/>
          <w:szCs w:val="21"/>
          <w:highlight w:val="none"/>
        </w:rPr>
      </w:pPr>
      <w:r>
        <w:rPr>
          <w:rFonts w:hint="eastAsia" w:hAnsi="宋体" w:eastAsia="宋体"/>
          <w:b/>
          <w:bCs/>
          <w:color w:val="auto"/>
          <w:sz w:val="21"/>
          <w:szCs w:val="21"/>
          <w:highlight w:val="none"/>
        </w:rPr>
        <w:t xml:space="preserve"> </w:t>
      </w:r>
    </w:p>
    <w:p>
      <w:pPr>
        <w:spacing w:line="360" w:lineRule="auto"/>
        <w:rPr>
          <w:rFonts w:ascii="宋体" w:hAnsi="宋体" w:eastAsia="宋体"/>
          <w:b/>
          <w:bCs/>
          <w:color w:val="auto"/>
          <w:szCs w:val="21"/>
          <w:highlight w:val="none"/>
        </w:rPr>
      </w:pPr>
      <w:r>
        <w:rPr>
          <w:rFonts w:hint="eastAsia" w:ascii="宋体" w:hAnsi="宋体"/>
          <w:b/>
          <w:bCs/>
          <w:color w:val="auto"/>
          <w:highlight w:val="none"/>
        </w:rPr>
        <w:t>附件6 ：项目投入人员架构表/应急救援物资清单</w:t>
      </w:r>
    </w:p>
    <w:p>
      <w:pPr>
        <w:spacing w:line="360" w:lineRule="auto"/>
        <w:jc w:val="center"/>
        <w:outlineLvl w:val="3"/>
        <w:rPr>
          <w:rFonts w:ascii="宋体" w:hAnsi="宋体"/>
          <w:b/>
          <w:color w:val="auto"/>
          <w:sz w:val="24"/>
          <w:szCs w:val="24"/>
          <w:highlight w:val="none"/>
        </w:rPr>
      </w:pPr>
      <w:r>
        <w:rPr>
          <w:rFonts w:hint="eastAsia" w:ascii="宋体" w:hAnsi="宋体"/>
          <w:b/>
          <w:color w:val="auto"/>
          <w:sz w:val="24"/>
          <w:szCs w:val="24"/>
          <w:highlight w:val="none"/>
        </w:rPr>
        <w:t xml:space="preserve"> </w:t>
      </w:r>
    </w:p>
    <w:p>
      <w:pPr>
        <w:spacing w:line="360" w:lineRule="auto"/>
        <w:jc w:val="center"/>
        <w:outlineLvl w:val="3"/>
        <w:rPr>
          <w:rFonts w:ascii="宋体" w:hAnsi="宋体"/>
          <w:b/>
          <w:bCs/>
          <w:color w:val="auto"/>
          <w:sz w:val="24"/>
          <w:szCs w:val="24"/>
          <w:highlight w:val="none"/>
        </w:rPr>
      </w:pPr>
      <w:r>
        <w:rPr>
          <w:rFonts w:hint="eastAsia" w:ascii="宋体" w:hAnsi="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岗位</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性别</w:t>
            </w: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身份证号</w:t>
            </w: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执业或职业资格证明</w:t>
            </w: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安全员</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技术负责人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电工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焊工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普工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bl>
    <w:p>
      <w:pPr>
        <w:spacing w:line="360" w:lineRule="auto"/>
        <w:rPr>
          <w:rFonts w:ascii="宋体" w:hAnsi="宋体" w:cs="Times New Roman"/>
          <w:color w:val="auto"/>
          <w:sz w:val="24"/>
          <w:szCs w:val="24"/>
          <w:highlight w:val="none"/>
        </w:rPr>
      </w:pPr>
      <w:r>
        <w:rPr>
          <w:rFonts w:hint="eastAsia" w:ascii="宋体" w:hAnsi="宋体"/>
          <w:b/>
          <w:bCs/>
          <w:color w:val="auto"/>
          <w:sz w:val="24"/>
          <w:szCs w:val="24"/>
          <w:highlight w:val="none"/>
        </w:rPr>
        <w:t>注： 本表作为合同附件，其内容必须是真实有效。</w:t>
      </w:r>
    </w:p>
    <w:p>
      <w:pPr>
        <w:pStyle w:val="52"/>
        <w:rPr>
          <w:rFonts w:hAnsi="宋体" w:eastAsia="宋体"/>
          <w:b/>
          <w:color w:val="auto"/>
          <w:highlight w:val="none"/>
        </w:rPr>
      </w:pPr>
      <w:r>
        <w:rPr>
          <w:rFonts w:hint="eastAsia" w:hAnsi="宋体" w:eastAsia="宋体"/>
          <w:b/>
          <w:color w:val="auto"/>
          <w:highlight w:val="none"/>
        </w:rPr>
        <w:t xml:space="preserve"> </w:t>
      </w:r>
    </w:p>
    <w:p>
      <w:pPr>
        <w:pStyle w:val="52"/>
        <w:rPr>
          <w:rFonts w:hAnsi="宋体" w:eastAsia="宋体"/>
          <w:b/>
          <w:color w:val="auto"/>
          <w:highlight w:val="none"/>
        </w:rPr>
      </w:pPr>
      <w:r>
        <w:rPr>
          <w:rFonts w:hint="eastAsia" w:hAnsi="宋体" w:eastAsia="宋体"/>
          <w:b/>
          <w:color w:val="auto"/>
          <w:highlight w:val="none"/>
        </w:rPr>
        <w:t xml:space="preserve"> </w:t>
      </w:r>
    </w:p>
    <w:p>
      <w:pPr>
        <w:spacing w:line="360" w:lineRule="auto"/>
        <w:jc w:val="center"/>
        <w:outlineLvl w:val="3"/>
        <w:rPr>
          <w:rFonts w:ascii="宋体" w:hAnsi="宋体" w:eastAsia="宋体"/>
          <w:b/>
          <w:color w:val="auto"/>
          <w:sz w:val="24"/>
          <w:szCs w:val="24"/>
          <w:highlight w:val="none"/>
        </w:rPr>
      </w:pPr>
      <w:r>
        <w:rPr>
          <w:rFonts w:hint="eastAsia" w:ascii="宋体" w:hAnsi="宋体"/>
          <w:b/>
          <w:color w:val="auto"/>
          <w:sz w:val="24"/>
          <w:szCs w:val="24"/>
          <w:highlight w:val="none"/>
        </w:rPr>
        <w:t>应急救援物资清单</w:t>
      </w:r>
    </w:p>
    <w:p>
      <w:pPr>
        <w:jc w:val="center"/>
        <w:rPr>
          <w:rFonts w:ascii="宋体" w:hAnsi="宋体"/>
          <w:color w:val="auto"/>
          <w:sz w:val="24"/>
          <w:szCs w:val="24"/>
          <w:highlight w:val="none"/>
        </w:rPr>
      </w:pPr>
      <w:r>
        <w:rPr>
          <w:rFonts w:hint="eastAsia" w:ascii="宋体" w:hAnsi="宋体"/>
          <w:color w:val="auto"/>
          <w:sz w:val="24"/>
          <w:szCs w:val="24"/>
          <w:highlight w:val="none"/>
        </w:rPr>
        <w:t xml:space="preserve"> </w:t>
      </w:r>
    </w:p>
    <w:tbl>
      <w:tblPr>
        <w:tblStyle w:val="22"/>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设备/材料名称（规格）</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安全帽</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顶</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安全带（五点式）</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担架</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医药急救箱</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5</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四合一气体检测仪（氧气、CO、硫化氢、可燃气体）</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台</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6</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正压式呼吸器</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7</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轴流风机（配套10米风管）</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8</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救援绳（15米）</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条</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9</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头灯/手电筒</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个</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r>
    </w:tbl>
    <w:p>
      <w:pPr>
        <w:rPr>
          <w:rFonts w:ascii="宋体" w:hAnsi="宋体" w:cs="Times New Roman"/>
          <w:bCs/>
          <w:color w:val="auto"/>
          <w:sz w:val="24"/>
          <w:szCs w:val="24"/>
          <w:highlight w:val="none"/>
        </w:rPr>
      </w:pPr>
      <w:r>
        <w:rPr>
          <w:rFonts w:hint="eastAsia" w:ascii="宋体" w:hAnsi="宋体"/>
          <w:bCs/>
          <w:color w:val="auto"/>
          <w:sz w:val="24"/>
          <w:szCs w:val="24"/>
          <w:highlight w:val="none"/>
        </w:rPr>
        <w:t xml:space="preserve"> </w:t>
      </w:r>
    </w:p>
    <w:p>
      <w:pPr>
        <w:spacing w:line="360" w:lineRule="auto"/>
        <w:rPr>
          <w:rFonts w:ascii="宋体" w:hAnsi="宋体"/>
          <w:b/>
          <w:bCs/>
          <w:color w:val="auto"/>
          <w:szCs w:val="21"/>
          <w:highlight w:val="none"/>
        </w:rPr>
      </w:pPr>
      <w:r>
        <w:rPr>
          <w:rFonts w:hint="eastAsia" w:ascii="宋体" w:hAnsi="宋体"/>
          <w:b/>
          <w:bCs/>
          <w:color w:val="auto"/>
          <w:highlight w:val="none"/>
        </w:rPr>
        <w:t>附件7 ：不诚信行为的情形及相应被暂停参与投标活动的处理标准</w:t>
      </w:r>
    </w:p>
    <w:p>
      <w:pPr>
        <w:pStyle w:val="52"/>
        <w:rPr>
          <w:rFonts w:hAnsi="宋体" w:eastAsia="宋体"/>
          <w:color w:val="auto"/>
          <w:highlight w:val="none"/>
        </w:rPr>
      </w:pPr>
      <w:r>
        <w:rPr>
          <w:rFonts w:hint="eastAsia" w:hAnsi="宋体" w:eastAsia="宋体"/>
          <w:color w:val="auto"/>
          <w:highlight w:val="none"/>
        </w:rPr>
        <w:t xml:space="preserve"> </w:t>
      </w:r>
    </w:p>
    <w:p>
      <w:pPr>
        <w:adjustRightInd w:val="0"/>
        <w:snapToGrid w:val="0"/>
        <w:rPr>
          <w:rFonts w:ascii="宋体" w:hAnsi="宋体" w:eastAsia="宋体"/>
          <w:color w:val="auto"/>
          <w:sz w:val="24"/>
          <w:szCs w:val="24"/>
          <w:highlight w:val="none"/>
        </w:rPr>
      </w:pPr>
      <w:r>
        <w:rPr>
          <w:rFonts w:hint="eastAsia" w:ascii="宋体" w:hAnsi="宋体"/>
          <w:color w:val="auto"/>
          <w:sz w:val="24"/>
          <w:szCs w:val="24"/>
          <w:highlight w:val="none"/>
        </w:rPr>
        <w:t xml:space="preserve"> </w:t>
      </w:r>
    </w:p>
    <w:p>
      <w:pPr>
        <w:adjustRightInd w:val="0"/>
        <w:snapToGrid w:val="0"/>
        <w:rPr>
          <w:rFonts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jc w:val="center"/>
        <w:rPr>
          <w:rFonts w:ascii="宋体" w:hAnsi="宋体"/>
          <w:color w:val="auto"/>
          <w:sz w:val="24"/>
          <w:szCs w:val="24"/>
          <w:highlight w:val="none"/>
        </w:rPr>
      </w:pPr>
      <w:r>
        <w:rPr>
          <w:rFonts w:hint="eastAsia" w:ascii="宋体" w:hAnsi="宋体"/>
          <w:color w:val="auto"/>
          <w:sz w:val="24"/>
          <w:szCs w:val="24"/>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szCs w:val="21"/>
                <w:highlight w:val="none"/>
              </w:rPr>
            </w:pPr>
            <w:r>
              <w:rPr>
                <w:rFonts w:hint="eastAsia" w:ascii="宋体" w:hAnsi="宋体"/>
                <w:color w:val="auto"/>
                <w:highlight w:val="none"/>
              </w:rPr>
              <w:t>序号</w:t>
            </w:r>
          </w:p>
        </w:tc>
        <w:tc>
          <w:tcPr>
            <w:tcW w:w="5671" w:type="dxa"/>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不诚信行为的情形</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处理</w:t>
            </w:r>
          </w:p>
          <w:p>
            <w:pPr>
              <w:adjustRightInd w:val="0"/>
              <w:snapToGrid w:val="0"/>
              <w:rPr>
                <w:rFonts w:ascii="宋体" w:hAnsi="宋体"/>
                <w:color w:val="auto"/>
                <w:highlight w:val="none"/>
              </w:rPr>
            </w:pPr>
            <w:r>
              <w:rPr>
                <w:rFonts w:hint="eastAsia" w:ascii="宋体" w:hAnsi="宋体"/>
                <w:color w:val="auto"/>
                <w:highlight w:val="none"/>
              </w:rPr>
              <w:t>期限</w:t>
            </w:r>
          </w:p>
        </w:tc>
        <w:tc>
          <w:tcPr>
            <w:tcW w:w="198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情节严重或拒不改正的延长处理期限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1</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安全不诚信行为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（一）建设生产现场发生人员重伤或死亡的。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发生重伤或死亡1～2人的，暂停投标1年至2年（含）。</w:t>
            </w:r>
          </w:p>
          <w:p>
            <w:pPr>
              <w:adjustRightInd w:val="0"/>
              <w:snapToGrid w:val="0"/>
              <w:rPr>
                <w:rFonts w:ascii="宋体" w:hAnsi="宋体"/>
                <w:color w:val="auto"/>
                <w:highlight w:val="none"/>
              </w:rPr>
            </w:pPr>
            <w:r>
              <w:rPr>
                <w:rFonts w:hint="eastAsia" w:ascii="宋体" w:hAnsi="宋体"/>
                <w:color w:val="auto"/>
                <w:highlight w:val="none"/>
              </w:rPr>
              <w:t>发生重伤或死亡3～9人的，暂停投标2年以上至4年。</w:t>
            </w:r>
          </w:p>
          <w:p>
            <w:pPr>
              <w:adjustRightInd w:val="0"/>
              <w:snapToGrid w:val="0"/>
              <w:rPr>
                <w:rFonts w:ascii="宋体" w:hAnsi="宋体"/>
                <w:color w:val="auto"/>
                <w:highlight w:val="none"/>
              </w:rPr>
            </w:pPr>
            <w:r>
              <w:rPr>
                <w:rFonts w:hint="eastAsia" w:ascii="宋体" w:hAnsi="宋体"/>
                <w:color w:val="auto"/>
                <w:highlight w:val="none"/>
              </w:rPr>
              <w:t>发生重伤10人以上（含）、或重大及以上事故的，暂停投标4年或以上。</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视情况暂停投标1至2年。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3</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4</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质量不诚信行为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（一）由于质量问题对建设项目的使用功能造成影响且无法挽回的。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5</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6</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（三）发生其他由质量问题而引起的重大社会负面影响事件的。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7</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其他不诚信</w:t>
            </w:r>
          </w:p>
          <w:p>
            <w:pPr>
              <w:adjustRightInd w:val="0"/>
              <w:snapToGrid w:val="0"/>
              <w:rPr>
                <w:rFonts w:ascii="宋体" w:hAnsi="宋体"/>
                <w:color w:val="auto"/>
                <w:highlight w:val="none"/>
              </w:rPr>
            </w:pPr>
            <w:r>
              <w:rPr>
                <w:rFonts w:hint="eastAsia" w:ascii="宋体" w:hAnsi="宋体"/>
                <w:color w:val="auto"/>
                <w:highlight w:val="none"/>
              </w:rPr>
              <w:t>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（一）投标、询价过程弄虚作假、串通报价投标、任意弃标</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8</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9</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（三）因参建企业原因造成信访、维稳事件，造成较大社会影响。</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10</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（四）中标后转包工程、非法分包工程、非法转让业务的。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11</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（六）未经批准擅自更换项目经理的。</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13</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（七）严重违反合同约定的，具体包括但不限于以下行为：</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14</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1.提供或使用假冒伪劣或以次充好产品、不符合国家规范规定材料的。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15</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2.工程竣工验收后，不出具质量保修书的，或质量保修的内容、期限违反规定的。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16</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3.不履行保修义务或者拖延履行保修义务的。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17</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4.其他经认定为严重违反合同规定的。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18</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（八）违反廉洁协议约定的。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19</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（九）拖欠农民工工资，造成不良后果的。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20</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（十）为谋取非法利益，给市水投集团或发包人造成损失的。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21</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（十一）因参建企业原因造成第三者财产重大损失的。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jc w:val="left"/>
              <w:rPr>
                <w:rFonts w:ascii="宋体" w:hAnsi="宋体"/>
                <w:color w:val="auto"/>
                <w:highlight w:val="none"/>
              </w:rPr>
            </w:pPr>
            <w:r>
              <w:rPr>
                <w:rFonts w:hint="eastAsia" w:ascii="宋体" w:hAnsi="宋体"/>
                <w:color w:val="auto"/>
                <w:highlight w:val="none"/>
              </w:rPr>
              <w:t>（十二）经发包人认定的其他不诚信行为。</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bl>
    <w:p>
      <w:pPr>
        <w:spacing w:line="360" w:lineRule="auto"/>
        <w:rPr>
          <w:rFonts w:ascii="宋体" w:hAnsi="宋体" w:cs="仿宋_GB2312"/>
          <w:color w:val="auto"/>
          <w:sz w:val="24"/>
          <w:szCs w:val="24"/>
          <w:highlight w:val="none"/>
        </w:rPr>
      </w:pPr>
    </w:p>
    <w:p>
      <w:pPr>
        <w:pStyle w:val="26"/>
        <w:rPr>
          <w:rFonts w:hint="eastAsia"/>
          <w:color w:val="auto"/>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附件8营运项目承包单位日常履约考评参照表（安全）</w:t>
      </w:r>
    </w:p>
    <w:p>
      <w:pPr>
        <w:tabs>
          <w:tab w:val="left" w:pos="673"/>
        </w:tabs>
        <w:jc w:val="left"/>
        <w:rPr>
          <w:color w:val="auto"/>
          <w:highlight w:val="none"/>
        </w:rPr>
      </w:pPr>
    </w:p>
    <w:tbl>
      <w:tblPr>
        <w:tblStyle w:val="22"/>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260" w:hanging="260" w:hangingChars="200"/>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附件9营运项目承包单位综合履约考评表（安全）</w:t>
            </w:r>
          </w:p>
          <w:p>
            <w:pPr>
              <w:pStyle w:val="2"/>
              <w:ind w:firstLine="0"/>
              <w:rPr>
                <w:rFonts w:eastAsia="仿宋_GB2312"/>
                <w:color w:val="auto"/>
                <w:highlight w:val="none"/>
              </w:rPr>
            </w:pPr>
          </w:p>
        </w:tc>
      </w:tr>
    </w:tbl>
    <w:p>
      <w:pPr>
        <w:pStyle w:val="2"/>
        <w:ind w:firstLine="0"/>
        <w:rPr>
          <w:rFonts w:cs="宋体"/>
          <w:b/>
          <w:bCs/>
          <w:color w:val="auto"/>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eastAsia="宋体"/>
                <w:color w:val="auto"/>
                <w:sz w:val="13"/>
                <w:szCs w:val="13"/>
                <w:highlight w:val="none"/>
              </w:rPr>
            </w:pPr>
            <w:r>
              <w:rPr>
                <w:rFonts w:hint="eastAsia"/>
                <w:color w:val="auto"/>
                <w:sz w:val="13"/>
                <w:szCs w:val="13"/>
                <w:highlight w:val="none"/>
              </w:rPr>
              <w:t>注：1、综合考评满分100分，各考评项目扣分不设上限；</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pStyle w:val="26"/>
        <w:rPr>
          <w:color w:val="auto"/>
          <w:highlight w:val="none"/>
        </w:rPr>
      </w:pPr>
    </w:p>
    <w:p>
      <w:pPr>
        <w:pStyle w:val="52"/>
        <w:rPr>
          <w:rFonts w:hAnsi="宋体" w:eastAsia="宋体"/>
          <w:b/>
          <w:color w:val="auto"/>
          <w:highlight w:val="none"/>
        </w:rPr>
      </w:pPr>
    </w:p>
    <w:p>
      <w:pPr>
        <w:pStyle w:val="52"/>
        <w:rPr>
          <w:rFonts w:hAnsi="宋体" w:eastAsia="宋体"/>
          <w:b/>
          <w:color w:val="auto"/>
          <w:highlight w:val="none"/>
        </w:rPr>
      </w:pPr>
    </w:p>
    <w:p>
      <w:pPr>
        <w:pStyle w:val="52"/>
        <w:rPr>
          <w:rFonts w:hAnsi="宋体" w:eastAsia="宋体"/>
          <w:b/>
          <w:color w:val="auto"/>
          <w:highlight w:val="none"/>
        </w:rPr>
      </w:pPr>
    </w:p>
    <w:p>
      <w:pPr>
        <w:pStyle w:val="52"/>
        <w:rPr>
          <w:rFonts w:hAnsi="宋体" w:eastAsia="宋体"/>
          <w:b/>
          <w:color w:val="auto"/>
          <w:highlight w:val="none"/>
        </w:rPr>
      </w:pPr>
    </w:p>
    <w:p>
      <w:pPr>
        <w:pStyle w:val="4"/>
        <w:rPr>
          <w:color w:val="auto"/>
          <w:highlight w:val="none"/>
        </w:rPr>
      </w:pPr>
      <w:bookmarkStart w:id="83" w:name="_Toc6230"/>
      <w:bookmarkStart w:id="84" w:name="_Toc5129"/>
      <w:bookmarkStart w:id="85" w:name="_Toc1563"/>
      <w:bookmarkStart w:id="86" w:name="_Toc3723"/>
      <w:bookmarkStart w:id="87" w:name="_Toc21847"/>
      <w:bookmarkStart w:id="88" w:name="_Toc30824"/>
      <w:bookmarkStart w:id="89" w:name="_Toc16552"/>
      <w:bookmarkStart w:id="90" w:name="_Toc23515"/>
      <w:bookmarkStart w:id="91" w:name="_Toc28358"/>
      <w:bookmarkStart w:id="92" w:name="_Toc8147"/>
      <w:bookmarkStart w:id="93" w:name="_Toc12169"/>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3"/>
      <w:bookmarkEnd w:id="84"/>
      <w:bookmarkEnd w:id="85"/>
      <w:bookmarkEnd w:id="86"/>
      <w:bookmarkEnd w:id="87"/>
      <w:bookmarkEnd w:id="88"/>
      <w:bookmarkEnd w:id="89"/>
      <w:bookmarkEnd w:id="90"/>
      <w:bookmarkEnd w:id="91"/>
      <w:bookmarkEnd w:id="92"/>
      <w:bookmarkEnd w:id="93"/>
    </w:p>
    <w:p>
      <w:pPr>
        <w:pStyle w:val="36"/>
        <w:rPr>
          <w:color w:val="auto"/>
          <w:highlight w:val="none"/>
        </w:rPr>
      </w:pPr>
    </w:p>
    <w:p>
      <w:pPr>
        <w:pStyle w:val="4"/>
        <w:rPr>
          <w:color w:val="auto"/>
          <w:highlight w:val="none"/>
        </w:rPr>
      </w:pPr>
      <w:bookmarkStart w:id="94" w:name="_Toc87616388"/>
      <w:bookmarkStart w:id="95" w:name="_Toc88209951"/>
      <w:bookmarkStart w:id="96" w:name="_Toc22764"/>
      <w:bookmarkStart w:id="97" w:name="_Toc10840"/>
      <w:bookmarkStart w:id="98" w:name="_Toc12610"/>
      <w:bookmarkStart w:id="99" w:name="_Toc24815"/>
      <w:bookmarkStart w:id="100" w:name="_Toc5342"/>
      <w:bookmarkStart w:id="101" w:name="_Toc21675"/>
      <w:bookmarkStart w:id="102" w:name="_Toc12769"/>
      <w:bookmarkStart w:id="103" w:name="_Toc17119"/>
      <w:bookmarkStart w:id="104" w:name="_Toc24490"/>
      <w:bookmarkStart w:id="105" w:name="_Toc31564"/>
      <w:bookmarkStart w:id="106" w:name="_Toc30157"/>
      <w:r>
        <w:rPr>
          <w:rFonts w:hint="eastAsia"/>
          <w:color w:val="auto"/>
          <w:highlight w:val="none"/>
        </w:rPr>
        <w:t>响应文件格式要求</w:t>
      </w:r>
      <w:bookmarkEnd w:id="94"/>
      <w:bookmarkEnd w:id="95"/>
      <w:bookmarkEnd w:id="96"/>
      <w:bookmarkEnd w:id="97"/>
      <w:bookmarkEnd w:id="98"/>
      <w:bookmarkEnd w:id="99"/>
      <w:bookmarkEnd w:id="100"/>
      <w:bookmarkEnd w:id="101"/>
      <w:bookmarkEnd w:id="102"/>
      <w:bookmarkEnd w:id="103"/>
      <w:bookmarkEnd w:id="104"/>
      <w:bookmarkEnd w:id="105"/>
      <w:bookmarkEnd w:id="10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7" w:name="_Toc87616389"/>
      <w:bookmarkStart w:id="108" w:name="_Toc88209952"/>
      <w:r>
        <w:rPr>
          <w:rFonts w:hint="eastAsia" w:ascii="仿宋_GB2312" w:eastAsia="仿宋_GB2312"/>
          <w:color w:val="auto"/>
          <w:sz w:val="28"/>
          <w:szCs w:val="28"/>
          <w:highlight w:val="none"/>
        </w:rPr>
        <w:t>1.响应函</w:t>
      </w:r>
      <w:bookmarkEnd w:id="107"/>
      <w:bookmarkEnd w:id="108"/>
    </w:p>
    <w:p>
      <w:pPr>
        <w:spacing w:line="600" w:lineRule="exact"/>
        <w:rPr>
          <w:rFonts w:ascii="仿宋_GB2312" w:eastAsia="仿宋_GB2312"/>
          <w:color w:val="auto"/>
          <w:sz w:val="28"/>
          <w:szCs w:val="28"/>
          <w:highlight w:val="none"/>
        </w:rPr>
      </w:pPr>
      <w:bookmarkStart w:id="109" w:name="_Toc87616390"/>
      <w:bookmarkStart w:id="110" w:name="_Toc88209953"/>
      <w:r>
        <w:rPr>
          <w:rFonts w:hint="eastAsia" w:ascii="仿宋_GB2312" w:eastAsia="仿宋_GB2312"/>
          <w:color w:val="auto"/>
          <w:sz w:val="28"/>
          <w:szCs w:val="28"/>
          <w:highlight w:val="none"/>
        </w:rPr>
        <w:t>2.法定代表人证明或授权委托书</w:t>
      </w:r>
      <w:bookmarkEnd w:id="109"/>
      <w:bookmarkEnd w:id="110"/>
      <w:bookmarkStart w:id="111" w:name="_Toc88209956"/>
      <w:bookmarkStart w:id="11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11"/>
      <w:bookmarkEnd w:id="112"/>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7"/>
        <w:rPr>
          <w:rFonts w:hint="eastAsia"/>
          <w:color w:val="auto"/>
          <w:highlight w:val="none"/>
        </w:rPr>
      </w:pPr>
    </w:p>
    <w:p>
      <w:pPr>
        <w:pStyle w:val="6"/>
        <w:rPr>
          <w:rFonts w:asciiTheme="minorEastAsia" w:hAnsiTheme="minorEastAsia" w:eastAsiaTheme="minorEastAsia"/>
          <w:color w:val="auto"/>
          <w:sz w:val="28"/>
          <w:szCs w:val="28"/>
          <w:highlight w:val="none"/>
        </w:rPr>
      </w:pPr>
      <w:bookmarkStart w:id="113" w:name="_Toc12665"/>
      <w:bookmarkStart w:id="114" w:name="_Toc88209957"/>
      <w:bookmarkStart w:id="115" w:name="_Toc6313"/>
      <w:bookmarkStart w:id="116" w:name="_Toc28619645"/>
      <w:bookmarkStart w:id="117" w:name="_Toc87616394"/>
      <w:r>
        <w:rPr>
          <w:rFonts w:hint="eastAsia" w:asciiTheme="minorEastAsia" w:hAnsiTheme="minorEastAsia" w:eastAsiaTheme="minorEastAsia"/>
          <w:color w:val="auto"/>
          <w:sz w:val="28"/>
          <w:szCs w:val="28"/>
          <w:highlight w:val="none"/>
        </w:rPr>
        <w:t>1.响应函</w:t>
      </w:r>
      <w:bookmarkEnd w:id="113"/>
      <w:bookmarkEnd w:id="114"/>
      <w:bookmarkEnd w:id="115"/>
      <w:bookmarkEnd w:id="116"/>
      <w:bookmarkEnd w:id="117"/>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ascii="Wingdings 2" w:hAnsi="Wingdings 2" w:eastAsia="宋体"/>
          <w:color w:val="auto"/>
          <w:sz w:val="28"/>
          <w:szCs w:val="28"/>
          <w:highlight w:val="none"/>
        </w:rPr>
        <w:t>R</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18" w:name="_Toc88209958"/>
      <w:bookmarkStart w:id="119" w:name="_Toc87616395"/>
      <w:bookmarkStart w:id="120" w:name="_Toc22527"/>
      <w:bookmarkStart w:id="121" w:name="_Toc29833"/>
    </w:p>
    <w:p>
      <w:pPr>
        <w:pStyle w:val="26"/>
        <w:rPr>
          <w:rFonts w:hint="eastAsia"/>
          <w:color w:val="auto"/>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8"/>
      <w:bookmarkEnd w:id="119"/>
      <w:bookmarkEnd w:id="120"/>
      <w:bookmarkEnd w:id="12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6"/>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2" w:name="_Toc87616400"/>
      <w:bookmarkStart w:id="123" w:name="_Toc8086"/>
      <w:bookmarkStart w:id="124" w:name="_Toc19830"/>
      <w:bookmarkStart w:id="125"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26"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26"/>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u w:val="single"/>
          <w:lang w:val="en-GB"/>
        </w:rPr>
        <w:t>广州市净水有限公司</w:t>
      </w:r>
      <w:r>
        <w:rPr>
          <w:rFonts w:hint="eastAsia" w:ascii="宋体" w:hAnsi="宋体" w:cs="宋体"/>
          <w:color w:val="auto"/>
          <w:sz w:val="24"/>
          <w:szCs w:val="24"/>
          <w:highlight w:val="none"/>
          <w:u w:val="single"/>
          <w:lang w:val="en-GB" w:eastAsia="zh-CN"/>
        </w:rPr>
        <w:t>京溪分公司硫酸铝加药池改造工程（第二次）</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w:t>
      </w:r>
      <w:r>
        <w:rPr>
          <w:rFonts w:ascii="宋体" w:hAnsi="宋体" w:eastAsia="宋体" w:cs="宋体"/>
          <w:color w:val="auto"/>
          <w:sz w:val="24"/>
          <w:szCs w:val="24"/>
          <w:highlight w:val="none"/>
          <w:u w:val="single"/>
          <w:lang w:val="en-GB"/>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（1）与本项目其他供应商的单位负责人为同一人。</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（2）与本项目其他供应商存在控股或管理关系。</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（3）被本项目所在地省级以上行业主管部门依法暂停、取消投标或禁止参加采购活动且处于有效期内的。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（4）处于被责令停产停业、暂扣或者吊销执照、暂扣或者吊销许可证、吊销资质证书状态。</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（5）进入清算程序，或被宣告破产，或其他丧失履约能力情形的。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（6）近三年内因发生质量或安全生产事故等受到行政处罚且在处罚期内的。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（7）被最高人民法院在“信用中国”网站（www.creditchina.gov.cn）或各级信用信息共享平台中列入失信被执行人名单。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（8）被“全国企业信用信息公示系统”（网址：http://www.gsxt.gov.cn/）</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列入经营异常名录和严重违法企业名单。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（9）被“信用广州”网站纳入失信被执行人名单（失信黑名单）。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（10）被纳入本项目采购人（包括市水投集团及相关所属企业）书面限制参与采购活动且处于有效期内的。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注：附件：网页截图</w:t>
      </w:r>
      <w:r>
        <w:rPr>
          <w:rFonts w:hint="eastAsia" w:ascii="宋体" w:hAnsi="宋体" w:eastAsia="宋体" w:cs="宋体"/>
          <w:b/>
          <w:color w:val="auto"/>
          <w:sz w:val="21"/>
          <w:szCs w:val="21"/>
          <w:highlight w:val="none"/>
          <w:lang w:eastAsia="zh-CN"/>
        </w:rPr>
        <w:t>（</w:t>
      </w:r>
      <w:r>
        <w:rPr>
          <w:rFonts w:hint="eastAsia" w:ascii="宋体" w:hAnsi="宋体" w:cs="宋体" w:eastAsiaTheme="minorEastAsia"/>
          <w:color w:val="auto"/>
          <w:sz w:val="24"/>
          <w:szCs w:val="24"/>
          <w:highlight w:val="none"/>
          <w:lang w:val="en-GB"/>
        </w:rPr>
        <w:t>“信用中国”“全国企业信用信息公示系统”</w:t>
      </w:r>
      <w:r>
        <w:rPr>
          <w:rFonts w:hint="eastAsia" w:ascii="宋体" w:hAnsi="宋体" w:eastAsia="宋体" w:cs="宋体"/>
          <w:b/>
          <w:color w:val="auto"/>
          <w:sz w:val="21"/>
          <w:szCs w:val="21"/>
          <w:highlight w:val="none"/>
          <w:lang w:eastAsia="zh-CN"/>
        </w:rPr>
        <w:t>）</w:t>
      </w:r>
    </w:p>
    <w:p>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rPr>
          <w:color w:val="auto"/>
          <w:szCs w:val="21"/>
          <w:highlight w:val="none"/>
          <w:u w:val="single"/>
        </w:rPr>
      </w:pPr>
      <w:r>
        <w:rPr>
          <w:rFonts w:hint="eastAsia" w:ascii="仿宋_GB2312" w:eastAsia="仿宋_GB2312" w:hAnsiTheme="minorEastAsia"/>
          <w:color w:val="auto"/>
          <w:sz w:val="28"/>
          <w:szCs w:val="28"/>
          <w:highlight w:val="none"/>
        </w:rPr>
        <w:t xml:space="preserve"> </w:t>
      </w:r>
      <w:r>
        <w:rPr>
          <w:rFonts w:ascii="仿宋_GB2312" w:eastAsia="仿宋_GB2312" w:hAnsiTheme="minorEastAsia"/>
          <w:color w:val="auto"/>
          <w:sz w:val="28"/>
          <w:szCs w:val="28"/>
          <w:highlight w:val="none"/>
        </w:rPr>
        <w:t xml:space="preserve">                                          </w:t>
      </w:r>
      <w:r>
        <w:rPr>
          <w:rFonts w:ascii="仿宋_GB2312" w:eastAsia="仿宋_GB2312" w:hAnsiTheme="minorEastAsia"/>
          <w:color w:val="auto"/>
          <w:sz w:val="28"/>
          <w:szCs w:val="28"/>
          <w:highlight w:val="none"/>
          <w:u w:val="single"/>
        </w:rPr>
        <w:t xml:space="preserve"> </w:t>
      </w:r>
      <w:r>
        <w:rPr>
          <w:rFonts w:hint="eastAsia" w:ascii="宋体" w:hAnsi="宋体"/>
          <w:color w:val="auto"/>
          <w:sz w:val="24"/>
          <w:szCs w:val="24"/>
          <w:highlight w:val="none"/>
          <w:u w:val="single"/>
        </w:rPr>
        <w:t xml:space="preserve">供应商名称（加盖公章） ：  </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127" w:name="_Toc19423"/>
      <w:bookmarkStart w:id="128" w:name="_Toc32430"/>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27"/>
      <w:bookmarkEnd w:id="128"/>
    </w:p>
    <w:tbl>
      <w:tblPr>
        <w:tblStyle w:val="22"/>
        <w:tblW w:w="4994" w:type="pct"/>
        <w:jc w:val="center"/>
        <w:tblLayout w:type="autofit"/>
        <w:tblCellMar>
          <w:top w:w="0" w:type="dxa"/>
          <w:left w:w="0" w:type="dxa"/>
          <w:bottom w:w="0" w:type="dxa"/>
          <w:right w:w="0" w:type="dxa"/>
        </w:tblCellMar>
      </w:tblPr>
      <w:tblGrid>
        <w:gridCol w:w="922"/>
        <w:gridCol w:w="2769"/>
        <w:gridCol w:w="1496"/>
        <w:gridCol w:w="1182"/>
        <w:gridCol w:w="58"/>
        <w:gridCol w:w="128"/>
        <w:gridCol w:w="1019"/>
        <w:gridCol w:w="1289"/>
      </w:tblGrid>
      <w:tr>
        <w:tblPrEx>
          <w:tblCellMar>
            <w:top w:w="0" w:type="dxa"/>
            <w:left w:w="0" w:type="dxa"/>
            <w:bottom w:w="0" w:type="dxa"/>
            <w:right w:w="0" w:type="dxa"/>
          </w:tblCellMar>
        </w:tblPrEx>
        <w:trPr>
          <w:trHeight w:val="795" w:hRule="atLeast"/>
          <w:jc w:val="center"/>
        </w:trPr>
        <w:tc>
          <w:tcPr>
            <w:tcW w:w="5000" w:type="pct"/>
            <w:gridSpan w:val="8"/>
            <w:tcBorders>
              <w:top w:val="nil"/>
              <w:left w:val="nil"/>
              <w:bottom w:val="nil"/>
              <w:right w:val="nil"/>
            </w:tcBorders>
            <w:shd w:val="clear" w:color="auto" w:fill="FFFFFF"/>
            <w:tcMar>
              <w:top w:w="15" w:type="dxa"/>
              <w:left w:w="15" w:type="dxa"/>
              <w:bottom w:w="0" w:type="dxa"/>
              <w:right w:w="15" w:type="dxa"/>
            </w:tcMar>
            <w:vAlign w:val="center"/>
          </w:tcPr>
          <w:p>
            <w:pPr>
              <w:widowControl/>
              <w:jc w:val="center"/>
              <w:textAlignment w:val="center"/>
              <w:rPr>
                <w:rFonts w:ascii="宋体" w:hAnsi="宋体"/>
                <w:b/>
                <w:color w:val="auto"/>
                <w:sz w:val="40"/>
                <w:szCs w:val="40"/>
                <w:highlight w:val="none"/>
              </w:rPr>
            </w:pPr>
            <w:r>
              <w:rPr>
                <w:rFonts w:hint="eastAsia" w:ascii="宋体" w:hAnsi="宋体"/>
                <w:b/>
                <w:color w:val="auto"/>
                <w:kern w:val="0"/>
                <w:sz w:val="40"/>
                <w:szCs w:val="40"/>
                <w:highlight w:val="none"/>
              </w:rPr>
              <w:t>建设项目概算汇总表</w:t>
            </w:r>
          </w:p>
        </w:tc>
      </w:tr>
      <w:tr>
        <w:tblPrEx>
          <w:tblCellMar>
            <w:top w:w="0" w:type="dxa"/>
            <w:left w:w="0" w:type="dxa"/>
            <w:bottom w:w="0" w:type="dxa"/>
            <w:right w:w="0" w:type="dxa"/>
          </w:tblCellMar>
        </w:tblPrEx>
        <w:trPr>
          <w:trHeight w:val="570" w:hRule="atLeast"/>
          <w:jc w:val="center"/>
        </w:trPr>
        <w:tc>
          <w:tcPr>
            <w:tcW w:w="3626" w:type="pct"/>
            <w:gridSpan w:val="5"/>
            <w:tcBorders>
              <w:top w:val="nil"/>
              <w:left w:val="nil"/>
              <w:bottom w:val="nil"/>
              <w:right w:val="nil"/>
            </w:tcBorders>
            <w:shd w:val="clear" w:color="auto" w:fill="FFFFFF"/>
            <w:tcMar>
              <w:top w:w="15" w:type="dxa"/>
              <w:left w:w="15" w:type="dxa"/>
              <w:bottom w:w="0" w:type="dxa"/>
              <w:right w:w="15" w:type="dxa"/>
            </w:tcMar>
            <w:vAlign w:val="bottom"/>
          </w:tcPr>
          <w:p>
            <w:pPr>
              <w:widowControl/>
              <w:jc w:val="left"/>
              <w:textAlignment w:val="bottom"/>
              <w:rPr>
                <w:rFonts w:hint="eastAsia" w:ascii="宋体" w:hAnsi="宋体" w:eastAsiaTheme="minorEastAsia"/>
                <w:color w:val="auto"/>
                <w:sz w:val="20"/>
                <w:szCs w:val="20"/>
                <w:highlight w:val="none"/>
                <w:lang w:eastAsia="zh-CN"/>
              </w:rPr>
            </w:pPr>
            <w:r>
              <w:rPr>
                <w:rFonts w:hint="eastAsia" w:ascii="宋体" w:hAnsi="宋体"/>
                <w:color w:val="auto"/>
                <w:kern w:val="0"/>
                <w:sz w:val="20"/>
                <w:szCs w:val="20"/>
                <w:highlight w:val="none"/>
              </w:rPr>
              <w:t>工程名称：</w:t>
            </w:r>
            <w:r>
              <w:rPr>
                <w:rFonts w:hint="eastAsia" w:ascii="宋体" w:hAnsi="宋体"/>
                <w:color w:val="auto"/>
                <w:kern w:val="0"/>
                <w:sz w:val="20"/>
                <w:szCs w:val="20"/>
                <w:highlight w:val="none"/>
                <w:lang w:eastAsia="zh-CN"/>
              </w:rPr>
              <w:t>京溪分公司硫酸铝加药池改造工程（第二次）</w:t>
            </w:r>
          </w:p>
        </w:tc>
        <w:tc>
          <w:tcPr>
            <w:tcW w:w="72" w:type="pct"/>
            <w:tcBorders>
              <w:top w:val="nil"/>
              <w:left w:val="nil"/>
              <w:bottom w:val="nil"/>
              <w:right w:val="nil"/>
            </w:tcBorders>
            <w:shd w:val="clear" w:color="auto" w:fill="FFFFFF"/>
            <w:tcMar>
              <w:top w:w="15" w:type="dxa"/>
              <w:left w:w="15" w:type="dxa"/>
              <w:bottom w:w="0" w:type="dxa"/>
              <w:right w:w="15" w:type="dxa"/>
            </w:tcMar>
            <w:vAlign w:val="bottom"/>
          </w:tcPr>
          <w:p>
            <w:pPr>
              <w:jc w:val="center"/>
              <w:rPr>
                <w:rFonts w:hint="eastAsia" w:ascii="宋体" w:hAnsi="宋体"/>
                <w:color w:val="auto"/>
                <w:sz w:val="20"/>
                <w:szCs w:val="20"/>
                <w:highlight w:val="none"/>
              </w:rPr>
            </w:pPr>
          </w:p>
        </w:tc>
        <w:tc>
          <w:tcPr>
            <w:tcW w:w="1302" w:type="pct"/>
            <w:gridSpan w:val="2"/>
            <w:tcBorders>
              <w:top w:val="nil"/>
              <w:left w:val="nil"/>
              <w:bottom w:val="nil"/>
              <w:right w:val="nil"/>
            </w:tcBorders>
            <w:shd w:val="clear" w:color="auto" w:fill="FFFFFF"/>
            <w:tcMar>
              <w:top w:w="15" w:type="dxa"/>
              <w:left w:w="15" w:type="dxa"/>
              <w:bottom w:w="0" w:type="dxa"/>
              <w:right w:w="15" w:type="dxa"/>
            </w:tcMar>
            <w:vAlign w:val="bottom"/>
          </w:tcPr>
          <w:p>
            <w:pPr>
              <w:widowControl/>
              <w:jc w:val="right"/>
              <w:textAlignment w:val="bottom"/>
              <w:rPr>
                <w:rFonts w:hint="eastAsia" w:ascii="宋体" w:hAnsi="宋体"/>
                <w:color w:val="auto"/>
                <w:sz w:val="20"/>
                <w:szCs w:val="20"/>
                <w:highlight w:val="none"/>
              </w:rPr>
            </w:pPr>
            <w:r>
              <w:rPr>
                <w:rFonts w:hint="eastAsia" w:ascii="宋体" w:hAnsi="宋体"/>
                <w:color w:val="auto"/>
                <w:kern w:val="0"/>
                <w:sz w:val="20"/>
                <w:szCs w:val="20"/>
                <w:highlight w:val="none"/>
              </w:rPr>
              <w:t>第 1 页 共 1 页</w:t>
            </w:r>
          </w:p>
        </w:tc>
      </w:tr>
      <w:tr>
        <w:tblPrEx>
          <w:tblCellMar>
            <w:top w:w="0" w:type="dxa"/>
            <w:left w:w="0" w:type="dxa"/>
            <w:bottom w:w="0" w:type="dxa"/>
            <w:right w:w="0" w:type="dxa"/>
          </w:tblCellMar>
        </w:tblPrEx>
        <w:trPr>
          <w:trHeight w:val="360" w:hRule="atLeast"/>
          <w:jc w:val="center"/>
        </w:trPr>
        <w:tc>
          <w:tcPr>
            <w:tcW w:w="520" w:type="pct"/>
            <w:vMerge w:val="restart"/>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hint="eastAsia" w:ascii="宋体" w:hAnsi="宋体"/>
                <w:color w:val="auto"/>
                <w:kern w:val="0"/>
                <w:sz w:val="20"/>
                <w:szCs w:val="20"/>
                <w:highlight w:val="none"/>
              </w:rPr>
              <w:t>序号</w:t>
            </w:r>
          </w:p>
        </w:tc>
        <w:tc>
          <w:tcPr>
            <w:tcW w:w="1562" w:type="pct"/>
            <w:vMerge w:val="restart"/>
            <w:tcBorders>
              <w:top w:val="single" w:color="000000" w:sz="8"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hint="eastAsia" w:ascii="宋体" w:hAnsi="宋体"/>
                <w:color w:val="auto"/>
                <w:kern w:val="0"/>
                <w:sz w:val="20"/>
                <w:szCs w:val="20"/>
                <w:highlight w:val="none"/>
              </w:rPr>
              <w:t>单项工程名称</w:t>
            </w:r>
          </w:p>
        </w:tc>
        <w:tc>
          <w:tcPr>
            <w:tcW w:w="844" w:type="pct"/>
            <w:vMerge w:val="restart"/>
            <w:tcBorders>
              <w:top w:val="single" w:color="000000" w:sz="8"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hint="eastAsia" w:ascii="宋体" w:hAnsi="宋体"/>
                <w:color w:val="auto"/>
                <w:kern w:val="0"/>
                <w:sz w:val="20"/>
                <w:szCs w:val="20"/>
                <w:highlight w:val="none"/>
              </w:rPr>
              <w:t>金额（元）</w:t>
            </w:r>
          </w:p>
        </w:tc>
        <w:tc>
          <w:tcPr>
            <w:tcW w:w="2074" w:type="pct"/>
            <w:gridSpan w:val="5"/>
            <w:tcBorders>
              <w:top w:val="single" w:color="000000" w:sz="8"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hint="eastAsia" w:ascii="宋体" w:hAnsi="宋体"/>
                <w:color w:val="auto"/>
                <w:kern w:val="0"/>
                <w:sz w:val="20"/>
                <w:szCs w:val="20"/>
                <w:highlight w:val="none"/>
              </w:rPr>
              <w:t>其中: （元）</w:t>
            </w:r>
          </w:p>
        </w:tc>
      </w:tr>
      <w:tr>
        <w:tblPrEx>
          <w:tblCellMar>
            <w:top w:w="0" w:type="dxa"/>
            <w:left w:w="0" w:type="dxa"/>
            <w:bottom w:w="0" w:type="dxa"/>
            <w:right w:w="0" w:type="dxa"/>
          </w:tblCellMar>
        </w:tblPrEx>
        <w:trPr>
          <w:trHeight w:val="570" w:hRule="atLeast"/>
          <w:jc w:val="center"/>
        </w:trPr>
        <w:tc>
          <w:tcPr>
            <w:tcW w:w="0" w:type="auto"/>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olor w:val="auto"/>
                <w:sz w:val="20"/>
                <w:szCs w:val="20"/>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olor w:val="auto"/>
                <w:sz w:val="20"/>
                <w:szCs w:val="20"/>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olor w:val="auto"/>
                <w:sz w:val="20"/>
                <w:szCs w:val="20"/>
                <w:highlight w:val="none"/>
              </w:rPr>
            </w:pPr>
          </w:p>
        </w:tc>
        <w:tc>
          <w:tcPr>
            <w:tcW w:w="667"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hint="eastAsia" w:ascii="宋体" w:hAnsi="宋体"/>
                <w:color w:val="auto"/>
                <w:kern w:val="0"/>
                <w:sz w:val="20"/>
                <w:szCs w:val="20"/>
                <w:highlight w:val="none"/>
              </w:rPr>
              <w:t>暂估价</w:t>
            </w:r>
          </w:p>
        </w:tc>
        <w:tc>
          <w:tcPr>
            <w:tcW w:w="680" w:type="pct"/>
            <w:gridSpan w:val="3"/>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hint="eastAsia" w:ascii="宋体" w:hAnsi="宋体"/>
                <w:color w:val="auto"/>
                <w:kern w:val="0"/>
                <w:sz w:val="20"/>
                <w:szCs w:val="20"/>
                <w:highlight w:val="none"/>
              </w:rPr>
              <w:t>绿色施工安全防护措施费</w:t>
            </w:r>
          </w:p>
        </w:tc>
        <w:tc>
          <w:tcPr>
            <w:tcW w:w="727" w:type="pct"/>
            <w:tcBorders>
              <w:top w:val="single" w:color="000000" w:sz="4" w:space="0"/>
              <w:left w:val="nil"/>
              <w:bottom w:val="single" w:color="000000" w:sz="4" w:space="0"/>
              <w:right w:val="single" w:color="000000" w:sz="8"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hint="eastAsia" w:ascii="宋体" w:hAnsi="宋体"/>
                <w:color w:val="auto"/>
                <w:kern w:val="0"/>
                <w:sz w:val="20"/>
                <w:szCs w:val="20"/>
                <w:highlight w:val="none"/>
              </w:rPr>
              <w:t>规费</w:t>
            </w:r>
          </w:p>
        </w:tc>
      </w:tr>
      <w:tr>
        <w:tblPrEx>
          <w:tblCellMar>
            <w:top w:w="0" w:type="dxa"/>
            <w:left w:w="0" w:type="dxa"/>
            <w:bottom w:w="0" w:type="dxa"/>
            <w:right w:w="0" w:type="dxa"/>
          </w:tblCellMar>
        </w:tblPrEx>
        <w:trPr>
          <w:trHeight w:val="570" w:hRule="atLeast"/>
          <w:jc w:val="center"/>
        </w:trPr>
        <w:tc>
          <w:tcPr>
            <w:tcW w:w="520" w:type="pc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hint="eastAsia" w:ascii="宋体" w:hAnsi="宋体"/>
                <w:color w:val="auto"/>
                <w:kern w:val="0"/>
                <w:sz w:val="20"/>
                <w:szCs w:val="20"/>
                <w:highlight w:val="none"/>
              </w:rPr>
              <w:t>1</w:t>
            </w:r>
          </w:p>
        </w:tc>
        <w:tc>
          <w:tcPr>
            <w:tcW w:w="1562"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hint="eastAsia" w:ascii="宋体" w:hAnsi="宋体" w:eastAsiaTheme="minorEastAsia"/>
                <w:color w:val="auto"/>
                <w:sz w:val="20"/>
                <w:szCs w:val="20"/>
                <w:highlight w:val="none"/>
                <w:lang w:eastAsia="zh-CN"/>
              </w:rPr>
            </w:pPr>
            <w:r>
              <w:rPr>
                <w:rFonts w:hint="eastAsia" w:ascii="宋体" w:hAnsi="宋体"/>
                <w:color w:val="auto"/>
                <w:kern w:val="0"/>
                <w:sz w:val="20"/>
                <w:szCs w:val="20"/>
                <w:highlight w:val="none"/>
                <w:lang w:eastAsia="zh-CN"/>
              </w:rPr>
              <w:t>京溪分公司硫酸铝加药池改造工程（第二次）</w:t>
            </w:r>
          </w:p>
        </w:tc>
        <w:tc>
          <w:tcPr>
            <w:tcW w:w="844"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p>
        </w:tc>
        <w:tc>
          <w:tcPr>
            <w:tcW w:w="667"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auto"/>
                <w:sz w:val="20"/>
                <w:szCs w:val="20"/>
                <w:highlight w:val="none"/>
              </w:rPr>
            </w:pPr>
          </w:p>
        </w:tc>
        <w:tc>
          <w:tcPr>
            <w:tcW w:w="680" w:type="pct"/>
            <w:gridSpan w:val="3"/>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ascii="宋体" w:hAnsi="宋体"/>
                <w:color w:val="auto"/>
                <w:kern w:val="0"/>
                <w:sz w:val="20"/>
                <w:szCs w:val="20"/>
                <w:highlight w:val="none"/>
              </w:rPr>
              <w:t>4204.41</w:t>
            </w:r>
          </w:p>
        </w:tc>
        <w:tc>
          <w:tcPr>
            <w:tcW w:w="727" w:type="pct"/>
            <w:tcBorders>
              <w:top w:val="single" w:color="000000" w:sz="4" w:space="0"/>
              <w:left w:val="nil"/>
              <w:bottom w:val="single" w:color="000000" w:sz="4" w:space="0"/>
              <w:right w:val="single" w:color="000000" w:sz="8" w:space="0"/>
            </w:tcBorders>
            <w:shd w:val="clear" w:color="auto" w:fill="FFFFFF"/>
            <w:tcMar>
              <w:top w:w="15" w:type="dxa"/>
              <w:left w:w="15" w:type="dxa"/>
              <w:bottom w:w="0" w:type="dxa"/>
              <w:right w:w="15" w:type="dxa"/>
            </w:tcMar>
            <w:vAlign w:val="center"/>
          </w:tcPr>
          <w:p>
            <w:pPr>
              <w:jc w:val="center"/>
              <w:rPr>
                <w:rFonts w:hint="eastAsia" w:ascii="宋体" w:hAnsi="宋体"/>
                <w:color w:val="auto"/>
                <w:sz w:val="20"/>
                <w:szCs w:val="20"/>
                <w:highlight w:val="none"/>
              </w:rPr>
            </w:pPr>
          </w:p>
        </w:tc>
      </w:tr>
      <w:tr>
        <w:tblPrEx>
          <w:tblCellMar>
            <w:top w:w="0" w:type="dxa"/>
            <w:left w:w="0" w:type="dxa"/>
            <w:bottom w:w="0" w:type="dxa"/>
            <w:right w:w="0" w:type="dxa"/>
          </w:tblCellMar>
        </w:tblPrEx>
        <w:trPr>
          <w:trHeight w:val="570" w:hRule="atLeast"/>
          <w:jc w:val="center"/>
        </w:trPr>
        <w:tc>
          <w:tcPr>
            <w:tcW w:w="520" w:type="pc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hint="eastAsia" w:ascii="宋体" w:hAnsi="宋体"/>
                <w:color w:val="auto"/>
                <w:kern w:val="0"/>
                <w:sz w:val="20"/>
                <w:szCs w:val="20"/>
                <w:highlight w:val="none"/>
              </w:rPr>
              <w:t>1.1</w:t>
            </w:r>
          </w:p>
        </w:tc>
        <w:tc>
          <w:tcPr>
            <w:tcW w:w="1562"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hint="eastAsia" w:ascii="宋体" w:hAnsi="宋体"/>
                <w:color w:val="auto"/>
                <w:sz w:val="20"/>
                <w:szCs w:val="20"/>
                <w:highlight w:val="none"/>
              </w:rPr>
            </w:pPr>
            <w:r>
              <w:rPr>
                <w:rFonts w:hint="eastAsia" w:ascii="宋体" w:hAnsi="宋体"/>
                <w:color w:val="auto"/>
                <w:kern w:val="0"/>
                <w:sz w:val="20"/>
                <w:szCs w:val="20"/>
                <w:highlight w:val="none"/>
                <w:lang w:eastAsia="zh-CN"/>
              </w:rPr>
              <w:t>京溪分公司硫酸铝加药池改造工程（第二次）</w:t>
            </w:r>
            <w:r>
              <w:rPr>
                <w:rFonts w:hint="eastAsia" w:ascii="宋体" w:hAnsi="宋体"/>
                <w:color w:val="auto"/>
                <w:kern w:val="0"/>
                <w:sz w:val="20"/>
                <w:szCs w:val="20"/>
                <w:highlight w:val="none"/>
              </w:rPr>
              <w:t>——建筑工程</w:t>
            </w:r>
          </w:p>
        </w:tc>
        <w:tc>
          <w:tcPr>
            <w:tcW w:w="844"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p>
        </w:tc>
        <w:tc>
          <w:tcPr>
            <w:tcW w:w="667"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auto"/>
                <w:sz w:val="20"/>
                <w:szCs w:val="20"/>
                <w:highlight w:val="none"/>
              </w:rPr>
            </w:pPr>
          </w:p>
        </w:tc>
        <w:tc>
          <w:tcPr>
            <w:tcW w:w="680" w:type="pct"/>
            <w:gridSpan w:val="3"/>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ascii="宋体" w:hAnsi="宋体"/>
                <w:color w:val="auto"/>
                <w:kern w:val="0"/>
                <w:sz w:val="20"/>
                <w:szCs w:val="20"/>
                <w:highlight w:val="none"/>
              </w:rPr>
              <w:t>2463.81</w:t>
            </w:r>
          </w:p>
        </w:tc>
        <w:tc>
          <w:tcPr>
            <w:tcW w:w="727" w:type="pct"/>
            <w:tcBorders>
              <w:top w:val="single" w:color="000000" w:sz="4" w:space="0"/>
              <w:left w:val="nil"/>
              <w:bottom w:val="single" w:color="000000" w:sz="4" w:space="0"/>
              <w:right w:val="single" w:color="000000" w:sz="8" w:space="0"/>
            </w:tcBorders>
            <w:shd w:val="clear" w:color="auto" w:fill="FFFFFF"/>
            <w:tcMar>
              <w:top w:w="15" w:type="dxa"/>
              <w:left w:w="15" w:type="dxa"/>
              <w:bottom w:w="0" w:type="dxa"/>
              <w:right w:w="15" w:type="dxa"/>
            </w:tcMar>
            <w:vAlign w:val="center"/>
          </w:tcPr>
          <w:p>
            <w:pPr>
              <w:jc w:val="center"/>
              <w:rPr>
                <w:rFonts w:hint="eastAsia" w:ascii="宋体" w:hAnsi="宋体"/>
                <w:color w:val="auto"/>
                <w:sz w:val="20"/>
                <w:szCs w:val="20"/>
                <w:highlight w:val="none"/>
              </w:rPr>
            </w:pPr>
          </w:p>
        </w:tc>
      </w:tr>
      <w:tr>
        <w:tblPrEx>
          <w:tblCellMar>
            <w:top w:w="0" w:type="dxa"/>
            <w:left w:w="0" w:type="dxa"/>
            <w:bottom w:w="0" w:type="dxa"/>
            <w:right w:w="0" w:type="dxa"/>
          </w:tblCellMar>
        </w:tblPrEx>
        <w:trPr>
          <w:trHeight w:val="570" w:hRule="atLeast"/>
          <w:jc w:val="center"/>
        </w:trPr>
        <w:tc>
          <w:tcPr>
            <w:tcW w:w="520" w:type="pc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hint="eastAsia" w:ascii="宋体" w:hAnsi="宋体"/>
                <w:color w:val="auto"/>
                <w:kern w:val="0"/>
                <w:sz w:val="20"/>
                <w:szCs w:val="20"/>
                <w:highlight w:val="none"/>
              </w:rPr>
              <w:t>1.2</w:t>
            </w:r>
          </w:p>
        </w:tc>
        <w:tc>
          <w:tcPr>
            <w:tcW w:w="1562"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hint="eastAsia" w:ascii="宋体" w:hAnsi="宋体"/>
                <w:color w:val="auto"/>
                <w:sz w:val="20"/>
                <w:szCs w:val="20"/>
                <w:highlight w:val="none"/>
              </w:rPr>
            </w:pPr>
            <w:r>
              <w:rPr>
                <w:rFonts w:hint="eastAsia" w:ascii="宋体" w:hAnsi="宋体"/>
                <w:color w:val="auto"/>
                <w:kern w:val="0"/>
                <w:sz w:val="20"/>
                <w:szCs w:val="20"/>
                <w:highlight w:val="none"/>
                <w:lang w:eastAsia="zh-CN"/>
              </w:rPr>
              <w:t>京溪分公司硫酸铝加药池改造工程（第二次）</w:t>
            </w:r>
            <w:r>
              <w:rPr>
                <w:rFonts w:hint="eastAsia" w:ascii="宋体" w:hAnsi="宋体"/>
                <w:color w:val="auto"/>
                <w:kern w:val="0"/>
                <w:sz w:val="20"/>
                <w:szCs w:val="20"/>
                <w:highlight w:val="none"/>
              </w:rPr>
              <w:t>——安装工程</w:t>
            </w:r>
          </w:p>
        </w:tc>
        <w:tc>
          <w:tcPr>
            <w:tcW w:w="844"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p>
        </w:tc>
        <w:tc>
          <w:tcPr>
            <w:tcW w:w="667"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auto"/>
                <w:sz w:val="20"/>
                <w:szCs w:val="20"/>
                <w:highlight w:val="none"/>
              </w:rPr>
            </w:pPr>
          </w:p>
        </w:tc>
        <w:tc>
          <w:tcPr>
            <w:tcW w:w="680" w:type="pct"/>
            <w:gridSpan w:val="3"/>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sz w:val="20"/>
                <w:szCs w:val="20"/>
                <w:highlight w:val="none"/>
              </w:rPr>
            </w:pPr>
            <w:r>
              <w:rPr>
                <w:rFonts w:ascii="宋体" w:hAnsi="宋体"/>
                <w:color w:val="auto"/>
                <w:kern w:val="0"/>
                <w:sz w:val="20"/>
                <w:szCs w:val="20"/>
                <w:highlight w:val="none"/>
              </w:rPr>
              <w:t>1740.60</w:t>
            </w:r>
          </w:p>
        </w:tc>
        <w:tc>
          <w:tcPr>
            <w:tcW w:w="727" w:type="pct"/>
            <w:tcBorders>
              <w:top w:val="single" w:color="000000" w:sz="4" w:space="0"/>
              <w:left w:val="nil"/>
              <w:bottom w:val="single" w:color="000000" w:sz="4" w:space="0"/>
              <w:right w:val="single" w:color="000000" w:sz="8" w:space="0"/>
            </w:tcBorders>
            <w:shd w:val="clear" w:color="auto" w:fill="FFFFFF"/>
            <w:tcMar>
              <w:top w:w="15" w:type="dxa"/>
              <w:left w:w="15" w:type="dxa"/>
              <w:bottom w:w="0" w:type="dxa"/>
              <w:right w:w="15" w:type="dxa"/>
            </w:tcMar>
            <w:vAlign w:val="center"/>
          </w:tcPr>
          <w:p>
            <w:pPr>
              <w:jc w:val="center"/>
              <w:rPr>
                <w:rFonts w:hint="eastAsia" w:ascii="宋体" w:hAnsi="宋体"/>
                <w:color w:val="auto"/>
                <w:sz w:val="20"/>
                <w:szCs w:val="20"/>
                <w:highlight w:val="none"/>
              </w:rPr>
            </w:pPr>
          </w:p>
        </w:tc>
      </w:tr>
      <w:tr>
        <w:tblPrEx>
          <w:tblCellMar>
            <w:top w:w="0" w:type="dxa"/>
            <w:left w:w="0" w:type="dxa"/>
            <w:bottom w:w="0" w:type="dxa"/>
            <w:right w:w="0" w:type="dxa"/>
          </w:tblCellMar>
        </w:tblPrEx>
        <w:trPr>
          <w:trHeight w:val="360" w:hRule="atLeast"/>
          <w:jc w:val="center"/>
        </w:trPr>
        <w:tc>
          <w:tcPr>
            <w:tcW w:w="520" w:type="pc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auto"/>
                <w:sz w:val="20"/>
                <w:szCs w:val="20"/>
                <w:highlight w:val="none"/>
              </w:rPr>
            </w:pPr>
          </w:p>
        </w:tc>
        <w:tc>
          <w:tcPr>
            <w:tcW w:w="1562"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left"/>
              <w:rPr>
                <w:rFonts w:hint="eastAsia" w:ascii="宋体" w:hAnsi="宋体"/>
                <w:color w:val="auto"/>
                <w:sz w:val="20"/>
                <w:szCs w:val="20"/>
                <w:highlight w:val="none"/>
              </w:rPr>
            </w:pPr>
          </w:p>
        </w:tc>
        <w:tc>
          <w:tcPr>
            <w:tcW w:w="844"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auto"/>
                <w:sz w:val="20"/>
                <w:szCs w:val="20"/>
                <w:highlight w:val="none"/>
              </w:rPr>
            </w:pPr>
          </w:p>
        </w:tc>
        <w:tc>
          <w:tcPr>
            <w:tcW w:w="667" w:type="pc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auto"/>
                <w:sz w:val="20"/>
                <w:szCs w:val="20"/>
                <w:highlight w:val="none"/>
              </w:rPr>
            </w:pPr>
          </w:p>
        </w:tc>
        <w:tc>
          <w:tcPr>
            <w:tcW w:w="680" w:type="pct"/>
            <w:gridSpan w:val="3"/>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hint="eastAsia" w:ascii="宋体" w:hAnsi="宋体"/>
                <w:color w:val="auto"/>
                <w:sz w:val="20"/>
                <w:szCs w:val="20"/>
                <w:highlight w:val="none"/>
              </w:rPr>
            </w:pPr>
          </w:p>
        </w:tc>
        <w:tc>
          <w:tcPr>
            <w:tcW w:w="727" w:type="pct"/>
            <w:tcBorders>
              <w:top w:val="single" w:color="000000" w:sz="4" w:space="0"/>
              <w:left w:val="nil"/>
              <w:bottom w:val="single" w:color="000000" w:sz="4" w:space="0"/>
              <w:right w:val="single" w:color="000000" w:sz="8" w:space="0"/>
            </w:tcBorders>
            <w:shd w:val="clear" w:color="auto" w:fill="FFFFFF"/>
            <w:tcMar>
              <w:top w:w="15" w:type="dxa"/>
              <w:left w:w="15" w:type="dxa"/>
              <w:bottom w:w="0" w:type="dxa"/>
              <w:right w:w="15" w:type="dxa"/>
            </w:tcMar>
            <w:vAlign w:val="center"/>
          </w:tcPr>
          <w:p>
            <w:pPr>
              <w:jc w:val="center"/>
              <w:rPr>
                <w:rFonts w:hint="eastAsia" w:ascii="宋体" w:hAnsi="宋体"/>
                <w:color w:val="auto"/>
                <w:sz w:val="20"/>
                <w:szCs w:val="20"/>
                <w:highlight w:val="none"/>
              </w:rPr>
            </w:pPr>
          </w:p>
        </w:tc>
      </w:tr>
      <w:tr>
        <w:tblPrEx>
          <w:tblCellMar>
            <w:top w:w="0" w:type="dxa"/>
            <w:left w:w="0" w:type="dxa"/>
            <w:bottom w:w="0" w:type="dxa"/>
            <w:right w:w="0" w:type="dxa"/>
          </w:tblCellMar>
        </w:tblPrEx>
        <w:trPr>
          <w:trHeight w:val="651" w:hRule="atLeast"/>
          <w:jc w:val="center"/>
        </w:trPr>
        <w:tc>
          <w:tcPr>
            <w:tcW w:w="2082" w:type="pct"/>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金额合计</w:t>
            </w:r>
          </w:p>
        </w:tc>
        <w:tc>
          <w:tcPr>
            <w:tcW w:w="844" w:type="pct"/>
            <w:tcBorders>
              <w:top w:val="single" w:color="000000" w:sz="4" w:space="0"/>
              <w:left w:val="nil"/>
              <w:bottom w:val="single" w:color="000000" w:sz="8"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kern w:val="0"/>
                <w:sz w:val="20"/>
                <w:szCs w:val="20"/>
                <w:highlight w:val="none"/>
              </w:rPr>
            </w:pPr>
          </w:p>
        </w:tc>
        <w:tc>
          <w:tcPr>
            <w:tcW w:w="667" w:type="pct"/>
            <w:tcBorders>
              <w:top w:val="single" w:color="000000" w:sz="4" w:space="0"/>
              <w:left w:val="nil"/>
              <w:bottom w:val="single" w:color="000000" w:sz="8"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kern w:val="0"/>
                <w:sz w:val="20"/>
                <w:szCs w:val="20"/>
                <w:highlight w:val="none"/>
              </w:rPr>
            </w:pPr>
          </w:p>
        </w:tc>
        <w:tc>
          <w:tcPr>
            <w:tcW w:w="680" w:type="pct"/>
            <w:gridSpan w:val="3"/>
            <w:tcBorders>
              <w:top w:val="single" w:color="000000" w:sz="4" w:space="0"/>
              <w:left w:val="nil"/>
              <w:bottom w:val="single" w:color="000000" w:sz="8"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kern w:val="0"/>
                <w:sz w:val="20"/>
                <w:szCs w:val="20"/>
                <w:highlight w:val="none"/>
              </w:rPr>
            </w:pPr>
          </w:p>
        </w:tc>
        <w:tc>
          <w:tcPr>
            <w:tcW w:w="727" w:type="pct"/>
            <w:tcBorders>
              <w:top w:val="single" w:color="000000" w:sz="4" w:space="0"/>
              <w:left w:val="nil"/>
              <w:bottom w:val="single" w:color="000000" w:sz="8" w:space="0"/>
              <w:right w:val="single" w:color="000000" w:sz="8" w:space="0"/>
            </w:tcBorders>
            <w:shd w:val="clear" w:color="auto" w:fill="FFFFFF"/>
            <w:tcMar>
              <w:top w:w="15" w:type="dxa"/>
              <w:left w:w="15" w:type="dxa"/>
              <w:bottom w:w="0" w:type="dxa"/>
              <w:right w:w="15" w:type="dxa"/>
            </w:tcMar>
            <w:vAlign w:val="center"/>
          </w:tcPr>
          <w:p>
            <w:pPr>
              <w:widowControl/>
              <w:jc w:val="center"/>
              <w:textAlignment w:val="center"/>
              <w:rPr>
                <w:rFonts w:hint="eastAsia" w:ascii="宋体" w:hAnsi="宋体"/>
                <w:color w:val="auto"/>
                <w:kern w:val="0"/>
                <w:sz w:val="20"/>
                <w:szCs w:val="20"/>
                <w:highlight w:val="none"/>
              </w:rPr>
            </w:pPr>
          </w:p>
        </w:tc>
      </w:tr>
    </w:tbl>
    <w:p>
      <w:pPr>
        <w:autoSpaceDE w:val="0"/>
        <w:autoSpaceDN w:val="0"/>
        <w:spacing w:line="520" w:lineRule="exact"/>
        <w:rPr>
          <w:rFonts w:ascii="宋体" w:hAnsi="宋体"/>
          <w:b/>
          <w:bCs/>
          <w:color w:val="auto"/>
          <w:sz w:val="24"/>
          <w:szCs w:val="24"/>
          <w:highlight w:val="none"/>
        </w:rPr>
      </w:pPr>
    </w:p>
    <w:p>
      <w:pPr>
        <w:adjustRightInd w:val="0"/>
        <w:snapToGrid w:val="0"/>
        <w:spacing w:line="600" w:lineRule="exact"/>
        <w:ind w:firstLine="570"/>
        <w:jc w:val="center"/>
        <w:rPr>
          <w:rFonts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t>单位工程费汇总表</w:t>
      </w:r>
    </w:p>
    <w:p>
      <w:pPr>
        <w:widowControl/>
        <w:ind w:firstLine="600" w:firstLineChars="300"/>
        <w:jc w:val="left"/>
        <w:textAlignment w:val="center"/>
        <w:rPr>
          <w:rFonts w:ascii="宋体" w:hAnsi="宋体"/>
          <w:color w:val="auto"/>
          <w:kern w:val="0"/>
          <w:sz w:val="20"/>
          <w:szCs w:val="20"/>
          <w:highlight w:val="none"/>
        </w:rPr>
      </w:pPr>
      <w:r>
        <w:rPr>
          <w:rFonts w:hint="eastAsia" w:ascii="宋体" w:hAnsi="宋体"/>
          <w:color w:val="auto"/>
          <w:kern w:val="0"/>
          <w:sz w:val="20"/>
          <w:szCs w:val="20"/>
          <w:highlight w:val="none"/>
          <w:lang w:eastAsia="zh-CN"/>
        </w:rPr>
        <w:t>京溪分公司硫酸铝加药池改造工程（第二次）</w:t>
      </w:r>
      <w:r>
        <w:rPr>
          <w:rFonts w:hint="eastAsia" w:ascii="宋体" w:hAnsi="宋体"/>
          <w:color w:val="auto"/>
          <w:kern w:val="0"/>
          <w:sz w:val="20"/>
          <w:szCs w:val="20"/>
          <w:highlight w:val="none"/>
        </w:rPr>
        <w:t>-建筑工程部分</w:t>
      </w:r>
    </w:p>
    <w:tbl>
      <w:tblPr>
        <w:tblStyle w:val="22"/>
        <w:tblW w:w="10053" w:type="dxa"/>
        <w:jc w:val="center"/>
        <w:tblLayout w:type="autofit"/>
        <w:tblCellMar>
          <w:top w:w="0" w:type="dxa"/>
          <w:left w:w="108" w:type="dxa"/>
          <w:bottom w:w="0" w:type="dxa"/>
          <w:right w:w="108" w:type="dxa"/>
        </w:tblCellMar>
      </w:tblPr>
      <w:tblGrid>
        <w:gridCol w:w="798"/>
        <w:gridCol w:w="4770"/>
        <w:gridCol w:w="2520"/>
        <w:gridCol w:w="1965"/>
      </w:tblGrid>
      <w:tr>
        <w:tblPrEx>
          <w:tblCellMar>
            <w:top w:w="0" w:type="dxa"/>
            <w:left w:w="108" w:type="dxa"/>
            <w:bottom w:w="0" w:type="dxa"/>
            <w:right w:w="108" w:type="dxa"/>
          </w:tblCellMar>
        </w:tblPrEx>
        <w:trPr>
          <w:trHeight w:val="375" w:hRule="atLeast"/>
          <w:jc w:val="center"/>
        </w:trPr>
        <w:tc>
          <w:tcPr>
            <w:tcW w:w="798"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序号</w:t>
            </w:r>
          </w:p>
        </w:tc>
        <w:tc>
          <w:tcPr>
            <w:tcW w:w="4770"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汇总内容</w:t>
            </w:r>
          </w:p>
        </w:tc>
        <w:tc>
          <w:tcPr>
            <w:tcW w:w="2520"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金额:(元)</w:t>
            </w:r>
          </w:p>
        </w:tc>
        <w:tc>
          <w:tcPr>
            <w:tcW w:w="1965" w:type="dxa"/>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其中：暂估价(元)</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分部分项合计</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1.1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混泥土及钢筋混泥土工程</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1.2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装饰工程</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1.3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其他</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措施合计</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2.1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绿色施工安全防护措施费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r>
              <w:rPr>
                <w:rFonts w:hint="eastAsia" w:ascii="宋体" w:hAnsi="宋体"/>
                <w:color w:val="auto"/>
                <w:sz w:val="20"/>
                <w:szCs w:val="20"/>
                <w:highlight w:val="none"/>
              </w:rPr>
              <w:t>2463.81</w:t>
            </w: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2.2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其他措施费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kern w:val="0"/>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其他项目</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auto"/>
                <w:sz w:val="20"/>
                <w:szCs w:val="20"/>
                <w:highlight w:val="none"/>
              </w:rPr>
            </w:pPr>
            <w:r>
              <w:rPr>
                <w:rFonts w:hint="eastAsia" w:ascii="宋体" w:hAnsi="宋体"/>
                <w:color w:val="auto"/>
                <w:kern w:val="0"/>
                <w:sz w:val="20"/>
                <w:szCs w:val="20"/>
                <w:highlight w:val="none"/>
              </w:rPr>
              <w:t>－</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暂列金额</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暂估价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计日工</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3.4</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总承包服务费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3.5</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预算包干费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3.6</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工程优质费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3.7</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概算幅度差</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3.8</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索赔费用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3.9</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现场签证费用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3.10</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其他费用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3.11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独立费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4</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税前工程造价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auto"/>
                <w:sz w:val="20"/>
                <w:szCs w:val="20"/>
                <w:highlight w:val="none"/>
              </w:rPr>
            </w:pPr>
            <w:r>
              <w:rPr>
                <w:rFonts w:hint="eastAsia" w:ascii="宋体" w:hAnsi="宋体"/>
                <w:color w:val="auto"/>
                <w:kern w:val="0"/>
                <w:sz w:val="20"/>
                <w:szCs w:val="20"/>
                <w:highlight w:val="none"/>
              </w:rPr>
              <w:t>－</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5</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增值税销项税额</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6</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总造价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7</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人工费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kern w:val="0"/>
                <w:sz w:val="20"/>
                <w:szCs w:val="20"/>
                <w:highlight w:val="none"/>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5568"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合计=1+2+3+5</w:t>
            </w:r>
          </w:p>
        </w:tc>
        <w:tc>
          <w:tcPr>
            <w:tcW w:w="2520" w:type="dxa"/>
            <w:tcBorders>
              <w:top w:val="single" w:color="000000" w:sz="4" w:space="0"/>
              <w:left w:val="nil"/>
              <w:bottom w:val="single" w:color="000000" w:sz="8"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65" w:type="dxa"/>
            <w:tcBorders>
              <w:top w:val="single" w:color="000000" w:sz="4" w:space="0"/>
              <w:left w:val="nil"/>
              <w:bottom w:val="single" w:color="000000" w:sz="8" w:space="0"/>
              <w:right w:val="single" w:color="000000" w:sz="8" w:space="0"/>
            </w:tcBorders>
            <w:shd w:val="clear" w:color="auto" w:fill="FFFFFF"/>
            <w:vAlign w:val="center"/>
          </w:tcPr>
          <w:p>
            <w:pPr>
              <w:widowControl/>
              <w:jc w:val="right"/>
              <w:textAlignment w:val="center"/>
              <w:rPr>
                <w:rFonts w:ascii="宋体" w:hAnsi="宋体"/>
                <w:color w:val="auto"/>
                <w:sz w:val="20"/>
                <w:szCs w:val="20"/>
                <w:highlight w:val="none"/>
              </w:rPr>
            </w:pPr>
          </w:p>
        </w:tc>
      </w:tr>
    </w:tbl>
    <w:p>
      <w:pPr>
        <w:pStyle w:val="2"/>
        <w:rPr>
          <w:color w:val="auto"/>
          <w:highlight w:val="none"/>
        </w:rPr>
      </w:pPr>
    </w:p>
    <w:p>
      <w:pPr>
        <w:pStyle w:val="2"/>
        <w:jc w:val="center"/>
        <w:rPr>
          <w:rFonts w:ascii="仿宋_GB2312" w:eastAsia="仿宋_GB2312"/>
          <w:b/>
          <w:bCs/>
          <w:color w:val="auto"/>
          <w:highlight w:val="none"/>
        </w:rPr>
      </w:pPr>
      <w:r>
        <w:rPr>
          <w:rFonts w:hint="eastAsia" w:ascii="仿宋_GB2312" w:eastAsia="仿宋_GB2312"/>
          <w:b/>
          <w:bCs/>
          <w:color w:val="auto"/>
          <w:highlight w:val="none"/>
        </w:rPr>
        <w:t>分部分项工程和单价措施项目清单与计价表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40"/>
        <w:gridCol w:w="1417"/>
        <w:gridCol w:w="1503"/>
        <w:gridCol w:w="2469"/>
        <w:gridCol w:w="710"/>
        <w:gridCol w:w="816"/>
        <w:gridCol w:w="1176"/>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84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序号</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项目编码</w:t>
            </w:r>
          </w:p>
        </w:tc>
        <w:tc>
          <w:tcPr>
            <w:tcW w:w="150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项目名称</w:t>
            </w:r>
          </w:p>
        </w:tc>
        <w:tc>
          <w:tcPr>
            <w:tcW w:w="246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项目特征描述</w:t>
            </w:r>
          </w:p>
        </w:tc>
        <w:tc>
          <w:tcPr>
            <w:tcW w:w="71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计量单位</w:t>
            </w:r>
          </w:p>
        </w:tc>
        <w:tc>
          <w:tcPr>
            <w:tcW w:w="8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工程量</w:t>
            </w:r>
          </w:p>
        </w:tc>
        <w:tc>
          <w:tcPr>
            <w:tcW w:w="231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8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7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8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1176" w:type="dxa"/>
            <w:vMerge w:val="restart"/>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综合单价</w:t>
            </w:r>
          </w:p>
        </w:tc>
        <w:tc>
          <w:tcPr>
            <w:tcW w:w="113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综合合价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8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7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8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117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color w:val="auto"/>
                <w:kern w:val="0"/>
                <w:sz w:val="20"/>
                <w:szCs w:val="20"/>
                <w:highlight w:val="none"/>
              </w:rPr>
            </w:pP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混凝土及钢筋混凝土工程</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right="200"/>
              <w:jc w:val="right"/>
              <w:rPr>
                <w:rFonts w:ascii="宋体" w:hAnsi="宋体"/>
                <w:color w:val="auto"/>
                <w:kern w:val="0"/>
                <w:sz w:val="20"/>
                <w:szCs w:val="20"/>
                <w:highlight w:val="none"/>
              </w:rPr>
            </w:pP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right="200"/>
              <w:jc w:val="right"/>
              <w:rPr>
                <w:rFonts w:ascii="宋体" w:hAnsi="宋体"/>
                <w:color w:val="auto"/>
                <w:kern w:val="0"/>
                <w:sz w:val="20"/>
                <w:szCs w:val="20"/>
                <w:highlight w:val="none"/>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right="200"/>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011602002001</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钢筋混凝土构件拆除</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1.构件名称:拆除钢筋混凝土有梁板</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m3</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0.98</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粤R1-1-1</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池底板</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1.名称:混凝土池底板</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2.混凝土强度等级:商品混凝土C30</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3.抗渗等级:P6</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4.添加剂:双掺8%抗裂剂和抗裂纤维,抗裂纤维掺量为0.9kg/m3</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m3</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7.32</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3</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010505006001</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水池检修口反边</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1.名称:水池检修口反边</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2.混凝土强度等级:商品混凝土C30</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3.抗渗等级:P6</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4.添加剂:双掺8%抗裂剂和抗裂纤维,抗裂纤维掺量为0.9kg/m3</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m3</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0.09</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010503002001</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矩形梁</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1.名称:混凝土矩形梁</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2.混凝土强度等级:商品混凝土C30</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3.抗渗等级:P6</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4.添加剂:双掺8%抗裂剂和抗裂纤维,抗裂纤维掺量为0.9kg/m3</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m3</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0.08</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5</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粤R1-1-2</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池壁</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1.名称:混凝土水池侧壁</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2.混凝土强度等级:商品混凝土C30</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3.抗渗等级:P6</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4.添加剂:双掺8%抗裂剂和抗裂纤维,抗裂纤维掺量为0.9kg/m3</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m3</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15.63</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0"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6</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010515001002</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现浇构件钢筋</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1.名称:现浇构件钢筋</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2.规格:III级(HRB400)，φ10以内</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t</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0.047</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0"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7</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010515001006</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现浇构件钢筋</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1.名称:现浇构件钢筋</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2.规格:III级(HRB400)，φ25以内</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t</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4.298</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8</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010515009001</w:t>
            </w:r>
          </w:p>
        </w:tc>
        <w:tc>
          <w:tcPr>
            <w:tcW w:w="15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支撑钢筋(铁马)</w:t>
            </w:r>
          </w:p>
        </w:tc>
        <w:tc>
          <w:tcPr>
            <w:tcW w:w="24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1.名称:支撑钢筋</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2.规格:I级(HPB300)，φ12</w:t>
            </w:r>
          </w:p>
        </w:tc>
        <w:tc>
          <w:tcPr>
            <w:tcW w:w="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t</w:t>
            </w:r>
          </w:p>
        </w:tc>
        <w:tc>
          <w:tcPr>
            <w:tcW w:w="8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0.013</w:t>
            </w:r>
          </w:p>
        </w:tc>
        <w:tc>
          <w:tcPr>
            <w:tcW w:w="11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9</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010515001007</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植筋</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1.名称:植筋</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2.规格:III级(HRB400)，φ8</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根</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10</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10</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粤R1-1-3</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原有楼层板破洞</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1.名称:原有楼层板破洞</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m3</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0.08</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11</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010505001001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原有楼层板混凝土回填</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1.名称:原有楼层板混凝土回填</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2.混凝土强度等级:商品混凝土C30</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m3</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1.09</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12</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010507007001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原地沟细石混凝土回填</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1.名称:原地沟细石混凝土回填</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2.混凝土强度等级:细石混凝土</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m3</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0.68</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13</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010516002001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预埋铁件</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1.名称:预埋铁件</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2.规格:详见设计文件</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t</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0.04</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装饰工程</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14</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011003003001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水池底板防腐涂料</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1.名称:水池底板防腐涂料</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2.做法:厚浆型防腐蚀涂料,涂层厚度不小于200um</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18.73</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15</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011003003002</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水池内壁防腐涂料</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1.名称:水池内壁防腐涂料</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2.做法:厚浆型防腐蚀涂料,涂层厚度不小于200um</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64.25</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16</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011003003003</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水池顶板底面防腐涂料</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1.名称:水池顶板底面防腐涂料</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2.做法:防腐蚀涂料,涂层厚度不小于150um</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18.76</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17</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011003001001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水池内衬玻璃</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1.名称:水池内衬玻璃</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2.材料:内衬15mm玻璃钢</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3.位置:水池底板、侧壁及顶板底</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101.09</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18</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011201001002</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墙面一般抹灰</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1.名称:水池池壁外侧底层抹灰</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2.面层:5mm厚1:0.5:2.5水泥石灰膏砂浆抹平</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3.底层:9mm厚1:0.5:3水泥石灰膏砂浆打底扫毛</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4.素水泥浆一道(内掺建筑胶)</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48.55</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19</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011407001001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墙面喷刷涂料</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1.名称:水池池壁外侧涂料</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2.面层:刷大白浆饰面</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3.腻子:2mm厚耐水腻子分遍刮平</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48.55</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20</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粤R2-5-2</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检修口盖板</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1.名称:检修口盖板</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2.材料:3mm玻璃钢</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0.64</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21</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040601030001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井、池渗漏试验</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1.名称:井、池渗漏试验</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m3</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50</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22</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010903004001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止水带</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1.名称:止水带</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2.止水带材料种类:不锈钢 -3*400</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29.6</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措施项目</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23</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粤011701010001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满堂脚手架</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1.搭设高度:5.2m内</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18.73</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24</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011702006001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矩形梁</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1.名称:矩形梁模板</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1.59</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25</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粤R3-2-1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水池底板模板</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1.名称:水池底板模板</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3.57</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26</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粤R3-2-1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水池侧壁模板</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1.名称:水池侧壁模板</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109.62</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27</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011702021001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检修口反边模板</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1.名称:检修口反边模板</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m2</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0.37</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28</w:t>
            </w:r>
          </w:p>
        </w:tc>
        <w:tc>
          <w:tcPr>
            <w:tcW w:w="141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011707004001</w:t>
            </w:r>
          </w:p>
        </w:tc>
        <w:tc>
          <w:tcPr>
            <w:tcW w:w="150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二次搬运</w:t>
            </w:r>
          </w:p>
        </w:tc>
        <w:tc>
          <w:tcPr>
            <w:tcW w:w="246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1.材料品种:钢筋、砂浆、混凝土</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2.运输距离:200m</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3.其他:详见图纸说明</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w:t>
            </w: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622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合计</w:t>
            </w:r>
          </w:p>
        </w:tc>
        <w:tc>
          <w:tcPr>
            <w:tcW w:w="710"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p>
        </w:tc>
        <w:tc>
          <w:tcPr>
            <w:tcW w:w="81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1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bl>
    <w:p>
      <w:pPr>
        <w:pStyle w:val="2"/>
        <w:rPr>
          <w:color w:val="auto"/>
          <w:highlight w:val="none"/>
        </w:rPr>
      </w:pPr>
    </w:p>
    <w:p>
      <w:pPr>
        <w:pStyle w:val="2"/>
        <w:jc w:val="center"/>
        <w:rPr>
          <w:rFonts w:ascii="仿宋_GB2312" w:hAnsi="仿宋" w:eastAsia="仿宋_GB2312"/>
          <w:b/>
          <w:bCs/>
          <w:color w:val="auto"/>
          <w:highlight w:val="none"/>
        </w:rPr>
      </w:pPr>
      <w:r>
        <w:rPr>
          <w:rFonts w:hint="eastAsia" w:ascii="仿宋_GB2312" w:hAnsi="仿宋" w:eastAsia="仿宋_GB2312"/>
          <w:b/>
          <w:bCs/>
          <w:color w:val="auto"/>
          <w:highlight w:val="none"/>
        </w:rPr>
        <w:t>总价措施项目清单与计价表</w:t>
      </w:r>
    </w:p>
    <w:tbl>
      <w:tblPr>
        <w:tblStyle w:val="22"/>
        <w:tblW w:w="10065" w:type="dxa"/>
        <w:tblInd w:w="-459" w:type="dxa"/>
        <w:tblLayout w:type="autofit"/>
        <w:tblCellMar>
          <w:top w:w="0" w:type="dxa"/>
          <w:left w:w="108" w:type="dxa"/>
          <w:bottom w:w="0" w:type="dxa"/>
          <w:right w:w="108" w:type="dxa"/>
        </w:tblCellMar>
      </w:tblPr>
      <w:tblGrid>
        <w:gridCol w:w="1186"/>
        <w:gridCol w:w="1633"/>
        <w:gridCol w:w="2123"/>
        <w:gridCol w:w="3245"/>
        <w:gridCol w:w="885"/>
        <w:gridCol w:w="993"/>
      </w:tblGrid>
      <w:tr>
        <w:tblPrEx>
          <w:tblCellMar>
            <w:top w:w="0" w:type="dxa"/>
            <w:left w:w="108" w:type="dxa"/>
            <w:bottom w:w="0" w:type="dxa"/>
            <w:right w:w="108" w:type="dxa"/>
          </w:tblCellMar>
        </w:tblPrEx>
        <w:trPr>
          <w:trHeight w:val="578" w:hRule="atLeast"/>
        </w:trPr>
        <w:tc>
          <w:tcPr>
            <w:tcW w:w="1186"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序号</w:t>
            </w:r>
          </w:p>
        </w:tc>
        <w:tc>
          <w:tcPr>
            <w:tcW w:w="1633"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项目编码</w:t>
            </w:r>
          </w:p>
        </w:tc>
        <w:tc>
          <w:tcPr>
            <w:tcW w:w="2123"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项目名称</w:t>
            </w:r>
          </w:p>
        </w:tc>
        <w:tc>
          <w:tcPr>
            <w:tcW w:w="324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计算基础</w:t>
            </w:r>
          </w:p>
        </w:tc>
        <w:tc>
          <w:tcPr>
            <w:tcW w:w="88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费率</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w:t>
            </w:r>
          </w:p>
        </w:tc>
        <w:tc>
          <w:tcPr>
            <w:tcW w:w="993"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金额</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(元)</w:t>
            </w:r>
          </w:p>
        </w:tc>
      </w:tr>
      <w:tr>
        <w:tblPrEx>
          <w:tblCellMar>
            <w:top w:w="0" w:type="dxa"/>
            <w:left w:w="108" w:type="dxa"/>
            <w:bottom w:w="0" w:type="dxa"/>
            <w:right w:w="108" w:type="dxa"/>
          </w:tblCellMar>
        </w:tblPrEx>
        <w:trPr>
          <w:trHeight w:val="578" w:hRule="atLeast"/>
        </w:trPr>
        <w:tc>
          <w:tcPr>
            <w:tcW w:w="1186" w:type="dxa"/>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63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LSSGCSF00001</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绿色施工安全防护措施费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分部分项人工费+分部分项机具费</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2463.81</w:t>
            </w:r>
          </w:p>
        </w:tc>
      </w:tr>
      <w:tr>
        <w:tblPrEx>
          <w:tblCellMar>
            <w:top w:w="0" w:type="dxa"/>
            <w:left w:w="108" w:type="dxa"/>
            <w:bottom w:w="0" w:type="dxa"/>
            <w:right w:w="108" w:type="dxa"/>
          </w:tblCellMar>
        </w:tblPrEx>
        <w:trPr>
          <w:trHeight w:val="578" w:hRule="atLeast"/>
        </w:trPr>
        <w:tc>
          <w:tcPr>
            <w:tcW w:w="1186" w:type="dxa"/>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163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WMGDZJF00001</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文明工地增加费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分部分项人工费+分部分项机具费</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86" w:type="dxa"/>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3</w:t>
            </w:r>
          </w:p>
        </w:tc>
        <w:tc>
          <w:tcPr>
            <w:tcW w:w="163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011707002001</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地下室施工增加费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分部分项人工费</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578" w:hRule="atLeast"/>
        </w:trPr>
        <w:tc>
          <w:tcPr>
            <w:tcW w:w="1186" w:type="dxa"/>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w:t>
            </w:r>
          </w:p>
        </w:tc>
        <w:tc>
          <w:tcPr>
            <w:tcW w:w="163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GGCSF0000001</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赶工措施费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分部分项人工费+分部分项机具费</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86" w:type="dxa"/>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5</w:t>
            </w:r>
          </w:p>
        </w:tc>
        <w:tc>
          <w:tcPr>
            <w:tcW w:w="163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QTFY00000001</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其他费用</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2819"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合计</w:t>
            </w:r>
          </w:p>
        </w:tc>
        <w:tc>
          <w:tcPr>
            <w:tcW w:w="2123"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r>
    </w:tbl>
    <w:p>
      <w:pPr>
        <w:pStyle w:val="52"/>
        <w:spacing w:line="520" w:lineRule="exact"/>
        <w:jc w:val="center"/>
        <w:rPr>
          <w:b/>
          <w:bCs/>
          <w:color w:val="auto"/>
          <w:sz w:val="28"/>
          <w:szCs w:val="28"/>
          <w:highlight w:val="none"/>
        </w:rPr>
      </w:pPr>
    </w:p>
    <w:p>
      <w:pPr>
        <w:pStyle w:val="52"/>
        <w:spacing w:line="520" w:lineRule="exact"/>
        <w:jc w:val="center"/>
        <w:rPr>
          <w:b/>
          <w:bCs/>
          <w:color w:val="auto"/>
          <w:sz w:val="28"/>
          <w:szCs w:val="28"/>
          <w:highlight w:val="none"/>
        </w:rPr>
      </w:pPr>
      <w:r>
        <w:rPr>
          <w:rFonts w:hint="eastAsia"/>
          <w:b/>
          <w:bCs/>
          <w:color w:val="auto"/>
          <w:sz w:val="28"/>
          <w:szCs w:val="28"/>
          <w:highlight w:val="none"/>
        </w:rPr>
        <w:t>其他项目清单与计价汇总</w:t>
      </w:r>
    </w:p>
    <w:tbl>
      <w:tblPr>
        <w:tblStyle w:val="22"/>
        <w:tblW w:w="10065" w:type="dxa"/>
        <w:tblInd w:w="-459" w:type="dxa"/>
        <w:tblLayout w:type="autofit"/>
        <w:tblCellMar>
          <w:top w:w="0" w:type="dxa"/>
          <w:left w:w="108" w:type="dxa"/>
          <w:bottom w:w="0" w:type="dxa"/>
          <w:right w:w="108" w:type="dxa"/>
        </w:tblCellMar>
      </w:tblPr>
      <w:tblGrid>
        <w:gridCol w:w="1321"/>
        <w:gridCol w:w="3874"/>
        <w:gridCol w:w="1815"/>
        <w:gridCol w:w="3055"/>
      </w:tblGrid>
      <w:tr>
        <w:tblPrEx>
          <w:tblCellMar>
            <w:top w:w="0" w:type="dxa"/>
            <w:left w:w="108" w:type="dxa"/>
            <w:bottom w:w="0" w:type="dxa"/>
            <w:right w:w="108" w:type="dxa"/>
          </w:tblCellMar>
        </w:tblPrEx>
        <w:trPr>
          <w:trHeight w:val="372"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序号</w:t>
            </w:r>
          </w:p>
        </w:tc>
        <w:tc>
          <w:tcPr>
            <w:tcW w:w="3874"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项目名称</w:t>
            </w:r>
          </w:p>
        </w:tc>
        <w:tc>
          <w:tcPr>
            <w:tcW w:w="181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金额（元）</w:t>
            </w:r>
          </w:p>
        </w:tc>
        <w:tc>
          <w:tcPr>
            <w:tcW w:w="305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结算金额（元）</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3874"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暂列金额</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3874"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2.1</w:t>
            </w:r>
          </w:p>
        </w:tc>
        <w:tc>
          <w:tcPr>
            <w:tcW w:w="3874"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材料暂估价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2.2</w:t>
            </w:r>
          </w:p>
        </w:tc>
        <w:tc>
          <w:tcPr>
            <w:tcW w:w="3874"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专业工程暂估价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3</w:t>
            </w:r>
          </w:p>
        </w:tc>
        <w:tc>
          <w:tcPr>
            <w:tcW w:w="3874"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计日工</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w:t>
            </w:r>
          </w:p>
        </w:tc>
        <w:tc>
          <w:tcPr>
            <w:tcW w:w="3874" w:type="dxa"/>
            <w:tcBorders>
              <w:top w:val="nil"/>
              <w:left w:val="nil"/>
              <w:bottom w:val="single" w:color="000000" w:sz="8"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总承包服务费</w:t>
            </w:r>
          </w:p>
        </w:tc>
        <w:tc>
          <w:tcPr>
            <w:tcW w:w="1815" w:type="dxa"/>
            <w:tcBorders>
              <w:top w:val="single" w:color="000000" w:sz="4" w:space="0"/>
              <w:left w:val="nil"/>
              <w:bottom w:val="single" w:color="000000" w:sz="8"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055" w:type="dxa"/>
            <w:tcBorders>
              <w:top w:val="single" w:color="000000" w:sz="4" w:space="0"/>
              <w:left w:val="nil"/>
              <w:bottom w:val="single" w:color="000000" w:sz="8"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5</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预算包干费</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6</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工程优质费</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7</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概算幅度差</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8</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现场签证费用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9</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索赔费用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10</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其他费用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519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color w:val="auto"/>
                <w:kern w:val="0"/>
                <w:sz w:val="20"/>
                <w:szCs w:val="20"/>
                <w:highlight w:val="none"/>
              </w:rPr>
            </w:pPr>
            <w:r>
              <w:rPr>
                <w:rFonts w:hint="eastAsia" w:ascii="宋体" w:hAnsi="宋体"/>
                <w:color w:val="auto"/>
                <w:kern w:val="0"/>
                <w:sz w:val="20"/>
                <w:szCs w:val="20"/>
                <w:highlight w:val="none"/>
              </w:rPr>
              <w:t>　合计</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bl>
    <w:p>
      <w:pPr>
        <w:pStyle w:val="52"/>
        <w:spacing w:line="520" w:lineRule="exact"/>
        <w:jc w:val="both"/>
        <w:rPr>
          <w:color w:val="auto"/>
          <w:sz w:val="28"/>
          <w:szCs w:val="28"/>
          <w:highlight w:val="none"/>
        </w:rPr>
      </w:pPr>
      <w:r>
        <w:rPr>
          <w:rFonts w:hint="eastAsia"/>
          <w:color w:val="auto"/>
          <w:sz w:val="28"/>
          <w:szCs w:val="28"/>
          <w:highlight w:val="none"/>
        </w:rPr>
        <w:t xml:space="preserve"> </w:t>
      </w:r>
    </w:p>
    <w:p>
      <w:pPr>
        <w:pStyle w:val="52"/>
        <w:spacing w:line="520" w:lineRule="exact"/>
        <w:jc w:val="center"/>
        <w:rPr>
          <w:b/>
          <w:bCs/>
          <w:color w:val="auto"/>
          <w:sz w:val="28"/>
          <w:szCs w:val="28"/>
          <w:highlight w:val="none"/>
        </w:rPr>
      </w:pPr>
      <w:r>
        <w:rPr>
          <w:rFonts w:hint="eastAsia"/>
          <w:b/>
          <w:bCs/>
          <w:color w:val="auto"/>
          <w:sz w:val="28"/>
          <w:szCs w:val="28"/>
          <w:highlight w:val="none"/>
        </w:rPr>
        <w:t>规费、税金项目清单与计价表</w:t>
      </w:r>
    </w:p>
    <w:tbl>
      <w:tblPr>
        <w:tblStyle w:val="22"/>
        <w:tblW w:w="10065" w:type="dxa"/>
        <w:tblInd w:w="-459" w:type="dxa"/>
        <w:tblLayout w:type="autofit"/>
        <w:tblCellMar>
          <w:top w:w="0" w:type="dxa"/>
          <w:left w:w="108" w:type="dxa"/>
          <w:bottom w:w="0" w:type="dxa"/>
          <w:right w:w="108" w:type="dxa"/>
        </w:tblCellMar>
      </w:tblPr>
      <w:tblGrid>
        <w:gridCol w:w="1148"/>
        <w:gridCol w:w="2228"/>
        <w:gridCol w:w="2629"/>
        <w:gridCol w:w="1481"/>
        <w:gridCol w:w="951"/>
        <w:gridCol w:w="1628"/>
      </w:tblGrid>
      <w:tr>
        <w:tblPrEx>
          <w:tblCellMar>
            <w:top w:w="0" w:type="dxa"/>
            <w:left w:w="108" w:type="dxa"/>
            <w:bottom w:w="0" w:type="dxa"/>
            <w:right w:w="108" w:type="dxa"/>
          </w:tblCellMar>
        </w:tblPrEx>
        <w:trPr>
          <w:trHeight w:val="578" w:hRule="atLeast"/>
        </w:trPr>
        <w:tc>
          <w:tcPr>
            <w:tcW w:w="1148"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序号</w:t>
            </w:r>
          </w:p>
        </w:tc>
        <w:tc>
          <w:tcPr>
            <w:tcW w:w="2228"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项目名称</w:t>
            </w:r>
          </w:p>
        </w:tc>
        <w:tc>
          <w:tcPr>
            <w:tcW w:w="2629"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计算基础</w:t>
            </w:r>
          </w:p>
        </w:tc>
        <w:tc>
          <w:tcPr>
            <w:tcW w:w="1481"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计算基数</w:t>
            </w:r>
          </w:p>
        </w:tc>
        <w:tc>
          <w:tcPr>
            <w:tcW w:w="951"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计算费率</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w:t>
            </w:r>
          </w:p>
        </w:tc>
        <w:tc>
          <w:tcPr>
            <w:tcW w:w="1628" w:type="dxa"/>
            <w:tcBorders>
              <w:top w:val="single" w:color="000000" w:sz="8" w:space="0"/>
              <w:left w:val="nil"/>
              <w:bottom w:val="single" w:color="000000" w:sz="4"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金额(元)</w:t>
            </w:r>
          </w:p>
        </w:tc>
      </w:tr>
      <w:tr>
        <w:tblPrEx>
          <w:tblCellMar>
            <w:top w:w="0" w:type="dxa"/>
            <w:left w:w="108" w:type="dxa"/>
            <w:bottom w:w="0" w:type="dxa"/>
            <w:right w:w="108" w:type="dxa"/>
          </w:tblCellMar>
        </w:tblPrEx>
        <w:trPr>
          <w:trHeight w:val="578" w:hRule="atLeast"/>
        </w:trPr>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2228"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增值税销项税额</w:t>
            </w:r>
          </w:p>
        </w:tc>
        <w:tc>
          <w:tcPr>
            <w:tcW w:w="2629"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分部分项合计+措施合计+其他项目</w:t>
            </w:r>
          </w:p>
        </w:tc>
        <w:tc>
          <w:tcPr>
            <w:tcW w:w="148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c>
          <w:tcPr>
            <w:tcW w:w="95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9</w:t>
            </w:r>
          </w:p>
        </w:tc>
        <w:tc>
          <w:tcPr>
            <w:tcW w:w="1628"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578" w:hRule="atLeast"/>
        </w:trPr>
        <w:tc>
          <w:tcPr>
            <w:tcW w:w="60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合计</w:t>
            </w:r>
          </w:p>
        </w:tc>
        <w:tc>
          <w:tcPr>
            <w:tcW w:w="148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c>
          <w:tcPr>
            <w:tcW w:w="95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c>
          <w:tcPr>
            <w:tcW w:w="1628"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color w:val="auto"/>
                <w:kern w:val="0"/>
                <w:sz w:val="20"/>
                <w:szCs w:val="20"/>
                <w:highlight w:val="none"/>
              </w:rPr>
            </w:pPr>
          </w:p>
        </w:tc>
      </w:tr>
    </w:tbl>
    <w:p>
      <w:pPr>
        <w:pStyle w:val="50"/>
        <w:ind w:firstLine="832" w:firstLineChars="259"/>
        <w:jc w:val="center"/>
        <w:rPr>
          <w:b/>
          <w:bCs/>
          <w:color w:val="auto"/>
          <w:highlight w:val="none"/>
        </w:rPr>
      </w:pPr>
      <w:r>
        <w:rPr>
          <w:rFonts w:hint="eastAsia"/>
          <w:b/>
          <w:bCs/>
          <w:color w:val="auto"/>
          <w:highlight w:val="none"/>
        </w:rPr>
        <w:t>单位工程费汇总表</w:t>
      </w:r>
    </w:p>
    <w:p>
      <w:pPr>
        <w:widowControl/>
        <w:ind w:firstLine="600" w:firstLineChars="300"/>
        <w:jc w:val="left"/>
        <w:textAlignment w:val="center"/>
        <w:rPr>
          <w:rFonts w:ascii="宋体" w:hAnsi="宋体"/>
          <w:color w:val="auto"/>
          <w:kern w:val="0"/>
          <w:sz w:val="20"/>
          <w:szCs w:val="20"/>
          <w:highlight w:val="none"/>
        </w:rPr>
      </w:pPr>
      <w:r>
        <w:rPr>
          <w:rFonts w:hint="eastAsia" w:ascii="宋体" w:hAnsi="宋体"/>
          <w:color w:val="auto"/>
          <w:kern w:val="0"/>
          <w:sz w:val="20"/>
          <w:szCs w:val="20"/>
          <w:highlight w:val="none"/>
          <w:lang w:eastAsia="zh-CN"/>
        </w:rPr>
        <w:t>京溪分公司硫酸铝加药池改造工程（第二次）</w:t>
      </w:r>
      <w:r>
        <w:rPr>
          <w:rFonts w:hint="eastAsia" w:ascii="宋体" w:hAnsi="宋体"/>
          <w:color w:val="auto"/>
          <w:kern w:val="0"/>
          <w:sz w:val="20"/>
          <w:szCs w:val="20"/>
          <w:highlight w:val="none"/>
        </w:rPr>
        <w:t>-安装工程部分</w:t>
      </w:r>
    </w:p>
    <w:tbl>
      <w:tblPr>
        <w:tblStyle w:val="22"/>
        <w:tblW w:w="10015" w:type="dxa"/>
        <w:jc w:val="center"/>
        <w:tblLayout w:type="autofit"/>
        <w:tblCellMar>
          <w:top w:w="0" w:type="dxa"/>
          <w:left w:w="108" w:type="dxa"/>
          <w:bottom w:w="0" w:type="dxa"/>
          <w:right w:w="108" w:type="dxa"/>
        </w:tblCellMar>
      </w:tblPr>
      <w:tblGrid>
        <w:gridCol w:w="1046"/>
        <w:gridCol w:w="4623"/>
        <w:gridCol w:w="2442"/>
        <w:gridCol w:w="1904"/>
      </w:tblGrid>
      <w:tr>
        <w:tblPrEx>
          <w:tblCellMar>
            <w:top w:w="0" w:type="dxa"/>
            <w:left w:w="108" w:type="dxa"/>
            <w:bottom w:w="0" w:type="dxa"/>
            <w:right w:w="108" w:type="dxa"/>
          </w:tblCellMar>
        </w:tblPrEx>
        <w:trPr>
          <w:trHeight w:val="375" w:hRule="atLeast"/>
          <w:jc w:val="center"/>
        </w:trPr>
        <w:tc>
          <w:tcPr>
            <w:tcW w:w="1046"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序号</w:t>
            </w:r>
          </w:p>
        </w:tc>
        <w:tc>
          <w:tcPr>
            <w:tcW w:w="4623"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汇总内容</w:t>
            </w:r>
          </w:p>
        </w:tc>
        <w:tc>
          <w:tcPr>
            <w:tcW w:w="2442"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金额:(元)</w:t>
            </w:r>
          </w:p>
        </w:tc>
        <w:tc>
          <w:tcPr>
            <w:tcW w:w="1904" w:type="dxa"/>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其中：暂估价(元)</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分部分项合计</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1.1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给水系统</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1.2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管道拆除系统</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1.3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新增管道</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措施合计</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2.1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绿色施工安全防护措施费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r>
              <w:rPr>
                <w:rFonts w:hint="eastAsia" w:ascii="宋体" w:hAnsi="宋体"/>
                <w:color w:val="auto"/>
                <w:sz w:val="20"/>
                <w:szCs w:val="20"/>
                <w:highlight w:val="none"/>
              </w:rPr>
              <w:t>1740.60</w:t>
            </w: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2.2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其他措施费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kern w:val="0"/>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其他项目</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auto"/>
                <w:sz w:val="20"/>
                <w:szCs w:val="20"/>
                <w:highlight w:val="none"/>
              </w:rPr>
            </w:pPr>
            <w:r>
              <w:rPr>
                <w:rFonts w:hint="eastAsia" w:ascii="宋体" w:hAnsi="宋体"/>
                <w:color w:val="auto"/>
                <w:kern w:val="0"/>
                <w:sz w:val="20"/>
                <w:szCs w:val="20"/>
                <w:highlight w:val="none"/>
              </w:rPr>
              <w:t>－</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暂列金额</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暂估价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计日工</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3.4</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总承包服务费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3.5</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预算包干费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3.6</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工程优质费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3.7</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概算幅度差</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3.8</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索赔费用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3.9</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现场签证费用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3.10</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其他费用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3.11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独立费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4</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税前工程造价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auto"/>
                <w:sz w:val="20"/>
                <w:szCs w:val="20"/>
                <w:highlight w:val="none"/>
              </w:rPr>
            </w:pPr>
            <w:r>
              <w:rPr>
                <w:rFonts w:hint="eastAsia" w:ascii="宋体" w:hAnsi="宋体"/>
                <w:color w:val="auto"/>
                <w:kern w:val="0"/>
                <w:sz w:val="20"/>
                <w:szCs w:val="20"/>
                <w:highlight w:val="none"/>
              </w:rPr>
              <w:t>－</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5</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增值税销项税额</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6</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sz w:val="20"/>
                <w:szCs w:val="20"/>
                <w:highlight w:val="none"/>
              </w:rPr>
            </w:pPr>
            <w:r>
              <w:rPr>
                <w:rFonts w:hint="eastAsia" w:ascii="宋体" w:hAnsi="宋体"/>
                <w:color w:val="auto"/>
                <w:kern w:val="0"/>
                <w:sz w:val="20"/>
                <w:szCs w:val="20"/>
                <w:highlight w:val="none"/>
              </w:rPr>
              <w:t>总造价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7</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auto"/>
                <w:kern w:val="0"/>
                <w:sz w:val="20"/>
                <w:szCs w:val="20"/>
                <w:highlight w:val="none"/>
              </w:rPr>
            </w:pPr>
            <w:r>
              <w:rPr>
                <w:rFonts w:hint="eastAsia" w:ascii="宋体" w:hAnsi="宋体"/>
                <w:color w:val="auto"/>
                <w:kern w:val="0"/>
                <w:sz w:val="20"/>
                <w:szCs w:val="20"/>
                <w:highlight w:val="none"/>
              </w:rPr>
              <w:t>人工费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auto"/>
                <w:kern w:val="0"/>
                <w:sz w:val="20"/>
                <w:szCs w:val="20"/>
                <w:highlight w:val="none"/>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5669"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ascii="宋体" w:hAnsi="宋体"/>
                <w:color w:val="auto"/>
                <w:sz w:val="20"/>
                <w:szCs w:val="20"/>
                <w:highlight w:val="none"/>
              </w:rPr>
            </w:pPr>
            <w:r>
              <w:rPr>
                <w:rFonts w:hint="eastAsia" w:ascii="宋体" w:hAnsi="宋体"/>
                <w:color w:val="auto"/>
                <w:kern w:val="0"/>
                <w:sz w:val="20"/>
                <w:szCs w:val="20"/>
                <w:highlight w:val="none"/>
              </w:rPr>
              <w:t>合计=1+2+3+5</w:t>
            </w:r>
          </w:p>
        </w:tc>
        <w:tc>
          <w:tcPr>
            <w:tcW w:w="2442" w:type="dxa"/>
            <w:tcBorders>
              <w:top w:val="single" w:color="000000" w:sz="4" w:space="0"/>
              <w:left w:val="nil"/>
              <w:bottom w:val="single" w:color="000000" w:sz="8" w:space="0"/>
              <w:right w:val="single" w:color="000000" w:sz="4" w:space="0"/>
            </w:tcBorders>
            <w:shd w:val="clear" w:color="auto" w:fill="FFFFFF"/>
            <w:vAlign w:val="center"/>
          </w:tcPr>
          <w:p>
            <w:pPr>
              <w:widowControl/>
              <w:jc w:val="right"/>
              <w:textAlignment w:val="center"/>
              <w:rPr>
                <w:rFonts w:ascii="宋体" w:hAnsi="宋体"/>
                <w:color w:val="auto"/>
                <w:sz w:val="20"/>
                <w:szCs w:val="20"/>
                <w:highlight w:val="none"/>
              </w:rPr>
            </w:pPr>
          </w:p>
        </w:tc>
        <w:tc>
          <w:tcPr>
            <w:tcW w:w="1904" w:type="dxa"/>
            <w:tcBorders>
              <w:top w:val="single" w:color="000000" w:sz="4" w:space="0"/>
              <w:left w:val="nil"/>
              <w:bottom w:val="single" w:color="000000" w:sz="8" w:space="0"/>
              <w:right w:val="single" w:color="000000" w:sz="8" w:space="0"/>
            </w:tcBorders>
            <w:shd w:val="clear" w:color="auto" w:fill="FFFFFF"/>
            <w:vAlign w:val="center"/>
          </w:tcPr>
          <w:p>
            <w:pPr>
              <w:widowControl/>
              <w:jc w:val="right"/>
              <w:textAlignment w:val="center"/>
              <w:rPr>
                <w:rFonts w:ascii="宋体" w:hAnsi="宋体"/>
                <w:color w:val="auto"/>
                <w:sz w:val="20"/>
                <w:szCs w:val="20"/>
                <w:highlight w:val="none"/>
              </w:rPr>
            </w:pPr>
          </w:p>
        </w:tc>
      </w:tr>
    </w:tbl>
    <w:p>
      <w:pPr>
        <w:pStyle w:val="50"/>
        <w:ind w:firstLine="1131"/>
        <w:rPr>
          <w:b/>
          <w:bCs/>
          <w:color w:val="auto"/>
          <w:highlight w:val="none"/>
        </w:rPr>
      </w:pPr>
      <w:r>
        <w:rPr>
          <w:rFonts w:hint="eastAsia"/>
          <w:b/>
          <w:bCs/>
          <w:color w:val="auto"/>
          <w:highlight w:val="none"/>
        </w:rPr>
        <w:t>分部分项工程和单价措施项目清单与计价表</w:t>
      </w:r>
    </w:p>
    <w:tbl>
      <w:tblPr>
        <w:tblStyle w:val="22"/>
        <w:tblW w:w="10639" w:type="dxa"/>
        <w:tblInd w:w="-459" w:type="dxa"/>
        <w:tblLayout w:type="autofit"/>
        <w:tblCellMar>
          <w:top w:w="0" w:type="dxa"/>
          <w:left w:w="108" w:type="dxa"/>
          <w:bottom w:w="0" w:type="dxa"/>
          <w:right w:w="108" w:type="dxa"/>
        </w:tblCellMar>
      </w:tblPr>
      <w:tblGrid>
        <w:gridCol w:w="715"/>
        <w:gridCol w:w="1457"/>
        <w:gridCol w:w="1279"/>
        <w:gridCol w:w="2793"/>
        <w:gridCol w:w="702"/>
        <w:gridCol w:w="709"/>
        <w:gridCol w:w="1134"/>
        <w:gridCol w:w="1276"/>
        <w:gridCol w:w="574"/>
      </w:tblGrid>
      <w:tr>
        <w:tblPrEx>
          <w:tblCellMar>
            <w:top w:w="0" w:type="dxa"/>
            <w:left w:w="108" w:type="dxa"/>
            <w:bottom w:w="0" w:type="dxa"/>
            <w:right w:w="108" w:type="dxa"/>
          </w:tblCellMar>
        </w:tblPrEx>
        <w:trPr>
          <w:gridAfter w:val="1"/>
          <w:wAfter w:w="574" w:type="dxa"/>
          <w:trHeight w:val="360" w:hRule="atLeast"/>
        </w:trPr>
        <w:tc>
          <w:tcPr>
            <w:tcW w:w="7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序号</w:t>
            </w:r>
          </w:p>
        </w:tc>
        <w:tc>
          <w:tcPr>
            <w:tcW w:w="1457"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项目编码</w:t>
            </w:r>
          </w:p>
        </w:tc>
        <w:tc>
          <w:tcPr>
            <w:tcW w:w="1279"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项目名称</w:t>
            </w:r>
          </w:p>
        </w:tc>
        <w:tc>
          <w:tcPr>
            <w:tcW w:w="2793"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项目特征描述</w:t>
            </w:r>
          </w:p>
        </w:tc>
        <w:tc>
          <w:tcPr>
            <w:tcW w:w="702"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计量单位</w:t>
            </w:r>
          </w:p>
        </w:tc>
        <w:tc>
          <w:tcPr>
            <w:tcW w:w="709"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工程量</w:t>
            </w:r>
          </w:p>
        </w:tc>
        <w:tc>
          <w:tcPr>
            <w:tcW w:w="2410"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金额（元）</w:t>
            </w:r>
          </w:p>
        </w:tc>
      </w:tr>
      <w:tr>
        <w:tblPrEx>
          <w:tblCellMar>
            <w:top w:w="0" w:type="dxa"/>
            <w:left w:w="108" w:type="dxa"/>
            <w:bottom w:w="0" w:type="dxa"/>
            <w:right w:w="108" w:type="dxa"/>
          </w:tblCellMar>
        </w:tblPrEx>
        <w:trPr>
          <w:gridAfter w:val="1"/>
          <w:wAfter w:w="574" w:type="dxa"/>
          <w:trHeight w:val="360" w:hRule="atLeast"/>
        </w:trPr>
        <w:tc>
          <w:tcPr>
            <w:tcW w:w="71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1457"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127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2793"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702"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70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1134" w:type="dxa"/>
            <w:tcBorders>
              <w:top w:val="nil"/>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综合单价</w:t>
            </w: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综合合价</w:t>
            </w:r>
          </w:p>
        </w:tc>
      </w:tr>
      <w:tr>
        <w:tblPrEx>
          <w:tblCellMar>
            <w:top w:w="0" w:type="dxa"/>
            <w:left w:w="108" w:type="dxa"/>
            <w:bottom w:w="0" w:type="dxa"/>
            <w:right w:w="108" w:type="dxa"/>
          </w:tblCellMar>
        </w:tblPrEx>
        <w:trPr>
          <w:trHeight w:val="360" w:hRule="atLeast"/>
        </w:trPr>
        <w:tc>
          <w:tcPr>
            <w:tcW w:w="71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1457"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127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2793" w:type="dxa"/>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702" w:type="dxa"/>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709" w:type="dxa"/>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olor w:val="auto"/>
                <w:kern w:val="0"/>
                <w:sz w:val="20"/>
                <w:szCs w:val="20"/>
                <w:highlight w:val="none"/>
              </w:rPr>
            </w:pPr>
          </w:p>
        </w:tc>
        <w:tc>
          <w:tcPr>
            <w:tcW w:w="574" w:type="dxa"/>
            <w:vAlign w:val="center"/>
          </w:tcPr>
          <w:p>
            <w:pP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color w:val="auto"/>
                <w:kern w:val="0"/>
                <w:sz w:val="20"/>
                <w:szCs w:val="20"/>
                <w:highlight w:val="none"/>
              </w:rPr>
            </w:pPr>
            <w:r>
              <w:rPr>
                <w:rFonts w:hint="eastAsia" w:ascii="宋体" w:hAnsi="宋体"/>
                <w:color w:val="auto"/>
                <w:kern w:val="0"/>
                <w:sz w:val="20"/>
                <w:szCs w:val="20"/>
                <w:highlight w:val="none"/>
              </w:rPr>
              <w:t>　</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给水系统</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578"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030601005001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物位检测仪表</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1.名称:超声波液位计</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2.规格:量程:0~5米</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台</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578"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030601004001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流量仪表</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1.名称:电磁流量计</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2.规格:DN150</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台</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3</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031004014001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给、排水附(配)件</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1.名称:溢流喇叭口</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2.型号、规格:DN150、PN1.0MPa</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3.材质:优质PVC-U</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031003008001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除污器(过滤器)</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1.名称:Y型过滤器</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2.规格、压力等级:DN150、PN1.0MPa</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3.材质:优质PVC-U</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组</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5</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031003003001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焊接法兰阀门</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1.类型:球阀</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2.材质:优质PVC-U</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3.规格、压力等级:DN150</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3</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6</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031003003003</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焊接法兰阀门</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1.类型:球阀</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2.材质:优质PVC-U</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3.规格、压力等级:DN50</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369"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7</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031001006001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塑料管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1.安装部位:室内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2.介质:给水</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3.材质、规格:优质PVC-U DN150</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4.连接形式:粘接</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9.2</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369"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8</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031001006002</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塑料管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1.安装部位:室内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2.介质:给水</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3.材质、规格:优质PVC-U DN100</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4.连接形式:粘接</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1.2</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369"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9</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031001006003</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塑料管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1.安装部位:室内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2.介质:给水</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3.材质、规格:优质PVC-U DN50</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4.连接形式:粘接</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8.1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10</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031002003001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套管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1.名称、类型:预埋A型柔性防水套管</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2.规格:φ203</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11</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031002003002</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套管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1.名称、类型:预埋A型柔性防水套管</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2.规格:φ146</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578"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12</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031002003003</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套管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1.名称、类型:钢套管</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2.规格:φ114</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管道拆除系统</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13</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030901001002</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2.材质、规格:拆除喷淋管 DN65以内</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5</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14</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030901001004</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2.材质、规格:拆除喷淋管 DN40以内</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10.9</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15</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030901001006</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2.材质、规格:拆除喷淋管 DN25以内</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7.2</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16</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030901002003</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消火栓钢管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2.材质、规格:拆除消火栓管 DN150</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7.7</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17</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031001006004</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塑料管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2.材质、规格:拆除给水管DN100</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6.5</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新增管道</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18</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030901001007</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1.安装部位:室内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2.材质、规格:内外壁热镀锌钢管DN65、1.6MPa</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9</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19</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030901001008</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1.安装部位:室内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2.材质、规格:内外壁热镀锌钢管DN50、1.6MPa</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3</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20</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030901001009</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1.安装部位:室内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2.材质、规格:内外壁热镀锌钢管DN40、1.6MPa</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4</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21</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030901001010</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1.安装部位:室内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2.材质、规格:内外壁热镀锌钢管DN32、1.6MPa</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6</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103"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22</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030901001011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水喷淋钢管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1.安装部位:室内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2.材质、规格:内外壁热镀锌钢管DN25、1.6MPa</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6</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23</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030901003001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水喷淋(雾)喷头</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1.名称:直立式喷头 K80</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2.其他:动作温度68℃</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个</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7</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24</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030901002004</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消火栓钢管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1.安装部位:室内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2.材质、规格:内外壁热镀锌钢管 DN150、1.6MPA</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20</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25</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031001006005</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塑料管</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1.安装部位:室内</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2.介质:给水</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3.材质、规格:PE给水管 DN100、1.0MPA</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4.其他:符合设计及规范要求</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m</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20</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措施项目</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7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26</w:t>
            </w:r>
          </w:p>
        </w:tc>
        <w:tc>
          <w:tcPr>
            <w:tcW w:w="1457"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031301017001</w:t>
            </w:r>
          </w:p>
        </w:tc>
        <w:tc>
          <w:tcPr>
            <w:tcW w:w="1279"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脚手架搭拆费</w:t>
            </w:r>
          </w:p>
        </w:tc>
        <w:tc>
          <w:tcPr>
            <w:tcW w:w="2793" w:type="dxa"/>
            <w:tcBorders>
              <w:top w:val="single" w:color="000000" w:sz="8" w:space="0"/>
              <w:left w:val="nil"/>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w:t>
            </w: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624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合计</w:t>
            </w:r>
          </w:p>
        </w:tc>
        <w:tc>
          <w:tcPr>
            <w:tcW w:w="70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p>
        </w:tc>
        <w:tc>
          <w:tcPr>
            <w:tcW w:w="709"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134"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276"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574" w:type="dxa"/>
            <w:vAlign w:val="center"/>
          </w:tcPr>
          <w:p>
            <w:pPr>
              <w:widowControl/>
              <w:jc w:val="left"/>
              <w:rPr>
                <w:rFonts w:eastAsia="Times New Roman"/>
                <w:color w:val="auto"/>
                <w:kern w:val="0"/>
                <w:sz w:val="20"/>
                <w:szCs w:val="20"/>
                <w:highlight w:val="none"/>
              </w:rPr>
            </w:pPr>
          </w:p>
        </w:tc>
      </w:tr>
    </w:tbl>
    <w:p>
      <w:pPr>
        <w:pStyle w:val="50"/>
        <w:ind w:left="0" w:leftChars="0" w:firstLine="0" w:firstLineChars="0"/>
        <w:rPr>
          <w:color w:val="auto"/>
          <w:highlight w:val="none"/>
        </w:rPr>
      </w:pPr>
      <w:r>
        <w:rPr>
          <w:color w:val="auto"/>
          <w:highlight w:val="none"/>
        </w:rPr>
        <w:t xml:space="preserve"> </w:t>
      </w:r>
    </w:p>
    <w:p>
      <w:pPr>
        <w:pStyle w:val="50"/>
        <w:ind w:left="0" w:leftChars="0" w:firstLine="0" w:firstLineChars="0"/>
        <w:jc w:val="center"/>
        <w:rPr>
          <w:b/>
          <w:bCs/>
          <w:color w:val="auto"/>
          <w:highlight w:val="none"/>
        </w:rPr>
      </w:pPr>
      <w:r>
        <w:rPr>
          <w:rFonts w:hint="eastAsia"/>
          <w:b/>
          <w:bCs/>
          <w:color w:val="auto"/>
          <w:highlight w:val="none"/>
        </w:rPr>
        <w:t>总价措施项目清单与计价表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35"/>
        <w:gridCol w:w="1642"/>
        <w:gridCol w:w="3199"/>
        <w:gridCol w:w="2182"/>
        <w:gridCol w:w="914"/>
        <w:gridCol w:w="9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序号</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项目编码</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项目名称</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计算基础</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费率</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金额</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LSSGCSF00001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绿色施工安全防护措施费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1740.60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031301010001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安装与生产同时进行增加费用</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3</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031301011001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在有害身体健康环境中施工增加费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3"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TSSGBWZJF001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在地下（暗）室、设备及大口径管道内等特殊施工部位进行施工增加费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5</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粤031302008001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赶工措施费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6</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031302002001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夜间施工增加费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7</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JTGRSGZJF001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交通干扰工程施工增加费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8</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粤031302009001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文明工地增加费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9</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DXGXJCJXF001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地下管线交叉降效费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10</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QTFY00000001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其他费用</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合计</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bl>
    <w:p>
      <w:pPr>
        <w:pStyle w:val="52"/>
        <w:spacing w:line="520" w:lineRule="exact"/>
        <w:jc w:val="both"/>
        <w:rPr>
          <w:color w:val="auto"/>
          <w:sz w:val="28"/>
          <w:szCs w:val="28"/>
          <w:highlight w:val="none"/>
        </w:rPr>
      </w:pPr>
      <w:r>
        <w:rPr>
          <w:rFonts w:hint="eastAsia"/>
          <w:color w:val="auto"/>
          <w:sz w:val="28"/>
          <w:szCs w:val="28"/>
          <w:highlight w:val="none"/>
        </w:rPr>
        <w:t xml:space="preserve"> </w:t>
      </w:r>
    </w:p>
    <w:p>
      <w:pPr>
        <w:pStyle w:val="52"/>
        <w:spacing w:line="520" w:lineRule="exact"/>
        <w:jc w:val="center"/>
        <w:rPr>
          <w:b/>
          <w:bCs/>
          <w:color w:val="auto"/>
          <w:sz w:val="28"/>
          <w:szCs w:val="28"/>
          <w:highlight w:val="none"/>
        </w:rPr>
      </w:pPr>
      <w:r>
        <w:rPr>
          <w:rFonts w:hint="eastAsia"/>
          <w:b/>
          <w:bCs/>
          <w:color w:val="auto"/>
          <w:sz w:val="28"/>
          <w:szCs w:val="28"/>
          <w:highlight w:val="none"/>
        </w:rPr>
        <w:t>其他项目清单与计价汇总表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35"/>
        <w:gridCol w:w="4842"/>
        <w:gridCol w:w="2183"/>
        <w:gridCol w:w="19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2"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序号</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项目名称</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金额（元）</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结算金额（元）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暂列金额</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2.1</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材料暂估价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2.2</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专业工程暂估价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3</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计日工</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总承包服务费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5</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预算包干费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6</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工程优质费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7</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概算幅度差</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8</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现场签证费用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9</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索赔费用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10</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其他费用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r>
              <w:rPr>
                <w:rFonts w:hint="eastAsia" w:ascii="宋体" w:hAnsi="宋体"/>
                <w:color w:val="auto"/>
                <w:kern w:val="0"/>
                <w:sz w:val="20"/>
                <w:szCs w:val="20"/>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合计</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bl>
    <w:p>
      <w:pPr>
        <w:rPr>
          <w:color w:val="auto"/>
          <w:highlight w:val="none"/>
        </w:rPr>
      </w:pPr>
      <w:r>
        <w:rPr>
          <w:color w:val="auto"/>
          <w:highlight w:val="none"/>
        </w:rPr>
        <w:t xml:space="preserve"> </w:t>
      </w:r>
    </w:p>
    <w:p>
      <w:pPr>
        <w:pStyle w:val="2"/>
        <w:rPr>
          <w:color w:val="auto"/>
          <w:highlight w:val="none"/>
        </w:rPr>
      </w:pPr>
    </w:p>
    <w:p>
      <w:pPr>
        <w:pStyle w:val="2"/>
        <w:jc w:val="center"/>
        <w:rPr>
          <w:rFonts w:ascii="仿宋_GB2312" w:eastAsia="仿宋_GB2312"/>
          <w:b/>
          <w:bCs/>
          <w:color w:val="auto"/>
          <w:highlight w:val="none"/>
        </w:rPr>
      </w:pPr>
      <w:r>
        <w:rPr>
          <w:rFonts w:hint="eastAsia" w:ascii="仿宋_GB2312" w:eastAsia="仿宋_GB2312"/>
          <w:b/>
          <w:bCs/>
          <w:color w:val="auto"/>
          <w:highlight w:val="none"/>
        </w:rPr>
        <w:t>规费、税金项目清单与计价表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97"/>
        <w:gridCol w:w="1783"/>
        <w:gridCol w:w="2826"/>
        <w:gridCol w:w="1139"/>
        <w:gridCol w:w="1301"/>
        <w:gridCol w:w="19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序号</w:t>
            </w: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项目名称</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计算基础</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计算基数</w:t>
            </w: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计算费率</w:t>
            </w:r>
            <w:r>
              <w:rPr>
                <w:rFonts w:hint="eastAsia" w:ascii="宋体" w:hAnsi="宋体"/>
                <w:color w:val="auto"/>
                <w:kern w:val="0"/>
                <w:sz w:val="20"/>
                <w:szCs w:val="20"/>
                <w:highlight w:val="none"/>
              </w:rPr>
              <w:br w:type="textWrapping"/>
            </w:r>
            <w:r>
              <w:rPr>
                <w:rFonts w:hint="eastAsia" w:ascii="宋体" w:hAnsi="宋体"/>
                <w:color w:val="auto"/>
                <w:kern w:val="0"/>
                <w:sz w:val="20"/>
                <w:szCs w:val="20"/>
                <w:highlight w:val="none"/>
              </w:rPr>
              <w:t>(%)</w:t>
            </w: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增值税销项税额</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分部分项合计+措施合计+其他项目</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olor w:val="auto"/>
                <w:kern w:val="0"/>
                <w:sz w:val="20"/>
                <w:szCs w:val="20"/>
                <w:highlight w:val="none"/>
              </w:rPr>
            </w:pP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合计</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olor w:val="auto"/>
                <w:kern w:val="0"/>
                <w:sz w:val="20"/>
                <w:szCs w:val="20"/>
                <w:highlight w:val="none"/>
              </w:rPr>
            </w:pP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olor w:val="auto"/>
                <w:kern w:val="0"/>
                <w:sz w:val="20"/>
                <w:szCs w:val="20"/>
                <w:highlight w:val="none"/>
              </w:rPr>
            </w:pPr>
          </w:p>
        </w:tc>
      </w:tr>
    </w:tbl>
    <w:p>
      <w:pPr>
        <w:pStyle w:val="50"/>
        <w:ind w:left="0" w:leftChars="0" w:firstLine="0" w:firstLineChars="0"/>
        <w:rPr>
          <w:color w:val="auto"/>
          <w:highlight w:val="none"/>
        </w:rPr>
      </w:pPr>
      <w:r>
        <w:rPr>
          <w:color w:val="auto"/>
          <w:highlight w:val="none"/>
        </w:rPr>
        <w:t xml:space="preserve"> </w:t>
      </w:r>
    </w:p>
    <w:p>
      <w:pPr>
        <w:pStyle w:val="6"/>
        <w:rPr>
          <w:rFonts w:asciiTheme="majorEastAsia" w:hAnsiTheme="majorEastAsia" w:eastAsiaTheme="majorEastAsia"/>
          <w:color w:val="auto"/>
          <w:sz w:val="28"/>
          <w:szCs w:val="28"/>
          <w:highlight w:val="none"/>
        </w:rPr>
      </w:pPr>
      <w:bookmarkStart w:id="129" w:name="_Toc6058"/>
      <w:bookmarkStart w:id="130" w:name="_Toc87616402"/>
      <w:bookmarkStart w:id="131" w:name="_Toc88209965"/>
      <w:bookmarkStart w:id="132" w:name="_Toc16386"/>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29"/>
      <w:bookmarkEnd w:id="130"/>
      <w:bookmarkEnd w:id="131"/>
      <w:bookmarkEnd w:id="13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FDD194A"/>
    <w:multiLevelType w:val="multilevel"/>
    <w:tmpl w:val="1FDD194A"/>
    <w:lvl w:ilvl="0" w:tentative="0">
      <w:start w:val="10"/>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F3A26FA"/>
    <w:multiLevelType w:val="multilevel"/>
    <w:tmpl w:val="7F3A26F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10288"/>
    <w:rsid w:val="000E3160"/>
    <w:rsid w:val="001A0494"/>
    <w:rsid w:val="001D331B"/>
    <w:rsid w:val="001F20BA"/>
    <w:rsid w:val="00221199"/>
    <w:rsid w:val="002B4A21"/>
    <w:rsid w:val="003301B9"/>
    <w:rsid w:val="003437C2"/>
    <w:rsid w:val="003C0461"/>
    <w:rsid w:val="003D4A5D"/>
    <w:rsid w:val="003D60BA"/>
    <w:rsid w:val="003D6199"/>
    <w:rsid w:val="00411689"/>
    <w:rsid w:val="00473A79"/>
    <w:rsid w:val="00493AC6"/>
    <w:rsid w:val="004A72B5"/>
    <w:rsid w:val="00501F38"/>
    <w:rsid w:val="0056561B"/>
    <w:rsid w:val="00576CC7"/>
    <w:rsid w:val="005B783D"/>
    <w:rsid w:val="005D618A"/>
    <w:rsid w:val="0068510F"/>
    <w:rsid w:val="006F1FC4"/>
    <w:rsid w:val="007A0C44"/>
    <w:rsid w:val="007E53E0"/>
    <w:rsid w:val="00905526"/>
    <w:rsid w:val="00911ECD"/>
    <w:rsid w:val="00941C43"/>
    <w:rsid w:val="00982884"/>
    <w:rsid w:val="009A2878"/>
    <w:rsid w:val="009D102C"/>
    <w:rsid w:val="009F073E"/>
    <w:rsid w:val="00A041D9"/>
    <w:rsid w:val="00A042E0"/>
    <w:rsid w:val="00B26BB1"/>
    <w:rsid w:val="00B26E21"/>
    <w:rsid w:val="00B9452F"/>
    <w:rsid w:val="00BF4549"/>
    <w:rsid w:val="00D030EF"/>
    <w:rsid w:val="00D43094"/>
    <w:rsid w:val="00D70DE4"/>
    <w:rsid w:val="00DE447E"/>
    <w:rsid w:val="00E75BA3"/>
    <w:rsid w:val="00E854BD"/>
    <w:rsid w:val="00F414DF"/>
    <w:rsid w:val="00F83B64"/>
    <w:rsid w:val="00FA6113"/>
    <w:rsid w:val="013E3461"/>
    <w:rsid w:val="02090C75"/>
    <w:rsid w:val="02A23A3C"/>
    <w:rsid w:val="035D130A"/>
    <w:rsid w:val="039110A9"/>
    <w:rsid w:val="03AC246A"/>
    <w:rsid w:val="03B23056"/>
    <w:rsid w:val="03DC3EBA"/>
    <w:rsid w:val="03F9794D"/>
    <w:rsid w:val="046A2461"/>
    <w:rsid w:val="04B10D68"/>
    <w:rsid w:val="051C2970"/>
    <w:rsid w:val="05AA7B65"/>
    <w:rsid w:val="060C3611"/>
    <w:rsid w:val="06C64829"/>
    <w:rsid w:val="070E7B6E"/>
    <w:rsid w:val="077D16D2"/>
    <w:rsid w:val="082A69F3"/>
    <w:rsid w:val="08675FC8"/>
    <w:rsid w:val="09B713FD"/>
    <w:rsid w:val="09D72DAE"/>
    <w:rsid w:val="09EF6ACC"/>
    <w:rsid w:val="0A315056"/>
    <w:rsid w:val="0AA213B4"/>
    <w:rsid w:val="0ADF6DD7"/>
    <w:rsid w:val="0AF61C7E"/>
    <w:rsid w:val="0AFB45AD"/>
    <w:rsid w:val="0B351E9B"/>
    <w:rsid w:val="0B4C50D3"/>
    <w:rsid w:val="0B806B92"/>
    <w:rsid w:val="0B827E94"/>
    <w:rsid w:val="0B842F76"/>
    <w:rsid w:val="0BD070E1"/>
    <w:rsid w:val="0BEC5B57"/>
    <w:rsid w:val="0C247926"/>
    <w:rsid w:val="0D794204"/>
    <w:rsid w:val="0E2125D1"/>
    <w:rsid w:val="0E214211"/>
    <w:rsid w:val="0E5F2769"/>
    <w:rsid w:val="0F4D75A3"/>
    <w:rsid w:val="0F5B2DCA"/>
    <w:rsid w:val="0FED051E"/>
    <w:rsid w:val="0FEE4C29"/>
    <w:rsid w:val="10031608"/>
    <w:rsid w:val="10046082"/>
    <w:rsid w:val="10095F47"/>
    <w:rsid w:val="104974DD"/>
    <w:rsid w:val="10FB1985"/>
    <w:rsid w:val="111703D2"/>
    <w:rsid w:val="112B101A"/>
    <w:rsid w:val="119B53FC"/>
    <w:rsid w:val="1215733B"/>
    <w:rsid w:val="12424CDC"/>
    <w:rsid w:val="129A2738"/>
    <w:rsid w:val="12B56BF1"/>
    <w:rsid w:val="12CB1A89"/>
    <w:rsid w:val="131840FB"/>
    <w:rsid w:val="13467417"/>
    <w:rsid w:val="136E76CF"/>
    <w:rsid w:val="1377619D"/>
    <w:rsid w:val="145F08C6"/>
    <w:rsid w:val="15776308"/>
    <w:rsid w:val="15BC6B3C"/>
    <w:rsid w:val="16360A7B"/>
    <w:rsid w:val="164D40B0"/>
    <w:rsid w:val="1694429A"/>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EF177D"/>
    <w:rsid w:val="1BF54245"/>
    <w:rsid w:val="1C0F40E2"/>
    <w:rsid w:val="1D0E6976"/>
    <w:rsid w:val="1D5A79EE"/>
    <w:rsid w:val="1E0E2CD0"/>
    <w:rsid w:val="1E831280"/>
    <w:rsid w:val="1EBC4704"/>
    <w:rsid w:val="1F172EB5"/>
    <w:rsid w:val="1F94592D"/>
    <w:rsid w:val="1FB860DE"/>
    <w:rsid w:val="203C5A02"/>
    <w:rsid w:val="209D4C94"/>
    <w:rsid w:val="20E84705"/>
    <w:rsid w:val="218400BA"/>
    <w:rsid w:val="21AB1E2F"/>
    <w:rsid w:val="21D40498"/>
    <w:rsid w:val="22767047"/>
    <w:rsid w:val="23A05588"/>
    <w:rsid w:val="240476A1"/>
    <w:rsid w:val="24755EE5"/>
    <w:rsid w:val="25431AEB"/>
    <w:rsid w:val="25BE3BFB"/>
    <w:rsid w:val="25BF43FD"/>
    <w:rsid w:val="25F86BCD"/>
    <w:rsid w:val="2605748B"/>
    <w:rsid w:val="264544A6"/>
    <w:rsid w:val="269E416A"/>
    <w:rsid w:val="26C11C6B"/>
    <w:rsid w:val="272100D3"/>
    <w:rsid w:val="272C72FC"/>
    <w:rsid w:val="275131CB"/>
    <w:rsid w:val="27EB149D"/>
    <w:rsid w:val="27FD3E52"/>
    <w:rsid w:val="28A840FA"/>
    <w:rsid w:val="28E11370"/>
    <w:rsid w:val="294A756A"/>
    <w:rsid w:val="29781BF8"/>
    <w:rsid w:val="29C33ED0"/>
    <w:rsid w:val="29D5322D"/>
    <w:rsid w:val="2A025DD9"/>
    <w:rsid w:val="2A2619CB"/>
    <w:rsid w:val="2A7C2231"/>
    <w:rsid w:val="2ABB753D"/>
    <w:rsid w:val="2AEA0AD0"/>
    <w:rsid w:val="2AFE6EC4"/>
    <w:rsid w:val="2B7A49FA"/>
    <w:rsid w:val="2C615D26"/>
    <w:rsid w:val="2CB679ED"/>
    <w:rsid w:val="2CEE12DB"/>
    <w:rsid w:val="2D173C07"/>
    <w:rsid w:val="2D424A86"/>
    <w:rsid w:val="2DDA66B7"/>
    <w:rsid w:val="2E147060"/>
    <w:rsid w:val="2E3C60C4"/>
    <w:rsid w:val="2E7B52DB"/>
    <w:rsid w:val="2ED60115"/>
    <w:rsid w:val="2F324CFE"/>
    <w:rsid w:val="2FBA09F1"/>
    <w:rsid w:val="2FEF2ACF"/>
    <w:rsid w:val="30540211"/>
    <w:rsid w:val="31112A0D"/>
    <w:rsid w:val="311F4B20"/>
    <w:rsid w:val="312D7741"/>
    <w:rsid w:val="316F137F"/>
    <w:rsid w:val="31DF525F"/>
    <w:rsid w:val="31EC162B"/>
    <w:rsid w:val="32324C2E"/>
    <w:rsid w:val="327171DF"/>
    <w:rsid w:val="341E3434"/>
    <w:rsid w:val="34BB4442"/>
    <w:rsid w:val="360B7EBA"/>
    <w:rsid w:val="36416867"/>
    <w:rsid w:val="369C32FD"/>
    <w:rsid w:val="37666E72"/>
    <w:rsid w:val="38081EA3"/>
    <w:rsid w:val="38167A04"/>
    <w:rsid w:val="381C3783"/>
    <w:rsid w:val="38E769EB"/>
    <w:rsid w:val="394B167A"/>
    <w:rsid w:val="39DA2868"/>
    <w:rsid w:val="3A055F4B"/>
    <w:rsid w:val="3A4E4336"/>
    <w:rsid w:val="3A6007FE"/>
    <w:rsid w:val="3AF93D6C"/>
    <w:rsid w:val="3B7C2CE4"/>
    <w:rsid w:val="3BAF716B"/>
    <w:rsid w:val="3BD73A63"/>
    <w:rsid w:val="3C0B5355"/>
    <w:rsid w:val="3CD4176B"/>
    <w:rsid w:val="3D1F44D9"/>
    <w:rsid w:val="3D5C38CD"/>
    <w:rsid w:val="3E5070F1"/>
    <w:rsid w:val="3EC370CB"/>
    <w:rsid w:val="3F6C3589"/>
    <w:rsid w:val="3F850180"/>
    <w:rsid w:val="3F9004D6"/>
    <w:rsid w:val="400E4D5E"/>
    <w:rsid w:val="40E1138C"/>
    <w:rsid w:val="413814BA"/>
    <w:rsid w:val="41872511"/>
    <w:rsid w:val="41DF1251"/>
    <w:rsid w:val="42315F23"/>
    <w:rsid w:val="424236D9"/>
    <w:rsid w:val="42466655"/>
    <w:rsid w:val="4270620D"/>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D43BE3"/>
    <w:rsid w:val="48F005D3"/>
    <w:rsid w:val="49547ADD"/>
    <w:rsid w:val="49732351"/>
    <w:rsid w:val="498F4AF1"/>
    <w:rsid w:val="49C05787"/>
    <w:rsid w:val="49CF518D"/>
    <w:rsid w:val="4A645ED8"/>
    <w:rsid w:val="4ADA1F63"/>
    <w:rsid w:val="4AE23D89"/>
    <w:rsid w:val="4B2038D0"/>
    <w:rsid w:val="4B296E7D"/>
    <w:rsid w:val="4B79394E"/>
    <w:rsid w:val="4B877F28"/>
    <w:rsid w:val="4D916BA6"/>
    <w:rsid w:val="4DC44169"/>
    <w:rsid w:val="4DDE5346"/>
    <w:rsid w:val="4DE24E21"/>
    <w:rsid w:val="4E1B19A3"/>
    <w:rsid w:val="4E48787F"/>
    <w:rsid w:val="4EF0709E"/>
    <w:rsid w:val="4F0469A4"/>
    <w:rsid w:val="4F292FAD"/>
    <w:rsid w:val="50540C73"/>
    <w:rsid w:val="513C6A7B"/>
    <w:rsid w:val="532D486F"/>
    <w:rsid w:val="5333545B"/>
    <w:rsid w:val="538D0E89"/>
    <w:rsid w:val="5450213C"/>
    <w:rsid w:val="549B1E3B"/>
    <w:rsid w:val="54D24048"/>
    <w:rsid w:val="54D64CD5"/>
    <w:rsid w:val="54E32004"/>
    <w:rsid w:val="55887D69"/>
    <w:rsid w:val="561A0928"/>
    <w:rsid w:val="56423872"/>
    <w:rsid w:val="569E06BC"/>
    <w:rsid w:val="56B279F0"/>
    <w:rsid w:val="56F20F86"/>
    <w:rsid w:val="579D710E"/>
    <w:rsid w:val="581F22F6"/>
    <w:rsid w:val="586E1E17"/>
    <w:rsid w:val="58862C35"/>
    <w:rsid w:val="58C14957"/>
    <w:rsid w:val="58CC23D2"/>
    <w:rsid w:val="58E66050"/>
    <w:rsid w:val="58FC2EEC"/>
    <w:rsid w:val="5AE83A50"/>
    <w:rsid w:val="5B353193"/>
    <w:rsid w:val="5BAB2917"/>
    <w:rsid w:val="5BFC33FA"/>
    <w:rsid w:val="5C3107A4"/>
    <w:rsid w:val="5C3B1B93"/>
    <w:rsid w:val="5C630FD2"/>
    <w:rsid w:val="5C9220DF"/>
    <w:rsid w:val="5D2F2E0D"/>
    <w:rsid w:val="5D4A15F3"/>
    <w:rsid w:val="5D5D4807"/>
    <w:rsid w:val="5D69542A"/>
    <w:rsid w:val="5D783B72"/>
    <w:rsid w:val="5DDE210F"/>
    <w:rsid w:val="5E0930EF"/>
    <w:rsid w:val="5E3D4D53"/>
    <w:rsid w:val="5E4717E6"/>
    <w:rsid w:val="5E55774C"/>
    <w:rsid w:val="5E8A70FF"/>
    <w:rsid w:val="60045F96"/>
    <w:rsid w:val="60104DDC"/>
    <w:rsid w:val="605C0804"/>
    <w:rsid w:val="60CF5A8E"/>
    <w:rsid w:val="60FE2D1E"/>
    <w:rsid w:val="6189617B"/>
    <w:rsid w:val="61B52BB6"/>
    <w:rsid w:val="61B749C2"/>
    <w:rsid w:val="62280D20"/>
    <w:rsid w:val="62CA2457"/>
    <w:rsid w:val="638240A1"/>
    <w:rsid w:val="63833423"/>
    <w:rsid w:val="63A5257B"/>
    <w:rsid w:val="63BD3DCC"/>
    <w:rsid w:val="63C61741"/>
    <w:rsid w:val="64560967"/>
    <w:rsid w:val="64C43926"/>
    <w:rsid w:val="656B1D10"/>
    <w:rsid w:val="65B841F9"/>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87098A"/>
    <w:rsid w:val="6BDD7B4D"/>
    <w:rsid w:val="6C2770AD"/>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AB11A1"/>
    <w:rsid w:val="7EB577C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9"/>
    <w:qFormat/>
    <w:uiPriority w:val="99"/>
    <w:pPr>
      <w:spacing w:line="360" w:lineRule="auto"/>
      <w:ind w:firstLine="420"/>
    </w:pPr>
    <w:rPr>
      <w:rFonts w:eastAsia="等线"/>
      <w:color w:val="000000"/>
      <w:szCs w:val="24"/>
    </w:rPr>
  </w:style>
  <w:style w:type="paragraph" w:styleId="3">
    <w:name w:val="Body Text Indent"/>
    <w:basedOn w:val="1"/>
    <w:link w:val="48"/>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99"/>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54"/>
    <w:qFormat/>
    <w:uiPriority w:val="99"/>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link w:val="47"/>
    <w:semiHidden/>
    <w:unhideWhenUsed/>
    <w:qFormat/>
    <w:uiPriority w:val="99"/>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paragraph" w:customStyle="1" w:styleId="26">
    <w:name w:val="BodyText"/>
    <w:basedOn w:val="1"/>
    <w:next w:val="27"/>
    <w:qFormat/>
    <w:uiPriority w:val="0"/>
    <w:pPr>
      <w:textAlignment w:val="baseline"/>
    </w:pPr>
    <w:rPr>
      <w:sz w:val="28"/>
    </w:rPr>
  </w:style>
  <w:style w:type="paragraph" w:customStyle="1" w:styleId="27">
    <w:name w:val="BodyText2"/>
    <w:basedOn w:val="1"/>
    <w:qFormat/>
    <w:uiPriority w:val="0"/>
    <w:pPr>
      <w:spacing w:after="120" w:line="480" w:lineRule="auto"/>
      <w:textAlignment w:val="baseline"/>
    </w:pPr>
  </w:style>
  <w:style w:type="character" w:customStyle="1" w:styleId="28">
    <w:name w:val="页眉 字符"/>
    <w:basedOn w:val="24"/>
    <w:link w:val="18"/>
    <w:semiHidden/>
    <w:qFormat/>
    <w:uiPriority w:val="99"/>
    <w:rPr>
      <w:sz w:val="18"/>
      <w:szCs w:val="18"/>
    </w:rPr>
  </w:style>
  <w:style w:type="character" w:customStyle="1" w:styleId="29">
    <w:name w:val="页脚 字符"/>
    <w:basedOn w:val="24"/>
    <w:link w:val="17"/>
    <w:qFormat/>
    <w:uiPriority w:val="99"/>
    <w:rPr>
      <w:sz w:val="18"/>
      <w:szCs w:val="18"/>
    </w:rPr>
  </w:style>
  <w:style w:type="character" w:customStyle="1" w:styleId="30">
    <w:name w:val="标题 1 字符"/>
    <w:basedOn w:val="24"/>
    <w:link w:val="4"/>
    <w:qFormat/>
    <w:uiPriority w:val="9"/>
    <w:rPr>
      <w:rFonts w:eastAsia="方正小标宋简体"/>
      <w:bCs/>
      <w:kern w:val="44"/>
      <w:sz w:val="44"/>
      <w:szCs w:val="44"/>
    </w:rPr>
  </w:style>
  <w:style w:type="character" w:customStyle="1" w:styleId="31">
    <w:name w:val="标题 2 字符"/>
    <w:basedOn w:val="24"/>
    <w:link w:val="5"/>
    <w:qFormat/>
    <w:uiPriority w:val="99"/>
    <w:rPr>
      <w:rFonts w:eastAsia="方正小标宋简体" w:asciiTheme="majorHAnsi" w:hAnsiTheme="majorHAnsi" w:cstheme="majorBidi"/>
      <w:bCs/>
      <w:sz w:val="36"/>
      <w:szCs w:val="32"/>
    </w:rPr>
  </w:style>
  <w:style w:type="character" w:customStyle="1" w:styleId="32">
    <w:name w:val="标题 3 字符"/>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4"/>
    <w:link w:val="8"/>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正文文本缩进 2 字符"/>
    <w:basedOn w:val="24"/>
    <w:link w:val="15"/>
    <w:semiHidden/>
    <w:qFormat/>
    <w:uiPriority w:val="99"/>
    <w:rPr>
      <w:kern w:val="2"/>
      <w:sz w:val="21"/>
      <w:szCs w:val="22"/>
    </w:rPr>
  </w:style>
  <w:style w:type="character" w:customStyle="1" w:styleId="48">
    <w:name w:val="正文文本缩进 字符"/>
    <w:basedOn w:val="24"/>
    <w:link w:val="3"/>
    <w:qFormat/>
    <w:uiPriority w:val="99"/>
    <w:rPr>
      <w:rFonts w:ascii="宋体" w:hAnsi="宋体" w:cs="Times New Roman"/>
      <w:sz w:val="24"/>
    </w:rPr>
  </w:style>
  <w:style w:type="character" w:customStyle="1" w:styleId="49">
    <w:name w:val="正文文本首行缩进 2 字符"/>
    <w:basedOn w:val="48"/>
    <w:link w:val="2"/>
    <w:qFormat/>
    <w:uiPriority w:val="99"/>
    <w:rPr>
      <w:rFonts w:ascii="宋体" w:hAnsi="宋体" w:eastAsia="等线" w:cs="Times New Roman"/>
      <w:color w:val="000000"/>
      <w:sz w:val="24"/>
      <w:szCs w:val="24"/>
    </w:rPr>
  </w:style>
  <w:style w:type="paragraph" w:customStyle="1" w:styleId="50">
    <w:name w:val="正文首行缩进 21"/>
    <w:basedOn w:val="3"/>
    <w:qFormat/>
    <w:uiPriority w:val="0"/>
    <w:pPr>
      <w:adjustRightInd/>
      <w:snapToGrid/>
      <w:spacing w:before="100" w:beforeAutospacing="1" w:after="120" w:line="240" w:lineRule="auto"/>
      <w:ind w:left="420" w:leftChars="200" w:firstLine="830" w:firstLineChars="352"/>
      <w:textAlignment w:val="auto"/>
    </w:pPr>
    <w:rPr>
      <w:rFonts w:ascii="Times New Roman" w:hAnsi="Times New Roman" w:eastAsia="仿宋_GB2312"/>
      <w:kern w:val="2"/>
      <w:sz w:val="32"/>
      <w:szCs w:val="32"/>
    </w:rPr>
  </w:style>
  <w:style w:type="paragraph" w:customStyle="1" w:styleId="5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Default1"/>
    <w:basedOn w:val="1"/>
    <w:qFormat/>
    <w:uiPriority w:val="0"/>
    <w:pPr>
      <w:autoSpaceDE w:val="0"/>
      <w:autoSpaceDN w:val="0"/>
      <w:adjustRightInd w:val="0"/>
      <w:jc w:val="left"/>
    </w:pPr>
    <w:rPr>
      <w:rFonts w:ascii="宋体" w:hAnsi="Times New Roman" w:eastAsia="仿宋_GB2312" w:cs="宋体"/>
      <w:color w:val="000000"/>
      <w:kern w:val="0"/>
      <w:sz w:val="24"/>
      <w:szCs w:val="24"/>
    </w:rPr>
  </w:style>
  <w:style w:type="paragraph" w:customStyle="1" w:styleId="53">
    <w:name w:val="列表段落1"/>
    <w:basedOn w:val="1"/>
    <w:qFormat/>
    <w:uiPriority w:val="0"/>
    <w:pPr>
      <w:ind w:firstLine="420" w:firstLineChars="200"/>
    </w:pPr>
    <w:rPr>
      <w:rFonts w:ascii="Times New Roman" w:hAnsi="Times New Roman" w:eastAsia="宋体" w:cs="Times New Roman"/>
      <w:szCs w:val="21"/>
    </w:rPr>
  </w:style>
  <w:style w:type="character" w:customStyle="1" w:styleId="54">
    <w:name w:val="纯文本 字符"/>
    <w:basedOn w:val="24"/>
    <w:link w:val="12"/>
    <w:qFormat/>
    <w:uiPriority w:val="99"/>
    <w:rPr>
      <w:rFonts w:ascii="宋体" w:hAnsi="Courier New"/>
      <w:kern w:val="2"/>
      <w:sz w:val="21"/>
      <w:szCs w:val="21"/>
    </w:rPr>
  </w:style>
  <w:style w:type="paragraph" w:customStyle="1" w:styleId="55">
    <w:name w:val="无间隔1"/>
    <w:basedOn w:val="1"/>
    <w:qFormat/>
    <w:uiPriority w:val="0"/>
    <w:pPr>
      <w:widowControl/>
      <w:jc w:val="left"/>
    </w:pPr>
    <w:rPr>
      <w:rFonts w:ascii="Calibri" w:hAnsi="Calibri" w:eastAsia="宋体" w:cs="Times New Roman"/>
      <w:kern w:val="0"/>
      <w:sz w:val="22"/>
    </w:rPr>
  </w:style>
  <w:style w:type="character" w:customStyle="1" w:styleId="56">
    <w:name w:val="10"/>
    <w:basedOn w:val="24"/>
    <w:qFormat/>
    <w:uiPriority w:val="0"/>
    <w:rPr>
      <w:rFonts w:hint="default" w:ascii="Times New Roman" w:hAnsi="Times New Roman" w:cs="Times New Roman"/>
    </w:rPr>
  </w:style>
  <w:style w:type="character" w:customStyle="1" w:styleId="57">
    <w:name w:val="15"/>
    <w:basedOn w:val="24"/>
    <w:qFormat/>
    <w:uiPriority w:val="0"/>
    <w:rPr>
      <w:rFonts w:hint="default" w:ascii="Times New Roman" w:hAnsi="Times New Roman" w:cs="Times New Roman"/>
      <w:b/>
      <w:bCs/>
    </w:rPr>
  </w:style>
  <w:style w:type="character" w:customStyle="1" w:styleId="58">
    <w:name w:val="未处理的提及1"/>
    <w:basedOn w:val="24"/>
    <w:semiHidden/>
    <w:unhideWhenUsed/>
    <w:qFormat/>
    <w:uiPriority w:val="99"/>
    <w:rPr>
      <w:color w:val="605E5C"/>
      <w:shd w:val="clear" w:color="auto" w:fill="E1DFDD"/>
    </w:rPr>
  </w:style>
  <w:style w:type="paragraph" w:customStyle="1" w:styleId="59">
    <w:name w:val="正文首行缩进 22"/>
    <w:basedOn w:val="3"/>
    <w:qFormat/>
    <w:uiPriority w:val="0"/>
    <w:pPr>
      <w:spacing w:before="100" w:beforeAutospacing="1" w:line="360" w:lineRule="auto"/>
      <w:ind w:firstLine="420"/>
    </w:pPr>
    <w:rPr>
      <w:rFonts w:eastAsia="等线"/>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32591</Words>
  <Characters>36089</Characters>
  <Lines>302</Lines>
  <Paragraphs>85</Paragraphs>
  <TotalTime>16</TotalTime>
  <ScaleCrop>false</ScaleCrop>
  <LinksUpToDate>false</LinksUpToDate>
  <CharactersWithSpaces>38562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2022-07-15T09:09:00Z</cp:lastPrinted>
  <dcterms:modified xsi:type="dcterms:W3CDTF">2022-08-25T11:33:02Z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624844508F09426DAD4BFB56CE6C4D4E</vt:lpwstr>
  </property>
</Properties>
</file>