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广州市净水有限公司对讲机信号覆盖更新改造项目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0"/>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4"/>
        <w:jc w:val="both"/>
        <w:rPr>
          <w:rFonts w:hint="default"/>
          <w:color w:val="auto"/>
          <w:highlight w:val="none"/>
        </w:rPr>
      </w:pPr>
      <w:bookmarkStart w:id="4" w:name="_Toc4275"/>
      <w:bookmarkStart w:id="5" w:name="_Toc1669"/>
      <w:bookmarkStart w:id="6" w:name="_Toc31938"/>
      <w:bookmarkStart w:id="7" w:name="_Toc17801"/>
      <w:bookmarkStart w:id="8" w:name="_Toc7519"/>
      <w:bookmarkStart w:id="9" w:name="_Toc19609"/>
      <w:bookmarkStart w:id="10" w:name="_Toc11322"/>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CZpQ8wEAAOQDAAAOAAAAZHJzL2Uyb0RvYy54bWytU72O&#10;EzEQ7pF4B8s92SQo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8Jml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CM5ND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YcubA0o3/&#10;+vz9/tOXu68/7358Y5Or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AIzk0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2"/>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广州市净水有限公司对讲机信号覆盖更新改造项目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广州市净水有限公司对讲机信号覆盖更新改造项目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XJ-20220823-3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750000</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包括西朗二期、沥滘三期和京溪这3座地埋式净水厂地下空间的对讲机信号覆盖系统更新改造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90日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广州市区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详见第五章采购要求。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通信工程施工总承包三级（或以上）或电子与智能化工程专业承包资质二级（或以上）</w:t>
      </w:r>
      <w:r>
        <w:rPr>
          <w:rFonts w:hint="eastAsia" w:ascii="仿宋_GB2312" w:eastAsia="仿宋_GB2312"/>
          <w:color w:val="auto"/>
          <w:sz w:val="28"/>
          <w:szCs w:val="28"/>
          <w:highlight w:val="none"/>
        </w:rPr>
        <w:t>资质，建设主管部门颁发且在有效期内的《安全生产许可证》资质。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2019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rPr>
        <w:t>无线通讯类</w:t>
      </w:r>
      <w:r>
        <w:rPr>
          <w:rFonts w:hint="eastAsia" w:ascii="仿宋_GB2312" w:eastAsia="仿宋_GB2312"/>
          <w:color w:val="auto"/>
          <w:sz w:val="28"/>
          <w:szCs w:val="28"/>
          <w:highlight w:val="none"/>
        </w:rPr>
        <w:t>项目的业绩。（提供合同复印件及验收报告，包括但不限于项目名称、金额及实施内容、合同签字盖章、签订日期，加盖单位公章。原件备查）</w:t>
      </w:r>
    </w:p>
    <w:p>
      <w:pPr>
        <w:pStyle w:val="2"/>
        <w:ind w:firstLine="0"/>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（4）项目负责人应当具备以下资格条件之一。</w:t>
      </w:r>
    </w:p>
    <w:p>
      <w:pPr>
        <w:pStyle w:val="42"/>
        <w:autoSpaceDE w:val="0"/>
        <w:autoSpaceDN w:val="0"/>
        <w:ind w:firstLine="840" w:firstLineChars="300"/>
        <w:jc w:val="left"/>
        <w:rPr>
          <w:rFonts w:ascii="仿宋_GB2312" w:eastAsia="仿宋_GB2312" w:cs="仿宋_GB2312"/>
          <w:color w:val="auto"/>
          <w:sz w:val="28"/>
          <w:szCs w:val="28"/>
          <w:highlight w:val="none"/>
          <w:u w:val="single"/>
          <w:lang w:val="zh-CN"/>
        </w:rPr>
      </w:pPr>
      <w:r>
        <w:rPr>
          <w:rFonts w:hint="eastAsia" w:ascii="仿宋_GB2312" w:eastAsia="仿宋_GB2312" w:cs="仿宋_GB2312"/>
          <w:color w:val="auto"/>
          <w:sz w:val="28"/>
          <w:szCs w:val="28"/>
          <w:highlight w:val="none"/>
          <w:u w:val="single"/>
          <w:lang w:val="zh-CN"/>
        </w:rPr>
        <w:t>（</w:t>
      </w:r>
      <w:r>
        <w:rPr>
          <w:rFonts w:ascii="仿宋_GB2312" w:eastAsia="仿宋_GB2312" w:cs="仿宋_GB2312"/>
          <w:color w:val="auto"/>
          <w:sz w:val="28"/>
          <w:szCs w:val="28"/>
          <w:highlight w:val="none"/>
          <w:u w:val="single"/>
        </w:rPr>
        <w:t>A</w:t>
      </w:r>
      <w:r>
        <w:rPr>
          <w:rFonts w:hint="eastAsia" w:ascii="仿宋_GB2312" w:eastAsia="仿宋_GB2312" w:cs="仿宋_GB2312"/>
          <w:color w:val="auto"/>
          <w:sz w:val="28"/>
          <w:szCs w:val="28"/>
          <w:highlight w:val="none"/>
          <w:u w:val="single"/>
          <w:lang w:val="zh-CN"/>
        </w:rPr>
        <w:t>）通信</w:t>
      </w:r>
      <w:r>
        <w:rPr>
          <w:rFonts w:hint="eastAsia" w:ascii="仿宋_GB2312" w:eastAsia="仿宋_GB2312" w:cs="仿宋_GB2312"/>
          <w:color w:val="auto"/>
          <w:sz w:val="28"/>
          <w:szCs w:val="28"/>
          <w:highlight w:val="none"/>
          <w:u w:val="single"/>
        </w:rPr>
        <w:t>与</w:t>
      </w:r>
      <w:r>
        <w:rPr>
          <w:rFonts w:hint="eastAsia" w:ascii="仿宋_GB2312" w:eastAsia="仿宋_GB2312" w:cs="仿宋_GB2312"/>
          <w:color w:val="auto"/>
          <w:sz w:val="28"/>
          <w:szCs w:val="28"/>
          <w:highlight w:val="none"/>
          <w:u w:val="single"/>
          <w:lang w:val="zh-CN"/>
        </w:rPr>
        <w:t>广电工程</w:t>
      </w:r>
      <w:r>
        <w:rPr>
          <w:rFonts w:hint="eastAsia" w:ascii="仿宋_GB2312" w:eastAsia="仿宋_GB2312" w:cs="仿宋_GB2312"/>
          <w:color w:val="auto"/>
          <w:sz w:val="28"/>
          <w:szCs w:val="28"/>
          <w:highlight w:val="none"/>
          <w:u w:val="single"/>
        </w:rPr>
        <w:t>或机电安装工程</w:t>
      </w:r>
      <w:r>
        <w:rPr>
          <w:rFonts w:hint="eastAsia" w:ascii="仿宋_GB2312" w:eastAsia="仿宋_GB2312" w:cs="仿宋_GB2312"/>
          <w:color w:val="auto"/>
          <w:sz w:val="28"/>
          <w:szCs w:val="28"/>
          <w:highlight w:val="none"/>
          <w:u w:val="single"/>
          <w:lang w:val="zh-CN"/>
        </w:rPr>
        <w:t>二级（</w:t>
      </w:r>
      <w:r>
        <w:rPr>
          <w:rFonts w:hint="eastAsia" w:ascii="仿宋_GB2312" w:eastAsia="仿宋_GB2312" w:cs="仿宋_GB2312"/>
          <w:color w:val="auto"/>
          <w:sz w:val="28"/>
          <w:szCs w:val="28"/>
          <w:highlight w:val="none"/>
          <w:u w:val="single"/>
        </w:rPr>
        <w:t>或</w:t>
      </w:r>
      <w:r>
        <w:rPr>
          <w:rFonts w:hint="eastAsia" w:ascii="仿宋_GB2312" w:eastAsia="仿宋_GB2312" w:cs="仿宋_GB2312"/>
          <w:color w:val="auto"/>
          <w:sz w:val="28"/>
          <w:szCs w:val="28"/>
          <w:highlight w:val="none"/>
          <w:u w:val="single"/>
          <w:lang w:val="zh-CN"/>
        </w:rPr>
        <w:t>以上级别）的注册建造师；</w:t>
      </w:r>
    </w:p>
    <w:p>
      <w:pPr>
        <w:pStyle w:val="42"/>
        <w:autoSpaceDE w:val="0"/>
        <w:autoSpaceDN w:val="0"/>
        <w:ind w:firstLine="840" w:firstLineChars="300"/>
        <w:jc w:val="left"/>
        <w:rPr>
          <w:rFonts w:ascii="仿宋_GB2312" w:eastAsia="仿宋_GB2312" w:cs="仿宋_GB2312"/>
          <w:color w:val="auto"/>
          <w:sz w:val="28"/>
          <w:szCs w:val="28"/>
          <w:highlight w:val="none"/>
          <w:u w:val="single"/>
          <w:lang w:val="zh-CN"/>
        </w:rPr>
      </w:pPr>
      <w:r>
        <w:rPr>
          <w:rFonts w:hint="eastAsia" w:ascii="仿宋_GB2312" w:eastAsia="仿宋_GB2312" w:cs="仿宋_GB2312"/>
          <w:color w:val="auto"/>
          <w:sz w:val="28"/>
          <w:szCs w:val="28"/>
          <w:highlight w:val="none"/>
          <w:u w:val="single"/>
          <w:lang w:val="zh-CN"/>
        </w:rPr>
        <w:t>（</w:t>
      </w:r>
      <w:r>
        <w:rPr>
          <w:rFonts w:ascii="仿宋_GB2312" w:eastAsia="仿宋_GB2312" w:cs="仿宋_GB2312"/>
          <w:color w:val="auto"/>
          <w:sz w:val="28"/>
          <w:szCs w:val="28"/>
          <w:highlight w:val="none"/>
          <w:u w:val="single"/>
        </w:rPr>
        <w:t>B</w:t>
      </w:r>
      <w:r>
        <w:rPr>
          <w:rFonts w:hint="eastAsia" w:ascii="仿宋_GB2312" w:eastAsia="仿宋_GB2312" w:cs="仿宋_GB2312"/>
          <w:color w:val="auto"/>
          <w:sz w:val="28"/>
          <w:szCs w:val="28"/>
          <w:highlight w:val="none"/>
          <w:u w:val="single"/>
          <w:lang w:val="zh-CN"/>
        </w:rPr>
        <w:t>）具备符合粤建市〔2010〕26号文规定的小型项目负责人资格）。</w:t>
      </w:r>
    </w:p>
    <w:p>
      <w:pPr>
        <w:pStyle w:val="42"/>
        <w:autoSpaceDE w:val="0"/>
        <w:autoSpaceDN w:val="0"/>
        <w:ind w:firstLine="560"/>
        <w:jc w:val="left"/>
        <w:rPr>
          <w:rFonts w:ascii="仿宋_GB2312" w:eastAsia="仿宋_GB2312" w:cs="仿宋_GB2312"/>
          <w:color w:val="auto"/>
          <w:sz w:val="28"/>
          <w:szCs w:val="28"/>
          <w:highlight w:val="none"/>
          <w:u w:val="single"/>
        </w:rPr>
      </w:pPr>
      <w:r>
        <w:rPr>
          <w:rFonts w:hint="eastAsia" w:ascii="仿宋_GB2312" w:eastAsia="仿宋_GB2312" w:cs="仿宋_GB2312"/>
          <w:color w:val="auto"/>
          <w:sz w:val="28"/>
          <w:szCs w:val="28"/>
          <w:highlight w:val="none"/>
          <w:u w:val="single"/>
        </w:rPr>
        <w:t>同时持有项目负责人安全生产考核合格证（B类）（或能够提供广东省建筑施工企业管理人员安全生产考核信息系统安全生产管理人员证书信息的网页截图）</w:t>
      </w:r>
    </w:p>
    <w:p>
      <w:pPr>
        <w:pStyle w:val="42"/>
        <w:autoSpaceDE w:val="0"/>
        <w:autoSpaceDN w:val="0"/>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（注：注册建造师电子证书须由本人在个人签名处手写签名，未手写签名或与签名图像笔迹不一致的，电子证书无效。广东省外注册的二级建造师人员暂不能在我省执业）</w:t>
      </w:r>
    </w:p>
    <w:p>
      <w:pPr>
        <w:pStyle w:val="42"/>
        <w:autoSpaceDE w:val="0"/>
        <w:autoSpaceDN w:val="0"/>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p>
    <w:p>
      <w:pPr>
        <w:pStyle w:val="42"/>
        <w:autoSpaceDE w:val="0"/>
        <w:autoSpaceDN w:val="0"/>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专职安全人员要求：须具有安全生产考核合格证（C类）（或能够提供广东省建筑施工企业管理人员安全生产考核信息系统安全生产管理人员证书信息的网页截图）。项目负责人不得同时兼任本项目专职安全人员。</w:t>
      </w:r>
    </w:p>
    <w:p>
      <w:pPr>
        <w:pStyle w:val="2"/>
        <w:autoSpaceDE w:val="0"/>
        <w:autoSpaceDN w:val="0"/>
        <w:spacing w:line="600" w:lineRule="exact"/>
        <w:ind w:firstLine="0" w:firstLineChars="0"/>
        <w:jc w:val="left"/>
        <w:rPr>
          <w:rFonts w:ascii="仿宋_GB2312" w:eastAsia="仿宋_GB2312" w:cs="仿宋_GB2312"/>
          <w:color w:val="auto"/>
          <w:sz w:val="28"/>
          <w:szCs w:val="28"/>
          <w:highlight w:val="none"/>
          <w:u w:val="single"/>
          <w:lang w:val="zh-CN"/>
        </w:rPr>
      </w:pPr>
      <w:r>
        <w:rPr>
          <w:rFonts w:ascii="仿宋_GB2312" w:hAnsi="Calibri" w:eastAsia="仿宋_GB2312"/>
          <w:color w:val="auto"/>
          <w:kern w:val="2"/>
          <w:sz w:val="28"/>
          <w:szCs w:val="28"/>
          <w:highlight w:val="none"/>
          <w:u w:val="single"/>
        </w:rPr>
        <w:t>2</w:t>
      </w:r>
      <w:r>
        <w:rPr>
          <w:rFonts w:hint="eastAsia" w:ascii="仿宋_GB2312" w:hAnsi="Calibri" w:eastAsia="仿宋_GB2312"/>
          <w:color w:val="auto"/>
          <w:kern w:val="2"/>
          <w:sz w:val="28"/>
          <w:szCs w:val="28"/>
          <w:highlight w:val="none"/>
          <w:u w:val="none"/>
        </w:rPr>
        <w:t>.中选后于合同签订前须提供</w:t>
      </w:r>
      <w:r>
        <w:rPr>
          <w:rFonts w:hint="eastAsia" w:ascii="仿宋_GB2312" w:hAnsi="Calibri" w:eastAsia="仿宋_GB2312"/>
          <w:color w:val="auto"/>
          <w:kern w:val="2"/>
          <w:sz w:val="28"/>
          <w:szCs w:val="28"/>
          <w:highlight w:val="none"/>
        </w:rPr>
        <w:t>主要</w:t>
      </w:r>
      <w:r>
        <w:rPr>
          <w:rFonts w:hint="eastAsia" w:ascii="仿宋_GB2312" w:hAnsi="Calibri" w:eastAsia="仿宋_GB2312"/>
          <w:color w:val="auto"/>
          <w:kern w:val="2"/>
          <w:sz w:val="28"/>
          <w:szCs w:val="28"/>
          <w:highlight w:val="none"/>
          <w:u w:val="none"/>
        </w:rPr>
        <w:t>设备</w:t>
      </w:r>
      <w:r>
        <w:rPr>
          <w:rFonts w:hint="eastAsia" w:ascii="仿宋_GB2312" w:hAnsi="Calibri" w:eastAsia="仿宋_GB2312"/>
          <w:color w:val="auto"/>
          <w:kern w:val="2"/>
          <w:sz w:val="28"/>
          <w:szCs w:val="28"/>
          <w:highlight w:val="none"/>
        </w:rPr>
        <w:t>（中继台、双工器、远端和近端光纤机）的</w:t>
      </w:r>
      <w:r>
        <w:rPr>
          <w:rFonts w:hint="eastAsia" w:ascii="仿宋_GB2312" w:hAnsi="Calibri" w:eastAsia="仿宋_GB2312"/>
          <w:color w:val="auto"/>
          <w:kern w:val="2"/>
          <w:sz w:val="28"/>
          <w:szCs w:val="28"/>
          <w:highlight w:val="none"/>
          <w:u w:val="none"/>
        </w:rPr>
        <w:t>厂家授权函。</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ind w:firstLine="560" w:firstLineChars="200"/>
        <w:rPr>
          <w:rFonts w:hint="eastAsia" w:ascii="仿宋_GB2312" w:eastAsia="仿宋_GB2312"/>
          <w:color w:val="auto"/>
          <w:sz w:val="28"/>
          <w:szCs w:val="28"/>
          <w:highlight w:val="none"/>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p>
    <w:p>
      <w:pPr>
        <w:ind w:firstLine="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踏勘现场信息：</w:t>
      </w:r>
    </w:p>
    <w:p>
      <w:pPr>
        <w:numPr>
          <w:ilvl w:val="-1"/>
          <w:numId w:val="0"/>
        </w:numPr>
        <w:adjustRightInd/>
        <w:snapToGrid/>
        <w:spacing w:line="240" w:lineRule="auto"/>
        <w:ind w:firstLine="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xml:space="preserve">京溪（梁工）（电话 </w:t>
      </w:r>
      <w:r>
        <w:rPr>
          <w:rFonts w:ascii="仿宋_GB2312" w:eastAsia="仿宋_GB2312"/>
          <w:color w:val="auto"/>
          <w:sz w:val="28"/>
          <w:szCs w:val="28"/>
          <w:highlight w:val="none"/>
        </w:rPr>
        <w:t>020-</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28082566</w:t>
      </w:r>
      <w:r>
        <w:rPr>
          <w:rFonts w:hint="eastAsia" w:ascii="仿宋_GB2312" w:eastAsia="仿宋_GB2312"/>
          <w:color w:val="auto"/>
          <w:sz w:val="28"/>
          <w:szCs w:val="28"/>
          <w:highlight w:val="none"/>
        </w:rPr>
        <w:t>，地点：</w:t>
      </w:r>
      <w:r>
        <w:rPr>
          <w:rFonts w:hint="eastAsia" w:ascii="仿宋_GB2312" w:eastAsia="仿宋_GB2312" w:hAnsiTheme="minorHAnsi" w:cstheme="minorBidi"/>
          <w:color w:val="auto"/>
          <w:kern w:val="2"/>
          <w:sz w:val="28"/>
          <w:szCs w:val="28"/>
          <w:highlight w:val="none"/>
        </w:rPr>
        <w:t>广州市白云区沙太北路犀牛二马路1号</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集合时间：2022年8月25日9:00-9:30</w:t>
      </w:r>
      <w:r>
        <w:rPr>
          <w:rFonts w:hint="eastAsia" w:ascii="仿宋_GB2312" w:eastAsia="仿宋_GB2312" w:hAnsiTheme="minorHAnsi"/>
          <w:color w:val="auto"/>
          <w:sz w:val="28"/>
          <w:szCs w:val="28"/>
          <w:highlight w:val="none"/>
          <w:u w:val="none"/>
        </w:rPr>
        <w:t xml:space="preserve"> </w:t>
      </w:r>
    </w:p>
    <w:p>
      <w:pPr>
        <w:ind w:firstLine="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西朗二期（林工）（电话：0</w:t>
      </w:r>
      <w:r>
        <w:rPr>
          <w:rFonts w:ascii="仿宋_GB2312" w:eastAsia="仿宋_GB2312"/>
          <w:color w:val="auto"/>
          <w:sz w:val="28"/>
          <w:szCs w:val="28"/>
          <w:highlight w:val="none"/>
        </w:rPr>
        <w:t>20-</w:t>
      </w:r>
      <w:r>
        <w:rPr>
          <w:rFonts w:hint="eastAsia" w:ascii="仿宋_GB2312" w:eastAsia="仿宋_GB2312"/>
          <w:color w:val="auto"/>
          <w:sz w:val="28"/>
          <w:szCs w:val="28"/>
          <w:highlight w:val="none"/>
        </w:rPr>
        <w:t>8</w:t>
      </w:r>
      <w:r>
        <w:rPr>
          <w:rFonts w:ascii="仿宋_GB2312" w:eastAsia="仿宋_GB2312"/>
          <w:color w:val="auto"/>
          <w:sz w:val="28"/>
          <w:szCs w:val="28"/>
          <w:highlight w:val="none"/>
        </w:rPr>
        <w:t>1605051</w:t>
      </w:r>
      <w:r>
        <w:rPr>
          <w:rFonts w:hint="eastAsia" w:ascii="仿宋_GB2312" w:eastAsia="仿宋_GB2312"/>
          <w:color w:val="auto"/>
          <w:sz w:val="28"/>
          <w:szCs w:val="28"/>
          <w:highlight w:val="none"/>
        </w:rPr>
        <w:t>，地点：</w:t>
      </w:r>
      <w:r>
        <w:rPr>
          <w:rFonts w:hint="eastAsia" w:ascii="仿宋_GB2312" w:eastAsia="仿宋_GB2312" w:hAnsiTheme="minorHAnsi" w:cstheme="minorBidi"/>
          <w:color w:val="auto"/>
          <w:kern w:val="2"/>
          <w:sz w:val="28"/>
          <w:szCs w:val="28"/>
          <w:highlight w:val="none"/>
        </w:rPr>
        <w:t>广州市荔湾区喜闻路1号</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集合时间：2022年8月25日11:00-11:30</w:t>
      </w:r>
    </w:p>
    <w:p>
      <w:pPr>
        <w:ind w:firstLine="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沥滘三期(龙工)（电话：0</w:t>
      </w:r>
      <w:r>
        <w:rPr>
          <w:rFonts w:ascii="仿宋_GB2312" w:eastAsia="仿宋_GB2312"/>
          <w:color w:val="auto"/>
          <w:sz w:val="28"/>
          <w:szCs w:val="28"/>
          <w:highlight w:val="none"/>
        </w:rPr>
        <w:t>20-34060316</w:t>
      </w:r>
      <w:r>
        <w:rPr>
          <w:rFonts w:hint="eastAsia" w:ascii="仿宋_GB2312" w:eastAsia="仿宋_GB2312"/>
          <w:color w:val="auto"/>
          <w:sz w:val="28"/>
          <w:szCs w:val="28"/>
          <w:highlight w:val="none"/>
        </w:rPr>
        <w:t>，地点：</w:t>
      </w:r>
      <w:r>
        <w:rPr>
          <w:rFonts w:hint="eastAsia" w:ascii="仿宋_GB2312" w:eastAsia="仿宋_GB2312" w:hAnsiTheme="minorHAnsi" w:cstheme="minorBidi"/>
          <w:color w:val="auto"/>
          <w:kern w:val="2"/>
          <w:sz w:val="28"/>
          <w:szCs w:val="28"/>
          <w:highlight w:val="none"/>
        </w:rPr>
        <w:t>广州市海珠区南洲路1375号</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集合时间：</w:t>
      </w:r>
      <w:r>
        <w:rPr>
          <w:rFonts w:hint="eastAsia" w:ascii="仿宋_GB2312" w:eastAsia="仿宋_GB2312"/>
          <w:color w:val="auto"/>
          <w:sz w:val="28"/>
          <w:szCs w:val="28"/>
          <w:highlight w:val="none"/>
          <w:u w:val="none"/>
          <w:lang w:val="en-US" w:eastAsia="zh-CN"/>
        </w:rPr>
        <w:t>2022年8月26日9:30-10:00</w:t>
      </w:r>
    </w:p>
    <w:p>
      <w:pPr>
        <w:ind w:firstLine="0"/>
        <w:rPr>
          <w:rFonts w:hint="eastAsia" w:ascii="宋体" w:eastAsia="等线"/>
          <w:color w:val="auto"/>
          <w:sz w:val="24"/>
          <w:szCs w:val="24"/>
          <w:highlight w:val="none"/>
        </w:rPr>
      </w:pPr>
    </w:p>
    <w:p>
      <w:pPr>
        <w:adjustRightInd w:val="0"/>
        <w:snapToGrid w:val="0"/>
        <w:spacing w:line="360" w:lineRule="auto"/>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9448"/>
      <w:bookmarkStart w:id="15" w:name="_Toc16557"/>
      <w:bookmarkStart w:id="16" w:name="_Toc7340"/>
      <w:bookmarkStart w:id="17" w:name="_Toc23749"/>
      <w:bookmarkStart w:id="18" w:name="_Toc25603"/>
      <w:bookmarkStart w:id="19" w:name="_Toc32588"/>
      <w:bookmarkStart w:id="20" w:name="_Toc19295"/>
      <w:bookmarkStart w:id="21" w:name="_Toc2331"/>
      <w:bookmarkStart w:id="22" w:name="_Toc2324"/>
      <w:bookmarkStart w:id="23" w:name="_Toc16705"/>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3C9W3zAQAA5AMAAA4AAABkcnMvZTJvRG9jLnhtbK1TvY4T&#10;MRDukXgHyz3ZJCI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7cL1b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firstLine="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2"/>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2"/>
        <w:rPr>
          <w:color w:val="auto"/>
          <w:highlight w:val="none"/>
        </w:rPr>
      </w:pPr>
    </w:p>
    <w:p>
      <w:pPr>
        <w:pStyle w:val="32"/>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YUbP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fmFGz8gEAAOIDAAAOAAAAAAAAAAEAIAAAACU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o+qbL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Z9y5sDShd99&#10;/v7r05fbrz9vf3xjz7N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AqPqmy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2"/>
        <w:rPr>
          <w:color w:val="auto"/>
          <w:highlight w:val="none"/>
        </w:rPr>
      </w:pPr>
    </w:p>
    <w:p>
      <w:pPr>
        <w:pStyle w:val="5"/>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rFonts w:hint="eastAsia"/>
          <w:color w:val="auto"/>
          <w:highlight w:val="none"/>
        </w:rPr>
      </w:pPr>
      <w:bookmarkStart w:id="32" w:name="_Toc3789"/>
      <w:bookmarkStart w:id="33" w:name="_Toc24895"/>
    </w:p>
    <w:p>
      <w:pPr>
        <w:pStyle w:val="5"/>
        <w:rPr>
          <w:rFonts w:hint="eastAsia"/>
          <w:color w:val="auto"/>
          <w:highlight w:val="none"/>
        </w:rPr>
      </w:pPr>
    </w:p>
    <w:p>
      <w:pPr>
        <w:pStyle w:val="5"/>
        <w:jc w:val="both"/>
        <w:rPr>
          <w:rFonts w:hint="eastAsia"/>
          <w:color w:val="auto"/>
          <w:highlight w:val="none"/>
        </w:rPr>
      </w:pPr>
    </w:p>
    <w:p>
      <w:pPr>
        <w:pStyle w:val="5"/>
        <w:jc w:val="both"/>
        <w:rPr>
          <w:rFonts w:hint="eastAsia"/>
          <w:color w:val="auto"/>
          <w:highlight w:val="none"/>
        </w:rPr>
      </w:pPr>
    </w:p>
    <w:p>
      <w:pPr>
        <w:pStyle w:val="5"/>
        <w:jc w:val="center"/>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ind w:firstLine="3520" w:firstLineChars="800"/>
        <w:jc w:val="both"/>
        <w:rPr>
          <w:rFonts w:hint="eastAsia"/>
          <w:color w:val="auto"/>
          <w:highlight w:val="none"/>
        </w:rPr>
      </w:pPr>
      <w:bookmarkStart w:id="34" w:name="_Toc23581"/>
      <w:bookmarkStart w:id="35" w:name="_Toc14552"/>
      <w:bookmarkStart w:id="36" w:name="_Toc4952"/>
      <w:bookmarkStart w:id="37" w:name="_Toc14870"/>
      <w:bookmarkStart w:id="38" w:name="_Toc19759"/>
      <w:bookmarkStart w:id="39" w:name="_Toc20594"/>
      <w:bookmarkStart w:id="40" w:name="_Toc19050"/>
      <w:bookmarkStart w:id="41" w:name="_Toc7118"/>
      <w:bookmarkStart w:id="42" w:name="_Toc7437"/>
      <w:bookmarkStart w:id="43" w:name="_Toc3156"/>
      <w:bookmarkStart w:id="44"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QaL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2fcebA0oXf&#10;ff7+69OX268/b398Yy+yQn3AmgJXbhNPOwybmOke2mjzn4iwQ1H1eFZVHRITdPhyNp/PSG9x76oe&#10;8kLE9Fp5y7LRcEwR9K5LK+8cXZ2PkyIq7N9gosqUeJ+QixrH+gw/pdYF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kGi4E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B+MOg8gEAAOI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AfjD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r>
        <w:rPr>
          <w:rFonts w:hint="eastAsia"/>
          <w:color w:val="auto"/>
          <w:highlight w:val="none"/>
          <w:lang w:val="en-US" w:eastAsia="zh-CN"/>
        </w:rPr>
        <w:t xml:space="preserve"> </w:t>
      </w:r>
    </w:p>
    <w:p>
      <w:pPr>
        <w:pStyle w:val="32"/>
        <w:rPr>
          <w:color w:val="auto"/>
          <w:highlight w:val="none"/>
        </w:rPr>
      </w:pPr>
    </w:p>
    <w:p>
      <w:pPr>
        <w:pStyle w:val="4"/>
        <w:rPr>
          <w:color w:val="auto"/>
          <w:highlight w:val="none"/>
        </w:rPr>
      </w:pPr>
      <w:bookmarkStart w:id="45" w:name="_Toc21079"/>
      <w:bookmarkStart w:id="46" w:name="_Toc29484"/>
      <w:bookmarkStart w:id="47" w:name="_Toc29345"/>
      <w:bookmarkStart w:id="48" w:name="_Toc30530"/>
      <w:bookmarkStart w:id="49" w:name="_Toc12177"/>
      <w:bookmarkStart w:id="50" w:name="_Toc88209941"/>
      <w:bookmarkStart w:id="51" w:name="_Toc7831"/>
      <w:bookmarkStart w:id="52" w:name="_Toc6308"/>
      <w:bookmarkStart w:id="53" w:name="_Toc32607"/>
      <w:bookmarkStart w:id="54" w:name="_Toc87616378"/>
      <w:bookmarkStart w:id="55" w:name="_Toc21840"/>
      <w:bookmarkStart w:id="56" w:name="_Toc22212"/>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jc w:val="both"/>
        <w:rPr>
          <w:rFonts w:hint="eastAsia"/>
          <w:color w:val="auto"/>
          <w:highlight w:val="none"/>
        </w:rPr>
      </w:pPr>
      <w:bookmarkStart w:id="58" w:name="_Toc26826"/>
      <w:bookmarkStart w:id="59" w:name="_Toc23033"/>
    </w:p>
    <w:p>
      <w:pPr>
        <w:pStyle w:val="5"/>
        <w:jc w:val="center"/>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7"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sbqiH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55w5sHTj&#10;Pz99+/Xx8+2XH7ffv7Lp0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xuqI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Pr1gf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qazrFEfcEGha7eNpx2GbcyED020+U9U2KHoejzrqg6JCTp8OZvPZ6S4eHBV&#10;j3khYnqtvGXZqDmmCLrt0to7R5fn46TICvs3mKgyJT4k5KLGsT7DU5NMAA1jQ0NApg1ECF1bctEb&#10;LW+0MTkDY7tbm8j2kAeifJkf4f4VlotsALshrriGUekUyFdOsnQMpJSjF8JzC1ZJzoyiB5UtAoRF&#10;Am0uiaTSxlEHWeJB1GztvDwWrcs5XX7p8TSoebr+3Jfsx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U+vWB/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bookmarkEnd w:id="60"/>
    <w:p>
      <w:pPr>
        <w:pStyle w:val="2"/>
        <w:rPr>
          <w:color w:val="auto"/>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center"/>
        <w:rPr>
          <w:color w:val="auto"/>
          <w:szCs w:val="44"/>
          <w:highlight w:val="none"/>
        </w:rPr>
      </w:pPr>
      <w:r>
        <w:rPr>
          <w:rFonts w:hint="eastAsia"/>
          <w:color w:val="auto"/>
          <w:szCs w:val="44"/>
          <w:highlight w:val="none"/>
        </w:rPr>
        <w:t>技术要求说明</w:t>
      </w:r>
    </w:p>
    <w:p>
      <w:pPr>
        <w:pStyle w:val="6"/>
        <w:rPr>
          <w:rFonts w:asciiTheme="majorEastAsia" w:hAnsiTheme="majorEastAsia" w:eastAsiaTheme="majorEastAsia"/>
          <w:b w:val="0"/>
          <w:color w:val="auto"/>
          <w:sz w:val="28"/>
          <w:szCs w:val="28"/>
          <w:highlight w:val="none"/>
        </w:rPr>
      </w:pPr>
      <w:bookmarkStart w:id="61" w:name="_Toc4833"/>
      <w:bookmarkStart w:id="62" w:name="_Toc25033"/>
      <w:bookmarkStart w:id="63" w:name="_Toc495915334"/>
      <w:bookmarkStart w:id="64" w:name="_Toc10599"/>
      <w:bookmarkStart w:id="65" w:name="_Toc499646386"/>
      <w:bookmarkStart w:id="66" w:name="_Toc9482"/>
      <w:bookmarkStart w:id="67" w:name="_Toc29871"/>
      <w:bookmarkStart w:id="68" w:name="_Toc10028"/>
      <w:bookmarkStart w:id="69" w:name="_Toc14677"/>
      <w:bookmarkStart w:id="70" w:name="_Toc13011"/>
      <w:bookmarkStart w:id="71" w:name="_Toc3470"/>
      <w:bookmarkStart w:id="72" w:name="_Toc4719"/>
      <w:bookmarkStart w:id="73" w:name="_Toc15950"/>
      <w:bookmarkStart w:id="74" w:name="_Toc20689"/>
      <w:bookmarkStart w:id="75" w:name="_Toc8717"/>
      <w:bookmarkStart w:id="76" w:name="_Toc17348"/>
      <w:bookmarkStart w:id="77" w:name="_Toc3215"/>
      <w:bookmarkStart w:id="78" w:name="_Toc27481"/>
      <w:bookmarkStart w:id="79" w:name="_Toc101423159"/>
      <w:r>
        <w:rPr>
          <w:rFonts w:asciiTheme="majorEastAsia" w:hAnsiTheme="majorEastAsia" w:eastAsiaTheme="majorEastAsia"/>
          <w:b w:val="0"/>
          <w:color w:val="auto"/>
          <w:sz w:val="28"/>
          <w:szCs w:val="28"/>
          <w:highlight w:val="none"/>
        </w:rPr>
        <w:t>1</w:t>
      </w:r>
      <w:r>
        <w:rPr>
          <w:rFonts w:hint="eastAsia" w:asciiTheme="majorEastAsia" w:hAnsiTheme="majorEastAsia" w:eastAsiaTheme="majorEastAsia"/>
          <w:b w:val="0"/>
          <w:color w:val="auto"/>
          <w:sz w:val="28"/>
          <w:szCs w:val="28"/>
          <w:highlight w:val="none"/>
        </w:rPr>
        <w:t>建设</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Theme="majorEastAsia" w:hAnsiTheme="majorEastAsia" w:eastAsiaTheme="majorEastAsia"/>
          <w:b w:val="0"/>
          <w:color w:val="auto"/>
          <w:sz w:val="28"/>
          <w:szCs w:val="28"/>
          <w:highlight w:val="none"/>
        </w:rPr>
        <w:t>目标</w:t>
      </w:r>
      <w:bookmarkEnd w:id="79"/>
    </w:p>
    <w:p>
      <w:pPr>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项目的建设目标是保证地埋式净水厂地下空间的对讲机信号通讯的畅通，通过对讲机信号覆盖系统更新改造，为建设信息化智能化地埋式净水厂提供基础通讯保障，从而为厂区安全生产的正常稳定运行保驾护航。</w:t>
      </w:r>
    </w:p>
    <w:p>
      <w:pPr>
        <w:pStyle w:val="6"/>
        <w:rPr>
          <w:rFonts w:asciiTheme="majorEastAsia" w:hAnsiTheme="majorEastAsia" w:eastAsiaTheme="majorEastAsia"/>
          <w:b w:val="0"/>
          <w:color w:val="auto"/>
          <w:sz w:val="28"/>
          <w:szCs w:val="28"/>
          <w:highlight w:val="none"/>
        </w:rPr>
      </w:pPr>
      <w:bookmarkStart w:id="80" w:name="_Toc3555"/>
      <w:bookmarkStart w:id="81" w:name="_Toc101423160"/>
      <w:bookmarkStart w:id="82" w:name="_Toc499646389"/>
      <w:bookmarkStart w:id="83" w:name="_Toc430701020"/>
      <w:bookmarkStart w:id="84" w:name="_Toc26054"/>
      <w:bookmarkStart w:id="85" w:name="_Toc19162"/>
      <w:bookmarkStart w:id="86" w:name="_Toc20690"/>
      <w:bookmarkStart w:id="87" w:name="_Toc27242"/>
      <w:bookmarkStart w:id="88" w:name="_Toc23145"/>
      <w:bookmarkStart w:id="89" w:name="_Toc12764"/>
      <w:bookmarkStart w:id="90" w:name="_Toc3384"/>
      <w:bookmarkStart w:id="91" w:name="_Toc4029"/>
      <w:bookmarkStart w:id="92" w:name="_Toc495915337"/>
      <w:bookmarkStart w:id="93" w:name="_Toc1412"/>
      <w:bookmarkStart w:id="94" w:name="_Toc4069"/>
      <w:bookmarkStart w:id="95" w:name="_Toc12433"/>
      <w:bookmarkStart w:id="96" w:name="_Toc12933"/>
      <w:bookmarkStart w:id="97" w:name="_Toc15157"/>
      <w:bookmarkStart w:id="98" w:name="_Toc12931"/>
      <w:bookmarkStart w:id="99" w:name="_Toc470514645"/>
      <w:bookmarkStart w:id="100" w:name="_Toc13880"/>
      <w:r>
        <w:rPr>
          <w:rFonts w:asciiTheme="majorEastAsia" w:hAnsiTheme="majorEastAsia" w:eastAsiaTheme="majorEastAsia"/>
          <w:b w:val="0"/>
          <w:color w:val="auto"/>
          <w:sz w:val="28"/>
          <w:szCs w:val="28"/>
          <w:highlight w:val="none"/>
        </w:rPr>
        <w:t>2</w:t>
      </w:r>
      <w:r>
        <w:rPr>
          <w:rFonts w:hint="eastAsia" w:asciiTheme="majorEastAsia" w:hAnsiTheme="majorEastAsia" w:eastAsiaTheme="majorEastAsia"/>
          <w:b w:val="0"/>
          <w:color w:val="auto"/>
          <w:sz w:val="28"/>
          <w:szCs w:val="28"/>
          <w:highlight w:val="none"/>
        </w:rPr>
        <w:t>建设内容</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Style w:val="44"/>
        <w:ind w:left="0" w:firstLine="560" w:firstLineChars="200"/>
        <w:rPr>
          <w:rFonts w:ascii="仿宋_GB2312" w:eastAsia="仿宋_GB2312"/>
          <w:color w:val="auto"/>
          <w:sz w:val="28"/>
          <w:szCs w:val="28"/>
          <w:highlight w:val="none"/>
          <w:lang w:bidi="ar"/>
        </w:rPr>
      </w:pPr>
      <w:r>
        <w:rPr>
          <w:rFonts w:hint="eastAsia" w:ascii="仿宋_GB2312" w:eastAsia="仿宋_GB2312"/>
          <w:color w:val="auto"/>
          <w:sz w:val="28"/>
          <w:szCs w:val="28"/>
          <w:highlight w:val="none"/>
          <w:lang w:bidi="ar"/>
        </w:rPr>
        <w:t>本次对讲机信号覆盖更新改造项目的建设内容主要包括数字对讲机信号覆盖的主要设备中继器、双工器、耦合器以及天线等的采购安装调试等工作。</w:t>
      </w:r>
    </w:p>
    <w:p>
      <w:pPr>
        <w:pStyle w:val="6"/>
        <w:rPr>
          <w:rFonts w:asciiTheme="majorEastAsia" w:hAnsiTheme="majorEastAsia" w:eastAsiaTheme="majorEastAsia"/>
          <w:b w:val="0"/>
          <w:color w:val="auto"/>
          <w:sz w:val="28"/>
          <w:szCs w:val="28"/>
          <w:highlight w:val="none"/>
        </w:rPr>
      </w:pPr>
      <w:bookmarkStart w:id="101" w:name="_Toc101423161"/>
      <w:r>
        <w:rPr>
          <w:rFonts w:asciiTheme="majorEastAsia" w:hAnsiTheme="majorEastAsia" w:eastAsiaTheme="majorEastAsia"/>
          <w:b w:val="0"/>
          <w:color w:val="auto"/>
          <w:sz w:val="28"/>
          <w:szCs w:val="28"/>
          <w:highlight w:val="none"/>
        </w:rPr>
        <w:t>3</w:t>
      </w:r>
      <w:r>
        <w:rPr>
          <w:rFonts w:hint="eastAsia" w:asciiTheme="majorEastAsia" w:hAnsiTheme="majorEastAsia" w:eastAsiaTheme="majorEastAsia"/>
          <w:b w:val="0"/>
          <w:color w:val="auto"/>
          <w:sz w:val="28"/>
          <w:szCs w:val="28"/>
          <w:highlight w:val="none"/>
        </w:rPr>
        <w:t>建设范围</w:t>
      </w:r>
      <w:bookmarkEnd w:id="101"/>
    </w:p>
    <w:p>
      <w:pPr>
        <w:adjustRightInd w:val="0"/>
        <w:snapToGrid w:val="0"/>
        <w:ind w:firstLine="42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本项目涉及广州市净水有限公司下属的</w:t>
      </w:r>
      <w:r>
        <w:rPr>
          <w:rFonts w:ascii="仿宋_GB2312" w:hAnsi="宋体" w:eastAsia="仿宋_GB2312"/>
          <w:color w:val="auto"/>
          <w:sz w:val="28"/>
          <w:szCs w:val="28"/>
          <w:highlight w:val="none"/>
        </w:rPr>
        <w:t>3</w:t>
      </w:r>
      <w:r>
        <w:rPr>
          <w:rFonts w:hint="eastAsia" w:ascii="仿宋_GB2312" w:hAnsi="宋体" w:eastAsia="仿宋_GB2312"/>
          <w:color w:val="auto"/>
          <w:sz w:val="28"/>
          <w:szCs w:val="28"/>
          <w:highlight w:val="none"/>
        </w:rPr>
        <w:t xml:space="preserve">个地埋式净水厂，具体见下表： </w:t>
      </w:r>
    </w:p>
    <w:tbl>
      <w:tblPr>
        <w:tblStyle w:val="20"/>
        <w:tblW w:w="8642" w:type="dxa"/>
        <w:jc w:val="center"/>
        <w:tblLayout w:type="autofit"/>
        <w:tblCellMar>
          <w:top w:w="0" w:type="dxa"/>
          <w:left w:w="108" w:type="dxa"/>
          <w:bottom w:w="0" w:type="dxa"/>
          <w:right w:w="108" w:type="dxa"/>
        </w:tblCellMar>
      </w:tblPr>
      <w:tblGrid>
        <w:gridCol w:w="1080"/>
        <w:gridCol w:w="1780"/>
        <w:gridCol w:w="4365"/>
        <w:gridCol w:w="1417"/>
      </w:tblGrid>
      <w:tr>
        <w:tblPrEx>
          <w:tblCellMar>
            <w:top w:w="0" w:type="dxa"/>
            <w:left w:w="108" w:type="dxa"/>
            <w:bottom w:w="0" w:type="dxa"/>
            <w:right w:w="108" w:type="dxa"/>
          </w:tblCellMar>
        </w:tblPrEx>
        <w:trPr>
          <w:trHeight w:val="75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序号</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 xml:space="preserve">地下净水厂 </w:t>
            </w:r>
          </w:p>
        </w:tc>
        <w:tc>
          <w:tcPr>
            <w:tcW w:w="43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 xml:space="preserve">地址 </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备注</w:t>
            </w: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沥滘三期</w:t>
            </w:r>
          </w:p>
        </w:tc>
        <w:tc>
          <w:tcPr>
            <w:tcW w:w="43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 xml:space="preserve"> 广州市海珠区南洲路1375号</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对讲机信号覆盖更新</w:t>
            </w:r>
          </w:p>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改造</w:t>
            </w:r>
          </w:p>
        </w:tc>
      </w:tr>
      <w:tr>
        <w:tblPrEx>
          <w:tblCellMar>
            <w:top w:w="0" w:type="dxa"/>
            <w:left w:w="108" w:type="dxa"/>
            <w:bottom w:w="0" w:type="dxa"/>
            <w:right w:w="108" w:type="dxa"/>
          </w:tblCellMar>
        </w:tblPrEx>
        <w:trPr>
          <w:trHeight w:val="799"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2</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西朗二期</w:t>
            </w:r>
          </w:p>
        </w:tc>
        <w:tc>
          <w:tcPr>
            <w:tcW w:w="43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广州市荔湾区喜闻路1号</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Cs w:val="28"/>
                <w:highlight w:val="none"/>
              </w:rPr>
            </w:pPr>
          </w:p>
        </w:tc>
      </w:tr>
      <w:tr>
        <w:tblPrEx>
          <w:tblCellMar>
            <w:top w:w="0" w:type="dxa"/>
            <w:left w:w="108" w:type="dxa"/>
            <w:bottom w:w="0" w:type="dxa"/>
            <w:right w:w="108" w:type="dxa"/>
          </w:tblCellMar>
        </w:tblPrEx>
        <w:trPr>
          <w:trHeight w:val="600"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3</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京溪</w:t>
            </w:r>
          </w:p>
        </w:tc>
        <w:tc>
          <w:tcPr>
            <w:tcW w:w="43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4"/>
                <w:highlight w:val="none"/>
              </w:rPr>
            </w:pPr>
            <w:r>
              <w:rPr>
                <w:rFonts w:hint="eastAsia" w:ascii="仿宋" w:hAnsi="仿宋" w:eastAsia="仿宋" w:cs="宋体"/>
                <w:color w:val="auto"/>
                <w:kern w:val="0"/>
                <w:szCs w:val="24"/>
                <w:highlight w:val="none"/>
              </w:rPr>
              <w:t>广州市白云区沙太北路犀牛二马路1号</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auto"/>
                <w:kern w:val="0"/>
                <w:szCs w:val="28"/>
                <w:highlight w:val="none"/>
              </w:rPr>
            </w:pPr>
          </w:p>
        </w:tc>
      </w:tr>
    </w:tbl>
    <w:p>
      <w:pPr>
        <w:pStyle w:val="6"/>
        <w:rPr>
          <w:rFonts w:asciiTheme="majorEastAsia" w:hAnsiTheme="majorEastAsia" w:eastAsiaTheme="majorEastAsia"/>
          <w:b w:val="0"/>
          <w:color w:val="auto"/>
          <w:sz w:val="28"/>
          <w:szCs w:val="28"/>
          <w:highlight w:val="none"/>
        </w:rPr>
      </w:pPr>
      <w:bookmarkStart w:id="102" w:name="_Toc101423170"/>
      <w:bookmarkStart w:id="103" w:name="_Toc21836"/>
      <w:bookmarkStart w:id="104" w:name="_Toc28281"/>
      <w:bookmarkStart w:id="105" w:name="_Toc16194"/>
      <w:bookmarkStart w:id="106" w:name="_Toc11372"/>
      <w:r>
        <w:rPr>
          <w:rFonts w:asciiTheme="majorEastAsia" w:hAnsiTheme="majorEastAsia" w:eastAsiaTheme="majorEastAsia"/>
          <w:b w:val="0"/>
          <w:color w:val="auto"/>
          <w:sz w:val="28"/>
          <w:szCs w:val="28"/>
          <w:highlight w:val="none"/>
        </w:rPr>
        <w:t>4</w:t>
      </w:r>
      <w:r>
        <w:rPr>
          <w:rFonts w:hint="eastAsia" w:asciiTheme="majorEastAsia" w:hAnsiTheme="majorEastAsia" w:eastAsiaTheme="majorEastAsia"/>
          <w:b w:val="0"/>
          <w:color w:val="auto"/>
          <w:sz w:val="28"/>
          <w:szCs w:val="28"/>
          <w:highlight w:val="none"/>
        </w:rPr>
        <w:t>对讲机信号覆盖的技术需求</w:t>
      </w:r>
      <w:bookmarkEnd w:id="102"/>
    </w:p>
    <w:p>
      <w:pPr>
        <w:widowControl/>
        <w:spacing w:line="360" w:lineRule="auto"/>
        <w:jc w:val="left"/>
        <w:rPr>
          <w:rFonts w:ascii="仿宋_GB2312" w:hAnsi="宋体" w:eastAsia="仿宋_GB2312"/>
          <w:color w:val="auto"/>
          <w:sz w:val="28"/>
          <w:szCs w:val="28"/>
          <w:highlight w:val="none"/>
        </w:rPr>
      </w:pPr>
      <w:bookmarkStart w:id="107" w:name="_Toc495915348"/>
      <w:bookmarkStart w:id="108" w:name="_Toc32408"/>
      <w:bookmarkStart w:id="109" w:name="_Toc478921251"/>
      <w:r>
        <w:rPr>
          <w:rFonts w:hint="eastAsia" w:ascii="仿宋_GB2312" w:hAnsi="宋体" w:eastAsia="仿宋_GB2312"/>
          <w:color w:val="auto"/>
          <w:sz w:val="28"/>
          <w:szCs w:val="28"/>
          <w:highlight w:val="none"/>
        </w:rPr>
        <w:t>1、中继台的基本要求</w:t>
      </w:r>
    </w:p>
    <w:p>
      <w:pPr>
        <w:widowControl/>
        <w:ind w:firstLine="420" w:firstLineChars="15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中继台与对讲机的品牌原则上要求为同一厂家，以保证系统长期使用的稳定性和可靠性。建议选择知名品牌，如摩托罗拉、海能达、</w:t>
      </w:r>
      <w:r>
        <w:rPr>
          <w:rFonts w:ascii="仿宋_GB2312" w:hAnsi="宋体" w:eastAsia="仿宋_GB2312"/>
          <w:color w:val="auto"/>
          <w:sz w:val="28"/>
          <w:szCs w:val="28"/>
          <w:highlight w:val="none"/>
        </w:rPr>
        <w:t>建伍</w:t>
      </w:r>
      <w:r>
        <w:rPr>
          <w:rFonts w:hint="eastAsia" w:ascii="仿宋_GB2312" w:hAnsi="宋体" w:eastAsia="仿宋_GB2312"/>
          <w:color w:val="auto"/>
          <w:sz w:val="28"/>
          <w:szCs w:val="28"/>
          <w:highlight w:val="none"/>
        </w:rPr>
        <w:t>等，保证产品质量。</w:t>
      </w:r>
    </w:p>
    <w:p>
      <w:pPr>
        <w:ind w:firstLine="280" w:firstLineChars="10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中继台是数字对讲机系统的核心设备，该设备性能的优劣直接影响整个系统的稳定性和可靠性，因此选取散热功能强，发热量小，语音通话清晰的成熟稳定产品，具体技术参数要求如下： </w:t>
      </w:r>
    </w:p>
    <w:tbl>
      <w:tblPr>
        <w:tblStyle w:val="20"/>
        <w:tblW w:w="4295" w:type="pct"/>
        <w:jc w:val="center"/>
        <w:tblLayout w:type="autofit"/>
        <w:tblCellMar>
          <w:top w:w="0" w:type="dxa"/>
          <w:left w:w="0" w:type="dxa"/>
          <w:bottom w:w="0" w:type="dxa"/>
          <w:right w:w="0" w:type="dxa"/>
        </w:tblCellMar>
      </w:tblPr>
      <w:tblGrid>
        <w:gridCol w:w="1963"/>
        <w:gridCol w:w="5881"/>
      </w:tblGrid>
      <w:tr>
        <w:tblPrEx>
          <w:tblCellMar>
            <w:top w:w="0" w:type="dxa"/>
            <w:left w:w="0" w:type="dxa"/>
            <w:bottom w:w="0" w:type="dxa"/>
            <w:right w:w="0" w:type="dxa"/>
          </w:tblCellMar>
        </w:tblPrEx>
        <w:trPr>
          <w:trHeight w:val="458" w:hRule="atLeas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b/>
                <w:bCs/>
                <w:color w:val="auto"/>
                <w:kern w:val="24"/>
                <w:szCs w:val="21"/>
                <w:highlight w:val="none"/>
              </w:rPr>
              <w:t>类别</w:t>
            </w:r>
            <w:r>
              <w:rPr>
                <w:rFonts w:hint="eastAsia" w:ascii="仿宋_GB2312" w:eastAsia="仿宋_GB2312" w:cs="Arial"/>
                <w:color w:val="auto"/>
                <w:kern w:val="24"/>
                <w:szCs w:val="21"/>
                <w:highlight w:val="none"/>
              </w:rPr>
              <w:t xml:space="preserve"> </w:t>
            </w:r>
          </w:p>
        </w:tc>
        <w:tc>
          <w:tcPr>
            <w:tcW w:w="6198"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b/>
                <w:bCs/>
                <w:color w:val="auto"/>
                <w:kern w:val="24"/>
                <w:szCs w:val="21"/>
                <w:highlight w:val="none"/>
              </w:rPr>
              <w:t>说明</w:t>
            </w:r>
            <w:r>
              <w:rPr>
                <w:rFonts w:hint="eastAsia" w:ascii="仿宋_GB2312" w:eastAsia="仿宋_GB2312" w:cs="Arial"/>
                <w:color w:val="auto"/>
                <w:kern w:val="24"/>
                <w:szCs w:val="21"/>
                <w:highlight w:val="none"/>
              </w:rPr>
              <w:t xml:space="preserve"> </w:t>
            </w:r>
          </w:p>
        </w:tc>
      </w:tr>
      <w:tr>
        <w:tblPrEx>
          <w:tblCellMar>
            <w:top w:w="0" w:type="dxa"/>
            <w:left w:w="0" w:type="dxa"/>
            <w:bottom w:w="0" w:type="dxa"/>
            <w:right w:w="0" w:type="dxa"/>
          </w:tblCellMar>
        </w:tblPrEx>
        <w:trPr>
          <w:trHeight w:val="1402" w:hRule="atLeas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频率范围 </w:t>
            </w:r>
          </w:p>
        </w:tc>
        <w:tc>
          <w:tcPr>
            <w:tcW w:w="6198"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widowControl/>
              <w:spacing w:line="360" w:lineRule="auto"/>
              <w:jc w:val="center"/>
              <w:rPr>
                <w:rFonts w:ascii="仿宋_GB2312" w:eastAsia="仿宋_GB2312" w:cs="Arial"/>
                <w:color w:val="auto"/>
                <w:kern w:val="0"/>
                <w:szCs w:val="21"/>
                <w:highlight w:val="none"/>
              </w:rPr>
            </w:pPr>
            <w:r>
              <w:rPr>
                <w:rFonts w:hint="eastAsia" w:ascii="仿宋_GB2312" w:hAnsi="仿宋_GB2312" w:eastAsia="微软雅黑 Light" w:cs="Arial"/>
                <w:color w:val="auto"/>
                <w:kern w:val="24"/>
                <w:szCs w:val="21"/>
                <w:highlight w:val="none"/>
              </w:rPr>
              <w:t>•</w:t>
            </w:r>
            <w:r>
              <w:rPr>
                <w:rFonts w:hint="eastAsia" w:ascii="仿宋_GB2312" w:eastAsia="仿宋_GB2312" w:cs="Arial"/>
                <w:color w:val="auto"/>
                <w:kern w:val="24"/>
                <w:szCs w:val="21"/>
                <w:highlight w:val="none"/>
              </w:rPr>
              <w:t>VHF：136-174 MHz</w:t>
            </w:r>
          </w:p>
          <w:p>
            <w:pPr>
              <w:widowControl/>
              <w:spacing w:line="360" w:lineRule="auto"/>
              <w:jc w:val="center"/>
              <w:rPr>
                <w:rFonts w:ascii="仿宋_GB2312" w:eastAsia="仿宋_GB2312" w:cs="Arial"/>
                <w:color w:val="auto"/>
                <w:kern w:val="0"/>
                <w:szCs w:val="21"/>
                <w:highlight w:val="none"/>
              </w:rPr>
            </w:pPr>
            <w:r>
              <w:rPr>
                <w:rFonts w:hint="eastAsia" w:ascii="仿宋_GB2312" w:hAnsi="仿宋_GB2312" w:eastAsia="微软雅黑 Light" w:cs="Arial"/>
                <w:color w:val="auto"/>
                <w:kern w:val="24"/>
                <w:szCs w:val="21"/>
                <w:highlight w:val="none"/>
              </w:rPr>
              <w:t>•</w:t>
            </w:r>
            <w:r>
              <w:rPr>
                <w:rFonts w:hint="eastAsia" w:ascii="仿宋_GB2312" w:eastAsia="仿宋_GB2312" w:cs="Arial"/>
                <w:color w:val="auto"/>
                <w:kern w:val="24"/>
                <w:szCs w:val="21"/>
                <w:highlight w:val="none"/>
              </w:rPr>
              <w:t>UHF：400-470 MHz</w:t>
            </w:r>
          </w:p>
          <w:p>
            <w:pPr>
              <w:widowControl/>
              <w:spacing w:line="360" w:lineRule="auto"/>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350 MHz：350-400 MHz</w:t>
            </w:r>
          </w:p>
        </w:tc>
      </w:tr>
      <w:tr>
        <w:tblPrEx>
          <w:tblCellMar>
            <w:top w:w="0" w:type="dxa"/>
            <w:left w:w="0" w:type="dxa"/>
            <w:bottom w:w="0" w:type="dxa"/>
            <w:right w:w="0" w:type="dxa"/>
          </w:tblCellMar>
        </w:tblPrEx>
        <w:trPr>
          <w:trHeight w:val="454" w:hRule="exac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RF输出功率 </w:t>
            </w:r>
          </w:p>
        </w:tc>
        <w:tc>
          <w:tcPr>
            <w:tcW w:w="6198" w:type="dxa"/>
            <w:tcBorders>
              <w:top w:val="single" w:color="FFFFFF" w:sz="8" w:space="0"/>
              <w:left w:val="single" w:color="FFFFFF" w:sz="8" w:space="0"/>
              <w:bottom w:val="single" w:color="FFFFFF" w:sz="8" w:space="0"/>
              <w:right w:val="single" w:color="FFFFFF" w:sz="8" w:space="0"/>
            </w:tcBorders>
            <w:shd w:val="clear" w:color="auto" w:fill="CDD1D5"/>
            <w:tcMar>
              <w:top w:w="7" w:type="dxa"/>
              <w:left w:w="108" w:type="dxa"/>
              <w:right w:w="108" w:type="dxa"/>
            </w:tcMar>
            <w:vAlign w:val="center"/>
          </w:tcPr>
          <w:p>
            <w:pPr>
              <w:widowControl/>
              <w:spacing w:line="360" w:lineRule="auto"/>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1—50W </w:t>
            </w:r>
          </w:p>
        </w:tc>
      </w:tr>
      <w:tr>
        <w:tblPrEx>
          <w:tblCellMar>
            <w:top w:w="0" w:type="dxa"/>
            <w:left w:w="0" w:type="dxa"/>
            <w:bottom w:w="0" w:type="dxa"/>
            <w:right w:w="0" w:type="dxa"/>
          </w:tblCellMar>
        </w:tblPrEx>
        <w:trPr>
          <w:trHeight w:val="454" w:hRule="exac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信道容量 </w:t>
            </w:r>
          </w:p>
        </w:tc>
        <w:tc>
          <w:tcPr>
            <w:tcW w:w="6198"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VHF/UHF：64 </w:t>
            </w:r>
          </w:p>
        </w:tc>
      </w:tr>
      <w:tr>
        <w:tblPrEx>
          <w:tblCellMar>
            <w:top w:w="0" w:type="dxa"/>
            <w:left w:w="0" w:type="dxa"/>
            <w:bottom w:w="0" w:type="dxa"/>
            <w:right w:w="0" w:type="dxa"/>
          </w:tblCellMar>
        </w:tblPrEx>
        <w:trPr>
          <w:trHeight w:val="454" w:hRule="exac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信道间隔 </w:t>
            </w:r>
          </w:p>
        </w:tc>
        <w:tc>
          <w:tcPr>
            <w:tcW w:w="6198"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widowControl/>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VHF/UHF:12.5/20/25* kHz </w:t>
            </w:r>
          </w:p>
        </w:tc>
      </w:tr>
      <w:tr>
        <w:tblPrEx>
          <w:tblCellMar>
            <w:top w:w="0" w:type="dxa"/>
            <w:left w:w="0" w:type="dxa"/>
            <w:bottom w:w="0" w:type="dxa"/>
            <w:right w:w="0" w:type="dxa"/>
          </w:tblCellMar>
        </w:tblPrEx>
        <w:trPr>
          <w:trHeight w:val="454" w:hRule="exac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系统类型 </w:t>
            </w:r>
          </w:p>
        </w:tc>
        <w:tc>
          <w:tcPr>
            <w:tcW w:w="6198"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TDMA </w:t>
            </w:r>
          </w:p>
        </w:tc>
      </w:tr>
      <w:tr>
        <w:tblPrEx>
          <w:tblCellMar>
            <w:top w:w="0" w:type="dxa"/>
            <w:left w:w="0" w:type="dxa"/>
            <w:bottom w:w="0" w:type="dxa"/>
            <w:right w:w="0" w:type="dxa"/>
          </w:tblCellMar>
        </w:tblPrEx>
        <w:trPr>
          <w:trHeight w:val="454" w:hRule="exact"/>
          <w:jc w:val="center"/>
        </w:trPr>
        <w:tc>
          <w:tcPr>
            <w:tcW w:w="2092" w:type="dxa"/>
            <w:tcBorders>
              <w:top w:val="single" w:color="FFFFFF" w:sz="8" w:space="0"/>
              <w:left w:val="single" w:color="FFFFFF" w:sz="8" w:space="0"/>
              <w:bottom w:val="single" w:color="FFFFFF" w:sz="8" w:space="0"/>
              <w:right w:val="single" w:color="FFFFFF" w:sz="8" w:space="0"/>
            </w:tcBorders>
            <w:shd w:val="clear" w:color="auto" w:fill="CDD1D5"/>
            <w:tcMar>
              <w:top w:w="7" w:type="dxa"/>
              <w:left w:w="108" w:type="dxa"/>
              <w:right w:w="108"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重量 </w:t>
            </w:r>
          </w:p>
        </w:tc>
        <w:tc>
          <w:tcPr>
            <w:tcW w:w="6198" w:type="dxa"/>
            <w:tcBorders>
              <w:top w:val="single" w:color="FFFFFF" w:sz="8" w:space="0"/>
              <w:left w:val="single" w:color="FFFFFF" w:sz="8" w:space="0"/>
              <w:bottom w:val="single" w:color="FFFFFF" w:sz="8" w:space="0"/>
              <w:right w:val="single" w:color="FFFFFF" w:sz="8" w:space="0"/>
            </w:tcBorders>
            <w:shd w:val="clear" w:color="auto" w:fill="CDD1D5"/>
            <w:tcMar>
              <w:top w:w="7" w:type="dxa"/>
              <w:left w:w="108" w:type="dxa"/>
              <w:right w:w="108" w:type="dxa"/>
            </w:tcMar>
            <w:vAlign w:val="center"/>
          </w:tcPr>
          <w:p>
            <w:pPr>
              <w:widowControl/>
              <w:spacing w:line="195" w:lineRule="atLeast"/>
              <w:jc w:val="center"/>
              <w:rPr>
                <w:rFonts w:ascii="仿宋_GB2312" w:eastAsia="仿宋_GB2312" w:cs="Arial"/>
                <w:color w:val="auto"/>
                <w:kern w:val="0"/>
                <w:szCs w:val="21"/>
                <w:highlight w:val="none"/>
              </w:rPr>
            </w:pPr>
            <w:r>
              <w:rPr>
                <w:rFonts w:hint="eastAsia" w:ascii="仿宋_GB2312" w:eastAsia="仿宋_GB2312" w:cs="Arial"/>
                <w:color w:val="auto"/>
                <w:kern w:val="24"/>
                <w:szCs w:val="21"/>
                <w:highlight w:val="none"/>
              </w:rPr>
              <w:t xml:space="preserve">19磅（8.6千克） </w:t>
            </w:r>
          </w:p>
        </w:tc>
      </w:tr>
    </w:tbl>
    <w:p>
      <w:pPr>
        <w:ind w:firstLine="280" w:firstLineChars="100"/>
        <w:rPr>
          <w:rFonts w:ascii="仿宋_GB2312" w:eastAsia="仿宋_GB2312"/>
          <w:color w:val="auto"/>
          <w:sz w:val="28"/>
          <w:szCs w:val="28"/>
          <w:highlight w:val="none"/>
        </w:rPr>
      </w:pPr>
      <w:r>
        <w:rPr>
          <w:rFonts w:hint="eastAsia" w:ascii="仿宋_GB2312" w:eastAsia="仿宋_GB2312"/>
          <w:color w:val="auto"/>
          <w:sz w:val="28"/>
          <w:szCs w:val="28"/>
          <w:highlight w:val="none"/>
        </w:rPr>
        <w:t>2、数字光纤近端机</w:t>
      </w:r>
    </w:p>
    <w:tbl>
      <w:tblPr>
        <w:tblStyle w:val="20"/>
        <w:tblW w:w="4220" w:type="pct"/>
        <w:jc w:val="center"/>
        <w:tblLayout w:type="autofit"/>
        <w:tblCellMar>
          <w:top w:w="0" w:type="dxa"/>
          <w:left w:w="0" w:type="dxa"/>
          <w:bottom w:w="0" w:type="dxa"/>
          <w:right w:w="0" w:type="dxa"/>
        </w:tblCellMar>
      </w:tblPr>
      <w:tblGrid>
        <w:gridCol w:w="3833"/>
        <w:gridCol w:w="3874"/>
      </w:tblGrid>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ind w:firstLine="211" w:firstLineChars="100"/>
              <w:rPr>
                <w:rFonts w:ascii="仿宋_GB2312" w:eastAsia="仿宋_GB2312"/>
                <w:color w:val="auto"/>
                <w:szCs w:val="21"/>
                <w:highlight w:val="none"/>
              </w:rPr>
            </w:pPr>
            <w:r>
              <w:rPr>
                <w:rFonts w:hint="eastAsia" w:ascii="仿宋_GB2312" w:eastAsia="仿宋_GB2312"/>
                <w:b/>
                <w:bCs/>
                <w:color w:val="auto"/>
                <w:szCs w:val="21"/>
                <w:highlight w:val="none"/>
              </w:rPr>
              <w:t>类别</w:t>
            </w:r>
            <w:r>
              <w:rPr>
                <w:rFonts w:hint="eastAsia" w:ascii="仿宋_GB2312" w:eastAsia="仿宋_GB2312"/>
                <w:color w:val="auto"/>
                <w:szCs w:val="21"/>
                <w:highlight w:val="none"/>
              </w:rPr>
              <w:t xml:space="preserve"> </w:t>
            </w:r>
          </w:p>
        </w:tc>
        <w:tc>
          <w:tcPr>
            <w:tcW w:w="4065"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ind w:firstLine="211" w:firstLineChars="100"/>
              <w:rPr>
                <w:rFonts w:ascii="仿宋_GB2312" w:eastAsia="仿宋_GB2312"/>
                <w:color w:val="auto"/>
                <w:szCs w:val="21"/>
                <w:highlight w:val="none"/>
              </w:rPr>
            </w:pPr>
            <w:r>
              <w:rPr>
                <w:rFonts w:hint="eastAsia" w:ascii="仿宋_GB2312" w:eastAsia="仿宋_GB2312"/>
                <w:b/>
                <w:bCs/>
                <w:color w:val="auto"/>
                <w:szCs w:val="21"/>
                <w:highlight w:val="none"/>
              </w:rPr>
              <w:t xml:space="preserve">说明 </w:t>
            </w:r>
          </w:p>
        </w:tc>
      </w:tr>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频率范围 </w:t>
            </w:r>
          </w:p>
        </w:tc>
        <w:tc>
          <w:tcPr>
            <w:tcW w:w="4065"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400-470Mhz</w:t>
            </w:r>
          </w:p>
        </w:tc>
      </w:tr>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最大增益 </w:t>
            </w:r>
          </w:p>
        </w:tc>
        <w:tc>
          <w:tcPr>
            <w:tcW w:w="4065" w:type="dxa"/>
            <w:tcBorders>
              <w:top w:val="single" w:color="FFFFFF" w:sz="8" w:space="0"/>
              <w:left w:val="single" w:color="FFFFFF" w:sz="8" w:space="0"/>
              <w:bottom w:val="single" w:color="FFFFFF" w:sz="8" w:space="0"/>
              <w:right w:val="single" w:color="FFFFFF" w:sz="8" w:space="0"/>
            </w:tcBorders>
            <w:shd w:val="clear" w:color="auto" w:fill="CDD1D5"/>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18dB </w:t>
            </w:r>
          </w:p>
        </w:tc>
      </w:tr>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射频连接方式 </w:t>
            </w:r>
          </w:p>
        </w:tc>
        <w:tc>
          <w:tcPr>
            <w:tcW w:w="4065"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N/F，50</w:t>
            </w:r>
            <w:r>
              <w:rPr>
                <w:rFonts w:hint="eastAsia" w:ascii="仿宋_GB2312" w:eastAsia="仿宋_GB2312"/>
                <w:color w:val="auto"/>
                <w:szCs w:val="21"/>
                <w:highlight w:val="none"/>
                <w:lang w:val="el-GR" w:eastAsia="el-GR"/>
              </w:rPr>
              <w:t>Ω</w:t>
            </w:r>
            <w:r>
              <w:rPr>
                <w:rFonts w:hint="eastAsia" w:ascii="仿宋_GB2312" w:eastAsia="仿宋_GB2312"/>
                <w:color w:val="auto"/>
                <w:szCs w:val="21"/>
                <w:highlight w:val="none"/>
              </w:rPr>
              <w:t xml:space="preserve"> </w:t>
            </w:r>
          </w:p>
        </w:tc>
      </w:tr>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光连接方式 </w:t>
            </w:r>
          </w:p>
        </w:tc>
        <w:tc>
          <w:tcPr>
            <w:tcW w:w="4065"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LC-APC </w:t>
            </w:r>
          </w:p>
        </w:tc>
      </w:tr>
      <w:tr>
        <w:tblPrEx>
          <w:tblCellMar>
            <w:top w:w="0" w:type="dxa"/>
            <w:left w:w="0" w:type="dxa"/>
            <w:bottom w:w="0" w:type="dxa"/>
            <w:right w:w="0" w:type="dxa"/>
          </w:tblCellMar>
        </w:tblPrEx>
        <w:trPr>
          <w:trHeight w:val="454" w:hRule="exact"/>
          <w:jc w:val="center"/>
        </w:trPr>
        <w:tc>
          <w:tcPr>
            <w:tcW w:w="4081"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供电方式 </w:t>
            </w:r>
          </w:p>
        </w:tc>
        <w:tc>
          <w:tcPr>
            <w:tcW w:w="4065"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AC-220V，DC-48可选 </w:t>
            </w:r>
          </w:p>
        </w:tc>
      </w:tr>
    </w:tbl>
    <w:p>
      <w:pPr>
        <w:ind w:firstLine="280" w:firstLineChars="100"/>
        <w:rPr>
          <w:rFonts w:ascii="仿宋_GB2312" w:eastAsia="仿宋_GB2312"/>
          <w:color w:val="auto"/>
          <w:sz w:val="28"/>
          <w:szCs w:val="28"/>
          <w:highlight w:val="none"/>
        </w:rPr>
      </w:pPr>
      <w:r>
        <w:rPr>
          <w:rFonts w:hint="eastAsia" w:ascii="仿宋_GB2312" w:eastAsia="仿宋_GB2312"/>
          <w:color w:val="auto"/>
          <w:sz w:val="28"/>
          <w:szCs w:val="28"/>
          <w:highlight w:val="none"/>
        </w:rPr>
        <w:t>3、数字光纤远端机</w:t>
      </w:r>
    </w:p>
    <w:tbl>
      <w:tblPr>
        <w:tblStyle w:val="20"/>
        <w:tblW w:w="4111" w:type="pct"/>
        <w:jc w:val="center"/>
        <w:tblLayout w:type="autofit"/>
        <w:tblCellMar>
          <w:top w:w="0" w:type="dxa"/>
          <w:left w:w="0" w:type="dxa"/>
          <w:bottom w:w="0" w:type="dxa"/>
          <w:right w:w="0" w:type="dxa"/>
        </w:tblCellMar>
      </w:tblPr>
      <w:tblGrid>
        <w:gridCol w:w="3782"/>
        <w:gridCol w:w="3726"/>
      </w:tblGrid>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ind w:firstLine="211" w:firstLineChars="100"/>
              <w:rPr>
                <w:rFonts w:ascii="仿宋_GB2312" w:eastAsia="仿宋_GB2312"/>
                <w:color w:val="auto"/>
                <w:szCs w:val="21"/>
                <w:highlight w:val="none"/>
              </w:rPr>
            </w:pPr>
            <w:r>
              <w:rPr>
                <w:rFonts w:hint="eastAsia" w:ascii="仿宋_GB2312" w:eastAsia="仿宋_GB2312"/>
                <w:b/>
                <w:bCs/>
                <w:color w:val="auto"/>
                <w:szCs w:val="21"/>
                <w:highlight w:val="none"/>
              </w:rPr>
              <w:t>类别</w:t>
            </w:r>
            <w:r>
              <w:rPr>
                <w:rFonts w:hint="eastAsia" w:ascii="仿宋_GB2312" w:eastAsia="仿宋_GB2312"/>
                <w:color w:val="auto"/>
                <w:szCs w:val="21"/>
                <w:highlight w:val="none"/>
              </w:rPr>
              <w:t xml:space="preserve"> </w:t>
            </w:r>
          </w:p>
        </w:tc>
        <w:tc>
          <w:tcPr>
            <w:tcW w:w="3906" w:type="dxa"/>
            <w:tcBorders>
              <w:top w:val="single" w:color="FFFFFF" w:sz="8" w:space="0"/>
              <w:left w:val="single" w:color="FFFFFF" w:sz="8" w:space="0"/>
              <w:bottom w:val="single" w:color="FFFFFF" w:sz="8" w:space="0"/>
              <w:right w:val="single" w:color="FFFFFF" w:sz="8" w:space="0"/>
            </w:tcBorders>
            <w:shd w:val="clear" w:color="auto" w:fill="9AA2AD"/>
            <w:tcMar>
              <w:top w:w="72" w:type="dxa"/>
              <w:left w:w="144" w:type="dxa"/>
              <w:bottom w:w="72" w:type="dxa"/>
              <w:right w:w="144" w:type="dxa"/>
            </w:tcMar>
            <w:vAlign w:val="center"/>
          </w:tcPr>
          <w:p>
            <w:pPr>
              <w:ind w:firstLine="211" w:firstLineChars="100"/>
              <w:rPr>
                <w:rFonts w:ascii="仿宋_GB2312" w:eastAsia="仿宋_GB2312"/>
                <w:color w:val="auto"/>
                <w:szCs w:val="21"/>
                <w:highlight w:val="none"/>
              </w:rPr>
            </w:pPr>
            <w:r>
              <w:rPr>
                <w:rFonts w:hint="eastAsia" w:ascii="仿宋_GB2312" w:eastAsia="仿宋_GB2312"/>
                <w:b/>
                <w:bCs/>
                <w:color w:val="auto"/>
                <w:szCs w:val="21"/>
                <w:highlight w:val="none"/>
              </w:rPr>
              <w:t xml:space="preserve">说明 </w:t>
            </w:r>
          </w:p>
        </w:tc>
      </w:tr>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频率范围 </w:t>
            </w:r>
          </w:p>
        </w:tc>
        <w:tc>
          <w:tcPr>
            <w:tcW w:w="3906"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400-470Mhz</w:t>
            </w:r>
          </w:p>
        </w:tc>
      </w:tr>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最大增益 </w:t>
            </w:r>
          </w:p>
        </w:tc>
        <w:tc>
          <w:tcPr>
            <w:tcW w:w="3906" w:type="dxa"/>
            <w:tcBorders>
              <w:top w:val="single" w:color="FFFFFF" w:sz="8" w:space="0"/>
              <w:left w:val="single" w:color="FFFFFF" w:sz="8" w:space="0"/>
              <w:bottom w:val="single" w:color="FFFFFF" w:sz="8" w:space="0"/>
              <w:right w:val="single" w:color="FFFFFF" w:sz="8" w:space="0"/>
            </w:tcBorders>
            <w:shd w:val="clear" w:color="auto" w:fill="CDD1D5"/>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45±3dB </w:t>
            </w:r>
          </w:p>
        </w:tc>
      </w:tr>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E8E9EB"/>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射频连接方式 </w:t>
            </w:r>
          </w:p>
        </w:tc>
        <w:tc>
          <w:tcPr>
            <w:tcW w:w="3906"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N/F，50</w:t>
            </w:r>
            <w:r>
              <w:rPr>
                <w:rFonts w:hint="eastAsia" w:ascii="仿宋_GB2312" w:eastAsia="仿宋_GB2312"/>
                <w:color w:val="auto"/>
                <w:szCs w:val="21"/>
                <w:highlight w:val="none"/>
                <w:lang w:val="el-GR" w:eastAsia="el-GR"/>
              </w:rPr>
              <w:t>Ω</w:t>
            </w:r>
            <w:r>
              <w:rPr>
                <w:rFonts w:hint="eastAsia" w:ascii="仿宋_GB2312" w:eastAsia="仿宋_GB2312"/>
                <w:color w:val="auto"/>
                <w:szCs w:val="21"/>
                <w:highlight w:val="none"/>
              </w:rPr>
              <w:t xml:space="preserve"> </w:t>
            </w:r>
          </w:p>
        </w:tc>
      </w:tr>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光连接方式 </w:t>
            </w:r>
          </w:p>
        </w:tc>
        <w:tc>
          <w:tcPr>
            <w:tcW w:w="3906" w:type="dxa"/>
            <w:tcBorders>
              <w:top w:val="single" w:color="FFFFFF" w:sz="8" w:space="0"/>
              <w:left w:val="single" w:color="FFFFFF" w:sz="8" w:space="0"/>
              <w:bottom w:val="single" w:color="FFFFFF" w:sz="8" w:space="0"/>
              <w:right w:val="single" w:color="FFFFFF" w:sz="8" w:space="0"/>
            </w:tcBorders>
            <w:shd w:val="clear" w:color="auto" w:fill="CDD1D5"/>
            <w:tcMar>
              <w:top w:w="72" w:type="dxa"/>
              <w:left w:w="144" w:type="dxa"/>
              <w:bottom w:w="72" w:type="dxa"/>
              <w:right w:w="144"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LC-APC </w:t>
            </w:r>
          </w:p>
        </w:tc>
      </w:tr>
      <w:tr>
        <w:tblPrEx>
          <w:tblCellMar>
            <w:top w:w="0" w:type="dxa"/>
            <w:left w:w="0" w:type="dxa"/>
            <w:bottom w:w="0" w:type="dxa"/>
            <w:right w:w="0" w:type="dxa"/>
          </w:tblCellMar>
        </w:tblPrEx>
        <w:trPr>
          <w:trHeight w:val="454" w:hRule="exact"/>
          <w:jc w:val="center"/>
        </w:trPr>
        <w:tc>
          <w:tcPr>
            <w:tcW w:w="4029"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供电方式 </w:t>
            </w:r>
          </w:p>
        </w:tc>
        <w:tc>
          <w:tcPr>
            <w:tcW w:w="3906" w:type="dxa"/>
            <w:tcBorders>
              <w:top w:val="single" w:color="FFFFFF" w:sz="8" w:space="0"/>
              <w:left w:val="single" w:color="FFFFFF" w:sz="8" w:space="0"/>
              <w:bottom w:val="single" w:color="FFFFFF" w:sz="8" w:space="0"/>
              <w:right w:val="single" w:color="FFFFFF" w:sz="8" w:space="0"/>
            </w:tcBorders>
            <w:shd w:val="clear" w:color="auto" w:fill="E8E9EB"/>
            <w:tcMar>
              <w:top w:w="7" w:type="dxa"/>
              <w:left w:w="108" w:type="dxa"/>
              <w:right w:w="108" w:type="dxa"/>
            </w:tcMar>
            <w:vAlign w:val="center"/>
          </w:tcPr>
          <w:p>
            <w:pPr>
              <w:ind w:firstLine="210" w:firstLineChars="100"/>
              <w:rPr>
                <w:rFonts w:ascii="仿宋_GB2312" w:eastAsia="仿宋_GB2312"/>
                <w:color w:val="auto"/>
                <w:szCs w:val="21"/>
                <w:highlight w:val="none"/>
              </w:rPr>
            </w:pPr>
            <w:r>
              <w:rPr>
                <w:rFonts w:hint="eastAsia" w:ascii="仿宋_GB2312" w:eastAsia="仿宋_GB2312"/>
                <w:color w:val="auto"/>
                <w:szCs w:val="21"/>
                <w:highlight w:val="none"/>
              </w:rPr>
              <w:t xml:space="preserve">AC-220V，DC-48可选 </w:t>
            </w:r>
          </w:p>
        </w:tc>
      </w:tr>
    </w:tbl>
    <w:p>
      <w:pPr>
        <w:pStyle w:val="2"/>
        <w:rPr>
          <w:color w:val="auto"/>
          <w:highlight w:val="none"/>
        </w:rPr>
      </w:pPr>
    </w:p>
    <w:p>
      <w:pPr>
        <w:widowControl/>
        <w:spacing w:line="360" w:lineRule="auto"/>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4、天线的基本要求</w:t>
      </w:r>
    </w:p>
    <w:p>
      <w:pPr>
        <w:widowControl/>
        <w:ind w:firstLine="560" w:firstLineChars="200"/>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全向天线和定向天线建议选择国内性能稳定的品牌产品，保证产品质量，与耦合器和功分器品牌原则上要求为同一厂家。</w:t>
      </w:r>
    </w:p>
    <w:p>
      <w:pPr>
        <w:widowControl/>
        <w:jc w:val="left"/>
        <w:rPr>
          <w:rFonts w:ascii="仿宋_GB2312" w:hAnsi="宋体" w:eastAsia="仿宋_GB2312"/>
          <w:color w:val="auto"/>
          <w:sz w:val="28"/>
          <w:szCs w:val="28"/>
          <w:highlight w:val="none"/>
        </w:rPr>
      </w:pPr>
      <w:r>
        <w:rPr>
          <w:rFonts w:ascii="仿宋_GB2312" w:hAnsi="宋体" w:eastAsia="仿宋_GB2312"/>
          <w:color w:val="auto"/>
          <w:sz w:val="28"/>
          <w:szCs w:val="28"/>
          <w:highlight w:val="none"/>
        </w:rPr>
        <w:t>5</w:t>
      </w:r>
      <w:r>
        <w:rPr>
          <w:rFonts w:hint="eastAsia" w:ascii="仿宋_GB2312" w:hAnsi="宋体" w:eastAsia="仿宋_GB2312"/>
          <w:color w:val="auto"/>
          <w:sz w:val="28"/>
          <w:szCs w:val="28"/>
          <w:highlight w:val="none"/>
        </w:rPr>
        <w:t>、信号覆盖的性能要求</w:t>
      </w:r>
    </w:p>
    <w:p>
      <w:pPr>
        <w:numPr>
          <w:ilvl w:val="0"/>
          <w:numId w:val="4"/>
        </w:numPr>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无线对讲的呼损率＜2%，无线对讲的接通率＞98%</w:t>
      </w:r>
    </w:p>
    <w:p>
      <w:pPr>
        <w:numPr>
          <w:ilvl w:val="0"/>
          <w:numId w:val="4"/>
        </w:numPr>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无线对讲机覆盖区域内可接通率：要求在无线对讲覆盖区域的 95%位置均可接通，99%的时间移动手持对讲机可接入系统；</w:t>
      </w:r>
    </w:p>
    <w:p>
      <w:pPr>
        <w:numPr>
          <w:ilvl w:val="0"/>
          <w:numId w:val="4"/>
        </w:numPr>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覆盖区域与周围环境的对讲机系统之间无相互干扰。</w:t>
      </w:r>
    </w:p>
    <w:bookmarkEnd w:id="107"/>
    <w:bookmarkEnd w:id="108"/>
    <w:bookmarkEnd w:id="109"/>
    <w:p>
      <w:pPr>
        <w:pStyle w:val="6"/>
        <w:rPr>
          <w:rFonts w:asciiTheme="majorEastAsia" w:hAnsiTheme="majorEastAsia" w:eastAsiaTheme="majorEastAsia"/>
          <w:b w:val="0"/>
          <w:color w:val="auto"/>
          <w:sz w:val="28"/>
          <w:szCs w:val="28"/>
          <w:highlight w:val="none"/>
        </w:rPr>
      </w:pPr>
      <w:bookmarkStart w:id="110" w:name="_Toc101423171"/>
      <w:r>
        <w:rPr>
          <w:rFonts w:asciiTheme="majorEastAsia" w:hAnsiTheme="majorEastAsia" w:eastAsiaTheme="majorEastAsia"/>
          <w:b w:val="0"/>
          <w:color w:val="auto"/>
          <w:sz w:val="28"/>
          <w:szCs w:val="28"/>
          <w:highlight w:val="none"/>
        </w:rPr>
        <w:t>5</w:t>
      </w:r>
      <w:r>
        <w:rPr>
          <w:rFonts w:hint="eastAsia" w:asciiTheme="majorEastAsia" w:hAnsiTheme="majorEastAsia" w:eastAsiaTheme="majorEastAsia"/>
          <w:b w:val="0"/>
          <w:color w:val="auto"/>
          <w:sz w:val="28"/>
          <w:szCs w:val="28"/>
          <w:highlight w:val="none"/>
        </w:rPr>
        <w:t>系统建设的基础要求</w:t>
      </w:r>
      <w:bookmarkEnd w:id="110"/>
    </w:p>
    <w:bookmarkEnd w:id="103"/>
    <w:bookmarkEnd w:id="104"/>
    <w:bookmarkEnd w:id="105"/>
    <w:bookmarkEnd w:id="106"/>
    <w:p>
      <w:pPr>
        <w:pStyle w:val="6"/>
        <w:rPr>
          <w:rFonts w:ascii="仿宋_GB2312" w:eastAsia="仿宋_GB2312"/>
          <w:color w:val="auto"/>
          <w:sz w:val="28"/>
          <w:szCs w:val="28"/>
          <w:highlight w:val="none"/>
        </w:rPr>
      </w:pPr>
      <w:bookmarkStart w:id="111" w:name="_Toc101423172"/>
      <w:bookmarkStart w:id="112" w:name="_Toc29945"/>
      <w:bookmarkStart w:id="113" w:name="_Toc495915409"/>
      <w:r>
        <w:rPr>
          <w:rFonts w:hint="eastAsia" w:ascii="仿宋_GB2312" w:eastAsia="仿宋_GB2312"/>
          <w:color w:val="auto"/>
          <w:sz w:val="28"/>
          <w:szCs w:val="28"/>
          <w:highlight w:val="none"/>
        </w:rPr>
        <w:t>供电要求</w:t>
      </w:r>
      <w:bookmarkEnd w:id="111"/>
    </w:p>
    <w:p>
      <w:pPr>
        <w:adjustRightInd w:val="0"/>
        <w:snapToGrid w:val="0"/>
        <w:ind w:firstLine="560" w:firstLineChars="200"/>
        <w:jc w:val="left"/>
        <w:rPr>
          <w:rFonts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整个系统数据通讯的实时存储、实时处理与实时传递，关系重大，所以对电源的质量与可靠性的要求最高，采用UPS不间断电源。</w:t>
      </w:r>
    </w:p>
    <w:p>
      <w:pPr>
        <w:adjustRightInd w:val="0"/>
        <w:snapToGrid w:val="0"/>
        <w:ind w:firstLine="560" w:firstLineChars="200"/>
        <w:jc w:val="left"/>
        <w:rPr>
          <w:rFonts w:ascii="仿宋_GB2312" w:hAnsi="宋体" w:eastAsia="仿宋_GB2312" w:cs="Arial"/>
          <w:bCs/>
          <w:color w:val="auto"/>
          <w:kern w:val="0"/>
          <w:sz w:val="28"/>
          <w:szCs w:val="28"/>
          <w:highlight w:val="none"/>
        </w:rPr>
      </w:pPr>
      <w:r>
        <w:rPr>
          <w:rFonts w:hint="eastAsia" w:ascii="仿宋_GB2312" w:hAnsi="宋体" w:eastAsia="仿宋_GB2312" w:cs="Arial"/>
          <w:bCs/>
          <w:color w:val="auto"/>
          <w:kern w:val="0"/>
          <w:sz w:val="28"/>
          <w:szCs w:val="28"/>
          <w:highlight w:val="none"/>
        </w:rPr>
        <w:t>本项目须根据设备容量增加UPS不间断电源供电，。</w:t>
      </w:r>
      <w:bookmarkStart w:id="114" w:name="_Toc377730869"/>
      <w:bookmarkStart w:id="115" w:name="_Toc32079"/>
      <w:bookmarkStart w:id="116" w:name="_Toc28063"/>
      <w:bookmarkStart w:id="117" w:name="_Toc736"/>
      <w:bookmarkStart w:id="118" w:name="_Toc15491"/>
      <w:bookmarkStart w:id="119" w:name="_Toc7706"/>
      <w:bookmarkStart w:id="120" w:name="_Toc6042"/>
      <w:bookmarkStart w:id="121" w:name="_Toc4447"/>
      <w:bookmarkStart w:id="122" w:name="_Toc499646446"/>
      <w:bookmarkStart w:id="123" w:name="_Toc16811"/>
      <w:bookmarkStart w:id="124" w:name="_Toc8943"/>
      <w:bookmarkStart w:id="125" w:name="_Toc6682"/>
      <w:bookmarkStart w:id="126" w:name="_Toc20956"/>
      <w:bookmarkStart w:id="127" w:name="_Toc1960"/>
      <w:bookmarkStart w:id="128" w:name="_Toc31994"/>
      <w:bookmarkStart w:id="129" w:name="_Toc1188"/>
      <w:bookmarkStart w:id="130" w:name="_Toc19955"/>
    </w:p>
    <w:bookmarkEnd w:id="114"/>
    <w:p>
      <w:pPr>
        <w:pStyle w:val="6"/>
        <w:rPr>
          <w:rFonts w:ascii="仿宋_GB2312" w:eastAsia="仿宋_GB2312"/>
          <w:color w:val="auto"/>
          <w:sz w:val="28"/>
          <w:szCs w:val="28"/>
          <w:highlight w:val="none"/>
        </w:rPr>
      </w:pPr>
      <w:bookmarkStart w:id="131" w:name="_Toc101423173"/>
      <w:bookmarkStart w:id="132" w:name="_Toc377730870"/>
      <w:r>
        <w:rPr>
          <w:rFonts w:hint="eastAsia" w:ascii="仿宋_GB2312" w:eastAsia="仿宋_GB2312"/>
          <w:color w:val="auto"/>
          <w:sz w:val="28"/>
          <w:szCs w:val="28"/>
          <w:highlight w:val="none"/>
        </w:rPr>
        <w:t>设备安装要求</w:t>
      </w:r>
      <w:bookmarkEnd w:id="131"/>
    </w:p>
    <w:p>
      <w:pPr>
        <w:pStyle w:val="9"/>
        <w:spacing w:after="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(1) 安装位置要求</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设备的安装位置符合设计文件（方案）的要求；设备尽量安装在馈线走线的线井内，安装位置应便于调测、维护和散热需要。</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安装位置确保无强电、强磁和强腐蚀性设备的干扰。</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设备电源插板至少有两芯及三芯插座各一个，工作状态时放置于不易触摸到的安全位置。</w:t>
      </w:r>
    </w:p>
    <w:p>
      <w:pPr>
        <w:pStyle w:val="9"/>
        <w:spacing w:after="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(2) 电源线安装</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有源设备的电源线接在不间断电源的输出开关，电源线必须走线槽或铁管，线槽或铁管要牢靠固定、保持良好的接地，配电箱内的走线要美观可参照配电箱内原有的走线，要使用硬线，线槽要美观、牢固。电源线要有移动标志和方向标识。</w:t>
      </w:r>
    </w:p>
    <w:p>
      <w:pPr>
        <w:pStyle w:val="9"/>
        <w:spacing w:after="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(3) 设备安装</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严格按照说明书的介绍进行，使用合理的工具，安装牢固平整。设备上要有移动标志，安装时应用相应的安装件进行牢固固定。要求主机内所有的设备单元安装正确、牢固、无损伤、掉漆的现象。</w:t>
      </w:r>
    </w:p>
    <w:bookmarkEnd w:id="132"/>
    <w:p>
      <w:pPr>
        <w:pStyle w:val="6"/>
        <w:rPr>
          <w:rFonts w:ascii="仿宋_GB2312" w:eastAsia="仿宋_GB2312"/>
          <w:color w:val="auto"/>
          <w:sz w:val="28"/>
          <w:szCs w:val="28"/>
          <w:highlight w:val="none"/>
        </w:rPr>
      </w:pPr>
      <w:bookmarkStart w:id="133" w:name="_Toc101423174"/>
      <w:r>
        <w:rPr>
          <w:rFonts w:hint="eastAsia" w:ascii="仿宋_GB2312" w:eastAsia="仿宋_GB2312"/>
          <w:color w:val="auto"/>
          <w:sz w:val="28"/>
          <w:szCs w:val="28"/>
          <w:highlight w:val="none"/>
        </w:rPr>
        <w:t>天线安装要求</w:t>
      </w:r>
      <w:bookmarkEnd w:id="133"/>
    </w:p>
    <w:p>
      <w:pPr>
        <w:pStyle w:val="9"/>
        <w:spacing w:after="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(1)天线固定</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壁挂天线必须牢固地安装在墙上，保证天线垂直美观，并且不破坏室内整体环境。</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吸顶式天线可固定安装在天花吊顶外或天花吊顶内，保证天线水平美观，并且不破坏室内整体环境。如果天花吊顶为石膏板或木质，可将天线安装在天花吊顶内，但必须用天线支架对天线做固定，不能任意摆放在天花吊顶内，支架捆绑所用的扎带不可少于4条。在天线附近须留有出口位。</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安装天线时应戴干净手套操作，保证天线及天花板的清洁干净。</w:t>
      </w:r>
    </w:p>
    <w:p>
      <w:pPr>
        <w:pStyle w:val="9"/>
        <w:spacing w:after="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(2)天线位置</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天线的安装位置符合天线点位的设计要求（相对误差&lt;1米）。</w:t>
      </w:r>
    </w:p>
    <w:p>
      <w:pPr>
        <w:pStyle w:val="9"/>
        <w:spacing w:after="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(3)天线安装</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室内全向吸顶天线可根据业主的要求吸顶安装在天花上或安装在非金属天花内，在没有吊顶天花的区域需要用天线支架固定安装。</w:t>
      </w:r>
    </w:p>
    <w:p>
      <w:pPr>
        <w:pStyle w:val="6"/>
        <w:rPr>
          <w:rFonts w:ascii="仿宋_GB2312" w:eastAsia="仿宋_GB2312"/>
          <w:color w:val="auto"/>
          <w:sz w:val="28"/>
          <w:szCs w:val="28"/>
          <w:highlight w:val="none"/>
        </w:rPr>
      </w:pPr>
      <w:bookmarkStart w:id="134" w:name="_Toc101423175"/>
      <w:r>
        <w:rPr>
          <w:rFonts w:hint="eastAsia" w:ascii="仿宋_GB2312" w:eastAsia="仿宋_GB2312"/>
          <w:color w:val="auto"/>
          <w:sz w:val="28"/>
          <w:szCs w:val="28"/>
          <w:highlight w:val="none"/>
        </w:rPr>
        <w:t>馈线布放要求</w:t>
      </w:r>
      <w:bookmarkEnd w:id="134"/>
    </w:p>
    <w:p>
      <w:pPr>
        <w:pStyle w:val="9"/>
        <w:spacing w:after="0"/>
        <w:rPr>
          <w:rFonts w:ascii="仿宋_GB2312" w:hAnsi="宋体" w:eastAsia="仿宋_GB2312" w:cs="宋体"/>
          <w:bCs/>
          <w:color w:val="auto"/>
          <w:sz w:val="28"/>
          <w:szCs w:val="28"/>
          <w:highlight w:val="none"/>
        </w:rPr>
      </w:pPr>
      <w:bookmarkStart w:id="135" w:name="_Hlk90056808"/>
      <w:r>
        <w:rPr>
          <w:rFonts w:hint="eastAsia" w:ascii="仿宋_GB2312" w:hAnsi="宋体" w:eastAsia="仿宋_GB2312" w:cs="宋体"/>
          <w:bCs/>
          <w:color w:val="auto"/>
          <w:sz w:val="28"/>
          <w:szCs w:val="28"/>
          <w:highlight w:val="none"/>
        </w:rPr>
        <w:t>(1)馈线布放</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馈线必须按照设计文件（方案）的要求布放，要求走线牢固、美观，不得有交叉、扭曲、裂损情况。跳线或馈线需要弯曲布放时，要求弯曲角保持平滑，弯曲曲率半径不超过规定。</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竖线布放要求合理安装，方便器件的制作。穿PVC管时，每1米用一个扎带固定。</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横线穿放PVC管，要求布放平整，不可捆绑在细的线缆上。在天花板内每1.5米用一个扎带固定，明线每0.6米一个扎带固定。</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布放馈线经过的线井应为电气管井，通常指弱电井，不能使用风管或水管管井。馈线尽量避免与强电高压管道和消防管道一起布放，避免强电、强磁的干扰。</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对于不在机房、线井和天花吊顶中布放的馈线，应套用PVC管。要求所有走线管布放整齐、美观，转弯处使用PVC软管连接。</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走线管靠墙布放，用线码或馈线夹进行固定</w:t>
      </w:r>
      <w:bookmarkEnd w:id="135"/>
      <w:r>
        <w:rPr>
          <w:rFonts w:hint="eastAsia" w:ascii="仿宋_GB2312" w:hAnsi="宋体" w:eastAsia="仿宋_GB2312" w:cs="宋体"/>
          <w:bCs/>
          <w:color w:val="auto"/>
          <w:sz w:val="28"/>
          <w:szCs w:val="28"/>
          <w:highlight w:val="none"/>
        </w:rPr>
        <w:t>，其固定间距如下表：</w:t>
      </w:r>
    </w:p>
    <w:p>
      <w:pPr>
        <w:pStyle w:val="48"/>
        <w:ind w:left="480"/>
        <w:rPr>
          <w:color w:val="auto"/>
          <w:highlight w:val="none"/>
        </w:rPr>
      </w:pPr>
      <w:r>
        <w:rPr>
          <w:rFonts w:hint="eastAsia"/>
          <w:color w:val="auto"/>
          <w:highlight w:val="none"/>
        </w:rPr>
        <w:t xml:space="preserve">表 </w:t>
      </w:r>
      <w:r>
        <w:rPr>
          <w:color w:val="auto"/>
          <w:highlight w:val="none"/>
        </w:rPr>
        <w:t>馈线安装固定要求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2091"/>
        <w:gridCol w:w="3561"/>
        <w:gridCol w:w="3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blHeader/>
          <w:jc w:val="center"/>
        </w:trPr>
        <w:tc>
          <w:tcPr>
            <w:tcW w:w="2091" w:type="dxa"/>
            <w:vAlign w:val="center"/>
          </w:tcPr>
          <w:p>
            <w:pPr>
              <w:pStyle w:val="49"/>
              <w:ind w:firstLine="480"/>
              <w:rPr>
                <w:color w:val="auto"/>
                <w:highlight w:val="none"/>
              </w:rPr>
            </w:pPr>
          </w:p>
        </w:tc>
        <w:tc>
          <w:tcPr>
            <w:tcW w:w="3561" w:type="dxa"/>
            <w:vAlign w:val="center"/>
          </w:tcPr>
          <w:p>
            <w:pPr>
              <w:pStyle w:val="49"/>
              <w:ind w:firstLine="480"/>
              <w:rPr>
                <w:color w:val="auto"/>
                <w:highlight w:val="none"/>
              </w:rPr>
            </w:pPr>
            <w:r>
              <w:rPr>
                <w:color w:val="auto"/>
                <w:highlight w:val="none"/>
              </w:rPr>
              <w:t>&lt;1/2"线径馈线</w:t>
            </w:r>
          </w:p>
        </w:tc>
        <w:tc>
          <w:tcPr>
            <w:tcW w:w="3131" w:type="dxa"/>
            <w:vAlign w:val="center"/>
          </w:tcPr>
          <w:p>
            <w:pPr>
              <w:pStyle w:val="49"/>
              <w:ind w:firstLine="480"/>
              <w:rPr>
                <w:color w:val="auto"/>
                <w:highlight w:val="none"/>
              </w:rPr>
            </w:pPr>
            <w:r>
              <w:rPr>
                <w:color w:val="auto"/>
                <w:highlight w:val="none"/>
              </w:rPr>
              <w:t>&gt;1/2"线径馈线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211" w:hRule="atLeast"/>
          <w:jc w:val="center"/>
        </w:trPr>
        <w:tc>
          <w:tcPr>
            <w:tcW w:w="2091" w:type="dxa"/>
            <w:vAlign w:val="center"/>
          </w:tcPr>
          <w:p>
            <w:pPr>
              <w:pStyle w:val="49"/>
              <w:ind w:firstLine="480"/>
              <w:rPr>
                <w:color w:val="auto"/>
                <w:szCs w:val="21"/>
                <w:highlight w:val="none"/>
              </w:rPr>
            </w:pPr>
            <w:r>
              <w:rPr>
                <w:color w:val="auto"/>
                <w:szCs w:val="21"/>
                <w:highlight w:val="none"/>
              </w:rPr>
              <w:t>馈线水平走线时</w:t>
            </w:r>
          </w:p>
        </w:tc>
        <w:tc>
          <w:tcPr>
            <w:tcW w:w="3561" w:type="dxa"/>
            <w:vAlign w:val="center"/>
          </w:tcPr>
          <w:p>
            <w:pPr>
              <w:pStyle w:val="49"/>
              <w:ind w:firstLine="480"/>
              <w:rPr>
                <w:color w:val="auto"/>
                <w:szCs w:val="21"/>
                <w:highlight w:val="none"/>
              </w:rPr>
            </w:pPr>
            <w:r>
              <w:rPr>
                <w:color w:val="auto"/>
                <w:szCs w:val="21"/>
                <w:highlight w:val="none"/>
              </w:rPr>
              <w:t>1.0m</w:t>
            </w:r>
          </w:p>
        </w:tc>
        <w:tc>
          <w:tcPr>
            <w:tcW w:w="3131" w:type="dxa"/>
            <w:vAlign w:val="center"/>
          </w:tcPr>
          <w:p>
            <w:pPr>
              <w:pStyle w:val="49"/>
              <w:ind w:firstLine="480"/>
              <w:rPr>
                <w:color w:val="auto"/>
                <w:szCs w:val="21"/>
                <w:highlight w:val="none"/>
              </w:rPr>
            </w:pPr>
            <w:r>
              <w:rPr>
                <w:color w:val="auto"/>
                <w:szCs w:val="21"/>
                <w:highlight w:val="none"/>
              </w:rPr>
              <w:t>1.5m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295" w:hRule="atLeast"/>
          <w:jc w:val="center"/>
        </w:trPr>
        <w:tc>
          <w:tcPr>
            <w:tcW w:w="2091" w:type="dxa"/>
            <w:vAlign w:val="center"/>
          </w:tcPr>
          <w:p>
            <w:pPr>
              <w:pStyle w:val="49"/>
              <w:ind w:firstLine="480"/>
              <w:rPr>
                <w:color w:val="auto"/>
                <w:szCs w:val="21"/>
                <w:highlight w:val="none"/>
              </w:rPr>
            </w:pPr>
            <w:r>
              <w:rPr>
                <w:color w:val="auto"/>
                <w:szCs w:val="21"/>
                <w:highlight w:val="none"/>
              </w:rPr>
              <w:t>馈线垂直走线时</w:t>
            </w:r>
          </w:p>
        </w:tc>
        <w:tc>
          <w:tcPr>
            <w:tcW w:w="3561" w:type="dxa"/>
            <w:vAlign w:val="center"/>
          </w:tcPr>
          <w:p>
            <w:pPr>
              <w:pStyle w:val="49"/>
              <w:ind w:firstLine="480"/>
              <w:rPr>
                <w:color w:val="auto"/>
                <w:szCs w:val="21"/>
                <w:highlight w:val="none"/>
              </w:rPr>
            </w:pPr>
            <w:r>
              <w:rPr>
                <w:color w:val="auto"/>
                <w:szCs w:val="21"/>
                <w:highlight w:val="none"/>
              </w:rPr>
              <w:t>0.8m</w:t>
            </w:r>
          </w:p>
        </w:tc>
        <w:tc>
          <w:tcPr>
            <w:tcW w:w="3131" w:type="dxa"/>
            <w:vAlign w:val="center"/>
          </w:tcPr>
          <w:p>
            <w:pPr>
              <w:pStyle w:val="49"/>
              <w:ind w:firstLine="480"/>
              <w:rPr>
                <w:color w:val="auto"/>
                <w:szCs w:val="21"/>
                <w:highlight w:val="none"/>
              </w:rPr>
            </w:pPr>
            <w:r>
              <w:rPr>
                <w:color w:val="auto"/>
                <w:szCs w:val="21"/>
                <w:highlight w:val="none"/>
              </w:rPr>
              <w:t>1.0m</w:t>
            </w:r>
          </w:p>
        </w:tc>
      </w:tr>
    </w:tbl>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馈线布放不能有交叉和空中飞线。若走线管无法靠墙布放，馈线走线管可与其他线管一起走线，并用扎带与其他线管固定。馈线进出口的墙孔应用防水、阻燃的材料进行密封。</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过墙馈线须进线槽，不能进线槽的须穿镀锌钢管，以保证施工质量，避免鼠咬破坏。</w:t>
      </w:r>
    </w:p>
    <w:p>
      <w:pPr>
        <w:pStyle w:val="9"/>
        <w:spacing w:after="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(2)馈线接头</w:t>
      </w:r>
    </w:p>
    <w:p>
      <w:pPr>
        <w:pStyle w:val="9"/>
        <w:spacing w:after="0"/>
        <w:ind w:firstLine="560"/>
        <w:rPr>
          <w:rFonts w:ascii="仿宋_GB2312" w:hAnsi="宋体" w:eastAsia="仿宋_GB2312" w:cs="宋体"/>
          <w:bCs/>
          <w:color w:val="auto"/>
          <w:sz w:val="28"/>
          <w:szCs w:val="28"/>
          <w:highlight w:val="none"/>
        </w:rPr>
      </w:pPr>
      <w:r>
        <w:rPr>
          <w:rFonts w:hint="eastAsia" w:ascii="仿宋_GB2312" w:hAnsi="宋体" w:eastAsia="仿宋_GB2312" w:cs="宋体"/>
          <w:bCs/>
          <w:color w:val="auto"/>
          <w:sz w:val="28"/>
          <w:szCs w:val="28"/>
          <w:highlight w:val="none"/>
        </w:rPr>
        <w:t>馈线的连接头必须牢固，使用专用的做头工具，严格按照施工工艺制作，保证驻波比小于1.3，并做防水防腐密封处理。</w:t>
      </w:r>
    </w:p>
    <w:p>
      <w:pPr>
        <w:pStyle w:val="6"/>
        <w:rPr>
          <w:rFonts w:ascii="仿宋_GB2312" w:eastAsia="仿宋_GB2312"/>
          <w:color w:val="auto"/>
          <w:sz w:val="28"/>
          <w:szCs w:val="28"/>
          <w:highlight w:val="none"/>
        </w:rPr>
      </w:pPr>
      <w:bookmarkStart w:id="136" w:name="_Toc101423176"/>
      <w:r>
        <w:rPr>
          <w:rFonts w:hint="eastAsia" w:ascii="仿宋_GB2312" w:eastAsia="仿宋_GB2312"/>
          <w:color w:val="auto"/>
          <w:sz w:val="28"/>
          <w:szCs w:val="28"/>
          <w:highlight w:val="none"/>
        </w:rPr>
        <w:t>传输线缆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仿宋_GB2312" w:eastAsia="仿宋_GB2312"/>
          <w:color w:val="auto"/>
          <w:sz w:val="28"/>
          <w:szCs w:val="28"/>
          <w:highlight w:val="none"/>
        </w:rPr>
        <w:t>要求</w:t>
      </w:r>
      <w:bookmarkEnd w:id="136"/>
    </w:p>
    <w:p>
      <w:pPr>
        <w:pStyle w:val="46"/>
        <w:spacing w:line="360" w:lineRule="auto"/>
        <w:ind w:firstLine="560"/>
        <w:rPr>
          <w:rFonts w:hAnsi="宋体" w:cs="Arial"/>
          <w:color w:val="auto"/>
          <w:sz w:val="28"/>
          <w:highlight w:val="none"/>
        </w:rPr>
      </w:pPr>
      <w:r>
        <w:rPr>
          <w:rFonts w:hint="eastAsia" w:hAnsi="宋体" w:cs="Arial"/>
          <w:color w:val="auto"/>
          <w:sz w:val="28"/>
          <w:highlight w:val="none"/>
        </w:rPr>
        <w:t>对于光缆的敷设实现端到端到位，并在各端盘留一定的长度，对于光缆的型号、芯数和光端机的选择充分考虑传输距离、信号、施工和环境的要求，考虑后续扩容需要，在选择上预留一定的冗余。</w:t>
      </w:r>
    </w:p>
    <w:p>
      <w:pPr>
        <w:ind w:firstLine="480"/>
        <w:rPr>
          <w:rFonts w:ascii="仿宋_GB2312" w:hAnsi="宋体" w:eastAsia="仿宋_GB2312" w:cs="Arial"/>
          <w:color w:val="auto"/>
          <w:sz w:val="28"/>
          <w:szCs w:val="28"/>
          <w:highlight w:val="none"/>
        </w:rPr>
      </w:pPr>
      <w:r>
        <w:rPr>
          <w:rFonts w:hint="eastAsia" w:ascii="仿宋_GB2312" w:hAnsi="宋体" w:eastAsia="仿宋_GB2312" w:cs="Arial"/>
          <w:color w:val="auto"/>
          <w:sz w:val="28"/>
          <w:szCs w:val="28"/>
          <w:highlight w:val="none"/>
        </w:rPr>
        <w:t>机房及所有汇聚点的主干、支线光纤要求满融到光纤配线架上，满足今后扩容需要。</w:t>
      </w:r>
    </w:p>
    <w:p>
      <w:pPr>
        <w:pStyle w:val="6"/>
        <w:rPr>
          <w:rFonts w:asciiTheme="majorEastAsia" w:hAnsiTheme="majorEastAsia" w:eastAsiaTheme="majorEastAsia"/>
          <w:b w:val="0"/>
          <w:color w:val="auto"/>
          <w:sz w:val="28"/>
          <w:szCs w:val="28"/>
          <w:highlight w:val="none"/>
        </w:rPr>
      </w:pPr>
      <w:bookmarkStart w:id="137" w:name="_Toc101423177"/>
      <w:r>
        <w:rPr>
          <w:rFonts w:asciiTheme="majorEastAsia" w:hAnsiTheme="majorEastAsia" w:eastAsiaTheme="majorEastAsia"/>
          <w:b w:val="0"/>
          <w:color w:val="auto"/>
          <w:sz w:val="28"/>
          <w:szCs w:val="28"/>
          <w:highlight w:val="none"/>
        </w:rPr>
        <w:t>6</w:t>
      </w:r>
      <w:r>
        <w:rPr>
          <w:rFonts w:hint="eastAsia" w:asciiTheme="majorEastAsia" w:hAnsiTheme="majorEastAsia" w:eastAsiaTheme="majorEastAsia"/>
          <w:b w:val="0"/>
          <w:color w:val="auto"/>
          <w:sz w:val="28"/>
          <w:szCs w:val="28"/>
          <w:highlight w:val="none"/>
        </w:rPr>
        <w:t>实施要求</w:t>
      </w:r>
      <w:bookmarkEnd w:id="137"/>
    </w:p>
    <w:p>
      <w:pPr>
        <w:ind w:firstLine="560" w:firstLineChars="200"/>
        <w:rPr>
          <w:rFonts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项目实施单位须根据地埋式净水厂安全生产的需要做好系统的信道分配规划，协助厂区管理人员制定通讯组日常实施细则，当出现紧急情况下，应急指挥可灵活调整系统设置。保证通讯信号畅通，互不干扰，互为补充。</w:t>
      </w:r>
    </w:p>
    <w:p>
      <w:pPr>
        <w:ind w:firstLine="560" w:firstLineChars="200"/>
        <w:rPr>
          <w:rFonts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(2)线路的安装要规范美观，要求每隔1米须固定一次，转弯须适当增加加固点。</w:t>
      </w:r>
    </w:p>
    <w:p>
      <w:pPr>
        <w:ind w:firstLine="560" w:firstLineChars="200"/>
        <w:rPr>
          <w:rFonts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(3)由施工单位提供规范的测试方案，经我方审批通过后开展整体测试，达到我方技术参数要求后方可申请验收。</w:t>
      </w:r>
    </w:p>
    <w:bookmarkEnd w:id="112"/>
    <w:bookmarkEnd w:id="113"/>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138" w:name="_Toc23330"/>
      <w:bookmarkStart w:id="139" w:name="_Toc15570"/>
      <w:bookmarkStart w:id="140" w:name="_Toc537"/>
      <w:bookmarkStart w:id="141" w:name="_Toc4680"/>
      <w:bookmarkStart w:id="142" w:name="_Toc1496"/>
      <w:bookmarkStart w:id="143" w:name="_Toc23353"/>
      <w:bookmarkStart w:id="144" w:name="_Toc25925"/>
      <w:bookmarkStart w:id="145" w:name="_Toc12135"/>
      <w:bookmarkStart w:id="146" w:name="_Toc29835"/>
      <w:bookmarkStart w:id="147" w:name="_Toc18538"/>
      <w:bookmarkStart w:id="148" w:name="_Toc128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7"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z+h4p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6"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eeAMX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FWcOLF34&#10;r8/f7z99ufv68+7HNzbPCvUBFxS4dtt42mHYxkz30ESb/0SEHYqqx7Oq6pCYoMOXs/l8RnqLB1f1&#10;mBciptfKW5aNmmOKoNsurb1zdHU+ToqosH+DiSpT4kNCLmoc6zP8dEbg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XngD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138"/>
      <w:bookmarkEnd w:id="139"/>
      <w:bookmarkEnd w:id="140"/>
      <w:bookmarkEnd w:id="141"/>
      <w:bookmarkEnd w:id="142"/>
      <w:bookmarkEnd w:id="143"/>
      <w:bookmarkEnd w:id="144"/>
      <w:bookmarkEnd w:id="145"/>
      <w:bookmarkEnd w:id="146"/>
      <w:bookmarkEnd w:id="147"/>
      <w:bookmarkEnd w:id="148"/>
    </w:p>
    <w:p>
      <w:pPr>
        <w:pStyle w:val="32"/>
        <w:rPr>
          <w:color w:val="auto"/>
          <w:highlight w:val="none"/>
        </w:rPr>
      </w:pPr>
    </w:p>
    <w:p>
      <w:pPr>
        <w:pStyle w:val="4"/>
        <w:rPr>
          <w:rFonts w:hint="eastAsia"/>
          <w:color w:val="auto"/>
          <w:highlight w:val="none"/>
        </w:rPr>
      </w:pPr>
      <w:bookmarkStart w:id="149" w:name="_Toc323"/>
      <w:bookmarkStart w:id="150" w:name="_Toc19686"/>
      <w:bookmarkStart w:id="151" w:name="_Toc22501"/>
      <w:bookmarkStart w:id="152" w:name="_Toc87616386"/>
      <w:bookmarkStart w:id="153" w:name="_Toc19088"/>
      <w:bookmarkStart w:id="154" w:name="_Toc88209949"/>
      <w:bookmarkStart w:id="155" w:name="_Toc12968"/>
      <w:bookmarkStart w:id="156" w:name="_Toc12980"/>
      <w:bookmarkStart w:id="157" w:name="_Toc1375"/>
      <w:bookmarkStart w:id="158" w:name="_Toc13309"/>
      <w:bookmarkStart w:id="159" w:name="_Toc12721"/>
      <w:bookmarkStart w:id="160" w:name="_Toc8183"/>
      <w:bookmarkStart w:id="161" w:name="_Toc22797"/>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2279650</wp:posOffset>
                </wp:positionH>
                <wp:positionV relativeFrom="paragraph">
                  <wp:posOffset>520700</wp:posOffset>
                </wp:positionV>
                <wp:extent cx="1111250" cy="6350"/>
                <wp:effectExtent l="0" t="0" r="0" b="0"/>
                <wp:wrapNone/>
                <wp:docPr id="1" name="自选图形 9"/>
                <wp:cNvGraphicFramePr/>
                <a:graphic xmlns:a="http://schemas.openxmlformats.org/drawingml/2006/main">
                  <a:graphicData uri="http://schemas.microsoft.com/office/word/2010/wordprocessingShape">
                    <wps:wsp>
                      <wps:cNvCnPr/>
                      <wps:spPr>
                        <a:xfrm flipV="1">
                          <a:off x="0" y="0"/>
                          <a:ext cx="1111250" cy="6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flip:y;margin-left:179.5pt;margin-top:41pt;height:0.5pt;width:87.5pt;z-index:251679744;mso-width-relative:page;mso-height-relative:page;" filled="f" stroked="t" coordsize="21600,21600" o:gfxdata="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1RPTjXAAAACQEAAA8AAAAAAAAAAQAgAAAAIgAAAGRycy9kb3ducmV2Lnht&#10;bFBLAQIUABQAAAAIAIdO4kCRKY9N+gEAAPA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2279650</wp:posOffset>
                </wp:positionH>
                <wp:positionV relativeFrom="paragraph">
                  <wp:posOffset>90170</wp:posOffset>
                </wp:positionV>
                <wp:extent cx="1018540" cy="0"/>
                <wp:effectExtent l="0" t="0" r="0" b="0"/>
                <wp:wrapNone/>
                <wp:docPr id="21" name="自选图形 8"/>
                <wp:cNvGraphicFramePr/>
                <a:graphic xmlns:a="http://schemas.openxmlformats.org/drawingml/2006/main">
                  <a:graphicData uri="http://schemas.microsoft.com/office/word/2010/wordprocessingShape">
                    <wps:wsp>
                      <wps:cNvCnPr/>
                      <wps:spPr>
                        <a:xfrm>
                          <a:off x="0" y="0"/>
                          <a:ext cx="101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9.5pt;margin-top:7.1pt;height:0pt;width:80.2pt;z-index:251678720;mso-width-relative:page;mso-height-relative:page;" filled="f" stroked="t" coordsize="21600,21600" o:gfxdata="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n5rOTMgqEb&#10;v/v8/denL7dff97++MYWSaLBY0WRa7sNpx36bUh8D20w6U9M2CHLejzLKg+RCTosp+Vi/pwUF/e+&#10;4iHRB4yvpTMsGTXHGEB1fVw7a+nyXCizrLB/g5FKU+J9QqqqLRtq/nI+mxM40DC2NARkGk+E0HY5&#10;F51WzbXSOmVg6HZrHdge0kDkLxEk3L/CUpENYD/GZdc4Kr2E5pVtWDx6UsrSC+GpBSMbzrSkB5Us&#10;AoQqgtKXRFJpbamDpPGoarJ2rjlmsfM5XX7u8TSoabr+3Ofsh8e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3NwK1wAAAAkBAAAPAAAAAAAAAAEAIAAAACIAAABkcnMvZG93bnJldi54bWxQSwEC&#10;FAAUAAAACACHTuJAHlnzlPUBAADkAwAADgAAAAAAAAABACAAAAAmAQAAZHJzL2Uyb0RvYy54bWxQ&#10;SwUGAAAAAAYABgBZAQAAjQUAAAAA&#10;">
                <v:fill on="f" focussize="0,0"/>
                <v:stroke color="#000000" joinstyle="round"/>
                <v:imagedata o:title=""/>
                <o:lock v:ext="edit" aspectratio="f"/>
              </v:shape>
            </w:pict>
          </mc:Fallback>
        </mc:AlternateContent>
      </w:r>
      <w:r>
        <w:rPr>
          <w:rFonts w:hint="eastAsia"/>
          <w:color w:val="auto"/>
          <w:highlight w:val="none"/>
        </w:rPr>
        <w:t>第六章</w:t>
      </w:r>
    </w:p>
    <w:p>
      <w:pPr>
        <w:pStyle w:val="4"/>
        <w:rPr>
          <w:color w:val="auto"/>
          <w:highlight w:val="none"/>
        </w:rPr>
      </w:pPr>
      <w:r>
        <w:rPr>
          <w:rFonts w:hint="eastAsia"/>
          <w:color w:val="auto"/>
          <w:highlight w:val="none"/>
        </w:rPr>
        <w:t>合同</w:t>
      </w:r>
      <w:bookmarkEnd w:id="149"/>
      <w:bookmarkEnd w:id="150"/>
      <w:bookmarkEnd w:id="151"/>
      <w:bookmarkEnd w:id="152"/>
      <w:bookmarkEnd w:id="153"/>
      <w:bookmarkEnd w:id="154"/>
      <w:bookmarkEnd w:id="155"/>
      <w:bookmarkEnd w:id="156"/>
      <w:bookmarkEnd w:id="157"/>
      <w:bookmarkEnd w:id="158"/>
      <w:bookmarkEnd w:id="159"/>
      <w:bookmarkEnd w:id="160"/>
      <w:bookmarkEnd w:id="16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spacing w:line="400" w:lineRule="atLeast"/>
        <w:rPr>
          <w:rFonts w:eastAsia="仿宋_GB2312" w:cs="仿宋_GB2312" w:asciiTheme="majorHAnsi" w:hAnsiTheme="majorHAnsi"/>
          <w:color w:val="auto"/>
          <w:sz w:val="52"/>
          <w:szCs w:val="52"/>
          <w:highlight w:val="none"/>
        </w:rPr>
      </w:pPr>
    </w:p>
    <w:p>
      <w:pPr>
        <w:pStyle w:val="2"/>
        <w:rPr>
          <w:rFonts w:eastAsia="仿宋_GB2312" w:cs="仿宋_GB2312" w:asciiTheme="majorHAnsi" w:hAnsiTheme="majorHAnsi"/>
          <w:color w:val="auto"/>
          <w:sz w:val="52"/>
          <w:szCs w:val="52"/>
          <w:highlight w:val="none"/>
        </w:rPr>
      </w:pPr>
    </w:p>
    <w:p>
      <w:pPr>
        <w:pStyle w:val="2"/>
        <w:rPr>
          <w:rFonts w:eastAsia="仿宋_GB2312" w:cs="仿宋_GB2312" w:asciiTheme="majorHAnsi" w:hAnsiTheme="majorHAnsi"/>
          <w:color w:val="auto"/>
          <w:sz w:val="52"/>
          <w:szCs w:val="52"/>
          <w:highlight w:val="none"/>
        </w:rPr>
      </w:pP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cs="Times New Roman" w:asciiTheme="majorHAnsi" w:hAnsiTheme="majorHAnsi" w:eastAsiaTheme="majorEastAsia"/>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spacing w:line="400" w:lineRule="atLeast"/>
        <w:jc w:val="center"/>
        <w:rPr>
          <w:rFonts w:ascii="宋体" w:hAnsi="宋体" w:eastAsia="宋体" w:cs="Times New Roman"/>
          <w:bCs/>
          <w:color w:val="auto"/>
          <w:sz w:val="28"/>
          <w:szCs w:val="24"/>
          <w:highlight w:val="none"/>
        </w:rPr>
      </w:pPr>
      <w:r>
        <w:rPr>
          <w:rFonts w:hint="eastAsia" w:ascii="宋体" w:hAnsi="宋体" w:eastAsia="宋体" w:cs="Times New Roman"/>
          <w:bCs/>
          <w:color w:val="auto"/>
          <w:sz w:val="28"/>
          <w:szCs w:val="24"/>
          <w:highlight w:val="none"/>
        </w:rPr>
        <w:t>（示范文本）</w:t>
      </w:r>
    </w:p>
    <w:p>
      <w:pPr>
        <w:spacing w:line="400" w:lineRule="atLeast"/>
        <w:jc w:val="center"/>
        <w:rPr>
          <w:rFonts w:ascii="宋体" w:hAnsi="宋体" w:eastAsia="宋体" w:cs="Times New Roman"/>
          <w:b/>
          <w:color w:val="auto"/>
          <w:sz w:val="28"/>
          <w:szCs w:val="24"/>
          <w:highlight w:val="none"/>
        </w:rPr>
      </w:pPr>
    </w:p>
    <w:p>
      <w:pPr>
        <w:spacing w:line="400" w:lineRule="atLeast"/>
        <w:jc w:val="center"/>
        <w:rPr>
          <w:rFonts w:ascii="宋体" w:hAnsi="宋体" w:eastAsia="宋体" w:cs="Times New Roman"/>
          <w:b/>
          <w:color w:val="auto"/>
          <w:sz w:val="28"/>
          <w:szCs w:val="24"/>
          <w:highlight w:val="none"/>
        </w:rPr>
      </w:pPr>
    </w:p>
    <w:p>
      <w:pPr>
        <w:spacing w:line="0" w:lineRule="atLeast"/>
        <w:rPr>
          <w:rFonts w:ascii="宋体" w:hAnsi="宋体" w:eastAsia="宋体" w:cs="Times New Roman"/>
          <w:b/>
          <w:color w:val="auto"/>
          <w:sz w:val="30"/>
          <w:szCs w:val="24"/>
          <w:highlight w:val="none"/>
        </w:rPr>
      </w:pPr>
    </w:p>
    <w:p>
      <w:pPr>
        <w:spacing w:line="0" w:lineRule="atLeast"/>
        <w:rPr>
          <w:rFonts w:ascii="仿宋_GB2312" w:hAnsi="宋体" w:eastAsia="仿宋_GB2312" w:cs="Times New Roman"/>
          <w:b/>
          <w:color w:val="auto"/>
          <w:sz w:val="30"/>
          <w:szCs w:val="30"/>
          <w:highlight w:val="none"/>
        </w:rPr>
      </w:pPr>
    </w:p>
    <w:p>
      <w:pPr>
        <w:spacing w:line="0" w:lineRule="atLeast"/>
        <w:ind w:left="1506" w:hanging="1506" w:hangingChars="500"/>
        <w:rPr>
          <w:rFonts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项目名称:</w:t>
      </w:r>
      <w:r>
        <w:rPr>
          <w:rFonts w:hint="eastAsia" w:ascii="宋体" w:hAnsi="宋体" w:eastAsia="宋体" w:cs="宋体"/>
          <w:b/>
          <w:color w:val="auto"/>
          <w:sz w:val="30"/>
          <w:szCs w:val="30"/>
          <w:highlight w:val="none"/>
          <w:u w:val="single"/>
        </w:rPr>
        <w:t xml:space="preserve">对讲机信号覆盖更新改造项目 </w:t>
      </w:r>
    </w:p>
    <w:p>
      <w:pPr>
        <w:autoSpaceDE w:val="0"/>
        <w:autoSpaceDN w:val="0"/>
        <w:adjustRightInd w:val="0"/>
        <w:jc w:val="left"/>
        <w:rPr>
          <w:rFonts w:ascii="宋体" w:hAnsi="宋体" w:eastAsia="宋体" w:cs="宋体"/>
          <w:color w:val="auto"/>
          <w:kern w:val="0"/>
          <w:sz w:val="24"/>
          <w:szCs w:val="24"/>
          <w:highlight w:val="none"/>
        </w:rPr>
      </w:pPr>
      <w:r>
        <w:rPr>
          <w:rFonts w:hint="eastAsia" w:ascii="宋体" w:hAnsi="宋体" w:eastAsia="宋体" w:cs="宋体"/>
          <w:b/>
          <w:color w:val="auto"/>
          <w:sz w:val="30"/>
          <w:szCs w:val="30"/>
          <w:highlight w:val="none"/>
        </w:rPr>
        <w:t>项目</w:t>
      </w:r>
      <w:r>
        <w:rPr>
          <w:rFonts w:hint="eastAsia" w:ascii="宋体" w:hAnsi="宋体" w:eastAsia="宋体" w:cs="宋体"/>
          <w:b/>
          <w:color w:val="auto"/>
          <w:kern w:val="0"/>
          <w:sz w:val="30"/>
          <w:szCs w:val="30"/>
          <w:highlight w:val="none"/>
        </w:rPr>
        <w:t>编号</w:t>
      </w:r>
      <w:r>
        <w:rPr>
          <w:rFonts w:hint="eastAsia" w:ascii="宋体" w:hAnsi="宋体" w:eastAsia="宋体" w:cs="宋体"/>
          <w:b/>
          <w:color w:val="auto"/>
          <w:sz w:val="30"/>
          <w:szCs w:val="30"/>
          <w:highlight w:val="none"/>
        </w:rPr>
        <w:t>:</w:t>
      </w:r>
      <w:r>
        <w:rPr>
          <w:rFonts w:ascii="宋体" w:hAnsi="宋体" w:cs="宋体"/>
          <w:b/>
          <w:color w:val="auto"/>
          <w:sz w:val="30"/>
          <w:szCs w:val="30"/>
          <w:highlight w:val="none"/>
        </w:rPr>
        <w:t>02422022000002</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p>
    <w:p>
      <w:pPr>
        <w:spacing w:line="480" w:lineRule="auto"/>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bCs/>
          <w:color w:val="auto"/>
          <w:sz w:val="30"/>
          <w:szCs w:val="30"/>
          <w:highlight w:val="none"/>
        </w:rPr>
        <w:t>穗净水合[     ]    号</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甲方： 广州市净水有限公司</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签订日期：       年   月   日       </w:t>
      </w:r>
    </w:p>
    <w:p>
      <w:pPr>
        <w:spacing w:line="400" w:lineRule="atLeast"/>
        <w:rPr>
          <w:rFonts w:ascii="宋体" w:hAnsi="宋体" w:eastAsia="宋体" w:cs="宋体"/>
          <w:b/>
          <w:color w:val="auto"/>
          <w:sz w:val="30"/>
          <w:szCs w:val="24"/>
          <w:highlight w:val="none"/>
        </w:rPr>
      </w:pPr>
      <w:r>
        <w:rPr>
          <w:rFonts w:hint="eastAsia" w:ascii="宋体" w:hAnsi="宋体" w:eastAsia="宋体" w:cs="宋体"/>
          <w:b/>
          <w:color w:val="auto"/>
          <w:sz w:val="30"/>
          <w:szCs w:val="24"/>
          <w:highlight w:val="none"/>
        </w:rPr>
        <w:t>签约地点：广州市</w:t>
      </w:r>
    </w:p>
    <w:p>
      <w:pPr>
        <w:spacing w:line="360" w:lineRule="auto"/>
        <w:rPr>
          <w:rFonts w:ascii="宋体" w:hAnsi="宋体" w:eastAsia="宋体" w:cs="宋体"/>
          <w:b/>
          <w:color w:val="auto"/>
          <w:sz w:val="24"/>
          <w:szCs w:val="24"/>
          <w:highlight w:val="none"/>
        </w:rPr>
      </w:pPr>
      <w:r>
        <w:rPr>
          <w:rFonts w:hint="eastAsia" w:ascii="宋体" w:hAnsi="宋体" w:eastAsia="黑体" w:cs="Times New Roman"/>
          <w:b/>
          <w:color w:val="auto"/>
          <w:kern w:val="0"/>
          <w:sz w:val="52"/>
          <w:szCs w:val="44"/>
          <w:highlight w:val="none"/>
        </w:rPr>
        <w:br w:type="textWrapping"/>
      </w:r>
    </w:p>
    <w:p>
      <w:pPr>
        <w:spacing w:before="93" w:beforeLines="30" w:line="384" w:lineRule="auto"/>
        <w:ind w:left="210" w:leftChars="100"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（以下简称“甲方”）与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组成合同的文件及优先顺序</w:t>
      </w:r>
    </w:p>
    <w:p>
      <w:pPr>
        <w:spacing w:line="384" w:lineRule="auto"/>
        <w:ind w:firstLine="482"/>
        <w:rPr>
          <w:rFonts w:ascii="宋体" w:hAnsi="宋体" w:eastAsia="宋体" w:cs="宋体"/>
          <w:bCs/>
          <w:color w:val="auto"/>
          <w:sz w:val="24"/>
          <w:szCs w:val="24"/>
          <w:highlight w:val="none"/>
        </w:rPr>
      </w:pPr>
      <w:r>
        <w:rPr>
          <w:rFonts w:hint="eastAsia" w:ascii="Times New Roman"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中标通知书/发包通知书/成交通知书/委托函；</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工程报价单或预算书；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⑼ 本合同其他附件；</w:t>
      </w:r>
    </w:p>
    <w:p>
      <w:pPr>
        <w:spacing w:line="384"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项目概况、项目承包范围</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2.1项目名称：</w:t>
      </w:r>
      <w:r>
        <w:rPr>
          <w:rFonts w:ascii="宋体" w:hAnsi="宋体" w:eastAsia="宋体" w:cs="宋体"/>
          <w:color w:val="auto"/>
          <w:sz w:val="24"/>
          <w:szCs w:val="24"/>
          <w:highlight w:val="none"/>
          <w:u w:val="single"/>
        </w:rPr>
        <w:t>2022年度设备设施技术改造项目—</w:t>
      </w:r>
      <w:r>
        <w:rPr>
          <w:rFonts w:hint="eastAsia" w:ascii="宋体" w:hAnsi="宋体" w:eastAsia="宋体" w:cs="宋体"/>
          <w:color w:val="auto"/>
          <w:sz w:val="24"/>
          <w:szCs w:val="24"/>
          <w:highlight w:val="none"/>
          <w:u w:val="single"/>
        </w:rPr>
        <w:t>对讲机信号覆盖更新改造项目。</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2.2项目地点：</w:t>
      </w:r>
      <w:r>
        <w:rPr>
          <w:rFonts w:hint="eastAsia" w:ascii="宋体" w:hAnsi="宋体" w:eastAsia="宋体" w:cs="宋体"/>
          <w:color w:val="auto"/>
          <w:sz w:val="24"/>
          <w:szCs w:val="24"/>
          <w:highlight w:val="none"/>
          <w:u w:val="single"/>
        </w:rPr>
        <w:t xml:space="preserve"> 广州市区。</w:t>
      </w:r>
    </w:p>
    <w:p>
      <w:pPr>
        <w:spacing w:line="384" w:lineRule="auto"/>
        <w:ind w:firstLine="480" w:firstLineChars="200"/>
        <w:rPr>
          <w:rFonts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2.3项目内容：</w:t>
      </w:r>
      <w:r>
        <w:rPr>
          <w:rFonts w:hint="eastAsia" w:ascii="宋体" w:hAnsi="宋体" w:eastAsia="宋体" w:cs="宋体"/>
          <w:color w:val="auto"/>
          <w:sz w:val="24"/>
          <w:szCs w:val="24"/>
          <w:highlight w:val="none"/>
          <w:u w:val="single"/>
        </w:rPr>
        <w:t>包括西朗二期、沥滘三期和京溪这3座地埋式净水厂地下空间的对讲机信号覆盖系统更新改造</w:t>
      </w:r>
      <w:r>
        <w:rPr>
          <w:rFonts w:hint="eastAsia" w:ascii="仿宋_GB2312" w:eastAsia="仿宋_GB2312"/>
          <w:color w:val="auto"/>
          <w:sz w:val="28"/>
          <w:szCs w:val="28"/>
          <w:highlight w:val="none"/>
          <w:u w:val="single"/>
        </w:rPr>
        <w:t xml:space="preserve"> 。</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
        <w:rPr>
          <w:color w:val="auto"/>
          <w:highlight w:val="none"/>
        </w:rPr>
      </w:pPr>
    </w:p>
    <w:tbl>
      <w:tblPr>
        <w:tblStyle w:val="20"/>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参数要求</w:t>
            </w:r>
          </w:p>
        </w:tc>
        <w:tc>
          <w:tcPr>
            <w:tcW w:w="1305"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63" w:type="dxa"/>
            <w:tcBorders>
              <w:lef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bl>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项目承包方式</w:t>
      </w:r>
    </w:p>
    <w:p>
      <w:pPr>
        <w:spacing w:line="384"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4"/>
          <w:szCs w:val="24"/>
          <w:highlight w:val="none"/>
        </w:rPr>
        <w:t>包工、包料、包工期、包质量、包安全、包文明施工。综合单价包干、项目措施费包干。（单价包干要求附工程量报价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工程预算书）</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bCs/>
          <w:color w:val="auto"/>
          <w:sz w:val="24"/>
          <w:highlight w:val="none"/>
        </w:rPr>
        <w:sym w:font="Wingdings" w:char="00FE"/>
      </w:r>
      <w:r>
        <w:rPr>
          <w:rFonts w:hint="eastAsia" w:ascii="宋体" w:hAnsi="宋体" w:eastAsia="宋体" w:cs="宋体"/>
          <w:color w:val="auto"/>
          <w:sz w:val="24"/>
          <w:szCs w:val="24"/>
          <w:highlight w:val="none"/>
        </w:rPr>
        <w:t>包工、包料、包质量、包工期、包安全、包文明施工、包设计、包调试、包验收的施工图纸，以总价包干形式。</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第四条合同价款</w:t>
      </w:r>
    </w:p>
    <w:p>
      <w:pPr>
        <w:spacing w:line="384" w:lineRule="auto"/>
        <w:ind w:firstLine="480" w:firstLineChars="200"/>
        <w:rPr>
          <w:rFonts w:ascii="宋体" w:hAnsi="宋体" w:eastAsia="宋体" w:cs="宋体"/>
          <w:bCs/>
          <w:color w:val="auto"/>
          <w:sz w:val="24"/>
          <w:szCs w:val="24"/>
          <w:highlight w:val="none"/>
          <w:bdr w:val="single" w:color="auto" w:sz="4" w:space="0"/>
        </w:rPr>
      </w:pPr>
      <w:r>
        <w:rPr>
          <w:rFonts w:ascii="宋体" w:hAnsi="宋体" w:eastAsia="宋体" w:cs="宋体"/>
          <w:color w:val="auto"/>
          <w:sz w:val="24"/>
          <w:szCs w:val="24"/>
          <w:highlight w:val="none"/>
        </w:rPr>
        <w:t>4.1</w:t>
      </w:r>
      <w:r>
        <w:rPr>
          <w:rFonts w:hint="eastAsia" w:ascii="宋体" w:hAnsi="宋体" w:eastAsia="宋体" w:cs="宋体"/>
          <w:color w:val="auto"/>
          <w:sz w:val="24"/>
          <w:szCs w:val="24"/>
          <w:highlight w:val="none"/>
        </w:rPr>
        <w:t>合同价款按以下（2）执行。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人民币…元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综合单价为：</w:t>
      </w:r>
      <w:r>
        <w:rPr>
          <w:rFonts w:hint="eastAsia" w:ascii="宋体" w:hAnsi="宋体" w:eastAsia="宋体" w:cs="宋体"/>
          <w:color w:val="auto"/>
          <w:sz w:val="24"/>
          <w:szCs w:val="24"/>
          <w:highlight w:val="none"/>
          <w:u w:val="single"/>
        </w:rPr>
        <w:t>人民币…元</w:t>
      </w:r>
      <w:r>
        <w:rPr>
          <w:rFonts w:ascii="宋体" w:hAnsi="宋体" w:eastAsia="宋体" w:cs="宋体"/>
          <w:color w:val="auto"/>
          <w:sz w:val="24"/>
          <w:szCs w:val="24"/>
          <w:highlight w:val="none"/>
          <w:u w:val="single"/>
        </w:rPr>
        <w:t>/m</w:t>
      </w:r>
      <w:r>
        <w:rPr>
          <w:rFonts w:ascii="宋体" w:hAnsi="宋体" w:eastAsia="宋体" w:cs="宋体"/>
          <w:color w:val="auto"/>
          <w:sz w:val="24"/>
          <w:szCs w:val="24"/>
          <w:highlight w:val="none"/>
          <w:u w:val="single"/>
          <w:vertAlign w:val="superscript"/>
        </w:rPr>
        <w:t>3</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大写：…</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eastAsia="宋体" w:cs="宋体"/>
          <w:color w:val="auto"/>
          <w:sz w:val="24"/>
          <w:szCs w:val="24"/>
          <w:highlight w:val="none"/>
        </w:rPr>
      </w:pP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合同以总价包干形式，合同暂定总价为：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万元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val="zh-CN"/>
        </w:rPr>
        <w:t>4.2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9</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color w:val="auto"/>
          <w:kern w:val="0"/>
          <w:sz w:val="24"/>
          <w:szCs w:val="24"/>
          <w:highlight w:val="none"/>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autoSpaceDE w:val="0"/>
        <w:autoSpaceDN w:val="0"/>
        <w:adjustRightInd w:val="0"/>
        <w:jc w:val="left"/>
        <w:rPr>
          <w:rFonts w:ascii="宋体" w:hAnsi="Times New Roman"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p>
    <w:p>
      <w:pPr>
        <w:widowControl/>
        <w:tabs>
          <w:tab w:val="left" w:pos="851"/>
        </w:tabs>
        <w:adjustRightInd w:val="0"/>
        <w:snapToGrid w:val="0"/>
        <w:spacing w:line="384"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第五条工期及要求</w:t>
      </w:r>
    </w:p>
    <w:p>
      <w:pPr>
        <w:widowControl/>
        <w:spacing w:line="384"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5.1</w:t>
      </w:r>
      <w:r>
        <w:rPr>
          <w:rFonts w:hint="eastAsia" w:ascii="宋体" w:hAnsi="宋体" w:eastAsia="宋体" w:cs="宋体"/>
          <w:color w:val="auto"/>
          <w:sz w:val="24"/>
          <w:szCs w:val="24"/>
          <w:highlight w:val="none"/>
        </w:rPr>
        <w:t>开工日期暂定为：</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，具体日期以甲方发出的开工报告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通知为准。乙方不能按时开工，应当于开工报告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通知载明的开工日期</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天前，以书面形式向甲方提出延期开工的理由。甲方应当在接到延期开工申请后的</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小时内以书面形式答复乙方。甲方在接到延期开工申请后</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不答复，视为同意乙方要求，工期相应顺延。甲方不同意延期要求或乙方未在规定时间内提出延期开工，工期不予顺延。合同工期总日历天数90天。乙方未能按合同工期竣工验收的，每逾期一天，甲方有权要求乙方按</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支付违约金，逾期达到</w:t>
      </w:r>
      <w:r>
        <w:rPr>
          <w:rFonts w:hint="eastAsia" w:ascii="宋体" w:hAnsi="宋体" w:eastAsia="宋体" w:cs="宋体"/>
          <w:color w:val="auto"/>
          <w:sz w:val="24"/>
          <w:szCs w:val="24"/>
          <w:highlight w:val="none"/>
          <w:u w:val="single"/>
        </w:rPr>
        <w:t xml:space="preserve">  3</w:t>
      </w:r>
      <w:r>
        <w:rPr>
          <w:rFonts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天及以上的，甲方有权解除合同并要求乙方支付</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20%</w:t>
      </w:r>
      <w:r>
        <w:rPr>
          <w:rFonts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5.2</w:t>
      </w:r>
      <w:r>
        <w:rPr>
          <w:rFonts w:hint="eastAsia" w:ascii="宋体" w:hAnsi="宋体" w:eastAsia="宋体" w:cs="宋体"/>
          <w:bCs/>
          <w:color w:val="auto"/>
          <w:sz w:val="24"/>
          <w:szCs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作为违约金，超过三次（含三次）的，甲方有权解除合同，要求乙方支付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作为违约金。由此造成的经济和法律责任，均由乙方负责。</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5.3</w:t>
      </w:r>
      <w:r>
        <w:rPr>
          <w:rFonts w:hint="eastAsia" w:ascii="宋体" w:hAnsi="宋体" w:eastAsia="宋体" w:cs="宋体"/>
          <w:bCs/>
          <w:color w:val="auto"/>
          <w:sz w:val="24"/>
          <w:szCs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5.4</w:t>
      </w:r>
      <w:r>
        <w:rPr>
          <w:rFonts w:hint="eastAsia" w:ascii="宋体" w:hAnsi="宋体" w:eastAsia="宋体" w:cs="宋体"/>
          <w:bCs/>
          <w:color w:val="auto"/>
          <w:sz w:val="24"/>
          <w:szCs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eastAsia="宋体" w:cs="宋体"/>
          <w:bCs/>
          <w:color w:val="auto"/>
          <w:sz w:val="24"/>
          <w:szCs w:val="24"/>
          <w:highlight w:val="none"/>
          <w:u w:val="single"/>
        </w:rPr>
        <w:t>1万元</w:t>
      </w:r>
      <w:r>
        <w:rPr>
          <w:rFonts w:ascii="宋体" w:hAnsi="宋体" w:eastAsia="宋体" w:cs="宋体"/>
          <w:bCs/>
          <w:color w:val="auto"/>
          <w:sz w:val="24"/>
          <w:szCs w:val="24"/>
          <w:highlight w:val="none"/>
        </w:rPr>
        <w:t>，超过_</w:t>
      </w:r>
      <w:r>
        <w:rPr>
          <w:rFonts w:hint="eastAsia" w:ascii="宋体" w:hAnsi="宋体" w:eastAsia="宋体" w:cs="宋体"/>
          <w:bCs/>
          <w:color w:val="auto"/>
          <w:sz w:val="24"/>
          <w:szCs w:val="24"/>
          <w:highlight w:val="none"/>
          <w:u w:val="single"/>
        </w:rPr>
        <w:t>1</w:t>
      </w:r>
      <w:r>
        <w:rPr>
          <w:rFonts w:ascii="宋体" w:hAnsi="宋体" w:eastAsia="宋体" w:cs="宋体"/>
          <w:bCs/>
          <w:color w:val="auto"/>
          <w:sz w:val="24"/>
          <w:szCs w:val="24"/>
          <w:highlight w:val="none"/>
          <w:u w:val="single"/>
        </w:rPr>
        <w:t>5</w:t>
      </w:r>
      <w:r>
        <w:rPr>
          <w:rFonts w:ascii="宋体" w:hAnsi="宋体" w:eastAsia="宋体" w:cs="宋体"/>
          <w:bCs/>
          <w:color w:val="auto"/>
          <w:sz w:val="24"/>
          <w:szCs w:val="24"/>
          <w:highlight w:val="none"/>
        </w:rPr>
        <w:t>_日，甲方有权解除合同并要求乙方支付</w:t>
      </w:r>
      <w:r>
        <w:rPr>
          <w:rFonts w:ascii="宋体" w:hAnsi="宋体" w:eastAsia="宋体" w:cs="宋体"/>
          <w:bCs/>
          <w:color w:val="auto"/>
          <w:sz w:val="24"/>
          <w:szCs w:val="24"/>
          <w:highlight w:val="none"/>
          <w:u w:val="single"/>
        </w:rPr>
        <w:t>合同暂定总价的20%</w:t>
      </w:r>
      <w:r>
        <w:rPr>
          <w:rFonts w:ascii="宋体" w:hAnsi="宋体" w:eastAsia="宋体" w:cs="宋体"/>
          <w:bCs/>
          <w:color w:val="auto"/>
          <w:sz w:val="24"/>
          <w:szCs w:val="24"/>
          <w:highlight w:val="none"/>
        </w:rPr>
        <w:t>作为违约金</w:t>
      </w:r>
      <w:r>
        <w:rPr>
          <w:rFonts w:hint="eastAsia" w:cs="Times New Roman" w:asciiTheme="minorEastAsia" w:hAnsiTheme="minorEastAsia"/>
          <w:bCs/>
          <w:color w:val="auto"/>
          <w:sz w:val="24"/>
          <w:szCs w:val="24"/>
          <w:highlight w:val="none"/>
        </w:rPr>
        <w:t>（</w:t>
      </w:r>
      <w:r>
        <w:rPr>
          <w:rFonts w:hint="eastAsia" w:ascii="Times New Roman" w:hAnsi="Times New Roman" w:eastAsia="宋体" w:cs="宋体"/>
          <w:color w:val="auto"/>
          <w:sz w:val="24"/>
          <w:szCs w:val="24"/>
          <w:highlight w:val="none"/>
        </w:rPr>
        <w:t>如合同另行约定违约责任，从其约定</w:t>
      </w:r>
      <w:r>
        <w:rPr>
          <w:rFonts w:hint="eastAsia" w:cs="Times New Roman" w:asciiTheme="minorEastAsia" w:hAnsiTheme="minorEastAsia"/>
          <w:bCs/>
          <w:color w:val="auto"/>
          <w:sz w:val="24"/>
          <w:szCs w:val="24"/>
          <w:highlight w:val="none"/>
        </w:rPr>
        <w:t>）</w:t>
      </w:r>
      <w:r>
        <w:rPr>
          <w:rFonts w:ascii="宋体" w:hAnsi="宋体" w:eastAsia="宋体" w:cs="宋体"/>
          <w:bCs/>
          <w:color w:val="auto"/>
          <w:sz w:val="24"/>
          <w:szCs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topLinePunct/>
        <w:autoSpaceDE/>
        <w:autoSpaceDN/>
        <w:adjustRightInd/>
        <w:spacing w:line="500" w:lineRule="exact"/>
        <w:ind w:firstLine="480" w:firstLineChars="200"/>
        <w:jc w:val="left"/>
        <w:rPr>
          <w:rFonts w:hint="eastAsia" w:asciiTheme="minorEastAsia" w:hAnsiTheme="minorEastAsia" w:cstheme="minorEastAsia"/>
          <w:color w:val="auto"/>
          <w:kern w:val="2"/>
          <w:sz w:val="24"/>
          <w:szCs w:val="24"/>
          <w:highlight w:val="none"/>
        </w:rPr>
      </w:pPr>
      <w:r>
        <w:rPr>
          <w:rFonts w:hint="eastAsia" w:asciiTheme="minorEastAsia" w:hAnsiTheme="minorEastAsia" w:cstheme="minorEastAsia"/>
          <w:color w:val="auto"/>
          <w:kern w:val="2"/>
          <w:sz w:val="24"/>
          <w:szCs w:val="24"/>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5.9在合同有效期内，乙方自愿接受甲方按《广州市净水有限公司经营建设项目参建企业不诚信行为管理办法》、《营运项目承包单位日常履约考评参照表（安全）》处理，具体处理标准详见附件3。</w:t>
      </w:r>
    </w:p>
    <w:p>
      <w:pPr>
        <w:autoSpaceDE w:val="0"/>
        <w:autoSpaceDN w:val="0"/>
        <w:adjustRightInd w:val="0"/>
        <w:jc w:val="left"/>
        <w:rPr>
          <w:rFonts w:ascii="宋体" w:hAnsi="Times New Roman" w:eastAsia="仿宋_GB2312" w:cs="宋体"/>
          <w:color w:val="auto"/>
          <w:kern w:val="0"/>
          <w:sz w:val="24"/>
          <w:szCs w:val="24"/>
          <w:highlight w:val="none"/>
        </w:rPr>
      </w:pPr>
    </w:p>
    <w:p>
      <w:pPr>
        <w:tabs>
          <w:tab w:val="left" w:pos="851"/>
        </w:tabs>
        <w:adjustRightInd w:val="0"/>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第六条实施条件及管理要求</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6.1</w:t>
      </w:r>
      <w:r>
        <w:rPr>
          <w:rFonts w:hint="eastAsia" w:ascii="宋体" w:hAnsi="宋体" w:eastAsia="宋体" w:cs="宋体"/>
          <w:color w:val="auto"/>
          <w:sz w:val="24"/>
          <w:szCs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6.2</w:t>
      </w:r>
      <w:r>
        <w:rPr>
          <w:rFonts w:hint="eastAsia" w:ascii="宋体" w:hAnsi="宋体" w:eastAsia="宋体" w:cs="宋体"/>
          <w:color w:val="auto"/>
          <w:sz w:val="24"/>
          <w:szCs w:val="24"/>
          <w:highlight w:val="none"/>
        </w:rPr>
        <w:t>施工用水用电采用以下</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方式执行。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（1）由甲方提供施工用水用电接口，水电费按合同综合单价水电含量计算，从甲方支付的工程款中直接扣回。</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6.3</w:t>
      </w:r>
      <w:r>
        <w:rPr>
          <w:rFonts w:hint="eastAsia" w:ascii="宋体" w:hAnsi="宋体" w:eastAsia="宋体" w:cs="宋体"/>
          <w:color w:val="auto"/>
          <w:sz w:val="24"/>
          <w:szCs w:val="24"/>
          <w:highlight w:val="none"/>
        </w:rPr>
        <w:t>施工时间安排：上午</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00-12</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，下午</w:t>
      </w:r>
      <w:r>
        <w:rPr>
          <w:rFonts w:ascii="宋体" w:hAnsi="宋体" w:eastAsia="宋体" w:cs="宋体"/>
          <w:color w:val="auto"/>
          <w:sz w:val="24"/>
          <w:szCs w:val="24"/>
          <w:highlight w:val="none"/>
        </w:rPr>
        <w:t>14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00-18</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，施工时间如需变动，以甲方的书面或口头通知为准。</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6.4</w:t>
      </w:r>
      <w:r>
        <w:rPr>
          <w:rFonts w:hint="eastAsia" w:ascii="宋体" w:hAnsi="宋体" w:eastAsia="宋体" w:cs="宋体"/>
          <w:color w:val="auto"/>
          <w:sz w:val="24"/>
          <w:szCs w:val="24"/>
          <w:highlight w:val="none"/>
        </w:rPr>
        <w:t>进场施工人员必须严格遵守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6.5</w:t>
      </w:r>
      <w:r>
        <w:rPr>
          <w:rFonts w:hint="eastAsia" w:ascii="宋体" w:hAnsi="宋体" w:eastAsia="宋体" w:cs="宋体"/>
          <w:color w:val="auto"/>
          <w:sz w:val="24"/>
          <w:szCs w:val="24"/>
          <w:highlight w:val="none"/>
        </w:rPr>
        <w:t>环境保护要求：</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）做好施工噪声、废气、废水等控制；</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）按照国家及广州市相关规定做好建筑垃圾的处理。</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6.6</w:t>
      </w:r>
      <w:r>
        <w:rPr>
          <w:rFonts w:hint="eastAsia" w:ascii="宋体" w:hAnsi="宋体" w:eastAsia="宋体" w:cs="宋体"/>
          <w:color w:val="auto"/>
          <w:sz w:val="24"/>
          <w:szCs w:val="24"/>
          <w:highlight w:val="none"/>
        </w:rPr>
        <w:t>按相关法律法规及甲方相关作业施工管理要求执行。</w:t>
      </w:r>
    </w:p>
    <w:p>
      <w:pPr>
        <w:spacing w:line="384"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材料及设备供应</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7.1</w:t>
      </w:r>
      <w:r>
        <w:rPr>
          <w:rFonts w:hint="eastAsia" w:ascii="宋体" w:hAnsi="宋体" w:eastAsia="宋体" w:cs="宋体"/>
          <w:color w:val="auto"/>
          <w:sz w:val="24"/>
          <w:szCs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eastAsia="宋体" w:cs="宋体"/>
          <w:color w:val="auto"/>
          <w:sz w:val="24"/>
          <w:szCs w:val="24"/>
          <w:highlight w:val="none"/>
        </w:rPr>
      </w:pPr>
      <w:r>
        <w:rPr>
          <w:rFonts w:ascii="宋体" w:hAnsi="宋体" w:eastAsia="宋体" w:cs="宋体"/>
          <w:color w:val="auto"/>
          <w:sz w:val="24"/>
          <w:szCs w:val="24"/>
          <w:highlight w:val="none"/>
        </w:rPr>
        <w:t>7.2</w:t>
      </w:r>
      <w:r>
        <w:rPr>
          <w:rFonts w:hint="eastAsia" w:ascii="宋体" w:hAnsi="宋体" w:eastAsia="宋体" w:cs="宋体"/>
          <w:color w:val="auto"/>
          <w:sz w:val="24"/>
          <w:szCs w:val="24"/>
          <w:highlight w:val="none"/>
        </w:rPr>
        <w:t>所有材料必须具备合格证明，并保证产品的有效性。</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7.3</w:t>
      </w:r>
      <w:r>
        <w:rPr>
          <w:rFonts w:hint="eastAsia" w:ascii="宋体" w:hAnsi="宋体" w:eastAsia="宋体" w:cs="宋体"/>
          <w:color w:val="auto"/>
          <w:sz w:val="24"/>
          <w:szCs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7.4</w:t>
      </w:r>
      <w:r>
        <w:rPr>
          <w:rFonts w:hint="eastAsia" w:ascii="宋体" w:hAnsi="宋体" w:eastAsia="宋体" w:cs="宋体"/>
          <w:color w:val="auto"/>
          <w:sz w:val="24"/>
          <w:szCs w:val="24"/>
          <w:highlight w:val="none"/>
        </w:rPr>
        <w:t>乙方必须根据投标文件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7.5 </w:t>
      </w:r>
      <w:r>
        <w:rPr>
          <w:rFonts w:hint="eastAsia" w:ascii="宋体" w:hAnsi="宋体" w:eastAsia="宋体" w:cs="宋体"/>
          <w:color w:val="auto"/>
          <w:sz w:val="24"/>
          <w:szCs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7.6 </w:t>
      </w:r>
      <w:r>
        <w:rPr>
          <w:rFonts w:hint="eastAsia" w:ascii="宋体" w:hAnsi="宋体" w:eastAsia="宋体" w:cs="宋体"/>
          <w:color w:val="auto"/>
          <w:sz w:val="24"/>
          <w:szCs w:val="24"/>
          <w:highlight w:val="none"/>
        </w:rPr>
        <w:t>承包范围之内工程所用之设备，由乙方提供。</w:t>
      </w:r>
    </w:p>
    <w:p>
      <w:pPr>
        <w:spacing w:line="384"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第八条付</w:t>
      </w:r>
      <w:r>
        <w:rPr>
          <w:rFonts w:hint="eastAsia" w:ascii="宋体" w:hAnsi="宋体" w:eastAsia="宋体" w:cs="宋体"/>
          <w:b/>
          <w:color w:val="auto"/>
          <w:sz w:val="24"/>
          <w:szCs w:val="24"/>
          <w:highlight w:val="none"/>
        </w:rPr>
        <w:t>款及履约担保</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8.1</w:t>
      </w:r>
      <w:r>
        <w:rPr>
          <w:rFonts w:hint="eastAsia" w:ascii="宋体" w:hAnsi="宋体" w:eastAsia="宋体" w:cs="宋体"/>
          <w:bCs/>
          <w:color w:val="auto"/>
          <w:sz w:val="24"/>
          <w:szCs w:val="24"/>
          <w:highlight w:val="none"/>
        </w:rPr>
        <w:t>预付款的支付：</w:t>
      </w:r>
      <w:r>
        <w:rPr>
          <w:rFonts w:ascii="宋体" w:hAnsi="宋体" w:eastAsia="宋体" w:cs="宋体"/>
          <w:bCs/>
          <w:color w:val="auto"/>
          <w:sz w:val="24"/>
          <w:highlight w:val="none"/>
        </w:rPr>
        <w:sym w:font="Wingdings" w:char="00FE"/>
      </w:r>
      <w:r>
        <w:rPr>
          <w:rFonts w:hint="eastAsia" w:ascii="宋体" w:hAnsi="宋体" w:eastAsia="宋体" w:cs="宋体"/>
          <w:bCs/>
          <w:color w:val="auto"/>
          <w:sz w:val="24"/>
          <w:szCs w:val="24"/>
          <w:highlight w:val="none"/>
        </w:rPr>
        <w:t>无；</w:t>
      </w:r>
    </w:p>
    <w:p>
      <w:pPr>
        <w:pStyle w:val="2"/>
        <w:rPr>
          <w:rFonts w:hint="eastAsia" w:eastAsia="宋体" w:cs="宋体"/>
          <w:color w:val="auto"/>
          <w:kern w:val="2"/>
          <w:highlight w:val="none"/>
          <w:u w:val="none"/>
        </w:rPr>
      </w:pPr>
      <w:r>
        <w:rPr>
          <w:rFonts w:hint="eastAsia" w:eastAsia="宋体" w:cs="宋体"/>
          <w:color w:val="auto"/>
          <w:kern w:val="2"/>
          <w:highlight w:val="none"/>
        </w:rPr>
        <w:t>8.2</w:t>
      </w:r>
      <w:r>
        <w:rPr>
          <w:rFonts w:hint="eastAsia" w:eastAsia="宋体" w:cs="宋体"/>
          <w:color w:val="auto"/>
          <w:kern w:val="2"/>
          <w:highlight w:val="none"/>
          <w:lang w:val="en-US" w:eastAsia="zh-CN"/>
        </w:rPr>
        <w:t>在收到</w:t>
      </w:r>
      <w:r>
        <w:rPr>
          <w:rFonts w:hint="eastAsia" w:ascii="宋体" w:hAnsi="宋体" w:eastAsia="宋体" w:cs="宋体"/>
          <w:color w:val="auto"/>
          <w:kern w:val="2"/>
          <w:sz w:val="24"/>
          <w:szCs w:val="24"/>
          <w:highlight w:val="none"/>
        </w:rPr>
        <w:t>甲方发出的开工报告/通知</w:t>
      </w:r>
      <w:r>
        <w:rPr>
          <w:rFonts w:hint="eastAsia" w:eastAsia="宋体" w:cs="宋体"/>
          <w:color w:val="auto"/>
          <w:kern w:val="2"/>
          <w:sz w:val="24"/>
          <w:szCs w:val="24"/>
          <w:highlight w:val="none"/>
          <w:lang w:val="en-US" w:eastAsia="zh-CN"/>
        </w:rPr>
        <w:t>之日</w:t>
      </w:r>
      <w:r>
        <w:rPr>
          <w:rFonts w:hint="eastAsia" w:eastAsia="宋体" w:cs="宋体"/>
          <w:color w:val="auto"/>
          <w:kern w:val="2"/>
          <w:highlight w:val="none"/>
        </w:rPr>
        <w:t>起10个工作日</w:t>
      </w:r>
      <w:r>
        <w:rPr>
          <w:rFonts w:hint="eastAsia" w:eastAsia="宋体" w:cs="宋体"/>
          <w:color w:val="auto"/>
          <w:kern w:val="2"/>
          <w:highlight w:val="none"/>
          <w:lang w:val="en-US" w:eastAsia="zh-CN"/>
        </w:rPr>
        <w:t>内</w:t>
      </w:r>
      <w:r>
        <w:rPr>
          <w:rFonts w:hint="eastAsia" w:eastAsia="宋体" w:cs="宋体"/>
          <w:color w:val="auto"/>
          <w:kern w:val="2"/>
          <w:highlight w:val="none"/>
        </w:rPr>
        <w:t>完成现场勘查并出具施工图，所提供施工图纸设计并经甲方确认后15个工作日内，</w:t>
      </w:r>
      <w:r>
        <w:rPr>
          <w:rFonts w:hint="eastAsia" w:eastAsia="宋体" w:cs="宋体"/>
          <w:bCs w:val="0"/>
          <w:color w:val="auto"/>
          <w:kern w:val="2"/>
          <w:highlight w:val="none"/>
        </w:rPr>
        <w:t>甲方支付合同</w:t>
      </w:r>
      <w:r>
        <w:rPr>
          <w:rFonts w:hint="eastAsia" w:eastAsia="宋体" w:cs="宋体"/>
          <w:color w:val="auto"/>
          <w:kern w:val="2"/>
          <w:highlight w:val="none"/>
        </w:rPr>
        <w:t>暂定总价</w:t>
      </w:r>
      <w:r>
        <w:rPr>
          <w:rFonts w:hint="eastAsia" w:eastAsia="宋体" w:cs="宋体"/>
          <w:bCs w:val="0"/>
          <w:color w:val="auto"/>
          <w:kern w:val="2"/>
          <w:highlight w:val="none"/>
        </w:rPr>
        <w:t>的</w:t>
      </w:r>
      <w:r>
        <w:rPr>
          <w:rFonts w:hint="eastAsia" w:eastAsia="宋体" w:cs="宋体"/>
          <w:bCs w:val="0"/>
          <w:color w:val="auto"/>
          <w:kern w:val="2"/>
          <w:highlight w:val="none"/>
          <w:u w:val="none"/>
        </w:rPr>
        <w:t>（30%）</w:t>
      </w:r>
      <w:r>
        <w:rPr>
          <w:rFonts w:hint="eastAsia" w:eastAsia="宋体" w:cs="宋体"/>
          <w:color w:val="auto"/>
          <w:kern w:val="2"/>
          <w:highlight w:val="none"/>
        </w:rPr>
        <w:t>即</w:t>
      </w:r>
      <w:r>
        <w:rPr>
          <w:rFonts w:hint="eastAsia" w:eastAsia="宋体" w:cs="宋体"/>
          <w:color w:val="auto"/>
          <w:kern w:val="2"/>
          <w:highlight w:val="none"/>
          <w:u w:val="none"/>
        </w:rPr>
        <w:t>…元给乙方。</w:t>
      </w:r>
    </w:p>
    <w:p>
      <w:pPr>
        <w:pStyle w:val="2"/>
        <w:rPr>
          <w:rFonts w:hint="eastAsia" w:eastAsia="宋体" w:cs="宋体"/>
          <w:color w:val="auto"/>
          <w:kern w:val="2"/>
          <w:highlight w:val="none"/>
          <w:u w:val="none"/>
        </w:rPr>
      </w:pPr>
      <w:r>
        <w:rPr>
          <w:rFonts w:hint="eastAsia" w:eastAsia="宋体" w:cs="宋体"/>
          <w:color w:val="auto"/>
          <w:kern w:val="2"/>
          <w:highlight w:val="none"/>
          <w:u w:val="none"/>
        </w:rPr>
        <w:t>8.3 甲方确认施工图</w:t>
      </w:r>
      <w:r>
        <w:rPr>
          <w:rFonts w:hint="eastAsia" w:eastAsia="宋体" w:cs="宋体"/>
          <w:color w:val="auto"/>
          <w:kern w:val="2"/>
          <w:highlight w:val="none"/>
          <w:u w:val="none"/>
          <w:lang w:val="en-US" w:eastAsia="zh-CN"/>
        </w:rPr>
        <w:t>后</w:t>
      </w:r>
      <w:r>
        <w:rPr>
          <w:rFonts w:hint="eastAsia" w:eastAsia="宋体" w:cs="宋体"/>
          <w:color w:val="auto"/>
          <w:kern w:val="2"/>
          <w:highlight w:val="none"/>
          <w:u w:val="none"/>
        </w:rPr>
        <w:t>起20个工作日内乙方须保证项目所需货物全部到货，完成设备安装调试后，提供测试报告</w:t>
      </w:r>
      <w:r>
        <w:rPr>
          <w:rFonts w:hint="eastAsia" w:eastAsia="宋体" w:cs="宋体"/>
          <w:color w:val="auto"/>
          <w:kern w:val="2"/>
          <w:highlight w:val="none"/>
        </w:rPr>
        <w:t>并经甲方确认后15个工作日内，</w:t>
      </w:r>
      <w:r>
        <w:rPr>
          <w:rFonts w:hint="eastAsia" w:eastAsia="宋体" w:cs="宋体"/>
          <w:bCs w:val="0"/>
          <w:color w:val="auto"/>
          <w:kern w:val="2"/>
          <w:highlight w:val="none"/>
        </w:rPr>
        <w:t>甲方支付合同</w:t>
      </w:r>
      <w:r>
        <w:rPr>
          <w:rFonts w:hint="eastAsia" w:eastAsia="宋体" w:cs="宋体"/>
          <w:color w:val="auto"/>
          <w:kern w:val="2"/>
          <w:highlight w:val="none"/>
        </w:rPr>
        <w:t>暂定总价</w:t>
      </w:r>
      <w:r>
        <w:rPr>
          <w:rFonts w:hint="eastAsia" w:eastAsia="宋体" w:cs="宋体"/>
          <w:bCs w:val="0"/>
          <w:color w:val="auto"/>
          <w:kern w:val="2"/>
          <w:highlight w:val="none"/>
        </w:rPr>
        <w:t>的</w:t>
      </w:r>
      <w:r>
        <w:rPr>
          <w:rFonts w:hint="eastAsia" w:eastAsia="宋体" w:cs="宋体"/>
          <w:bCs w:val="0"/>
          <w:color w:val="auto"/>
          <w:kern w:val="2"/>
          <w:highlight w:val="none"/>
          <w:u w:val="none"/>
        </w:rPr>
        <w:t>（60%）</w:t>
      </w:r>
      <w:r>
        <w:rPr>
          <w:rFonts w:hint="eastAsia" w:eastAsia="宋体" w:cs="宋体"/>
          <w:color w:val="auto"/>
          <w:kern w:val="2"/>
          <w:highlight w:val="none"/>
        </w:rPr>
        <w:t>即</w:t>
      </w:r>
      <w:r>
        <w:rPr>
          <w:rFonts w:hint="eastAsia" w:eastAsia="宋体" w:cs="宋体"/>
          <w:color w:val="auto"/>
          <w:kern w:val="2"/>
          <w:highlight w:val="none"/>
          <w:u w:val="none"/>
        </w:rPr>
        <w:t>…元给乙方。</w:t>
      </w:r>
    </w:p>
    <w:p>
      <w:pPr>
        <w:spacing w:line="384"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r>
        <w:rPr>
          <w:rFonts w:hint="eastAsia" w:ascii="宋体" w:hAnsi="宋体" w:eastAsia="宋体" w:cs="宋体"/>
          <w:color w:val="auto"/>
          <w:sz w:val="24"/>
          <w:szCs w:val="24"/>
          <w:highlight w:val="none"/>
          <w:u w:val="none"/>
        </w:rPr>
        <w:t>项目验收合格后，由乙方提交申请支付资料 15 个工作日内，甲方支付至合同暂定总价的80％即 …万元给乙方。</w:t>
      </w:r>
      <w:r>
        <w:rPr>
          <w:rFonts w:hint="eastAsia" w:ascii="宋体" w:hAnsi="宋体" w:eastAsia="宋体" w:cs="宋体"/>
          <w:color w:val="auto"/>
          <w:sz w:val="24"/>
          <w:szCs w:val="24"/>
          <w:highlight w:val="none"/>
        </w:rPr>
        <w:t>（如需）</w:t>
      </w:r>
    </w:p>
    <w:p>
      <w:pPr>
        <w:tabs>
          <w:tab w:val="left" w:pos="0"/>
        </w:tabs>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8.4.1</w:t>
      </w:r>
      <w:r>
        <w:rPr>
          <w:rFonts w:hint="eastAsia" w:ascii="宋体" w:hAnsi="宋体" w:eastAsia="宋体" w:cs="宋体"/>
          <w:color w:val="auto"/>
          <w:sz w:val="24"/>
          <w:szCs w:val="24"/>
          <w:highlight w:val="none"/>
          <w:u w:val="single"/>
        </w:rPr>
        <w:t>项目验收合格后，</w:t>
      </w:r>
      <w:r>
        <w:rPr>
          <w:rFonts w:hint="eastAsia" w:ascii="宋体" w:hAnsi="宋体" w:eastAsia="宋体" w:cs="宋体"/>
          <w:color w:val="auto"/>
          <w:sz w:val="24"/>
          <w:szCs w:val="24"/>
          <w:highlight w:val="none"/>
        </w:rPr>
        <w:t>经甲方或甲方委托有资质第三方机构审核后，由乙方提交申请支付资料</w:t>
      </w:r>
      <w:r>
        <w:rPr>
          <w:rFonts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个工作日内，甲方支付至合同结算价的</w:t>
      </w:r>
      <w:r>
        <w:rPr>
          <w:rFonts w:ascii="宋体" w:hAnsi="宋体" w:eastAsia="宋体" w:cs="宋体"/>
          <w:color w:val="auto"/>
          <w:sz w:val="24"/>
          <w:szCs w:val="24"/>
          <w:highlight w:val="none"/>
        </w:rPr>
        <w:t>95%</w:t>
      </w:r>
      <w:r>
        <w:rPr>
          <w:rFonts w:hint="eastAsia" w:ascii="宋体" w:hAnsi="宋体" w:eastAsia="宋体" w:cs="宋体"/>
          <w:color w:val="auto"/>
          <w:sz w:val="24"/>
          <w:szCs w:val="24"/>
          <w:highlight w:val="none"/>
        </w:rPr>
        <w:t>。</w:t>
      </w:r>
    </w:p>
    <w:p>
      <w:pPr>
        <w:spacing w:line="384" w:lineRule="auto"/>
        <w:ind w:firstLine="480" w:firstLineChars="200"/>
        <w:outlineLvl w:val="1"/>
        <w:rPr>
          <w:rFonts w:ascii="Times New Roman" w:hAnsi="宋体" w:eastAsia="宋体" w:cs="宋体"/>
          <w:color w:val="auto"/>
          <w:sz w:val="24"/>
          <w:szCs w:val="24"/>
          <w:highlight w:val="none"/>
        </w:rPr>
      </w:pPr>
      <w:r>
        <w:rPr>
          <w:rFonts w:ascii="宋体" w:hAnsi="宋体" w:eastAsia="宋体" w:cs="宋体"/>
          <w:color w:val="auto"/>
          <w:sz w:val="24"/>
          <w:szCs w:val="24"/>
          <w:highlight w:val="none"/>
        </w:rPr>
        <w:t>8.4.</w:t>
      </w:r>
      <w:r>
        <w:rPr>
          <w:rFonts w:hint="eastAsia" w:ascii="宋体" w:hAnsi="宋体" w:eastAsia="宋体" w:cs="宋体"/>
          <w:color w:val="auto"/>
          <w:sz w:val="24"/>
          <w:szCs w:val="24"/>
          <w:highlight w:val="none"/>
        </w:rPr>
        <w:t>2</w:t>
      </w:r>
      <w:r>
        <w:rPr>
          <w:rFonts w:hint="eastAsia" w:ascii="Times New Roman" w:hAnsi="宋体" w:eastAsia="宋体" w:cs="宋体"/>
          <w:color w:val="auto"/>
          <w:sz w:val="24"/>
          <w:szCs w:val="24"/>
          <w:highlight w:val="none"/>
        </w:rPr>
        <w:t>质保期按合同第十条规定执行，质保期满后且乙方不存在违约情形，由乙方提交申请质保金退还资料</w:t>
      </w:r>
      <w:r>
        <w:rPr>
          <w:rFonts w:ascii="Times New Roman" w:hAnsi="宋体" w:eastAsia="宋体" w:cs="宋体"/>
          <w:color w:val="auto"/>
          <w:sz w:val="24"/>
          <w:szCs w:val="24"/>
          <w:highlight w:val="none"/>
          <w:u w:val="single"/>
        </w:rPr>
        <w:t xml:space="preserve"> 15 </w:t>
      </w:r>
      <w:r>
        <w:rPr>
          <w:rFonts w:hint="eastAsia" w:ascii="Times New Roman" w:hAnsi="宋体" w:eastAsia="宋体" w:cs="宋体"/>
          <w:color w:val="auto"/>
          <w:sz w:val="24"/>
          <w:szCs w:val="24"/>
          <w:highlight w:val="none"/>
        </w:rPr>
        <w:t>个工作日内，甲方支付合同结算价的</w:t>
      </w:r>
      <w:r>
        <w:rPr>
          <w:rFonts w:ascii="Times New Roman" w:hAnsi="宋体" w:eastAsia="宋体" w:cs="宋体"/>
          <w:color w:val="auto"/>
          <w:sz w:val="24"/>
          <w:szCs w:val="24"/>
          <w:highlight w:val="none"/>
        </w:rPr>
        <w:t>5</w:t>
      </w:r>
      <w:r>
        <w:rPr>
          <w:rFonts w:hint="eastAsia" w:ascii="Times New Roman" w:hAnsi="宋体" w:eastAsia="宋体" w:cs="宋体"/>
          <w:color w:val="auto"/>
          <w:sz w:val="24"/>
          <w:szCs w:val="24"/>
          <w:highlight w:val="none"/>
        </w:rPr>
        <w:t>％（质保金）给乙方（无息）。</w:t>
      </w:r>
    </w:p>
    <w:p>
      <w:pPr>
        <w:spacing w:line="384" w:lineRule="auto"/>
        <w:ind w:firstLine="480" w:firstLineChars="20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.3本项目工程款的支付单位为：</w:t>
      </w:r>
      <w:r>
        <w:rPr>
          <w:rFonts w:hint="eastAsia" w:ascii="宋体" w:hAnsi="宋体" w:eastAsia="宋体" w:cs="宋体"/>
          <w:color w:val="auto"/>
          <w:sz w:val="24"/>
          <w:szCs w:val="24"/>
          <w:highlight w:val="none"/>
          <w:u w:val="single"/>
        </w:rPr>
        <w:t xml:space="preserve"> … </w:t>
      </w:r>
    </w:p>
    <w:p>
      <w:pPr>
        <w:spacing w:line="384" w:lineRule="auto"/>
        <w:ind w:firstLine="480" w:firstLineChars="20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8.5</w:t>
      </w:r>
      <w:r>
        <w:rPr>
          <w:rFonts w:hint="eastAsia" w:ascii="宋体" w:hAnsi="宋体" w:eastAsia="宋体" w:cs="宋体"/>
          <w:color w:val="auto"/>
          <w:sz w:val="24"/>
          <w:szCs w:val="24"/>
          <w:highlight w:val="none"/>
        </w:rPr>
        <w:t>乙方收款账户：</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8.6</w:t>
      </w:r>
      <w:r>
        <w:rPr>
          <w:rFonts w:hint="eastAsia" w:ascii="宋体" w:hAnsi="宋体" w:eastAsia="宋体" w:cs="宋体"/>
          <w:color w:val="auto"/>
          <w:sz w:val="24"/>
          <w:szCs w:val="24"/>
          <w:highlight w:val="none"/>
        </w:rPr>
        <w:t>乙方在收款前需提交等额增值税专用发票给甲方。增值税专用发票信息：</w:t>
      </w:r>
    </w:p>
    <w:p>
      <w:pPr>
        <w:spacing w:line="384" w:lineRule="auto"/>
        <w:ind w:firstLine="480" w:firstLineChars="20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8.7</w:t>
      </w:r>
      <w:r>
        <w:rPr>
          <w:rFonts w:hint="eastAsia" w:ascii="宋体" w:hAnsi="宋体" w:eastAsia="宋体" w:cs="宋体"/>
          <w:color w:val="auto"/>
          <w:sz w:val="24"/>
          <w:szCs w:val="24"/>
          <w:highlight w:val="none"/>
        </w:rPr>
        <w:t>履约担保：</w:t>
      </w:r>
      <w:r>
        <w:rPr>
          <w:rFonts w:ascii="宋体" w:hAnsi="宋体" w:eastAsia="宋体" w:cs="宋体"/>
          <w:bCs/>
          <w:color w:val="auto"/>
          <w:sz w:val="24"/>
          <w:highlight w:val="none"/>
        </w:rPr>
        <w:sym w:font="Wingdings" w:char="00FE"/>
      </w:r>
      <w:r>
        <w:rPr>
          <w:rFonts w:hint="eastAsia" w:ascii="宋体" w:hAnsi="宋体" w:eastAsia="宋体" w:cs="宋体"/>
          <w:bCs/>
          <w:color w:val="auto"/>
          <w:sz w:val="24"/>
          <w:szCs w:val="24"/>
          <w:highlight w:val="none"/>
        </w:rPr>
        <w:t>无；</w:t>
      </w:r>
      <w:r>
        <w:rPr>
          <w:rFonts w:hint="eastAsia" w:ascii="宋体" w:hAnsi="宋体" w:eastAsia="宋体" w:cs="宋体"/>
          <w:color w:val="auto"/>
          <w:szCs w:val="21"/>
          <w:highlight w:val="none"/>
        </w:rPr>
        <w:t>□有,</w:t>
      </w:r>
      <w:r>
        <w:rPr>
          <w:rFonts w:hint="eastAsia" w:ascii="宋体" w:hAnsi="宋体" w:eastAsia="宋体" w:cs="宋体"/>
          <w:color w:val="auto"/>
          <w:sz w:val="24"/>
          <w:szCs w:val="24"/>
          <w:highlight w:val="none"/>
        </w:rPr>
        <w:t>本合同签订后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rPr>
        <w:t>以合同暂定总价的</w:t>
      </w:r>
      <w:r>
        <w:rPr>
          <w:rFonts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rPr>
        <w:t>作为履约保证金，</w:t>
      </w:r>
      <w:r>
        <w:rPr>
          <w:rFonts w:hint="eastAsia" w:ascii="宋体" w:hAnsi="宋体" w:eastAsia="宋体" w:cs="宋体"/>
          <w:color w:val="auto"/>
          <w:sz w:val="24"/>
          <w:szCs w:val="24"/>
          <w:highlight w:val="none"/>
        </w:rPr>
        <w:t>金额为：…</w:t>
      </w:r>
      <w:r>
        <w:rPr>
          <w:rFonts w:hint="eastAsia" w:ascii="宋体" w:hAnsi="宋体" w:eastAsia="宋体" w:cs="宋体"/>
          <w:color w:val="auto"/>
          <w:sz w:val="24"/>
          <w:szCs w:val="24"/>
          <w:highlight w:val="none"/>
          <w:u w:val="single"/>
        </w:rPr>
        <w:t>（大写人民币：…），</w:t>
      </w:r>
      <w:r>
        <w:rPr>
          <w:rFonts w:hint="eastAsia" w:ascii="宋体" w:hAnsi="宋体" w:eastAsia="宋体" w:cs="宋体"/>
          <w:color w:val="auto"/>
          <w:sz w:val="24"/>
          <w:szCs w:val="24"/>
          <w:highlight w:val="none"/>
        </w:rPr>
        <w:t>未按时提供的，甲方有权解除合同并要求乙方支付</w:t>
      </w:r>
      <w:r>
        <w:rPr>
          <w:rFonts w:hint="eastAsia" w:ascii="宋体" w:hAnsi="宋体" w:eastAsia="宋体" w:cs="宋体"/>
          <w:color w:val="auto"/>
          <w:sz w:val="24"/>
          <w:szCs w:val="24"/>
          <w:highlight w:val="none"/>
          <w:u w:val="single"/>
        </w:rPr>
        <w:t>合同暂定总价</w:t>
      </w:r>
      <w:r>
        <w:rPr>
          <w:rFonts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rPr>
        <w:t>8.7.1</w:t>
      </w:r>
      <w:r>
        <w:rPr>
          <w:rFonts w:ascii="宋体" w:hAnsi="宋体" w:eastAsia="宋体" w:cs="Times New Roman"/>
          <w:color w:val="auto"/>
          <w:kern w:val="0"/>
          <w:sz w:val="24"/>
          <w:szCs w:val="24"/>
          <w:highlight w:val="none"/>
        </w:rPr>
        <w:t>履约担保</w:t>
      </w:r>
      <w:r>
        <w:rPr>
          <w:rFonts w:hint="eastAsia" w:ascii="宋体" w:hAnsi="宋体" w:eastAsia="宋体" w:cs="Times New Roman"/>
          <w:color w:val="auto"/>
          <w:kern w:val="0"/>
          <w:sz w:val="24"/>
          <w:szCs w:val="24"/>
          <w:highlight w:val="none"/>
        </w:rPr>
        <w:t>按以下任一种形式提供</w:t>
      </w:r>
      <w:r>
        <w:rPr>
          <w:rFonts w:ascii="宋体" w:hAnsi="宋体" w:eastAsia="宋体" w:cs="Times New Roman"/>
          <w:color w:val="auto"/>
          <w:kern w:val="0"/>
          <w:sz w:val="24"/>
          <w:szCs w:val="24"/>
          <w:highlight w:val="none"/>
        </w:rPr>
        <w:t>：</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（1）符合甲方要求（详见附件7保函格式）的银行独立保函，</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（2）现金转账至甲方以下指定账户：</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w:t>
      </w:r>
      <w:r>
        <w:rPr>
          <w:rFonts w:ascii="宋体" w:hAnsi="宋体" w:eastAsia="宋体" w:cs="宋体"/>
          <w:bCs/>
          <w:color w:val="auto"/>
          <w:sz w:val="24"/>
          <w:szCs w:val="24"/>
          <w:highlight w:val="none"/>
        </w:rPr>
        <w:t>82010154900000342</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8.7.2</w:t>
      </w:r>
      <w:r>
        <w:rPr>
          <w:rFonts w:hint="eastAsia" w:ascii="宋体" w:hAnsi="宋体" w:eastAsia="宋体" w:cs="宋体"/>
          <w:color w:val="auto"/>
          <w:sz w:val="24"/>
          <w:szCs w:val="24"/>
          <w:highlight w:val="none"/>
        </w:rPr>
        <w:t>履约担保的担保期限和返还</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ascii="宋体" w:hAnsi="宋体" w:eastAsia="宋体" w:cs="宋体"/>
          <w:color w:val="auto"/>
          <w:sz w:val="24"/>
          <w:szCs w:val="24"/>
          <w:highlight w:val="non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⑷现金履约保证金的退还：合同履行完成后，由乙方提出申请，甲方在28日内将剩余保证金（无息）返还。</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8.7.3</w:t>
      </w:r>
      <w:r>
        <w:rPr>
          <w:rFonts w:hint="eastAsia" w:ascii="宋体" w:hAnsi="宋体" w:eastAsia="宋体" w:cs="宋体"/>
          <w:color w:val="auto"/>
          <w:sz w:val="24"/>
          <w:szCs w:val="24"/>
          <w:highlight w:val="none"/>
        </w:rPr>
        <w:t>甲方按本合同规定提取履约担保金额后，乙方应在收到甲方通知后</w:t>
      </w:r>
      <w:r>
        <w:rPr>
          <w:rFonts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szCs w:val="24"/>
          <w:highlight w:val="none"/>
          <w:bdr w:val="single" w:color="auto" w:sz="4" w:space="0"/>
        </w:rPr>
      </w:pPr>
      <w:r>
        <w:rPr>
          <w:rFonts w:ascii="宋体" w:hAnsi="宋体" w:eastAsia="宋体" w:cs="宋体"/>
          <w:color w:val="auto"/>
          <w:sz w:val="24"/>
          <w:szCs w:val="24"/>
          <w:highlight w:val="none"/>
        </w:rPr>
        <w:t>8.8</w:t>
      </w:r>
      <w:r>
        <w:rPr>
          <w:rFonts w:hint="eastAsia" w:asciiTheme="minorEastAsia" w:hAnsiTheme="minorEastAsia" w:cstheme="minorEastAsia"/>
          <w:color w:val="auto"/>
          <w:sz w:val="24"/>
          <w:szCs w:val="24"/>
          <w:highlight w:val="none"/>
        </w:rPr>
        <w:t xml:space="preserve">付款方式： </w:t>
      </w:r>
      <w:r>
        <w:rPr>
          <w:rFonts w:ascii="宋体" w:hAnsi="宋体" w:eastAsia="宋体" w:cs="宋体"/>
          <w:bCs/>
          <w:color w:val="auto"/>
          <w:sz w:val="24"/>
          <w:highlight w:val="none"/>
        </w:rPr>
        <w:sym w:font="Wingdings" w:char="00FE"/>
      </w:r>
      <w:r>
        <w:rPr>
          <w:rFonts w:hint="eastAsia" w:asciiTheme="minorEastAsia" w:hAnsiTheme="minorEastAsia" w:cstheme="minorEastAsia"/>
          <w:color w:val="auto"/>
          <w:sz w:val="24"/>
          <w:szCs w:val="24"/>
          <w:highlight w:val="none"/>
        </w:rPr>
        <w:t xml:space="preserve">网银支付；  </w:t>
      </w:r>
      <w:r>
        <w:rPr>
          <w:rFonts w:hint="eastAsia" w:asciiTheme="minorEastAsia" w:hAnsiTheme="minorEastAsia" w:cstheme="minorEastAsia"/>
          <w:color w:val="auto"/>
          <w:sz w:val="24"/>
          <w:szCs w:val="24"/>
          <w:highlight w:val="none"/>
        </w:rPr>
        <w:sym w:font="Wingdings" w:char="00A8"/>
      </w:r>
      <w:r>
        <w:rPr>
          <w:rFonts w:hint="eastAsia" w:asciiTheme="minorEastAsia" w:hAnsiTheme="minorEastAsia" w:cstheme="minorEastAsia"/>
          <w:color w:val="auto"/>
          <w:sz w:val="24"/>
          <w:szCs w:val="24"/>
          <w:highlight w:val="none"/>
        </w:rPr>
        <w:t xml:space="preserve">支票；   </w:t>
      </w:r>
      <w:r>
        <w:rPr>
          <w:rFonts w:hint="eastAsia" w:asciiTheme="minorEastAsia" w:hAnsiTheme="minorEastAsia" w:cstheme="minorEastAsia"/>
          <w:color w:val="auto"/>
          <w:sz w:val="24"/>
          <w:szCs w:val="24"/>
          <w:highlight w:val="none"/>
        </w:rPr>
        <w:sym w:font="Wingdings" w:char="00A8"/>
      </w:r>
      <w:r>
        <w:rPr>
          <w:rFonts w:hint="eastAsia" w:asciiTheme="minorEastAsia" w:hAnsiTheme="minorEastAsia" w:cstheme="minorEastAsia"/>
          <w:color w:val="auto"/>
          <w:sz w:val="24"/>
          <w:szCs w:val="24"/>
          <w:highlight w:val="none"/>
        </w:rPr>
        <w:t>其他：</w:t>
      </w:r>
    </w:p>
    <w:p>
      <w:pPr>
        <w:spacing w:line="384" w:lineRule="auto"/>
        <w:ind w:firstLine="720" w:firstLineChars="30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（建议采用网银支付</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4"/>
          <w:highlight w:val="none"/>
        </w:rPr>
        <w:t>支票两种形式</w:t>
      </w:r>
      <w:r>
        <w:rPr>
          <w:rFonts w:hint="eastAsia" w:ascii="宋体" w:hAnsi="宋体" w:eastAsia="宋体" w:cs="宋体"/>
          <w:color w:val="auto"/>
          <w:sz w:val="24"/>
          <w:szCs w:val="21"/>
          <w:highlight w:val="none"/>
        </w:rPr>
        <w:t>中之一</w:t>
      </w:r>
      <w:r>
        <w:rPr>
          <w:rFonts w:hint="eastAsia" w:ascii="宋体" w:hAnsi="宋体" w:eastAsia="宋体" w:cs="宋体"/>
          <w:color w:val="auto"/>
          <w:sz w:val="24"/>
          <w:szCs w:val="24"/>
          <w:highlight w:val="none"/>
        </w:rPr>
        <w:t>）。</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第九条竣工验收</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9.1</w:t>
      </w:r>
      <w:r>
        <w:rPr>
          <w:rFonts w:hint="eastAsia" w:ascii="宋体" w:hAnsi="宋体" w:eastAsia="宋体" w:cs="宋体"/>
          <w:color w:val="auto"/>
          <w:sz w:val="24"/>
          <w:szCs w:val="24"/>
          <w:highlight w:val="none"/>
        </w:rPr>
        <w:t>乙方应在工程完工后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天内将经甲方审核的完整竣工资料（含竣工图）和竣工验收报告各</w:t>
      </w:r>
      <w:r>
        <w:rPr>
          <w:rFonts w:hint="eastAsia" w:ascii="宋体" w:hAnsi="宋体" w:eastAsia="宋体" w:cs="宋体"/>
          <w:color w:val="auto"/>
          <w:sz w:val="24"/>
          <w:szCs w:val="24"/>
          <w:highlight w:val="none"/>
          <w:u w:val="single"/>
        </w:rPr>
        <w:t>一式四份</w:t>
      </w:r>
      <w:r>
        <w:rPr>
          <w:rFonts w:hint="eastAsia" w:ascii="宋体" w:hAnsi="宋体" w:eastAsia="宋体" w:cs="宋体"/>
          <w:color w:val="auto"/>
          <w:sz w:val="24"/>
          <w:szCs w:val="24"/>
          <w:highlight w:val="none"/>
        </w:rPr>
        <w:t>交甲方，不按时报送工程竣工资料的，每逾期一天，甲方要求乙方支付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，并在支付合同款时抵扣。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9.2</w:t>
      </w:r>
      <w:r>
        <w:rPr>
          <w:rFonts w:hint="eastAsia" w:ascii="宋体" w:hAnsi="宋体" w:eastAsia="宋体" w:cs="宋体"/>
          <w:color w:val="auto"/>
          <w:sz w:val="24"/>
          <w:szCs w:val="24"/>
          <w:highlight w:val="none"/>
        </w:rPr>
        <w:t>甲方收到完整的竣工验收资料（完整的竣工验收资料：施工方案、开工</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竣工报告、安全备案整套资料、本合同书、询价文件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响应文件、中标通知书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委托书、工程预算送审报告、工程结算书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签证记录、备件开箱记录表或送货单、竣工图等，如有必须提供）和竣工验收报告后</w:t>
      </w:r>
      <w:r>
        <w:rPr>
          <w:rFonts w:ascii="宋体" w:hAnsi="宋体" w:eastAsia="宋体" w:cs="宋体"/>
          <w:color w:val="auto"/>
          <w:sz w:val="24"/>
          <w:szCs w:val="24"/>
          <w:highlight w:val="none"/>
        </w:rPr>
        <w:t>20</w:t>
      </w:r>
      <w:r>
        <w:rPr>
          <w:rFonts w:hint="eastAsia" w:ascii="宋体" w:hAnsi="宋体" w:eastAsia="宋体" w:cs="宋体"/>
          <w:color w:val="auto"/>
          <w:sz w:val="24"/>
          <w:szCs w:val="24"/>
          <w:highlight w:val="none"/>
        </w:rPr>
        <w:t>天内组织有关单位进行验收，工程竣工验收严格按国家、省、市、部门有关文件执行，并在验收后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天内给予认可或提出修改意见。乙方按要求修改，并承担修改的费用。</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9.3</w:t>
      </w:r>
      <w:r>
        <w:rPr>
          <w:rFonts w:hint="eastAsia" w:ascii="宋体" w:hAnsi="宋体" w:eastAsia="宋体" w:cs="宋体"/>
          <w:color w:val="auto"/>
          <w:sz w:val="24"/>
          <w:szCs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竣工档案的整理和移交</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）竣工文件资料、竣工图档案（原件）各一式四份；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）与本款（</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）项内容相同的电子版档案一式二份；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）乙方移交竣工档案的时限：乙方应于工程竣工验收后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天内将竣工档案提交甲方签认。乙方应于甲方签认后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天内将竣工档案移交给甲方归档并同时移交有关归档的证明文件。甲方经审查合格的，应在收到竣工档案后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天内签署档案验收意见；不合格的，乙方应按甲方要求限期补正，直至合格为止。乙方超过本条规定的时限，每逾期一天支付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违约金。</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u w:val="single"/>
        </w:rPr>
      </w:pPr>
      <w:r>
        <w:rPr>
          <w:rFonts w:hint="eastAsia" w:asciiTheme="minorEastAsia" w:hAnsiTheme="minorEastAsia" w:cstheme="minorEastAsia"/>
          <w:color w:val="auto"/>
          <w:kern w:val="0"/>
          <w:sz w:val="24"/>
          <w:szCs w:val="24"/>
          <w:highlight w:val="none"/>
        </w:rPr>
        <w:t>9.5本合同竣工验收结算单位为</w:t>
      </w:r>
      <w:r>
        <w:rPr>
          <w:rFonts w:hint="eastAsia" w:asciiTheme="minorEastAsia" w:hAnsiTheme="minorEastAsia" w:cstheme="minorEastAsia"/>
          <w:color w:val="auto"/>
          <w:kern w:val="0"/>
          <w:sz w:val="24"/>
          <w:szCs w:val="24"/>
          <w:highlight w:val="none"/>
          <w:u w:val="single"/>
        </w:rPr>
        <w:t xml:space="preserve">：    </w:t>
      </w:r>
    </w:p>
    <w:p>
      <w:pPr>
        <w:numPr>
          <w:ilvl w:val="0"/>
          <w:numId w:val="5"/>
        </w:numPr>
        <w:spacing w:before="120" w:after="156" w:afterLines="50" w:line="384" w:lineRule="auto"/>
        <w:ind w:firstLine="482" w:firstLineChars="200"/>
        <w:jc w:val="left"/>
        <w:rPr>
          <w:rFonts w:ascii="宋体" w:hAnsi="宋体" w:eastAsia="宋体" w:cs="宋体"/>
          <w:b/>
          <w:bCs/>
          <w:color w:val="auto"/>
          <w:sz w:val="24"/>
          <w:szCs w:val="24"/>
          <w:highlight w:val="none"/>
        </w:rPr>
      </w:pPr>
      <w:bookmarkStart w:id="162" w:name="_Toc474245220"/>
      <w:bookmarkStart w:id="163" w:name="_Toc518992994"/>
      <w:bookmarkStart w:id="164" w:name="_Toc520190034"/>
      <w:r>
        <w:rPr>
          <w:rFonts w:hint="eastAsia" w:ascii="宋体" w:hAnsi="宋体" w:eastAsia="宋体" w:cs="宋体"/>
          <w:b/>
          <w:bCs/>
          <w:color w:val="auto"/>
          <w:sz w:val="24"/>
          <w:szCs w:val="24"/>
          <w:highlight w:val="none"/>
        </w:rPr>
        <w:t>质量保证</w:t>
      </w:r>
      <w:bookmarkEnd w:id="162"/>
      <w:bookmarkEnd w:id="163"/>
      <w:bookmarkEnd w:id="164"/>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10.1</w:t>
      </w:r>
      <w:r>
        <w:rPr>
          <w:rFonts w:hint="eastAsia" w:ascii="宋体" w:hAnsi="宋体" w:eastAsia="宋体" w:cs="宋体"/>
          <w:color w:val="auto"/>
          <w:sz w:val="24"/>
          <w:szCs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eastAsia="宋体" w:cs="宋体"/>
          <w:color w:val="auto"/>
          <w:kern w:val="0"/>
          <w:sz w:val="24"/>
          <w:szCs w:val="24"/>
          <w:highlight w:val="none"/>
          <w:lang w:val="zh-CN"/>
        </w:rPr>
      </w:pPr>
      <w:r>
        <w:rPr>
          <w:rFonts w:ascii="宋体" w:hAnsi="宋体" w:eastAsia="宋体" w:cs="宋体"/>
          <w:bCs/>
          <w:color w:val="auto"/>
          <w:sz w:val="24"/>
          <w:szCs w:val="24"/>
          <w:highlight w:val="none"/>
        </w:rPr>
        <w:t xml:space="preserve">10.2 </w:t>
      </w:r>
      <w:r>
        <w:rPr>
          <w:rFonts w:hint="eastAsia" w:ascii="宋体" w:hAnsi="宋体" w:eastAsia="宋体" w:cs="宋体"/>
          <w:bCs/>
          <w:color w:val="auto"/>
          <w:sz w:val="24"/>
          <w:szCs w:val="24"/>
          <w:highlight w:val="none"/>
        </w:rPr>
        <w:t>本项目质量保修期为</w:t>
      </w:r>
      <w:r>
        <w:rPr>
          <w:rFonts w:hint="eastAsia" w:ascii="宋体" w:hAnsi="宋体" w:eastAsia="宋体" w:cs="宋体"/>
          <w:color w:val="auto"/>
          <w:kern w:val="0"/>
          <w:sz w:val="24"/>
          <w:szCs w:val="24"/>
          <w:highlight w:val="none"/>
          <w:lang w:val="zh-CN"/>
        </w:rPr>
        <w:t>自验收合格之日起</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lang w:val="zh-CN"/>
        </w:rPr>
        <w:t>年。</w:t>
      </w:r>
    </w:p>
    <w:p>
      <w:pPr>
        <w:spacing w:line="384" w:lineRule="auto"/>
        <w:ind w:firstLine="420" w:firstLineChars="175"/>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10.3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w:t>
      </w:r>
    </w:p>
    <w:p>
      <w:pPr>
        <w:spacing w:before="156" w:beforeLines="50" w:after="156" w:afterLines="50" w:line="384" w:lineRule="auto"/>
        <w:ind w:firstLine="422" w:firstLineChars="175"/>
        <w:jc w:val="left"/>
        <w:rPr>
          <w:rFonts w:ascii="宋体" w:hAnsi="宋体" w:eastAsia="宋体" w:cs="宋体"/>
          <w:color w:val="auto"/>
          <w:sz w:val="24"/>
          <w:szCs w:val="24"/>
          <w:highlight w:val="none"/>
        </w:rPr>
      </w:pPr>
      <w:bookmarkStart w:id="165" w:name="_Toc474245226"/>
      <w:bookmarkStart w:id="166" w:name="_Toc518993000"/>
      <w:bookmarkStart w:id="167" w:name="_Toc520190040"/>
      <w:bookmarkStart w:id="168" w:name="_Toc183666531"/>
      <w:bookmarkStart w:id="169" w:name="_Toc107447255"/>
      <w:bookmarkStart w:id="170" w:name="_Toc306350467"/>
      <w:bookmarkStart w:id="171" w:name="_Toc19692"/>
      <w:bookmarkStart w:id="172" w:name="_Toc107446862"/>
      <w:r>
        <w:rPr>
          <w:rFonts w:hint="eastAsia" w:ascii="宋体" w:hAnsi="宋体" w:eastAsia="宋体" w:cs="宋体"/>
          <w:b/>
          <w:bCs/>
          <w:color w:val="auto"/>
          <w:sz w:val="24"/>
          <w:szCs w:val="24"/>
          <w:highlight w:val="none"/>
        </w:rPr>
        <w:t>第十一条不可抗力</w:t>
      </w:r>
      <w:bookmarkEnd w:id="165"/>
      <w:bookmarkEnd w:id="166"/>
      <w:bookmarkEnd w:id="167"/>
      <w:bookmarkEnd w:id="168"/>
      <w:bookmarkEnd w:id="169"/>
      <w:bookmarkEnd w:id="170"/>
      <w:bookmarkEnd w:id="171"/>
      <w:bookmarkEnd w:id="172"/>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bookmarkStart w:id="173" w:name="_Toc183666532"/>
      <w:bookmarkStart w:id="174" w:name="_Toc12010"/>
      <w:bookmarkStart w:id="175" w:name="_Toc306350468"/>
      <w:r>
        <w:rPr>
          <w:rFonts w:ascii="宋体" w:hAnsi="宋体" w:eastAsia="宋体" w:cs="宋体"/>
          <w:bCs/>
          <w:color w:val="auto"/>
          <w:sz w:val="24"/>
          <w:szCs w:val="24"/>
          <w:highlight w:val="none"/>
        </w:rPr>
        <w:t xml:space="preserve">11.1 </w:t>
      </w:r>
      <w:r>
        <w:rPr>
          <w:rFonts w:hint="eastAsia" w:ascii="宋体" w:hAnsi="宋体" w:eastAsia="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w:t>
      </w:r>
      <w:r>
        <w:rPr>
          <w:rFonts w:ascii="宋体" w:hAnsi="宋体" w:eastAsia="宋体" w:cs="宋体"/>
          <w:bCs/>
          <w:color w:val="auto"/>
          <w:sz w:val="24"/>
          <w:szCs w:val="24"/>
          <w:highlight w:val="none"/>
        </w:rPr>
        <w:t>(如：非典型性肺炎等)或瘟疫；</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11.2 </w:t>
      </w:r>
      <w:r>
        <w:rPr>
          <w:rFonts w:hint="eastAsia" w:ascii="宋体" w:hAnsi="宋体" w:eastAsia="宋体" w:cs="宋体"/>
          <w:bCs/>
          <w:color w:val="auto"/>
          <w:sz w:val="24"/>
          <w:szCs w:val="24"/>
          <w:highlight w:val="none"/>
        </w:rPr>
        <w:t>声称受到不可抗力影响的一方，应在发生不可抗力或知道发生不可抗力之后</w:t>
      </w:r>
      <w:r>
        <w:rPr>
          <w:rFonts w:ascii="宋体" w:hAnsi="宋体" w:eastAsia="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11.3 </w:t>
      </w:r>
      <w:r>
        <w:rPr>
          <w:rFonts w:hint="eastAsia" w:ascii="宋体" w:hAnsi="宋体" w:eastAsia="宋体" w:cs="宋体"/>
          <w:bCs/>
          <w:color w:val="auto"/>
          <w:sz w:val="24"/>
          <w:szCs w:val="24"/>
          <w:highlight w:val="none"/>
        </w:rPr>
        <w:t>因不可抗力导致合同无法履行的时间自该不可抗力发生日起连续超过玖拾</w:t>
      </w:r>
      <w:r>
        <w:rPr>
          <w:rFonts w:ascii="宋体" w:hAnsi="宋体" w:eastAsia="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11.4 </w:t>
      </w:r>
      <w:r>
        <w:rPr>
          <w:rFonts w:hint="eastAsia" w:ascii="宋体" w:hAnsi="宋体" w:eastAsia="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6" w:name="_Toc518993001"/>
      <w:bookmarkStart w:id="177" w:name="_Toc118172294"/>
      <w:bookmarkStart w:id="178" w:name="_Toc107447257"/>
      <w:bookmarkStart w:id="179" w:name="_Toc107446864"/>
      <w:bookmarkStart w:id="180" w:name="_Toc474245227"/>
      <w:bookmarkStart w:id="181" w:name="_Toc520190041"/>
    </w:p>
    <w:p>
      <w:pPr>
        <w:spacing w:before="156" w:beforeLines="50" w:after="156" w:afterLines="50"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十二条争议解决</w:t>
      </w:r>
      <w:bookmarkEnd w:id="173"/>
      <w:bookmarkEnd w:id="174"/>
      <w:bookmarkEnd w:id="175"/>
      <w:bookmarkEnd w:id="176"/>
      <w:bookmarkEnd w:id="177"/>
      <w:bookmarkEnd w:id="178"/>
      <w:bookmarkEnd w:id="179"/>
      <w:bookmarkEnd w:id="180"/>
      <w:bookmarkEnd w:id="181"/>
    </w:p>
    <w:p>
      <w:pPr>
        <w:spacing w:line="384" w:lineRule="auto"/>
        <w:ind w:firstLine="482"/>
        <w:rPr>
          <w:rFonts w:ascii="宋体" w:hAnsi="宋体" w:eastAsia="宋体" w:cs="宋体"/>
          <w:bCs/>
          <w:color w:val="auto"/>
          <w:sz w:val="24"/>
          <w:szCs w:val="24"/>
          <w:highlight w:val="none"/>
        </w:rPr>
      </w:pPr>
      <w:bookmarkStart w:id="182" w:name="_Toc183666533"/>
      <w:bookmarkStart w:id="183" w:name="_Toc306350469"/>
      <w:r>
        <w:rPr>
          <w:rFonts w:ascii="宋体" w:hAnsi="宋体" w:eastAsia="宋体" w:cs="宋体"/>
          <w:bCs/>
          <w:color w:val="auto"/>
          <w:sz w:val="24"/>
          <w:szCs w:val="24"/>
          <w:highlight w:val="none"/>
        </w:rPr>
        <w:t xml:space="preserve">12.1 </w:t>
      </w:r>
      <w:r>
        <w:rPr>
          <w:rFonts w:hint="eastAsia" w:ascii="宋体" w:hAnsi="宋体" w:eastAsia="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eastAsia="宋体" w:cs="宋体"/>
          <w:color w:val="auto"/>
          <w:sz w:val="24"/>
          <w:szCs w:val="24"/>
          <w:highlight w:val="none"/>
        </w:rPr>
      </w:pPr>
      <w:r>
        <w:rPr>
          <w:rFonts w:ascii="宋体" w:hAnsi="宋体" w:eastAsia="宋体" w:cs="宋体"/>
          <w:bCs/>
          <w:color w:val="auto"/>
          <w:sz w:val="24"/>
          <w:szCs w:val="24"/>
          <w:highlight w:val="none"/>
        </w:rPr>
        <w:t xml:space="preserve">12.2 </w:t>
      </w:r>
      <w:r>
        <w:rPr>
          <w:rFonts w:hint="eastAsia" w:ascii="宋体" w:hAnsi="宋体" w:eastAsia="宋体" w:cs="宋体"/>
          <w:color w:val="auto"/>
          <w:sz w:val="24"/>
          <w:szCs w:val="24"/>
          <w:highlight w:val="none"/>
        </w:rPr>
        <w:t>在甲方同意的情况下，除有争端之外的合同其它部分在争端解决前应继续执行。</w:t>
      </w:r>
      <w:bookmarkEnd w:id="182"/>
      <w:bookmarkEnd w:id="183"/>
      <w:bookmarkStart w:id="184" w:name="_Toc520190043"/>
      <w:bookmarkStart w:id="185" w:name="_Toc518993003"/>
      <w:bookmarkStart w:id="186" w:name="_Toc474245229"/>
    </w:p>
    <w:p>
      <w:pPr>
        <w:spacing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w:t>
      </w:r>
      <w:bookmarkStart w:id="187" w:name="_Toc107446871"/>
      <w:bookmarkStart w:id="188" w:name="_Toc107447264"/>
      <w:r>
        <w:rPr>
          <w:rFonts w:hint="eastAsia" w:ascii="宋体" w:hAnsi="宋体" w:eastAsia="宋体" w:cs="宋体"/>
          <w:b/>
          <w:bCs/>
          <w:color w:val="auto"/>
          <w:sz w:val="24"/>
          <w:szCs w:val="24"/>
          <w:highlight w:val="none"/>
        </w:rPr>
        <w:t>合同生效及其他</w:t>
      </w:r>
      <w:bookmarkEnd w:id="184"/>
      <w:bookmarkEnd w:id="185"/>
      <w:bookmarkEnd w:id="186"/>
      <w:bookmarkEnd w:id="187"/>
      <w:bookmarkEnd w:id="188"/>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13.1</w:t>
      </w:r>
      <w:r>
        <w:rPr>
          <w:rFonts w:hint="eastAsia" w:ascii="宋体" w:hAnsi="宋体" w:eastAsia="宋体" w:cs="宋体"/>
          <w:color w:val="auto"/>
          <w:sz w:val="24"/>
          <w:szCs w:val="24"/>
          <w:highlight w:val="none"/>
        </w:rPr>
        <w:t>本合同经双方法定代表人或授权代表签字并加盖双方公章后生效</w:t>
      </w:r>
      <w:r>
        <w:rPr>
          <w:rFonts w:ascii="宋体" w:hAnsi="宋体" w:eastAsia="宋体" w:cs="宋体"/>
          <w:color w:val="auto"/>
          <w:sz w:val="24"/>
          <w:szCs w:val="24"/>
          <w:highlight w:val="none"/>
        </w:rPr>
        <w:t>.</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13.2</w:t>
      </w:r>
      <w:r>
        <w:rPr>
          <w:rFonts w:hint="eastAsia" w:ascii="宋体" w:hAnsi="宋体" w:eastAsia="宋体" w:cs="宋体"/>
          <w:color w:val="auto"/>
          <w:sz w:val="24"/>
          <w:szCs w:val="24"/>
          <w:highlight w:val="none"/>
        </w:rPr>
        <w:t>本合同正文一式六份，其中：甲方四份，乙方二份。</w:t>
      </w:r>
    </w:p>
    <w:p>
      <w:pPr>
        <w:spacing w:line="384" w:lineRule="auto"/>
        <w:ind w:firstLine="48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3补充条款</w:t>
      </w:r>
      <w:r>
        <w:rPr>
          <w:rFonts w:hint="eastAsia" w:ascii="宋体" w:hAnsi="宋体" w:eastAsia="宋体" w:cs="宋体"/>
          <w:color w:val="auto"/>
          <w:sz w:val="24"/>
          <w:szCs w:val="24"/>
          <w:highlight w:val="none"/>
          <w:u w:val="single"/>
        </w:rPr>
        <w:t>：…</w:t>
      </w: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成交通知书/委托函（如有）</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2.廉洁协议</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3.不诚信行为的情形及相应被暂停参与投标活动的处理标准</w:t>
      </w:r>
    </w:p>
    <w:p>
      <w:pPr>
        <w:spacing w:line="384"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营运场所施工安全协议书（具体以安全办通知为准）</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工程量清单</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报价</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6</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项目投入人员架构表</w:t>
      </w:r>
      <w:r>
        <w:rPr>
          <w:rFonts w:ascii="宋体" w:hAnsi="宋体" w:eastAsia="宋体" w:cs="宋体"/>
          <w:color w:val="auto"/>
          <w:sz w:val="24"/>
          <w:szCs w:val="24"/>
          <w:highlight w:val="none"/>
        </w:rPr>
        <w:t xml:space="preserve"> </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7.</w:t>
      </w:r>
      <w:r>
        <w:rPr>
          <w:rFonts w:hint="eastAsia" w:ascii="宋体" w:hAnsi="宋体" w:eastAsia="宋体" w:cs="宋体"/>
          <w:color w:val="auto"/>
          <w:sz w:val="24"/>
          <w:szCs w:val="24"/>
          <w:highlight w:val="none"/>
        </w:rPr>
        <w:t>履约保函（模板）</w:t>
      </w:r>
    </w:p>
    <w:p>
      <w:pPr>
        <w:spacing w:line="360" w:lineRule="auto"/>
        <w:ind w:firstLine="720" w:firstLineChars="300"/>
        <w:rPr>
          <w:rFonts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rPr>
        <w:t>8.</w:t>
      </w:r>
      <w:r>
        <w:rPr>
          <w:rFonts w:hint="eastAsia" w:asciiTheme="minorEastAsia" w:hAnsiTheme="minorEastAsia" w:cstheme="minorEastAsia"/>
          <w:color w:val="auto"/>
          <w:sz w:val="24"/>
          <w:szCs w:val="24"/>
          <w:highlight w:val="none"/>
        </w:rPr>
        <w:t>应急救援物资清单（如需）</w:t>
      </w:r>
    </w:p>
    <w:p>
      <w:pPr>
        <w:spacing w:line="360"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9.授权委托证明（如需）</w:t>
      </w:r>
    </w:p>
    <w:p>
      <w:pPr>
        <w:adjustRightInd w:val="0"/>
        <w:snapToGrid w:val="0"/>
        <w:ind w:firstLine="720" w:firstLineChars="300"/>
        <w:rPr>
          <w:rFonts w:ascii="宋体" w:hAnsi="宋体" w:eastAsia="宋体" w:cs="宋体"/>
          <w:color w:val="auto"/>
          <w:sz w:val="24"/>
          <w:szCs w:val="24"/>
          <w:highlight w:val="none"/>
        </w:rPr>
      </w:pPr>
    </w:p>
    <w:p>
      <w:pPr>
        <w:spacing w:line="384" w:lineRule="auto"/>
        <w:ind w:firstLine="720" w:firstLineChars="300"/>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 或                         法定代表人或</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                         授权代理人：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签署日期：年月日                    签署日期：年月日</w:t>
      </w: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  中标通知书/发包通知书/委托函（如有）</w:t>
      </w:r>
    </w:p>
    <w:p>
      <w:pPr>
        <w:spacing w:line="360" w:lineRule="auto"/>
        <w:rPr>
          <w:rFonts w:ascii="宋体" w:hAnsi="宋体" w:eastAsia="宋体" w:cs="宋体"/>
          <w:b/>
          <w:bCs/>
          <w:color w:val="auto"/>
          <w:szCs w:val="21"/>
          <w:highlight w:val="none"/>
        </w:rPr>
      </w:pPr>
      <w:bookmarkStart w:id="189" w:name="_Toc387080836"/>
      <w:bookmarkStart w:id="190" w:name="_Toc389815339"/>
      <w:bookmarkStart w:id="191" w:name="_Toc389815031"/>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spacing w:after="120" w:line="560" w:lineRule="exact"/>
        <w:ind w:left="420" w:left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1、扣除主合同的全部履约保证金；</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2、解除主合同；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3、追究乙方其他违约责任；</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4、根据甲方的有关规章制度，在一定时间内暂停乙方参与甲方及下属单位所有项目的交易资格；</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5、根据甲方的有关规章制度，将乙方清退出甲方相关企业库；</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6、根据甲方上级单位、行政主管部门的意见、决定执行；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tabs>
          <w:tab w:val="left" w:pos="5100"/>
        </w:tabs>
        <w:spacing w:line="560" w:lineRule="exact"/>
        <w:ind w:left="720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rPr>
          <w:rFonts w:ascii="仿宋_GB2312" w:hAnsi="仿宋_GB2312" w:eastAsia="仿宋_GB2312" w:cs="仿宋_GB2312"/>
          <w:bCs/>
          <w:color w:val="auto"/>
          <w:sz w:val="28"/>
          <w:szCs w:val="28"/>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附件3.</w:t>
      </w:r>
      <w:r>
        <w:rPr>
          <w:rFonts w:hint="eastAsia" w:ascii="宋体" w:hAnsi="宋体" w:eastAsia="宋体" w:cs="宋体"/>
          <w:color w:val="auto"/>
          <w:szCs w:val="21"/>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tbl>
      <w:tblPr>
        <w:tblStyle w:val="20"/>
        <w:tblpPr w:leftFromText="180" w:rightFromText="180" w:vertAnchor="text" w:horzAnchor="page" w:tblpX="1200" w:tblpY="618"/>
        <w:tblOverlap w:val="never"/>
        <w:tblW w:w="10694" w:type="dxa"/>
        <w:tblInd w:w="0" w:type="dxa"/>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缺安全架构扣合同金额的10%或2000；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缺安全架构扣合同金额的2%或1万；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缺安全架构扣合同金额的1%或2万；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扣合同金额的0.5%～1%；</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扣合同金额的0.3%～0.4%；</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pStyle w:val="2"/>
        <w:ind w:firstLine="0"/>
        <w:rPr>
          <w:rFonts w:cs="宋体"/>
          <w:b/>
          <w:bCs/>
          <w:color w:val="auto"/>
          <w:highlight w:val="none"/>
        </w:rPr>
      </w:pPr>
    </w:p>
    <w:p>
      <w:pPr>
        <w:pStyle w:val="2"/>
        <w:ind w:firstLine="0"/>
        <w:rPr>
          <w:rFonts w:cs="宋体"/>
          <w:b/>
          <w:bCs/>
          <w:color w:val="auto"/>
          <w:highlight w:val="none"/>
        </w:rPr>
      </w:pPr>
    </w:p>
    <w:tbl>
      <w:tblPr>
        <w:tblStyle w:val="20"/>
        <w:tblW w:w="9300"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缺安全架构扣5～10分/项；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注：1、综合考评满分100分，各考评项目扣分不设上限；</w:t>
            </w:r>
            <w:r>
              <w:rPr>
                <w:rFonts w:hint="eastAsia"/>
                <w:color w:val="auto"/>
                <w:sz w:val="13"/>
                <w:szCs w:val="13"/>
                <w:highlight w:val="none"/>
              </w:rPr>
              <w:br w:type="textWrapping"/>
            </w:r>
            <w:r>
              <w:rPr>
                <w:rFonts w:hint="eastAsia"/>
                <w:color w:val="auto"/>
                <w:sz w:val="13"/>
                <w:szCs w:val="13"/>
                <w:highlight w:val="none"/>
              </w:rPr>
              <w:t xml:space="preserve">    2、监理单位考评只作为参考及履职依据，不计入考评，无监理单位不需填写；</w:t>
            </w:r>
            <w:r>
              <w:rPr>
                <w:rFonts w:hint="eastAsia"/>
                <w:color w:val="auto"/>
                <w:sz w:val="13"/>
                <w:szCs w:val="13"/>
                <w:highlight w:val="none"/>
              </w:rPr>
              <w:br w:type="textWrapping"/>
            </w:r>
            <w:r>
              <w:rPr>
                <w:rFonts w:hint="eastAsia"/>
                <w:color w:val="auto"/>
                <w:sz w:val="13"/>
                <w:szCs w:val="13"/>
                <w:highlight w:val="none"/>
              </w:rPr>
              <w:t xml:space="preserve">    3、“公司考评”业务主管部门和安全办针对本部门检查发现的内容进行扣（奖）分，项目部已经进行扣（奖）分的不重复执行；</w:t>
            </w:r>
            <w:r>
              <w:rPr>
                <w:rFonts w:hint="eastAsia"/>
                <w:color w:val="auto"/>
                <w:sz w:val="13"/>
                <w:szCs w:val="13"/>
                <w:highlight w:val="none"/>
              </w:rPr>
              <w:br w:type="textWrapping"/>
            </w:r>
            <w:r>
              <w:rPr>
                <w:rFonts w:hint="eastAsia"/>
                <w:color w:val="auto"/>
                <w:sz w:val="13"/>
                <w:szCs w:val="13"/>
                <w:highlight w:val="none"/>
              </w:rPr>
              <w:t xml:space="preserve">    4、各分公司考评填写相应的得（扣）分数值，如奖2分则填写“2”，扣2分则填写“-2”；</w:t>
            </w:r>
            <w:r>
              <w:rPr>
                <w:rFonts w:hint="eastAsia"/>
                <w:color w:val="auto"/>
                <w:sz w:val="13"/>
                <w:szCs w:val="13"/>
                <w:highlight w:val="none"/>
              </w:rPr>
              <w:br w:type="textWrapping"/>
            </w:r>
            <w:r>
              <w:rPr>
                <w:rFonts w:hint="eastAsia"/>
                <w:color w:val="auto"/>
                <w:sz w:val="13"/>
                <w:szCs w:val="13"/>
                <w:highlight w:val="none"/>
              </w:rPr>
              <w:t xml:space="preserve">    5、单项“综合考评”=项目部考评+公司考评；综合考评总分=各单项“综合考评”+100</w:t>
            </w:r>
            <w:r>
              <w:rPr>
                <w:rFonts w:hint="eastAsia"/>
                <w:color w:val="auto"/>
                <w:sz w:val="13"/>
                <w:szCs w:val="13"/>
                <w:highlight w:val="none"/>
              </w:rPr>
              <w:br w:type="textWrapping"/>
            </w:r>
            <w:r>
              <w:rPr>
                <w:rFonts w:hint="eastAsia"/>
                <w:color w:val="auto"/>
                <w:sz w:val="13"/>
                <w:szCs w:val="13"/>
                <w:highlight w:val="none"/>
              </w:rPr>
              <w:t xml:space="preserve">    6、最后得分=综合考评总分X类别系数；</w:t>
            </w:r>
            <w:r>
              <w:rPr>
                <w:rFonts w:hint="eastAsia"/>
                <w:color w:val="auto"/>
                <w:sz w:val="13"/>
                <w:szCs w:val="13"/>
                <w:highlight w:val="none"/>
              </w:rPr>
              <w:br w:type="textWrapping"/>
            </w: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spacing w:line="360" w:lineRule="auto"/>
        <w:rPr>
          <w:rFonts w:ascii="宋体" w:hAnsi="宋体" w:eastAsia="宋体" w:cs="Times New Roman"/>
          <w:b/>
          <w:color w:val="auto"/>
          <w:sz w:val="24"/>
          <w:szCs w:val="24"/>
          <w:highlight w:val="none"/>
        </w:rPr>
      </w:pPr>
    </w:p>
    <w:p>
      <w:pPr>
        <w:spacing w:line="360" w:lineRule="auto"/>
        <w:rPr>
          <w:rFonts w:ascii="宋体" w:hAnsi="宋体" w:eastAsia="宋体" w:cs="宋体"/>
          <w:b/>
          <w:color w:val="auto"/>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附件4：</w:t>
      </w:r>
      <w:bookmarkEnd w:id="189"/>
      <w:bookmarkEnd w:id="190"/>
      <w:bookmarkEnd w:id="191"/>
      <w:r>
        <w:rPr>
          <w:rFonts w:hint="eastAsia" w:ascii="宋体" w:hAnsi="宋体" w:eastAsia="宋体" w:cs="宋体"/>
          <w:b/>
          <w:color w:val="auto"/>
          <w:szCs w:val="21"/>
          <w:highlight w:val="none"/>
        </w:rPr>
        <w:t>安全管理协议书</w:t>
      </w:r>
    </w:p>
    <w:p>
      <w:pPr>
        <w:spacing w:line="360" w:lineRule="auto"/>
        <w:jc w:val="center"/>
        <w:rPr>
          <w:rFonts w:ascii="宋体" w:hAnsi="宋体" w:eastAsia="宋体" w:cs="宋体"/>
          <w:b/>
          <w:bCs/>
          <w:color w:val="auto"/>
          <w:sz w:val="24"/>
          <w:szCs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p>
    <w:p>
      <w:pPr>
        <w:spacing w:line="560" w:lineRule="exact"/>
        <w:rPr>
          <w:rFonts w:ascii="宋体" w:hAnsi="宋体" w:eastAsia="宋体" w:cs="Arial"/>
          <w:color w:val="auto"/>
          <w:kern w:val="0"/>
          <w:sz w:val="24"/>
          <w:szCs w:val="24"/>
          <w:highlight w:val="none"/>
        </w:rPr>
      </w:pPr>
      <w:bookmarkStart w:id="192" w:name="_Toc21391"/>
      <w:r>
        <w:rPr>
          <w:rFonts w:hint="eastAsia" w:ascii="宋体" w:hAnsi="宋体" w:eastAsia="宋体" w:cs="Arial"/>
          <w:color w:val="auto"/>
          <w:kern w:val="0"/>
          <w:sz w:val="24"/>
          <w:szCs w:val="24"/>
          <w:highlight w:val="none"/>
        </w:rPr>
        <w:t>甲方：</w:t>
      </w:r>
      <w:r>
        <w:rPr>
          <w:rFonts w:hint="eastAsia" w:ascii="Times New Roman" w:hAnsi="Times New Roman" w:eastAsia="宋体" w:cs="Times New Roman"/>
          <w:color w:val="auto"/>
          <w:sz w:val="24"/>
          <w:szCs w:val="24"/>
          <w:highlight w:val="none"/>
        </w:rPr>
        <w:t>广州市净水有限公司</w:t>
      </w:r>
    </w:p>
    <w:p>
      <w:pPr>
        <w:spacing w:line="560" w:lineRule="exac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 xml:space="preserve">乙方： </w:t>
      </w:r>
    </w:p>
    <w:p>
      <w:pPr>
        <w:adjustRightInd w:val="0"/>
        <w:snapToGrid w:val="0"/>
        <w:spacing w:line="560" w:lineRule="exact"/>
        <w:jc w:val="left"/>
        <w:rPr>
          <w:rFonts w:cs="Times New Roman" w:asciiTheme="minorEastAsia" w:hAnsiTheme="minorEastAsia"/>
          <w:bCs/>
          <w:color w:val="auto"/>
          <w:sz w:val="24"/>
          <w:szCs w:val="24"/>
          <w:highlight w:val="none"/>
          <w:u w:val="single"/>
        </w:rPr>
      </w:pPr>
    </w:p>
    <w:bookmarkEnd w:id="192"/>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一、本协议与主合同的关系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本协议作为</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的组成部分，与主合同具有同等法律效力。</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cs="Times New Roman" w:asciiTheme="minorEastAsia" w:hAnsiTheme="minorEastAsia"/>
          <w:b/>
          <w:color w:val="auto"/>
          <w:sz w:val="24"/>
          <w:szCs w:val="24"/>
          <w:highlight w:val="none"/>
        </w:rPr>
        <w:t xml:space="preserve"> 二、</w:t>
      </w:r>
      <w:r>
        <w:rPr>
          <w:rFonts w:hint="eastAsia" w:cs="Times New Roman" w:asciiTheme="minorEastAsia" w:hAnsiTheme="minorEastAsia"/>
          <w:b/>
          <w:color w:val="auto"/>
          <w:sz w:val="24"/>
          <w:szCs w:val="24"/>
          <w:highlight w:val="none"/>
        </w:rPr>
        <w:t>甲方权责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（三）要求乙方遵守的甲方安全管理要求。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1.</w:t>
      </w:r>
      <w:r>
        <w:rPr>
          <w:rFonts w:hint="eastAsia" w:cs="Times New Roman" w:asciiTheme="minorEastAsia" w:hAnsiTheme="minorEastAsia"/>
          <w:color w:val="auto"/>
          <w:sz w:val="24"/>
          <w:szCs w:val="24"/>
          <w:highlight w:val="none"/>
        </w:rPr>
        <w:t>按主合同相关条款进行经济扣罚；</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2.</w:t>
      </w:r>
      <w:r>
        <w:rPr>
          <w:rFonts w:hint="eastAsia" w:cs="Times New Roman" w:asciiTheme="minorEastAsia" w:hAnsiTheme="minorEastAsia"/>
          <w:color w:val="auto"/>
          <w:sz w:val="24"/>
          <w:szCs w:val="24"/>
          <w:highlight w:val="none"/>
        </w:rPr>
        <w:t>根据《广州市水务局关于印发广州市水务工程施工和监理企业诚信评价管理办法的通知》（穗水建设〔2</w:t>
      </w:r>
      <w:r>
        <w:rPr>
          <w:rFonts w:cs="Times New Roman" w:asciiTheme="minorEastAsia" w:hAnsiTheme="minorEastAsia"/>
          <w:color w:val="auto"/>
          <w:sz w:val="24"/>
          <w:szCs w:val="24"/>
          <w:highlight w:val="none"/>
        </w:rPr>
        <w:t>014</w:t>
      </w:r>
      <w:r>
        <w:rPr>
          <w:rFonts w:hint="eastAsia" w:cs="Times New Roman" w:asciiTheme="minorEastAsia" w:hAnsiTheme="minorEastAsia"/>
          <w:color w:val="auto"/>
          <w:sz w:val="24"/>
          <w:szCs w:val="24"/>
          <w:highlight w:val="none"/>
        </w:rPr>
        <w:t>〕1</w:t>
      </w:r>
      <w:r>
        <w:rPr>
          <w:rFonts w:cs="Times New Roman" w:asciiTheme="minorEastAsia" w:hAnsiTheme="minorEastAsia"/>
          <w:color w:val="auto"/>
          <w:sz w:val="24"/>
          <w:szCs w:val="24"/>
          <w:highlight w:val="none"/>
        </w:rPr>
        <w:t>0</w:t>
      </w:r>
      <w:r>
        <w:rPr>
          <w:rFonts w:hint="eastAsia" w:cs="Times New Roman" w:asciiTheme="minorEastAsia" w:hAnsiTheme="minorEastAsia"/>
          <w:color w:val="auto"/>
          <w:sz w:val="24"/>
          <w:szCs w:val="24"/>
          <w:highlight w:val="none"/>
        </w:rPr>
        <w:t>号）、《市净水公司关于印发施工和监理企业诚信评价工作实施办法的通知》（穗净水〔201</w:t>
      </w:r>
      <w:r>
        <w:rPr>
          <w:rFonts w:cs="Times New Roman" w:asciiTheme="minorEastAsia" w:hAnsiTheme="minorEastAsia"/>
          <w:color w:val="auto"/>
          <w:sz w:val="24"/>
          <w:szCs w:val="24"/>
          <w:highlight w:val="none"/>
        </w:rPr>
        <w:t>5</w:t>
      </w:r>
      <w:r>
        <w:rPr>
          <w:rFonts w:hint="eastAsia" w:cs="Times New Roman" w:asciiTheme="minorEastAsia" w:hAnsiTheme="minorEastAsia"/>
          <w:color w:val="auto"/>
          <w:sz w:val="24"/>
          <w:szCs w:val="24"/>
          <w:highlight w:val="none"/>
        </w:rPr>
        <w:t>〕2</w:t>
      </w:r>
      <w:r>
        <w:rPr>
          <w:rFonts w:cs="Times New Roman" w:asciiTheme="minorEastAsia" w:hAnsiTheme="minorEastAsia"/>
          <w:color w:val="auto"/>
          <w:sz w:val="24"/>
          <w:szCs w:val="24"/>
          <w:highlight w:val="none"/>
        </w:rPr>
        <w:t>40</w:t>
      </w:r>
      <w:r>
        <w:rPr>
          <w:rFonts w:hint="eastAsia" w:cs="Times New Roman" w:asciiTheme="minorEastAsia" w:hAnsiTheme="minorEastAsia"/>
          <w:color w:val="auto"/>
          <w:sz w:val="24"/>
          <w:szCs w:val="24"/>
          <w:highlight w:val="none"/>
        </w:rPr>
        <w:t>号），进行诚信扣分（合同期内有新的文件印发的，按照最新的文件执行）；</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w:t>
      </w:r>
      <w:r>
        <w:rPr>
          <w:rFonts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rPr>
        <w:t>限制投保，或经其他单位承包后以分别方参与项目实施；</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4.</w:t>
      </w:r>
      <w:r>
        <w:rPr>
          <w:rFonts w:hint="eastAsia" w:cs="Times New Roman" w:asciiTheme="minorEastAsia" w:hAnsiTheme="minorEastAsia"/>
          <w:color w:val="auto"/>
          <w:sz w:val="24"/>
          <w:szCs w:val="24"/>
          <w:highlight w:val="none"/>
        </w:rPr>
        <w:t>向上级进行反映，包括但不限于广东省市政行业协会、广州市市政公路协会等。</w:t>
      </w:r>
    </w:p>
    <w:p>
      <w:pPr>
        <w:spacing w:line="560" w:lineRule="exact"/>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三、乙方权责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（三）乙方应在合同签订后</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四、事故责任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2" w:firstLineChars="200"/>
        <w:rPr>
          <w:rFonts w:cs="Times New Roman" w:asciiTheme="minorEastAsia" w:hAnsiTheme="minorEastAsia"/>
          <w:color w:val="auto"/>
          <w:sz w:val="24"/>
          <w:szCs w:val="24"/>
          <w:highlight w:val="none"/>
        </w:rPr>
      </w:pPr>
      <w:r>
        <w:rPr>
          <w:rFonts w:hint="eastAsia" w:cs="Times New Roman" w:asciiTheme="minorEastAsia" w:hAnsiTheme="minorEastAsia"/>
          <w:b/>
          <w:color w:val="auto"/>
          <w:sz w:val="24"/>
          <w:szCs w:val="24"/>
          <w:highlight w:val="none"/>
        </w:rPr>
        <w:t>五、补充条款：</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六、附则</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cs="Times New Roman" w:hAnsiTheme="minorEastAsia"/>
          <w:color w:val="auto"/>
          <w:sz w:val="24"/>
          <w:szCs w:val="24"/>
          <w:highlight w:val="none"/>
        </w:rPr>
      </w:pP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甲方：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ind w:firstLine="240" w:firstLineChars="100"/>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c>
          <w:tcPr>
            <w:tcW w:w="4474"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乙方：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r>
    </w:tbl>
    <w:p>
      <w:pPr>
        <w:widowControl/>
        <w:spacing w:line="560" w:lineRule="exact"/>
        <w:ind w:firstLine="1560" w:firstLineChars="650"/>
        <w:jc w:val="left"/>
        <w:rPr>
          <w:rFonts w:ascii="宋体" w:hAnsi="宋体" w:eastAsia="宋体" w:cs="宋体"/>
          <w:color w:val="auto"/>
          <w:kern w:val="0"/>
          <w:sz w:val="24"/>
          <w:szCs w:val="24"/>
          <w:highlight w:val="none"/>
        </w:rPr>
      </w:pP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附件5：</w:t>
      </w:r>
    </w:p>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工程量报价</w:t>
      </w:r>
    </w:p>
    <w:tbl>
      <w:tblPr>
        <w:tblStyle w:val="20"/>
        <w:tblW w:w="8188" w:type="dxa"/>
        <w:tblInd w:w="0" w:type="dxa"/>
        <w:tblLayout w:type="autofit"/>
        <w:tblCellMar>
          <w:top w:w="0" w:type="dxa"/>
          <w:left w:w="108" w:type="dxa"/>
          <w:bottom w:w="0" w:type="dxa"/>
          <w:right w:w="108" w:type="dxa"/>
        </w:tblCellMar>
      </w:tblPr>
      <w:tblGrid>
        <w:gridCol w:w="1668"/>
        <w:gridCol w:w="4239"/>
        <w:gridCol w:w="430"/>
        <w:gridCol w:w="433"/>
        <w:gridCol w:w="708"/>
        <w:gridCol w:w="710"/>
      </w:tblGrid>
      <w:tr>
        <w:trPr>
          <w:trHeight w:val="402" w:hRule="atLeast"/>
        </w:trPr>
        <w:tc>
          <w:tcPr>
            <w:tcW w:w="81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沥滘分公司</w:t>
            </w:r>
          </w:p>
        </w:tc>
      </w:tr>
      <w:tr>
        <w:tblPrEx>
          <w:tblCellMar>
            <w:top w:w="0" w:type="dxa"/>
            <w:left w:w="108" w:type="dxa"/>
            <w:bottom w:w="0" w:type="dxa"/>
            <w:right w:w="108" w:type="dxa"/>
          </w:tblCellMar>
        </w:tblPrEx>
        <w:trPr>
          <w:trHeight w:val="3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名称</w:t>
            </w:r>
          </w:p>
        </w:tc>
        <w:tc>
          <w:tcPr>
            <w:tcW w:w="42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产品描述</w:t>
            </w:r>
          </w:p>
        </w:tc>
        <w:tc>
          <w:tcPr>
            <w:tcW w:w="4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数量</w:t>
            </w:r>
          </w:p>
        </w:tc>
        <w:tc>
          <w:tcPr>
            <w:tcW w:w="4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单位</w:t>
            </w:r>
          </w:p>
        </w:tc>
        <w:tc>
          <w:tcPr>
            <w:tcW w:w="708"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型号</w:t>
            </w:r>
          </w:p>
        </w:tc>
        <w:tc>
          <w:tcPr>
            <w:tcW w:w="710"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品牌</w:t>
            </w:r>
          </w:p>
        </w:tc>
      </w:tr>
      <w:tr>
        <w:trPr>
          <w:trHeight w:val="603"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数字中继台</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UHF:400-470MHz；数模两用；信道容量</w:t>
            </w:r>
            <w:r>
              <w:rPr>
                <w:rFonts w:ascii="仿宋" w:hAnsi="仿宋" w:eastAsia="仿宋" w:cs="宋体"/>
                <w:color w:val="auto"/>
                <w:kern w:val="0"/>
                <w:sz w:val="18"/>
                <w:szCs w:val="18"/>
                <w:highlight w:val="none"/>
              </w:rPr>
              <w:t>64</w:t>
            </w:r>
            <w:r>
              <w:rPr>
                <w:rFonts w:hint="eastAsia" w:ascii="仿宋" w:hAnsi="仿宋" w:eastAsia="仿宋" w:cs="宋体"/>
                <w:color w:val="auto"/>
                <w:kern w:val="0"/>
                <w:sz w:val="18"/>
                <w:szCs w:val="18"/>
                <w:highlight w:val="none"/>
              </w:rPr>
              <w:t>；功率50W；工作电压100-240V（交流）。</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3</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双工器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上行频率400-470MHz，下行频率400-470MHz</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光纤近端机</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频率400-470MHz，4光口，1U机架式。</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光纤远端机</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频率400-470MHz，1光口。</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2</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室外全向天线</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室内全向天线</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室内定向天线</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功率分配器</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350-520MHz，二功分。</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耦合分配器</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50-520MHz，耦合度：6/10/15/20/30。</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避雷器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0-6GHz，NM-NF接头。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机柜</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22U标准机柜，600×800×1200。含2个PDU插座</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系统调试</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系统安装调试</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套</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8188" w:type="dxa"/>
            <w:gridSpan w:val="6"/>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西朗二期分公司</w:t>
            </w: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数字中继台</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UHF:400-470MHz；数模两用；信道容量</w:t>
            </w:r>
            <w:r>
              <w:rPr>
                <w:rFonts w:ascii="仿宋" w:hAnsi="仿宋" w:eastAsia="仿宋" w:cs="宋体"/>
                <w:color w:val="auto"/>
                <w:kern w:val="0"/>
                <w:sz w:val="18"/>
                <w:szCs w:val="18"/>
                <w:highlight w:val="none"/>
              </w:rPr>
              <w:t>64</w:t>
            </w:r>
            <w:r>
              <w:rPr>
                <w:rFonts w:hint="eastAsia" w:ascii="仿宋" w:hAnsi="仿宋" w:eastAsia="仿宋" w:cs="宋体"/>
                <w:color w:val="auto"/>
                <w:kern w:val="0"/>
                <w:sz w:val="18"/>
                <w:szCs w:val="18"/>
                <w:highlight w:val="none"/>
              </w:rPr>
              <w:t>；功率50W；工作电压100-240V（交流）。</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2</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双工器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上行频率400-470MHz，下行频率400-470MHz</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光纤近端机</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频率400-470MHz，4光口，1U机架式。</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光纤远端机</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频率400-470MHz，1光口。</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2</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室外全向天线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室内全向天线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室内定向天线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功率分配器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350-520MHz，二功分。</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耦合分配器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50-520MHz，耦合度：6/10/15/20/30。</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避雷器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0-6GHz，NM-NF接头。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机柜</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22U标准机柜，600×800×1200。含2个PDU插座</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系统调试</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系统安装调试</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套</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rPr>
          <w:trHeight w:val="402" w:hRule="atLeast"/>
        </w:trPr>
        <w:tc>
          <w:tcPr>
            <w:tcW w:w="8188" w:type="dxa"/>
            <w:gridSpan w:val="6"/>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京溪分公司</w:t>
            </w: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数字中继台</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UHF:400-470MHz；数模两用；信道容量</w:t>
            </w:r>
            <w:r>
              <w:rPr>
                <w:rFonts w:ascii="仿宋" w:hAnsi="仿宋" w:eastAsia="仿宋" w:cs="宋体"/>
                <w:color w:val="auto"/>
                <w:kern w:val="0"/>
                <w:sz w:val="18"/>
                <w:szCs w:val="18"/>
                <w:highlight w:val="none"/>
              </w:rPr>
              <w:t>64</w:t>
            </w:r>
            <w:r>
              <w:rPr>
                <w:rFonts w:hint="eastAsia" w:ascii="仿宋" w:hAnsi="仿宋" w:eastAsia="仿宋" w:cs="宋体"/>
                <w:color w:val="auto"/>
                <w:kern w:val="0"/>
                <w:sz w:val="18"/>
                <w:szCs w:val="18"/>
                <w:highlight w:val="none"/>
              </w:rPr>
              <w:t>；功率50W；工作电压100-240V（交流）。</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2</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双工器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上行频率400-470MHz，下行频率400-470MHz</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光纤近端机</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频率400-470MHz，4光口，1U机架式。</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光纤远端机</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频率400-470MHz，1光口。</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2</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室外全向天线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室内全向天线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室内定向天线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功率分配器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350-520MHz，二功分。</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耦合分配器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50-520MHz，耦合度：6/10/15/20/30。</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避雷器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0-6GHz，NM-NF接头。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机柜</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22U标准机柜，600×800×1200。含2个PDU插座</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系统调试</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系统安装调试</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套</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820" w:hRule="atLeast"/>
        </w:trPr>
        <w:tc>
          <w:tcPr>
            <w:tcW w:w="6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highlight w:val="none"/>
              </w:rPr>
            </w:pPr>
            <w:r>
              <w:rPr>
                <w:rFonts w:hint="eastAsia"/>
                <w:color w:val="auto"/>
                <w:sz w:val="24"/>
                <w:szCs w:val="28"/>
                <w:highlight w:val="none"/>
              </w:rPr>
              <w:t>含税金额合计（元）</w:t>
            </w:r>
          </w:p>
        </w:tc>
        <w:tc>
          <w:tcPr>
            <w:tcW w:w="1418" w:type="dxa"/>
            <w:gridSpan w:val="2"/>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bl>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pStyle w:val="2"/>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附件6 ：项目投入人员架构表</w:t>
      </w:r>
    </w:p>
    <w:tbl>
      <w:tblPr>
        <w:tblStyle w:val="2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附件7：履约保函（模板）</w:t>
      </w:r>
    </w:p>
    <w:p>
      <w:pPr>
        <w:jc w:val="center"/>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履约保函模板</w:t>
      </w:r>
    </w:p>
    <w:p>
      <w:pPr>
        <w:rPr>
          <w:rFonts w:cs="Times New Roman" w:asciiTheme="minorEastAsia" w:hAnsiTheme="minorEastAsia"/>
          <w:color w:val="auto"/>
          <w:sz w:val="24"/>
          <w:szCs w:val="24"/>
          <w:highlight w:val="none"/>
        </w:rPr>
      </w:pPr>
    </w:p>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致：</w:t>
      </w:r>
      <w:r>
        <w:rPr>
          <w:rFonts w:hint="eastAsia" w:cs="Times New Roman" w:asciiTheme="minorEastAsia" w:hAnsiTheme="minorEastAsia"/>
          <w:color w:val="auto"/>
          <w:sz w:val="24"/>
          <w:szCs w:val="24"/>
          <w:highlight w:val="none"/>
          <w:u w:val="single"/>
        </w:rPr>
        <w:t xml:space="preserve">               （受益人）</w:t>
      </w:r>
      <w:r>
        <w:rPr>
          <w:rFonts w:cs="Times New Roman" w:asciiTheme="minorEastAsia" w:hAnsiTheme="minorEastAsia"/>
          <w:color w:val="auto"/>
          <w:sz w:val="24"/>
          <w:szCs w:val="24"/>
          <w:highlight w:val="none"/>
        </w:rPr>
        <w:br w:type="textWrapping"/>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鉴于（以下简称“委托人”）与贵方于</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二、贵单位的索赔申请应符合下述条件：</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（一）贵单位法定代表人或其授权代表签字并加盖单位公章；</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（二）在保函有效期内送达我行；</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（三）明确的索赔金额（不得超过本保函第一条所列之限额）。</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三、本保函自签发之日起生效，有效期至</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。本保函于下述任一事项发生之时立即失效，我行在本保函项下的保证义务即刻解除：</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（一）本保函有效期限届满；</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（二）我行保证的义务履行完毕。</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五、我行向你方支付索赔金额后，本保函担保金额即按贵方通知的索赔金额予以递减。</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六、保函失效后请将保函退回我行注销，无论正本最终退回与否，不影响本保函依上述约定自动失效。</w:t>
      </w:r>
    </w:p>
    <w:p>
      <w:pPr>
        <w:ind w:firstLine="420"/>
        <w:rPr>
          <w:rFonts w:cs="Times New Roman" w:asciiTheme="minorEastAsia" w:hAnsiTheme="minorEastAsia"/>
          <w:color w:val="auto"/>
          <w:sz w:val="24"/>
          <w:szCs w:val="24"/>
          <w:highlight w:val="none"/>
        </w:rPr>
      </w:pP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 xml:space="preserve">                                                   落款</w:t>
      </w:r>
    </w:p>
    <w:p>
      <w:pPr>
        <w:ind w:firstLine="420"/>
        <w:rPr>
          <w:rFonts w:cs="Times New Roman" w:asciiTheme="minorEastAsia" w:hAnsiTheme="minorEastAsia"/>
          <w:color w:val="auto"/>
          <w:sz w:val="24"/>
          <w:szCs w:val="24"/>
          <w:highlight w:val="none"/>
        </w:rPr>
      </w:pPr>
    </w:p>
    <w:p>
      <w:pPr>
        <w:ind w:firstLine="645"/>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保函说明：</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保函不得有下列或类似含义的表述：</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1.银行承担的为连带责任保证、一般保证。</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3.合同撤销或无效的，保函失效。</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4.申请人对受益人的抗辩，银行有权向受益人主张。</w:t>
      </w:r>
    </w:p>
    <w:p>
      <w:pPr>
        <w:ind w:firstLine="645"/>
        <w:rPr>
          <w:rFonts w:cs="Times New Roman"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5.受益人请求付款的请款单据包含法院裁判文书、仲裁裁决、第三方单位出具的鉴定书等申请人违约的证明材料。</w:t>
      </w: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pStyle w:val="2"/>
        <w:rPr>
          <w:color w:val="auto"/>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jc w:val="both"/>
        <w:rPr>
          <w:color w:val="auto"/>
          <w:highlight w:val="none"/>
        </w:rPr>
      </w:pPr>
      <w:bookmarkStart w:id="193" w:name="_Toc21847"/>
      <w:bookmarkStart w:id="194" w:name="_Toc30824"/>
      <w:bookmarkStart w:id="195" w:name="_Toc28358"/>
      <w:bookmarkStart w:id="196" w:name="_Toc12169"/>
      <w:bookmarkStart w:id="197" w:name="_Toc3723"/>
      <w:bookmarkStart w:id="198" w:name="_Toc8147"/>
      <w:bookmarkStart w:id="199" w:name="_Toc16552"/>
      <w:bookmarkStart w:id="200" w:name="_Toc6230"/>
      <w:bookmarkStart w:id="201" w:name="_Toc5129"/>
      <w:bookmarkStart w:id="202" w:name="_Toc1563"/>
      <w:bookmarkStart w:id="203" w:name="_Toc23515"/>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E/iIPv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w64ENcAAAAJAQAADwAAAAAAAAABACAAAAAiAAAAZHJzL2Rvd25yZXYueG1sUEsBAhQAFAAA&#10;AAgAh07iQDBnXnvwAQAA4wMAAA4AAAAAAAAAAQAgAAAAJg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93"/>
      <w:bookmarkEnd w:id="194"/>
      <w:bookmarkEnd w:id="195"/>
      <w:bookmarkEnd w:id="196"/>
      <w:bookmarkEnd w:id="197"/>
      <w:bookmarkEnd w:id="198"/>
      <w:bookmarkEnd w:id="199"/>
      <w:bookmarkEnd w:id="200"/>
      <w:bookmarkEnd w:id="201"/>
      <w:bookmarkEnd w:id="202"/>
      <w:bookmarkEnd w:id="203"/>
    </w:p>
    <w:p>
      <w:pPr>
        <w:pStyle w:val="32"/>
        <w:rPr>
          <w:color w:val="auto"/>
          <w:highlight w:val="none"/>
        </w:rPr>
      </w:pPr>
    </w:p>
    <w:p>
      <w:pPr>
        <w:pStyle w:val="4"/>
        <w:rPr>
          <w:color w:val="auto"/>
          <w:highlight w:val="none"/>
        </w:rPr>
      </w:pPr>
      <w:bookmarkStart w:id="204" w:name="_Toc87616388"/>
      <w:bookmarkStart w:id="205" w:name="_Toc12769"/>
      <w:bookmarkStart w:id="206" w:name="_Toc24815"/>
      <w:bookmarkStart w:id="207" w:name="_Toc21675"/>
      <w:bookmarkStart w:id="208" w:name="_Toc22764"/>
      <w:bookmarkStart w:id="209" w:name="_Toc30157"/>
      <w:bookmarkStart w:id="210" w:name="_Toc31564"/>
      <w:bookmarkStart w:id="211" w:name="_Toc12610"/>
      <w:bookmarkStart w:id="212" w:name="_Toc24490"/>
      <w:bookmarkStart w:id="213" w:name="_Toc17119"/>
      <w:bookmarkStart w:id="214" w:name="_Toc88209951"/>
      <w:bookmarkStart w:id="215" w:name="_Toc5342"/>
      <w:bookmarkStart w:id="216" w:name="_Toc10840"/>
      <w:r>
        <w:rPr>
          <w:rFonts w:hint="eastAsia"/>
          <w:color w:val="auto"/>
          <w:highlight w:val="none"/>
        </w:rPr>
        <w:t>响应文件格式要求</w:t>
      </w:r>
      <w:bookmarkEnd w:id="204"/>
      <w:bookmarkEnd w:id="205"/>
      <w:bookmarkEnd w:id="206"/>
      <w:bookmarkEnd w:id="207"/>
      <w:bookmarkEnd w:id="208"/>
      <w:bookmarkEnd w:id="209"/>
      <w:bookmarkEnd w:id="210"/>
      <w:bookmarkEnd w:id="211"/>
      <w:bookmarkEnd w:id="212"/>
      <w:bookmarkEnd w:id="213"/>
      <w:bookmarkEnd w:id="214"/>
      <w:bookmarkEnd w:id="215"/>
      <w:bookmarkEnd w:id="21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217" w:name="_Toc87616389"/>
      <w:bookmarkStart w:id="218" w:name="_Toc88209952"/>
      <w:r>
        <w:rPr>
          <w:rFonts w:hint="eastAsia" w:ascii="仿宋_GB2312" w:eastAsia="仿宋_GB2312"/>
          <w:color w:val="auto"/>
          <w:sz w:val="28"/>
          <w:szCs w:val="28"/>
          <w:highlight w:val="none"/>
        </w:rPr>
        <w:t>1.响应函</w:t>
      </w:r>
      <w:bookmarkEnd w:id="217"/>
      <w:bookmarkEnd w:id="218"/>
    </w:p>
    <w:p>
      <w:pPr>
        <w:spacing w:line="600" w:lineRule="exact"/>
        <w:rPr>
          <w:rFonts w:ascii="仿宋_GB2312" w:eastAsia="仿宋_GB2312"/>
          <w:color w:val="auto"/>
          <w:sz w:val="28"/>
          <w:szCs w:val="28"/>
          <w:highlight w:val="none"/>
        </w:rPr>
      </w:pPr>
      <w:bookmarkStart w:id="219" w:name="_Toc88209953"/>
      <w:bookmarkStart w:id="220" w:name="_Toc87616390"/>
      <w:r>
        <w:rPr>
          <w:rFonts w:hint="eastAsia" w:ascii="仿宋_GB2312" w:eastAsia="仿宋_GB2312"/>
          <w:color w:val="auto"/>
          <w:sz w:val="28"/>
          <w:szCs w:val="28"/>
          <w:highlight w:val="none"/>
        </w:rPr>
        <w:t>2.法定代表人证明或授权委托书</w:t>
      </w:r>
      <w:bookmarkEnd w:id="219"/>
      <w:bookmarkEnd w:id="220"/>
      <w:bookmarkStart w:id="221" w:name="_Toc87616393"/>
      <w:bookmarkStart w:id="22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221"/>
      <w:bookmarkEnd w:id="222"/>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rFonts w:ascii="宋体" w:eastAsia="等线"/>
          <w:sz w:val="24"/>
          <w:szCs w:val="24"/>
        </w:rPr>
      </w:pPr>
    </w:p>
    <w:p>
      <w:pPr>
        <w:pStyle w:val="6"/>
        <w:rPr>
          <w:rFonts w:asciiTheme="minorEastAsia" w:hAnsiTheme="minorEastAsia" w:eastAsiaTheme="minorEastAsia"/>
          <w:color w:val="auto"/>
          <w:sz w:val="28"/>
          <w:szCs w:val="28"/>
          <w:highlight w:val="none"/>
        </w:rPr>
      </w:pPr>
      <w:bookmarkStart w:id="223" w:name="_Toc87616394"/>
      <w:bookmarkStart w:id="224" w:name="_Toc12665"/>
      <w:bookmarkStart w:id="225" w:name="_Toc88209957"/>
      <w:bookmarkStart w:id="226" w:name="_Toc6313"/>
      <w:bookmarkStart w:id="227" w:name="_Toc28619645"/>
      <w:r>
        <w:rPr>
          <w:rFonts w:hint="eastAsia" w:asciiTheme="minorEastAsia" w:hAnsiTheme="minorEastAsia" w:eastAsiaTheme="minorEastAsia"/>
          <w:color w:val="auto"/>
          <w:sz w:val="28"/>
          <w:szCs w:val="28"/>
          <w:highlight w:val="none"/>
        </w:rPr>
        <w:t>1.响应函</w:t>
      </w:r>
      <w:bookmarkEnd w:id="223"/>
      <w:bookmarkEnd w:id="224"/>
      <w:bookmarkEnd w:id="225"/>
      <w:bookmarkEnd w:id="226"/>
      <w:bookmarkEnd w:id="2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3.</w:t>
      </w:r>
      <w:r>
        <w:rPr>
          <w:rFonts w:hint="eastAsia" w:ascii="仿宋_GB2312" w:hAnsi="黑体" w:eastAsia="仿宋_GB2312"/>
          <w:color w:val="auto"/>
          <w:sz w:val="28"/>
          <w:szCs w:val="28"/>
          <w:highlight w:val="none"/>
          <w:u w:val="singl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228" w:name="_Toc22527"/>
      <w:bookmarkStart w:id="229" w:name="_Toc88209958"/>
      <w:bookmarkStart w:id="230" w:name="_Toc29833"/>
      <w:bookmarkStart w:id="231"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228"/>
      <w:bookmarkEnd w:id="229"/>
      <w:bookmarkEnd w:id="230"/>
      <w:bookmarkEnd w:id="23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4"/>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3"/>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2"/>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232" w:name="_Toc87616400"/>
      <w:bookmarkStart w:id="233" w:name="_Toc8086"/>
      <w:bookmarkStart w:id="234" w:name="_Toc19830"/>
      <w:bookmarkStart w:id="235"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232"/>
      <w:bookmarkEnd w:id="233"/>
      <w:bookmarkEnd w:id="234"/>
      <w:bookmarkEnd w:id="23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236"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236"/>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237" w:name="_Toc32430"/>
      <w:bookmarkStart w:id="238" w:name="_Toc19423"/>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237"/>
      <w:bookmarkEnd w:id="238"/>
    </w:p>
    <w:p>
      <w:pPr>
        <w:ind w:firstLine="560" w:firstLineChars="20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本项目承包方式为总价包干，</w:t>
      </w:r>
      <w:r>
        <w:rPr>
          <w:rFonts w:hint="eastAsia" w:ascii="仿宋_GB2312" w:eastAsia="仿宋_GB2312" w:hAnsiTheme="minorEastAsia"/>
          <w:color w:val="auto"/>
          <w:sz w:val="28"/>
          <w:szCs w:val="28"/>
          <w:highlight w:val="none"/>
        </w:rPr>
        <w:t>请根</w:t>
      </w:r>
      <w:bookmarkStart w:id="243" w:name="_GoBack"/>
      <w:bookmarkEnd w:id="243"/>
      <w:r>
        <w:rPr>
          <w:rFonts w:hint="eastAsia" w:ascii="仿宋_GB2312" w:eastAsia="仿宋_GB2312" w:hAnsiTheme="minorEastAsia"/>
          <w:color w:val="auto"/>
          <w:sz w:val="28"/>
          <w:szCs w:val="28"/>
          <w:highlight w:val="none"/>
        </w:rPr>
        <w:t>据厂区设备清单提供报价，并请考虑实际施工过程中为了达到对讲机信号的全面覆盖有可能增加天线的分布</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（设备清单仅作为报价参考）</w:t>
      </w:r>
    </w:p>
    <w:tbl>
      <w:tblPr>
        <w:tblStyle w:val="20"/>
        <w:tblW w:w="8188" w:type="dxa"/>
        <w:tblInd w:w="0" w:type="dxa"/>
        <w:tblLayout w:type="autofit"/>
        <w:tblCellMar>
          <w:top w:w="0" w:type="dxa"/>
          <w:left w:w="108" w:type="dxa"/>
          <w:bottom w:w="0" w:type="dxa"/>
          <w:right w:w="108" w:type="dxa"/>
        </w:tblCellMar>
      </w:tblPr>
      <w:tblGrid>
        <w:gridCol w:w="1668"/>
        <w:gridCol w:w="4239"/>
        <w:gridCol w:w="430"/>
        <w:gridCol w:w="433"/>
        <w:gridCol w:w="708"/>
        <w:gridCol w:w="710"/>
      </w:tblGrid>
      <w:tr>
        <w:tblPrEx>
          <w:tblCellMar>
            <w:top w:w="0" w:type="dxa"/>
            <w:left w:w="108" w:type="dxa"/>
            <w:bottom w:w="0" w:type="dxa"/>
            <w:right w:w="108" w:type="dxa"/>
          </w:tblCellMar>
        </w:tblPrEx>
        <w:trPr>
          <w:trHeight w:val="402" w:hRule="atLeast"/>
        </w:trPr>
        <w:tc>
          <w:tcPr>
            <w:tcW w:w="81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沥滘分公司</w:t>
            </w:r>
          </w:p>
        </w:tc>
      </w:tr>
      <w:tr>
        <w:tblPrEx>
          <w:tblCellMar>
            <w:top w:w="0" w:type="dxa"/>
            <w:left w:w="108" w:type="dxa"/>
            <w:bottom w:w="0" w:type="dxa"/>
            <w:right w:w="108" w:type="dxa"/>
          </w:tblCellMar>
        </w:tblPrEx>
        <w:trPr>
          <w:trHeight w:val="359"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名称</w:t>
            </w:r>
          </w:p>
        </w:tc>
        <w:tc>
          <w:tcPr>
            <w:tcW w:w="42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产品描述</w:t>
            </w:r>
          </w:p>
        </w:tc>
        <w:tc>
          <w:tcPr>
            <w:tcW w:w="4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数量</w:t>
            </w:r>
          </w:p>
        </w:tc>
        <w:tc>
          <w:tcPr>
            <w:tcW w:w="4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单位</w:t>
            </w:r>
          </w:p>
        </w:tc>
        <w:tc>
          <w:tcPr>
            <w:tcW w:w="708"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型号</w:t>
            </w:r>
          </w:p>
        </w:tc>
        <w:tc>
          <w:tcPr>
            <w:tcW w:w="710"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品牌</w:t>
            </w:r>
          </w:p>
        </w:tc>
      </w:tr>
      <w:tr>
        <w:tblPrEx>
          <w:tblCellMar>
            <w:top w:w="0" w:type="dxa"/>
            <w:left w:w="108" w:type="dxa"/>
            <w:bottom w:w="0" w:type="dxa"/>
            <w:right w:w="108" w:type="dxa"/>
          </w:tblCellMar>
        </w:tblPrEx>
        <w:trPr>
          <w:trHeight w:val="603"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数字中继台</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UHF:400-470MHz；数模两用；信道容量</w:t>
            </w:r>
            <w:r>
              <w:rPr>
                <w:rFonts w:ascii="仿宋" w:hAnsi="仿宋" w:eastAsia="仿宋" w:cs="宋体"/>
                <w:color w:val="auto"/>
                <w:kern w:val="0"/>
                <w:sz w:val="18"/>
                <w:szCs w:val="18"/>
                <w:highlight w:val="none"/>
              </w:rPr>
              <w:t>64</w:t>
            </w:r>
            <w:r>
              <w:rPr>
                <w:rFonts w:hint="eastAsia" w:ascii="仿宋" w:hAnsi="仿宋" w:eastAsia="仿宋" w:cs="宋体"/>
                <w:color w:val="auto"/>
                <w:kern w:val="0"/>
                <w:sz w:val="18"/>
                <w:szCs w:val="18"/>
                <w:highlight w:val="none"/>
              </w:rPr>
              <w:t>；功率50W；工作电压100-240V（交流）。</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3</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双工器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上行频率400-470MHz，下行频率400-470MHz</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光纤近端机</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频率400-470MHz，4光口，1U机架式。</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光纤远端机</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频率400-470MHz，1光口。</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2</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室外全向天线</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室内全向天线</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室内定向天线</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功率分配器</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350-520MHz，二功分。</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耦合分配器</w:t>
            </w:r>
          </w:p>
        </w:tc>
        <w:tc>
          <w:tcPr>
            <w:tcW w:w="4239"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50-520MHz，耦合度：6/10/15/20/30。</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避雷器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0-6GHz，NM-NF接头。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机柜</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22U标准机柜，600×800×1200。含2个PDU插座</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系统调试</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系统安装调试</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套</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8188" w:type="dxa"/>
            <w:gridSpan w:val="6"/>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西朗二期分公司</w:t>
            </w: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数字中继台</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UHF:400-470MHz；数模两用；信道容量</w:t>
            </w:r>
            <w:r>
              <w:rPr>
                <w:rFonts w:ascii="仿宋" w:hAnsi="仿宋" w:eastAsia="仿宋" w:cs="宋体"/>
                <w:color w:val="auto"/>
                <w:kern w:val="0"/>
                <w:sz w:val="18"/>
                <w:szCs w:val="18"/>
                <w:highlight w:val="none"/>
              </w:rPr>
              <w:t>64</w:t>
            </w:r>
            <w:r>
              <w:rPr>
                <w:rFonts w:hint="eastAsia" w:ascii="仿宋" w:hAnsi="仿宋" w:eastAsia="仿宋" w:cs="宋体"/>
                <w:color w:val="auto"/>
                <w:kern w:val="0"/>
                <w:sz w:val="18"/>
                <w:szCs w:val="18"/>
                <w:highlight w:val="none"/>
              </w:rPr>
              <w:t>；功率50W；工作电压100-240V（交流）。</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2</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双工器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上行频率400-470MHz，下行频率400-470MHz</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光纤近端机</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频率400-470MHz，4光口，1U机架式。</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光纤远端机</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频率400-470MHz，1光口。</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2</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室外全向天线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室内全向天线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室内定向天线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功率分配器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350-520MHz，二功分。</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耦合分配器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50-520MHz，耦合度：6/10/15/20/30。</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避雷器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0-6GHz，NM-NF接头。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机柜</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22U标准机柜，600×800×1200。含2个PDU插座</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系统调试</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系统安装调试</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套</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8188" w:type="dxa"/>
            <w:gridSpan w:val="6"/>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京溪分公司</w:t>
            </w: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数字中继台</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UHF:400-470MHz；数模两用；信道容量</w:t>
            </w:r>
            <w:r>
              <w:rPr>
                <w:rFonts w:ascii="仿宋" w:hAnsi="仿宋" w:eastAsia="仿宋" w:cs="宋体"/>
                <w:color w:val="auto"/>
                <w:kern w:val="0"/>
                <w:sz w:val="18"/>
                <w:szCs w:val="18"/>
                <w:highlight w:val="none"/>
              </w:rPr>
              <w:t>64</w:t>
            </w:r>
            <w:r>
              <w:rPr>
                <w:rFonts w:hint="eastAsia" w:ascii="仿宋" w:hAnsi="仿宋" w:eastAsia="仿宋" w:cs="宋体"/>
                <w:color w:val="auto"/>
                <w:kern w:val="0"/>
                <w:sz w:val="18"/>
                <w:szCs w:val="18"/>
                <w:highlight w:val="none"/>
              </w:rPr>
              <w:t>；功率50W；工作电压100-240V（交流）。</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2</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双工器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上行频率400-470MHz，下行频率400-470MHz</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光纤近端机</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频率400-470MHz，4光口，1U机架式。</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光纤远端机</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频率400-470MHz，1光口。</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2</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室外全向天线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室内全向天线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室内定向天线</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400-470MHz，接头：N型母头。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功率分配器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350-520MHz，二功分。</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耦合分配器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50-520MHz，耦合度：6/10/15/20/30。</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批</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b/>
                <w:bCs/>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避雷器</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0-6GHz，NM-NF接头。</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机柜</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18"/>
                <w:szCs w:val="18"/>
                <w:highlight w:val="none"/>
              </w:rPr>
            </w:pPr>
            <w:r>
              <w:rPr>
                <w:rFonts w:hint="eastAsia" w:ascii="仿宋" w:hAnsi="仿宋" w:eastAsia="仿宋" w:cs="宋体"/>
                <w:color w:val="auto"/>
                <w:kern w:val="0"/>
                <w:sz w:val="18"/>
                <w:szCs w:val="18"/>
                <w:highlight w:val="none"/>
              </w:rPr>
              <w:t>22U标准机柜，600×800×1200。含2个PDU插座</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台</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402" w:hRule="atLeast"/>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系统调试</w:t>
            </w:r>
          </w:p>
        </w:tc>
        <w:tc>
          <w:tcPr>
            <w:tcW w:w="423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系统安装调试</w:t>
            </w:r>
          </w:p>
        </w:tc>
        <w:tc>
          <w:tcPr>
            <w:tcW w:w="43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p>
        </w:tc>
        <w:tc>
          <w:tcPr>
            <w:tcW w:w="43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套</w:t>
            </w:r>
          </w:p>
        </w:tc>
        <w:tc>
          <w:tcPr>
            <w:tcW w:w="708"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c>
          <w:tcPr>
            <w:tcW w:w="710" w:type="dxa"/>
            <w:tcBorders>
              <w:top w:val="nil"/>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r>
        <w:tblPrEx>
          <w:tblCellMar>
            <w:top w:w="0" w:type="dxa"/>
            <w:left w:w="108" w:type="dxa"/>
            <w:bottom w:w="0" w:type="dxa"/>
            <w:right w:w="108" w:type="dxa"/>
          </w:tblCellMar>
        </w:tblPrEx>
        <w:trPr>
          <w:trHeight w:val="820" w:hRule="atLeast"/>
        </w:trPr>
        <w:tc>
          <w:tcPr>
            <w:tcW w:w="6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highlight w:val="none"/>
              </w:rPr>
            </w:pPr>
            <w:bookmarkStart w:id="239" w:name="_Toc87616402"/>
            <w:bookmarkStart w:id="240" w:name="_Toc6058"/>
            <w:bookmarkStart w:id="241" w:name="_Toc88209965"/>
            <w:bookmarkStart w:id="242" w:name="_Toc16386"/>
            <w:r>
              <w:rPr>
                <w:rFonts w:hint="eastAsia"/>
                <w:color w:val="auto"/>
                <w:sz w:val="24"/>
                <w:szCs w:val="28"/>
                <w:highlight w:val="none"/>
              </w:rPr>
              <w:t>含税金额合计（元）</w:t>
            </w:r>
          </w:p>
        </w:tc>
        <w:tc>
          <w:tcPr>
            <w:tcW w:w="1418" w:type="dxa"/>
            <w:gridSpan w:val="2"/>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auto"/>
                <w:kern w:val="0"/>
                <w:szCs w:val="21"/>
                <w:highlight w:val="none"/>
              </w:rPr>
            </w:pPr>
          </w:p>
        </w:tc>
      </w:tr>
    </w:tbl>
    <w:p>
      <w:pPr>
        <w:pStyle w:val="6"/>
        <w:rPr>
          <w:rFonts w:asciiTheme="majorEastAsia" w:hAnsiTheme="majorEastAsia" w:eastAsiaTheme="majorEastAsia"/>
          <w:color w:val="auto"/>
          <w:sz w:val="28"/>
          <w:szCs w:val="28"/>
          <w:highlight w:val="none"/>
        </w:rPr>
      </w:pPr>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239"/>
      <w:bookmarkEnd w:id="240"/>
      <w:bookmarkEnd w:id="241"/>
      <w:bookmarkEnd w:id="24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w:t>
      </w:r>
      <w:r>
        <w:rPr>
          <w:rFonts w:hint="eastAsia" w:ascii="仿宋_GB2312" w:eastAsia="仿宋_GB2312" w:hAnsiTheme="minorEastAsia"/>
          <w:color w:val="auto"/>
          <w:sz w:val="28"/>
          <w:szCs w:val="28"/>
          <w:highlight w:val="none"/>
        </w:rPr>
        <w:t>地埋式净水厂无线对讲机覆盖实施方案和施工计划。</w:t>
      </w: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0V7Mg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4Bzd9zixC/fv11+/Lr8/Epe&#10;5/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fdFezIAQAAmg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0</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6/vts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Z&#10;5v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Ov77bIAQAAmgMAAA4AAAAAAAAAAQAgAAAAHgEAAGRycy9lMm9Eb2Mu&#10;eG1sUEsFBgAAAAAGAAYAWQEAAFgFAAAAAA==&#10;">
              <v:fill on="f" focussize="0,0"/>
              <v:stroke on="f"/>
              <v:imagedata o:title=""/>
              <o:lock v:ext="edit" aspectratio="f"/>
              <v:textbox inset="0mm,0mm,0mm,0mm" style="mso-fit-shape-to-text:t;">
                <w:txbxContent>
                  <w:p>
                    <w:pPr>
                      <w:pStyle w:val="1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7250001"/>
    <w:multiLevelType w:val="multilevel"/>
    <w:tmpl w:val="57250001"/>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57C32"/>
    <w:rsid w:val="001034EE"/>
    <w:rsid w:val="00141184"/>
    <w:rsid w:val="00172DEA"/>
    <w:rsid w:val="001C6E8F"/>
    <w:rsid w:val="001D15D4"/>
    <w:rsid w:val="002159A6"/>
    <w:rsid w:val="00224E4D"/>
    <w:rsid w:val="00230D30"/>
    <w:rsid w:val="00287833"/>
    <w:rsid w:val="00290A1F"/>
    <w:rsid w:val="00307272"/>
    <w:rsid w:val="00310667"/>
    <w:rsid w:val="00333161"/>
    <w:rsid w:val="003A487A"/>
    <w:rsid w:val="003C5165"/>
    <w:rsid w:val="003D60BA"/>
    <w:rsid w:val="003E6322"/>
    <w:rsid w:val="003F25BD"/>
    <w:rsid w:val="00411689"/>
    <w:rsid w:val="00421320"/>
    <w:rsid w:val="00421DDA"/>
    <w:rsid w:val="004353E4"/>
    <w:rsid w:val="00492586"/>
    <w:rsid w:val="00510B88"/>
    <w:rsid w:val="00593C26"/>
    <w:rsid w:val="005D5B8B"/>
    <w:rsid w:val="005D618A"/>
    <w:rsid w:val="005F6955"/>
    <w:rsid w:val="006121F1"/>
    <w:rsid w:val="006410F0"/>
    <w:rsid w:val="0065473F"/>
    <w:rsid w:val="006864A8"/>
    <w:rsid w:val="006C2EDF"/>
    <w:rsid w:val="006C67AA"/>
    <w:rsid w:val="007424C1"/>
    <w:rsid w:val="00806F1D"/>
    <w:rsid w:val="0082064E"/>
    <w:rsid w:val="00846D6F"/>
    <w:rsid w:val="00855D34"/>
    <w:rsid w:val="00872331"/>
    <w:rsid w:val="008820E7"/>
    <w:rsid w:val="008A5021"/>
    <w:rsid w:val="008E3991"/>
    <w:rsid w:val="00904370"/>
    <w:rsid w:val="00911ECD"/>
    <w:rsid w:val="009272DD"/>
    <w:rsid w:val="00993899"/>
    <w:rsid w:val="009D0D82"/>
    <w:rsid w:val="00A03A70"/>
    <w:rsid w:val="00A042E0"/>
    <w:rsid w:val="00A0743A"/>
    <w:rsid w:val="00A1246A"/>
    <w:rsid w:val="00A97F1E"/>
    <w:rsid w:val="00AC4307"/>
    <w:rsid w:val="00AC43D0"/>
    <w:rsid w:val="00B26BB1"/>
    <w:rsid w:val="00B26E21"/>
    <w:rsid w:val="00B33DC2"/>
    <w:rsid w:val="00B42E57"/>
    <w:rsid w:val="00B56C6E"/>
    <w:rsid w:val="00B6564F"/>
    <w:rsid w:val="00B83461"/>
    <w:rsid w:val="00B84BF0"/>
    <w:rsid w:val="00B9296A"/>
    <w:rsid w:val="00BA5C97"/>
    <w:rsid w:val="00C00C9A"/>
    <w:rsid w:val="00C87F9D"/>
    <w:rsid w:val="00CB05CD"/>
    <w:rsid w:val="00CB7BC0"/>
    <w:rsid w:val="00CD2B12"/>
    <w:rsid w:val="00CE1061"/>
    <w:rsid w:val="00CE53F6"/>
    <w:rsid w:val="00CF1678"/>
    <w:rsid w:val="00D058BB"/>
    <w:rsid w:val="00D92035"/>
    <w:rsid w:val="00DB7FAA"/>
    <w:rsid w:val="00DC0501"/>
    <w:rsid w:val="00DF3B26"/>
    <w:rsid w:val="00DF3C2B"/>
    <w:rsid w:val="00E0767A"/>
    <w:rsid w:val="00E15BC6"/>
    <w:rsid w:val="00E83AAB"/>
    <w:rsid w:val="00ED45F5"/>
    <w:rsid w:val="00EF4CD5"/>
    <w:rsid w:val="00F41C32"/>
    <w:rsid w:val="00F70EA2"/>
    <w:rsid w:val="00F83B64"/>
    <w:rsid w:val="00F83F8E"/>
    <w:rsid w:val="00F86DDC"/>
    <w:rsid w:val="00FA398D"/>
    <w:rsid w:val="00FB5963"/>
    <w:rsid w:val="00FF0676"/>
    <w:rsid w:val="00FF06E0"/>
    <w:rsid w:val="013E3461"/>
    <w:rsid w:val="01BB0F13"/>
    <w:rsid w:val="02090C75"/>
    <w:rsid w:val="029A7D90"/>
    <w:rsid w:val="02A23A3C"/>
    <w:rsid w:val="035D130A"/>
    <w:rsid w:val="039110A9"/>
    <w:rsid w:val="03AC246A"/>
    <w:rsid w:val="03AE6061"/>
    <w:rsid w:val="03B23056"/>
    <w:rsid w:val="03DA023E"/>
    <w:rsid w:val="03DC3EBA"/>
    <w:rsid w:val="03F9794D"/>
    <w:rsid w:val="04377393"/>
    <w:rsid w:val="046A2461"/>
    <w:rsid w:val="051C2970"/>
    <w:rsid w:val="060C3611"/>
    <w:rsid w:val="063858F6"/>
    <w:rsid w:val="06C64829"/>
    <w:rsid w:val="070E7B6E"/>
    <w:rsid w:val="071D62B7"/>
    <w:rsid w:val="076D41A6"/>
    <w:rsid w:val="077D16D2"/>
    <w:rsid w:val="07F13FAE"/>
    <w:rsid w:val="082A69F3"/>
    <w:rsid w:val="08675FC8"/>
    <w:rsid w:val="09730B1D"/>
    <w:rsid w:val="09B713FD"/>
    <w:rsid w:val="09EF6ACC"/>
    <w:rsid w:val="09F47D86"/>
    <w:rsid w:val="0A315056"/>
    <w:rsid w:val="0AA213B4"/>
    <w:rsid w:val="0AF61C7E"/>
    <w:rsid w:val="0AFB45AD"/>
    <w:rsid w:val="0B351E9B"/>
    <w:rsid w:val="0B4C50D3"/>
    <w:rsid w:val="0B806B92"/>
    <w:rsid w:val="0B827E94"/>
    <w:rsid w:val="0B842F76"/>
    <w:rsid w:val="0BD070E1"/>
    <w:rsid w:val="0BD65B6B"/>
    <w:rsid w:val="0C2361E7"/>
    <w:rsid w:val="0C247926"/>
    <w:rsid w:val="0D19191D"/>
    <w:rsid w:val="0D794204"/>
    <w:rsid w:val="0DA74285"/>
    <w:rsid w:val="0E2125D1"/>
    <w:rsid w:val="0E214211"/>
    <w:rsid w:val="0E5F2769"/>
    <w:rsid w:val="0F4D75A3"/>
    <w:rsid w:val="0F5B2DCA"/>
    <w:rsid w:val="0FED051E"/>
    <w:rsid w:val="0FEE4C29"/>
    <w:rsid w:val="10031608"/>
    <w:rsid w:val="10046082"/>
    <w:rsid w:val="104974DD"/>
    <w:rsid w:val="111703D2"/>
    <w:rsid w:val="112B101A"/>
    <w:rsid w:val="116E717D"/>
    <w:rsid w:val="119B53FC"/>
    <w:rsid w:val="1215733B"/>
    <w:rsid w:val="12424CDC"/>
    <w:rsid w:val="129A2738"/>
    <w:rsid w:val="12B56BF1"/>
    <w:rsid w:val="12CB1A89"/>
    <w:rsid w:val="131840FB"/>
    <w:rsid w:val="13467417"/>
    <w:rsid w:val="136E76CF"/>
    <w:rsid w:val="14123C2A"/>
    <w:rsid w:val="145F08C6"/>
    <w:rsid w:val="14E43F59"/>
    <w:rsid w:val="14EA0703"/>
    <w:rsid w:val="15007F26"/>
    <w:rsid w:val="15776308"/>
    <w:rsid w:val="15BC6B3C"/>
    <w:rsid w:val="16360A7B"/>
    <w:rsid w:val="164D40B0"/>
    <w:rsid w:val="1694429A"/>
    <w:rsid w:val="171B1048"/>
    <w:rsid w:val="17635326"/>
    <w:rsid w:val="17B803EA"/>
    <w:rsid w:val="1815096B"/>
    <w:rsid w:val="18236EFD"/>
    <w:rsid w:val="189D5B1F"/>
    <w:rsid w:val="18A34CD0"/>
    <w:rsid w:val="18C60E4A"/>
    <w:rsid w:val="19A53EA8"/>
    <w:rsid w:val="19B64DBC"/>
    <w:rsid w:val="19D96F98"/>
    <w:rsid w:val="19EC6A4A"/>
    <w:rsid w:val="1A373ACF"/>
    <w:rsid w:val="1A7B10BA"/>
    <w:rsid w:val="1A895341"/>
    <w:rsid w:val="1B0D071F"/>
    <w:rsid w:val="1B4568CE"/>
    <w:rsid w:val="1B9015B7"/>
    <w:rsid w:val="1B950DA6"/>
    <w:rsid w:val="1BF54245"/>
    <w:rsid w:val="1D0E6976"/>
    <w:rsid w:val="1D5A79EE"/>
    <w:rsid w:val="1D98445F"/>
    <w:rsid w:val="1E0E2CD0"/>
    <w:rsid w:val="1E831280"/>
    <w:rsid w:val="1EBC4704"/>
    <w:rsid w:val="1F172EB5"/>
    <w:rsid w:val="1F94592D"/>
    <w:rsid w:val="1FB860DE"/>
    <w:rsid w:val="203C5A02"/>
    <w:rsid w:val="20457135"/>
    <w:rsid w:val="209D4C94"/>
    <w:rsid w:val="20B44FCD"/>
    <w:rsid w:val="20E84705"/>
    <w:rsid w:val="218400BA"/>
    <w:rsid w:val="21AB1E2F"/>
    <w:rsid w:val="21D40498"/>
    <w:rsid w:val="22493963"/>
    <w:rsid w:val="22767047"/>
    <w:rsid w:val="22EB3FC4"/>
    <w:rsid w:val="23294AEC"/>
    <w:rsid w:val="23A05588"/>
    <w:rsid w:val="240476A1"/>
    <w:rsid w:val="24E40975"/>
    <w:rsid w:val="25431AEB"/>
    <w:rsid w:val="25BE3BFB"/>
    <w:rsid w:val="25BF43FD"/>
    <w:rsid w:val="25F86BCD"/>
    <w:rsid w:val="2605748B"/>
    <w:rsid w:val="26396D26"/>
    <w:rsid w:val="264544A6"/>
    <w:rsid w:val="267702FB"/>
    <w:rsid w:val="267947E9"/>
    <w:rsid w:val="269E416A"/>
    <w:rsid w:val="26C11C6B"/>
    <w:rsid w:val="272100D3"/>
    <w:rsid w:val="272C72FC"/>
    <w:rsid w:val="275131CB"/>
    <w:rsid w:val="278F6521"/>
    <w:rsid w:val="27E172F9"/>
    <w:rsid w:val="27EB149D"/>
    <w:rsid w:val="27FD3E52"/>
    <w:rsid w:val="28AD07CC"/>
    <w:rsid w:val="28E11370"/>
    <w:rsid w:val="294A756A"/>
    <w:rsid w:val="29781BF8"/>
    <w:rsid w:val="29C33ED0"/>
    <w:rsid w:val="29D5322D"/>
    <w:rsid w:val="2A025DD9"/>
    <w:rsid w:val="2A2619CB"/>
    <w:rsid w:val="2A7C2231"/>
    <w:rsid w:val="2A920E4F"/>
    <w:rsid w:val="2ABB753D"/>
    <w:rsid w:val="2AFE6EC4"/>
    <w:rsid w:val="2B072196"/>
    <w:rsid w:val="2B7A49FA"/>
    <w:rsid w:val="2C204C18"/>
    <w:rsid w:val="2C615D26"/>
    <w:rsid w:val="2CB679ED"/>
    <w:rsid w:val="2CF726B9"/>
    <w:rsid w:val="2D173C07"/>
    <w:rsid w:val="2D424A86"/>
    <w:rsid w:val="2DDA66B7"/>
    <w:rsid w:val="2E6F2D11"/>
    <w:rsid w:val="2E7B52DB"/>
    <w:rsid w:val="2ED60115"/>
    <w:rsid w:val="2F324CFE"/>
    <w:rsid w:val="2F5E167A"/>
    <w:rsid w:val="2FBA09F1"/>
    <w:rsid w:val="2FEF2ACF"/>
    <w:rsid w:val="2FF93D20"/>
    <w:rsid w:val="301E71E2"/>
    <w:rsid w:val="30540211"/>
    <w:rsid w:val="30D34FFE"/>
    <w:rsid w:val="30E45100"/>
    <w:rsid w:val="31112A0D"/>
    <w:rsid w:val="311F4B20"/>
    <w:rsid w:val="312D7741"/>
    <w:rsid w:val="316F137F"/>
    <w:rsid w:val="31DF525F"/>
    <w:rsid w:val="31EC162B"/>
    <w:rsid w:val="32324C2E"/>
    <w:rsid w:val="32462F96"/>
    <w:rsid w:val="327171DF"/>
    <w:rsid w:val="33541711"/>
    <w:rsid w:val="3391569E"/>
    <w:rsid w:val="33ED56C2"/>
    <w:rsid w:val="341E3434"/>
    <w:rsid w:val="34BB4442"/>
    <w:rsid w:val="34F01F80"/>
    <w:rsid w:val="3584136B"/>
    <w:rsid w:val="35FF5AA4"/>
    <w:rsid w:val="360B7EBA"/>
    <w:rsid w:val="36416867"/>
    <w:rsid w:val="367D5DD4"/>
    <w:rsid w:val="36932551"/>
    <w:rsid w:val="369C32FD"/>
    <w:rsid w:val="37666E72"/>
    <w:rsid w:val="38081EA3"/>
    <w:rsid w:val="38143FD9"/>
    <w:rsid w:val="38167A04"/>
    <w:rsid w:val="381C3783"/>
    <w:rsid w:val="394B167A"/>
    <w:rsid w:val="399F745E"/>
    <w:rsid w:val="39DA2868"/>
    <w:rsid w:val="3A055F4B"/>
    <w:rsid w:val="3A4329C0"/>
    <w:rsid w:val="3A4E4336"/>
    <w:rsid w:val="3A6007FE"/>
    <w:rsid w:val="3A802587"/>
    <w:rsid w:val="3A852164"/>
    <w:rsid w:val="3AF93D6C"/>
    <w:rsid w:val="3AFD06C8"/>
    <w:rsid w:val="3B7C2CE4"/>
    <w:rsid w:val="3BAF716B"/>
    <w:rsid w:val="3BF21AC7"/>
    <w:rsid w:val="3C0B5355"/>
    <w:rsid w:val="3CD4176B"/>
    <w:rsid w:val="3D1F44D9"/>
    <w:rsid w:val="3D5C38CD"/>
    <w:rsid w:val="3E5070F1"/>
    <w:rsid w:val="3E9A01F4"/>
    <w:rsid w:val="3EC06A6A"/>
    <w:rsid w:val="3EC370CB"/>
    <w:rsid w:val="3F6C3589"/>
    <w:rsid w:val="3F850180"/>
    <w:rsid w:val="3F9004D6"/>
    <w:rsid w:val="3FEE7CFA"/>
    <w:rsid w:val="400E4D5E"/>
    <w:rsid w:val="40E1138C"/>
    <w:rsid w:val="413814BA"/>
    <w:rsid w:val="41872511"/>
    <w:rsid w:val="41DF1251"/>
    <w:rsid w:val="424236D9"/>
    <w:rsid w:val="42466655"/>
    <w:rsid w:val="42C82F57"/>
    <w:rsid w:val="435707E5"/>
    <w:rsid w:val="43C76AF7"/>
    <w:rsid w:val="43E97E4A"/>
    <w:rsid w:val="446828F0"/>
    <w:rsid w:val="44A532F6"/>
    <w:rsid w:val="45093E85"/>
    <w:rsid w:val="45C13B4D"/>
    <w:rsid w:val="46054BCA"/>
    <w:rsid w:val="464C6AFC"/>
    <w:rsid w:val="468B0091"/>
    <w:rsid w:val="46A107C3"/>
    <w:rsid w:val="46B15CE2"/>
    <w:rsid w:val="46BE113D"/>
    <w:rsid w:val="46E44B13"/>
    <w:rsid w:val="4703508A"/>
    <w:rsid w:val="472B40E0"/>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1F42D0"/>
    <w:rsid w:val="4A7F3979"/>
    <w:rsid w:val="4ADA1F63"/>
    <w:rsid w:val="4AE23D89"/>
    <w:rsid w:val="4B202D2A"/>
    <w:rsid w:val="4B2038D0"/>
    <w:rsid w:val="4B296E7D"/>
    <w:rsid w:val="4B79394E"/>
    <w:rsid w:val="4B877F28"/>
    <w:rsid w:val="4BBA0128"/>
    <w:rsid w:val="4C1233E7"/>
    <w:rsid w:val="4D916BA6"/>
    <w:rsid w:val="4DC44169"/>
    <w:rsid w:val="4DE24E21"/>
    <w:rsid w:val="4E1B19A3"/>
    <w:rsid w:val="4E48787F"/>
    <w:rsid w:val="4EF0709E"/>
    <w:rsid w:val="4F0469A4"/>
    <w:rsid w:val="4F8B29E8"/>
    <w:rsid w:val="4F8D1DDB"/>
    <w:rsid w:val="500E56F4"/>
    <w:rsid w:val="50540C73"/>
    <w:rsid w:val="50752AF8"/>
    <w:rsid w:val="513C6A7B"/>
    <w:rsid w:val="5224454D"/>
    <w:rsid w:val="52C47588"/>
    <w:rsid w:val="52EC6EC2"/>
    <w:rsid w:val="532D486F"/>
    <w:rsid w:val="5333545B"/>
    <w:rsid w:val="538D0E89"/>
    <w:rsid w:val="5450213C"/>
    <w:rsid w:val="546711F3"/>
    <w:rsid w:val="54D24048"/>
    <w:rsid w:val="54D64CD5"/>
    <w:rsid w:val="55111DD2"/>
    <w:rsid w:val="5532287C"/>
    <w:rsid w:val="55887D69"/>
    <w:rsid w:val="561A0928"/>
    <w:rsid w:val="56423872"/>
    <w:rsid w:val="569E06BC"/>
    <w:rsid w:val="56B279F0"/>
    <w:rsid w:val="56CF7548"/>
    <w:rsid w:val="56F20F86"/>
    <w:rsid w:val="579D710E"/>
    <w:rsid w:val="581F22F6"/>
    <w:rsid w:val="586E1E17"/>
    <w:rsid w:val="58862C35"/>
    <w:rsid w:val="58C14957"/>
    <w:rsid w:val="58CC23D2"/>
    <w:rsid w:val="58E66050"/>
    <w:rsid w:val="596E4C89"/>
    <w:rsid w:val="59FC7994"/>
    <w:rsid w:val="5A0A173D"/>
    <w:rsid w:val="5AE83A50"/>
    <w:rsid w:val="5B353193"/>
    <w:rsid w:val="5BAB2917"/>
    <w:rsid w:val="5BFC33FA"/>
    <w:rsid w:val="5C09457D"/>
    <w:rsid w:val="5C3107A4"/>
    <w:rsid w:val="5C3B1B93"/>
    <w:rsid w:val="5C69772C"/>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AD3C17"/>
    <w:rsid w:val="61B52BB6"/>
    <w:rsid w:val="61B749C2"/>
    <w:rsid w:val="62280D20"/>
    <w:rsid w:val="62B4786E"/>
    <w:rsid w:val="62CA2457"/>
    <w:rsid w:val="638240A1"/>
    <w:rsid w:val="63833423"/>
    <w:rsid w:val="63A5257B"/>
    <w:rsid w:val="63BD3DCC"/>
    <w:rsid w:val="63C61741"/>
    <w:rsid w:val="64203A51"/>
    <w:rsid w:val="64560967"/>
    <w:rsid w:val="656B1D10"/>
    <w:rsid w:val="65916B9F"/>
    <w:rsid w:val="65B841F9"/>
    <w:rsid w:val="66022B28"/>
    <w:rsid w:val="664A38E2"/>
    <w:rsid w:val="66581E87"/>
    <w:rsid w:val="66FA11D5"/>
    <w:rsid w:val="674302C7"/>
    <w:rsid w:val="67832FBE"/>
    <w:rsid w:val="67CB09D8"/>
    <w:rsid w:val="67EE3B0F"/>
    <w:rsid w:val="680A5986"/>
    <w:rsid w:val="680D5F4B"/>
    <w:rsid w:val="68113F51"/>
    <w:rsid w:val="681165A2"/>
    <w:rsid w:val="68E94770"/>
    <w:rsid w:val="68F949C9"/>
    <w:rsid w:val="695A4290"/>
    <w:rsid w:val="6A334932"/>
    <w:rsid w:val="6A3353FF"/>
    <w:rsid w:val="6A5D63E6"/>
    <w:rsid w:val="6A5F24D1"/>
    <w:rsid w:val="6A6F5E3C"/>
    <w:rsid w:val="6ACA70C4"/>
    <w:rsid w:val="6AE347EB"/>
    <w:rsid w:val="6B330365"/>
    <w:rsid w:val="6B434AF0"/>
    <w:rsid w:val="6B57675A"/>
    <w:rsid w:val="6B87098A"/>
    <w:rsid w:val="6B9F6CC6"/>
    <w:rsid w:val="6BDD7B4D"/>
    <w:rsid w:val="6C44786E"/>
    <w:rsid w:val="6D747CDF"/>
    <w:rsid w:val="6EA93F33"/>
    <w:rsid w:val="6EBC0B3A"/>
    <w:rsid w:val="6EF51C7D"/>
    <w:rsid w:val="6F8363E5"/>
    <w:rsid w:val="6F841DCF"/>
    <w:rsid w:val="6FA80CCD"/>
    <w:rsid w:val="6FAC3CC5"/>
    <w:rsid w:val="6FC746F5"/>
    <w:rsid w:val="70317AC6"/>
    <w:rsid w:val="704B26F7"/>
    <w:rsid w:val="70697B21"/>
    <w:rsid w:val="70863262"/>
    <w:rsid w:val="70A76ED3"/>
    <w:rsid w:val="71860B17"/>
    <w:rsid w:val="723B27CC"/>
    <w:rsid w:val="723E08BB"/>
    <w:rsid w:val="72687227"/>
    <w:rsid w:val="72A03FD9"/>
    <w:rsid w:val="73406CFF"/>
    <w:rsid w:val="7383028C"/>
    <w:rsid w:val="73A25E44"/>
    <w:rsid w:val="741E1B73"/>
    <w:rsid w:val="741F68CF"/>
    <w:rsid w:val="75252DF3"/>
    <w:rsid w:val="75621536"/>
    <w:rsid w:val="75BF3154"/>
    <w:rsid w:val="764A07CF"/>
    <w:rsid w:val="764F6B3D"/>
    <w:rsid w:val="76872831"/>
    <w:rsid w:val="76CD2B7B"/>
    <w:rsid w:val="76D80645"/>
    <w:rsid w:val="76E03371"/>
    <w:rsid w:val="76E2215D"/>
    <w:rsid w:val="771211AA"/>
    <w:rsid w:val="77DE3FFE"/>
    <w:rsid w:val="780E5898"/>
    <w:rsid w:val="782642CC"/>
    <w:rsid w:val="7894095E"/>
    <w:rsid w:val="78964555"/>
    <w:rsid w:val="78C7785D"/>
    <w:rsid w:val="78CF4963"/>
    <w:rsid w:val="79000679"/>
    <w:rsid w:val="791C0FE5"/>
    <w:rsid w:val="798F01A7"/>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2769BD"/>
    <w:rsid w:val="7F752917"/>
    <w:rsid w:val="7FE1767D"/>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6"/>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1"/>
    <w:semiHidden/>
    <w:unhideWhenUsed/>
    <w:qFormat/>
    <w:uiPriority w:val="99"/>
    <w:rPr>
      <w:sz w:val="18"/>
      <w:szCs w:val="18"/>
    </w:rPr>
  </w:style>
  <w:style w:type="paragraph" w:styleId="16">
    <w:name w:val="footer"/>
    <w:basedOn w:val="1"/>
    <w:link w:val="25"/>
    <w:unhideWhenUsed/>
    <w:qFormat/>
    <w:uiPriority w:val="99"/>
    <w:pPr>
      <w:tabs>
        <w:tab w:val="center" w:pos="4153"/>
        <w:tab w:val="right" w:pos="8306"/>
      </w:tabs>
      <w:snapToGrid w:val="0"/>
      <w:jc w:val="left"/>
    </w:pPr>
    <w:rPr>
      <w:sz w:val="18"/>
      <w:szCs w:val="18"/>
    </w:rPr>
  </w:style>
  <w:style w:type="paragraph" w:styleId="1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customStyle="1" w:styleId="24">
    <w:name w:val="页眉 字符"/>
    <w:basedOn w:val="22"/>
    <w:link w:val="17"/>
    <w:qFormat/>
    <w:uiPriority w:val="99"/>
    <w:rPr>
      <w:sz w:val="18"/>
      <w:szCs w:val="18"/>
    </w:rPr>
  </w:style>
  <w:style w:type="character" w:customStyle="1" w:styleId="25">
    <w:name w:val="页脚 字符"/>
    <w:basedOn w:val="22"/>
    <w:link w:val="16"/>
    <w:qFormat/>
    <w:uiPriority w:val="99"/>
    <w:rPr>
      <w:sz w:val="18"/>
      <w:szCs w:val="18"/>
    </w:rPr>
  </w:style>
  <w:style w:type="character" w:customStyle="1" w:styleId="26">
    <w:name w:val="标题 1 字符"/>
    <w:basedOn w:val="22"/>
    <w:link w:val="4"/>
    <w:qFormat/>
    <w:uiPriority w:val="9"/>
    <w:rPr>
      <w:rFonts w:eastAsia="方正小标宋简体"/>
      <w:bCs/>
      <w:kern w:val="44"/>
      <w:sz w:val="44"/>
      <w:szCs w:val="44"/>
    </w:rPr>
  </w:style>
  <w:style w:type="character" w:customStyle="1" w:styleId="27">
    <w:name w:val="标题 2 字符"/>
    <w:basedOn w:val="22"/>
    <w:link w:val="5"/>
    <w:qFormat/>
    <w:uiPriority w:val="9"/>
    <w:rPr>
      <w:rFonts w:eastAsia="方正小标宋简体" w:asciiTheme="majorHAnsi" w:hAnsiTheme="majorHAnsi" w:cstheme="majorBidi"/>
      <w:bCs/>
      <w:sz w:val="36"/>
      <w:szCs w:val="32"/>
    </w:rPr>
  </w:style>
  <w:style w:type="character" w:customStyle="1" w:styleId="28">
    <w:name w:val="标题 3 字符"/>
    <w:basedOn w:val="22"/>
    <w:link w:val="6"/>
    <w:qFormat/>
    <w:uiPriority w:val="9"/>
    <w:rPr>
      <w:rFonts w:ascii="Calibri" w:hAnsi="Calibri" w:eastAsia="宋体" w:cs="Times New Roman"/>
      <w:b/>
      <w:bCs/>
      <w:sz w:val="32"/>
      <w:szCs w:val="32"/>
    </w:rPr>
  </w:style>
  <w:style w:type="paragraph" w:styleId="29">
    <w:name w:val="List Paragraph"/>
    <w:basedOn w:val="1"/>
    <w:link w:val="37"/>
    <w:qFormat/>
    <w:uiPriority w:val="34"/>
    <w:pPr>
      <w:ind w:firstLine="420" w:firstLineChars="200"/>
    </w:p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22"/>
    <w:link w:val="15"/>
    <w:semiHidden/>
    <w:qFormat/>
    <w:uiPriority w:val="99"/>
    <w:rPr>
      <w:sz w:val="18"/>
      <w:szCs w:val="18"/>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CM97"/>
    <w:basedOn w:val="13"/>
    <w:next w:val="13"/>
    <w:qFormat/>
    <w:uiPriority w:val="0"/>
    <w:pPr>
      <w:spacing w:after="373"/>
    </w:pPr>
    <w:rPr>
      <w:color w:val="auto"/>
    </w:rPr>
  </w:style>
  <w:style w:type="paragraph" w:customStyle="1" w:styleId="34">
    <w:name w:val="CM91"/>
    <w:basedOn w:val="13"/>
    <w:next w:val="13"/>
    <w:qFormat/>
    <w:uiPriority w:val="0"/>
    <w:pPr>
      <w:spacing w:after="160"/>
    </w:pPr>
    <w:rPr>
      <w:color w:val="auto"/>
    </w:rPr>
  </w:style>
  <w:style w:type="character" w:customStyle="1" w:styleId="35">
    <w:name w:val="正文文本 3 Char"/>
    <w:qFormat/>
    <w:uiPriority w:val="99"/>
    <w:rPr>
      <w:sz w:val="16"/>
      <w:szCs w:val="16"/>
    </w:rPr>
  </w:style>
  <w:style w:type="character" w:customStyle="1" w:styleId="36">
    <w:name w:val="正文文本 3 字符"/>
    <w:basedOn w:val="22"/>
    <w:link w:val="8"/>
    <w:semiHidden/>
    <w:qFormat/>
    <w:uiPriority w:val="99"/>
    <w:rPr>
      <w:sz w:val="16"/>
      <w:szCs w:val="16"/>
    </w:rPr>
  </w:style>
  <w:style w:type="character" w:customStyle="1" w:styleId="37">
    <w:name w:val="列出段落 字符"/>
    <w:link w:val="29"/>
    <w:qFormat/>
    <w:uiPriority w:val="34"/>
  </w:style>
  <w:style w:type="paragraph" w:customStyle="1" w:styleId="38">
    <w:name w:val="1"/>
    <w:basedOn w:val="1"/>
    <w:next w:val="12"/>
    <w:qFormat/>
    <w:uiPriority w:val="99"/>
    <w:rPr>
      <w:rFonts w:ascii="宋体" w:hAnsi="Courier New"/>
    </w:r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2">
    <w:name w:val="_Style 1"/>
    <w:basedOn w:val="1"/>
    <w:qFormat/>
    <w:uiPriority w:val="0"/>
    <w:pPr>
      <w:ind w:firstLine="200" w:firstLineChars="200"/>
    </w:pPr>
    <w:rPr>
      <w:rFonts w:ascii="Calibri" w:hAnsi="Calibri" w:eastAsia="宋体" w:cs="Times New Roman"/>
    </w:rPr>
  </w:style>
  <w:style w:type="table" w:customStyle="1" w:styleId="43">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_"/>
    <w:basedOn w:val="1"/>
    <w:qFormat/>
    <w:uiPriority w:val="0"/>
    <w:pPr>
      <w:spacing w:line="360" w:lineRule="auto"/>
      <w:ind w:left="480"/>
    </w:pPr>
    <w:rPr>
      <w:rFonts w:ascii="Calibri" w:hAnsi="Calibri" w:eastAsia="宋体" w:cs="Times New Roman"/>
      <w:sz w:val="24"/>
    </w:rPr>
  </w:style>
  <w:style w:type="character" w:customStyle="1" w:styleId="45">
    <w:name w:val="*正文 Char"/>
    <w:link w:val="46"/>
    <w:qFormat/>
    <w:uiPriority w:val="0"/>
    <w:rPr>
      <w:rFonts w:ascii="仿宋_GB2312" w:hAnsi="Times New Roman" w:eastAsia="仿宋_GB2312" w:cs="Times New Roman"/>
      <w:sz w:val="24"/>
      <w:szCs w:val="28"/>
    </w:rPr>
  </w:style>
  <w:style w:type="paragraph" w:customStyle="1" w:styleId="46">
    <w:name w:val="*正文"/>
    <w:basedOn w:val="1"/>
    <w:next w:val="1"/>
    <w:link w:val="45"/>
    <w:qFormat/>
    <w:uiPriority w:val="0"/>
    <w:pPr>
      <w:widowControl/>
      <w:ind w:firstLine="200" w:firstLineChars="200"/>
    </w:pPr>
    <w:rPr>
      <w:rFonts w:ascii="仿宋_GB2312" w:hAnsi="Times New Roman" w:eastAsia="仿宋_GB2312" w:cs="Times New Roman"/>
      <w:kern w:val="0"/>
      <w:sz w:val="24"/>
      <w:szCs w:val="28"/>
    </w:rPr>
  </w:style>
  <w:style w:type="character" w:customStyle="1" w:styleId="47">
    <w:name w:val="表格标题(居中) Char"/>
    <w:link w:val="48"/>
    <w:qFormat/>
    <w:uiPriority w:val="0"/>
    <w:rPr>
      <w:rFonts w:eastAsia="黑体"/>
      <w:kern w:val="2"/>
      <w:sz w:val="24"/>
    </w:rPr>
  </w:style>
  <w:style w:type="paragraph" w:customStyle="1" w:styleId="48">
    <w:name w:val="表格标题(居中)"/>
    <w:basedOn w:val="1"/>
    <w:link w:val="47"/>
    <w:qFormat/>
    <w:uiPriority w:val="0"/>
    <w:pPr>
      <w:snapToGrid w:val="0"/>
      <w:spacing w:line="300" w:lineRule="auto"/>
      <w:jc w:val="center"/>
    </w:pPr>
    <w:rPr>
      <w:rFonts w:eastAsia="黑体"/>
      <w:sz w:val="24"/>
      <w:szCs w:val="20"/>
    </w:rPr>
  </w:style>
  <w:style w:type="paragraph" w:customStyle="1" w:styleId="49">
    <w:name w:val="表格(五号)"/>
    <w:basedOn w:val="1"/>
    <w:qFormat/>
    <w:uiPriority w:val="0"/>
    <w:pPr>
      <w:adjustRightInd w:val="0"/>
      <w:snapToGrid w:val="0"/>
      <w:spacing w:before="60" w:after="60"/>
      <w:ind w:left="11"/>
      <w:jc w:val="center"/>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29643</Words>
  <Characters>32080</Characters>
  <Lines>294</Lines>
  <Paragraphs>82</Paragraphs>
  <TotalTime>11</TotalTime>
  <ScaleCrop>false</ScaleCrop>
  <LinksUpToDate>false</LinksUpToDate>
  <CharactersWithSpaces>34108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黄大大</cp:lastModifiedBy>
  <cp:lastPrinted>2022-08-05T07:06:00Z</cp:lastPrinted>
  <dcterms:modified xsi:type="dcterms:W3CDTF">2022-08-24T01:51:36Z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24C3C2EAC30542D290866CB02B24EE6C</vt:lpwstr>
  </property>
</Properties>
</file>