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jc w:val="center"/>
        <w:rPr>
          <w:rFonts w:hint="eastAsia" w:ascii="方正小标宋简体" w:eastAsia="方正小标宋简体"/>
          <w:sz w:val="52"/>
          <w:szCs w:val="52"/>
        </w:rPr>
      </w:pPr>
      <w:r>
        <w:rPr>
          <w:rFonts w:hint="eastAsia" w:ascii="方正小标宋简体" w:eastAsia="方正小标宋简体"/>
          <w:sz w:val="52"/>
          <w:szCs w:val="52"/>
        </w:rPr>
        <w:t>广州市净水有限公司</w:t>
      </w:r>
      <w:r>
        <w:rPr>
          <w:rFonts w:hint="eastAsia" w:ascii="方正小标宋简体" w:eastAsia="方正小标宋简体"/>
          <w:sz w:val="52"/>
          <w:szCs w:val="52"/>
          <w:lang w:val="en-US" w:eastAsia="zh-CN"/>
        </w:rPr>
        <w:t>江高</w:t>
      </w:r>
      <w:r>
        <w:rPr>
          <w:rFonts w:hint="eastAsia" w:ascii="方正小标宋简体" w:eastAsia="方正小标宋简体"/>
          <w:sz w:val="52"/>
          <w:szCs w:val="52"/>
        </w:rPr>
        <w:t>分公司</w:t>
      </w:r>
    </w:p>
    <w:p>
      <w:pPr>
        <w:jc w:val="center"/>
        <w:rPr>
          <w:rFonts w:ascii="方正小标宋简体" w:eastAsia="方正小标宋简体"/>
          <w:sz w:val="52"/>
          <w:szCs w:val="52"/>
        </w:rPr>
      </w:pPr>
      <w:r>
        <w:rPr>
          <w:rFonts w:hint="eastAsia" w:ascii="方正小标宋简体" w:eastAsia="方正小标宋简体"/>
          <w:sz w:val="52"/>
          <w:szCs w:val="52"/>
        </w:rPr>
        <w:t>2</w:t>
      </w:r>
      <w:r>
        <w:rPr>
          <w:rFonts w:ascii="方正小标宋简体" w:eastAsia="方正小标宋简体"/>
          <w:sz w:val="52"/>
          <w:szCs w:val="52"/>
        </w:rPr>
        <w:t>0</w:t>
      </w:r>
      <w:r>
        <w:rPr>
          <w:rFonts w:hint="eastAsia" w:ascii="方正小标宋简体" w:eastAsia="方正小标宋简体"/>
          <w:sz w:val="52"/>
          <w:szCs w:val="52"/>
        </w:rPr>
        <w:t>2</w:t>
      </w:r>
      <w:r>
        <w:rPr>
          <w:rFonts w:ascii="方正小标宋简体" w:eastAsia="方正小标宋简体"/>
          <w:sz w:val="52"/>
          <w:szCs w:val="52"/>
        </w:rPr>
        <w:t>2</w:t>
      </w:r>
      <w:r>
        <w:rPr>
          <w:rFonts w:hint="eastAsia" w:ascii="方正小标宋简体" w:eastAsia="方正小标宋简体"/>
          <w:sz w:val="52"/>
          <w:szCs w:val="52"/>
        </w:rPr>
        <w:t>年保密室</w:t>
      </w:r>
      <w:r>
        <w:rPr>
          <w:rFonts w:hint="eastAsia" w:ascii="方正小标宋简体" w:eastAsia="方正小标宋简体"/>
          <w:sz w:val="52"/>
          <w:szCs w:val="52"/>
          <w:lang w:val="en-US" w:eastAsia="zh-CN"/>
        </w:rPr>
        <w:t>装修</w:t>
      </w:r>
      <w:r>
        <w:rPr>
          <w:rFonts w:hint="eastAsia" w:ascii="方正小标宋简体" w:eastAsia="方正小标宋简体"/>
          <w:sz w:val="52"/>
          <w:szCs w:val="52"/>
        </w:rPr>
        <w:t>项目</w:t>
      </w:r>
    </w:p>
    <w:p>
      <w:pPr>
        <w:jc w:val="center"/>
        <w:rPr>
          <w:rFonts w:ascii="方正小标宋简体" w:eastAsia="方正小标宋简体"/>
          <w:color w:val="auto"/>
          <w:sz w:val="52"/>
          <w:szCs w:val="52"/>
          <w:highlight w:val="none"/>
        </w:rPr>
      </w:pPr>
      <w:r>
        <w:rPr>
          <w:rFonts w:hint="eastAsia" w:ascii="方正小标宋简体" w:eastAsia="方正小标宋简体"/>
          <w:sz w:val="52"/>
          <w:szCs w:val="52"/>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八</w:t>
      </w:r>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5"/>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8"/>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8"/>
        <w:numPr>
          <w:ilvl w:val="0"/>
          <w:numId w:val="1"/>
        </w:numPr>
        <w:tabs>
          <w:tab w:val="right" w:pos="8844"/>
        </w:tabs>
        <w:rPr>
          <w:color w:val="auto"/>
          <w:highlight w:val="none"/>
        </w:rPr>
      </w:pPr>
      <w:r>
        <w:rPr>
          <w:rFonts w:hint="eastAsia"/>
          <w:color w:val="auto"/>
          <w:highlight w:val="none"/>
          <w:lang w:val="en-US" w:eastAsia="zh-CN"/>
        </w:rPr>
        <w:t>供应商须知</w:t>
      </w:r>
    </w:p>
    <w:p>
      <w:pPr>
        <w:pStyle w:val="18"/>
        <w:numPr>
          <w:ilvl w:val="0"/>
          <w:numId w:val="1"/>
        </w:numPr>
        <w:tabs>
          <w:tab w:val="right" w:pos="8844"/>
        </w:tabs>
        <w:rPr>
          <w:color w:val="auto"/>
          <w:highlight w:val="none"/>
        </w:rPr>
      </w:pPr>
      <w:r>
        <w:rPr>
          <w:rFonts w:hint="eastAsia"/>
          <w:color w:val="auto"/>
          <w:highlight w:val="none"/>
          <w:lang w:val="en-US" w:eastAsia="zh-CN"/>
        </w:rPr>
        <w:t>采购方法</w:t>
      </w:r>
    </w:p>
    <w:p>
      <w:pPr>
        <w:pStyle w:val="18"/>
        <w:numPr>
          <w:ilvl w:val="0"/>
          <w:numId w:val="1"/>
        </w:numPr>
        <w:tabs>
          <w:tab w:val="right" w:pos="8844"/>
        </w:tabs>
        <w:rPr>
          <w:color w:val="auto"/>
          <w:highlight w:val="none"/>
        </w:rPr>
      </w:pPr>
      <w:r>
        <w:rPr>
          <w:rFonts w:hint="eastAsia"/>
          <w:color w:val="auto"/>
          <w:highlight w:val="none"/>
          <w:lang w:val="en-US" w:eastAsia="zh-CN"/>
        </w:rPr>
        <w:t>评审方法</w:t>
      </w:r>
    </w:p>
    <w:p>
      <w:pPr>
        <w:pStyle w:val="18"/>
        <w:numPr>
          <w:ilvl w:val="0"/>
          <w:numId w:val="1"/>
        </w:numPr>
        <w:tabs>
          <w:tab w:val="right" w:pos="8844"/>
        </w:tabs>
        <w:rPr>
          <w:color w:val="auto"/>
          <w:highlight w:val="none"/>
        </w:rPr>
      </w:pPr>
      <w:r>
        <w:rPr>
          <w:rFonts w:hint="eastAsia"/>
          <w:color w:val="auto"/>
          <w:highlight w:val="none"/>
          <w:lang w:val="en-US" w:eastAsia="zh-CN"/>
        </w:rPr>
        <w:t>采购需求</w:t>
      </w:r>
    </w:p>
    <w:p>
      <w:pPr>
        <w:pStyle w:val="18"/>
        <w:numPr>
          <w:ilvl w:val="0"/>
          <w:numId w:val="1"/>
        </w:numPr>
        <w:tabs>
          <w:tab w:val="right" w:pos="8844"/>
        </w:tabs>
        <w:rPr>
          <w:color w:val="auto"/>
          <w:highlight w:val="none"/>
        </w:rPr>
      </w:pPr>
      <w:r>
        <w:rPr>
          <w:rFonts w:hint="eastAsia"/>
          <w:color w:val="auto"/>
          <w:highlight w:val="none"/>
        </w:rPr>
        <w:t>合同草案</w:t>
      </w:r>
    </w:p>
    <w:p>
      <w:pPr>
        <w:pStyle w:val="18"/>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1"/>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18145"/>
      <w:bookmarkStart w:id="1" w:name="_Toc26148"/>
    </w:p>
    <w:p>
      <w:pPr>
        <w:rPr>
          <w:rFonts w:hint="eastAsia"/>
          <w:color w:val="auto"/>
          <w:highlight w:val="none"/>
        </w:rPr>
      </w:pPr>
    </w:p>
    <w:p>
      <w:pPr>
        <w:pStyle w:val="4"/>
        <w:rPr>
          <w:rFonts w:hint="eastAsia"/>
          <w:color w:val="auto"/>
          <w:highlight w:val="none"/>
        </w:rPr>
      </w:pPr>
      <w:bookmarkStart w:id="2" w:name="_Toc1711"/>
      <w:bookmarkStart w:id="3" w:name="_Toc17696"/>
    </w:p>
    <w:p>
      <w:pPr>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4"/>
        <w:rPr>
          <w:rFonts w:hint="eastAsia"/>
          <w:color w:val="auto"/>
          <w:highlight w:val="none"/>
        </w:rPr>
      </w:pPr>
      <w:bookmarkStart w:id="4" w:name="_Toc1669"/>
      <w:bookmarkStart w:id="5" w:name="_Toc11322"/>
      <w:bookmarkStart w:id="6" w:name="_Toc17801"/>
      <w:bookmarkStart w:id="7" w:name="_Toc19609"/>
      <w:bookmarkStart w:id="8" w:name="_Toc4275"/>
      <w:bookmarkStart w:id="9" w:name="_Toc31938"/>
      <w:bookmarkStart w:id="10" w:name="_Toc7519"/>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1552;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7"/>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广州市净水有限公司江高分公司2022年保密室装修项目  </w:t>
      </w:r>
      <w:r>
        <w:rPr>
          <w:rFonts w:hint="eastAsia" w:ascii="仿宋_GB2312" w:eastAsia="仿宋_GB2312"/>
          <w:color w:val="auto"/>
          <w:sz w:val="28"/>
          <w:szCs w:val="28"/>
          <w:highlight w:val="none"/>
        </w:rPr>
        <w:t>已具备采购条件，</w:t>
      </w:r>
      <w:r>
        <w:rPr>
          <w:rFonts w:hint="eastAsia" w:ascii="仿宋_GB2312" w:eastAsia="仿宋_GB2312"/>
          <w:sz w:val="28"/>
          <w:szCs w:val="28"/>
        </w:rPr>
        <w:t>现</w:t>
      </w:r>
      <w:r>
        <w:rPr>
          <w:rFonts w:hint="eastAsia" w:ascii="仿宋_GB2312" w:eastAsia="仿宋_GB2312"/>
          <w:sz w:val="28"/>
          <w:szCs w:val="28"/>
          <w:lang w:val="en-US" w:eastAsia="zh-CN"/>
        </w:rPr>
        <w:t>邀请合格</w:t>
      </w:r>
      <w:r>
        <w:rPr>
          <w:rFonts w:hint="eastAsia" w:ascii="仿宋_GB2312" w:eastAsia="仿宋_GB2312"/>
          <w:sz w:val="28"/>
          <w:szCs w:val="28"/>
          <w:u w:val="none"/>
          <w:lang w:val="en-US" w:eastAsia="zh-CN"/>
        </w:rPr>
        <w:t>单位</w:t>
      </w:r>
      <w:r>
        <w:rPr>
          <w:rFonts w:hint="eastAsia" w:ascii="仿宋_GB2312" w:eastAsia="仿宋_GB2312"/>
          <w:sz w:val="28"/>
          <w:szCs w:val="28"/>
        </w:rPr>
        <w:t>参加本</w:t>
      </w:r>
      <w:r>
        <w:rPr>
          <w:rFonts w:hint="eastAsia" w:ascii="仿宋_GB2312" w:eastAsia="仿宋_GB2312"/>
          <w:sz w:val="28"/>
          <w:szCs w:val="28"/>
        </w:rPr>
        <w:sym w:font="Wingdings 2" w:char="0052"/>
      </w:r>
      <w:r>
        <w:rPr>
          <w:rFonts w:hint="eastAsia" w:ascii="仿宋_GB2312" w:eastAsia="仿宋_GB2312"/>
          <w:sz w:val="28"/>
          <w:szCs w:val="28"/>
        </w:rPr>
        <w:t>施工  □货物 □服务项目采购活动，采用</w:t>
      </w:r>
      <w:r>
        <w:rPr>
          <w:rFonts w:hint="eastAsia" w:ascii="仿宋_GB2312" w:eastAsia="仿宋_GB2312"/>
          <w:sz w:val="28"/>
          <w:szCs w:val="28"/>
          <w:u w:val="single"/>
        </w:rPr>
        <w:sym w:font="Wingdings 2" w:char="00A3"/>
      </w:r>
      <w:r>
        <w:rPr>
          <w:rFonts w:hint="eastAsia" w:ascii="仿宋_GB2312" w:eastAsia="仿宋_GB2312"/>
          <w:sz w:val="28"/>
          <w:szCs w:val="28"/>
          <w:u w:val="single"/>
          <w:lang w:val="en-US" w:eastAsia="zh-CN"/>
        </w:rPr>
        <w:t>邀请</w:t>
      </w:r>
      <w:r>
        <w:rPr>
          <w:rFonts w:hint="eastAsia" w:ascii="仿宋_GB2312" w:eastAsia="仿宋_GB2312"/>
          <w:sz w:val="28"/>
          <w:szCs w:val="28"/>
          <w:u w:val="single"/>
        </w:rPr>
        <w:t>询比</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lang w:val="en-US" w:eastAsia="zh-CN"/>
        </w:rPr>
        <w:sym w:font="Wingdings 2" w:char="0052"/>
      </w:r>
      <w:r>
        <w:rPr>
          <w:rFonts w:hint="eastAsia" w:ascii="仿宋_GB2312" w:eastAsia="仿宋_GB2312"/>
          <w:sz w:val="28"/>
          <w:szCs w:val="28"/>
          <w:u w:val="single"/>
          <w:lang w:val="en-US" w:eastAsia="zh-CN"/>
        </w:rPr>
        <w:t>公开询比</w:t>
      </w:r>
      <w:r>
        <w:rPr>
          <w:rFonts w:hint="eastAsia" w:ascii="仿宋_GB2312" w:eastAsia="仿宋_GB2312"/>
          <w:sz w:val="28"/>
          <w:szCs w:val="28"/>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 xml:space="preserve">  广州市净水有限公司江高分公司2022年保密室装修项目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JGX-20220815-1</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自有资金</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40557.59元（人民币）</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 xml:space="preserve"> 项目拟定装修一间保密室，安装物理防护建设（门、墙、窗、屏风）；保密室内家具；保密制度（保密宣传挂画）等。</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计划工期   □交货期  □服务期为</w:t>
      </w:r>
      <w:r>
        <w:rPr>
          <w:rFonts w:hint="eastAsia" w:ascii="仿宋_GB2312" w:eastAsia="仿宋_GB2312"/>
          <w:color w:val="auto"/>
          <w:sz w:val="28"/>
          <w:szCs w:val="28"/>
          <w:highlight w:val="none"/>
          <w:u w:val="single"/>
          <w:lang w:val="en-US" w:eastAsia="zh-CN"/>
        </w:rPr>
        <w:t>30个日历日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建设地点  □交货地点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广州市净水有限公司江高分公司</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施工质量要求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货物质量标准或主要技术性能指标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服务质量要求或服务标准如下：</w:t>
      </w:r>
      <w:r>
        <w:rPr>
          <w:rFonts w:hint="eastAsia" w:ascii="仿宋_GB2312" w:hAnsi="仿宋_GB2312" w:eastAsia="仿宋_GB2312" w:cs="仿宋_GB2312"/>
          <w:sz w:val="28"/>
          <w:szCs w:val="28"/>
          <w:u w:val="single"/>
        </w:rPr>
        <w:t xml:space="preserve">  所提供报价货物/设备均为符合涉密资质要求。</w:t>
      </w:r>
    </w:p>
    <w:p>
      <w:pPr>
        <w:adjustRightInd w:val="0"/>
        <w:snapToGrid w:val="0"/>
        <w:spacing w:line="600" w:lineRule="exact"/>
        <w:ind w:left="0" w:right="-370" w:rightChars="-176" w:firstLine="0" w:firstLineChars="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（2）供应商应当具备</w:t>
      </w:r>
      <w:r>
        <w:rPr>
          <w:rFonts w:hint="eastAsia" w:ascii="仿宋" w:hAnsi="仿宋" w:eastAsia="仿宋" w:cs="仿宋"/>
          <w:color w:val="auto"/>
          <w:sz w:val="28"/>
          <w:szCs w:val="28"/>
          <w:u w:val="single"/>
        </w:rPr>
        <w:t>广东省国家保密局涉密资质乙级证书和涉密设备维修维护证书</w:t>
      </w:r>
      <w:r>
        <w:rPr>
          <w:rFonts w:hint="eastAsia" w:ascii="仿宋" w:hAnsi="仿宋" w:eastAsia="仿宋" w:cs="仿宋"/>
          <w:color w:val="auto"/>
          <w:sz w:val="28"/>
          <w:szCs w:val="28"/>
          <w:u w:val="single"/>
          <w:lang w:val="en-US" w:eastAsia="zh-CN"/>
        </w:rPr>
        <w:t>资质，</w:t>
      </w:r>
      <w:r>
        <w:rPr>
          <w:rFonts w:hint="eastAsia" w:ascii="仿宋" w:hAnsi="仿宋" w:eastAsia="仿宋" w:cs="仿宋"/>
          <w:color w:val="auto"/>
          <w:sz w:val="28"/>
          <w:szCs w:val="28"/>
          <w:u w:val="single"/>
        </w:rPr>
        <w:t>具备开展保密室维修等</w:t>
      </w:r>
      <w:r>
        <w:rPr>
          <w:rFonts w:hint="eastAsia" w:ascii="仿宋_GB2312" w:eastAsia="仿宋_GB2312"/>
          <w:color w:val="auto"/>
          <w:sz w:val="28"/>
          <w:szCs w:val="28"/>
          <w:highlight w:val="none"/>
        </w:rPr>
        <w:t>资质。</w:t>
      </w:r>
    </w:p>
    <w:p>
      <w:pPr>
        <w:adjustRightInd w:val="0"/>
        <w:snapToGrid w:val="0"/>
        <w:spacing w:line="600" w:lineRule="exact"/>
        <w:jc w:val="left"/>
        <w:rPr>
          <w:rFonts w:hint="eastAsia" w:ascii="仿宋_GB2312" w:eastAsia="仿宋_GB2312"/>
          <w:color w:val="auto"/>
          <w:sz w:val="28"/>
          <w:szCs w:val="28"/>
          <w:highlight w:val="none"/>
          <w:shd w:val="clear" w:color="auto" w:fill="auto"/>
        </w:rPr>
      </w:pPr>
      <w:r>
        <w:rPr>
          <w:rFonts w:hint="eastAsia" w:ascii="仿宋_GB2312" w:eastAsia="仿宋_GB2312"/>
          <w:color w:val="auto"/>
          <w:sz w:val="28"/>
          <w:szCs w:val="28"/>
          <w:highlight w:val="none"/>
        </w:rPr>
        <w:sym w:font="Wingdings 2" w:char="00A3"/>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000000"/>
          <w:kern w:val="0"/>
          <w:sz w:val="28"/>
          <w:szCs w:val="28"/>
          <w:highlight w:val="none"/>
          <w:u w:val="none"/>
        </w:rPr>
        <w:t>201</w:t>
      </w:r>
      <w:r>
        <w:rPr>
          <w:rFonts w:hint="eastAsia" w:ascii="仿宋_GB2312" w:hAnsi="仿宋_GB2312" w:eastAsia="仿宋_GB2312" w:cs="仿宋_GB2312"/>
          <w:color w:val="000000"/>
          <w:kern w:val="0"/>
          <w:sz w:val="28"/>
          <w:szCs w:val="28"/>
          <w:highlight w:val="none"/>
          <w:u w:val="none"/>
          <w:lang w:val="en-US" w:eastAsia="zh-CN"/>
        </w:rPr>
        <w:t>9</w:t>
      </w:r>
      <w:r>
        <w:rPr>
          <w:rFonts w:hint="eastAsia" w:ascii="仿宋_GB2312" w:hAnsi="仿宋_GB2312" w:eastAsia="仿宋_GB2312" w:cs="仿宋_GB2312"/>
          <w:color w:val="000000"/>
          <w:kern w:val="0"/>
          <w:sz w:val="28"/>
          <w:szCs w:val="28"/>
          <w:highlight w:val="none"/>
          <w:u w:val="none"/>
        </w:rPr>
        <w:t>年1月1日至今</w:t>
      </w:r>
      <w:r>
        <w:rPr>
          <w:rFonts w:hint="eastAsia" w:ascii="仿宋_GB2312" w:hAnsi="仿宋_GB2312" w:eastAsia="仿宋_GB2312" w:cs="仿宋_GB2312"/>
          <w:color w:val="000000"/>
          <w:kern w:val="0"/>
          <w:sz w:val="28"/>
          <w:szCs w:val="28"/>
          <w:highlight w:val="none"/>
          <w:u w:val="none"/>
          <w:lang w:eastAsia="zh-CN"/>
        </w:rPr>
        <w:t>，供应商最少具有一项单项合同金额不少于本询价项目保密项目之一的供货业绩。（提供合同复印件证明，包括但不限于项目名称、金额及实施内容、合同签字盖章、签订日期，加盖单位公章）</w:t>
      </w:r>
    </w:p>
    <w:p>
      <w:pPr>
        <w:pStyle w:val="21"/>
        <w:adjustRightInd w:val="0"/>
        <w:snapToGrid w:val="0"/>
        <w:spacing w:line="600" w:lineRule="exact"/>
        <w:ind w:firstLine="0"/>
        <w:jc w:val="left"/>
        <w:rPr>
          <w:rFonts w:hint="eastAsia" w:ascii="仿宋_GB2312" w:eastAsia="仿宋_GB2312"/>
          <w:color w:val="auto"/>
          <w:sz w:val="28"/>
          <w:szCs w:val="28"/>
          <w:highlight w:val="none"/>
          <w:shd w:val="clear" w:color="auto" w:fill="auto"/>
        </w:rPr>
      </w:pPr>
      <w:r>
        <w:rPr>
          <w:rFonts w:hint="eastAsia" w:ascii="仿宋_GB2312" w:eastAsia="仿宋_GB2312"/>
          <w:color w:val="auto"/>
          <w:sz w:val="28"/>
          <w:szCs w:val="28"/>
          <w:highlight w:val="none"/>
          <w:shd w:val="clear" w:color="auto" w:fill="auto"/>
        </w:rPr>
        <w:sym w:font="Wingdings 2" w:char="00A3"/>
      </w:r>
      <w:r>
        <w:rPr>
          <w:rFonts w:hint="eastAsia" w:ascii="仿宋_GB2312" w:eastAsia="仿宋_GB2312"/>
          <w:color w:val="auto"/>
          <w:sz w:val="28"/>
          <w:szCs w:val="28"/>
          <w:highlight w:val="none"/>
          <w:shd w:val="clear" w:color="auto" w:fill="auto"/>
        </w:rPr>
        <w:t>（4）项目负责人应当具备</w:t>
      </w:r>
      <w:r>
        <w:rPr>
          <w:rFonts w:hint="eastAsia" w:ascii="仿宋" w:hAnsi="仿宋" w:eastAsia="仿宋" w:cs="仿宋"/>
          <w:sz w:val="28"/>
          <w:szCs w:val="28"/>
          <w:u w:val="single"/>
        </w:rPr>
        <w:t xml:space="preserve">             /                  </w:t>
      </w:r>
      <w:r>
        <w:rPr>
          <w:rFonts w:hint="eastAsia" w:ascii="仿宋_GB2312" w:eastAsia="仿宋_GB2312"/>
          <w:color w:val="auto"/>
          <w:sz w:val="28"/>
          <w:szCs w:val="28"/>
          <w:highlight w:val="none"/>
          <w:shd w:val="clear" w:color="auto" w:fill="auto"/>
        </w:rPr>
        <w:t>资格条件。</w:t>
      </w:r>
    </w:p>
    <w:p>
      <w:pPr>
        <w:pStyle w:val="21"/>
        <w:adjustRightInd w:val="0"/>
        <w:snapToGrid w:val="0"/>
        <w:spacing w:line="600" w:lineRule="exact"/>
        <w:ind w:firstLine="0"/>
        <w:jc w:val="left"/>
        <w:rPr>
          <w:rFonts w:hint="eastAsia" w:ascii="仿宋_GB2312" w:eastAsia="仿宋_GB2312"/>
          <w:color w:val="auto"/>
          <w:sz w:val="28"/>
          <w:szCs w:val="28"/>
          <w:highlight w:val="none"/>
          <w:u w:val="single"/>
          <w:shd w:val="clear" w:color="auto" w:fill="auto"/>
        </w:rPr>
      </w:pPr>
      <w:r>
        <w:rPr>
          <w:rFonts w:hint="eastAsia" w:ascii="仿宋_GB2312" w:eastAsia="仿宋_GB2312"/>
          <w:color w:val="auto"/>
          <w:sz w:val="28"/>
          <w:szCs w:val="28"/>
          <w:highlight w:val="none"/>
          <w:shd w:val="clear" w:color="auto" w:fill="auto"/>
        </w:rPr>
        <w:sym w:font="Wingdings 2" w:char="0052"/>
      </w:r>
      <w:r>
        <w:rPr>
          <w:rFonts w:hint="eastAsia" w:ascii="仿宋_GB2312" w:eastAsia="仿宋_GB2312"/>
          <w:color w:val="auto"/>
          <w:sz w:val="28"/>
          <w:szCs w:val="28"/>
          <w:highlight w:val="none"/>
          <w:shd w:val="clear" w:color="auto" w:fill="auto"/>
        </w:rPr>
        <w:t>（</w:t>
      </w:r>
      <w:r>
        <w:rPr>
          <w:rFonts w:hint="eastAsia" w:ascii="仿宋_GB2312" w:eastAsia="仿宋_GB2312"/>
          <w:color w:val="auto"/>
          <w:sz w:val="28"/>
          <w:szCs w:val="28"/>
          <w:highlight w:val="none"/>
          <w:shd w:val="clear" w:color="auto" w:fill="auto"/>
          <w:lang w:val="en-US" w:eastAsia="zh-CN"/>
        </w:rPr>
        <w:t>5</w:t>
      </w:r>
      <w:r>
        <w:rPr>
          <w:rFonts w:hint="eastAsia" w:ascii="仿宋_GB2312" w:eastAsia="仿宋_GB2312"/>
          <w:color w:val="auto"/>
          <w:sz w:val="28"/>
          <w:szCs w:val="28"/>
          <w:highlight w:val="none"/>
          <w:shd w:val="clear" w:color="auto" w:fill="auto"/>
        </w:rPr>
        <w:t>）其他要求：</w:t>
      </w:r>
      <w:r>
        <w:rPr>
          <w:rFonts w:hint="eastAsia" w:ascii="仿宋_GB2312" w:eastAsia="仿宋_GB2312"/>
          <w:color w:val="auto"/>
          <w:sz w:val="28"/>
          <w:szCs w:val="28"/>
          <w:highlight w:val="none"/>
          <w:u w:val="single"/>
          <w:shd w:val="clear" w:color="auto" w:fill="auto"/>
        </w:rPr>
        <w:t>供应商须出具承诺函，承诺所提供报价货物/设备均为制造商全新原装产品。</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（8）被最高人民法院在</w:t>
      </w:r>
      <w:r>
        <w:rPr>
          <w:rFonts w:ascii="仿宋_GB2312" w:eastAsia="仿宋_GB2312"/>
          <w:color w:val="auto"/>
          <w:sz w:val="28"/>
          <w:szCs w:val="28"/>
          <w:highlight w:val="none"/>
        </w:rPr>
        <w:t>“</w:t>
      </w:r>
      <w:r>
        <w:rPr>
          <w:rFonts w:hint="eastAsia" w:ascii="仿宋_GB2312" w:eastAsia="仿宋_GB2312"/>
          <w:color w:val="auto"/>
          <w:sz w:val="28"/>
          <w:szCs w:val="28"/>
          <w:highlight w:val="none"/>
        </w:rPr>
        <w:t>信用中国</w:t>
      </w:r>
      <w:r>
        <w:rPr>
          <w:rFonts w:ascii="仿宋_GB2312" w:eastAsia="仿宋_GB2312"/>
          <w:color w:val="auto"/>
          <w:sz w:val="28"/>
          <w:szCs w:val="28"/>
          <w:highlight w:val="none"/>
        </w:rPr>
        <w:t>”</w:t>
      </w:r>
      <w:r>
        <w:rPr>
          <w:rFonts w:hint="eastAsia" w:ascii="仿宋_GB2312" w:eastAsia="仿宋_GB2312"/>
          <w:color w:val="auto"/>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16</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22</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t>□</w:t>
      </w:r>
      <w:r>
        <w:rPr>
          <w:rFonts w:hint="eastAsia" w:ascii="仿宋_GB2312" w:eastAsia="仿宋_GB2312"/>
          <w:color w:val="auto"/>
          <w:sz w:val="28"/>
          <w:szCs w:val="28"/>
          <w:highlight w:val="none"/>
        </w:rPr>
        <w:t>不组织</w:t>
      </w:r>
    </w:p>
    <w:p>
      <w:pPr>
        <w:keepNext w:val="0"/>
        <w:keepLines w:val="0"/>
        <w:pageBreakBefore w:val="0"/>
        <w:widowControl w:val="0"/>
        <w:kinsoku/>
        <w:wordWrap/>
        <w:overflowPunct/>
        <w:topLinePunct w:val="0"/>
        <w:autoSpaceDE/>
        <w:autoSpaceDN/>
        <w:bidi w:val="0"/>
        <w:adjustRightInd w:val="0"/>
        <w:snapToGrid w:val="0"/>
        <w:spacing w:line="360" w:lineRule="auto"/>
        <w:rPr>
          <w:rFonts w:hint="eastAsia" w:ascii="仿宋_GB2312" w:eastAsia="仿宋_GB2312"/>
          <w:color w:val="auto"/>
          <w:sz w:val="28"/>
          <w:szCs w:val="28"/>
          <w:highlight w:val="none"/>
          <w:lang w:val="zh-CN" w:eastAsia="zh-CN"/>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供应商可</w:t>
      </w:r>
      <w:r>
        <w:rPr>
          <w:rFonts w:hint="eastAsia" w:ascii="仿宋_GB2312" w:eastAsia="仿宋_GB2312"/>
          <w:color w:val="auto"/>
          <w:sz w:val="28"/>
          <w:szCs w:val="28"/>
          <w:highlight w:val="none"/>
          <w:lang w:val="zh-CN" w:eastAsia="zh-CN"/>
        </w:rPr>
        <w:t>自行</w:t>
      </w:r>
      <w:r>
        <w:rPr>
          <w:rFonts w:hint="eastAsia" w:ascii="仿宋_GB2312" w:eastAsia="仿宋_GB2312"/>
          <w:color w:val="auto"/>
          <w:sz w:val="28"/>
          <w:szCs w:val="28"/>
          <w:highlight w:val="none"/>
          <w:lang w:val="en-US" w:eastAsia="zh-CN"/>
        </w:rPr>
        <w:t>选择是否前往现场踏勘</w:t>
      </w:r>
      <w:r>
        <w:rPr>
          <w:rFonts w:hint="eastAsia" w:ascii="仿宋_GB2312" w:eastAsia="仿宋_GB2312"/>
          <w:color w:val="auto"/>
          <w:sz w:val="28"/>
          <w:szCs w:val="28"/>
          <w:highlight w:val="none"/>
          <w:lang w:val="zh-CN" w:eastAsia="zh-CN"/>
        </w:rPr>
        <w:t>，</w:t>
      </w:r>
      <w:r>
        <w:rPr>
          <w:rFonts w:hint="eastAsia" w:ascii="仿宋_GB2312" w:eastAsia="仿宋_GB2312"/>
          <w:color w:val="auto"/>
          <w:sz w:val="28"/>
          <w:szCs w:val="28"/>
          <w:highlight w:val="none"/>
          <w:lang w:val="en-US" w:eastAsia="zh-CN"/>
        </w:rPr>
        <w:t>若前往现场踏勘须在规定时间内到达集中地点，逾期不再接待</w:t>
      </w:r>
      <w:r>
        <w:rPr>
          <w:rFonts w:hint="eastAsia" w:ascii="仿宋_GB2312" w:eastAsia="仿宋_GB2312"/>
          <w:color w:val="auto"/>
          <w:sz w:val="28"/>
          <w:szCs w:val="28"/>
          <w:highlight w:val="none"/>
          <w:lang w:val="zh-CN" w:eastAsia="zh-CN"/>
        </w:rPr>
        <w:t>。</w:t>
      </w:r>
    </w:p>
    <w:p>
      <w:pPr>
        <w:pStyle w:val="21"/>
        <w:keepNext w:val="0"/>
        <w:keepLines w:val="0"/>
        <w:pageBreakBefore w:val="0"/>
        <w:widowControl w:val="0"/>
        <w:kinsoku/>
        <w:wordWrap/>
        <w:overflowPunct/>
        <w:topLinePunct w:val="0"/>
        <w:autoSpaceDE/>
        <w:autoSpaceDN/>
        <w:bidi w:val="0"/>
        <w:snapToGrid w:val="0"/>
        <w:spacing w:line="360" w:lineRule="auto"/>
        <w:ind w:firstLine="840" w:firstLineChars="300"/>
        <w:rPr>
          <w:rFonts w:hint="eastAsia"/>
          <w:lang w:val="zh-CN" w:eastAsia="zh-CN"/>
        </w:rPr>
      </w:pPr>
      <w:r>
        <w:rPr>
          <w:rFonts w:hint="eastAsia" w:ascii="仿宋" w:hAnsi="仿宋" w:eastAsia="仿宋" w:cs="仿宋"/>
          <w:sz w:val="28"/>
          <w:szCs w:val="28"/>
          <w:lang w:val="zh-CN" w:eastAsia="zh-CN"/>
        </w:rPr>
        <w:t>防疫要求：基于疫情防控形势，授权委托人须通过“广州净水公司”微信公众号当天（提前）预约，填写访客预约信息（包括：1.近7天内行程有异地中高风险地区及所在的县（市、区、旗）旅居史的来（返）穗人员拒绝来访；2.近7天行程内有异地本土疫情报告的县（市、区、旗）旅居史的来（返）穗人员应持有抵穗后来访前的两次核酸检测阴性证明，即“三天两检”（每次至少间隔24小时）3.上述1、2项以外临时来访人员，应持有抵穗后来访前</w:t>
      </w:r>
      <w:r>
        <w:rPr>
          <w:rFonts w:hint="eastAsia" w:ascii="仿宋" w:hAnsi="仿宋" w:eastAsia="仿宋" w:cs="仿宋"/>
          <w:sz w:val="28"/>
          <w:szCs w:val="28"/>
          <w:lang w:val="en-US" w:eastAsia="zh-CN"/>
        </w:rPr>
        <w:t>48</w:t>
      </w:r>
      <w:r>
        <w:rPr>
          <w:rFonts w:hint="eastAsia" w:ascii="仿宋" w:hAnsi="仿宋" w:eastAsia="仿宋" w:cs="仿宋"/>
          <w:sz w:val="28"/>
          <w:szCs w:val="28"/>
          <w:lang w:val="zh-CN" w:eastAsia="zh-CN"/>
        </w:rPr>
        <w:t>小时内核酸检测阴性证明。待被访部室审核员审批通过后，凭访客手机生成的“通行访客码”通行。于门岗处测温并扫码填写调查问卷，手机显示问卷“提交成功”后方可进入厂区。</w:t>
      </w:r>
    </w:p>
    <w:p>
      <w:pPr>
        <w:keepNext w:val="0"/>
        <w:keepLines w:val="0"/>
        <w:pageBreakBefore w:val="0"/>
        <w:widowControl w:val="0"/>
        <w:kinsoku/>
        <w:wordWrap/>
        <w:overflowPunct/>
        <w:topLinePunct w:val="0"/>
        <w:autoSpaceDE/>
        <w:autoSpaceDN/>
        <w:bidi w:val="0"/>
        <w:snapToGrid w:val="0"/>
        <w:spacing w:line="360" w:lineRule="auto"/>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踏勘现场联系人：黄工</w:t>
      </w:r>
    </w:p>
    <w:p>
      <w:pPr>
        <w:keepNext w:val="0"/>
        <w:keepLines w:val="0"/>
        <w:pageBreakBefore w:val="0"/>
        <w:widowControl w:val="0"/>
        <w:kinsoku/>
        <w:wordWrap/>
        <w:overflowPunct/>
        <w:topLinePunct w:val="0"/>
        <w:autoSpaceDE/>
        <w:autoSpaceDN/>
        <w:bidi w:val="0"/>
        <w:snapToGrid w:val="0"/>
        <w:spacing w:line="360" w:lineRule="auto"/>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踏勘现场联系人联系方式：13828437284</w:t>
      </w:r>
    </w:p>
    <w:p>
      <w:pPr>
        <w:keepNext w:val="0"/>
        <w:keepLines w:val="0"/>
        <w:pageBreakBefore w:val="0"/>
        <w:widowControl w:val="0"/>
        <w:kinsoku/>
        <w:wordWrap/>
        <w:overflowPunct/>
        <w:topLinePunct w:val="0"/>
        <w:autoSpaceDE/>
        <w:autoSpaceDN/>
        <w:bidi w:val="0"/>
        <w:adjustRightInd w:val="0"/>
        <w:snapToGrid w:val="0"/>
        <w:spacing w:line="360" w:lineRule="auto"/>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踏勘时间：</w:t>
      </w:r>
      <w:r>
        <w:rPr>
          <w:rFonts w:hint="eastAsia" w:ascii="仿宋_GB2312" w:eastAsia="仿宋_GB2312"/>
          <w:color w:val="auto"/>
          <w:sz w:val="28"/>
          <w:szCs w:val="28"/>
          <w:highlight w:val="none"/>
          <w:lang w:val="en-US" w:eastAsia="zh-CN"/>
        </w:rPr>
        <w:t>2022年8月18日10时00分</w:t>
      </w:r>
      <w:r>
        <w:rPr>
          <w:rFonts w:hint="eastAsia" w:ascii="仿宋_GB2312" w:eastAsia="仿宋_GB2312" w:hAnsiTheme="minorHAnsi"/>
          <w:color w:val="auto"/>
          <w:sz w:val="28"/>
          <w:szCs w:val="28"/>
          <w:highlight w:val="none"/>
          <w:u w:val="non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踏勘集中地点：广州市白云区江高镇南贤路1号广州市净水有限公司江高分公司</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keepNext w:val="0"/>
        <w:keepLines w:val="0"/>
        <w:pageBreakBefore w:val="0"/>
        <w:widowControl w:val="0"/>
        <w:kinsoku/>
        <w:wordWrap/>
        <w:overflowPunct/>
        <w:topLinePunct w:val="0"/>
        <w:autoSpaceDE/>
        <w:autoSpaceDN/>
        <w:bidi w:val="0"/>
        <w:adjustRightInd w:val="0"/>
        <w:snapToGrid w:val="0"/>
        <w:spacing w:line="360" w:lineRule="auto"/>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23</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keepNext w:val="0"/>
        <w:keepLines w:val="0"/>
        <w:pageBreakBefore w:val="0"/>
        <w:widowControl w:val="0"/>
        <w:kinsoku/>
        <w:wordWrap/>
        <w:overflowPunct/>
        <w:topLinePunct w:val="0"/>
        <w:autoSpaceDE/>
        <w:autoSpaceDN/>
        <w:bidi w:val="0"/>
        <w:adjustRightInd w:val="0"/>
        <w:snapToGrid w:val="0"/>
        <w:spacing w:line="360" w:lineRule="auto"/>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u w:val="single"/>
        </w:rPr>
        <w:t>广州市白云区江高镇南贤路1号广州市净水有限公司江高分公司。</w:t>
      </w:r>
    </w:p>
    <w:p>
      <w:pPr>
        <w:pStyle w:val="21"/>
        <w:keepNext w:val="0"/>
        <w:keepLines w:val="0"/>
        <w:pageBreakBefore w:val="0"/>
        <w:widowControl w:val="0"/>
        <w:kinsoku/>
        <w:wordWrap/>
        <w:overflowPunct/>
        <w:topLinePunct w:val="0"/>
        <w:autoSpaceDE/>
        <w:autoSpaceDN/>
        <w:bidi w:val="0"/>
        <w:snapToGrid w:val="0"/>
        <w:spacing w:line="360" w:lineRule="auto"/>
        <w:ind w:firstLine="560" w:firstLineChars="200"/>
        <w:rPr>
          <w:rFonts w:hint="default" w:eastAsia="仿宋_GB2312"/>
          <w:color w:val="auto"/>
          <w:highlight w:val="none"/>
          <w:lang w:val="en-US" w:eastAsia="zh-CN"/>
        </w:rPr>
      </w:pPr>
      <w:r>
        <w:rPr>
          <w:rFonts w:hint="eastAsia" w:ascii="仿宋_GB2312" w:eastAsia="仿宋_GB2312"/>
          <w:color w:val="auto"/>
          <w:sz w:val="28"/>
          <w:szCs w:val="28"/>
          <w:highlight w:val="none"/>
          <w:lang w:val="en-US" w:eastAsia="zh-CN"/>
        </w:rPr>
        <w:t>防疫要求：基于目前疫情防控形势，我分公司仅接受快递或自行送达形式递交响应文件，响应文件须于递交截止时间前送达，并放置于分公司东门保安处。</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lang w:val="en-US" w:eastAsia="zh-CN"/>
        </w:rPr>
        <w:t>38890841/</w:t>
      </w:r>
      <w:r>
        <w:rPr>
          <w:rFonts w:hint="eastAsia" w:ascii="仿宋_GB2312" w:hAnsi="仿宋" w:eastAsia="仿宋_GB2312"/>
          <w:color w:val="auto"/>
          <w:sz w:val="28"/>
          <w:szCs w:val="28"/>
          <w:highlight w:val="none"/>
          <w:u w:val="single"/>
          <w:lang w:val="en-US" w:eastAsia="zh-CN"/>
        </w:rPr>
        <w:t>62315524</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10</w:t>
      </w:r>
      <w:r>
        <w:rPr>
          <w:rFonts w:hint="eastAsia" w:asciiTheme="minorEastAsia" w:hAnsiTheme="minorEastAsia"/>
          <w:b/>
          <w:color w:val="auto"/>
          <w:sz w:val="32"/>
          <w:szCs w:val="32"/>
          <w:highlight w:val="none"/>
        </w:rPr>
        <w:t>.联系方式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5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514" w:type="dxa"/>
          </w:tcPr>
          <w:p>
            <w:pPr>
              <w:adjustRightInd w:val="0"/>
              <w:snapToGrid w:val="0"/>
              <w:spacing w:line="600" w:lineRule="exact"/>
              <w:jc w:val="left"/>
              <w:rPr>
                <w:rFonts w:hint="default" w:ascii="仿宋_GB2312" w:eastAsia="仿宋_GB2312"/>
                <w:color w:val="auto"/>
                <w:sz w:val="28"/>
                <w:szCs w:val="28"/>
                <w:highlight w:val="none"/>
                <w:lang w:val="en-US"/>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广州市净水有限公司江高分公司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514"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：广州市白云区江高镇南贤路1号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514" w:type="dxa"/>
          </w:tcPr>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514"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：020-61991900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514" w:type="dxa"/>
          </w:tcPr>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15</w:t>
            </w:r>
            <w:r>
              <w:rPr>
                <w:rFonts w:hint="eastAsia" w:ascii="仿宋_GB2312" w:eastAsia="仿宋_GB2312"/>
                <w:color w:val="auto"/>
                <w:sz w:val="28"/>
                <w:szCs w:val="28"/>
                <w:highlight w:val="none"/>
              </w:rPr>
              <w:t>日</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rFonts w:hint="eastAsia"/>
          <w:color w:val="auto"/>
          <w:highlight w:val="none"/>
        </w:rPr>
      </w:pPr>
      <w:bookmarkStart w:id="13" w:name="_Toc10891"/>
    </w:p>
    <w:p>
      <w:pPr>
        <w:pStyle w:val="4"/>
        <w:rPr>
          <w:rFonts w:hint="eastAsia"/>
          <w:color w:val="auto"/>
          <w:highlight w:val="none"/>
        </w:rPr>
      </w:pPr>
      <w:bookmarkStart w:id="14" w:name="_Toc16557"/>
      <w:bookmarkStart w:id="15" w:name="_Toc2324"/>
      <w:bookmarkStart w:id="16" w:name="_Toc2331"/>
      <w:bookmarkStart w:id="17" w:name="_Toc7340"/>
      <w:bookmarkStart w:id="18" w:name="_Toc23749"/>
      <w:bookmarkStart w:id="19" w:name="_Toc16705"/>
      <w:bookmarkStart w:id="20" w:name="_Toc32588"/>
      <w:bookmarkStart w:id="21" w:name="_Toc19295"/>
      <w:bookmarkStart w:id="22" w:name="_Toc9448"/>
      <w:bookmarkStart w:id="23" w:name="_Toc25603"/>
    </w:p>
    <w:p>
      <w:pPr>
        <w:pStyle w:val="4"/>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3416"/>
      <w:bookmarkStart w:id="25" w:name="_Toc2339"/>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rPr>
          <w:rFonts w:hint="eastAsia"/>
        </w:rPr>
      </w:pPr>
      <w:r>
        <w:rPr>
          <w:rFonts w:hint="eastAsia"/>
        </w:rPr>
        <w:br w:type="page"/>
      </w: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1"/>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7"/>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3"/>
        <w:tblW w:w="0" w:type="auto"/>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1"/>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7"/>
        <w:rPr>
          <w:color w:val="auto"/>
          <w:highlight w:val="none"/>
        </w:rPr>
      </w:pPr>
    </w:p>
    <w:p>
      <w:pPr>
        <w:pStyle w:val="37"/>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26" w:name="_Toc2867"/>
      <w:bookmarkStart w:id="27" w:name="_Toc21455"/>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7"/>
        <w:rPr>
          <w:color w:val="auto"/>
          <w:highlight w:val="none"/>
        </w:rPr>
      </w:pPr>
    </w:p>
    <w:p>
      <w:pPr>
        <w:pStyle w:val="5"/>
        <w:rPr>
          <w:color w:val="auto"/>
          <w:highlight w:val="none"/>
        </w:rPr>
      </w:pPr>
      <w:bookmarkStart w:id="28" w:name="_Toc87616371"/>
      <w:bookmarkStart w:id="29" w:name="_Toc7303"/>
      <w:bookmarkStart w:id="30" w:name="_Toc7040"/>
      <w:bookmarkStart w:id="31" w:name="_Toc88209934"/>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ind w:firstLine="0"/>
        <w:rPr>
          <w:rFonts w:ascii="方正小标宋简体" w:eastAsia="方正小标宋简体"/>
          <w:color w:val="auto"/>
          <w:sz w:val="44"/>
          <w:szCs w:val="44"/>
          <w:highlight w:val="none"/>
        </w:rPr>
      </w:pPr>
    </w:p>
    <w:p>
      <w:pPr>
        <w:pStyle w:val="21"/>
        <w:ind w:firstLine="0"/>
        <w:rPr>
          <w:rFonts w:ascii="方正小标宋简体" w:eastAsia="方正小标宋简体"/>
          <w:color w:val="auto"/>
          <w:sz w:val="44"/>
          <w:szCs w:val="44"/>
          <w:highlight w:val="none"/>
        </w:rPr>
      </w:pPr>
    </w:p>
    <w:p>
      <w:pPr>
        <w:pStyle w:val="5"/>
        <w:rPr>
          <w:color w:val="auto"/>
          <w:highlight w:val="none"/>
        </w:rPr>
      </w:pPr>
      <w:bookmarkStart w:id="32" w:name="_Toc24895"/>
      <w:bookmarkStart w:id="33" w:name="_Toc3789"/>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14552"/>
      <w:bookmarkStart w:id="35" w:name="_Toc20594"/>
      <w:bookmarkStart w:id="36" w:name="_Toc10930"/>
      <w:bookmarkStart w:id="37" w:name="_Toc3156"/>
      <w:bookmarkStart w:id="38" w:name="_Toc23581"/>
      <w:bookmarkStart w:id="39" w:name="_Toc4952"/>
      <w:bookmarkStart w:id="40" w:name="_Toc7437"/>
      <w:bookmarkStart w:id="41" w:name="_Toc14870"/>
      <w:bookmarkStart w:id="42" w:name="_Toc19050"/>
      <w:bookmarkStart w:id="43" w:name="_Toc7118"/>
      <w:bookmarkStart w:id="44" w:name="_Toc19759"/>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7"/>
        <w:rPr>
          <w:color w:val="auto"/>
          <w:highlight w:val="none"/>
        </w:rPr>
      </w:pPr>
    </w:p>
    <w:p>
      <w:pPr>
        <w:pStyle w:val="4"/>
        <w:rPr>
          <w:color w:val="auto"/>
          <w:highlight w:val="none"/>
        </w:rPr>
      </w:pPr>
      <w:bookmarkStart w:id="45" w:name="_Toc30530"/>
      <w:bookmarkStart w:id="46" w:name="_Toc13898"/>
      <w:bookmarkStart w:id="47" w:name="_Toc21079"/>
      <w:bookmarkStart w:id="48" w:name="_Toc29484"/>
      <w:bookmarkStart w:id="49" w:name="_Toc6308"/>
      <w:bookmarkStart w:id="50" w:name="_Toc87616378"/>
      <w:bookmarkStart w:id="51" w:name="_Toc7831"/>
      <w:bookmarkStart w:id="52" w:name="_Toc22212"/>
      <w:bookmarkStart w:id="53" w:name="_Toc29345"/>
      <w:bookmarkStart w:id="54" w:name="_Toc32607"/>
      <w:bookmarkStart w:id="55" w:name="_Toc21840"/>
      <w:bookmarkStart w:id="56" w:name="_Toc12177"/>
      <w:bookmarkStart w:id="57" w:name="_Toc88209941"/>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7"/>
        <w:rPr>
          <w:rFonts w:ascii="方正小标宋简体" w:eastAsia="方正小标宋简体"/>
          <w:color w:val="auto"/>
          <w:sz w:val="44"/>
          <w:szCs w:val="44"/>
          <w:highlight w:val="none"/>
        </w:rPr>
      </w:pPr>
    </w:p>
    <w:p>
      <w:pPr>
        <w:pStyle w:val="7"/>
        <w:rPr>
          <w:rFonts w:ascii="方正小标宋简体" w:eastAsia="方正小标宋简体"/>
          <w:color w:val="auto"/>
          <w:sz w:val="44"/>
          <w:szCs w:val="44"/>
          <w:highlight w:val="none"/>
        </w:rPr>
      </w:pPr>
    </w:p>
    <w:p>
      <w:pPr>
        <w:pStyle w:val="21"/>
        <w:ind w:firstLine="0"/>
        <w:rPr>
          <w:rFonts w:ascii="方正小标宋简体" w:eastAsia="方正小标宋简体"/>
          <w:color w:val="auto"/>
          <w:sz w:val="44"/>
          <w:szCs w:val="44"/>
          <w:highlight w:val="none"/>
        </w:rPr>
      </w:pPr>
    </w:p>
    <w:p>
      <w:pPr>
        <w:pStyle w:val="5"/>
        <w:rPr>
          <w:color w:val="auto"/>
          <w:highlight w:val="none"/>
        </w:rPr>
      </w:pPr>
      <w:bookmarkStart w:id="58" w:name="_Toc26826"/>
      <w:bookmarkStart w:id="59" w:name="_Toc23033"/>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法定代表人授权委托</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有授权书</w:t>
            </w:r>
            <w:r>
              <w:rPr>
                <w:rFonts w:hint="eastAsia" w:ascii="仿宋_GB2312" w:eastAsia="仿宋_GB2312"/>
                <w:color w:val="auto"/>
                <w:sz w:val="24"/>
                <w:szCs w:val="24"/>
                <w:highlight w:val="none"/>
              </w:rPr>
              <w:t>，</w:t>
            </w:r>
            <w:r>
              <w:rPr>
                <w:rFonts w:ascii="仿宋_GB2312" w:eastAsia="仿宋_GB2312"/>
                <w:color w:val="auto"/>
                <w:sz w:val="24"/>
                <w:szCs w:val="24"/>
                <w:highlight w:val="none"/>
              </w:rPr>
              <w:t>授权书有法定代表人及其委托代理人签字并加盖单位</w:t>
            </w:r>
            <w:r>
              <w:rPr>
                <w:rFonts w:hint="eastAsia" w:ascii="仿宋_GB2312" w:eastAsia="仿宋_GB2312"/>
                <w:color w:val="auto"/>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4"/>
        <w:rPr>
          <w:color w:val="auto"/>
          <w:highlight w:val="none"/>
        </w:rPr>
      </w:pPr>
      <w:bookmarkStart w:id="60" w:name="_Toc88209947"/>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p>
      <w:pPr>
        <w:pStyle w:val="5"/>
        <w:rPr>
          <w:rFonts w:hint="eastAsia"/>
          <w:color w:val="auto"/>
          <w:szCs w:val="44"/>
          <w:highlight w:val="none"/>
        </w:rPr>
      </w:pPr>
    </w:p>
    <w:bookmarkEnd w:id="60"/>
    <w:p>
      <w:pPr>
        <w:ind w:firstLine="560" w:firstLineChars="200"/>
        <w:rPr>
          <w:rFonts w:ascii="仿宋_GB2312" w:eastAsia="仿宋_GB2312"/>
          <w:color w:val="auto"/>
          <w:sz w:val="28"/>
          <w:szCs w:val="28"/>
          <w:highlight w:val="none"/>
        </w:rPr>
      </w:pPr>
    </w:p>
    <w:p>
      <w:pPr>
        <w:pStyle w:val="21"/>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8"/>
        <w:rPr>
          <w:rFonts w:ascii="仿宋_GB2312" w:eastAsia="仿宋_GB2312"/>
          <w:color w:val="auto"/>
          <w:sz w:val="28"/>
          <w:szCs w:val="28"/>
          <w:highlight w:val="none"/>
        </w:rPr>
      </w:pPr>
    </w:p>
    <w:p>
      <w:pPr>
        <w:pStyle w:val="28"/>
        <w:rPr>
          <w:rFonts w:ascii="仿宋_GB2312" w:eastAsia="仿宋_GB2312"/>
          <w:color w:val="auto"/>
          <w:sz w:val="28"/>
          <w:szCs w:val="28"/>
          <w:highlight w:val="none"/>
        </w:rPr>
      </w:pPr>
    </w:p>
    <w:p>
      <w:pPr>
        <w:pStyle w:val="28"/>
        <w:rPr>
          <w:rFonts w:ascii="仿宋_GB2312" w:eastAsia="仿宋_GB2312"/>
          <w:color w:val="auto"/>
          <w:sz w:val="28"/>
          <w:szCs w:val="28"/>
          <w:highlight w:val="none"/>
        </w:rPr>
      </w:pPr>
    </w:p>
    <w:p>
      <w:pPr>
        <w:pStyle w:val="21"/>
        <w:ind w:left="0" w:leftChars="0" w:firstLine="0" w:firstLineChars="0"/>
        <w:rPr>
          <w:color w:val="auto"/>
          <w:highlight w:val="none"/>
        </w:rPr>
      </w:pPr>
    </w:p>
    <w:p>
      <w:pPr>
        <w:pStyle w:val="11"/>
        <w:adjustRightInd w:val="0"/>
        <w:snapToGrid w:val="0"/>
        <w:spacing w:line="300" w:lineRule="auto"/>
        <w:rPr>
          <w:rFonts w:hint="eastAsia" w:ascii="仿宋_GB2312" w:hAnsi="仿宋_GB2312" w:eastAsia="仿宋_GB2312" w:cs="仿宋_GB2312"/>
          <w:bCs/>
          <w:color w:val="000000"/>
          <w:sz w:val="30"/>
          <w:szCs w:val="30"/>
        </w:rPr>
      </w:pPr>
      <w:r>
        <w:rPr>
          <w:rFonts w:hint="eastAsia" w:ascii="仿宋_GB2312" w:hAnsi="仿宋_GB2312" w:eastAsia="仿宋_GB2312" w:cs="仿宋_GB2312"/>
          <w:b/>
          <w:color w:val="000000"/>
          <w:sz w:val="28"/>
          <w:szCs w:val="28"/>
          <w:lang w:val="zh-CN"/>
        </w:rPr>
        <w:t>一、项目情况介绍</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项目位于广州市净水有限公司</w:t>
      </w:r>
      <w:r>
        <w:rPr>
          <w:rFonts w:hint="eastAsia" w:ascii="仿宋_GB2312" w:hAnsi="仿宋_GB2312" w:eastAsia="仿宋_GB2312" w:cs="仿宋_GB2312"/>
          <w:sz w:val="28"/>
          <w:szCs w:val="28"/>
          <w:lang w:val="en-US" w:eastAsia="zh-CN"/>
        </w:rPr>
        <w:t>江高</w:t>
      </w:r>
      <w:r>
        <w:rPr>
          <w:rFonts w:hint="eastAsia" w:ascii="仿宋_GB2312" w:hAnsi="仿宋_GB2312" w:eastAsia="仿宋_GB2312" w:cs="仿宋_GB2312"/>
          <w:sz w:val="28"/>
          <w:szCs w:val="28"/>
        </w:rPr>
        <w:t>分公司。本项目拟定采购物理防护建设（门、墙、窗、屏风）；保密室内家具；保密制度（保密宣传挂画）等。</w:t>
      </w:r>
    </w:p>
    <w:p>
      <w:pPr>
        <w:pStyle w:val="11"/>
        <w:widowControl/>
        <w:numPr>
          <w:ilvl w:val="0"/>
          <w:numId w:val="4"/>
        </w:numPr>
        <w:adjustRightInd w:val="0"/>
        <w:snapToGrid w:val="0"/>
        <w:spacing w:line="300" w:lineRule="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
          <w:color w:val="000000"/>
          <w:sz w:val="28"/>
          <w:szCs w:val="28"/>
          <w:lang w:val="zh-CN"/>
        </w:rPr>
        <w:t>项目技术要求</w:t>
      </w:r>
    </w:p>
    <w:p>
      <w:pPr>
        <w:pStyle w:val="11"/>
        <w:adjustRightInd w:val="0"/>
        <w:snapToGrid w:val="0"/>
        <w:spacing w:line="300" w:lineRule="auto"/>
        <w:ind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工程量清单：</w:t>
      </w:r>
    </w:p>
    <w:tbl>
      <w:tblPr>
        <w:tblStyle w:val="22"/>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37"/>
        <w:gridCol w:w="740"/>
        <w:gridCol w:w="1076"/>
        <w:gridCol w:w="1031"/>
        <w:gridCol w:w="2139"/>
        <w:gridCol w:w="666"/>
        <w:gridCol w:w="717"/>
        <w:gridCol w:w="19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5"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auto"/>
                <w:sz w:val="24"/>
                <w:szCs w:val="24"/>
                <w:u w:val="none"/>
              </w:rPr>
            </w:pPr>
            <w:r>
              <w:rPr>
                <w:rFonts w:hint="eastAsia" w:ascii="仿宋_GB2312" w:hAnsi="仿宋_GB2312" w:eastAsia="仿宋_GB2312" w:cs="仿宋_GB2312"/>
                <w:b/>
                <w:i w:val="0"/>
                <w:color w:val="auto"/>
                <w:kern w:val="0"/>
                <w:sz w:val="24"/>
                <w:szCs w:val="24"/>
                <w:u w:val="none"/>
                <w:lang w:val="en-US" w:eastAsia="zh-CN" w:bidi="ar"/>
              </w:rPr>
              <w:t>序号</w:t>
            </w:r>
          </w:p>
        </w:tc>
        <w:tc>
          <w:tcPr>
            <w:tcW w:w="4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auto"/>
                <w:sz w:val="24"/>
                <w:szCs w:val="24"/>
                <w:u w:val="none"/>
              </w:rPr>
            </w:pPr>
            <w:r>
              <w:rPr>
                <w:rFonts w:hint="eastAsia" w:ascii="仿宋_GB2312" w:hAnsi="仿宋_GB2312" w:eastAsia="仿宋_GB2312" w:cs="仿宋_GB2312"/>
                <w:b/>
                <w:i w:val="0"/>
                <w:color w:val="auto"/>
                <w:kern w:val="0"/>
                <w:sz w:val="24"/>
                <w:szCs w:val="24"/>
                <w:u w:val="none"/>
                <w:lang w:val="en-US" w:eastAsia="zh-CN" w:bidi="ar"/>
              </w:rPr>
              <w:t>分项</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auto"/>
                <w:sz w:val="24"/>
                <w:szCs w:val="24"/>
                <w:u w:val="none"/>
              </w:rPr>
            </w:pPr>
            <w:r>
              <w:rPr>
                <w:rFonts w:hint="eastAsia" w:ascii="仿宋_GB2312" w:hAnsi="仿宋_GB2312" w:eastAsia="仿宋_GB2312" w:cs="仿宋_GB2312"/>
                <w:b/>
                <w:i w:val="0"/>
                <w:color w:val="auto"/>
                <w:kern w:val="0"/>
                <w:sz w:val="24"/>
                <w:szCs w:val="24"/>
                <w:u w:val="none"/>
                <w:lang w:val="en-US" w:eastAsia="zh-CN" w:bidi="ar"/>
              </w:rPr>
              <w:t>设备名称</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auto"/>
                <w:sz w:val="24"/>
                <w:szCs w:val="24"/>
                <w:u w:val="none"/>
              </w:rPr>
            </w:pPr>
            <w:r>
              <w:rPr>
                <w:rFonts w:hint="eastAsia" w:ascii="仿宋_GB2312" w:hAnsi="仿宋_GB2312" w:eastAsia="仿宋_GB2312" w:cs="仿宋_GB2312"/>
                <w:b/>
                <w:i w:val="0"/>
                <w:color w:val="auto"/>
                <w:kern w:val="0"/>
                <w:sz w:val="24"/>
                <w:szCs w:val="24"/>
                <w:u w:val="none"/>
                <w:lang w:val="en-US" w:eastAsia="zh-CN" w:bidi="ar"/>
              </w:rPr>
              <w:t>型号</w:t>
            </w:r>
          </w:p>
        </w:tc>
        <w:tc>
          <w:tcPr>
            <w:tcW w:w="1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auto"/>
                <w:sz w:val="24"/>
                <w:szCs w:val="24"/>
                <w:u w:val="none"/>
              </w:rPr>
            </w:pPr>
            <w:r>
              <w:rPr>
                <w:rFonts w:hint="eastAsia" w:ascii="仿宋_GB2312" w:hAnsi="仿宋_GB2312" w:eastAsia="仿宋_GB2312" w:cs="仿宋_GB2312"/>
                <w:b/>
                <w:i w:val="0"/>
                <w:color w:val="auto"/>
                <w:kern w:val="0"/>
                <w:sz w:val="24"/>
                <w:szCs w:val="24"/>
                <w:u w:val="none"/>
                <w:lang w:val="en-US" w:eastAsia="zh-CN" w:bidi="ar"/>
              </w:rPr>
              <w:t>性能规格</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auto"/>
                <w:sz w:val="24"/>
                <w:szCs w:val="24"/>
                <w:u w:val="none"/>
              </w:rPr>
            </w:pPr>
            <w:r>
              <w:rPr>
                <w:rFonts w:hint="eastAsia" w:ascii="仿宋_GB2312" w:hAnsi="仿宋_GB2312" w:eastAsia="仿宋_GB2312" w:cs="仿宋_GB2312"/>
                <w:b/>
                <w:i w:val="0"/>
                <w:color w:val="auto"/>
                <w:kern w:val="0"/>
                <w:sz w:val="24"/>
                <w:szCs w:val="24"/>
                <w:u w:val="none"/>
                <w:lang w:val="en-US" w:eastAsia="zh-CN" w:bidi="ar"/>
              </w:rPr>
              <w:t>数量</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auto"/>
                <w:sz w:val="24"/>
                <w:szCs w:val="24"/>
                <w:u w:val="none"/>
              </w:rPr>
            </w:pPr>
            <w:r>
              <w:rPr>
                <w:rFonts w:hint="eastAsia" w:ascii="仿宋_GB2312" w:hAnsi="仿宋_GB2312" w:eastAsia="仿宋_GB2312" w:cs="仿宋_GB2312"/>
                <w:b/>
                <w:i w:val="0"/>
                <w:color w:val="auto"/>
                <w:kern w:val="0"/>
                <w:sz w:val="24"/>
                <w:szCs w:val="24"/>
                <w:u w:val="none"/>
                <w:lang w:val="en-US" w:eastAsia="zh-CN" w:bidi="ar"/>
              </w:rPr>
              <w:t>单位</w:t>
            </w:r>
          </w:p>
        </w:tc>
        <w:tc>
          <w:tcPr>
            <w:tcW w:w="11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auto"/>
                <w:sz w:val="24"/>
                <w:szCs w:val="24"/>
                <w:u w:val="none"/>
              </w:rPr>
            </w:pPr>
            <w:r>
              <w:rPr>
                <w:rFonts w:hint="eastAsia" w:ascii="仿宋_GB2312" w:hAnsi="仿宋_GB2312" w:eastAsia="仿宋_GB2312" w:cs="仿宋_GB2312"/>
                <w:b/>
                <w:i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182"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1</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防盗门</w:t>
            </w:r>
          </w:p>
        </w:tc>
        <w:tc>
          <w:tcPr>
            <w:tcW w:w="6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甲级防盗门</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定制</w:t>
            </w:r>
          </w:p>
        </w:tc>
        <w:tc>
          <w:tcPr>
            <w:tcW w:w="1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甲级防盗门（860*2100）</w:t>
            </w: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w:t>
            </w:r>
          </w:p>
        </w:tc>
        <w:tc>
          <w:tcPr>
            <w:tcW w:w="4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扇</w:t>
            </w:r>
          </w:p>
        </w:tc>
        <w:tc>
          <w:tcPr>
            <w:tcW w:w="11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rPr>
              <w:t>需要用符合 GB 17565 要求的甲级防盗安全门，并提供公安部的检测报告</w:t>
            </w:r>
            <w:r>
              <w:rPr>
                <w:rFonts w:hint="eastAsia" w:ascii="仿宋_GB2312" w:hAnsi="仿宋_GB2312" w:eastAsia="仿宋_GB2312" w:cs="仿宋_GB2312"/>
                <w:i w:val="0"/>
                <w:color w:val="auto"/>
                <w:sz w:val="24"/>
                <w:szCs w:val="24"/>
                <w:u w:val="none"/>
                <w:lang w:eastAsia="zh-CN"/>
              </w:rPr>
              <w:t>。（</w:t>
            </w:r>
            <w:r>
              <w:rPr>
                <w:rFonts w:hint="eastAsia" w:ascii="仿宋_GB2312" w:hAnsi="仿宋_GB2312" w:eastAsia="仿宋_GB2312" w:cs="仿宋_GB2312"/>
                <w:i w:val="0"/>
                <w:color w:val="auto"/>
                <w:sz w:val="24"/>
                <w:szCs w:val="24"/>
                <w:u w:val="none"/>
                <w:lang w:val="en-US" w:eastAsia="zh-CN"/>
              </w:rPr>
              <w:t>冷轧钢、龙骨架、防火阻燃材料，配备机械锁</w:t>
            </w:r>
            <w:r>
              <w:rPr>
                <w:rFonts w:hint="eastAsia" w:ascii="仿宋_GB2312" w:hAnsi="仿宋_GB2312" w:eastAsia="仿宋_GB2312" w:cs="仿宋_GB2312"/>
                <w:i w:val="0"/>
                <w:color w:val="auto"/>
                <w:sz w:val="24"/>
                <w:szCs w:val="24"/>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2</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auto"/>
                <w:sz w:val="24"/>
                <w:szCs w:val="24"/>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门禁</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国产</w:t>
            </w:r>
          </w:p>
        </w:tc>
        <w:tc>
          <w:tcPr>
            <w:tcW w:w="1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指纹密码锁</w:t>
            </w: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w:t>
            </w:r>
          </w:p>
        </w:tc>
        <w:tc>
          <w:tcPr>
            <w:tcW w:w="4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个</w:t>
            </w:r>
          </w:p>
        </w:tc>
        <w:tc>
          <w:tcPr>
            <w:tcW w:w="11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指纹密码一体锁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3</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auto"/>
                <w:sz w:val="24"/>
                <w:szCs w:val="24"/>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闭合器</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定制</w:t>
            </w:r>
          </w:p>
        </w:tc>
        <w:tc>
          <w:tcPr>
            <w:tcW w:w="1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自动闭合器</w:t>
            </w: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w:t>
            </w:r>
          </w:p>
        </w:tc>
        <w:tc>
          <w:tcPr>
            <w:tcW w:w="4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个</w:t>
            </w:r>
          </w:p>
        </w:tc>
        <w:tc>
          <w:tcPr>
            <w:tcW w:w="11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门锁自动闭合器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84"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4</w:t>
            </w:r>
          </w:p>
        </w:tc>
        <w:tc>
          <w:tcPr>
            <w:tcW w:w="4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防盗网</w:t>
            </w:r>
          </w:p>
        </w:tc>
        <w:tc>
          <w:tcPr>
            <w:tcW w:w="6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实心钢条防盗网</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定制</w:t>
            </w:r>
          </w:p>
        </w:tc>
        <w:tc>
          <w:tcPr>
            <w:tcW w:w="1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实心钢条防盗网</w:t>
            </w: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32</w:t>
            </w:r>
          </w:p>
        </w:tc>
        <w:tc>
          <w:tcPr>
            <w:tcW w:w="4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w:t>
            </w:r>
          </w:p>
        </w:tc>
        <w:tc>
          <w:tcPr>
            <w:tcW w:w="11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不足一平方时按一平方计算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48"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5</w:t>
            </w:r>
          </w:p>
        </w:tc>
        <w:tc>
          <w:tcPr>
            <w:tcW w:w="417" w:type="pct"/>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装修工程</w:t>
            </w:r>
          </w:p>
        </w:tc>
        <w:tc>
          <w:tcPr>
            <w:tcW w:w="6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砌墙</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定制</w:t>
            </w:r>
          </w:p>
        </w:tc>
        <w:tc>
          <w:tcPr>
            <w:tcW w:w="1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18MM厚砖墙，房间四周墙壁均未到顶</w:t>
            </w: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7</w:t>
            </w:r>
          </w:p>
        </w:tc>
        <w:tc>
          <w:tcPr>
            <w:tcW w:w="4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vertAlign w:val="superscript"/>
                <w:lang w:val="en-US" w:eastAsia="zh-CN"/>
              </w:rPr>
            </w:pPr>
            <w:r>
              <w:rPr>
                <w:rFonts w:hint="eastAsia" w:ascii="仿宋_GB2312" w:hAnsi="仿宋_GB2312" w:eastAsia="仿宋_GB2312" w:cs="仿宋_GB2312"/>
                <w:i w:val="0"/>
                <w:color w:val="auto"/>
                <w:sz w:val="32"/>
                <w:szCs w:val="32"/>
                <w:u w:val="none"/>
                <w:vertAlign w:val="baseline"/>
                <w:lang w:val="en-US" w:eastAsia="zh-CN"/>
              </w:rPr>
              <w:t>m</w:t>
            </w:r>
            <w:r>
              <w:rPr>
                <w:rFonts w:hint="eastAsia" w:ascii="仿宋_GB2312" w:hAnsi="仿宋_GB2312" w:eastAsia="仿宋_GB2312" w:cs="仿宋_GB2312"/>
                <w:i w:val="0"/>
                <w:color w:val="auto"/>
                <w:sz w:val="32"/>
                <w:szCs w:val="32"/>
                <w:u w:val="none"/>
                <w:vertAlign w:val="superscript"/>
                <w:lang w:val="en-US" w:eastAsia="zh-CN"/>
              </w:rPr>
              <w:t>3</w:t>
            </w:r>
          </w:p>
        </w:tc>
        <w:tc>
          <w:tcPr>
            <w:tcW w:w="11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不足一平方时按一平方计算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6</w:t>
            </w:r>
          </w:p>
        </w:tc>
        <w:tc>
          <w:tcPr>
            <w:tcW w:w="417" w:type="pct"/>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auto"/>
                <w:sz w:val="24"/>
                <w:szCs w:val="24"/>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扇灰</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定制</w:t>
            </w:r>
          </w:p>
        </w:tc>
        <w:tc>
          <w:tcPr>
            <w:tcW w:w="1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墙面扇灰，新砌砖墙墙壁（不含天花内墙壁）</w:t>
            </w: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63</w:t>
            </w:r>
          </w:p>
        </w:tc>
        <w:tc>
          <w:tcPr>
            <w:tcW w:w="4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w:t>
            </w:r>
          </w:p>
        </w:tc>
        <w:tc>
          <w:tcPr>
            <w:tcW w:w="11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不足一平方时按一平方计算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7</w:t>
            </w:r>
          </w:p>
        </w:tc>
        <w:tc>
          <w:tcPr>
            <w:tcW w:w="417" w:type="pct"/>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auto"/>
                <w:sz w:val="24"/>
                <w:szCs w:val="24"/>
                <w:u w:val="none"/>
              </w:rPr>
            </w:pPr>
          </w:p>
        </w:tc>
        <w:tc>
          <w:tcPr>
            <w:tcW w:w="606"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天花</w:t>
            </w:r>
          </w:p>
        </w:tc>
        <w:tc>
          <w:tcPr>
            <w:tcW w:w="581"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定制</w:t>
            </w:r>
          </w:p>
        </w:tc>
        <w:tc>
          <w:tcPr>
            <w:tcW w:w="1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拆除天花</w:t>
            </w: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240" w:firstLineChars="100"/>
              <w:jc w:val="both"/>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30</w:t>
            </w:r>
          </w:p>
        </w:tc>
        <w:tc>
          <w:tcPr>
            <w:tcW w:w="4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kern w:val="0"/>
                <w:sz w:val="24"/>
                <w:szCs w:val="24"/>
                <w:u w:val="none"/>
                <w:lang w:val="en-US" w:eastAsia="zh-CN" w:bidi="ar"/>
              </w:rPr>
              <w:t>㎡</w:t>
            </w:r>
          </w:p>
        </w:tc>
        <w:tc>
          <w:tcPr>
            <w:tcW w:w="1106"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不足一平方时按一平方计算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2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8</w:t>
            </w:r>
          </w:p>
        </w:tc>
        <w:tc>
          <w:tcPr>
            <w:tcW w:w="417" w:type="pct"/>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auto"/>
                <w:sz w:val="24"/>
                <w:szCs w:val="24"/>
                <w:u w:val="none"/>
              </w:rPr>
            </w:pPr>
          </w:p>
        </w:tc>
        <w:tc>
          <w:tcPr>
            <w:tcW w:w="606"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581"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1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修补天花,天花扇灰及加油漆，22平方米</w:t>
            </w: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30</w:t>
            </w:r>
          </w:p>
        </w:tc>
        <w:tc>
          <w:tcPr>
            <w:tcW w:w="4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w:t>
            </w:r>
          </w:p>
        </w:tc>
        <w:tc>
          <w:tcPr>
            <w:tcW w:w="1106"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9</w:t>
            </w:r>
          </w:p>
        </w:tc>
        <w:tc>
          <w:tcPr>
            <w:tcW w:w="417" w:type="pct"/>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auto"/>
                <w:sz w:val="24"/>
                <w:szCs w:val="24"/>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施工</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定制</w:t>
            </w:r>
          </w:p>
        </w:tc>
        <w:tc>
          <w:tcPr>
            <w:tcW w:w="1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垃圾清运</w:t>
            </w: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8</w:t>
            </w:r>
          </w:p>
        </w:tc>
        <w:tc>
          <w:tcPr>
            <w:tcW w:w="4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vertAlign w:val="superscript"/>
                <w:lang w:val="en-US" w:eastAsia="zh-CN"/>
              </w:rPr>
            </w:pPr>
            <w:r>
              <w:rPr>
                <w:rFonts w:hint="eastAsia" w:ascii="仿宋_GB2312" w:hAnsi="仿宋_GB2312" w:eastAsia="仿宋_GB2312" w:cs="仿宋_GB2312"/>
                <w:i w:val="0"/>
                <w:color w:val="auto"/>
                <w:sz w:val="24"/>
                <w:szCs w:val="24"/>
                <w:u w:val="none"/>
                <w:lang w:val="en-US" w:eastAsia="zh-CN"/>
              </w:rPr>
              <w:t>dm</w:t>
            </w:r>
            <w:r>
              <w:rPr>
                <w:rFonts w:hint="eastAsia" w:ascii="仿宋_GB2312" w:hAnsi="仿宋_GB2312" w:eastAsia="仿宋_GB2312" w:cs="仿宋_GB2312"/>
                <w:i w:val="0"/>
                <w:color w:val="auto"/>
                <w:sz w:val="24"/>
                <w:szCs w:val="24"/>
                <w:u w:val="none"/>
                <w:vertAlign w:val="superscript"/>
                <w:lang w:val="en-US" w:eastAsia="zh-CN"/>
              </w:rPr>
              <w:t>3</w:t>
            </w:r>
          </w:p>
        </w:tc>
        <w:tc>
          <w:tcPr>
            <w:tcW w:w="11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10</w:t>
            </w:r>
          </w:p>
        </w:tc>
        <w:tc>
          <w:tcPr>
            <w:tcW w:w="417"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auto"/>
                <w:sz w:val="24"/>
                <w:szCs w:val="24"/>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凿墙</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定制</w:t>
            </w:r>
          </w:p>
        </w:tc>
        <w:tc>
          <w:tcPr>
            <w:tcW w:w="1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u w:val="none"/>
                <w:lang w:val="en-US" w:eastAsia="zh-CN" w:bidi="ar"/>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4</w:t>
            </w:r>
          </w:p>
        </w:tc>
        <w:tc>
          <w:tcPr>
            <w:tcW w:w="4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kern w:val="0"/>
                <w:sz w:val="24"/>
                <w:szCs w:val="24"/>
                <w:u w:val="none"/>
                <w:lang w:val="en-US" w:eastAsia="zh-CN" w:bidi="ar"/>
              </w:rPr>
              <w:t>㎡</w:t>
            </w:r>
          </w:p>
        </w:tc>
        <w:tc>
          <w:tcPr>
            <w:tcW w:w="11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2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11</w:t>
            </w:r>
          </w:p>
        </w:tc>
        <w:tc>
          <w:tcPr>
            <w:tcW w:w="417"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auto"/>
                <w:sz w:val="24"/>
                <w:szCs w:val="24"/>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墙面修护</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定制</w:t>
            </w:r>
          </w:p>
        </w:tc>
        <w:tc>
          <w:tcPr>
            <w:tcW w:w="1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u w:val="none"/>
                <w:lang w:val="en-US" w:eastAsia="zh-CN" w:bidi="ar"/>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4</w:t>
            </w:r>
          </w:p>
        </w:tc>
        <w:tc>
          <w:tcPr>
            <w:tcW w:w="4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kern w:val="0"/>
                <w:sz w:val="24"/>
                <w:szCs w:val="24"/>
                <w:u w:val="none"/>
                <w:lang w:val="en-US" w:eastAsia="zh-CN" w:bidi="ar"/>
              </w:rPr>
              <w:t>㎡</w:t>
            </w:r>
          </w:p>
        </w:tc>
        <w:tc>
          <w:tcPr>
            <w:tcW w:w="11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12</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火警消防系统</w:t>
            </w:r>
          </w:p>
        </w:tc>
        <w:tc>
          <w:tcPr>
            <w:tcW w:w="6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烟雾报警器</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NP-Y1</w:t>
            </w:r>
          </w:p>
        </w:tc>
        <w:tc>
          <w:tcPr>
            <w:tcW w:w="1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供电方式：电源供电</w:t>
            </w:r>
          </w:p>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警戒方式：声音报警</w:t>
            </w: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w:t>
            </w:r>
          </w:p>
        </w:tc>
        <w:tc>
          <w:tcPr>
            <w:tcW w:w="4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个</w:t>
            </w:r>
          </w:p>
        </w:tc>
        <w:tc>
          <w:tcPr>
            <w:tcW w:w="11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49"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lang w:val="en-US"/>
              </w:rPr>
            </w:pPr>
            <w:r>
              <w:rPr>
                <w:rFonts w:hint="eastAsia" w:ascii="仿宋_GB2312" w:hAnsi="仿宋_GB2312" w:eastAsia="仿宋_GB2312" w:cs="仿宋_GB2312"/>
                <w:i w:val="0"/>
                <w:color w:val="auto"/>
                <w:kern w:val="0"/>
                <w:sz w:val="22"/>
                <w:szCs w:val="22"/>
                <w:u w:val="none"/>
                <w:lang w:val="en-US" w:eastAsia="zh-CN" w:bidi="ar"/>
              </w:rPr>
              <w:t>13</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auto"/>
                <w:sz w:val="24"/>
                <w:szCs w:val="24"/>
                <w:u w:val="none"/>
              </w:rPr>
            </w:pPr>
          </w:p>
        </w:tc>
        <w:tc>
          <w:tcPr>
            <w:tcW w:w="606"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自动灭火装置</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国产</w:t>
            </w:r>
          </w:p>
        </w:tc>
        <w:tc>
          <w:tcPr>
            <w:tcW w:w="1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悬挂式七氟丙烷自动灭火装置型号：19.3kg，净重19.3kg，安装高度＞3米，保护面积:20㎡</w:t>
            </w: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w:t>
            </w:r>
          </w:p>
        </w:tc>
        <w:tc>
          <w:tcPr>
            <w:tcW w:w="4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套</w:t>
            </w:r>
          </w:p>
        </w:tc>
        <w:tc>
          <w:tcPr>
            <w:tcW w:w="11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9"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lang w:val="en-US"/>
              </w:rPr>
            </w:pPr>
            <w:r>
              <w:rPr>
                <w:rFonts w:hint="eastAsia" w:ascii="仿宋_GB2312" w:hAnsi="仿宋_GB2312" w:eastAsia="仿宋_GB2312" w:cs="仿宋_GB2312"/>
                <w:i w:val="0"/>
                <w:color w:val="auto"/>
                <w:kern w:val="0"/>
                <w:sz w:val="22"/>
                <w:szCs w:val="22"/>
                <w:u w:val="none"/>
                <w:lang w:val="en-US" w:eastAsia="zh-CN" w:bidi="ar"/>
              </w:rPr>
              <w:t>14</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室内装饰</w:t>
            </w:r>
          </w:p>
        </w:tc>
        <w:tc>
          <w:tcPr>
            <w:tcW w:w="6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警示牌</w:t>
            </w:r>
          </w:p>
        </w:tc>
        <w:tc>
          <w:tcPr>
            <w:tcW w:w="5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定制</w:t>
            </w:r>
          </w:p>
        </w:tc>
        <w:tc>
          <w:tcPr>
            <w:tcW w:w="1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区域警示门牌，内容定制（24*12cm）</w:t>
            </w: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2</w:t>
            </w:r>
          </w:p>
        </w:tc>
        <w:tc>
          <w:tcPr>
            <w:tcW w:w="4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张</w:t>
            </w:r>
          </w:p>
        </w:tc>
        <w:tc>
          <w:tcPr>
            <w:tcW w:w="11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rPr>
              <w:t>警示牌</w:t>
            </w:r>
            <w:r>
              <w:rPr>
                <w:rFonts w:hint="eastAsia" w:ascii="仿宋_GB2312" w:hAnsi="仿宋_GB2312" w:eastAsia="仿宋_GB2312" w:cs="仿宋_GB2312"/>
                <w:i w:val="0"/>
                <w:color w:val="auto"/>
                <w:sz w:val="24"/>
                <w:szCs w:val="24"/>
                <w:u w:val="none"/>
                <w:lang w:val="en-US" w:eastAsia="zh-CN"/>
              </w:rPr>
              <w:t>为</w:t>
            </w:r>
            <w:r>
              <w:rPr>
                <w:rFonts w:hint="eastAsia" w:ascii="仿宋_GB2312" w:hAnsi="仿宋_GB2312" w:eastAsia="仿宋_GB2312" w:cs="仿宋_GB2312"/>
                <w:i w:val="0"/>
                <w:color w:val="auto"/>
                <w:sz w:val="24"/>
                <w:szCs w:val="24"/>
                <w:u w:val="none"/>
              </w:rPr>
              <w:t>亚克力材质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8"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lang w:val="en-US"/>
              </w:rPr>
            </w:pPr>
            <w:r>
              <w:rPr>
                <w:rFonts w:hint="eastAsia" w:ascii="仿宋_GB2312" w:hAnsi="仿宋_GB2312" w:eastAsia="仿宋_GB2312" w:cs="仿宋_GB2312"/>
                <w:i w:val="0"/>
                <w:color w:val="auto"/>
                <w:kern w:val="0"/>
                <w:sz w:val="22"/>
                <w:szCs w:val="22"/>
                <w:u w:val="none"/>
                <w:lang w:val="en-US" w:eastAsia="zh-CN" w:bidi="ar"/>
              </w:rPr>
              <w:t>15</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auto"/>
                <w:sz w:val="24"/>
                <w:szCs w:val="24"/>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宣传海报</w:t>
            </w:r>
          </w:p>
        </w:tc>
        <w:tc>
          <w:tcPr>
            <w:tcW w:w="5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定制</w:t>
            </w:r>
          </w:p>
        </w:tc>
        <w:tc>
          <w:tcPr>
            <w:tcW w:w="1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宣传海报（40*60）</w:t>
            </w: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w:t>
            </w:r>
          </w:p>
        </w:tc>
        <w:tc>
          <w:tcPr>
            <w:tcW w:w="4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套</w:t>
            </w:r>
          </w:p>
        </w:tc>
        <w:tc>
          <w:tcPr>
            <w:tcW w:w="11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6张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9"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lang w:val="en-US"/>
              </w:rPr>
            </w:pPr>
            <w:r>
              <w:rPr>
                <w:rFonts w:hint="eastAsia" w:ascii="仿宋_GB2312" w:hAnsi="仿宋_GB2312" w:eastAsia="仿宋_GB2312" w:cs="仿宋_GB2312"/>
                <w:i w:val="0"/>
                <w:color w:val="auto"/>
                <w:kern w:val="0"/>
                <w:sz w:val="22"/>
                <w:szCs w:val="22"/>
                <w:u w:val="none"/>
                <w:lang w:val="en-US" w:eastAsia="zh-CN" w:bidi="ar"/>
              </w:rPr>
              <w:t>16</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auto"/>
                <w:sz w:val="24"/>
                <w:szCs w:val="24"/>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可移动屏风</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定制</w:t>
            </w:r>
          </w:p>
        </w:tc>
        <w:tc>
          <w:tcPr>
            <w:tcW w:w="1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可移动屏风（40*180CM）</w:t>
            </w: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w:t>
            </w:r>
          </w:p>
        </w:tc>
        <w:tc>
          <w:tcPr>
            <w:tcW w:w="4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项</w:t>
            </w:r>
          </w:p>
        </w:tc>
        <w:tc>
          <w:tcPr>
            <w:tcW w:w="11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rPr>
              <w:t>屏风是</w:t>
            </w:r>
            <w:r>
              <w:rPr>
                <w:rFonts w:hint="eastAsia" w:ascii="仿宋_GB2312" w:hAnsi="仿宋_GB2312" w:eastAsia="仿宋_GB2312" w:cs="仿宋_GB2312"/>
                <w:i w:val="0"/>
                <w:color w:val="auto"/>
                <w:sz w:val="24"/>
                <w:szCs w:val="24"/>
                <w:u w:val="none"/>
                <w:lang w:val="en-US" w:eastAsia="zh-CN"/>
              </w:rPr>
              <w:t>折叠</w:t>
            </w:r>
            <w:r>
              <w:rPr>
                <w:rFonts w:hint="eastAsia" w:ascii="仿宋_GB2312" w:hAnsi="仿宋_GB2312" w:eastAsia="仿宋_GB2312" w:cs="仿宋_GB2312"/>
                <w:i w:val="0"/>
                <w:color w:val="auto"/>
                <w:sz w:val="24"/>
                <w:szCs w:val="24"/>
                <w:u w:val="none"/>
              </w:rPr>
              <w:t>款</w:t>
            </w:r>
            <w:r>
              <w:rPr>
                <w:rFonts w:hint="eastAsia" w:ascii="仿宋_GB2312" w:hAnsi="仿宋_GB2312" w:eastAsia="仿宋_GB2312" w:cs="仿宋_GB2312"/>
                <w:i w:val="0"/>
                <w:color w:val="auto"/>
                <w:sz w:val="24"/>
                <w:szCs w:val="24"/>
                <w:u w:val="none"/>
                <w:lang w:eastAsia="zh-CN"/>
              </w:rPr>
              <w:t>，</w:t>
            </w:r>
            <w:r>
              <w:rPr>
                <w:rFonts w:hint="eastAsia" w:ascii="仿宋_GB2312" w:hAnsi="仿宋_GB2312" w:eastAsia="仿宋_GB2312" w:cs="仿宋_GB2312"/>
                <w:i w:val="0"/>
                <w:color w:val="auto"/>
                <w:sz w:val="24"/>
                <w:szCs w:val="24"/>
                <w:u w:val="none"/>
                <w:lang w:val="en-US" w:eastAsia="zh-CN"/>
              </w:rPr>
              <w:t>材质为木质+油布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lang w:val="en-US"/>
              </w:rPr>
            </w:pPr>
            <w:r>
              <w:rPr>
                <w:rFonts w:hint="eastAsia" w:ascii="仿宋_GB2312" w:hAnsi="仿宋_GB2312" w:eastAsia="仿宋_GB2312" w:cs="仿宋_GB2312"/>
                <w:i w:val="0"/>
                <w:color w:val="auto"/>
                <w:kern w:val="0"/>
                <w:sz w:val="22"/>
                <w:szCs w:val="22"/>
                <w:u w:val="none"/>
                <w:lang w:val="en-US" w:eastAsia="zh-CN" w:bidi="ar"/>
              </w:rPr>
              <w:t>17</w:t>
            </w:r>
          </w:p>
        </w:tc>
        <w:tc>
          <w:tcPr>
            <w:tcW w:w="4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办公桌</w:t>
            </w:r>
          </w:p>
        </w:tc>
        <w:tc>
          <w:tcPr>
            <w:tcW w:w="6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办公桌</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定制</w:t>
            </w:r>
          </w:p>
        </w:tc>
        <w:tc>
          <w:tcPr>
            <w:tcW w:w="1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120*60*73CM，含椅子（椅子总高100CM,总宽57.5CM）</w:t>
            </w: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2</w:t>
            </w:r>
          </w:p>
        </w:tc>
        <w:tc>
          <w:tcPr>
            <w:tcW w:w="4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套</w:t>
            </w:r>
          </w:p>
        </w:tc>
        <w:tc>
          <w:tcPr>
            <w:tcW w:w="11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桌面为木质材料，支撑为铁架。椅子为可伸缩款式，地下有静音防滑滚轮。</w:t>
            </w:r>
          </w:p>
        </w:tc>
      </w:tr>
    </w:tbl>
    <w:p>
      <w:pPr>
        <w:pStyle w:val="2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注：以上材料均需符合涉密要求。</w:t>
      </w:r>
    </w:p>
    <w:p>
      <w:pPr>
        <w:pStyle w:val="2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三、项目商务要求</w:t>
      </w:r>
    </w:p>
    <w:p>
      <w:pPr>
        <w:pStyle w:val="2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1.包装、运输、安装、调试及保管、保险：</w:t>
      </w:r>
    </w:p>
    <w:p>
      <w:pPr>
        <w:pStyle w:val="2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（1）报价人所供货物应为制造商原装出厂包装，包装须符合同等相关标准，因包装不良造成的损失由报价人负责。</w:t>
      </w:r>
    </w:p>
    <w:p>
      <w:pPr>
        <w:pStyle w:val="2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（2）报价人负责将产品送到现场过程中的全部运输，包括装卸车、货物现场的搬运等。</w:t>
      </w:r>
    </w:p>
    <w:p>
      <w:pPr>
        <w:pStyle w:val="2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（3）供货期：合同签订后30日内到货；</w:t>
      </w:r>
    </w:p>
    <w:p>
      <w:pPr>
        <w:pStyle w:val="21"/>
        <w:ind w:firstLine="1120" w:firstLineChars="4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交货地点：广州市净水有限公司</w:t>
      </w:r>
      <w:r>
        <w:rPr>
          <w:rFonts w:hint="eastAsia" w:ascii="仿宋_GB2312" w:hAnsi="仿宋_GB2312" w:eastAsia="仿宋_GB2312" w:cs="仿宋_GB2312"/>
          <w:color w:val="auto"/>
          <w:sz w:val="28"/>
          <w:szCs w:val="28"/>
          <w:lang w:val="en-US" w:eastAsia="zh-CN"/>
        </w:rPr>
        <w:t>江高</w:t>
      </w:r>
      <w:r>
        <w:rPr>
          <w:rFonts w:hint="eastAsia" w:ascii="仿宋_GB2312" w:hAnsi="仿宋_GB2312" w:eastAsia="仿宋_GB2312" w:cs="仿宋_GB2312"/>
          <w:color w:val="auto"/>
          <w:sz w:val="28"/>
          <w:szCs w:val="28"/>
        </w:rPr>
        <w:t>分公司。</w:t>
      </w:r>
    </w:p>
    <w:p>
      <w:pPr>
        <w:pStyle w:val="2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2.质量保证及售后服务：</w:t>
      </w:r>
    </w:p>
    <w:p>
      <w:pPr>
        <w:pStyle w:val="2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（1）确保货物为原装未拆封或未使用的产品；</w:t>
      </w:r>
    </w:p>
    <w:p>
      <w:pPr>
        <w:pStyle w:val="2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（2）货物在质保期为自供货验收合格之日起1年内免费提供维保服务。</w:t>
      </w:r>
    </w:p>
    <w:p>
      <w:pPr>
        <w:pStyle w:val="2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（3）质保期如有质量问题，报价人必须24小时内派技术人员免费到现场进行维修。</w:t>
      </w:r>
    </w:p>
    <w:p>
      <w:pPr>
        <w:pStyle w:val="2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3.总包及分包规定：</w:t>
      </w:r>
    </w:p>
    <w:p>
      <w:pPr>
        <w:pStyle w:val="2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乙方不得转包、分包。否则，甲方有权单方面终止合同，拒收其货物，由此而造成的经济损失由乙方负责赔偿。</w:t>
      </w:r>
    </w:p>
    <w:p>
      <w:pPr>
        <w:pStyle w:val="2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4.询价人将自承包商履行完合同义务之日起15个工作日内组织验收，审定报价人供货的货物合格情况，进行结算审核。</w:t>
      </w:r>
    </w:p>
    <w:p>
      <w:pPr>
        <w:pStyle w:val="2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5.付款方式：</w:t>
      </w:r>
    </w:p>
    <w:p>
      <w:pPr>
        <w:pStyle w:val="2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（1）采用支票、银行汇票形式。</w:t>
      </w:r>
    </w:p>
    <w:p>
      <w:pPr>
        <w:pStyle w:val="2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（2）报价人在收款前需提交所交货物相应金额增值税专用发票给需求单位。</w:t>
      </w:r>
    </w:p>
    <w:p>
      <w:pPr>
        <w:pStyle w:val="2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6.承包方式：单价包干。</w:t>
      </w:r>
    </w:p>
    <w:p>
      <w:pPr>
        <w:pStyle w:val="21"/>
        <w:rPr>
          <w:rFonts w:ascii="仿宋_GB2312" w:eastAsia="仿宋_GB2312"/>
          <w:color w:val="auto"/>
          <w:sz w:val="28"/>
          <w:szCs w:val="28"/>
        </w:rPr>
      </w:pPr>
    </w:p>
    <w:p>
      <w:pPr>
        <w:pStyle w:val="21"/>
        <w:ind w:left="0" w:leftChars="0" w:firstLine="0" w:firstLineChars="0"/>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rPr>
          <w:rFonts w:hint="eastAsia"/>
          <w:color w:val="auto"/>
          <w:highlight w:val="none"/>
        </w:rPr>
      </w:pPr>
      <w:bookmarkStart w:id="61" w:name="_Toc1284"/>
      <w:bookmarkStart w:id="62" w:name="_Toc23330"/>
      <w:bookmarkStart w:id="63" w:name="_Toc1496"/>
      <w:bookmarkStart w:id="64" w:name="_Toc15570"/>
      <w:bookmarkStart w:id="65" w:name="_Toc18538"/>
      <w:bookmarkStart w:id="66" w:name="_Toc537"/>
      <w:bookmarkStart w:id="67" w:name="_Toc25925"/>
      <w:bookmarkStart w:id="68" w:name="_Toc4680"/>
      <w:bookmarkStart w:id="69" w:name="_Toc23353"/>
      <w:bookmarkStart w:id="70" w:name="_Toc29835"/>
      <w:bookmarkStart w:id="71" w:name="_Toc12135"/>
      <w:r>
        <w:rPr>
          <w:rFonts w:hint="eastAsia"/>
          <w:color w:val="auto"/>
          <w:highlight w:val="none"/>
        </w:rPr>
        <w:br w:type="page"/>
      </w:r>
    </w:p>
    <w:bookmarkEnd w:id="61"/>
    <w:bookmarkEnd w:id="62"/>
    <w:bookmarkEnd w:id="63"/>
    <w:bookmarkEnd w:id="64"/>
    <w:bookmarkEnd w:id="65"/>
    <w:bookmarkEnd w:id="66"/>
    <w:bookmarkEnd w:id="67"/>
    <w:bookmarkEnd w:id="68"/>
    <w:bookmarkEnd w:id="69"/>
    <w:bookmarkEnd w:id="70"/>
    <w:bookmarkEnd w:id="71"/>
    <w:p>
      <w:pPr>
        <w:pStyle w:val="21"/>
        <w:rPr>
          <w:rFonts w:ascii="仿宋_GB2312" w:eastAsia="仿宋_GB2312" w:hAnsiTheme="minorEastAsia"/>
          <w:color w:val="auto"/>
          <w:szCs w:val="21"/>
        </w:rPr>
      </w:pPr>
    </w:p>
    <w:p>
      <w:pPr>
        <w:pStyle w:val="21"/>
        <w:rPr>
          <w:rFonts w:ascii="仿宋_GB2312" w:eastAsia="仿宋_GB2312" w:hAnsiTheme="minorEastAsia"/>
          <w:color w:val="auto"/>
          <w:szCs w:val="21"/>
        </w:rPr>
      </w:pPr>
    </w:p>
    <w:p>
      <w:pPr>
        <w:pStyle w:val="21"/>
        <w:rPr>
          <w:rFonts w:ascii="仿宋_GB2312" w:eastAsia="仿宋_GB2312" w:hAnsiTheme="minorEastAsia"/>
          <w:color w:val="auto"/>
          <w:szCs w:val="21"/>
        </w:rPr>
      </w:pPr>
    </w:p>
    <w:p>
      <w:pPr>
        <w:pStyle w:val="21"/>
        <w:rPr>
          <w:rFonts w:ascii="仿宋_GB2312" w:eastAsia="仿宋_GB2312" w:hAnsiTheme="minorEastAsia"/>
          <w:color w:val="auto"/>
          <w:szCs w:val="21"/>
        </w:rPr>
      </w:pPr>
    </w:p>
    <w:p>
      <w:pPr>
        <w:pStyle w:val="21"/>
        <w:rPr>
          <w:rFonts w:ascii="仿宋_GB2312" w:eastAsia="仿宋_GB2312" w:hAnsiTheme="minorEastAsia"/>
          <w:color w:val="auto"/>
          <w:szCs w:val="21"/>
        </w:rPr>
      </w:pPr>
    </w:p>
    <w:p>
      <w:pPr>
        <w:pStyle w:val="21"/>
        <w:rPr>
          <w:rFonts w:ascii="仿宋_GB2312" w:eastAsia="仿宋_GB2312" w:hAnsiTheme="minorEastAsia"/>
          <w:color w:val="auto"/>
          <w:szCs w:val="21"/>
        </w:rPr>
      </w:pPr>
    </w:p>
    <w:p>
      <w:pPr>
        <w:pStyle w:val="21"/>
        <w:rPr>
          <w:rFonts w:ascii="仿宋_GB2312" w:eastAsia="仿宋_GB2312" w:hAnsiTheme="minorEastAsia"/>
          <w:color w:val="auto"/>
          <w:szCs w:val="21"/>
        </w:rPr>
      </w:pPr>
    </w:p>
    <w:p>
      <w:pPr>
        <w:pStyle w:val="21"/>
        <w:rPr>
          <w:rFonts w:ascii="仿宋_GB2312" w:eastAsia="仿宋_GB2312" w:hAnsiTheme="minorEastAsia"/>
          <w:color w:val="auto"/>
          <w:szCs w:val="21"/>
        </w:rPr>
      </w:pPr>
    </w:p>
    <w:p>
      <w:pPr>
        <w:pStyle w:val="4"/>
      </w:pPr>
    </w:p>
    <w:p>
      <w:pPr>
        <w:pStyle w:val="4"/>
      </w:pPr>
      <w:r>
        <mc:AlternateContent>
          <mc:Choice Requires="wps">
            <w:drawing>
              <wp:anchor distT="0" distB="0" distL="114300" distR="114300" simplePos="0" relativeHeight="251677696" behindDoc="0" locked="0" layoutInCell="1" allowOverlap="1">
                <wp:simplePos x="0" y="0"/>
                <wp:positionH relativeFrom="column">
                  <wp:posOffset>2211070</wp:posOffset>
                </wp:positionH>
                <wp:positionV relativeFrom="paragraph">
                  <wp:posOffset>520065</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74.1pt;margin-top:40.95pt;height:0pt;width:75.5pt;z-index:251677696;mso-width-relative:page;mso-height-relative:page;" filled="f" stroked="t" coordsize="21600,21600" o:gfxdata="UEsDBAoAAAAAAIdO4kAAAAAAAAAAAAAAAAAEAAAAZHJzL1BLAwQUAAAACACHTuJACylpV9YAAAAJ&#10;AQAADwAAAGRycy9kb3ducmV2LnhtbE2PwU7DMAyG70i8Q2QkLoglLQO1XdMJIXHgyDaJa9Z4baFx&#10;qiZdx54eIw7s6N+ffn8u1yfXiyOOofOkIVkoEEi1tx01Gnbb1/sMRIiGrOk9oYZvDLCurq9KU1g/&#10;0zseN7ERXEKhMBraGIdCylC36ExY+AGJdwc/OhN5HBtpRzNzuetlqtSTdKYjvtCaAV9arL82k9OA&#10;YXpM1HPumt3beb77SM+f87DV+vYmUSsQEU/xH4ZffVaHip32fiIbRK/hYZmljGrIkhwEA8s852D/&#10;F8iqlJcfVD9QSwMEFAAAAAgAh07iQCQdo6DyAQAA4gMAAA4AAABkcnMvZTJvRG9jLnhtbK1TvY4T&#10;MRDukXgHyz3ZJFJOuSibKxKOBkEk4AEmtnfXkv/k8WWTjg7xDHSUvAO8zUnwFoy9uRwcTQq28I49&#10;M9/M93m8vDlYw/Yqovau5pPRmDPlhJfatTX/8P72xZwzTOAkGO9UzY8K+c3q+bNlHxZq6jtvpIqM&#10;QBwu+lDzLqWwqCoUnbKAIx+UI2fjo4VE29hWMkJP6NZU0/H4qup9lCF6oRDpdDM4+QkxXgLom0YL&#10;tfHiziqXBtSoDCSihJ0OyFel26ZRIr1tGlSJmZoT01RWKkL2Lq/VagmLNkLotDi1AJe08ISTBe2o&#10;6BlqAwnYXdT/QFktokffpJHwthqIFEWIxWT8RJt3HQRVuJDUGM6i4/+DFW/228i0rPkVZw4sXfjP&#10;T99+ffx8/+XH/fev7Dor1AdcUODabeNph2EbM91DE23+ExF2KKoez6qqQ2KCDq9n8/mM9BYPruox&#10;L0RMr5S3LBs1xxRBt11ae+fo6nycFFFh/xoTVabEh4Rc1DjWZ/jpjMCBRrGhESDTBqKDri256I2W&#10;t9qYnIGx3a1NZHvI41C+zI9w/wrLRTaA3RBXXMOgdArkSydZOgYSytH74LkFqyRnRtFzyhYBwiKB&#10;NpdEUmnjqIMs8SBqtnZeHovW5ZyuvvR4GtM8W3/uS/bj01z9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spaVfWAAAACQEAAA8AAAAAAAAAAQAgAAAAIgAAAGRycy9kb3ducmV2LnhtbFBLAQIUABQA&#10;AAAIAIdO4kAkHaOg8gEAAOIDAAAOAAAAAAAAAAEAIAAAACUBAABkcnMvZTJvRG9jLnhtbFBLBQYA&#10;AAAABgAGAFkBAACJBQ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2192020</wp:posOffset>
                </wp:positionH>
                <wp:positionV relativeFrom="paragraph">
                  <wp:posOffset>99060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72.6pt;margin-top:7.8pt;height:0pt;width:75.5pt;z-index:251676672;mso-width-relative:page;mso-height-relative:page;" filled="f" stroked="t" coordsize="21600,21600" o:gfxdata="UEsDBAoAAAAAAIdO4kAAAAAAAAAAAAAAAAAEAAAAZHJzL1BLAwQUAAAACACHTuJAW9SEzdYAAAAJ&#10;AQAADwAAAGRycy9kb3ducmV2LnhtbE2PwU7DMBBE70j8g7VIXBC1E5qoDXEqhMSBI20lrm68TQLx&#10;OoqdpvTrWcQBjjvzNDtTbs6uFyccQ+dJQ7JQIJBqbztqNOx3L/crECEasqb3hBq+MMCmur4qTWH9&#10;TG942sZGcAiFwmhoYxwKKUPdojNh4Qck9o5+dCbyOTbSjmbmcNfLVKlcOtMRf2jNgM8t1p/byWnA&#10;MGWJelq7Zv96me/e08vHPOy0vr1J1COIiOf4B8NPfa4OFXc6+IlsEL2Gh2WWMspGloNgYLnOWTj8&#10;CrIq5f8F1TdQSwMEFAAAAAgAh07iQGNmbxz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i84c2Dpwn9+&#10;+vbr4+e7Lz/uvn9ly6zQELCmwI27iacdhpuY6R7aaPOfiLBDUfV4VlUdEhN0+GKxXC5Ib3Hvqh7y&#10;QsT0SnnLstFwTBF016eNd46uzsdZERX2rzFRZUq8T8hFjWNDhp9T6wJ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W9SEzdYAAAAJAQAADwAAAAAAAAABACAAAAAiAAAAZHJzL2Rvd25yZXYueG1sUEsBAhQAFAAA&#10;AAgAh07iQGNmbxzxAQAA4gMAAA4AAAAAAAAAAQAgAAAAJQEAAGRycy9lMm9Eb2MueG1sUEsFBgAA&#10;AAAGAAYAWQEAAIgFAAAAAA==&#10;">
                <v:fill on="f" focussize="0,0"/>
                <v:stroke color="#000000" joinstyle="round"/>
                <v:imagedata o:title=""/>
                <o:lock v:ext="edit" aspectratio="f"/>
              </v:shape>
            </w:pict>
          </mc:Fallback>
        </mc:AlternateContent>
      </w:r>
      <w:r>
        <w:rPr>
          <w:rFonts w:hint="eastAsia"/>
        </w:rPr>
        <w:t>第六章</w:t>
      </w:r>
    </w:p>
    <w:p>
      <w:pPr>
        <w:pStyle w:val="4"/>
      </w:pPr>
      <w:r>
        <w:rPr>
          <w:rFonts w:hint="eastAsia"/>
        </w:rPr>
        <w:t>合同</w:t>
      </w:r>
    </w:p>
    <w:p>
      <w:pPr>
        <w:pStyle w:val="37"/>
      </w:pPr>
    </w:p>
    <w:p>
      <w:pPr>
        <w:pStyle w:val="37"/>
      </w:pPr>
    </w:p>
    <w:p>
      <w:pPr>
        <w:pStyle w:val="37"/>
      </w:pPr>
    </w:p>
    <w:p>
      <w:pPr>
        <w:pStyle w:val="37"/>
      </w:pPr>
    </w:p>
    <w:p>
      <w:pPr>
        <w:pStyle w:val="37"/>
      </w:pPr>
    </w:p>
    <w:p>
      <w:pPr>
        <w:pStyle w:val="37"/>
      </w:pPr>
    </w:p>
    <w:p>
      <w:pPr>
        <w:pStyle w:val="37"/>
      </w:pPr>
    </w:p>
    <w:p>
      <w:pPr>
        <w:pStyle w:val="37"/>
      </w:pPr>
    </w:p>
    <w:p>
      <w:pPr>
        <w:pStyle w:val="37"/>
      </w:pPr>
    </w:p>
    <w:p>
      <w:pPr>
        <w:pStyle w:val="37"/>
      </w:pPr>
    </w:p>
    <w:p>
      <w:pPr>
        <w:pStyle w:val="37"/>
      </w:pPr>
    </w:p>
    <w:p>
      <w:pPr>
        <w:pStyle w:val="37"/>
      </w:pPr>
    </w:p>
    <w:p>
      <w:pPr>
        <w:pStyle w:val="37"/>
      </w:pPr>
    </w:p>
    <w:p>
      <w:pPr>
        <w:adjustRightInd/>
        <w:snapToGrid/>
        <w:spacing w:beforeLines="-2147483648" w:afterLines="-2147483648" w:line="240" w:lineRule="auto"/>
        <w:jc w:val="left"/>
        <w:rPr>
          <w:rFonts w:hint="eastAsia" w:ascii="方正小标宋简体" w:eastAsia="方正小标宋简体"/>
          <w:color w:val="auto"/>
          <w:sz w:val="28"/>
          <w:szCs w:val="28"/>
          <w:highlight w:val="none"/>
        </w:rPr>
      </w:pPr>
      <w:r>
        <w:rPr>
          <w:rFonts w:hint="eastAsia" w:ascii="方正小标宋简体" w:eastAsia="方正小标宋简体"/>
          <w:color w:val="auto"/>
          <w:sz w:val="28"/>
          <w:szCs w:val="28"/>
          <w:highlight w:val="none"/>
        </w:rPr>
        <w:br w:type="page"/>
      </w:r>
    </w:p>
    <w:p>
      <w:pPr>
        <w:spacing w:line="400" w:lineRule="atLeast"/>
        <w:jc w:val="center"/>
        <w:rPr>
          <w:rFonts w:ascii="宋体" w:hAnsi="宋体" w:cs="宋体"/>
          <w:b/>
          <w:bCs/>
          <w:sz w:val="48"/>
          <w:szCs w:val="48"/>
        </w:rPr>
      </w:pPr>
      <w:r>
        <w:rPr>
          <w:rFonts w:hint="eastAsia" w:ascii="宋体" w:hAnsi="宋体" w:cs="宋体"/>
          <w:b/>
          <w:bCs/>
          <w:sz w:val="48"/>
          <w:szCs w:val="48"/>
        </w:rPr>
        <w:t>广州市净水有限公司</w:t>
      </w:r>
    </w:p>
    <w:p>
      <w:pPr>
        <w:spacing w:line="400" w:lineRule="atLeast"/>
        <w:jc w:val="center"/>
        <w:rPr>
          <w:rFonts w:hint="eastAsia" w:ascii="宋体" w:hAnsi="宋体" w:eastAsia="宋体"/>
          <w:bCs/>
          <w:sz w:val="28"/>
          <w:lang w:eastAsia="zh-CN"/>
        </w:rPr>
      </w:pPr>
      <w:r>
        <w:rPr>
          <w:rFonts w:hint="eastAsia" w:ascii="宋体" w:hAnsi="宋体" w:cs="宋体"/>
          <w:b/>
          <w:bCs/>
          <w:sz w:val="48"/>
          <w:szCs w:val="48"/>
        </w:rPr>
        <w:t>保密室</w:t>
      </w:r>
      <w:r>
        <w:rPr>
          <w:rFonts w:hint="eastAsia" w:ascii="宋体" w:hAnsi="宋体" w:cs="宋体"/>
          <w:b/>
          <w:bCs/>
          <w:sz w:val="48"/>
          <w:szCs w:val="48"/>
          <w:lang w:val="en-US" w:eastAsia="zh-CN"/>
        </w:rPr>
        <w:t>装修</w:t>
      </w: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0" w:lineRule="atLeast"/>
        <w:ind w:left="1506" w:hanging="1506" w:hangingChars="500"/>
        <w:rPr>
          <w:rFonts w:ascii="宋体" w:hAnsi="宋体" w:cs="宋体"/>
          <w:b/>
          <w:sz w:val="30"/>
          <w:szCs w:val="30"/>
        </w:rPr>
      </w:pPr>
      <w:r>
        <w:rPr>
          <w:rFonts w:hint="eastAsia" w:ascii="宋体" w:hAnsi="宋体" w:cs="宋体"/>
          <w:b/>
          <w:sz w:val="30"/>
          <w:szCs w:val="30"/>
        </w:rPr>
        <w:t>项目名称:江高分公司2022年保密室装修项目</w:t>
      </w:r>
    </w:p>
    <w:p>
      <w:pPr>
        <w:pStyle w:val="28"/>
        <w:rPr>
          <w:rFonts w:hint="eastAsia" w:hAnsi="宋体" w:eastAsia="宋体"/>
        </w:rPr>
      </w:pPr>
      <w:r>
        <w:rPr>
          <w:rFonts w:hint="eastAsia" w:hAnsi="宋体" w:eastAsia="宋体"/>
          <w:b/>
          <w:sz w:val="30"/>
          <w:szCs w:val="30"/>
        </w:rPr>
        <w:t>项目编号：</w:t>
      </w:r>
      <w:r>
        <w:rPr>
          <w:rFonts w:hint="eastAsia" w:hAnsi="宋体" w:eastAsia="宋体"/>
        </w:rPr>
        <w:t xml:space="preserve"> </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80" w:lineRule="auto"/>
        <w:rPr>
          <w:rFonts w:ascii="宋体" w:hAnsi="宋体" w:cs="宋体"/>
          <w:b/>
          <w:bCs/>
          <w:sz w:val="30"/>
          <w:szCs w:val="30"/>
          <w:highlight w:val="none"/>
        </w:rPr>
      </w:pPr>
      <w:r>
        <w:rPr>
          <w:rFonts w:hint="eastAsia" w:ascii="宋体" w:hAnsi="宋体" w:cs="宋体"/>
          <w:b/>
          <w:sz w:val="30"/>
          <w:szCs w:val="30"/>
          <w:highlight w:val="none"/>
        </w:rPr>
        <w:t>合同编号：</w:t>
      </w:r>
      <w:r>
        <w:rPr>
          <w:rFonts w:hint="eastAsia" w:ascii="宋体" w:hAnsi="宋体" w:cs="宋体"/>
          <w:b/>
          <w:bCs/>
          <w:sz w:val="30"/>
          <w:szCs w:val="30"/>
          <w:highlight w:val="none"/>
        </w:rPr>
        <w:t>穗净水合[     ]    号</w:t>
      </w:r>
    </w:p>
    <w:p>
      <w:pPr>
        <w:spacing w:line="400" w:lineRule="atLeast"/>
        <w:ind w:firstLine="602" w:firstLineChars="200"/>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 广州市净水有限公司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ascii="宋体" w:hAnsi="宋体" w:cs="宋体"/>
          <w:b/>
          <w:sz w:val="30"/>
        </w:rPr>
      </w:pPr>
      <w:r>
        <w:rPr>
          <w:rFonts w:hint="eastAsia" w:ascii="宋体" w:hAnsi="宋体" w:cs="宋体"/>
          <w:b/>
          <w:sz w:val="30"/>
        </w:rPr>
        <w:t>签约地点：广州市</w:t>
      </w:r>
    </w:p>
    <w:p>
      <w:pPr>
        <w:pStyle w:val="47"/>
        <w:spacing w:line="500" w:lineRule="exact"/>
        <w:jc w:val="center"/>
        <w:rPr>
          <w:rFonts w:hint="eastAsia" w:ascii="宋体" w:hAnsi="宋体" w:eastAsia="宋体" w:cs="宋体"/>
          <w:b/>
          <w:bCs/>
          <w:sz w:val="24"/>
          <w:szCs w:val="24"/>
          <w:lang w:val="zh-CN" w:eastAsia="zh-CN"/>
        </w:rPr>
      </w:pPr>
    </w:p>
    <w:p>
      <w:pPr>
        <w:rPr>
          <w:rFonts w:hint="eastAsia" w:ascii="宋体" w:hAnsi="宋体" w:cs="宋体"/>
          <w:b/>
          <w:bCs/>
          <w:sz w:val="24"/>
          <w:lang w:val="zh-CN"/>
        </w:rPr>
      </w:pPr>
    </w:p>
    <w:p>
      <w:pPr>
        <w:pStyle w:val="21"/>
        <w:ind w:firstLine="482"/>
        <w:rPr>
          <w:rFonts w:ascii="宋体" w:hAnsi="宋体" w:eastAsia="宋体" w:cs="宋体"/>
          <w:b/>
          <w:bCs/>
          <w:sz w:val="24"/>
          <w:szCs w:val="24"/>
          <w:lang w:val="zh-CN"/>
        </w:rPr>
      </w:pPr>
    </w:p>
    <w:p>
      <w:pPr>
        <w:pStyle w:val="21"/>
        <w:ind w:firstLine="482"/>
        <w:rPr>
          <w:rFonts w:ascii="宋体" w:hAnsi="宋体" w:eastAsia="宋体" w:cs="宋体"/>
          <w:b/>
          <w:bCs/>
          <w:sz w:val="24"/>
          <w:szCs w:val="24"/>
          <w:lang w:val="zh-CN"/>
        </w:rPr>
      </w:pPr>
    </w:p>
    <w:p>
      <w:pPr>
        <w:spacing w:before="93" w:beforeLines="30" w:line="384" w:lineRule="auto"/>
        <w:ind w:left="210" w:leftChars="100" w:firstLine="600" w:firstLineChars="250"/>
        <w:rPr>
          <w:rFonts w:ascii="宋体" w:hAnsi="宋体" w:cs="宋体"/>
          <w:sz w:val="24"/>
        </w:rPr>
      </w:pPr>
      <w:r>
        <w:rPr>
          <w:rFonts w:hint="eastAsia" w:ascii="宋体" w:hAnsi="宋体" w:cs="宋体"/>
          <w:sz w:val="24"/>
        </w:rPr>
        <w:t>根据《中华人民共和国民法典》及其他有关法律、行政法规，</w:t>
      </w:r>
      <w:r>
        <w:rPr>
          <w:rFonts w:hint="eastAsia" w:ascii="宋体" w:hAnsi="宋体" w:cs="宋体"/>
          <w:sz w:val="24"/>
          <w:u w:val="single"/>
        </w:rPr>
        <w:t>广州市净水有限公司</w:t>
      </w:r>
      <w:r>
        <w:rPr>
          <w:rFonts w:hint="eastAsia" w:ascii="宋体" w:hAnsi="宋体" w:cs="宋体"/>
          <w:sz w:val="24"/>
        </w:rPr>
        <w:t xml:space="preserve"> （以下简称“甲方”）与</w:t>
      </w:r>
      <w:r>
        <w:rPr>
          <w:rFonts w:hint="eastAsia" w:ascii="宋体" w:hAnsi="宋体" w:cs="宋体"/>
          <w:sz w:val="24"/>
          <w:u w:val="single"/>
        </w:rPr>
        <w:t xml:space="preserve"> </w:t>
      </w:r>
      <w:r>
        <w:rPr>
          <w:rFonts w:hint="eastAsia" w:ascii="宋体" w:hAnsi="宋体" w:cs="宋体"/>
          <w:sz w:val="24"/>
          <w:u w:val="single"/>
          <w:lang w:val="en-US" w:eastAsia="zh-CN" w:bidi="ar"/>
        </w:rPr>
        <w:t xml:space="preserve">                     </w:t>
      </w:r>
      <w:r>
        <w:rPr>
          <w:rFonts w:hint="eastAsia" w:ascii="宋体" w:hAnsi="宋体" w:cs="宋体"/>
          <w:sz w:val="24"/>
          <w:u w:val="single"/>
        </w:rPr>
        <w:t>（</w:t>
      </w:r>
      <w:r>
        <w:rPr>
          <w:rFonts w:hint="eastAsia" w:ascii="宋体" w:hAnsi="宋体" w:cs="宋体"/>
          <w:sz w:val="24"/>
        </w:rPr>
        <w:t>以下简称“乙方”）就</w:t>
      </w:r>
      <w:r>
        <w:rPr>
          <w:rFonts w:hint="eastAsia" w:ascii="宋体" w:hAnsi="宋体" w:cs="宋体"/>
          <w:sz w:val="24"/>
          <w:u w:val="single"/>
          <w:lang w:val="en-US" w:eastAsia="zh-CN"/>
        </w:rPr>
        <w:t xml:space="preserve"> </w:t>
      </w:r>
      <w:r>
        <w:rPr>
          <w:rFonts w:hint="eastAsia" w:ascii="宋体" w:hAnsi="宋体" w:cs="宋体"/>
          <w:sz w:val="24"/>
          <w:u w:val="single"/>
        </w:rPr>
        <w:t xml:space="preserve">江高分公司2022年保密室装修项目 </w:t>
      </w:r>
      <w:r>
        <w:rPr>
          <w:rFonts w:hint="eastAsia" w:ascii="宋体" w:hAnsi="宋体" w:cs="宋体"/>
          <w:sz w:val="24"/>
        </w:rPr>
        <w:t>项目承接工作事宜，遵循平等、自愿、公平和诚实信用的原则，双方协商一致，订立本合同。</w:t>
      </w:r>
    </w:p>
    <w:p>
      <w:pPr>
        <w:spacing w:before="93" w:beforeLines="30" w:line="384" w:lineRule="auto"/>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384" w:lineRule="auto"/>
        <w:ind w:firstLine="482"/>
        <w:rPr>
          <w:rFonts w:ascii="宋体" w:hAnsi="宋体" w:cs="宋体"/>
          <w:bCs/>
          <w:sz w:val="24"/>
        </w:rPr>
      </w:pPr>
      <w:r>
        <w:rPr>
          <w:rFonts w:hint="eastAsia" w:hAnsi="宋体" w:cs="宋体"/>
          <w:bCs/>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⑵ 本合同书；</w:t>
      </w:r>
    </w:p>
    <w:p>
      <w:pPr>
        <w:spacing w:line="384" w:lineRule="auto"/>
        <w:ind w:firstLine="482"/>
        <w:rPr>
          <w:rFonts w:ascii="宋体" w:hAnsi="宋体" w:cs="宋体"/>
          <w:bCs/>
          <w:sz w:val="24"/>
        </w:rPr>
      </w:pPr>
      <w:r>
        <w:rPr>
          <w:rFonts w:hint="eastAsia" w:ascii="宋体" w:hAnsi="宋体" w:cs="宋体"/>
          <w:bCs/>
          <w:sz w:val="24"/>
        </w:rPr>
        <w:t>⑶ 中标通知书/发包通知书/成交通知书/委托函；</w:t>
      </w:r>
    </w:p>
    <w:p>
      <w:pPr>
        <w:spacing w:line="384" w:lineRule="auto"/>
        <w:ind w:firstLine="482"/>
        <w:rPr>
          <w:rFonts w:ascii="宋体" w:hAnsi="宋体" w:cs="宋体"/>
          <w:bCs/>
          <w:sz w:val="24"/>
        </w:rPr>
      </w:pPr>
      <w:r>
        <w:rPr>
          <w:rFonts w:hint="eastAsia" w:ascii="宋体" w:hAnsi="宋体" w:cs="宋体"/>
          <w:bCs/>
          <w:sz w:val="24"/>
        </w:rPr>
        <w:t>⑷ 招标文件/询价文件；</w:t>
      </w:r>
    </w:p>
    <w:p>
      <w:pPr>
        <w:spacing w:line="384" w:lineRule="auto"/>
        <w:ind w:firstLine="482"/>
        <w:rPr>
          <w:rFonts w:ascii="宋体" w:hAnsi="宋体" w:cs="宋体"/>
          <w:bCs/>
          <w:sz w:val="24"/>
        </w:rPr>
      </w:pPr>
      <w:r>
        <w:rPr>
          <w:rFonts w:hint="eastAsia" w:ascii="宋体" w:hAnsi="宋体" w:cs="宋体"/>
          <w:bCs/>
          <w:sz w:val="24"/>
        </w:rPr>
        <w:t>⑸ 投标文件/响应文件；</w:t>
      </w:r>
    </w:p>
    <w:p>
      <w:pPr>
        <w:spacing w:line="384" w:lineRule="auto"/>
        <w:ind w:firstLine="482"/>
        <w:rPr>
          <w:rFonts w:ascii="宋体" w:hAnsi="宋体" w:cs="宋体"/>
          <w:bCs/>
          <w:sz w:val="24"/>
        </w:rPr>
      </w:pPr>
      <w:r>
        <w:rPr>
          <w:rFonts w:hint="eastAsia" w:ascii="宋体" w:hAnsi="宋体" w:cs="宋体"/>
          <w:bCs/>
          <w:sz w:val="24"/>
        </w:rPr>
        <w:t>⑹ 标准、规范及有关技术性文件；</w:t>
      </w:r>
    </w:p>
    <w:p>
      <w:pPr>
        <w:spacing w:line="384" w:lineRule="auto"/>
        <w:ind w:firstLine="480" w:firstLineChars="200"/>
        <w:rPr>
          <w:rFonts w:ascii="宋体" w:hAnsi="宋体" w:cs="宋体"/>
          <w:bCs/>
          <w:sz w:val="24"/>
        </w:rPr>
      </w:pPr>
      <w:r>
        <w:rPr>
          <w:rFonts w:hint="eastAsia" w:ascii="宋体" w:hAnsi="宋体" w:cs="宋体"/>
          <w:bCs/>
          <w:sz w:val="24"/>
        </w:rPr>
        <w:t>（7） 工程量清单/</w:t>
      </w:r>
      <w:r>
        <w:rPr>
          <w:rFonts w:hint="eastAsia" w:ascii="宋体" w:hAnsi="宋体" w:cs="宋体"/>
          <w:sz w:val="24"/>
        </w:rPr>
        <w:t>工程报价单或预算书；</w:t>
      </w:r>
    </w:p>
    <w:p>
      <w:pPr>
        <w:spacing w:line="384" w:lineRule="auto"/>
        <w:ind w:firstLine="482"/>
        <w:rPr>
          <w:rFonts w:ascii="宋体" w:hAnsi="宋体" w:cs="宋体"/>
          <w:bCs/>
          <w:sz w:val="24"/>
        </w:rPr>
      </w:pPr>
      <w:r>
        <w:rPr>
          <w:rFonts w:hint="eastAsia" w:ascii="宋体" w:hAnsi="宋体" w:cs="宋体"/>
          <w:bCs/>
          <w:sz w:val="24"/>
        </w:rPr>
        <w:t>（8） 本合同其他附件；</w:t>
      </w:r>
    </w:p>
    <w:p>
      <w:pPr>
        <w:spacing w:line="384" w:lineRule="auto"/>
        <w:ind w:firstLine="482"/>
        <w:rPr>
          <w:rFonts w:ascii="宋体" w:hAnsi="宋体" w:cs="宋体"/>
          <w:b/>
          <w:bCs/>
          <w:sz w:val="24"/>
        </w:rPr>
      </w:pPr>
      <w:r>
        <w:rPr>
          <w:rFonts w:hint="eastAsia" w:ascii="宋体" w:hAnsi="宋体" w:cs="宋体"/>
          <w:b/>
          <w:bCs/>
          <w:sz w:val="24"/>
        </w:rPr>
        <w:t>第二条 项目概况、项目承包范围</w:t>
      </w:r>
    </w:p>
    <w:p>
      <w:pPr>
        <w:spacing w:line="384" w:lineRule="auto"/>
        <w:ind w:firstLine="480" w:firstLineChars="200"/>
        <w:rPr>
          <w:rFonts w:ascii="宋体" w:hAnsi="宋体" w:cs="宋体"/>
          <w:sz w:val="24"/>
          <w:u w:val="single"/>
        </w:rPr>
      </w:pPr>
      <w:r>
        <w:rPr>
          <w:rFonts w:hint="eastAsia" w:ascii="宋体" w:hAnsi="宋体" w:cs="宋体"/>
          <w:sz w:val="24"/>
        </w:rPr>
        <w:t>2.1项目名称：</w:t>
      </w:r>
      <w:r>
        <w:rPr>
          <w:rFonts w:hint="eastAsia" w:ascii="宋体" w:hAnsi="宋体" w:cs="宋体"/>
          <w:sz w:val="24"/>
          <w:u w:val="single"/>
        </w:rPr>
        <w:t xml:space="preserve"> 江高分公司2022年保密室装修项目 </w:t>
      </w:r>
    </w:p>
    <w:p>
      <w:pPr>
        <w:spacing w:line="384" w:lineRule="auto"/>
        <w:ind w:firstLine="480" w:firstLineChars="200"/>
        <w:rPr>
          <w:rFonts w:ascii="宋体" w:hAnsi="宋体" w:cs="宋体"/>
          <w:sz w:val="24"/>
          <w:u w:val="single"/>
        </w:rPr>
      </w:pPr>
      <w:r>
        <w:rPr>
          <w:rFonts w:hint="eastAsia" w:ascii="宋体" w:hAnsi="宋体" w:cs="宋体"/>
          <w:sz w:val="24"/>
        </w:rPr>
        <w:t>2.2项目地点：</w:t>
      </w:r>
      <w:r>
        <w:rPr>
          <w:rFonts w:hint="eastAsia" w:ascii="宋体" w:hAnsi="宋体" w:cs="宋体"/>
          <w:sz w:val="24"/>
          <w:u w:val="single"/>
        </w:rPr>
        <w:t xml:space="preserve"> 广州市净水有限公司</w:t>
      </w:r>
      <w:r>
        <w:rPr>
          <w:rFonts w:hint="eastAsia" w:ascii="宋体" w:hAnsi="宋体" w:cs="宋体"/>
          <w:sz w:val="24"/>
          <w:u w:val="single"/>
          <w:lang w:val="en-US" w:eastAsia="zh-CN"/>
        </w:rPr>
        <w:t>江高</w:t>
      </w:r>
      <w:r>
        <w:rPr>
          <w:rFonts w:hint="eastAsia" w:ascii="宋体" w:hAnsi="宋体" w:cs="宋体"/>
          <w:sz w:val="24"/>
          <w:u w:val="single"/>
        </w:rPr>
        <w:t xml:space="preserve">分公司  </w:t>
      </w:r>
    </w:p>
    <w:p>
      <w:pPr>
        <w:spacing w:line="384" w:lineRule="auto"/>
        <w:ind w:firstLine="480" w:firstLineChars="200"/>
        <w:rPr>
          <w:rFonts w:ascii="宋体" w:hAnsi="宋体" w:cs="宋体"/>
          <w:spacing w:val="8"/>
          <w:sz w:val="24"/>
        </w:rPr>
      </w:pPr>
      <w:r>
        <w:rPr>
          <w:rFonts w:hint="eastAsia" w:ascii="宋体" w:hAnsi="宋体" w:cs="宋体"/>
          <w:sz w:val="24"/>
        </w:rPr>
        <w:t>2.3项目内容：</w:t>
      </w:r>
      <w:r>
        <w:rPr>
          <w:rFonts w:hint="eastAsia" w:ascii="宋体" w:hAnsi="宋体" w:cs="宋体"/>
          <w:sz w:val="24"/>
          <w:u w:val="single"/>
        </w:rPr>
        <w:t xml:space="preserve"> 江高分公司2022年保密室装修   </w:t>
      </w:r>
    </w:p>
    <w:p>
      <w:pPr>
        <w:spacing w:line="384" w:lineRule="auto"/>
        <w:ind w:firstLine="480" w:firstLineChars="200"/>
        <w:rPr>
          <w:rFonts w:hint="eastAsia" w:ascii="宋体" w:hAnsi="宋体" w:cs="宋体"/>
          <w:sz w:val="24"/>
        </w:rPr>
      </w:pPr>
      <w:r>
        <w:rPr>
          <w:rFonts w:hint="eastAsia" w:ascii="宋体" w:hAnsi="宋体" w:cs="宋体"/>
          <w:sz w:val="24"/>
        </w:rPr>
        <w:t>2.4项目承包范围：包括提供所有需要的材料、机械、人工、设施、完成合同约定的工作和服务。按照甲方审核同意的方案、图纸所包括的实施范围和内容进行施工并在质量保修期内承担项目质量保修责任。（如需可附表）</w:t>
      </w:r>
    </w:p>
    <w:tbl>
      <w:tblPr>
        <w:tblStyle w:val="22"/>
        <w:tblW w:w="6007" w:type="pct"/>
        <w:tblInd w:w="-900" w:type="dxa"/>
        <w:tblLayout w:type="fixed"/>
        <w:tblCellMar>
          <w:top w:w="0" w:type="dxa"/>
          <w:left w:w="0" w:type="dxa"/>
          <w:bottom w:w="0" w:type="dxa"/>
          <w:right w:w="0" w:type="dxa"/>
        </w:tblCellMar>
      </w:tblPr>
      <w:tblGrid>
        <w:gridCol w:w="867"/>
        <w:gridCol w:w="1287"/>
        <w:gridCol w:w="1606"/>
        <w:gridCol w:w="847"/>
        <w:gridCol w:w="664"/>
        <w:gridCol w:w="634"/>
        <w:gridCol w:w="815"/>
        <w:gridCol w:w="1173"/>
        <w:gridCol w:w="723"/>
        <w:gridCol w:w="936"/>
        <w:gridCol w:w="1108"/>
      </w:tblGrid>
      <w:tr>
        <w:tblPrEx>
          <w:tblCellMar>
            <w:top w:w="0" w:type="dxa"/>
            <w:left w:w="0" w:type="dxa"/>
            <w:bottom w:w="0" w:type="dxa"/>
            <w:right w:w="0" w:type="dxa"/>
          </w:tblCellMar>
        </w:tblPrEx>
        <w:trPr>
          <w:trHeight w:val="1308" w:hRule="atLeast"/>
        </w:trPr>
        <w:tc>
          <w:tcPr>
            <w:tcW w:w="4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序号</w:t>
            </w:r>
          </w:p>
        </w:tc>
        <w:tc>
          <w:tcPr>
            <w:tcW w:w="6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货物名称</w:t>
            </w:r>
          </w:p>
        </w:tc>
        <w:tc>
          <w:tcPr>
            <w:tcW w:w="7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规格型号/参数</w:t>
            </w:r>
          </w:p>
        </w:tc>
        <w:tc>
          <w:tcPr>
            <w:tcW w:w="3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品牌</w:t>
            </w:r>
          </w:p>
        </w:tc>
        <w:tc>
          <w:tcPr>
            <w:tcW w:w="31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单位</w:t>
            </w:r>
          </w:p>
        </w:tc>
        <w:tc>
          <w:tcPr>
            <w:tcW w:w="2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数量</w:t>
            </w:r>
          </w:p>
        </w:tc>
        <w:tc>
          <w:tcPr>
            <w:tcW w:w="3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不含税单价（元）</w:t>
            </w:r>
          </w:p>
        </w:tc>
        <w:tc>
          <w:tcPr>
            <w:tcW w:w="5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不含税总价（元）</w:t>
            </w:r>
          </w:p>
        </w:tc>
        <w:tc>
          <w:tcPr>
            <w:tcW w:w="3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含税单价（元）</w:t>
            </w: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含税总价（元）</w:t>
            </w:r>
          </w:p>
        </w:tc>
        <w:tc>
          <w:tcPr>
            <w:tcW w:w="5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备注</w:t>
            </w:r>
          </w:p>
        </w:tc>
      </w:tr>
      <w:tr>
        <w:tblPrEx>
          <w:tblCellMar>
            <w:top w:w="0" w:type="dxa"/>
            <w:left w:w="0" w:type="dxa"/>
            <w:bottom w:w="0" w:type="dxa"/>
            <w:right w:w="0" w:type="dxa"/>
          </w:tblCellMar>
        </w:tblPrEx>
        <w:trPr>
          <w:trHeight w:val="90" w:hRule="atLeast"/>
        </w:trPr>
        <w:tc>
          <w:tcPr>
            <w:tcW w:w="4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1</w:t>
            </w:r>
          </w:p>
        </w:tc>
        <w:tc>
          <w:tcPr>
            <w:tcW w:w="6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甲级防盗门</w:t>
            </w:r>
          </w:p>
        </w:tc>
        <w:tc>
          <w:tcPr>
            <w:tcW w:w="7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甲级防盗门（860*2100）</w:t>
            </w:r>
          </w:p>
        </w:tc>
        <w:tc>
          <w:tcPr>
            <w:tcW w:w="3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定制</w:t>
            </w:r>
          </w:p>
        </w:tc>
        <w:tc>
          <w:tcPr>
            <w:tcW w:w="31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扇</w:t>
            </w:r>
          </w:p>
        </w:tc>
        <w:tc>
          <w:tcPr>
            <w:tcW w:w="2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1</w:t>
            </w:r>
          </w:p>
        </w:tc>
        <w:tc>
          <w:tcPr>
            <w:tcW w:w="3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3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r>
      <w:tr>
        <w:tblPrEx>
          <w:tblCellMar>
            <w:top w:w="0" w:type="dxa"/>
            <w:left w:w="0" w:type="dxa"/>
            <w:bottom w:w="0" w:type="dxa"/>
            <w:right w:w="0" w:type="dxa"/>
          </w:tblCellMar>
        </w:tblPrEx>
        <w:trPr>
          <w:trHeight w:val="90" w:hRule="atLeast"/>
        </w:trPr>
        <w:tc>
          <w:tcPr>
            <w:tcW w:w="4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2</w:t>
            </w:r>
          </w:p>
        </w:tc>
        <w:tc>
          <w:tcPr>
            <w:tcW w:w="6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门禁</w:t>
            </w:r>
          </w:p>
        </w:tc>
        <w:tc>
          <w:tcPr>
            <w:tcW w:w="7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指纹密码锁</w:t>
            </w:r>
          </w:p>
        </w:tc>
        <w:tc>
          <w:tcPr>
            <w:tcW w:w="3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国产</w:t>
            </w:r>
          </w:p>
        </w:tc>
        <w:tc>
          <w:tcPr>
            <w:tcW w:w="31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个</w:t>
            </w:r>
          </w:p>
        </w:tc>
        <w:tc>
          <w:tcPr>
            <w:tcW w:w="2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1</w:t>
            </w:r>
          </w:p>
        </w:tc>
        <w:tc>
          <w:tcPr>
            <w:tcW w:w="3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3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r>
      <w:tr>
        <w:tblPrEx>
          <w:tblCellMar>
            <w:top w:w="0" w:type="dxa"/>
            <w:left w:w="0" w:type="dxa"/>
            <w:bottom w:w="0" w:type="dxa"/>
            <w:right w:w="0" w:type="dxa"/>
          </w:tblCellMar>
        </w:tblPrEx>
        <w:trPr>
          <w:trHeight w:val="430" w:hRule="atLeast"/>
        </w:trPr>
        <w:tc>
          <w:tcPr>
            <w:tcW w:w="4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3</w:t>
            </w:r>
          </w:p>
        </w:tc>
        <w:tc>
          <w:tcPr>
            <w:tcW w:w="6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闭合器</w:t>
            </w:r>
          </w:p>
        </w:tc>
        <w:tc>
          <w:tcPr>
            <w:tcW w:w="7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自动闭合器</w:t>
            </w:r>
          </w:p>
        </w:tc>
        <w:tc>
          <w:tcPr>
            <w:tcW w:w="3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定制</w:t>
            </w:r>
          </w:p>
        </w:tc>
        <w:tc>
          <w:tcPr>
            <w:tcW w:w="31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个</w:t>
            </w:r>
          </w:p>
        </w:tc>
        <w:tc>
          <w:tcPr>
            <w:tcW w:w="2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1</w:t>
            </w:r>
          </w:p>
        </w:tc>
        <w:tc>
          <w:tcPr>
            <w:tcW w:w="3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3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r>
      <w:tr>
        <w:tblPrEx>
          <w:tblCellMar>
            <w:top w:w="0" w:type="dxa"/>
            <w:left w:w="0" w:type="dxa"/>
            <w:bottom w:w="0" w:type="dxa"/>
            <w:right w:w="0" w:type="dxa"/>
          </w:tblCellMar>
        </w:tblPrEx>
        <w:trPr>
          <w:trHeight w:val="308" w:hRule="atLeast"/>
        </w:trPr>
        <w:tc>
          <w:tcPr>
            <w:tcW w:w="4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4</w:t>
            </w:r>
          </w:p>
        </w:tc>
        <w:tc>
          <w:tcPr>
            <w:tcW w:w="6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实心钢条防盗网</w:t>
            </w:r>
          </w:p>
        </w:tc>
        <w:tc>
          <w:tcPr>
            <w:tcW w:w="7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实心钢条防盗网</w:t>
            </w:r>
          </w:p>
        </w:tc>
        <w:tc>
          <w:tcPr>
            <w:tcW w:w="3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定制</w:t>
            </w:r>
          </w:p>
        </w:tc>
        <w:tc>
          <w:tcPr>
            <w:tcW w:w="31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w:t>
            </w:r>
          </w:p>
        </w:tc>
        <w:tc>
          <w:tcPr>
            <w:tcW w:w="2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32</w:t>
            </w:r>
          </w:p>
        </w:tc>
        <w:tc>
          <w:tcPr>
            <w:tcW w:w="3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3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r>
      <w:tr>
        <w:tblPrEx>
          <w:tblCellMar>
            <w:top w:w="0" w:type="dxa"/>
            <w:left w:w="0" w:type="dxa"/>
            <w:bottom w:w="0" w:type="dxa"/>
            <w:right w:w="0" w:type="dxa"/>
          </w:tblCellMar>
        </w:tblPrEx>
        <w:trPr>
          <w:trHeight w:val="443" w:hRule="atLeast"/>
        </w:trPr>
        <w:tc>
          <w:tcPr>
            <w:tcW w:w="4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5</w:t>
            </w:r>
          </w:p>
        </w:tc>
        <w:tc>
          <w:tcPr>
            <w:tcW w:w="6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砌墙</w:t>
            </w:r>
          </w:p>
        </w:tc>
        <w:tc>
          <w:tcPr>
            <w:tcW w:w="7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18MM厚砖墙，房间四周墙壁均未到顶</w:t>
            </w:r>
          </w:p>
        </w:tc>
        <w:tc>
          <w:tcPr>
            <w:tcW w:w="3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定制</w:t>
            </w:r>
          </w:p>
        </w:tc>
        <w:tc>
          <w:tcPr>
            <w:tcW w:w="31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m3</w:t>
            </w:r>
          </w:p>
        </w:tc>
        <w:tc>
          <w:tcPr>
            <w:tcW w:w="2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7</w:t>
            </w:r>
          </w:p>
        </w:tc>
        <w:tc>
          <w:tcPr>
            <w:tcW w:w="3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3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r>
      <w:tr>
        <w:tblPrEx>
          <w:tblCellMar>
            <w:top w:w="0" w:type="dxa"/>
            <w:left w:w="0" w:type="dxa"/>
            <w:bottom w:w="0" w:type="dxa"/>
            <w:right w:w="0" w:type="dxa"/>
          </w:tblCellMar>
        </w:tblPrEx>
        <w:trPr>
          <w:trHeight w:val="609" w:hRule="atLeast"/>
        </w:trPr>
        <w:tc>
          <w:tcPr>
            <w:tcW w:w="4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6</w:t>
            </w:r>
          </w:p>
        </w:tc>
        <w:tc>
          <w:tcPr>
            <w:tcW w:w="6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扇灰</w:t>
            </w:r>
          </w:p>
        </w:tc>
        <w:tc>
          <w:tcPr>
            <w:tcW w:w="7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墙面扇灰，新砌砖墙墙壁（不含天花内墙壁）</w:t>
            </w:r>
          </w:p>
        </w:tc>
        <w:tc>
          <w:tcPr>
            <w:tcW w:w="3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定制</w:t>
            </w:r>
          </w:p>
        </w:tc>
        <w:tc>
          <w:tcPr>
            <w:tcW w:w="31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w:t>
            </w:r>
          </w:p>
        </w:tc>
        <w:tc>
          <w:tcPr>
            <w:tcW w:w="2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63</w:t>
            </w:r>
          </w:p>
        </w:tc>
        <w:tc>
          <w:tcPr>
            <w:tcW w:w="3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3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r>
      <w:tr>
        <w:tblPrEx>
          <w:tblCellMar>
            <w:top w:w="0" w:type="dxa"/>
            <w:left w:w="0" w:type="dxa"/>
            <w:bottom w:w="0" w:type="dxa"/>
            <w:right w:w="0" w:type="dxa"/>
          </w:tblCellMar>
        </w:tblPrEx>
        <w:trPr>
          <w:trHeight w:val="90" w:hRule="atLeast"/>
        </w:trPr>
        <w:tc>
          <w:tcPr>
            <w:tcW w:w="406" w:type="pct"/>
            <w:tcBorders>
              <w:top w:val="single" w:color="000000" w:sz="4" w:space="0"/>
              <w:left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7</w:t>
            </w:r>
          </w:p>
        </w:tc>
        <w:tc>
          <w:tcPr>
            <w:tcW w:w="603" w:type="pct"/>
            <w:tcBorders>
              <w:top w:val="single" w:color="000000" w:sz="4" w:space="0"/>
              <w:left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天花</w:t>
            </w:r>
          </w:p>
        </w:tc>
        <w:tc>
          <w:tcPr>
            <w:tcW w:w="7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拆除天花</w:t>
            </w:r>
          </w:p>
        </w:tc>
        <w:tc>
          <w:tcPr>
            <w:tcW w:w="397" w:type="pct"/>
            <w:tcBorders>
              <w:top w:val="single" w:color="000000" w:sz="4" w:space="0"/>
              <w:left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定制</w:t>
            </w:r>
          </w:p>
        </w:tc>
        <w:tc>
          <w:tcPr>
            <w:tcW w:w="311" w:type="pct"/>
            <w:tcBorders>
              <w:top w:val="single" w:color="000000" w:sz="4" w:space="0"/>
              <w:left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w:t>
            </w:r>
          </w:p>
        </w:tc>
        <w:tc>
          <w:tcPr>
            <w:tcW w:w="297" w:type="pct"/>
            <w:tcBorders>
              <w:top w:val="single" w:color="000000" w:sz="4" w:space="0"/>
              <w:left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30</w:t>
            </w:r>
          </w:p>
        </w:tc>
        <w:tc>
          <w:tcPr>
            <w:tcW w:w="382" w:type="pct"/>
            <w:tcBorders>
              <w:top w:val="single" w:color="000000" w:sz="4" w:space="0"/>
              <w:left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50" w:type="pct"/>
            <w:tcBorders>
              <w:top w:val="single" w:color="000000" w:sz="4" w:space="0"/>
              <w:left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338" w:type="pct"/>
            <w:tcBorders>
              <w:top w:val="single" w:color="000000" w:sz="4" w:space="0"/>
              <w:left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438" w:type="pct"/>
            <w:tcBorders>
              <w:top w:val="single" w:color="000000" w:sz="4" w:space="0"/>
              <w:left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19" w:type="pct"/>
            <w:tcBorders>
              <w:top w:val="single" w:color="000000" w:sz="4" w:space="0"/>
              <w:left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r>
      <w:tr>
        <w:tblPrEx>
          <w:tblCellMar>
            <w:top w:w="0" w:type="dxa"/>
            <w:left w:w="0" w:type="dxa"/>
            <w:bottom w:w="0" w:type="dxa"/>
            <w:right w:w="0" w:type="dxa"/>
          </w:tblCellMar>
        </w:tblPrEx>
        <w:trPr>
          <w:trHeight w:val="859" w:hRule="atLeast"/>
        </w:trPr>
        <w:tc>
          <w:tcPr>
            <w:tcW w:w="4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8</w:t>
            </w:r>
          </w:p>
        </w:tc>
        <w:tc>
          <w:tcPr>
            <w:tcW w:w="6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天花</w:t>
            </w:r>
          </w:p>
        </w:tc>
        <w:tc>
          <w:tcPr>
            <w:tcW w:w="7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修补天花,天花扇灰及加油漆，22平方米</w:t>
            </w:r>
          </w:p>
        </w:tc>
        <w:tc>
          <w:tcPr>
            <w:tcW w:w="3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Cs w:val="21"/>
                <w:lang w:val="en-US" w:eastAsia="zh-CN"/>
              </w:rPr>
              <w:t>定制</w:t>
            </w:r>
          </w:p>
        </w:tc>
        <w:tc>
          <w:tcPr>
            <w:tcW w:w="31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Cs w:val="21"/>
                <w:lang w:val="en-US" w:eastAsia="zh-CN"/>
              </w:rPr>
              <w:t>㎡</w:t>
            </w:r>
          </w:p>
        </w:tc>
        <w:tc>
          <w:tcPr>
            <w:tcW w:w="2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Cs w:val="21"/>
                <w:lang w:val="en-US" w:eastAsia="zh-CN"/>
              </w:rPr>
              <w:t>30</w:t>
            </w:r>
          </w:p>
        </w:tc>
        <w:tc>
          <w:tcPr>
            <w:tcW w:w="3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3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r>
      <w:tr>
        <w:tblPrEx>
          <w:tblCellMar>
            <w:top w:w="0" w:type="dxa"/>
            <w:left w:w="0" w:type="dxa"/>
            <w:bottom w:w="0" w:type="dxa"/>
            <w:right w:w="0" w:type="dxa"/>
          </w:tblCellMar>
        </w:tblPrEx>
        <w:trPr>
          <w:trHeight w:val="163" w:hRule="atLeast"/>
        </w:trPr>
        <w:tc>
          <w:tcPr>
            <w:tcW w:w="4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9</w:t>
            </w:r>
          </w:p>
        </w:tc>
        <w:tc>
          <w:tcPr>
            <w:tcW w:w="6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施工</w:t>
            </w:r>
          </w:p>
        </w:tc>
        <w:tc>
          <w:tcPr>
            <w:tcW w:w="7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垃圾清运</w:t>
            </w:r>
          </w:p>
        </w:tc>
        <w:tc>
          <w:tcPr>
            <w:tcW w:w="3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定制</w:t>
            </w:r>
          </w:p>
        </w:tc>
        <w:tc>
          <w:tcPr>
            <w:tcW w:w="31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dm3</w:t>
            </w:r>
          </w:p>
        </w:tc>
        <w:tc>
          <w:tcPr>
            <w:tcW w:w="2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8</w:t>
            </w:r>
          </w:p>
        </w:tc>
        <w:tc>
          <w:tcPr>
            <w:tcW w:w="3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3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r>
      <w:tr>
        <w:tblPrEx>
          <w:tblCellMar>
            <w:top w:w="0" w:type="dxa"/>
            <w:left w:w="0" w:type="dxa"/>
            <w:bottom w:w="0" w:type="dxa"/>
            <w:right w:w="0" w:type="dxa"/>
          </w:tblCellMar>
        </w:tblPrEx>
        <w:trPr>
          <w:trHeight w:val="230" w:hRule="atLeast"/>
        </w:trPr>
        <w:tc>
          <w:tcPr>
            <w:tcW w:w="4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10</w:t>
            </w:r>
          </w:p>
        </w:tc>
        <w:tc>
          <w:tcPr>
            <w:tcW w:w="6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凿墙</w:t>
            </w:r>
          </w:p>
        </w:tc>
        <w:tc>
          <w:tcPr>
            <w:tcW w:w="7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3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定制</w:t>
            </w:r>
          </w:p>
        </w:tc>
        <w:tc>
          <w:tcPr>
            <w:tcW w:w="31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w:t>
            </w:r>
          </w:p>
        </w:tc>
        <w:tc>
          <w:tcPr>
            <w:tcW w:w="2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4</w:t>
            </w:r>
          </w:p>
        </w:tc>
        <w:tc>
          <w:tcPr>
            <w:tcW w:w="3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3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r>
      <w:tr>
        <w:tblPrEx>
          <w:tblCellMar>
            <w:top w:w="0" w:type="dxa"/>
            <w:left w:w="0" w:type="dxa"/>
            <w:bottom w:w="0" w:type="dxa"/>
            <w:right w:w="0" w:type="dxa"/>
          </w:tblCellMar>
        </w:tblPrEx>
        <w:trPr>
          <w:trHeight w:val="90" w:hRule="atLeast"/>
        </w:trPr>
        <w:tc>
          <w:tcPr>
            <w:tcW w:w="4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11</w:t>
            </w:r>
          </w:p>
        </w:tc>
        <w:tc>
          <w:tcPr>
            <w:tcW w:w="6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墙面修护</w:t>
            </w:r>
          </w:p>
        </w:tc>
        <w:tc>
          <w:tcPr>
            <w:tcW w:w="7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3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定制</w:t>
            </w:r>
          </w:p>
        </w:tc>
        <w:tc>
          <w:tcPr>
            <w:tcW w:w="31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w:t>
            </w:r>
          </w:p>
        </w:tc>
        <w:tc>
          <w:tcPr>
            <w:tcW w:w="2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4</w:t>
            </w:r>
          </w:p>
        </w:tc>
        <w:tc>
          <w:tcPr>
            <w:tcW w:w="3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3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r>
      <w:tr>
        <w:tblPrEx>
          <w:tblCellMar>
            <w:top w:w="0" w:type="dxa"/>
            <w:left w:w="0" w:type="dxa"/>
            <w:bottom w:w="0" w:type="dxa"/>
            <w:right w:w="0" w:type="dxa"/>
          </w:tblCellMar>
        </w:tblPrEx>
        <w:trPr>
          <w:trHeight w:val="343" w:hRule="atLeast"/>
        </w:trPr>
        <w:tc>
          <w:tcPr>
            <w:tcW w:w="4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12</w:t>
            </w:r>
          </w:p>
        </w:tc>
        <w:tc>
          <w:tcPr>
            <w:tcW w:w="6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烟雾报警器</w:t>
            </w:r>
          </w:p>
        </w:tc>
        <w:tc>
          <w:tcPr>
            <w:tcW w:w="7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供电方式：电源供电</w:t>
            </w:r>
          </w:p>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警戒方式：声音报警</w:t>
            </w:r>
          </w:p>
        </w:tc>
        <w:tc>
          <w:tcPr>
            <w:tcW w:w="3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NP-Y1</w:t>
            </w:r>
          </w:p>
        </w:tc>
        <w:tc>
          <w:tcPr>
            <w:tcW w:w="31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个</w:t>
            </w:r>
          </w:p>
        </w:tc>
        <w:tc>
          <w:tcPr>
            <w:tcW w:w="2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1</w:t>
            </w:r>
          </w:p>
        </w:tc>
        <w:tc>
          <w:tcPr>
            <w:tcW w:w="3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3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r>
      <w:tr>
        <w:tblPrEx>
          <w:tblCellMar>
            <w:top w:w="0" w:type="dxa"/>
            <w:left w:w="0" w:type="dxa"/>
            <w:bottom w:w="0" w:type="dxa"/>
            <w:right w:w="0" w:type="dxa"/>
          </w:tblCellMar>
        </w:tblPrEx>
        <w:trPr>
          <w:trHeight w:val="1308" w:hRule="atLeast"/>
        </w:trPr>
        <w:tc>
          <w:tcPr>
            <w:tcW w:w="4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13</w:t>
            </w:r>
          </w:p>
        </w:tc>
        <w:tc>
          <w:tcPr>
            <w:tcW w:w="6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自动灭火装置</w:t>
            </w:r>
          </w:p>
        </w:tc>
        <w:tc>
          <w:tcPr>
            <w:tcW w:w="7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悬挂式七氟丙烷自动灭火装置型号：19.3kg，净重19.3kg，安装高度＞3米，保护面积:20㎡</w:t>
            </w:r>
          </w:p>
        </w:tc>
        <w:tc>
          <w:tcPr>
            <w:tcW w:w="3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国产</w:t>
            </w:r>
          </w:p>
        </w:tc>
        <w:tc>
          <w:tcPr>
            <w:tcW w:w="31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套</w:t>
            </w:r>
          </w:p>
        </w:tc>
        <w:tc>
          <w:tcPr>
            <w:tcW w:w="2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1</w:t>
            </w:r>
          </w:p>
        </w:tc>
        <w:tc>
          <w:tcPr>
            <w:tcW w:w="3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3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r>
      <w:tr>
        <w:tblPrEx>
          <w:tblCellMar>
            <w:top w:w="0" w:type="dxa"/>
            <w:left w:w="0" w:type="dxa"/>
            <w:bottom w:w="0" w:type="dxa"/>
            <w:right w:w="0" w:type="dxa"/>
          </w:tblCellMar>
        </w:tblPrEx>
        <w:trPr>
          <w:trHeight w:val="1308" w:hRule="atLeast"/>
        </w:trPr>
        <w:tc>
          <w:tcPr>
            <w:tcW w:w="4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14</w:t>
            </w:r>
          </w:p>
        </w:tc>
        <w:tc>
          <w:tcPr>
            <w:tcW w:w="6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警示牌</w:t>
            </w:r>
          </w:p>
        </w:tc>
        <w:tc>
          <w:tcPr>
            <w:tcW w:w="7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区域警示门牌，内容定制（24*12cm）</w:t>
            </w:r>
          </w:p>
        </w:tc>
        <w:tc>
          <w:tcPr>
            <w:tcW w:w="3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定制</w:t>
            </w:r>
          </w:p>
        </w:tc>
        <w:tc>
          <w:tcPr>
            <w:tcW w:w="31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张</w:t>
            </w:r>
          </w:p>
        </w:tc>
        <w:tc>
          <w:tcPr>
            <w:tcW w:w="2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2</w:t>
            </w:r>
          </w:p>
        </w:tc>
        <w:tc>
          <w:tcPr>
            <w:tcW w:w="3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3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r>
      <w:tr>
        <w:tblPrEx>
          <w:tblCellMar>
            <w:top w:w="0" w:type="dxa"/>
            <w:left w:w="0" w:type="dxa"/>
            <w:bottom w:w="0" w:type="dxa"/>
            <w:right w:w="0" w:type="dxa"/>
          </w:tblCellMar>
        </w:tblPrEx>
        <w:trPr>
          <w:trHeight w:val="90" w:hRule="atLeast"/>
        </w:trPr>
        <w:tc>
          <w:tcPr>
            <w:tcW w:w="4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15</w:t>
            </w:r>
          </w:p>
        </w:tc>
        <w:tc>
          <w:tcPr>
            <w:tcW w:w="6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宣传海报</w:t>
            </w:r>
          </w:p>
        </w:tc>
        <w:tc>
          <w:tcPr>
            <w:tcW w:w="7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宣传海报（40*60）</w:t>
            </w:r>
          </w:p>
        </w:tc>
        <w:tc>
          <w:tcPr>
            <w:tcW w:w="3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定制</w:t>
            </w:r>
          </w:p>
        </w:tc>
        <w:tc>
          <w:tcPr>
            <w:tcW w:w="31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套</w:t>
            </w:r>
          </w:p>
        </w:tc>
        <w:tc>
          <w:tcPr>
            <w:tcW w:w="2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1</w:t>
            </w:r>
          </w:p>
        </w:tc>
        <w:tc>
          <w:tcPr>
            <w:tcW w:w="3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3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r>
      <w:tr>
        <w:tblPrEx>
          <w:tblCellMar>
            <w:top w:w="0" w:type="dxa"/>
            <w:left w:w="0" w:type="dxa"/>
            <w:bottom w:w="0" w:type="dxa"/>
            <w:right w:w="0" w:type="dxa"/>
          </w:tblCellMar>
        </w:tblPrEx>
        <w:trPr>
          <w:trHeight w:val="90" w:hRule="atLeast"/>
        </w:trPr>
        <w:tc>
          <w:tcPr>
            <w:tcW w:w="4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16</w:t>
            </w:r>
          </w:p>
        </w:tc>
        <w:tc>
          <w:tcPr>
            <w:tcW w:w="6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可移动屏风</w:t>
            </w:r>
          </w:p>
        </w:tc>
        <w:tc>
          <w:tcPr>
            <w:tcW w:w="7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可移动屏风（40*180CM）</w:t>
            </w:r>
          </w:p>
        </w:tc>
        <w:tc>
          <w:tcPr>
            <w:tcW w:w="3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定制</w:t>
            </w:r>
          </w:p>
        </w:tc>
        <w:tc>
          <w:tcPr>
            <w:tcW w:w="31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项</w:t>
            </w:r>
          </w:p>
        </w:tc>
        <w:tc>
          <w:tcPr>
            <w:tcW w:w="2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1</w:t>
            </w:r>
          </w:p>
        </w:tc>
        <w:tc>
          <w:tcPr>
            <w:tcW w:w="3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3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r>
      <w:tr>
        <w:tblPrEx>
          <w:tblCellMar>
            <w:top w:w="0" w:type="dxa"/>
            <w:left w:w="0" w:type="dxa"/>
            <w:bottom w:w="0" w:type="dxa"/>
            <w:right w:w="0" w:type="dxa"/>
          </w:tblCellMar>
        </w:tblPrEx>
        <w:trPr>
          <w:trHeight w:val="427" w:hRule="atLeast"/>
        </w:trPr>
        <w:tc>
          <w:tcPr>
            <w:tcW w:w="4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17</w:t>
            </w:r>
          </w:p>
        </w:tc>
        <w:tc>
          <w:tcPr>
            <w:tcW w:w="6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办公桌</w:t>
            </w:r>
          </w:p>
        </w:tc>
        <w:tc>
          <w:tcPr>
            <w:tcW w:w="7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120*60*73CM，含椅子（椅子总高100CM,总宽57.5CM）</w:t>
            </w:r>
          </w:p>
        </w:tc>
        <w:tc>
          <w:tcPr>
            <w:tcW w:w="3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定制</w:t>
            </w:r>
          </w:p>
        </w:tc>
        <w:tc>
          <w:tcPr>
            <w:tcW w:w="31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套</w:t>
            </w:r>
          </w:p>
        </w:tc>
        <w:tc>
          <w:tcPr>
            <w:tcW w:w="2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2</w:t>
            </w:r>
          </w:p>
        </w:tc>
        <w:tc>
          <w:tcPr>
            <w:tcW w:w="3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3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r>
      <w:tr>
        <w:tblPrEx>
          <w:tblCellMar>
            <w:top w:w="0" w:type="dxa"/>
            <w:left w:w="0" w:type="dxa"/>
            <w:bottom w:w="0" w:type="dxa"/>
            <w:right w:w="0" w:type="dxa"/>
          </w:tblCellMar>
        </w:tblPrEx>
        <w:trPr>
          <w:trHeight w:val="759" w:hRule="atLeast"/>
        </w:trPr>
        <w:tc>
          <w:tcPr>
            <w:tcW w:w="2770" w:type="pct"/>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合计</w:t>
            </w:r>
          </w:p>
        </w:tc>
        <w:tc>
          <w:tcPr>
            <w:tcW w:w="3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3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r>
    </w:tbl>
    <w:p>
      <w:pPr>
        <w:pStyle w:val="7"/>
        <w:jc w:val="center"/>
        <w:rPr>
          <w:rFonts w:hint="eastAsia"/>
        </w:rPr>
      </w:pPr>
    </w:p>
    <w:p>
      <w:pPr>
        <w:spacing w:line="384" w:lineRule="auto"/>
        <w:ind w:firstLine="482" w:firstLineChars="200"/>
        <w:rPr>
          <w:rFonts w:ascii="宋体" w:hAnsi="宋体" w:cs="宋体"/>
          <w:b/>
          <w:bCs/>
          <w:sz w:val="24"/>
        </w:rPr>
      </w:pPr>
      <w:r>
        <w:rPr>
          <w:rFonts w:hint="eastAsia" w:ascii="宋体" w:hAnsi="宋体" w:cs="宋体"/>
          <w:b/>
          <w:bCs/>
          <w:sz w:val="24"/>
        </w:rPr>
        <w:t>第三条 项目承包方式</w:t>
      </w:r>
    </w:p>
    <w:p>
      <w:pPr>
        <w:spacing w:line="384" w:lineRule="auto"/>
        <w:ind w:firstLine="420" w:firstLineChars="200"/>
        <w:rPr>
          <w:rFonts w:ascii="宋体" w:hAnsi="宋体" w:cs="宋体"/>
          <w:sz w:val="24"/>
        </w:rPr>
      </w:pPr>
      <w:r>
        <w:rPr>
          <w:rFonts w:hint="eastAsia" w:ascii="宋体" w:hAnsi="宋体" w:cs="宋体"/>
          <w:szCs w:val="21"/>
        </w:rPr>
        <w:sym w:font="Wingdings 2" w:char="0052"/>
      </w:r>
      <w:r>
        <w:rPr>
          <w:rFonts w:hint="eastAsia" w:ascii="宋体" w:hAnsi="宋体" w:cs="宋体"/>
          <w:sz w:val="24"/>
        </w:rPr>
        <w:t>包工、包料、包工期、包质量、包安全、包文明施工。综合单价包干、项目措施费包干。（单价包干要求附工程量报价</w:t>
      </w:r>
      <w:r>
        <w:rPr>
          <w:rFonts w:ascii="宋体" w:hAnsi="宋体" w:cs="宋体"/>
          <w:sz w:val="24"/>
        </w:rPr>
        <w:t>/</w:t>
      </w:r>
      <w:r>
        <w:rPr>
          <w:rFonts w:hint="eastAsia" w:ascii="宋体" w:hAnsi="宋体" w:cs="宋体"/>
          <w:sz w:val="24"/>
        </w:rPr>
        <w:t>工程预算书）</w:t>
      </w:r>
    </w:p>
    <w:p>
      <w:pPr>
        <w:spacing w:line="384" w:lineRule="auto"/>
        <w:ind w:firstLine="420" w:firstLineChars="200"/>
        <w:rPr>
          <w:rFonts w:ascii="宋体" w:hAnsi="宋体" w:cs="宋体"/>
          <w:sz w:val="24"/>
        </w:rPr>
      </w:pPr>
      <w:r>
        <w:rPr>
          <w:rFonts w:hint="eastAsia" w:ascii="宋体" w:hAnsi="宋体" w:cs="宋体"/>
          <w:szCs w:val="21"/>
        </w:rPr>
        <w:t>□</w:t>
      </w:r>
      <w:r>
        <w:rPr>
          <w:rFonts w:hint="eastAsia" w:ascii="宋体" w:hAnsi="宋体" w:cs="宋体"/>
          <w:sz w:val="24"/>
        </w:rPr>
        <w:t>包工、包料、包质量、包工期、包安全、包文明施工、包设计、包调试、包验收的施工图纸，以总价包干形式。</w:t>
      </w:r>
    </w:p>
    <w:p>
      <w:pPr>
        <w:spacing w:line="384" w:lineRule="auto"/>
        <w:ind w:firstLine="482" w:firstLineChars="200"/>
        <w:rPr>
          <w:rFonts w:ascii="宋体" w:hAnsi="宋体" w:cs="宋体"/>
          <w:b/>
          <w:bCs/>
          <w:sz w:val="24"/>
        </w:rPr>
      </w:pPr>
      <w:r>
        <w:rPr>
          <w:rFonts w:hint="eastAsia" w:ascii="宋体" w:hAnsi="宋体" w:cs="宋体"/>
          <w:b/>
          <w:bCs/>
          <w:sz w:val="24"/>
        </w:rPr>
        <w:t>第四条合同价款</w:t>
      </w:r>
    </w:p>
    <w:p>
      <w:pPr>
        <w:spacing w:line="384" w:lineRule="auto"/>
        <w:ind w:firstLine="480" w:firstLineChars="200"/>
        <w:rPr>
          <w:rFonts w:ascii="宋体" w:hAnsi="宋体" w:cs="宋体"/>
          <w:bCs/>
          <w:sz w:val="24"/>
          <w:bdr w:val="single" w:color="auto" w:sz="4" w:space="0"/>
        </w:rPr>
      </w:pPr>
      <w:r>
        <w:rPr>
          <w:rFonts w:ascii="宋体" w:hAnsi="宋体" w:cs="宋体"/>
          <w:sz w:val="24"/>
        </w:rPr>
        <w:t>4.1</w:t>
      </w:r>
      <w:r>
        <w:rPr>
          <w:rFonts w:hint="eastAsia" w:ascii="宋体" w:hAnsi="宋体" w:cs="宋体"/>
          <w:sz w:val="24"/>
        </w:rPr>
        <w:t>合同价款按以下（1）执行。</w:t>
      </w: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1</w:t>
      </w:r>
      <w:r>
        <w:rPr>
          <w:rFonts w:hint="eastAsia" w:ascii="宋体" w:hAnsi="宋体" w:cs="宋体"/>
          <w:bCs/>
          <w:sz w:val="24"/>
          <w:highlight w:val="none"/>
        </w:rPr>
        <w:t>）</w:t>
      </w:r>
      <w:r>
        <w:rPr>
          <w:rFonts w:hint="eastAsia" w:ascii="宋体" w:hAnsi="宋体" w:cs="宋体"/>
          <w:sz w:val="24"/>
          <w:highlight w:val="none"/>
        </w:rPr>
        <w:t>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val="en-US" w:eastAsia="zh-CN"/>
        </w:rPr>
        <w:t xml:space="preserve">        </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color w:val="000000"/>
          <w:kern w:val="0"/>
          <w:sz w:val="26"/>
          <w:szCs w:val="26"/>
          <w:highlight w:val="none"/>
          <w:lang w:val="en-US" w:eastAsia="zh-CN" w:bidi="ar"/>
        </w:rPr>
        <w:t xml:space="preserve">  </w:t>
      </w:r>
      <w:r>
        <w:rPr>
          <w:rFonts w:hint="eastAsia" w:ascii="宋体" w:hAnsi="宋体" w:cs="宋体"/>
          <w:color w:val="000000"/>
          <w:kern w:val="0"/>
          <w:sz w:val="26"/>
          <w:szCs w:val="26"/>
          <w:highlight w:val="none"/>
          <w:lang w:bidi="ar"/>
        </w:rPr>
        <w:t>万</w:t>
      </w:r>
      <w:r>
        <w:rPr>
          <w:rFonts w:hint="eastAsia" w:ascii="宋体" w:hAnsi="宋体" w:cs="宋体"/>
          <w:color w:val="000000"/>
          <w:kern w:val="0"/>
          <w:sz w:val="26"/>
          <w:szCs w:val="26"/>
          <w:highlight w:val="none"/>
          <w:lang w:val="en-US" w:eastAsia="zh-CN" w:bidi="ar"/>
        </w:rPr>
        <w:t xml:space="preserve">  仟  百  拾  </w:t>
      </w:r>
      <w:r>
        <w:rPr>
          <w:rFonts w:hint="eastAsia" w:ascii="宋体" w:hAnsi="宋体" w:cs="宋体"/>
          <w:color w:val="000000"/>
          <w:kern w:val="0"/>
          <w:sz w:val="26"/>
          <w:szCs w:val="26"/>
          <w:highlight w:val="none"/>
          <w:lang w:bidi="ar"/>
        </w:rPr>
        <w:t>元</w:t>
      </w:r>
      <w:r>
        <w:rPr>
          <w:rFonts w:hint="eastAsia" w:ascii="宋体" w:hAnsi="宋体" w:cs="宋体"/>
          <w:color w:val="000000"/>
          <w:kern w:val="0"/>
          <w:sz w:val="26"/>
          <w:szCs w:val="26"/>
          <w:highlight w:val="none"/>
          <w:lang w:val="en-US" w:eastAsia="zh-CN" w:bidi="ar"/>
        </w:rPr>
        <w:t xml:space="preserve">  </w:t>
      </w:r>
      <w:r>
        <w:rPr>
          <w:rFonts w:hint="eastAsia" w:ascii="宋体" w:hAnsi="宋体" w:cs="宋体"/>
          <w:color w:val="000000"/>
          <w:kern w:val="0"/>
          <w:sz w:val="26"/>
          <w:szCs w:val="26"/>
          <w:highlight w:val="none"/>
          <w:lang w:bidi="ar"/>
        </w:rPr>
        <w:t>角</w:t>
      </w:r>
      <w:r>
        <w:rPr>
          <w:rFonts w:hint="eastAsia" w:ascii="宋体" w:hAnsi="宋体" w:cs="宋体"/>
          <w:color w:val="000000"/>
          <w:kern w:val="0"/>
          <w:sz w:val="26"/>
          <w:szCs w:val="26"/>
          <w:highlight w:val="none"/>
          <w:lang w:val="en-US" w:eastAsia="zh-CN" w:bidi="ar"/>
        </w:rPr>
        <w:t xml:space="preserve">  分</w:t>
      </w:r>
      <w:r>
        <w:rPr>
          <w:rFonts w:hint="eastAsia" w:ascii="宋体" w:hAnsi="宋体" w:cs="宋体"/>
          <w:sz w:val="24"/>
          <w:highlight w:val="none"/>
        </w:rPr>
        <w:t>）。经甲方或甲方委托有资质第三方机构审核后，审核价作为合同结算价。若合同结算价超合同暂定总价，双方另行签订补充协议。</w:t>
      </w:r>
    </w:p>
    <w:p>
      <w:pPr>
        <w:ind w:firstLine="480" w:firstLineChars="200"/>
        <w:rPr>
          <w:rFonts w:hint="eastAsia" w:ascii="宋体" w:hAnsi="宋体" w:cs="宋体"/>
          <w:sz w:val="24"/>
          <w:highlight w:val="none"/>
        </w:rPr>
      </w:pPr>
      <w:r>
        <w:rPr>
          <w:rFonts w:hint="eastAsia" w:ascii="宋体" w:hAnsi="宋体" w:cs="宋体"/>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autoSpaceDE w:val="0"/>
        <w:autoSpaceDN w:val="0"/>
        <w:adjustRightInd w:val="0"/>
        <w:spacing w:line="384" w:lineRule="auto"/>
        <w:ind w:firstLine="480" w:firstLineChars="200"/>
        <w:rPr>
          <w:rFonts w:ascii="宋体" w:hAnsi="宋体" w:cs="宋体"/>
          <w:sz w:val="24"/>
          <w:highlight w:val="none"/>
        </w:rPr>
      </w:pPr>
    </w:p>
    <w:p>
      <w:pPr>
        <w:spacing w:line="384" w:lineRule="auto"/>
        <w:ind w:left="239" w:leftChars="114" w:firstLine="240" w:firstLineChars="1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2</w:t>
      </w:r>
      <w:r>
        <w:rPr>
          <w:rFonts w:hint="eastAsia" w:ascii="宋体" w:hAnsi="宋体" w:cs="宋体"/>
          <w:bCs/>
          <w:sz w:val="24"/>
          <w:highlight w:val="none"/>
        </w:rPr>
        <w:t>）</w:t>
      </w:r>
      <w:r>
        <w:rPr>
          <w:rFonts w:hint="eastAsia" w:ascii="宋体" w:hAnsi="宋体" w:cs="宋体"/>
          <w:sz w:val="24"/>
          <w:highlight w:val="none"/>
        </w:rPr>
        <w:t>合同以综合单价包干形式，合同暂定总价为：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val="en-US" w:eastAsia="zh-CN"/>
        </w:rPr>
        <w:t xml:space="preserve">     </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rPr>
        <w:t>/</w:t>
      </w:r>
      <w:r>
        <w:rPr>
          <w:rFonts w:hint="eastAsia" w:ascii="宋体" w:hAnsi="宋体" w:cs="宋体"/>
          <w:sz w:val="24"/>
          <w:highlight w:val="none"/>
          <w:lang w:val="en-US" w:eastAsia="zh-CN"/>
        </w:rPr>
        <w:t xml:space="preserve"> </w:t>
      </w:r>
      <w:r>
        <w:rPr>
          <w:rFonts w:hint="eastAsia" w:ascii="宋体" w:hAnsi="宋体" w:cs="宋体"/>
          <w:sz w:val="24"/>
          <w:highlight w:val="none"/>
        </w:rPr>
        <w:t>万</w:t>
      </w:r>
      <w:r>
        <w:rPr>
          <w:rFonts w:hint="eastAsia" w:ascii="宋体" w:hAnsi="宋体" w:cs="宋体"/>
          <w:sz w:val="24"/>
          <w:highlight w:val="none"/>
          <w:lang w:val="en-US" w:eastAsia="zh-CN"/>
        </w:rPr>
        <w:t xml:space="preserve">  </w:t>
      </w:r>
      <w:r>
        <w:rPr>
          <w:rFonts w:hint="eastAsia" w:ascii="宋体" w:hAnsi="宋体" w:cs="宋体"/>
          <w:sz w:val="24"/>
          <w:highlight w:val="none"/>
        </w:rPr>
        <w:t>仟</w:t>
      </w:r>
      <w:r>
        <w:rPr>
          <w:rFonts w:hint="eastAsia" w:ascii="宋体" w:hAnsi="宋体" w:cs="宋体"/>
          <w:sz w:val="24"/>
          <w:highlight w:val="none"/>
          <w:lang w:val="en-US" w:eastAsia="zh-CN"/>
        </w:rPr>
        <w:t xml:space="preserve">  佰  </w:t>
      </w:r>
      <w:r>
        <w:rPr>
          <w:rFonts w:hint="eastAsia" w:ascii="宋体" w:hAnsi="宋体" w:cs="宋体"/>
          <w:sz w:val="24"/>
          <w:highlight w:val="none"/>
        </w:rPr>
        <w:t>元</w:t>
      </w:r>
      <w:r>
        <w:rPr>
          <w:rFonts w:hint="eastAsia" w:ascii="宋体" w:hAnsi="宋体" w:cs="宋体"/>
          <w:sz w:val="24"/>
          <w:highlight w:val="none"/>
          <w:lang w:val="en-US" w:eastAsia="zh-CN"/>
        </w:rPr>
        <w:t xml:space="preserve">  </w:t>
      </w:r>
      <w:r>
        <w:rPr>
          <w:rFonts w:hint="eastAsia" w:ascii="宋体" w:hAnsi="宋体" w:cs="宋体"/>
          <w:sz w:val="24"/>
          <w:highlight w:val="none"/>
        </w:rPr>
        <w:t>角）。经甲方或甲方委托有资质第三方机构审核后，若结算审核价比合同暂定总价低，则以结算审核价作为合同结算价，否则以合同暂定总价为合同结算价。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hint="eastAsia" w:ascii="宋体" w:hAnsi="宋体" w:cs="宋体"/>
          <w:sz w:val="24"/>
        </w:rPr>
      </w:pPr>
      <w:r>
        <w:rPr>
          <w:rFonts w:ascii="宋体" w:hAnsi="宋体" w:cs="宋体"/>
          <w:kern w:val="0"/>
          <w:sz w:val="24"/>
          <w:highlight w:val="none"/>
          <w:lang w:val="zh-CN"/>
        </w:rPr>
        <w:t>4.2</w:t>
      </w:r>
      <w:r>
        <w:rPr>
          <w:rFonts w:hint="eastAsia" w:ascii="宋体" w:hAnsi="宋体" w:cs="宋体"/>
          <w:kern w:val="0"/>
          <w:sz w:val="24"/>
          <w:highlight w:val="none"/>
        </w:rPr>
        <w:t>本合同约定的价格为含税价价格</w:t>
      </w:r>
      <w:r>
        <w:rPr>
          <w:rFonts w:hint="eastAsia" w:ascii="宋体" w:hAnsi="宋体" w:cs="宋体"/>
          <w:sz w:val="24"/>
          <w:highlight w:val="none"/>
        </w:rPr>
        <w:t>（税率</w:t>
      </w:r>
      <w:r>
        <w:rPr>
          <w:rFonts w:ascii="宋体" w:hAnsi="宋体" w:cs="宋体"/>
          <w:sz w:val="24"/>
          <w:highlight w:val="none"/>
          <w:u w:val="single"/>
        </w:rPr>
        <w:t xml:space="preserve"> 9  %</w:t>
      </w:r>
      <w:r>
        <w:rPr>
          <w:rFonts w:hint="eastAsia" w:ascii="宋体" w:hAnsi="宋体" w:cs="宋体"/>
          <w:sz w:val="24"/>
          <w:highlight w:val="none"/>
        </w:rPr>
        <w:t>），合同履行期间国家税率调整</w:t>
      </w:r>
      <w:r>
        <w:rPr>
          <w:rFonts w:hint="eastAsia" w:ascii="宋体" w:hAnsi="宋体" w:cs="宋体"/>
          <w:sz w:val="24"/>
        </w:rPr>
        <w:t>或乙方开票的实际税率与前述税率不一致的，不含税价不变，价税合计按实际税率相应调整，以开具发票时间为准。</w:t>
      </w:r>
    </w:p>
    <w:p>
      <w:pPr>
        <w:tabs>
          <w:tab w:val="left" w:pos="0"/>
        </w:tabs>
        <w:adjustRightInd w:val="0"/>
        <w:snapToGrid w:val="0"/>
        <w:spacing w:line="360" w:lineRule="auto"/>
        <w:ind w:firstLine="480" w:firstLineChars="200"/>
        <w:jc w:val="left"/>
        <w:rPr>
          <w:rFonts w:hint="eastAsia" w:ascii="宋体" w:hAnsi="宋体" w:cs="宋体"/>
          <w:bCs/>
          <w:sz w:val="24"/>
        </w:rPr>
      </w:pPr>
      <w:r>
        <w:rPr>
          <w:rFonts w:hint="eastAsia" w:ascii="宋体" w:hAnsi="宋体" w:cs="宋体"/>
          <w:bCs/>
          <w:sz w:val="24"/>
        </w:rPr>
        <w:t>4.3因非甲方原因引起工程量报价清单中工程量发生增减，且单个子目工程量变化幅度在5%以内（含）时，按工程量报价清单中列明的子目单价结算。否则，按新增单价执行。</w:t>
      </w:r>
    </w:p>
    <w:p>
      <w:pPr>
        <w:spacing w:line="560" w:lineRule="exact"/>
        <w:ind w:firstLine="480" w:firstLineChars="200"/>
        <w:rPr>
          <w:rFonts w:hint="eastAsia" w:ascii="宋体" w:hAnsi="宋体" w:cs="宋体"/>
          <w:sz w:val="24"/>
        </w:rPr>
      </w:pPr>
      <w:r>
        <w:rPr>
          <w:rFonts w:hint="eastAsia" w:ascii="宋体" w:hAnsi="宋体" w:cs="宋体"/>
          <w:sz w:val="24"/>
        </w:rPr>
        <w:t>4.4合同中没有适用于变更工程项目的单价的，按新增单价执行。</w:t>
      </w:r>
    </w:p>
    <w:p>
      <w:pPr>
        <w:spacing w:line="560" w:lineRule="exact"/>
        <w:ind w:firstLine="480" w:firstLineChars="200"/>
        <w:rPr>
          <w:rFonts w:hint="eastAsia" w:ascii="宋体" w:hAnsi="宋体" w:cs="宋体"/>
          <w:sz w:val="24"/>
        </w:rPr>
      </w:pPr>
      <w:r>
        <w:rPr>
          <w:rFonts w:hint="eastAsia" w:ascii="宋体" w:hAnsi="宋体" w:cs="宋体"/>
          <w:sz w:val="24"/>
        </w:rPr>
        <w:t>新增单价计价原则：</w:t>
      </w:r>
    </w:p>
    <w:p>
      <w:pPr>
        <w:spacing w:line="560" w:lineRule="exact"/>
        <w:ind w:firstLine="480" w:firstLineChars="200"/>
        <w:rPr>
          <w:rFonts w:hint="eastAsia" w:ascii="宋体" w:hAnsi="宋体" w:cs="宋体"/>
          <w:sz w:val="24"/>
        </w:rPr>
      </w:pPr>
      <w:r>
        <w:rPr>
          <w:rFonts w:hint="eastAsia" w:ascii="宋体" w:hAnsi="宋体" w:cs="宋体"/>
          <w:sz w:val="24"/>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spacing w:line="560" w:lineRule="exact"/>
        <w:ind w:firstLine="480" w:firstLineChars="200"/>
        <w:rPr>
          <w:rFonts w:hint="eastAsia" w:ascii="宋体" w:hAnsi="宋体" w:cs="宋体"/>
          <w:sz w:val="24"/>
        </w:rPr>
      </w:pPr>
      <w:r>
        <w:rPr>
          <w:rFonts w:hint="eastAsia" w:ascii="宋体" w:hAnsi="宋体" w:cs="宋体"/>
          <w:sz w:val="24"/>
        </w:rPr>
        <w:t>2.项目计价材料、设备价格的控制：按以下顺序作为降序优先级依次采用工程开工报告中开工日期当月的下列价格：</w:t>
      </w:r>
    </w:p>
    <w:p>
      <w:pPr>
        <w:spacing w:line="560" w:lineRule="exact"/>
        <w:ind w:firstLine="240" w:firstLineChars="100"/>
        <w:rPr>
          <w:rFonts w:hint="eastAsia" w:ascii="宋体" w:hAnsi="宋体" w:cs="宋体"/>
          <w:sz w:val="24"/>
        </w:rPr>
      </w:pPr>
      <w:r>
        <w:rPr>
          <w:rFonts w:hint="eastAsia" w:ascii="宋体" w:hAnsi="宋体" w:cs="宋体"/>
          <w:sz w:val="24"/>
        </w:rPr>
        <w:t>（1）《广州地区建设工程常用材料税前综合价格》（下称综合价格）。</w:t>
      </w:r>
    </w:p>
    <w:p>
      <w:pPr>
        <w:spacing w:line="560" w:lineRule="exact"/>
        <w:ind w:firstLine="240" w:firstLineChars="100"/>
        <w:rPr>
          <w:rFonts w:hint="eastAsia" w:ascii="宋体" w:hAnsi="宋体" w:cs="宋体"/>
          <w:sz w:val="24"/>
        </w:rPr>
      </w:pPr>
      <w:r>
        <w:rPr>
          <w:rFonts w:hint="eastAsia" w:ascii="宋体" w:hAnsi="宋体" w:cs="宋体"/>
          <w:sz w:val="24"/>
        </w:rPr>
        <w:t>（2）《广州地区建设工程材料（设备）厂商价格信息》（下称厂商价格）下浮10-20%。</w:t>
      </w:r>
    </w:p>
    <w:p>
      <w:pPr>
        <w:spacing w:line="560" w:lineRule="exact"/>
        <w:ind w:firstLine="240" w:firstLineChars="100"/>
        <w:rPr>
          <w:rFonts w:hint="eastAsia" w:ascii="宋体" w:hAnsi="宋体" w:cs="宋体"/>
          <w:sz w:val="24"/>
        </w:rPr>
      </w:pPr>
      <w:r>
        <w:rPr>
          <w:rFonts w:hint="eastAsia" w:ascii="宋体" w:hAnsi="宋体" w:cs="宋体"/>
          <w:sz w:val="24"/>
        </w:rPr>
        <w:t>（3）综合价格、厂商价格中缺项的，采用由北京瑞恒达建筑咨询有限公司提供服务的“慧讯网”中查到的相应材料、设备价格的工程价。</w:t>
      </w:r>
    </w:p>
    <w:p>
      <w:pPr>
        <w:pStyle w:val="28"/>
        <w:rPr>
          <w:rFonts w:eastAsia="宋体"/>
        </w:rPr>
      </w:pPr>
      <w:r>
        <w:rPr>
          <w:rFonts w:hint="eastAsia" w:hAnsi="宋体" w:eastAsia="宋体"/>
        </w:rPr>
        <w:t xml:space="preserve">  </w:t>
      </w:r>
      <w:r>
        <w:rPr>
          <w:rFonts w:hAnsi="宋体" w:eastAsia="宋体"/>
        </w:rPr>
        <w:t>（4）通过市场询价双方协商确定。</w:t>
      </w:r>
    </w:p>
    <w:p>
      <w:pPr>
        <w:rPr>
          <w:rFonts w:hint="eastAsia" w:ascii="宋体" w:hAnsi="宋体" w:cs="宋体"/>
          <w:sz w:val="24"/>
        </w:rPr>
      </w:pPr>
      <w:r>
        <w:rPr>
          <w:rFonts w:hint="eastAsia" w:ascii="宋体" w:hAnsi="宋体" w:cs="宋体"/>
          <w:sz w:val="24"/>
        </w:rPr>
        <w:t xml:space="preserve">  3.按1、2组价后下浮5%计取。</w:t>
      </w:r>
    </w:p>
    <w:p>
      <w:pPr>
        <w:tabs>
          <w:tab w:val="left" w:pos="851"/>
        </w:tabs>
        <w:adjustRightInd w:val="0"/>
        <w:snapToGrid w:val="0"/>
        <w:spacing w:line="384" w:lineRule="auto"/>
        <w:ind w:firstLine="480" w:firstLineChars="200"/>
        <w:rPr>
          <w:rFonts w:hint="eastAsia" w:ascii="宋体" w:hAnsi="宋体" w:cs="宋体"/>
          <w:sz w:val="24"/>
        </w:rPr>
      </w:pPr>
    </w:p>
    <w:p>
      <w:pPr>
        <w:widowControl/>
        <w:tabs>
          <w:tab w:val="left" w:pos="851"/>
        </w:tabs>
        <w:adjustRightInd w:val="0"/>
        <w:snapToGrid w:val="0"/>
        <w:spacing w:line="384" w:lineRule="auto"/>
        <w:ind w:firstLine="482" w:firstLineChars="200"/>
        <w:jc w:val="left"/>
        <w:rPr>
          <w:rFonts w:ascii="宋体" w:hAnsi="宋体" w:cs="宋体"/>
          <w:b/>
          <w:bCs/>
          <w:sz w:val="24"/>
        </w:rPr>
      </w:pPr>
      <w:r>
        <w:rPr>
          <w:rFonts w:hint="eastAsia" w:ascii="宋体" w:hAnsi="宋体" w:cs="宋体"/>
          <w:b/>
          <w:bCs/>
          <w:sz w:val="24"/>
        </w:rPr>
        <w:t>第五条工期及要求</w:t>
      </w:r>
    </w:p>
    <w:p>
      <w:pPr>
        <w:widowControl/>
        <w:spacing w:line="384" w:lineRule="auto"/>
        <w:ind w:firstLine="480" w:firstLineChars="200"/>
        <w:jc w:val="left"/>
        <w:rPr>
          <w:rFonts w:ascii="宋体" w:hAnsi="宋体" w:cs="宋体"/>
          <w:sz w:val="24"/>
        </w:rPr>
      </w:pPr>
      <w:r>
        <w:rPr>
          <w:rFonts w:ascii="宋体" w:hAnsi="宋体" w:cs="宋体"/>
          <w:sz w:val="24"/>
        </w:rPr>
        <w:t>5.1</w:t>
      </w:r>
      <w:r>
        <w:rPr>
          <w:rFonts w:hint="eastAsia" w:ascii="宋体" w:hAnsi="宋体" w:cs="宋体"/>
          <w:sz w:val="24"/>
        </w:rPr>
        <w:t>开工日期暂定为：</w:t>
      </w:r>
      <w:r>
        <w:rPr>
          <w:rFonts w:hint="eastAsia" w:ascii="宋体" w:hAnsi="宋体" w:cs="宋体"/>
          <w:sz w:val="24"/>
          <w:u w:val="single"/>
        </w:rPr>
        <w:t xml:space="preserve">2022年 </w:t>
      </w:r>
      <w:r>
        <w:rPr>
          <w:rFonts w:hint="eastAsia" w:ascii="宋体" w:hAnsi="宋体" w:cs="宋体"/>
          <w:sz w:val="24"/>
          <w:u w:val="single"/>
          <w:lang w:val="en-US" w:eastAsia="zh-CN"/>
        </w:rPr>
        <w:t xml:space="preserve"> </w:t>
      </w:r>
      <w:r>
        <w:rPr>
          <w:rFonts w:hint="eastAsia" w:ascii="宋体" w:hAnsi="宋体" w:cs="宋体"/>
          <w:sz w:val="24"/>
          <w:u w:val="single"/>
        </w:rPr>
        <w:t xml:space="preserve"> 月 </w:t>
      </w:r>
      <w:r>
        <w:rPr>
          <w:rFonts w:hint="eastAsia" w:ascii="宋体" w:hAnsi="宋体" w:cs="宋体"/>
          <w:sz w:val="24"/>
          <w:u w:val="single"/>
          <w:lang w:val="en-US" w:eastAsia="zh-CN"/>
        </w:rPr>
        <w:t xml:space="preserve"> </w:t>
      </w:r>
      <w:r>
        <w:rPr>
          <w:rFonts w:hint="eastAsia" w:ascii="宋体" w:hAnsi="宋体" w:cs="宋体"/>
          <w:sz w:val="24"/>
          <w:u w:val="single"/>
        </w:rPr>
        <w:t xml:space="preserve">  日</w:t>
      </w:r>
      <w:r>
        <w:rPr>
          <w:rFonts w:hint="eastAsia" w:ascii="宋体" w:hAnsi="宋体" w:cs="宋体"/>
          <w:sz w:val="24"/>
        </w:rPr>
        <w:t>，具体日期以甲方发出的开工报告</w:t>
      </w:r>
      <w:r>
        <w:rPr>
          <w:rFonts w:ascii="宋体" w:hAnsi="宋体" w:cs="宋体"/>
          <w:sz w:val="24"/>
        </w:rPr>
        <w:t>/</w:t>
      </w:r>
      <w:r>
        <w:rPr>
          <w:rFonts w:hint="eastAsia" w:ascii="宋体" w:hAnsi="宋体" w:cs="宋体"/>
          <w:sz w:val="24"/>
        </w:rPr>
        <w:t>通知为准。乙方不能按时开工，应当于开工报告</w:t>
      </w:r>
      <w:r>
        <w:rPr>
          <w:rFonts w:ascii="宋体" w:hAnsi="宋体" w:cs="宋体"/>
          <w:sz w:val="24"/>
        </w:rPr>
        <w:t>/</w:t>
      </w:r>
      <w:r>
        <w:rPr>
          <w:rFonts w:hint="eastAsia" w:ascii="宋体" w:hAnsi="宋体" w:cs="宋体"/>
          <w:sz w:val="24"/>
        </w:rPr>
        <w:t>通知载明的开工日期</w:t>
      </w:r>
      <w:r>
        <w:rPr>
          <w:rFonts w:ascii="宋体" w:hAnsi="宋体" w:cs="宋体"/>
          <w:sz w:val="24"/>
        </w:rPr>
        <w:t>7</w:t>
      </w:r>
      <w:r>
        <w:rPr>
          <w:rFonts w:hint="eastAsia" w:ascii="宋体" w:hAnsi="宋体" w:cs="宋体"/>
          <w:sz w:val="24"/>
        </w:rPr>
        <w:t>天前，以书面形式向甲方提出延期开工的理由。甲方应当在接到延期开工申请后的</w:t>
      </w:r>
      <w:r>
        <w:rPr>
          <w:rFonts w:ascii="宋体" w:hAnsi="宋体" w:cs="宋体"/>
          <w:sz w:val="24"/>
        </w:rPr>
        <w:t>48</w:t>
      </w:r>
      <w:r>
        <w:rPr>
          <w:rFonts w:hint="eastAsia" w:ascii="宋体" w:hAnsi="宋体" w:cs="宋体"/>
          <w:sz w:val="24"/>
        </w:rPr>
        <w:t>小时内以书面形式答复乙方。甲方在接到延期开工申请后</w:t>
      </w:r>
      <w:r>
        <w:rPr>
          <w:rFonts w:ascii="宋体" w:hAnsi="宋体" w:cs="宋体"/>
          <w:sz w:val="24"/>
        </w:rPr>
        <w:t>48</w:t>
      </w:r>
      <w:r>
        <w:rPr>
          <w:rFonts w:hint="eastAsia" w:ascii="宋体" w:hAnsi="宋体" w:cs="宋体"/>
          <w:sz w:val="24"/>
        </w:rPr>
        <w:t>小时内不答复，视为同意乙方要求，工期相应顺延。甲方不同意延期要求或乙方未在规定时间内提出延期开工，工期不予顺延。合同工期总日历天数</w:t>
      </w:r>
      <w:r>
        <w:rPr>
          <w:rFonts w:hint="eastAsia" w:ascii="宋体" w:hAnsi="宋体" w:cs="宋体"/>
          <w:sz w:val="24"/>
          <w:u w:val="single"/>
        </w:rPr>
        <w:t xml:space="preserve"> </w:t>
      </w:r>
      <w:r>
        <w:rPr>
          <w:rFonts w:ascii="宋体" w:hAnsi="宋体" w:cs="宋体"/>
          <w:sz w:val="24"/>
          <w:u w:val="single"/>
        </w:rPr>
        <w:t xml:space="preserve">20 </w:t>
      </w:r>
      <w:r>
        <w:rPr>
          <w:rFonts w:hint="eastAsia" w:ascii="宋体" w:hAnsi="宋体" w:cs="宋体"/>
          <w:sz w:val="24"/>
        </w:rPr>
        <w:t>天。乙方未能按合同工期竣工验收的，每逾期一天，甲方有权要求乙方按</w:t>
      </w:r>
      <w:r>
        <w:rPr>
          <w:rFonts w:hint="eastAsia" w:ascii="宋体" w:hAnsi="宋体" w:cs="宋体"/>
          <w:sz w:val="24"/>
          <w:u w:val="single"/>
        </w:rPr>
        <w:t>合同暂定总价的</w:t>
      </w:r>
      <w:r>
        <w:rPr>
          <w:rFonts w:ascii="宋体" w:hAnsi="宋体" w:cs="宋体"/>
          <w:sz w:val="24"/>
          <w:u w:val="single"/>
        </w:rPr>
        <w:t xml:space="preserve"> 1%</w:t>
      </w:r>
      <w:r>
        <w:rPr>
          <w:rFonts w:hint="eastAsia" w:ascii="宋体" w:hAnsi="宋体" w:cs="宋体"/>
          <w:sz w:val="24"/>
        </w:rPr>
        <w:t>支付违约金，逾期达到</w:t>
      </w:r>
      <w:r>
        <w:rPr>
          <w:rFonts w:hint="eastAsia" w:ascii="宋体" w:hAnsi="宋体" w:cs="宋体"/>
          <w:sz w:val="24"/>
          <w:u w:val="single"/>
        </w:rPr>
        <w:t xml:space="preserve"> 30 </w:t>
      </w:r>
      <w:r>
        <w:rPr>
          <w:rFonts w:hint="eastAsia" w:ascii="宋体" w:hAnsi="宋体" w:cs="宋体"/>
          <w:sz w:val="24"/>
        </w:rPr>
        <w:t>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widowControl/>
        <w:spacing w:line="384" w:lineRule="auto"/>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u w:val="single"/>
        </w:rPr>
        <w:t>合同暂定总价的</w:t>
      </w:r>
      <w:r>
        <w:rPr>
          <w:rFonts w:ascii="宋体" w:hAnsi="宋体" w:cs="宋体"/>
          <w:bCs/>
          <w:sz w:val="24"/>
          <w:u w:val="single"/>
        </w:rPr>
        <w:t>5%/</w:t>
      </w:r>
      <w:r>
        <w:rPr>
          <w:rFonts w:hint="eastAsia" w:ascii="宋体" w:hAnsi="宋体" w:cs="宋体"/>
          <w:bCs/>
          <w:sz w:val="24"/>
          <w:u w:val="single"/>
        </w:rPr>
        <w:t>次</w:t>
      </w:r>
      <w:r>
        <w:rPr>
          <w:rFonts w:hint="eastAsia" w:ascii="宋体" w:hAnsi="宋体" w:cs="宋体"/>
          <w:bCs/>
          <w:sz w:val="24"/>
        </w:rPr>
        <w:t>作为违约金，超过三次（含三次）的，甲方有权解除合同，要求乙方支付</w:t>
      </w:r>
      <w:r>
        <w:rPr>
          <w:rFonts w:hint="eastAsia" w:ascii="宋体" w:hAnsi="宋体" w:cs="宋体"/>
          <w:bCs/>
          <w:sz w:val="24"/>
          <w:u w:val="single"/>
        </w:rPr>
        <w:t>合同暂定总价的</w:t>
      </w:r>
      <w:r>
        <w:rPr>
          <w:rFonts w:ascii="宋体" w:hAnsi="宋体" w:cs="宋体"/>
          <w:bCs/>
          <w:sz w:val="24"/>
          <w:u w:val="single"/>
        </w:rPr>
        <w:t>20%</w:t>
      </w:r>
      <w:r>
        <w:rPr>
          <w:rFonts w:hint="eastAsia" w:ascii="宋体" w:hAnsi="宋体" w:cs="宋体"/>
          <w:bCs/>
          <w:sz w:val="24"/>
        </w:rPr>
        <w:t>作为违约金。由此造成的经济和法律责任，均由乙方负责。</w:t>
      </w:r>
    </w:p>
    <w:p>
      <w:pPr>
        <w:widowControl/>
        <w:spacing w:line="384" w:lineRule="auto"/>
        <w:ind w:left="1"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乙方应按合同及甲方提供的技术文件要求进行本项目实施和安装。乙方未经甲方同意，不得将本项目图纸泄露或转给第三人。除乙方存档需要的图纸外，乙方应于项目质量保修期满后日内将全部图纸退还给甲方。</w:t>
      </w:r>
    </w:p>
    <w:p>
      <w:pPr>
        <w:widowControl/>
        <w:spacing w:line="384" w:lineRule="auto"/>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cs="宋体"/>
          <w:bCs/>
          <w:sz w:val="24"/>
        </w:rPr>
      </w:pPr>
      <w:r>
        <w:rPr>
          <w:rFonts w:ascii="宋体" w:hAnsi="宋体" w:cs="宋体"/>
          <w:bCs/>
          <w:sz w:val="24"/>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u w:val="single"/>
        </w:rPr>
        <w:t>1万元</w:t>
      </w:r>
      <w:r>
        <w:rPr>
          <w:rFonts w:ascii="宋体" w:hAnsi="宋体" w:cs="宋体"/>
          <w:bCs/>
          <w:sz w:val="24"/>
        </w:rPr>
        <w:t>，超过</w:t>
      </w:r>
      <w:r>
        <w:rPr>
          <w:rFonts w:ascii="宋体" w:hAnsi="宋体" w:cs="宋体"/>
          <w:bCs/>
          <w:sz w:val="24"/>
          <w:u w:val="single"/>
        </w:rPr>
        <w:t>_</w:t>
      </w:r>
      <w:r>
        <w:rPr>
          <w:rFonts w:hint="eastAsia" w:ascii="宋体" w:hAnsi="宋体" w:cs="宋体"/>
          <w:bCs/>
          <w:sz w:val="24"/>
          <w:u w:val="single"/>
        </w:rPr>
        <w:t>30</w:t>
      </w:r>
      <w:r>
        <w:rPr>
          <w:rFonts w:ascii="宋体" w:hAnsi="宋体" w:cs="宋体"/>
          <w:bCs/>
          <w:sz w:val="24"/>
          <w:u w:val="single"/>
        </w:rPr>
        <w:t>_</w:t>
      </w:r>
      <w:r>
        <w:rPr>
          <w:rFonts w:ascii="宋体" w:hAnsi="宋体" w:cs="宋体"/>
          <w:bCs/>
          <w:sz w:val="24"/>
        </w:rPr>
        <w:t>日，甲方有权解除合同并要求乙方支付</w:t>
      </w:r>
      <w:r>
        <w:rPr>
          <w:rFonts w:ascii="宋体" w:hAnsi="宋体" w:cs="宋体"/>
          <w:bCs/>
          <w:sz w:val="24"/>
          <w:u w:val="single"/>
        </w:rPr>
        <w:t>合同暂定总价的20%</w:t>
      </w:r>
      <w:r>
        <w:rPr>
          <w:rFonts w:ascii="宋体" w:hAnsi="宋体" w:cs="宋体"/>
          <w:bCs/>
          <w:sz w:val="24"/>
        </w:rPr>
        <w:t>作为违约金</w:t>
      </w:r>
      <w:r>
        <w:rPr>
          <w:rFonts w:hint="eastAsia" w:ascii="宋体" w:hAnsi="宋体"/>
          <w:bCs/>
          <w:sz w:val="24"/>
        </w:rPr>
        <w:t>（</w:t>
      </w:r>
      <w:r>
        <w:rPr>
          <w:rFonts w:hint="eastAsia" w:cs="宋体"/>
          <w:sz w:val="24"/>
        </w:rPr>
        <w:t>如合同另行约定违约责任，从其约定</w:t>
      </w:r>
      <w:r>
        <w:rPr>
          <w:rFonts w:hint="eastAsia" w:ascii="宋体" w:hAnsi="宋体"/>
          <w:bCs/>
          <w:sz w:val="24"/>
        </w:rPr>
        <w:t>）</w:t>
      </w:r>
      <w:r>
        <w:rPr>
          <w:rFonts w:ascii="宋体" w:hAnsi="宋体" w:cs="宋体"/>
          <w:bCs/>
          <w:sz w:val="24"/>
        </w:rPr>
        <w:t>。</w:t>
      </w:r>
    </w:p>
    <w:p>
      <w:pPr>
        <w:topLinePunct/>
        <w:spacing w:line="500" w:lineRule="exact"/>
        <w:ind w:firstLine="480" w:firstLineChars="200"/>
        <w:rPr>
          <w:rFonts w:hint="eastAsia" w:ascii="宋体" w:hAnsi="宋体" w:cs="宋体"/>
          <w:sz w:val="24"/>
        </w:rPr>
      </w:pPr>
      <w:r>
        <w:rPr>
          <w:rFonts w:hint="eastAsia" w:ascii="宋体" w:hAnsi="宋体" w:cs="宋体"/>
          <w:sz w:val="24"/>
        </w:rPr>
        <w:t>5.6乙方不得随意更换项目负责人及附件5中的相关人员，如确须更换，应提前征得甲方同意。如有违反，甲方有权解除合同并要求乙方支付</w:t>
      </w:r>
      <w:r>
        <w:rPr>
          <w:rFonts w:hint="eastAsia" w:ascii="宋体" w:hAnsi="宋体" w:cs="宋体"/>
          <w:sz w:val="24"/>
          <w:u w:val="single"/>
        </w:rPr>
        <w:t>5000元/人次</w:t>
      </w:r>
      <w:r>
        <w:rPr>
          <w:rFonts w:hint="eastAsia" w:ascii="宋体" w:hAnsi="宋体" w:cs="宋体"/>
          <w:sz w:val="24"/>
        </w:rPr>
        <w:t xml:space="preserve">作为违约金，以及赔偿由此造成的一切损失(包含质量安全事故、工期延误、增加投资等)。 </w:t>
      </w:r>
    </w:p>
    <w:p>
      <w:pPr>
        <w:topLinePunct/>
        <w:spacing w:line="500" w:lineRule="exact"/>
        <w:ind w:firstLine="480" w:firstLineChars="200"/>
        <w:rPr>
          <w:rFonts w:hint="eastAsia" w:ascii="宋体" w:hAnsi="宋体" w:cs="宋体"/>
          <w:sz w:val="24"/>
        </w:rPr>
      </w:pPr>
      <w:r>
        <w:rPr>
          <w:rFonts w:hint="eastAsia" w:ascii="宋体" w:hAnsi="宋体" w:cs="宋体"/>
          <w:sz w:val="24"/>
        </w:rPr>
        <w:t xml:space="preserve"> 5.7施工过程中，项目负责人应驻场管理，否则甲方有权要求乙方支付违约</w:t>
      </w:r>
      <w:r>
        <w:rPr>
          <w:rFonts w:hint="eastAsia" w:ascii="宋体" w:hAnsi="宋体" w:cs="宋体"/>
          <w:sz w:val="24"/>
          <w:u w:val="single"/>
        </w:rPr>
        <w:t xml:space="preserve"> 1000元/天</w:t>
      </w:r>
      <w:r>
        <w:rPr>
          <w:rFonts w:hint="eastAsia" w:ascii="宋体" w:hAnsi="宋体" w:cs="宋体"/>
          <w:sz w:val="24"/>
        </w:rPr>
        <w:t>，因此造成损失的，按实际发生额赔偿。</w:t>
      </w:r>
    </w:p>
    <w:p>
      <w:pPr>
        <w:pStyle w:val="28"/>
        <w:ind w:firstLine="480" w:firstLineChars="200"/>
        <w:rPr>
          <w:rFonts w:hint="eastAsia" w:hAnsi="宋体" w:eastAsia="宋体"/>
        </w:rPr>
      </w:pPr>
      <w:r>
        <w:rPr>
          <w:rFonts w:hint="eastAsia" w:hAnsi="宋体" w:eastAsia="宋体"/>
        </w:rPr>
        <w:t>5.8施工过程中，乙方应负责配备现场的应急物资。具体应急物资配备详见附件应急救援物资清单。（如需）</w:t>
      </w:r>
    </w:p>
    <w:p>
      <w:pPr>
        <w:topLinePunct/>
        <w:spacing w:line="500" w:lineRule="exact"/>
        <w:ind w:firstLine="480" w:firstLineChars="200"/>
        <w:rPr>
          <w:rFonts w:ascii="宋体" w:hAnsi="宋体" w:cs="宋体"/>
          <w:sz w:val="24"/>
        </w:rPr>
      </w:pPr>
      <w:r>
        <w:rPr>
          <w:rFonts w:hint="eastAsia" w:ascii="宋体" w:hAnsi="宋体" w:cs="宋体"/>
          <w:sz w:val="24"/>
        </w:rPr>
        <w:t>5.9在合同有效期内，若乙方发生不诚信行为情形的，乙方自愿接受甲方按《广州市净水有限公司经营建设项目参建企业不诚信行为管理办法》处理，具体处理标准详见附件3。</w:t>
      </w:r>
    </w:p>
    <w:p>
      <w:pPr>
        <w:pStyle w:val="28"/>
        <w:rPr>
          <w:rFonts w:hint="eastAsia"/>
        </w:rPr>
      </w:pPr>
    </w:p>
    <w:p>
      <w:pPr>
        <w:tabs>
          <w:tab w:val="left" w:pos="851"/>
        </w:tabs>
        <w:adjustRightInd w:val="0"/>
        <w:snapToGrid w:val="0"/>
        <w:spacing w:line="360" w:lineRule="auto"/>
        <w:ind w:firstLine="482" w:firstLineChars="200"/>
        <w:jc w:val="left"/>
        <w:rPr>
          <w:rFonts w:ascii="宋体" w:hAnsi="宋体" w:cs="宋体"/>
          <w:b/>
          <w:sz w:val="24"/>
        </w:rPr>
      </w:pPr>
      <w:r>
        <w:rPr>
          <w:rFonts w:hint="eastAsia" w:ascii="宋体" w:hAnsi="宋体" w:cs="宋体"/>
          <w:b/>
          <w:sz w:val="24"/>
        </w:rPr>
        <w:t>第六条实施条件及管理要求</w:t>
      </w:r>
    </w:p>
    <w:p>
      <w:pPr>
        <w:spacing w:line="384" w:lineRule="auto"/>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sz w:val="24"/>
        </w:rPr>
      </w:pPr>
      <w:r>
        <w:rPr>
          <w:rFonts w:ascii="宋体" w:hAnsi="宋体" w:cs="宋体"/>
          <w:sz w:val="24"/>
        </w:rPr>
        <w:t>6.2</w:t>
      </w:r>
      <w:r>
        <w:rPr>
          <w:rFonts w:hint="eastAsia" w:ascii="宋体" w:hAnsi="宋体" w:cs="宋体"/>
          <w:sz w:val="24"/>
        </w:rPr>
        <w:t>施工用水用电采用以下</w:t>
      </w:r>
      <w:r>
        <w:rPr>
          <w:rFonts w:hint="eastAsia" w:ascii="宋体" w:hAnsi="宋体" w:cs="宋体"/>
          <w:sz w:val="24"/>
          <w:u w:val="single"/>
        </w:rPr>
        <w:t xml:space="preserve">  / </w:t>
      </w:r>
      <w:r>
        <w:rPr>
          <w:rFonts w:hint="eastAsia" w:ascii="宋体" w:hAnsi="宋体" w:cs="宋体"/>
          <w:sz w:val="24"/>
        </w:rPr>
        <w:t>方式执行。</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）由甲方提供施工用水用电。</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w:t>
      </w:r>
      <w:r>
        <w:rPr>
          <w:rFonts w:hint="eastAsia" w:ascii="宋体" w:hAnsi="宋体" w:cs="宋体"/>
          <w:sz w:val="24"/>
          <w:u w:val="single"/>
        </w:rPr>
        <w:t>（</w:t>
      </w:r>
      <w:r>
        <w:rPr>
          <w:rFonts w:hint="eastAsia" w:ascii="宋体" w:hAnsi="宋体" w:cs="宋体"/>
          <w:sz w:val="24"/>
        </w:rPr>
        <w:t>月</w:t>
      </w:r>
      <w:r>
        <w:rPr>
          <w:rFonts w:ascii="宋体" w:hAnsi="宋体" w:cs="宋体"/>
          <w:sz w:val="24"/>
        </w:rPr>
        <w:t>/</w:t>
      </w:r>
      <w:r>
        <w:rPr>
          <w:rFonts w:hint="eastAsia" w:ascii="宋体" w:hAnsi="宋体" w:cs="宋体"/>
          <w:sz w:val="24"/>
        </w:rPr>
        <w:t>项目）结算，由乙方向甲方或甲方下辖分公司</w:t>
      </w:r>
      <w:r>
        <w:rPr>
          <w:rFonts w:ascii="宋体" w:hAnsi="宋体" w:cs="宋体"/>
          <w:sz w:val="24"/>
        </w:rPr>
        <w:t>/</w:t>
      </w:r>
      <w:r>
        <w:rPr>
          <w:rFonts w:hint="eastAsia" w:ascii="宋体" w:hAnsi="宋体" w:cs="宋体"/>
          <w:sz w:val="24"/>
        </w:rPr>
        <w:t>子公司支付。水电费用按所属供电局、自来水公司收费标准，按实计算。</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）由乙方自行负责。</w:t>
      </w:r>
    </w:p>
    <w:p>
      <w:pPr>
        <w:spacing w:line="384" w:lineRule="auto"/>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384" w:lineRule="auto"/>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384" w:lineRule="auto"/>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384" w:lineRule="auto"/>
        <w:ind w:firstLine="480" w:firstLineChars="200"/>
        <w:rPr>
          <w:rFonts w:ascii="宋体" w:hAnsi="宋体" w:cs="宋体"/>
          <w:sz w:val="24"/>
        </w:rPr>
      </w:pPr>
      <w:r>
        <w:rPr>
          <w:rFonts w:ascii="宋体" w:hAnsi="宋体" w:cs="宋体"/>
          <w:sz w:val="24"/>
        </w:rPr>
        <w:t>6.6</w:t>
      </w:r>
      <w:r>
        <w:rPr>
          <w:rFonts w:hint="eastAsia" w:ascii="宋体" w:hAnsi="宋体" w:cs="宋体"/>
          <w:sz w:val="24"/>
        </w:rPr>
        <w:t>按相关法律法规及甲方相关作业施工管理要求执行。</w:t>
      </w:r>
    </w:p>
    <w:p>
      <w:pPr>
        <w:pStyle w:val="11"/>
        <w:spacing w:line="384" w:lineRule="auto"/>
        <w:rPr>
          <w:rFonts w:hAnsi="宋体" w:cs="宋体"/>
          <w:b/>
          <w:bCs/>
          <w:sz w:val="24"/>
          <w:szCs w:val="24"/>
        </w:rPr>
      </w:pPr>
      <w:r>
        <w:rPr>
          <w:rFonts w:hint="eastAsia" w:hAnsi="宋体" w:cs="宋体"/>
          <w:b/>
          <w:bCs/>
          <w:sz w:val="24"/>
          <w:szCs w:val="24"/>
        </w:rPr>
        <w:t>第七条 材料及设备供应</w:t>
      </w:r>
    </w:p>
    <w:p>
      <w:pPr>
        <w:spacing w:line="384" w:lineRule="auto"/>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cs="宋体"/>
          <w:sz w:val="24"/>
        </w:rPr>
      </w:pPr>
      <w:r>
        <w:rPr>
          <w:rFonts w:ascii="宋体" w:hAnsi="宋体" w:cs="宋体"/>
          <w:sz w:val="24"/>
        </w:rPr>
        <w:t>7.1</w:t>
      </w:r>
      <w:r>
        <w:rPr>
          <w:rFonts w:hint="eastAsia" w:ascii="宋体" w:hAnsi="宋体" w:cs="宋体"/>
          <w:sz w:val="24"/>
        </w:rPr>
        <w:t>采购供应的材料、其名称、品种、型号、规格、质量等，均应符合国家、地方及行业有关规范及要求。</w:t>
      </w:r>
    </w:p>
    <w:p>
      <w:pPr>
        <w:spacing w:line="384" w:lineRule="auto"/>
        <w:ind w:left="657" w:leftChars="200" w:hanging="237" w:hangingChars="99"/>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384" w:lineRule="auto"/>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w:t>
      </w:r>
      <w:r>
        <w:rPr>
          <w:rFonts w:ascii="宋体" w:hAnsi="宋体" w:cs="宋体"/>
          <w:sz w:val="24"/>
        </w:rPr>
        <w:t>/</w:t>
      </w:r>
      <w:r>
        <w:rPr>
          <w:rFonts w:hint="eastAsia" w:ascii="宋体" w:hAnsi="宋体" w:cs="宋体"/>
          <w:sz w:val="24"/>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cs="宋体"/>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384" w:lineRule="auto"/>
        <w:rPr>
          <w:rFonts w:ascii="宋体" w:hAnsi="宋体" w:cs="宋体"/>
          <w:sz w:val="24"/>
        </w:rPr>
      </w:pPr>
      <w:r>
        <w:rPr>
          <w:rFonts w:hint="eastAsia" w:ascii="宋体" w:hAnsi="宋体" w:cs="宋体"/>
          <w:b/>
          <w:bCs/>
          <w:sz w:val="24"/>
        </w:rPr>
        <w:t>第八条付</w:t>
      </w:r>
      <w:r>
        <w:rPr>
          <w:rFonts w:hint="eastAsia" w:ascii="宋体" w:hAnsi="宋体" w:cs="宋体"/>
          <w:b/>
          <w:sz w:val="24"/>
        </w:rPr>
        <w:t>款及履约担保</w:t>
      </w:r>
    </w:p>
    <w:p>
      <w:pPr>
        <w:spacing w:line="384" w:lineRule="auto"/>
        <w:ind w:firstLine="480" w:firstLineChars="200"/>
        <w:rPr>
          <w:rFonts w:ascii="宋体" w:hAnsi="宋体" w:cs="宋体"/>
          <w:bCs/>
          <w:sz w:val="24"/>
          <w:u w:val="single"/>
        </w:rPr>
      </w:pPr>
      <w:r>
        <w:rPr>
          <w:rFonts w:ascii="宋体" w:hAnsi="宋体" w:cs="宋体"/>
          <w:sz w:val="24"/>
        </w:rPr>
        <w:t>8.1</w:t>
      </w:r>
      <w:r>
        <w:rPr>
          <w:rFonts w:hint="eastAsia" w:ascii="宋体" w:hAnsi="宋体" w:cs="宋体"/>
          <w:bCs/>
          <w:sz w:val="24"/>
        </w:rPr>
        <w:t>预付款的支付：</w:t>
      </w:r>
      <w:r>
        <w:rPr>
          <w:rFonts w:ascii="宋体" w:hAnsi="宋体" w:cs="宋体"/>
          <w:bCs/>
          <w:sz w:val="24"/>
          <w:highlight w:val="none"/>
        </w:rPr>
        <w:sym w:font="Wingdings" w:char="00FE"/>
      </w:r>
      <w:r>
        <w:rPr>
          <w:rFonts w:hint="eastAsia" w:ascii="宋体" w:hAnsi="宋体" w:cs="宋体"/>
          <w:bCs/>
          <w:sz w:val="24"/>
          <w:highlight w:val="none"/>
        </w:rPr>
        <w:t>无；</w:t>
      </w:r>
      <w:r>
        <w:rPr>
          <w:rFonts w:ascii="宋体" w:hAnsi="宋体" w:cs="宋体"/>
          <w:bCs/>
          <w:sz w:val="24"/>
          <w:highlight w:val="none"/>
        </w:rPr>
        <w:sym w:font="Wingdings" w:char="F0A8"/>
      </w:r>
      <w:r>
        <w:rPr>
          <w:rFonts w:hint="eastAsia" w:ascii="宋体" w:hAnsi="宋体" w:cs="宋体"/>
          <w:bCs/>
          <w:sz w:val="24"/>
          <w:highlight w:val="none"/>
        </w:rPr>
        <w:t>有</w:t>
      </w:r>
      <w:r>
        <w:rPr>
          <w:rFonts w:hint="eastAsia" w:ascii="宋体" w:hAnsi="宋体" w:cs="宋体"/>
          <w:bCs/>
          <w:sz w:val="24"/>
        </w:rPr>
        <w:t>,合同签订后，乙方开具等额的增值税专用发票及提交履约担保担保（如有）后</w:t>
      </w:r>
      <w:r>
        <w:rPr>
          <w:rFonts w:ascii="宋体" w:hAnsi="宋体" w:cs="宋体"/>
          <w:bCs/>
          <w:sz w:val="24"/>
          <w:u w:val="single"/>
        </w:rPr>
        <w:t xml:space="preserve"> 10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hint="eastAsia" w:ascii="宋体" w:hAnsi="宋体" w:cs="宋体"/>
          <w:bCs/>
          <w:sz w:val="24"/>
          <w:u w:val="single"/>
        </w:rPr>
        <w:t>（不得超过</w:t>
      </w:r>
      <w:r>
        <w:rPr>
          <w:rFonts w:ascii="宋体" w:hAnsi="宋体" w:cs="宋体"/>
          <w:bCs/>
          <w:sz w:val="24"/>
          <w:u w:val="single"/>
        </w:rPr>
        <w:t>30%</w:t>
      </w:r>
      <w:r>
        <w:rPr>
          <w:rFonts w:hint="eastAsia" w:ascii="宋体" w:hAnsi="宋体" w:cs="宋体"/>
          <w:bCs/>
          <w:sz w:val="24"/>
          <w:u w:val="single"/>
        </w:rPr>
        <w:t>）</w:t>
      </w:r>
      <w:r>
        <w:rPr>
          <w:rFonts w:hint="eastAsia" w:ascii="宋体" w:hAnsi="宋体" w:cs="宋体"/>
          <w:sz w:val="24"/>
        </w:rPr>
        <w:t>即</w:t>
      </w:r>
      <w:r>
        <w:rPr>
          <w:rFonts w:hint="eastAsia" w:ascii="宋体" w:hAnsi="宋体" w:cs="宋体"/>
          <w:sz w:val="24"/>
          <w:lang w:eastAsia="zh-CN"/>
        </w:rPr>
        <w:t>…</w:t>
      </w:r>
      <w:r>
        <w:rPr>
          <w:rFonts w:hint="eastAsia" w:ascii="宋体" w:hAnsi="宋体" w:cs="宋体"/>
          <w:sz w:val="24"/>
          <w:u w:val="single"/>
        </w:rPr>
        <w:t>元，（大写：</w:t>
      </w:r>
      <w:r>
        <w:rPr>
          <w:rFonts w:hint="eastAsia" w:ascii="宋体" w:hAnsi="宋体" w:cs="宋体"/>
          <w:sz w:val="24"/>
          <w:u w:val="single"/>
          <w:lang w:eastAsia="zh-CN"/>
        </w:rPr>
        <w:t>…</w:t>
      </w:r>
      <w:r>
        <w:rPr>
          <w:rFonts w:hint="eastAsia" w:ascii="宋体" w:hAnsi="宋体" w:cs="宋体"/>
          <w:sz w:val="24"/>
          <w:u w:val="single"/>
        </w:rPr>
        <w:t>）</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pStyle w:val="11"/>
        <w:spacing w:line="384" w:lineRule="auto"/>
        <w:ind w:firstLine="480" w:firstLineChars="200"/>
        <w:outlineLvl w:val="1"/>
        <w:rPr>
          <w:rFonts w:hint="default" w:hAnsi="宋体" w:eastAsia="宋体" w:cs="宋体"/>
          <w:sz w:val="24"/>
          <w:szCs w:val="24"/>
          <w:lang w:val="en-US" w:eastAsia="zh-CN"/>
        </w:rPr>
      </w:pPr>
      <w:r>
        <w:rPr>
          <w:rFonts w:hAnsi="宋体" w:cs="宋体"/>
          <w:sz w:val="24"/>
          <w:szCs w:val="24"/>
        </w:rPr>
        <w:t>8.2</w:t>
      </w:r>
      <w:r>
        <w:rPr>
          <w:rFonts w:hint="eastAsia" w:hAnsi="宋体" w:cs="宋体"/>
          <w:sz w:val="24"/>
          <w:szCs w:val="24"/>
          <w:u w:val="single"/>
        </w:rPr>
        <w:t>项目验收合格后，由乙方提交申请支付资料</w:t>
      </w:r>
      <w:r>
        <w:rPr>
          <w:rFonts w:hAnsi="宋体" w:cs="宋体"/>
          <w:sz w:val="24"/>
          <w:szCs w:val="24"/>
          <w:u w:val="single"/>
        </w:rPr>
        <w:t xml:space="preserve"> 15 </w:t>
      </w:r>
      <w:r>
        <w:rPr>
          <w:rFonts w:hint="eastAsia" w:hAnsi="宋体" w:cs="宋体"/>
          <w:sz w:val="24"/>
          <w:szCs w:val="24"/>
          <w:u w:val="single"/>
        </w:rPr>
        <w:t>个工作日内，甲方支付</w:t>
      </w:r>
      <w:r>
        <w:rPr>
          <w:rFonts w:hint="eastAsia" w:hAnsi="宋体" w:cs="宋体"/>
          <w:sz w:val="24"/>
          <w:szCs w:val="24"/>
          <w:u w:val="single"/>
          <w:lang w:eastAsia="zh-CN"/>
        </w:rPr>
        <w:t>至</w:t>
      </w:r>
      <w:r>
        <w:rPr>
          <w:rFonts w:hint="eastAsia" w:hAnsi="宋体" w:cs="宋体"/>
          <w:sz w:val="24"/>
          <w:szCs w:val="24"/>
          <w:u w:val="single"/>
        </w:rPr>
        <w:t>合同暂定总价的</w:t>
      </w:r>
      <w:r>
        <w:rPr>
          <w:rFonts w:hint="eastAsia" w:hAnsi="宋体" w:cs="宋体"/>
          <w:sz w:val="24"/>
          <w:szCs w:val="24"/>
          <w:u w:val="single"/>
          <w:lang w:val="en-US" w:eastAsia="zh-CN"/>
        </w:rPr>
        <w:t>80</w:t>
      </w:r>
      <w:r>
        <w:rPr>
          <w:rFonts w:hint="eastAsia" w:hAnsi="宋体" w:cs="宋体"/>
          <w:sz w:val="24"/>
          <w:szCs w:val="24"/>
          <w:u w:val="single"/>
        </w:rPr>
        <w:t>％即</w:t>
      </w:r>
      <w:r>
        <w:rPr>
          <w:rFonts w:hint="eastAsia" w:hAnsi="宋体" w:cs="宋体"/>
          <w:sz w:val="24"/>
          <w:szCs w:val="24"/>
          <w:u w:val="single"/>
          <w:lang w:val="en-US" w:eastAsia="zh-CN"/>
        </w:rPr>
        <w:t>XXX</w:t>
      </w:r>
      <w:r>
        <w:rPr>
          <w:rFonts w:hint="eastAsia" w:hAnsi="宋体" w:cs="宋体"/>
          <w:sz w:val="24"/>
          <w:szCs w:val="24"/>
          <w:u w:val="single"/>
        </w:rPr>
        <w:t>万元给乙方。</w:t>
      </w:r>
      <w:r>
        <w:rPr>
          <w:rFonts w:hint="eastAsia" w:hAnsi="宋体" w:cs="宋体"/>
          <w:sz w:val="24"/>
          <w:szCs w:val="24"/>
          <w:lang w:eastAsia="zh-CN"/>
        </w:rPr>
        <w:t>（</w:t>
      </w:r>
      <w:r>
        <w:rPr>
          <w:rFonts w:hint="eastAsia" w:hAnsi="宋体" w:cs="宋体"/>
          <w:sz w:val="24"/>
          <w:szCs w:val="24"/>
          <w:lang w:val="en-US" w:eastAsia="zh-CN"/>
        </w:rPr>
        <w:t>如需）</w:t>
      </w:r>
    </w:p>
    <w:p>
      <w:pPr>
        <w:tabs>
          <w:tab w:val="left" w:pos="0"/>
        </w:tabs>
        <w:adjustRightInd w:val="0"/>
        <w:snapToGrid w:val="0"/>
        <w:spacing w:line="360" w:lineRule="auto"/>
        <w:ind w:firstLine="480" w:firstLineChars="200"/>
        <w:jc w:val="left"/>
        <w:rPr>
          <w:rFonts w:hint="eastAsia" w:ascii="宋体" w:hAnsi="宋体" w:cs="宋体"/>
          <w:sz w:val="24"/>
        </w:rPr>
      </w:pPr>
      <w:r>
        <w:rPr>
          <w:rFonts w:ascii="宋体" w:hAnsi="宋体" w:cs="宋体"/>
          <w:sz w:val="24"/>
        </w:rPr>
        <w:t>8.2.1</w:t>
      </w:r>
      <w:r>
        <w:rPr>
          <w:rFonts w:hint="eastAsia" w:ascii="宋体" w:hAnsi="宋体" w:cs="宋体"/>
          <w:sz w:val="24"/>
          <w:u w:val="single"/>
          <w:lang w:val="en-US" w:eastAsia="zh-CN"/>
        </w:rPr>
        <w:t>项目验收合</w:t>
      </w:r>
      <w:r>
        <w:rPr>
          <w:rFonts w:hint="eastAsia" w:hAnsi="宋体" w:cs="宋体"/>
          <w:sz w:val="24"/>
          <w:szCs w:val="24"/>
          <w:u w:val="single"/>
        </w:rPr>
        <w:t>格</w:t>
      </w:r>
      <w:r>
        <w:rPr>
          <w:rFonts w:hint="eastAsia" w:ascii="宋体" w:hAnsi="宋体" w:cs="宋体"/>
          <w:sz w:val="24"/>
          <w:u w:val="single"/>
          <w:lang w:val="en-US" w:eastAsia="zh-CN"/>
        </w:rPr>
        <w:t>后，</w:t>
      </w:r>
      <w:r>
        <w:rPr>
          <w:rFonts w:hint="eastAsia" w:ascii="宋体" w:hAnsi="宋体" w:cs="宋体"/>
          <w:sz w:val="24"/>
          <w:lang w:val="en-US" w:eastAsia="zh-CN"/>
        </w:rPr>
        <w:t>经甲方或</w:t>
      </w:r>
      <w:r>
        <w:rPr>
          <w:rFonts w:hint="eastAsia" w:ascii="宋体" w:hAnsi="宋体" w:cs="宋体"/>
          <w:sz w:val="24"/>
        </w:rPr>
        <w:t>甲方委托有资质第三方机构审核后，由乙方提交申请支付资料</w:t>
      </w:r>
      <w:r>
        <w:rPr>
          <w:rFonts w:ascii="宋体" w:hAnsi="宋体" w:cs="宋体"/>
          <w:sz w:val="24"/>
          <w:u w:val="single"/>
        </w:rPr>
        <w:t xml:space="preserve"> 15 </w:t>
      </w:r>
      <w:r>
        <w:rPr>
          <w:rFonts w:hint="eastAsia" w:ascii="宋体" w:hAnsi="宋体" w:cs="宋体"/>
          <w:sz w:val="24"/>
        </w:rPr>
        <w:t>个工作日内，甲方支付至合同结算价的</w:t>
      </w:r>
      <w:r>
        <w:rPr>
          <w:rFonts w:ascii="宋体" w:hAnsi="宋体" w:cs="宋体"/>
          <w:sz w:val="24"/>
        </w:rPr>
        <w:t>95%</w:t>
      </w:r>
      <w:r>
        <w:rPr>
          <w:rFonts w:hint="eastAsia" w:ascii="宋体" w:hAnsi="宋体" w:cs="宋体"/>
          <w:sz w:val="24"/>
        </w:rPr>
        <w:t>。</w:t>
      </w:r>
    </w:p>
    <w:p>
      <w:pPr>
        <w:pStyle w:val="11"/>
        <w:spacing w:line="384" w:lineRule="auto"/>
        <w:ind w:firstLine="480" w:firstLineChars="200"/>
        <w:outlineLvl w:val="1"/>
        <w:rPr>
          <w:rFonts w:hint="eastAsia" w:hAnsi="宋体" w:cs="宋体"/>
          <w:sz w:val="24"/>
        </w:rPr>
      </w:pPr>
      <w:r>
        <w:rPr>
          <w:rFonts w:ascii="宋体" w:hAnsi="宋体" w:cs="宋体"/>
          <w:sz w:val="24"/>
        </w:rPr>
        <w:t>8.2.</w:t>
      </w:r>
      <w:r>
        <w:rPr>
          <w:rFonts w:hint="eastAsia" w:ascii="宋体" w:hAnsi="宋体" w:cs="宋体"/>
          <w:sz w:val="24"/>
        </w:rPr>
        <w:t>2</w:t>
      </w:r>
      <w:r>
        <w:rPr>
          <w:rFonts w:hint="eastAsia" w:hAnsi="宋体" w:cs="宋体"/>
          <w:sz w:val="24"/>
        </w:rPr>
        <w:t>质保期按合同第十条规定执行，质保期满后且乙方不存在违约情形，由乙方提交申请质保金退还资料</w:t>
      </w:r>
      <w:r>
        <w:rPr>
          <w:rFonts w:hAnsi="宋体" w:cs="宋体"/>
          <w:sz w:val="24"/>
          <w:u w:val="single"/>
        </w:rPr>
        <w:t xml:space="preserve"> 15 </w:t>
      </w:r>
      <w:r>
        <w:rPr>
          <w:rFonts w:hint="eastAsia" w:hAnsi="宋体" w:cs="宋体"/>
          <w:sz w:val="24"/>
        </w:rPr>
        <w:t>个工作日内，甲方支付合同结算价的</w:t>
      </w:r>
      <w:r>
        <w:rPr>
          <w:rFonts w:hAnsi="宋体" w:cs="宋体"/>
          <w:sz w:val="24"/>
        </w:rPr>
        <w:t>5</w:t>
      </w:r>
      <w:r>
        <w:rPr>
          <w:rFonts w:hint="eastAsia" w:hAnsi="宋体" w:cs="宋体"/>
          <w:sz w:val="24"/>
        </w:rPr>
        <w:t>％（质保金）给乙方（无息）。</w:t>
      </w:r>
    </w:p>
    <w:p>
      <w:pPr>
        <w:pStyle w:val="11"/>
        <w:spacing w:line="384" w:lineRule="auto"/>
        <w:ind w:firstLine="480" w:firstLineChars="200"/>
        <w:outlineLvl w:val="1"/>
        <w:rPr>
          <w:rFonts w:hAnsi="宋体" w:cs="宋体"/>
          <w:sz w:val="24"/>
          <w:szCs w:val="24"/>
        </w:rPr>
      </w:pPr>
      <w:r>
        <w:rPr>
          <w:rFonts w:hint="eastAsia" w:hAnsi="宋体" w:cs="宋体"/>
          <w:sz w:val="24"/>
          <w:szCs w:val="24"/>
        </w:rPr>
        <w:t>8.2.</w:t>
      </w:r>
      <w:r>
        <w:rPr>
          <w:rFonts w:hint="eastAsia" w:hAnsi="宋体" w:cs="宋体"/>
          <w:sz w:val="24"/>
          <w:szCs w:val="24"/>
          <w:lang w:val="en-US" w:eastAsia="zh-CN"/>
        </w:rPr>
        <w:t>3</w:t>
      </w:r>
      <w:r>
        <w:rPr>
          <w:rFonts w:hint="eastAsia" w:hAnsi="宋体" w:cs="宋体"/>
          <w:sz w:val="24"/>
          <w:szCs w:val="24"/>
        </w:rPr>
        <w:t>本项目工程款的支付单位为：</w:t>
      </w:r>
      <w:r>
        <w:rPr>
          <w:rFonts w:hint="eastAsia" w:hAnsi="宋体" w:cs="宋体"/>
          <w:sz w:val="24"/>
          <w:szCs w:val="24"/>
          <w:u w:val="single"/>
        </w:rPr>
        <w:t xml:space="preserve"> 广州市净水有限公司</w:t>
      </w:r>
      <w:r>
        <w:rPr>
          <w:rFonts w:hint="eastAsia" w:hAnsi="宋体" w:cs="宋体"/>
          <w:sz w:val="24"/>
          <w:szCs w:val="24"/>
          <w:u w:val="single"/>
          <w:lang w:val="en-US" w:eastAsia="zh-CN"/>
        </w:rPr>
        <w:t>江高</w:t>
      </w:r>
      <w:r>
        <w:rPr>
          <w:rFonts w:hint="eastAsia" w:hAnsi="宋体" w:cs="宋体"/>
          <w:sz w:val="24"/>
          <w:szCs w:val="24"/>
          <w:u w:val="single"/>
        </w:rPr>
        <w:t xml:space="preserve">分公司 </w:t>
      </w:r>
    </w:p>
    <w:p>
      <w:pPr>
        <w:spacing w:line="460" w:lineRule="exact"/>
        <w:ind w:firstLine="480" w:firstLineChars="200"/>
        <w:rPr>
          <w:rFonts w:ascii="宋体" w:hAnsi="宋体" w:cs="宋体"/>
          <w:sz w:val="24"/>
        </w:rPr>
      </w:pPr>
      <w:r>
        <w:rPr>
          <w:rFonts w:ascii="宋体" w:hAnsi="宋体" w:cs="宋体"/>
          <w:sz w:val="24"/>
        </w:rPr>
        <w:t>8.3</w:t>
      </w:r>
      <w:r>
        <w:rPr>
          <w:rFonts w:hint="eastAsia" w:ascii="宋体" w:hAnsi="宋体" w:cs="宋体"/>
          <w:sz w:val="24"/>
        </w:rPr>
        <w:t>乙方收款账户：</w:t>
      </w:r>
      <w:r>
        <w:rPr>
          <w:rFonts w:ascii="宋体" w:hAnsi="宋体" w:cs="宋体"/>
          <w:sz w:val="24"/>
          <w:u w:val="single"/>
        </w:rPr>
        <w:t xml:space="preserve"> </w:t>
      </w:r>
      <w:r>
        <w:rPr>
          <w:rFonts w:hint="eastAsia" w:ascii="宋体" w:hAnsi="宋体" w:cs="宋体"/>
          <w:sz w:val="24"/>
          <w:u w:val="single"/>
          <w:lang w:val="en-US" w:eastAsia="zh-CN" w:bidi="ar"/>
        </w:rPr>
        <w:t xml:space="preserve">                       </w:t>
      </w:r>
      <w:r>
        <w:rPr>
          <w:rFonts w:ascii="宋体" w:hAnsi="宋体" w:cs="宋体"/>
          <w:sz w:val="24"/>
          <w:u w:val="single"/>
        </w:rPr>
        <w:t xml:space="preserve"> </w:t>
      </w:r>
      <w:r>
        <w:rPr>
          <w:rFonts w:hint="eastAsia" w:ascii="宋体" w:hAnsi="宋体" w:cs="宋体"/>
          <w:sz w:val="24"/>
        </w:rPr>
        <w:t>；</w:t>
      </w:r>
    </w:p>
    <w:p>
      <w:pPr>
        <w:spacing w:line="460" w:lineRule="exact"/>
        <w:ind w:firstLine="960" w:firstLineChars="400"/>
        <w:rPr>
          <w:rFonts w:ascii="宋体" w:hAnsi="宋体" w:cs="宋体"/>
          <w:sz w:val="24"/>
        </w:rPr>
      </w:pPr>
      <w:r>
        <w:rPr>
          <w:rFonts w:hint="eastAsia" w:ascii="宋体" w:hAnsi="宋体" w:cs="宋体"/>
          <w:sz w:val="24"/>
        </w:rPr>
        <w:t>收款账号：</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w:t>
      </w:r>
    </w:p>
    <w:p>
      <w:pPr>
        <w:spacing w:line="384" w:lineRule="auto"/>
        <w:ind w:firstLine="960" w:firstLineChars="400"/>
        <w:rPr>
          <w:rFonts w:ascii="宋体" w:hAnsi="宋体" w:cs="宋体"/>
          <w:sz w:val="24"/>
          <w:u w:val="single"/>
        </w:rPr>
      </w:pPr>
      <w:r>
        <w:rPr>
          <w:rFonts w:hint="eastAsia" w:ascii="宋体" w:hAnsi="宋体" w:cs="宋体"/>
          <w:sz w:val="24"/>
        </w:rPr>
        <w:t>开户行：</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cs="宋体"/>
          <w:sz w:val="24"/>
          <w:u w:val="single"/>
        </w:rPr>
        <w:t xml:space="preserve"> </w:t>
      </w:r>
      <w:r>
        <w:rPr>
          <w:rFonts w:hint="eastAsia" w:ascii="宋体" w:hAnsi="宋体" w:cs="宋体"/>
          <w:sz w:val="24"/>
        </w:rPr>
        <w:t>；</w:t>
      </w:r>
    </w:p>
    <w:p>
      <w:pPr>
        <w:spacing w:line="384" w:lineRule="auto"/>
        <w:ind w:firstLine="480" w:firstLineChars="200"/>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spacing w:line="384" w:lineRule="auto"/>
        <w:ind w:left="1198" w:leftChars="456" w:hanging="240" w:hangingChars="100"/>
        <w:jc w:val="left"/>
        <w:rPr>
          <w:rFonts w:hint="eastAsia" w:ascii="宋体" w:hAnsi="宋体" w:cs="宋体"/>
          <w:sz w:val="24"/>
        </w:rPr>
      </w:pPr>
      <w:r>
        <w:rPr>
          <w:rFonts w:hint="eastAsia" w:ascii="宋体" w:hAnsi="宋体" w:cs="宋体"/>
          <w:sz w:val="24"/>
        </w:rPr>
        <w:t xml:space="preserve">开票资料为：名称：广州市净水有限公司：  </w:t>
      </w:r>
    </w:p>
    <w:p>
      <w:pPr>
        <w:spacing w:line="384" w:lineRule="auto"/>
        <w:ind w:firstLine="960" w:firstLineChars="400"/>
        <w:rPr>
          <w:rFonts w:hint="eastAsia" w:ascii="宋体" w:hAnsi="宋体" w:cs="宋体"/>
          <w:sz w:val="24"/>
        </w:rPr>
      </w:pPr>
      <w:r>
        <w:rPr>
          <w:rFonts w:hint="eastAsia" w:ascii="宋体" w:hAnsi="宋体" w:cs="宋体"/>
          <w:sz w:val="24"/>
        </w:rPr>
        <w:t xml:space="preserve">纳税人识别号：91440101755584729Q： </w:t>
      </w:r>
    </w:p>
    <w:p>
      <w:pPr>
        <w:spacing w:line="384" w:lineRule="auto"/>
        <w:ind w:firstLine="960" w:firstLineChars="400"/>
        <w:rPr>
          <w:rFonts w:hint="eastAsia" w:ascii="宋体" w:hAnsi="宋体" w:cs="宋体"/>
          <w:sz w:val="24"/>
        </w:rPr>
      </w:pPr>
      <w:r>
        <w:rPr>
          <w:rFonts w:hint="eastAsia" w:ascii="宋体" w:hAnsi="宋体" w:cs="宋体"/>
          <w:sz w:val="24"/>
        </w:rPr>
        <w:t>地址/电话广州市天河区临江大道501号/020-38890283：</w:t>
      </w:r>
    </w:p>
    <w:p>
      <w:pPr>
        <w:spacing w:line="384" w:lineRule="auto"/>
        <w:ind w:firstLine="960" w:firstLineChars="400"/>
        <w:rPr>
          <w:rFonts w:ascii="宋体" w:hAnsi="宋体" w:cs="宋体"/>
          <w:sz w:val="24"/>
        </w:rPr>
      </w:pPr>
      <w:r>
        <w:rPr>
          <w:rFonts w:hint="eastAsia" w:ascii="宋体" w:hAnsi="宋体" w:cs="宋体"/>
          <w:sz w:val="24"/>
        </w:rPr>
        <w:t>开户银行及账号：民生银行广州分行   0301014140006932。</w:t>
      </w:r>
    </w:p>
    <w:p>
      <w:pPr>
        <w:spacing w:line="384" w:lineRule="auto"/>
        <w:ind w:firstLine="480" w:firstLineChars="200"/>
        <w:rPr>
          <w:rFonts w:ascii="宋体" w:hAnsi="宋体" w:cs="宋体"/>
          <w:sz w:val="24"/>
        </w:rPr>
      </w:pPr>
      <w:r>
        <w:rPr>
          <w:rFonts w:ascii="宋体" w:hAnsi="宋体" w:cs="宋体"/>
          <w:sz w:val="24"/>
        </w:rPr>
        <w:t>8.5</w:t>
      </w:r>
      <w:r>
        <w:rPr>
          <w:rFonts w:hint="eastAsia" w:ascii="宋体" w:hAnsi="宋体" w:cs="宋体"/>
          <w:sz w:val="24"/>
        </w:rPr>
        <w:t>履约担保：</w:t>
      </w:r>
      <w:r>
        <w:rPr>
          <w:rFonts w:hint="eastAsia" w:ascii="宋体" w:hAnsi="宋体" w:cs="宋体"/>
          <w:szCs w:val="21"/>
        </w:rPr>
        <w:sym w:font="Wingdings 2" w:char="0052"/>
      </w:r>
      <w:r>
        <w:rPr>
          <w:rFonts w:hint="eastAsia" w:ascii="宋体" w:hAnsi="宋体" w:cs="宋体"/>
          <w:bCs/>
          <w:sz w:val="24"/>
        </w:rPr>
        <w:t>无；</w:t>
      </w:r>
      <w:r>
        <w:rPr>
          <w:rFonts w:hint="eastAsia" w:ascii="宋体" w:hAnsi="宋体" w:cs="宋体"/>
          <w:szCs w:val="21"/>
          <w:highlight w:val="none"/>
        </w:rPr>
        <w:t>□有,</w:t>
      </w:r>
      <w:r>
        <w:rPr>
          <w:rFonts w:hint="eastAsia" w:ascii="宋体" w:hAnsi="宋体" w:cs="宋体"/>
          <w:sz w:val="24"/>
        </w:rPr>
        <w:t>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hint="eastAsia" w:ascii="宋体" w:hAnsi="宋体" w:cs="宋体"/>
          <w:sz w:val="24"/>
          <w:u w:val="single"/>
          <w:lang w:eastAsia="zh-CN"/>
        </w:rPr>
        <w:t>…</w:t>
      </w:r>
      <w:r>
        <w:rPr>
          <w:rFonts w:hint="eastAsia" w:ascii="宋体" w:hAnsi="宋体" w:cs="宋体"/>
          <w:sz w:val="24"/>
          <w:u w:val="single"/>
          <w:lang w:val="en-US" w:eastAsia="zh-CN"/>
        </w:rPr>
        <w:t xml:space="preserve">     </w:t>
      </w:r>
      <w:r>
        <w:rPr>
          <w:rFonts w:hint="eastAsia" w:ascii="宋体" w:hAnsi="宋体" w:cs="宋体"/>
          <w:sz w:val="24"/>
          <w:u w:val="single"/>
        </w:rPr>
        <w:t>（大写人民币：</w:t>
      </w:r>
      <w:r>
        <w:rPr>
          <w:rFonts w:hint="eastAsia" w:ascii="宋体" w:hAnsi="宋体" w:cs="宋体"/>
          <w:sz w:val="24"/>
          <w:u w:val="single"/>
          <w:lang w:eastAsia="zh-CN"/>
        </w:rPr>
        <w:t>…</w:t>
      </w:r>
      <w:r>
        <w:rPr>
          <w:rFonts w:hint="eastAsia" w:ascii="宋体" w:hAnsi="宋体" w:cs="宋体"/>
          <w:sz w:val="24"/>
          <w:u w:val="single"/>
          <w:lang w:val="en-US" w:eastAsia="zh-CN"/>
        </w:rPr>
        <w:t xml:space="preserve">     </w:t>
      </w:r>
      <w:r>
        <w:rPr>
          <w:rFonts w:hint="eastAsia" w:ascii="宋体" w:hAnsi="宋体" w:cs="宋体"/>
          <w:sz w:val="24"/>
          <w:u w:val="single"/>
        </w:rPr>
        <w:t>），</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tabs>
          <w:tab w:val="left" w:pos="851"/>
        </w:tabs>
        <w:adjustRightInd w:val="0"/>
        <w:snapToGrid w:val="0"/>
        <w:spacing w:line="360" w:lineRule="auto"/>
        <w:ind w:firstLine="480" w:firstLineChars="200"/>
        <w:jc w:val="left"/>
        <w:outlineLvl w:val="1"/>
        <w:rPr>
          <w:rFonts w:ascii="宋体" w:hAnsi="宋体" w:cs="宋体"/>
          <w:bCs/>
          <w:sz w:val="24"/>
          <w:bdr w:val="single" w:color="auto" w:sz="4" w:space="0"/>
        </w:rPr>
      </w:pPr>
      <w:r>
        <w:rPr>
          <w:rFonts w:hAnsi="宋体" w:cs="宋体"/>
          <w:sz w:val="24"/>
        </w:rPr>
        <w:t>8.6</w:t>
      </w:r>
      <w:r>
        <w:rPr>
          <w:rFonts w:hint="eastAsia" w:ascii="宋体" w:hAnsi="宋体" w:cs="宋体"/>
          <w:sz w:val="24"/>
        </w:rPr>
        <w:t xml:space="preserve">付款方式： </w:t>
      </w:r>
      <w:r>
        <w:rPr>
          <w:rFonts w:hint="eastAsia" w:ascii="宋体" w:hAnsi="宋体" w:cs="宋体"/>
          <w:sz w:val="24"/>
        </w:rPr>
        <w:sym w:font="Wingdings" w:char="00FE"/>
      </w:r>
      <w:r>
        <w:rPr>
          <w:rFonts w:hint="eastAsia" w:ascii="宋体" w:hAnsi="宋体" w:cs="宋体"/>
          <w:sz w:val="24"/>
        </w:rPr>
        <w:t xml:space="preserve">网银支付；  </w:t>
      </w:r>
      <w:r>
        <w:rPr>
          <w:rFonts w:hint="eastAsia" w:ascii="宋体" w:hAnsi="宋体" w:cs="宋体"/>
          <w:sz w:val="24"/>
        </w:rPr>
        <w:sym w:font="Wingdings" w:char="00A8"/>
      </w:r>
      <w:r>
        <w:rPr>
          <w:rFonts w:hint="eastAsia" w:ascii="宋体" w:hAnsi="宋体" w:cs="宋体"/>
          <w:sz w:val="24"/>
        </w:rPr>
        <w:t xml:space="preserve">支票；   </w:t>
      </w:r>
      <w:r>
        <w:rPr>
          <w:rFonts w:hint="eastAsia" w:ascii="宋体" w:hAnsi="宋体" w:cs="宋体"/>
          <w:sz w:val="24"/>
        </w:rPr>
        <w:sym w:font="Wingdings" w:char="00A8"/>
      </w:r>
      <w:r>
        <w:rPr>
          <w:rFonts w:hint="eastAsia" w:ascii="宋体" w:hAnsi="宋体" w:cs="宋体"/>
          <w:sz w:val="24"/>
        </w:rPr>
        <w:t>其他：</w:t>
      </w:r>
    </w:p>
    <w:p>
      <w:pPr>
        <w:spacing w:line="384" w:lineRule="auto"/>
        <w:ind w:firstLine="482" w:firstLineChars="200"/>
        <w:rPr>
          <w:rFonts w:ascii="宋体" w:hAnsi="宋体" w:cs="宋体"/>
          <w:b/>
          <w:bCs/>
          <w:sz w:val="24"/>
        </w:rPr>
      </w:pPr>
      <w:r>
        <w:rPr>
          <w:rFonts w:hint="eastAsia" w:ascii="宋体" w:hAnsi="宋体" w:cs="宋体"/>
          <w:b/>
          <w:bCs/>
          <w:sz w:val="24"/>
        </w:rPr>
        <w:t>第九条竣工验收</w:t>
      </w:r>
    </w:p>
    <w:p>
      <w:pPr>
        <w:spacing w:line="384" w:lineRule="auto"/>
        <w:ind w:firstLine="480" w:firstLineChars="200"/>
        <w:rPr>
          <w:rFonts w:ascii="宋体" w:hAnsi="宋体" w:cs="宋体"/>
          <w:sz w:val="24"/>
        </w:rPr>
      </w:pPr>
      <w:r>
        <w:rPr>
          <w:rFonts w:ascii="宋体" w:hAnsi="宋体" w:cs="宋体"/>
          <w:sz w:val="24"/>
        </w:rPr>
        <w:t>9.1</w:t>
      </w:r>
      <w:r>
        <w:rPr>
          <w:rFonts w:hint="eastAsia" w:ascii="宋体" w:hAnsi="宋体" w:cs="宋体"/>
          <w:sz w:val="24"/>
        </w:rPr>
        <w:t>乙方应在工程完工后</w:t>
      </w:r>
      <w:r>
        <w:rPr>
          <w:rFonts w:ascii="宋体" w:hAnsi="宋体" w:cs="宋体"/>
          <w:sz w:val="24"/>
        </w:rPr>
        <w:t>30</w:t>
      </w:r>
      <w:r>
        <w:rPr>
          <w:rFonts w:hint="eastAsia" w:ascii="宋体" w:hAnsi="宋体" w:cs="宋体"/>
          <w:sz w:val="24"/>
        </w:rPr>
        <w:t>天内将经甲方审核的完整竣工资料（含竣工图：如有）和竣工验收报告各</w:t>
      </w:r>
      <w:r>
        <w:rPr>
          <w:rFonts w:hint="eastAsia" w:ascii="宋体" w:hAnsi="宋体" w:cs="宋体"/>
          <w:sz w:val="24"/>
          <w:u w:val="single"/>
        </w:rPr>
        <w:t>一式四份</w:t>
      </w:r>
      <w:r>
        <w:rPr>
          <w:rFonts w:hint="eastAsia" w:ascii="宋体" w:hAnsi="宋体" w:cs="宋体"/>
          <w:sz w:val="24"/>
        </w:rPr>
        <w:t>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spacing w:line="384" w:lineRule="auto"/>
        <w:ind w:firstLine="480" w:firstLineChars="200"/>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w:t>
      </w:r>
      <w:r>
        <w:rPr>
          <w:rFonts w:ascii="宋体" w:hAnsi="宋体" w:cs="宋体"/>
          <w:sz w:val="24"/>
        </w:rPr>
        <w:t>/</w:t>
      </w:r>
      <w:r>
        <w:rPr>
          <w:rFonts w:hint="eastAsia" w:ascii="宋体" w:hAnsi="宋体" w:cs="宋体"/>
          <w:sz w:val="24"/>
        </w:rPr>
        <w:t>竣工报告、安全备案整套资料、本合同书、询价文件</w:t>
      </w:r>
      <w:r>
        <w:rPr>
          <w:rFonts w:ascii="宋体" w:hAnsi="宋体" w:cs="宋体"/>
          <w:sz w:val="24"/>
        </w:rPr>
        <w:t>/</w:t>
      </w:r>
      <w:r>
        <w:rPr>
          <w:rFonts w:hint="eastAsia" w:ascii="宋体" w:hAnsi="宋体" w:cs="宋体"/>
          <w:sz w:val="24"/>
        </w:rPr>
        <w:t>响应文件、中标通知书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rPr>
        <w:t>委托书、工程预算送审报告、工程结算书</w:t>
      </w:r>
      <w:r>
        <w:rPr>
          <w:rFonts w:ascii="宋体" w:hAnsi="宋体" w:cs="宋体"/>
          <w:sz w:val="24"/>
        </w:rPr>
        <w:t>/</w:t>
      </w:r>
      <w:r>
        <w:rPr>
          <w:rFonts w:hint="eastAsia" w:ascii="宋体" w:hAnsi="宋体" w:cs="宋体"/>
          <w:sz w:val="24"/>
        </w:rPr>
        <w:t>签证记录、备件开箱记录表或送货单、竣工图等，如有必须提供）和竣工验收报告后</w:t>
      </w:r>
      <w:r>
        <w:rPr>
          <w:rFonts w:ascii="宋体" w:hAnsi="宋体" w:cs="宋体"/>
          <w:sz w:val="24"/>
        </w:rPr>
        <w:t>20</w:t>
      </w:r>
      <w:r>
        <w:rPr>
          <w:rFonts w:hint="eastAsia" w:ascii="宋体" w:hAnsi="宋体" w:cs="宋体"/>
          <w:sz w:val="24"/>
        </w:rPr>
        <w:t>天内组织有关单位进行验收，工程竣工验收严格按国家、省、市、部门有关文件执行，并在验收后</w:t>
      </w:r>
      <w:r>
        <w:rPr>
          <w:rFonts w:ascii="宋体" w:hAnsi="宋体" w:cs="宋体"/>
          <w:sz w:val="24"/>
        </w:rPr>
        <w:t>10</w:t>
      </w:r>
      <w:r>
        <w:rPr>
          <w:rFonts w:hint="eastAsia" w:ascii="宋体" w:hAnsi="宋体" w:cs="宋体"/>
          <w:sz w:val="24"/>
        </w:rPr>
        <w:t>天内给予认可或提出修改意见。乙方按要求修改，并承担修改的费用。</w:t>
      </w:r>
    </w:p>
    <w:p>
      <w:pPr>
        <w:spacing w:line="384" w:lineRule="auto"/>
        <w:ind w:firstLine="480"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cs="宋体"/>
          <w:sz w:val="24"/>
        </w:rPr>
      </w:pPr>
      <w:r>
        <w:rPr>
          <w:rFonts w:ascii="宋体" w:hAnsi="宋体" w:cs="宋体"/>
          <w:sz w:val="24"/>
        </w:rPr>
        <w:t>9.4</w:t>
      </w:r>
      <w:r>
        <w:rPr>
          <w:rFonts w:hint="eastAsia" w:ascii="宋体" w:hAnsi="宋体" w:cs="宋体"/>
          <w:sz w:val="24"/>
        </w:rPr>
        <w:t>竣工档案的整理和移交</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）竣工文件资料、竣工图档案（原件）各一式四份；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）项内容相同的电子版档案一式二份；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w:t>
      </w:r>
      <w:r>
        <w:rPr>
          <w:rFonts w:ascii="宋体" w:hAnsi="宋体" w:cs="宋体"/>
          <w:sz w:val="24"/>
        </w:rPr>
        <w:t>30</w:t>
      </w:r>
      <w:r>
        <w:rPr>
          <w:rFonts w:hint="eastAsia" w:ascii="宋体" w:hAnsi="宋体" w:cs="宋体"/>
          <w:sz w:val="24"/>
        </w:rPr>
        <w:t>天内将竣工档案提交甲方签认。乙方应于甲方签认后</w:t>
      </w:r>
      <w:r>
        <w:rPr>
          <w:rFonts w:ascii="宋体" w:hAnsi="宋体" w:cs="宋体"/>
          <w:sz w:val="24"/>
        </w:rPr>
        <w:t>10</w:t>
      </w:r>
      <w:r>
        <w:rPr>
          <w:rFonts w:hint="eastAsia" w:ascii="宋体" w:hAnsi="宋体" w:cs="宋体"/>
          <w:sz w:val="24"/>
        </w:rPr>
        <w:t>天内将竣工档案移交给甲方归档并同时移交有关归档的证明文件。甲方经审查合格的，应在收到竣工档案后</w:t>
      </w:r>
      <w:r>
        <w:rPr>
          <w:rFonts w:ascii="宋体" w:hAnsi="宋体" w:cs="宋体"/>
          <w:sz w:val="24"/>
        </w:rPr>
        <w:t>10</w:t>
      </w:r>
      <w:r>
        <w:rPr>
          <w:rFonts w:hint="eastAsia" w:ascii="宋体" w:hAnsi="宋体" w:cs="宋体"/>
          <w:sz w:val="24"/>
        </w:rPr>
        <w:t>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spacing w:line="384" w:lineRule="auto"/>
        <w:ind w:firstLine="480"/>
        <w:rPr>
          <w:rFonts w:hint="eastAsia"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pStyle w:val="28"/>
        <w:ind w:firstLine="480" w:firstLineChars="200"/>
        <w:rPr>
          <w:rFonts w:hint="eastAsia" w:hAnsi="宋体" w:eastAsia="宋体"/>
          <w:u w:val="single"/>
        </w:rPr>
      </w:pPr>
      <w:r>
        <w:rPr>
          <w:rFonts w:hint="eastAsia" w:hAnsi="宋体" w:eastAsia="宋体"/>
        </w:rPr>
        <w:t>9.5本合同竣工验收结算单位为</w:t>
      </w:r>
      <w:r>
        <w:rPr>
          <w:rFonts w:hint="eastAsia" w:hAnsi="宋体" w:eastAsia="宋体"/>
          <w:u w:val="single"/>
        </w:rPr>
        <w:t>：广州市净水有限公司</w:t>
      </w:r>
      <w:r>
        <w:rPr>
          <w:rFonts w:hint="eastAsia" w:hAnsi="宋体" w:eastAsia="宋体"/>
          <w:u w:val="single"/>
          <w:lang w:val="en-US" w:eastAsia="zh-CN"/>
        </w:rPr>
        <w:t>江高</w:t>
      </w:r>
      <w:r>
        <w:rPr>
          <w:rFonts w:hint="eastAsia" w:hAnsi="宋体" w:eastAsia="宋体"/>
          <w:u w:val="single"/>
        </w:rPr>
        <w:t xml:space="preserve">分公司   </w:t>
      </w:r>
    </w:p>
    <w:p>
      <w:pPr>
        <w:numPr>
          <w:ilvl w:val="0"/>
          <w:numId w:val="5"/>
        </w:numPr>
        <w:spacing w:before="120" w:after="156" w:afterLines="50" w:line="384" w:lineRule="auto"/>
        <w:ind w:firstLine="482" w:firstLineChars="200"/>
        <w:jc w:val="left"/>
        <w:rPr>
          <w:rFonts w:ascii="宋体" w:hAnsi="宋体" w:cs="宋体"/>
          <w:b/>
          <w:bCs/>
          <w:sz w:val="24"/>
        </w:rPr>
      </w:pPr>
      <w:bookmarkStart w:id="72" w:name="_Toc518992994"/>
      <w:bookmarkStart w:id="73" w:name="_Toc474245220"/>
      <w:bookmarkStart w:id="74" w:name="_Toc520190034"/>
      <w:r>
        <w:rPr>
          <w:rFonts w:hint="eastAsia" w:ascii="宋体" w:hAnsi="宋体" w:cs="宋体"/>
          <w:b/>
          <w:bCs/>
          <w:sz w:val="24"/>
        </w:rPr>
        <w:t>质量保证</w:t>
      </w:r>
      <w:bookmarkEnd w:id="72"/>
      <w:bookmarkEnd w:id="73"/>
      <w:bookmarkEnd w:id="74"/>
    </w:p>
    <w:p>
      <w:pPr>
        <w:spacing w:line="384" w:lineRule="auto"/>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kern w:val="0"/>
          <w:sz w:val="24"/>
          <w:lang w:val="zh-CN"/>
        </w:rPr>
      </w:pPr>
      <w:r>
        <w:rPr>
          <w:rFonts w:ascii="宋体" w:hAnsi="宋体" w:cs="宋体"/>
          <w:bCs/>
          <w:sz w:val="24"/>
        </w:rPr>
        <w:t xml:space="preserve">10.2 </w:t>
      </w:r>
      <w:r>
        <w:rPr>
          <w:rFonts w:hint="eastAsia" w:ascii="宋体" w:hAnsi="宋体" w:cs="宋体"/>
          <w:bCs/>
          <w:sz w:val="24"/>
        </w:rPr>
        <w:t>本项目质量保修期为</w:t>
      </w:r>
      <w:r>
        <w:rPr>
          <w:rFonts w:hint="eastAsia" w:ascii="宋体" w:hAnsi="宋体" w:cs="宋体"/>
          <w:kern w:val="0"/>
          <w:sz w:val="24"/>
          <w:lang w:val="zh-CN"/>
        </w:rPr>
        <w:t>自验收合格之日起</w:t>
      </w:r>
      <w:r>
        <w:rPr>
          <w:rFonts w:hint="eastAsia" w:ascii="宋体" w:hAnsi="宋体" w:cs="宋体"/>
          <w:kern w:val="0"/>
          <w:sz w:val="24"/>
          <w:highlight w:val="none"/>
          <w:u w:val="single"/>
          <w:lang w:val="en-US" w:eastAsia="zh-CN"/>
        </w:rPr>
        <w:t>1</w:t>
      </w:r>
      <w:r>
        <w:rPr>
          <w:rFonts w:hint="eastAsia" w:ascii="宋体" w:hAnsi="宋体" w:cs="宋体"/>
          <w:kern w:val="0"/>
          <w:sz w:val="24"/>
          <w:lang w:val="zh-CN"/>
        </w:rPr>
        <w:t>年。</w:t>
      </w:r>
    </w:p>
    <w:p>
      <w:pPr>
        <w:spacing w:line="384" w:lineRule="auto"/>
        <w:ind w:firstLine="420" w:firstLineChars="175"/>
        <w:rPr>
          <w:rFonts w:ascii="宋体" w:hAnsi="宋体" w:cs="宋体"/>
          <w:bCs/>
          <w:sz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w:t>
      </w:r>
      <w:r>
        <w:rPr>
          <w:rFonts w:ascii="宋体" w:hAnsi="宋体" w:cs="宋体"/>
          <w:bCs/>
          <w:sz w:val="24"/>
          <w:u w:val="single"/>
        </w:rPr>
        <w:t>10%/</w:t>
      </w:r>
      <w:r>
        <w:rPr>
          <w:rFonts w:hint="eastAsia" w:ascii="宋体" w:hAnsi="宋体" w:cs="宋体"/>
          <w:bCs/>
          <w:sz w:val="24"/>
          <w:u w:val="single"/>
        </w:rPr>
        <w:t>次</w:t>
      </w:r>
      <w:r>
        <w:rPr>
          <w:rFonts w:hint="eastAsia" w:ascii="宋体" w:hAnsi="宋体" w:cs="宋体"/>
          <w:bCs/>
          <w:sz w:val="24"/>
        </w:rPr>
        <w:t>作为违约金。</w:t>
      </w:r>
    </w:p>
    <w:p>
      <w:pPr>
        <w:spacing w:before="156" w:beforeLines="50" w:after="156" w:afterLines="50" w:line="384" w:lineRule="auto"/>
        <w:ind w:firstLine="422" w:firstLineChars="175"/>
        <w:jc w:val="left"/>
        <w:rPr>
          <w:rFonts w:ascii="宋体" w:hAnsi="宋体" w:cs="宋体"/>
          <w:sz w:val="24"/>
        </w:rPr>
      </w:pPr>
      <w:bookmarkStart w:id="75" w:name="_Toc183666531"/>
      <w:bookmarkStart w:id="76" w:name="_Toc520190040"/>
      <w:bookmarkStart w:id="77" w:name="_Toc19692"/>
      <w:bookmarkStart w:id="78" w:name="_Toc107446862"/>
      <w:bookmarkStart w:id="79" w:name="_Toc306350467"/>
      <w:bookmarkStart w:id="80" w:name="_Toc107447255"/>
      <w:bookmarkStart w:id="81" w:name="_Toc518993000"/>
      <w:bookmarkStart w:id="82" w:name="_Toc474245226"/>
      <w:r>
        <w:rPr>
          <w:rFonts w:hint="eastAsia" w:ascii="宋体" w:hAnsi="宋体" w:cs="宋体"/>
          <w:b/>
          <w:bCs/>
          <w:sz w:val="24"/>
        </w:rPr>
        <w:t>第十一条不可抗力</w:t>
      </w:r>
      <w:bookmarkEnd w:id="75"/>
      <w:bookmarkEnd w:id="76"/>
      <w:bookmarkEnd w:id="77"/>
      <w:bookmarkEnd w:id="78"/>
      <w:bookmarkEnd w:id="79"/>
      <w:bookmarkEnd w:id="80"/>
      <w:bookmarkEnd w:id="81"/>
      <w:bookmarkEnd w:id="82"/>
    </w:p>
    <w:p>
      <w:pPr>
        <w:widowControl/>
        <w:autoSpaceDE w:val="0"/>
        <w:autoSpaceDN w:val="0"/>
        <w:adjustRightInd w:val="0"/>
        <w:spacing w:line="384" w:lineRule="auto"/>
        <w:ind w:firstLine="480" w:firstLineChars="200"/>
        <w:rPr>
          <w:rFonts w:ascii="宋体" w:hAnsi="宋体" w:cs="宋体"/>
          <w:bCs/>
          <w:sz w:val="24"/>
        </w:rPr>
      </w:pPr>
      <w:bookmarkStart w:id="83" w:name="_Toc12010"/>
      <w:bookmarkStart w:id="84" w:name="_Toc306350468"/>
      <w:bookmarkStart w:id="85" w:name="_Toc183666532"/>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⑴地震、火山爆发、滑坡、暴雨（橙色预警及以上）、台风（黄色预警及以上）、海啸、龙卷风、大面积流行病</w:t>
      </w:r>
      <w:r>
        <w:rPr>
          <w:rFonts w:ascii="宋体" w:hAnsi="宋体" w:cs="宋体"/>
          <w:bCs/>
          <w:sz w:val="24"/>
        </w:rPr>
        <w:t>(如：非典型性肺炎等)或瘟疫；</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w:t>
      </w:r>
      <w:r>
        <w:rPr>
          <w:rFonts w:ascii="宋体" w:hAnsi="宋体" w:cs="宋体"/>
          <w:bCs/>
          <w:sz w:val="24"/>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w:t>
      </w:r>
      <w:r>
        <w:rPr>
          <w:rFonts w:ascii="宋体" w:hAnsi="宋体" w:cs="宋体"/>
          <w:bCs/>
          <w:sz w:val="24"/>
        </w:rPr>
        <w:t>(90)天，双方应协商决定继续履行本合同的条件或者变更本合同。如果自不可抗力发生后壹佰捌拾(180)天之内双方不能达成一致意见，任何一方有权解除本合同。</w:t>
      </w:r>
    </w:p>
    <w:p>
      <w:pPr>
        <w:spacing w:before="156" w:beforeLines="50" w:after="156" w:afterLines="50" w:line="384" w:lineRule="auto"/>
        <w:ind w:firstLine="482"/>
        <w:jc w:val="left"/>
        <w:rPr>
          <w:rFonts w:ascii="宋体" w:hAnsi="宋体" w:cs="宋体"/>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86" w:name="_Toc107447257"/>
      <w:bookmarkStart w:id="87" w:name="_Toc474245227"/>
      <w:bookmarkStart w:id="88" w:name="_Toc518993001"/>
      <w:bookmarkStart w:id="89" w:name="_Toc118172294"/>
      <w:bookmarkStart w:id="90" w:name="_Toc107446864"/>
      <w:bookmarkStart w:id="91" w:name="_Toc520190041"/>
    </w:p>
    <w:p>
      <w:pPr>
        <w:spacing w:before="156" w:beforeLines="50" w:after="156" w:afterLines="50" w:line="384" w:lineRule="auto"/>
        <w:ind w:firstLine="482"/>
        <w:jc w:val="left"/>
        <w:rPr>
          <w:rFonts w:ascii="宋体" w:hAnsi="宋体" w:cs="宋体"/>
          <w:b/>
          <w:bCs/>
          <w:sz w:val="24"/>
        </w:rPr>
      </w:pPr>
      <w:r>
        <w:rPr>
          <w:rFonts w:hint="eastAsia" w:ascii="宋体" w:hAnsi="宋体" w:cs="宋体"/>
          <w:b/>
          <w:bCs/>
          <w:sz w:val="24"/>
        </w:rPr>
        <w:t>十二条争议解决</w:t>
      </w:r>
      <w:bookmarkEnd w:id="83"/>
      <w:bookmarkEnd w:id="84"/>
      <w:bookmarkEnd w:id="85"/>
      <w:bookmarkEnd w:id="86"/>
      <w:bookmarkEnd w:id="87"/>
      <w:bookmarkEnd w:id="88"/>
      <w:bookmarkEnd w:id="89"/>
      <w:bookmarkEnd w:id="90"/>
      <w:bookmarkEnd w:id="91"/>
    </w:p>
    <w:p>
      <w:pPr>
        <w:spacing w:line="384" w:lineRule="auto"/>
        <w:ind w:firstLine="482"/>
        <w:rPr>
          <w:rFonts w:ascii="宋体" w:hAnsi="宋体" w:cs="宋体"/>
          <w:bCs/>
          <w:sz w:val="24"/>
        </w:rPr>
      </w:pPr>
      <w:bookmarkStart w:id="92" w:name="_Toc183666533"/>
      <w:bookmarkStart w:id="93" w:name="_Toc306350469"/>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cs="宋体"/>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bookmarkEnd w:id="92"/>
      <w:bookmarkEnd w:id="93"/>
      <w:bookmarkStart w:id="94" w:name="_Toc518993003"/>
      <w:bookmarkStart w:id="95" w:name="_Toc474245229"/>
      <w:bookmarkStart w:id="96" w:name="_Toc520190043"/>
    </w:p>
    <w:p>
      <w:pPr>
        <w:spacing w:line="384" w:lineRule="auto"/>
        <w:ind w:firstLine="482"/>
        <w:jc w:val="left"/>
        <w:rPr>
          <w:rFonts w:hint="eastAsia" w:ascii="宋体" w:hAnsi="宋体" w:cs="宋体"/>
          <w:b/>
          <w:bCs/>
          <w:sz w:val="24"/>
        </w:rPr>
      </w:pPr>
    </w:p>
    <w:p>
      <w:pPr>
        <w:spacing w:line="384" w:lineRule="auto"/>
        <w:ind w:firstLine="482"/>
        <w:jc w:val="left"/>
        <w:rPr>
          <w:rFonts w:ascii="宋体" w:hAnsi="宋体" w:cs="宋体"/>
          <w:b/>
          <w:bCs/>
          <w:sz w:val="24"/>
        </w:rPr>
      </w:pPr>
      <w:r>
        <w:rPr>
          <w:rFonts w:hint="eastAsia" w:ascii="宋体" w:hAnsi="宋体" w:cs="宋体"/>
          <w:b/>
          <w:bCs/>
          <w:sz w:val="24"/>
        </w:rPr>
        <w:t>第十三条</w:t>
      </w:r>
      <w:bookmarkStart w:id="97" w:name="_Toc107446871"/>
      <w:bookmarkStart w:id="98" w:name="_Toc107447264"/>
      <w:r>
        <w:rPr>
          <w:rFonts w:hint="eastAsia" w:ascii="宋体" w:hAnsi="宋体" w:cs="宋体"/>
          <w:b/>
          <w:bCs/>
          <w:sz w:val="24"/>
        </w:rPr>
        <w:t>合同生效及其他</w:t>
      </w:r>
      <w:bookmarkEnd w:id="94"/>
      <w:bookmarkEnd w:id="95"/>
      <w:bookmarkEnd w:id="96"/>
      <w:bookmarkEnd w:id="97"/>
      <w:bookmarkEnd w:id="98"/>
    </w:p>
    <w:p>
      <w:pPr>
        <w:spacing w:line="384" w:lineRule="auto"/>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384" w:lineRule="auto"/>
        <w:ind w:firstLine="480"/>
        <w:rPr>
          <w:rFonts w:ascii="宋体" w:hAnsi="宋体" w:cs="宋体"/>
          <w:sz w:val="24"/>
        </w:rPr>
      </w:pPr>
      <w:r>
        <w:rPr>
          <w:rFonts w:ascii="宋体" w:hAnsi="宋体" w:cs="宋体"/>
          <w:sz w:val="24"/>
        </w:rPr>
        <w:t>13.2</w:t>
      </w:r>
      <w:r>
        <w:rPr>
          <w:rFonts w:hint="eastAsia" w:ascii="宋体" w:hAnsi="宋体" w:cs="宋体"/>
          <w:sz w:val="24"/>
        </w:rPr>
        <w:t>本合同正文一式</w:t>
      </w:r>
      <w:r>
        <w:rPr>
          <w:rFonts w:hint="eastAsia" w:ascii="宋体" w:hAnsi="宋体" w:cs="宋体"/>
          <w:sz w:val="24"/>
          <w:u w:val="single"/>
        </w:rPr>
        <w:t>伍</w:t>
      </w:r>
      <w:r>
        <w:rPr>
          <w:rFonts w:hint="eastAsia" w:ascii="宋体" w:hAnsi="宋体" w:cs="宋体"/>
          <w:sz w:val="24"/>
        </w:rPr>
        <w:t>份，其中：甲方</w:t>
      </w:r>
      <w:r>
        <w:rPr>
          <w:rFonts w:hint="eastAsia" w:ascii="宋体" w:hAnsi="宋体" w:cs="宋体"/>
          <w:sz w:val="24"/>
          <w:u w:val="single"/>
        </w:rPr>
        <w:t>肆</w:t>
      </w:r>
      <w:r>
        <w:rPr>
          <w:rFonts w:hint="eastAsia" w:ascii="宋体" w:hAnsi="宋体" w:cs="宋体"/>
          <w:sz w:val="24"/>
        </w:rPr>
        <w:t>份，乙方</w:t>
      </w:r>
      <w:r>
        <w:rPr>
          <w:rFonts w:hint="eastAsia" w:ascii="宋体" w:hAnsi="宋体" w:cs="宋体"/>
          <w:sz w:val="24"/>
          <w:u w:val="single"/>
        </w:rPr>
        <w:t>壹</w:t>
      </w:r>
      <w:r>
        <w:rPr>
          <w:rFonts w:hint="eastAsia" w:ascii="宋体" w:hAnsi="宋体" w:cs="宋体"/>
          <w:sz w:val="24"/>
        </w:rPr>
        <w:t>份。</w:t>
      </w:r>
    </w:p>
    <w:p>
      <w:pPr>
        <w:spacing w:line="384" w:lineRule="auto"/>
        <w:ind w:firstLine="480"/>
        <w:rPr>
          <w:rFonts w:ascii="宋体" w:hAnsi="宋体" w:cs="宋体"/>
          <w:sz w:val="24"/>
          <w:u w:val="single"/>
        </w:rPr>
      </w:pPr>
      <w:r>
        <w:rPr>
          <w:rFonts w:ascii="宋体" w:hAnsi="宋体" w:cs="宋体"/>
          <w:sz w:val="24"/>
        </w:rPr>
        <w:t>13.</w:t>
      </w:r>
      <w:r>
        <w:rPr>
          <w:rFonts w:hint="eastAsia" w:ascii="宋体" w:hAnsi="宋体" w:cs="宋体"/>
          <w:sz w:val="24"/>
        </w:rPr>
        <w:t>3补充条款</w:t>
      </w:r>
      <w:r>
        <w:rPr>
          <w:rFonts w:hint="eastAsia" w:ascii="宋体" w:hAnsi="宋体" w:cs="宋体"/>
          <w:sz w:val="24"/>
          <w:u w:val="single"/>
        </w:rPr>
        <w:t xml:space="preserve">： /   </w:t>
      </w:r>
    </w:p>
    <w:p>
      <w:pPr>
        <w:spacing w:line="384" w:lineRule="auto"/>
        <w:rPr>
          <w:rFonts w:ascii="宋体" w:hAnsi="宋体" w:cs="宋体"/>
          <w:sz w:val="24"/>
        </w:rPr>
      </w:pPr>
    </w:p>
    <w:p>
      <w:pPr>
        <w:spacing w:line="384" w:lineRule="auto"/>
        <w:rPr>
          <w:rFonts w:hint="eastAsia" w:ascii="宋体" w:hAnsi="宋体" w:cs="宋体"/>
          <w:sz w:val="24"/>
        </w:rPr>
      </w:pPr>
      <w:r>
        <w:rPr>
          <w:rFonts w:hint="eastAsia" w:ascii="宋体" w:hAnsi="宋体" w:cs="宋体"/>
          <w:sz w:val="24"/>
        </w:rPr>
        <w:t>附件：1.廉洁协议</w:t>
      </w:r>
    </w:p>
    <w:p>
      <w:pPr>
        <w:spacing w:line="460" w:lineRule="exact"/>
        <w:ind w:firstLine="720" w:firstLineChars="300"/>
        <w:rPr>
          <w:rFonts w:hint="eastAsia" w:ascii="宋体" w:hAnsi="宋体" w:cs="宋体"/>
          <w:sz w:val="24"/>
        </w:rPr>
      </w:pPr>
      <w:r>
        <w:rPr>
          <w:rFonts w:hint="eastAsia" w:ascii="宋体" w:hAnsi="宋体" w:cs="宋体"/>
          <w:sz w:val="24"/>
        </w:rPr>
        <w:t>2.不诚信行为的情形及相应被暂停参与投标活动的处理标准</w:t>
      </w:r>
    </w:p>
    <w:p>
      <w:pPr>
        <w:spacing w:line="384" w:lineRule="auto"/>
        <w:ind w:firstLine="720" w:firstLineChars="300"/>
        <w:rPr>
          <w:rFonts w:ascii="宋体" w:hAnsi="宋体" w:cs="宋体"/>
          <w:sz w:val="24"/>
        </w:rPr>
      </w:pPr>
      <w:r>
        <w:rPr>
          <w:rFonts w:hint="eastAsia" w:ascii="宋体" w:hAnsi="宋体" w:cs="宋体"/>
          <w:sz w:val="24"/>
        </w:rPr>
        <w:t>3</w:t>
      </w:r>
      <w:r>
        <w:rPr>
          <w:rFonts w:ascii="宋体" w:hAnsi="宋体" w:cs="宋体"/>
          <w:sz w:val="24"/>
        </w:rPr>
        <w:t>.</w:t>
      </w:r>
      <w:r>
        <w:rPr>
          <w:rFonts w:hint="eastAsia" w:ascii="宋体" w:hAnsi="宋体" w:cs="宋体"/>
          <w:sz w:val="24"/>
        </w:rPr>
        <w:t>安全协议书</w:t>
      </w:r>
    </w:p>
    <w:p>
      <w:pPr>
        <w:spacing w:line="384" w:lineRule="auto"/>
        <w:rPr>
          <w:rFonts w:hint="eastAsia" w:ascii="宋体" w:hAnsi="宋体" w:cs="宋体"/>
          <w:sz w:val="24"/>
        </w:rPr>
      </w:pPr>
      <w:r>
        <w:rPr>
          <w:rFonts w:ascii="宋体" w:hAnsi="宋体" w:cs="宋体"/>
          <w:sz w:val="24"/>
        </w:rPr>
        <w:t xml:space="preserve">     </w:t>
      </w:r>
      <w:r>
        <w:rPr>
          <w:rFonts w:hint="eastAsia" w:ascii="宋体" w:hAnsi="宋体" w:cs="宋体"/>
          <w:sz w:val="24"/>
        </w:rPr>
        <w:t xml:space="preserve"> 4</w:t>
      </w:r>
      <w:r>
        <w:rPr>
          <w:rFonts w:ascii="宋体" w:hAnsi="宋体" w:cs="宋体"/>
          <w:sz w:val="24"/>
        </w:rPr>
        <w:t>.</w:t>
      </w:r>
      <w:r>
        <w:rPr>
          <w:rFonts w:hint="eastAsia" w:ascii="宋体" w:hAnsi="宋体" w:cs="宋体"/>
          <w:sz w:val="24"/>
        </w:rPr>
        <w:t>报价单</w:t>
      </w:r>
    </w:p>
    <w:p>
      <w:pPr>
        <w:spacing w:line="384" w:lineRule="auto"/>
        <w:ind w:firstLine="240" w:firstLineChars="100"/>
        <w:rPr>
          <w:rFonts w:ascii="宋体" w:hAnsi="宋体" w:cs="宋体"/>
          <w:sz w:val="24"/>
        </w:rPr>
      </w:pPr>
      <w:r>
        <w:rPr>
          <w:rFonts w:ascii="宋体" w:hAnsi="宋体" w:cs="宋体"/>
          <w:sz w:val="24"/>
        </w:rPr>
        <w:t xml:space="preserve">   </w:t>
      </w:r>
      <w:r>
        <w:rPr>
          <w:rFonts w:hint="eastAsia" w:ascii="宋体" w:hAnsi="宋体" w:cs="宋体"/>
          <w:sz w:val="24"/>
        </w:rPr>
        <w:t xml:space="preserve"> 5</w:t>
      </w:r>
      <w:r>
        <w:rPr>
          <w:rFonts w:ascii="宋体" w:hAnsi="宋体" w:cs="宋体"/>
          <w:sz w:val="24"/>
        </w:rPr>
        <w:t>.</w:t>
      </w:r>
      <w:r>
        <w:rPr>
          <w:rFonts w:hint="eastAsia" w:ascii="宋体" w:hAnsi="宋体" w:cs="宋体"/>
          <w:sz w:val="24"/>
        </w:rPr>
        <w:t>防疫管理协议书</w:t>
      </w:r>
    </w:p>
    <w:p>
      <w:pPr>
        <w:spacing w:line="384" w:lineRule="auto"/>
        <w:ind w:firstLine="720" w:firstLineChars="300"/>
        <w:rPr>
          <w:rFonts w:hint="eastAsia" w:ascii="宋体" w:hAnsi="宋体" w:cs="宋体"/>
          <w:sz w:val="24"/>
        </w:rPr>
      </w:pPr>
      <w:r>
        <w:rPr>
          <w:rFonts w:hint="eastAsia" w:ascii="宋体" w:hAnsi="宋体" w:cs="宋体"/>
          <w:sz w:val="24"/>
        </w:rPr>
        <w:t>6</w:t>
      </w:r>
      <w:r>
        <w:rPr>
          <w:rFonts w:ascii="宋体" w:hAnsi="宋体" w:cs="宋体"/>
          <w:sz w:val="24"/>
        </w:rPr>
        <w:t>.</w:t>
      </w:r>
      <w:r>
        <w:rPr>
          <w:rFonts w:hint="eastAsia" w:ascii="宋体" w:hAnsi="宋体" w:cs="宋体"/>
          <w:sz w:val="24"/>
        </w:rPr>
        <w:t>发包通知书</w:t>
      </w: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甲方：广州市净水有限公司（盖章）   乙方：</w:t>
      </w:r>
      <w:r>
        <w:rPr>
          <w:rFonts w:hint="eastAsia" w:ascii="宋体" w:hAnsi="宋体" w:cs="宋体"/>
          <w:sz w:val="24"/>
          <w:u w:val="single"/>
          <w:lang w:val="en-US" w:eastAsia="zh-CN" w:bidi="ar"/>
        </w:rPr>
        <w:t xml:space="preserve">                         </w:t>
      </w:r>
      <w:r>
        <w:rPr>
          <w:rFonts w:hint="eastAsia" w:ascii="宋体" w:hAnsi="宋体" w:cs="宋体"/>
          <w:sz w:val="24"/>
        </w:rPr>
        <w:t>（盖章）</w:t>
      </w:r>
    </w:p>
    <w:p>
      <w:pPr>
        <w:spacing w:line="384" w:lineRule="auto"/>
        <w:rPr>
          <w:rFonts w:ascii="宋体" w:hAnsi="宋体" w:cs="宋体"/>
          <w:sz w:val="24"/>
        </w:rPr>
      </w:pPr>
      <w:r>
        <w:rPr>
          <w:rFonts w:hint="eastAsia" w:ascii="宋体" w:hAnsi="宋体" w:cs="宋体"/>
          <w:sz w:val="24"/>
        </w:rPr>
        <w:t>法定代表 或                         法定代表人或</w:t>
      </w:r>
    </w:p>
    <w:p>
      <w:pPr>
        <w:spacing w:line="384" w:lineRule="auto"/>
        <w:rPr>
          <w:rFonts w:ascii="宋体" w:hAnsi="宋体" w:cs="宋体"/>
          <w:sz w:val="24"/>
        </w:rPr>
      </w:pPr>
      <w:r>
        <w:rPr>
          <w:rFonts w:hint="eastAsia" w:ascii="宋体" w:hAnsi="宋体" w:cs="宋体"/>
          <w:sz w:val="24"/>
        </w:rPr>
        <w:t>授权代理人：                         授权代理人：</w:t>
      </w:r>
    </w:p>
    <w:p>
      <w:pPr>
        <w:spacing w:line="384" w:lineRule="auto"/>
        <w:ind w:left="4560" w:hanging="4560" w:hangingChars="1900"/>
        <w:rPr>
          <w:rFonts w:ascii="宋体" w:hAnsi="宋体" w:cs="宋体"/>
          <w:sz w:val="24"/>
        </w:rPr>
      </w:pPr>
      <w:r>
        <w:rPr>
          <w:rFonts w:hint="eastAsia" w:ascii="宋体" w:hAnsi="宋体" w:cs="宋体"/>
          <w:sz w:val="24"/>
        </w:rPr>
        <w:t>地址：                              地址：</w:t>
      </w:r>
    </w:p>
    <w:p>
      <w:pPr>
        <w:spacing w:line="384" w:lineRule="auto"/>
        <w:rPr>
          <w:rFonts w:ascii="宋体" w:hAnsi="宋体" w:cs="宋体"/>
          <w:sz w:val="24"/>
        </w:rPr>
      </w:pPr>
      <w:r>
        <w:rPr>
          <w:rFonts w:hint="eastAsia" w:ascii="宋体" w:hAnsi="宋体" w:cs="宋体"/>
          <w:sz w:val="24"/>
        </w:rPr>
        <w:t xml:space="preserve">经办人：                 </w:t>
      </w:r>
      <w:r>
        <w:rPr>
          <w:rFonts w:hint="eastAsia" w:ascii="宋体" w:hAnsi="宋体" w:cs="宋体"/>
          <w:sz w:val="24"/>
          <w:lang w:val="en-US" w:eastAsia="zh-CN"/>
        </w:rPr>
        <w:t xml:space="preserve">      </w:t>
      </w:r>
      <w:r>
        <w:rPr>
          <w:rFonts w:hint="eastAsia" w:ascii="宋体" w:hAnsi="宋体" w:cs="宋体"/>
          <w:sz w:val="24"/>
        </w:rPr>
        <w:t xml:space="preserve">     经办人：</w:t>
      </w:r>
    </w:p>
    <w:p>
      <w:pPr>
        <w:spacing w:line="384" w:lineRule="auto"/>
        <w:rPr>
          <w:rFonts w:ascii="宋体" w:hAnsi="宋体" w:cs="宋体"/>
          <w:sz w:val="24"/>
        </w:rPr>
      </w:pPr>
      <w:r>
        <w:rPr>
          <w:rFonts w:hint="eastAsia" w:ascii="宋体" w:hAnsi="宋体" w:cs="宋体"/>
          <w:sz w:val="24"/>
        </w:rPr>
        <w:t>联系电话：</w:t>
      </w:r>
      <w:r>
        <w:rPr>
          <w:rFonts w:hint="eastAsia" w:ascii="宋体" w:hAnsi="宋体" w:cs="宋体"/>
          <w:sz w:val="24"/>
          <w:lang w:val="en-US" w:eastAsia="zh-CN"/>
        </w:rPr>
        <w:t xml:space="preserve">               </w:t>
      </w: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联系电话：</w:t>
      </w:r>
    </w:p>
    <w:p>
      <w:pPr>
        <w:spacing w:line="384" w:lineRule="auto"/>
        <w:ind w:left="6360" w:hanging="6360" w:hangingChars="2650"/>
        <w:rPr>
          <w:rFonts w:ascii="宋体" w:hAnsi="宋体" w:cs="宋体"/>
          <w:sz w:val="24"/>
        </w:rPr>
      </w:pPr>
      <w:r>
        <w:rPr>
          <w:rFonts w:hint="eastAsia" w:ascii="宋体" w:hAnsi="宋体" w:cs="宋体"/>
          <w:sz w:val="24"/>
        </w:rPr>
        <w:t xml:space="preserve">传真：                              传真： </w:t>
      </w:r>
    </w:p>
    <w:p>
      <w:pPr>
        <w:spacing w:line="384" w:lineRule="auto"/>
        <w:ind w:left="6360" w:hanging="6360" w:hangingChars="2650"/>
        <w:rPr>
          <w:rFonts w:ascii="宋体" w:hAnsi="宋体" w:cs="宋体"/>
          <w:sz w:val="24"/>
        </w:rPr>
      </w:pPr>
      <w:r>
        <w:rPr>
          <w:rFonts w:hint="eastAsia" w:ascii="宋体" w:hAnsi="宋体" w:cs="宋体"/>
          <w:sz w:val="24"/>
        </w:rPr>
        <w:t>签署日期：     年   月   日         签署日期：    年   月   日</w:t>
      </w:r>
    </w:p>
    <w:p>
      <w:pPr>
        <w:pStyle w:val="7"/>
        <w:rPr>
          <w:rFonts w:ascii="宋体" w:hAnsi="宋体" w:cs="宋体"/>
          <w:b/>
          <w:bCs/>
          <w:szCs w:val="21"/>
        </w:rPr>
      </w:pPr>
    </w:p>
    <w:p>
      <w:pPr>
        <w:pStyle w:val="7"/>
        <w:rPr>
          <w:rFonts w:ascii="宋体" w:hAnsi="宋体" w:cs="宋体"/>
          <w:b/>
          <w:bCs/>
          <w:szCs w:val="21"/>
        </w:rPr>
      </w:pPr>
    </w:p>
    <w:p>
      <w:pPr>
        <w:spacing w:line="360" w:lineRule="auto"/>
        <w:rPr>
          <w:rFonts w:hint="eastAsia" w:ascii="宋体" w:hAnsi="宋体" w:cs="宋体"/>
          <w:b/>
          <w:bCs/>
          <w:szCs w:val="21"/>
        </w:rPr>
      </w:pPr>
      <w:bookmarkStart w:id="99" w:name="_Toc387080836"/>
      <w:bookmarkStart w:id="100" w:name="_Toc389815339"/>
      <w:bookmarkStart w:id="101" w:name="_Toc389815031"/>
      <w:r>
        <w:rPr>
          <w:rFonts w:hint="eastAsia" w:ascii="宋体" w:hAnsi="宋体" w:cs="宋体"/>
          <w:b/>
          <w:bCs/>
          <w:szCs w:val="21"/>
        </w:rPr>
        <w:br w:type="page"/>
      </w:r>
      <w:r>
        <w:rPr>
          <w:rFonts w:hint="eastAsia" w:ascii="宋体" w:hAnsi="宋体" w:cs="宋体"/>
          <w:b/>
          <w:bCs/>
          <w:szCs w:val="21"/>
        </w:rPr>
        <w:t>附件1：廉洁协议</w:t>
      </w:r>
    </w:p>
    <w:p>
      <w:pPr>
        <w:spacing w:line="560" w:lineRule="exact"/>
        <w:ind w:firstLine="3640" w:firstLineChars="13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廉洁协议</w:t>
      </w:r>
    </w:p>
    <w:p>
      <w:pPr>
        <w:spacing w:line="560" w:lineRule="exact"/>
        <w:ind w:firstLine="630" w:firstLineChars="225"/>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Cs/>
          <w:sz w:val="28"/>
          <w:szCs w:val="28"/>
          <w:u w:val="single"/>
        </w:rPr>
        <w:t>广州市净水有限公司</w:t>
      </w:r>
      <w:r>
        <w:rPr>
          <w:rFonts w:hint="eastAsia" w:ascii="仿宋_GB2312" w:hAnsi="仿宋_GB2312" w:eastAsia="仿宋_GB2312" w:cs="仿宋_GB2312"/>
          <w:bCs/>
          <w:sz w:val="28"/>
          <w:szCs w:val="28"/>
        </w:rPr>
        <w:t>(以下称甲方)与</w:t>
      </w:r>
      <w:r>
        <w:rPr>
          <w:rFonts w:hint="eastAsia" w:ascii="仿宋_GB2312" w:hAnsi="仿宋_GB2312" w:eastAsia="仿宋_GB2312" w:cs="仿宋_GB2312"/>
          <w:bCs/>
          <w:sz w:val="28"/>
          <w:szCs w:val="28"/>
          <w:u w:val="single"/>
          <w:lang w:val="en-US" w:eastAsia="zh-CN" w:bidi="ar"/>
        </w:rPr>
        <w:t xml:space="preserve">                   </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(以下称乙方)，特此订立本协议共同遵照执行。</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第一条 甲乙双方的权利和义务</w:t>
      </w:r>
    </w:p>
    <w:p>
      <w:pPr>
        <w:spacing w:line="560" w:lineRule="exact"/>
        <w:ind w:firstLine="420" w:firstLineChars="15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（一）甲乙双方严格遵守国家关于市场准入、项目招标投标、市场经营活动等有关法律、法规相关政策及廉政建设的各项规定。</w:t>
      </w:r>
    </w:p>
    <w:p>
      <w:pPr>
        <w:spacing w:line="560" w:lineRule="exact"/>
        <w:ind w:firstLine="420" w:firstLineChars="15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（二）严格执行</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u w:val="single"/>
          <w:lang w:bidi="ar"/>
        </w:rPr>
        <w:t>江高分公司2022年保密室装修项目</w:t>
      </w:r>
      <w:r>
        <w:rPr>
          <w:rFonts w:hint="eastAsia" w:ascii="仿宋_GB2312" w:hAnsi="仿宋_GB2312" w:eastAsia="仿宋_GB2312" w:cs="仿宋_GB2312"/>
          <w:bCs/>
          <w:sz w:val="28"/>
          <w:szCs w:val="28"/>
          <w:highlight w:val="none"/>
        </w:rPr>
        <w:t>合</w:t>
      </w:r>
      <w:r>
        <w:rPr>
          <w:rFonts w:hint="eastAsia" w:ascii="仿宋_GB2312" w:hAnsi="仿宋_GB2312" w:eastAsia="仿宋_GB2312" w:cs="仿宋_GB2312"/>
          <w:bCs/>
          <w:sz w:val="28"/>
          <w:szCs w:val="28"/>
        </w:rPr>
        <w:t>同（以下简称：主合同），自觉履行合同约定的相关义务。</w:t>
      </w:r>
    </w:p>
    <w:p>
      <w:pPr>
        <w:spacing w:line="560" w:lineRule="exact"/>
        <w:ind w:firstLine="420" w:firstLineChars="15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（三）在业务活动中坚持公开、公正、诚信、透明的原则，不得损害国家、集体利益。</w:t>
      </w:r>
    </w:p>
    <w:p>
      <w:pPr>
        <w:spacing w:line="560" w:lineRule="exact"/>
        <w:ind w:firstLine="420" w:firstLineChars="15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（四）建立健全廉洁从业制度，开展廉洁教育，公布举报电话，监督并认真查处不廉洁及违法违纪行为。</w:t>
      </w:r>
    </w:p>
    <w:p>
      <w:pPr>
        <w:spacing w:line="56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（五）发现对方在业务活动中有不廉洁行为，应及时提醒对方纠正。情节严重的，应向其有关监督部门检举。</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第二条甲方的义务</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（一）甲方及其工作人员不得索要或接受乙方的礼金、有价证券和贵重物品，不得在乙方报销任何应由甲方或个人支付的费用等。</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60" w:lineRule="exact"/>
        <w:ind w:left="15" w:leftChars="7"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（三）甲方及其工作人员不得要求或者接受乙方为其住房装修、婚丧嫁娶活动、配偶子女工作安排以及出国出境、旅游等提供方便等。</w:t>
      </w:r>
    </w:p>
    <w:p>
      <w:pPr>
        <w:spacing w:line="560" w:lineRule="exact"/>
        <w:ind w:left="15" w:leftChars="7"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（四）甲方工作人员不得在乙方或与乙方有股权关联的企业兼职，不得向乙方介绍家属或者亲友从事与甲方业务有关的经济活动。</w:t>
      </w:r>
    </w:p>
    <w:p>
      <w:pPr>
        <w:spacing w:line="560" w:lineRule="exact"/>
        <w:ind w:left="15" w:leftChars="7"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60" w:lineRule="exact"/>
        <w:ind w:left="15" w:leftChars="7"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（六）甲方工作人员不得利用职务之便收受乙方以回扣、手续费、加班费、咨询费、劳务费、协调费、辛苦费等各种名义给予或赠送的钱物。</w:t>
      </w:r>
    </w:p>
    <w:p>
      <w:pPr>
        <w:spacing w:line="560" w:lineRule="exact"/>
        <w:ind w:left="15" w:leftChars="7"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（七）甲方工作人员不得接受乙方给予或赠送的干股或红利。</w:t>
      </w:r>
    </w:p>
    <w:p>
      <w:pPr>
        <w:spacing w:line="560" w:lineRule="exact"/>
        <w:ind w:left="15" w:leftChars="7"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(八）不得存在其他违反廉洁规定的行为。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第三条乙方的义务</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（一）乙方不得以任何理由向甲方及其工作人员行贿或馈赠礼金、有价证券、贵重礼品。</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（二)乙方不得以任何名义为甲方及其工作人员报销应由甲方单位或个人支付的任何费用。</w:t>
      </w:r>
    </w:p>
    <w:p>
      <w:pPr>
        <w:spacing w:line="560" w:lineRule="exact"/>
        <w:ind w:left="25" w:leftChars="12"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（三）乙方不得以任何理由安排甲方工作人员参加可能影响相关业务公开、公正、公平性的宴请及娱乐活动。</w:t>
      </w:r>
    </w:p>
    <w:p>
      <w:pPr>
        <w:pStyle w:val="14"/>
        <w:spacing w:line="560" w:lineRule="exac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（四）乙方不得为甲方单位和个人购置或提供通讯工具和高档办公用品等物品，也不得为甲方提供与工作无关的房屋、汽车等。</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（五）乙方不得擅自与甲方工作人员就主合同中的质量、数量、价格、工程量、验收等条款进行私下商谈或者达成默契。</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（六）乙方不得以回扣、手续费、加班费、咨询费、劳务费、协调费、辛苦费等各种名义向甲方工作人员给予或赠送钱物。</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（七）乙方不得向甲方工作人员提供干股或红利。</w:t>
      </w:r>
    </w:p>
    <w:p>
      <w:pPr>
        <w:spacing w:line="560" w:lineRule="exact"/>
        <w:ind w:left="15" w:leftChars="7"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(八）不得存在其他违反廉洁规定的行为。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第四条违约责任</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（一）甲方及其工作人员违反本协议第一、二条。甲方按管理权限，对相关责任人依据有关规定给予处理；涉嫌犯罪的，移交司法机关追究刑事责任；给乙方单位造成经济损失的，应予以赔偿。</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甲方举报投诉联系部门：广州市净水有限公司</w:t>
      </w:r>
      <w:r>
        <w:rPr>
          <w:rFonts w:hint="eastAsia" w:ascii="仿宋_GB2312" w:hAnsi="仿宋_GB2312" w:eastAsia="仿宋_GB2312" w:cs="仿宋_GB2312"/>
          <w:bCs/>
          <w:sz w:val="28"/>
          <w:szCs w:val="28"/>
          <w:u w:val="single"/>
        </w:rPr>
        <w:t>纪检室</w:t>
      </w:r>
      <w:r>
        <w:rPr>
          <w:rFonts w:hint="eastAsia" w:ascii="仿宋_GB2312" w:hAnsi="仿宋_GB2312" w:eastAsia="仿宋_GB2312" w:cs="仿宋_GB2312"/>
          <w:bCs/>
          <w:sz w:val="28"/>
          <w:szCs w:val="28"/>
        </w:rPr>
        <w:t>，联系电话：</w:t>
      </w:r>
      <w:r>
        <w:rPr>
          <w:rFonts w:hint="eastAsia" w:ascii="仿宋_GB2312" w:hAnsi="仿宋_GB2312" w:eastAsia="仿宋_GB2312" w:cs="仿宋_GB2312"/>
          <w:bCs/>
          <w:sz w:val="28"/>
          <w:szCs w:val="28"/>
          <w:u w:val="single"/>
        </w:rPr>
        <w:t xml:space="preserve"> 020-38890265 </w:t>
      </w:r>
      <w:r>
        <w:rPr>
          <w:rFonts w:hint="eastAsia" w:ascii="仿宋_GB2312" w:hAnsi="仿宋_GB2312" w:eastAsia="仿宋_GB2312" w:cs="仿宋_GB2312"/>
          <w:bCs/>
          <w:sz w:val="28"/>
          <w:szCs w:val="28"/>
        </w:rPr>
        <w:t>。</w:t>
      </w:r>
    </w:p>
    <w:p>
      <w:pPr>
        <w:pStyle w:val="20"/>
        <w:spacing w:line="560" w:lineRule="exact"/>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0"/>
        <w:spacing w:line="560" w:lineRule="exact"/>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1、扣除主合同的全部履约保证金；</w:t>
      </w:r>
    </w:p>
    <w:p>
      <w:pPr>
        <w:pStyle w:val="20"/>
        <w:spacing w:line="560" w:lineRule="exact"/>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2、解除主合同；</w:t>
      </w:r>
    </w:p>
    <w:p>
      <w:pPr>
        <w:pStyle w:val="20"/>
        <w:spacing w:line="560" w:lineRule="exact"/>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3、追究乙方其他违约责任；</w:t>
      </w:r>
    </w:p>
    <w:p>
      <w:pPr>
        <w:pStyle w:val="20"/>
        <w:spacing w:line="560" w:lineRule="exact"/>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4、根据甲方的有关规章制度，在一定时间内暂停乙方参与甲方及下属单位所有项目的交易资格；</w:t>
      </w:r>
    </w:p>
    <w:p>
      <w:pPr>
        <w:pStyle w:val="20"/>
        <w:spacing w:line="560" w:lineRule="exact"/>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5、根据甲方的有关规章制度，将乙方清退出甲方相关企业库；</w:t>
      </w:r>
    </w:p>
    <w:p>
      <w:pPr>
        <w:pStyle w:val="20"/>
        <w:spacing w:line="560" w:lineRule="exact"/>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6、根据甲方上级单位、行政主管部门的意见、决定执行；</w:t>
      </w:r>
    </w:p>
    <w:p>
      <w:pPr>
        <w:pStyle w:val="20"/>
        <w:spacing w:line="560" w:lineRule="exact"/>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7、按规定向有关行政监督部门、乙方业务管理部门进行投诉、报告。</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乙方无条件接受甲方的处理决定并承担给甲方造成的损失，全额返还通过不正当手段获取的非法所得，并承担相应的法律责任。</w:t>
      </w:r>
    </w:p>
    <w:p>
      <w:pPr>
        <w:spacing w:line="560" w:lineRule="exact"/>
        <w:ind w:firstLine="560"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Cs/>
          <w:sz w:val="28"/>
          <w:szCs w:val="28"/>
        </w:rPr>
        <w:t xml:space="preserve">第五条 </w:t>
      </w:r>
      <w:r>
        <w:rPr>
          <w:rFonts w:hint="eastAsia" w:ascii="仿宋_GB2312" w:hAnsi="仿宋_GB2312" w:eastAsia="仿宋_GB2312" w:cs="仿宋_GB2312"/>
          <w:bCs/>
          <w:kern w:val="0"/>
          <w:sz w:val="28"/>
          <w:szCs w:val="28"/>
        </w:rPr>
        <w:t xml:space="preserve">本协议执行情况，接受有管辖权的纪检、监察部门的监督，双方应予以配合检查调查。 </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第六条本协议作为</w:t>
      </w:r>
      <w:r>
        <w:rPr>
          <w:rFonts w:hint="eastAsia" w:ascii="仿宋_GB2312" w:hAnsi="仿宋_GB2312" w:eastAsia="仿宋_GB2312" w:cs="仿宋_GB2312"/>
          <w:sz w:val="28"/>
          <w:szCs w:val="28"/>
          <w:highlight w:val="none"/>
          <w:u w:val="single"/>
          <w:lang w:val="en-US" w:eastAsia="zh-CN"/>
        </w:rPr>
        <w:t>江高</w:t>
      </w:r>
      <w:r>
        <w:rPr>
          <w:rFonts w:hint="eastAsia" w:ascii="仿宋_GB2312" w:hAnsi="仿宋_GB2312" w:eastAsia="仿宋_GB2312" w:cs="仿宋_GB2312"/>
          <w:sz w:val="28"/>
          <w:szCs w:val="28"/>
          <w:highlight w:val="none"/>
          <w:u w:val="single"/>
        </w:rPr>
        <w:t>分公司2022年保密室</w:t>
      </w:r>
      <w:r>
        <w:rPr>
          <w:rFonts w:hint="eastAsia" w:ascii="仿宋_GB2312" w:hAnsi="仿宋_GB2312" w:eastAsia="仿宋_GB2312" w:cs="仿宋_GB2312"/>
          <w:sz w:val="28"/>
          <w:szCs w:val="28"/>
          <w:highlight w:val="none"/>
          <w:u w:val="single"/>
          <w:lang w:val="en-US" w:eastAsia="zh-CN"/>
        </w:rPr>
        <w:t>装修</w:t>
      </w:r>
      <w:r>
        <w:rPr>
          <w:rFonts w:hint="eastAsia" w:ascii="仿宋_GB2312" w:hAnsi="仿宋_GB2312" w:eastAsia="仿宋_GB2312" w:cs="仿宋_GB2312"/>
          <w:sz w:val="28"/>
          <w:szCs w:val="28"/>
          <w:highlight w:val="none"/>
          <w:u w:val="single"/>
        </w:rPr>
        <w:t>项目</w:t>
      </w:r>
      <w:r>
        <w:rPr>
          <w:rFonts w:hint="eastAsia" w:ascii="仿宋_GB2312" w:hAnsi="仿宋_GB2312" w:eastAsia="仿宋_GB2312" w:cs="仿宋_GB2312"/>
          <w:bCs/>
          <w:sz w:val="28"/>
          <w:szCs w:val="28"/>
          <w:highlight w:val="none"/>
          <w:u w:val="single"/>
        </w:rPr>
        <w:t>（穗净水合【2022】    号）</w:t>
      </w:r>
      <w:r>
        <w:rPr>
          <w:rFonts w:hint="eastAsia" w:ascii="宋体" w:hAnsi="宋体" w:cs="宋体"/>
          <w:bCs/>
          <w:sz w:val="28"/>
          <w:szCs w:val="28"/>
          <w:u w:val="single"/>
        </w:rPr>
        <w:t xml:space="preserve"> </w:t>
      </w:r>
      <w:r>
        <w:rPr>
          <w:rFonts w:hint="eastAsia" w:ascii="仿宋_GB2312" w:hAnsi="仿宋_GB2312" w:eastAsia="仿宋_GB2312" w:cs="仿宋_GB2312"/>
          <w:bCs/>
          <w:sz w:val="28"/>
          <w:szCs w:val="28"/>
        </w:rPr>
        <w:t>合同的附件，并具有同等的法律效力，本协议自双方签字盖章之日起生效，与主合同同时终止。</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第七条本协议一式</w:t>
      </w:r>
      <w:r>
        <w:rPr>
          <w:rFonts w:hint="eastAsia" w:ascii="仿宋_GB2312" w:hAnsi="仿宋_GB2312" w:eastAsia="仿宋_GB2312" w:cs="仿宋_GB2312"/>
          <w:bCs/>
          <w:sz w:val="28"/>
          <w:szCs w:val="28"/>
          <w:u w:val="single"/>
        </w:rPr>
        <w:t>伍</w:t>
      </w:r>
      <w:r>
        <w:rPr>
          <w:rFonts w:hint="eastAsia" w:ascii="仿宋_GB2312" w:hAnsi="仿宋_GB2312" w:eastAsia="仿宋_GB2312" w:cs="仿宋_GB2312"/>
          <w:bCs/>
          <w:sz w:val="28"/>
          <w:szCs w:val="28"/>
        </w:rPr>
        <w:t>份，甲方</w:t>
      </w:r>
      <w:r>
        <w:rPr>
          <w:rFonts w:hint="eastAsia" w:ascii="仿宋_GB2312" w:hAnsi="仿宋_GB2312" w:eastAsia="仿宋_GB2312" w:cs="仿宋_GB2312"/>
          <w:bCs/>
          <w:sz w:val="28"/>
          <w:szCs w:val="28"/>
          <w:u w:val="single"/>
        </w:rPr>
        <w:t>肆</w:t>
      </w:r>
      <w:r>
        <w:rPr>
          <w:rFonts w:hint="eastAsia" w:ascii="仿宋_GB2312" w:hAnsi="仿宋_GB2312" w:eastAsia="仿宋_GB2312" w:cs="仿宋_GB2312"/>
          <w:bCs/>
          <w:sz w:val="28"/>
          <w:szCs w:val="28"/>
        </w:rPr>
        <w:t>份，乙方</w:t>
      </w:r>
      <w:r>
        <w:rPr>
          <w:rFonts w:hint="eastAsia" w:ascii="仿宋_GB2312" w:hAnsi="仿宋_GB2312" w:eastAsia="仿宋_GB2312" w:cs="仿宋_GB2312"/>
          <w:bCs/>
          <w:sz w:val="28"/>
          <w:szCs w:val="28"/>
          <w:u w:val="single"/>
        </w:rPr>
        <w:t>壹</w:t>
      </w:r>
      <w:r>
        <w:rPr>
          <w:rFonts w:hint="eastAsia" w:ascii="仿宋_GB2312" w:hAnsi="仿宋_GB2312" w:eastAsia="仿宋_GB2312" w:cs="仿宋_GB2312"/>
          <w:bCs/>
          <w:sz w:val="28"/>
          <w:szCs w:val="28"/>
        </w:rPr>
        <w:t>份。</w:t>
      </w:r>
    </w:p>
    <w:p>
      <w:pPr>
        <w:spacing w:line="560" w:lineRule="exact"/>
        <w:ind w:firstLine="560" w:firstLineChars="200"/>
        <w:rPr>
          <w:rFonts w:hint="eastAsia" w:ascii="仿宋_GB2312" w:hAnsi="仿宋_GB2312" w:eastAsia="仿宋_GB2312" w:cs="仿宋_GB2312"/>
          <w:bCs/>
          <w:sz w:val="28"/>
          <w:szCs w:val="28"/>
        </w:rPr>
      </w:pPr>
    </w:p>
    <w:p>
      <w:pPr>
        <w:spacing w:line="560" w:lineRule="exact"/>
        <w:ind w:left="7000" w:hanging="7000" w:hangingChars="25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甲方（盖章）</w:t>
      </w:r>
      <w:r>
        <w:rPr>
          <w:rFonts w:hint="eastAsia" w:ascii="仿宋_GB2312" w:hAnsi="仿宋_GB2312" w:eastAsia="仿宋_GB2312" w:cs="仿宋_GB2312"/>
          <w:bCs/>
          <w:sz w:val="28"/>
          <w:szCs w:val="28"/>
          <w:u w:val="single"/>
        </w:rPr>
        <w:t>广州市净水有限公司</w:t>
      </w:r>
      <w:r>
        <w:rPr>
          <w:rFonts w:hint="eastAsia" w:ascii="仿宋_GB2312" w:hAnsi="仿宋_GB2312" w:eastAsia="仿宋_GB2312" w:cs="仿宋_GB2312"/>
          <w:bCs/>
          <w:sz w:val="28"/>
          <w:szCs w:val="28"/>
        </w:rPr>
        <w:t xml:space="preserve">     乙方（盖章）：</w:t>
      </w:r>
      <w:r>
        <w:rPr>
          <w:rFonts w:hint="eastAsia" w:ascii="仿宋_GB2312" w:hAnsi="仿宋_GB2312" w:eastAsia="仿宋_GB2312" w:cs="仿宋_GB2312"/>
          <w:bCs/>
          <w:sz w:val="28"/>
          <w:szCs w:val="28"/>
          <w:u w:val="single"/>
          <w:lang w:val="en-US" w:eastAsia="zh-CN" w:bidi="ar"/>
        </w:rPr>
        <w:t xml:space="preserve">             </w:t>
      </w:r>
    </w:p>
    <w:p>
      <w:pPr>
        <w:pStyle w:val="34"/>
        <w:tabs>
          <w:tab w:val="left" w:pos="5100"/>
        </w:tabs>
        <w:spacing w:line="560" w:lineRule="exact"/>
        <w:ind w:left="7200" w:firstLine="0" w:firstLineChars="0"/>
        <w:jc w:val="left"/>
        <w:rPr>
          <w:rFonts w:hint="eastAsia" w:ascii="仿宋_GB2312" w:hAnsi="仿宋_GB2312" w:eastAsia="仿宋_GB2312" w:cs="仿宋_GB2312"/>
          <w:bCs/>
          <w:sz w:val="28"/>
          <w:szCs w:val="28"/>
        </w:rPr>
      </w:pPr>
    </w:p>
    <w:p>
      <w:pPr>
        <w:tabs>
          <w:tab w:val="left" w:pos="5100"/>
        </w:tabs>
        <w:spacing w:line="560" w:lineRule="exact"/>
        <w:ind w:left="8400" w:hanging="8400" w:hangingChars="3000"/>
        <w:rPr>
          <w:rFonts w:hint="eastAsia" w:ascii="仿宋_GB2312" w:hAnsi="仿宋_GB2312" w:eastAsia="仿宋_GB2312" w:cs="仿宋_GB2312"/>
          <w:bCs/>
          <w:i w:val="0"/>
          <w:iCs w:val="0"/>
          <w:sz w:val="28"/>
          <w:szCs w:val="28"/>
        </w:rPr>
      </w:pPr>
      <w:r>
        <w:rPr>
          <w:rFonts w:hint="eastAsia" w:ascii="仿宋_GB2312" w:hAnsi="仿宋_GB2312" w:eastAsia="仿宋_GB2312" w:cs="仿宋_GB2312"/>
          <w:bCs/>
          <w:sz w:val="28"/>
          <w:szCs w:val="28"/>
        </w:rPr>
        <w:t>签约代表：</w:t>
      </w:r>
      <w:r>
        <w:rPr>
          <w:rFonts w:hint="eastAsia" w:ascii="仿宋_GB2312" w:hAnsi="仿宋_GB2312" w:eastAsia="仿宋_GB2312" w:cs="仿宋_GB2312"/>
          <w:bCs/>
          <w:i w:val="0"/>
          <w:iCs w:val="0"/>
          <w:sz w:val="28"/>
          <w:szCs w:val="28"/>
          <w:lang w:val="en-US" w:eastAsia="zh-CN"/>
        </w:rPr>
        <w:t xml:space="preserve">    </w:t>
      </w:r>
      <w:r>
        <w:rPr>
          <w:rFonts w:hint="eastAsia" w:ascii="仿宋_GB2312" w:hAnsi="仿宋_GB2312" w:eastAsia="仿宋_GB2312" w:cs="仿宋_GB2312"/>
          <w:bCs/>
          <w:i w:val="0"/>
          <w:iCs w:val="0"/>
          <w:sz w:val="28"/>
          <w:szCs w:val="28"/>
        </w:rPr>
        <w:t xml:space="preserve">                     签约代表：</w:t>
      </w:r>
    </w:p>
    <w:p>
      <w:pPr>
        <w:tabs>
          <w:tab w:val="left" w:pos="4170"/>
        </w:tabs>
        <w:spacing w:line="560" w:lineRule="exact"/>
        <w:rPr>
          <w:rFonts w:hint="eastAsia" w:ascii="仿宋_GB2312" w:hAnsi="仿宋_GB2312" w:eastAsia="仿宋_GB2312" w:cs="仿宋_GB2312"/>
          <w:bCs/>
          <w:i w:val="0"/>
          <w:iCs w:val="0"/>
          <w:sz w:val="28"/>
          <w:szCs w:val="28"/>
        </w:rPr>
      </w:pPr>
    </w:p>
    <w:p>
      <w:pPr>
        <w:tabs>
          <w:tab w:val="left" w:pos="4170"/>
        </w:tabs>
        <w:spacing w:line="560" w:lineRule="exac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日期:    年  月  日</w:t>
      </w:r>
      <w:r>
        <w:rPr>
          <w:rFonts w:hint="eastAsia" w:ascii="仿宋_GB2312" w:hAnsi="仿宋_GB2312" w:eastAsia="仿宋_GB2312" w:cs="仿宋_GB2312"/>
          <w:bCs/>
          <w:sz w:val="28"/>
          <w:szCs w:val="28"/>
        </w:rPr>
        <w:tab/>
      </w: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Cs/>
          <w:sz w:val="28"/>
          <w:szCs w:val="28"/>
        </w:rPr>
        <w:t>日期：  年  月  日</w:t>
      </w:r>
    </w:p>
    <w:p>
      <w:pPr>
        <w:pStyle w:val="21"/>
        <w:ind w:firstLine="560"/>
        <w:rPr>
          <w:rFonts w:hAnsi="仿宋_GB2312" w:cs="仿宋_GB2312"/>
          <w:bCs/>
          <w:sz w:val="28"/>
          <w:szCs w:val="28"/>
        </w:rPr>
      </w:pPr>
    </w:p>
    <w:p>
      <w:pPr>
        <w:adjustRightInd w:val="0"/>
        <w:snapToGrid w:val="0"/>
        <w:rPr>
          <w:rFonts w:hint="eastAsia" w:ascii="宋体" w:hAnsi="宋体" w:cs="宋体"/>
          <w:szCs w:val="21"/>
        </w:rPr>
      </w:pPr>
      <w:r>
        <w:rPr>
          <w:rFonts w:hint="eastAsia" w:ascii="宋体" w:hAnsi="宋体" w:cs="宋体"/>
          <w:b/>
          <w:bCs/>
          <w:szCs w:val="21"/>
        </w:rPr>
        <w:br w:type="page"/>
      </w:r>
      <w:r>
        <w:rPr>
          <w:rFonts w:hint="eastAsia" w:ascii="宋体" w:hAnsi="宋体" w:cs="宋体"/>
          <w:b/>
          <w:bCs/>
          <w:szCs w:val="21"/>
        </w:rPr>
        <w:t>附件2.</w:t>
      </w:r>
      <w:r>
        <w:rPr>
          <w:rFonts w:hint="eastAsia" w:ascii="宋体" w:hAnsi="宋体" w:cs="宋体"/>
          <w:szCs w:val="21"/>
        </w:rPr>
        <w:t>不诚信行为的情形及相应被暂停参与投标活动的处理标准</w:t>
      </w:r>
    </w:p>
    <w:p>
      <w:pPr>
        <w:widowControl w:val="0"/>
        <w:adjustRightInd w:val="0"/>
        <w:snapToGrid w:val="0"/>
        <w:spacing w:after="0" w:line="240" w:lineRule="auto"/>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不诚信行为的情形及相应被暂停参与投标活动的处理标准</w:t>
      </w:r>
    </w:p>
    <w:tbl>
      <w:tblPr>
        <w:tblStyle w:val="22"/>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numPr>
                <w:ilvl w:val="0"/>
                <w:numId w:val="0"/>
              </w:numPr>
              <w:adjustRightInd w:val="0"/>
              <w:snapToGrid w:val="0"/>
              <w:spacing w:after="0" w:line="240" w:lineRule="auto"/>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bl>
    <w:p>
      <w:pPr>
        <w:widowControl w:val="0"/>
        <w:numPr>
          <w:ilvl w:val="0"/>
          <w:numId w:val="0"/>
        </w:numPr>
        <w:spacing w:after="0" w:line="240" w:lineRule="auto"/>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sz w:val="24"/>
          <w:szCs w:val="24"/>
          <w:highlight w:val="none"/>
        </w:rPr>
        <w:t>《广州市净水有限公司经营建设项目参建企业不诚信行为管理办法》</w:t>
      </w:r>
      <w:r>
        <w:rPr>
          <w:rFonts w:hint="eastAsia" w:ascii="仿宋_GB2312" w:hAnsi="仿宋_GB2312" w:eastAsia="仿宋_GB2312" w:cs="仿宋_GB2312"/>
          <w:color w:val="000000"/>
          <w:sz w:val="24"/>
          <w:szCs w:val="24"/>
          <w:highlight w:val="none"/>
          <w:lang w:eastAsia="zh-CN"/>
        </w:rPr>
        <w:t>。</w:t>
      </w:r>
    </w:p>
    <w:p>
      <w:pPr>
        <w:widowControl w:val="0"/>
        <w:adjustRightInd w:val="0"/>
        <w:spacing w:after="120" w:line="360" w:lineRule="auto"/>
        <w:ind w:left="0" w:leftChars="0" w:firstLine="420"/>
        <w:jc w:val="both"/>
        <w:textAlignment w:val="baseline"/>
        <w:rPr>
          <w:rFonts w:hint="eastAsia" w:ascii="宋体" w:hAnsi="宋体" w:eastAsia="等线" w:cs="宋体"/>
          <w:b/>
          <w:bCs/>
          <w:color w:val="000000"/>
          <w:kern w:val="2"/>
          <w:sz w:val="24"/>
          <w:szCs w:val="24"/>
          <w:highlight w:val="none"/>
          <w:lang w:val="en-US" w:eastAsia="zh-CN" w:bidi="ar-SA"/>
        </w:rPr>
      </w:pPr>
    </w:p>
    <w:p>
      <w:pPr>
        <w:widowControl w:val="0"/>
        <w:adjustRightInd w:val="0"/>
        <w:spacing w:after="120" w:line="360" w:lineRule="auto"/>
        <w:ind w:left="0" w:leftChars="0" w:firstLine="420"/>
        <w:jc w:val="both"/>
        <w:textAlignment w:val="baseline"/>
        <w:rPr>
          <w:rFonts w:hint="eastAsia" w:ascii="宋体" w:hAnsi="宋体" w:eastAsia="等线" w:cs="宋体"/>
          <w:b/>
          <w:bCs/>
          <w:color w:val="000000"/>
          <w:kern w:val="2"/>
          <w:sz w:val="24"/>
          <w:szCs w:val="24"/>
          <w:highlight w:val="none"/>
          <w:lang w:val="en-US" w:eastAsia="zh-CN" w:bidi="ar-SA"/>
        </w:rPr>
      </w:pPr>
    </w:p>
    <w:tbl>
      <w:tblPr>
        <w:tblStyle w:val="22"/>
        <w:tblW w:w="91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29"/>
        <w:gridCol w:w="721"/>
        <w:gridCol w:w="766"/>
        <w:gridCol w:w="3684"/>
        <w:gridCol w:w="1466"/>
        <w:gridCol w:w="697"/>
        <w:gridCol w:w="737"/>
        <w:gridCol w:w="6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150" w:type="dxa"/>
            <w:gridSpan w:val="2"/>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left"/>
              <w:textAlignment w:val="center"/>
              <w:rPr>
                <w:rFonts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附件2-1</w:t>
            </w:r>
          </w:p>
        </w:tc>
        <w:tc>
          <w:tcPr>
            <w:tcW w:w="766" w:type="dxa"/>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left"/>
              <w:rPr>
                <w:rFonts w:hint="eastAsia" w:ascii="等线" w:hAnsi="等线" w:eastAsia="等线" w:cs="等线"/>
                <w:i w:val="0"/>
                <w:color w:val="000000"/>
                <w:sz w:val="16"/>
                <w:szCs w:val="16"/>
                <w:u w:val="none"/>
              </w:rPr>
            </w:pPr>
          </w:p>
        </w:tc>
        <w:tc>
          <w:tcPr>
            <w:tcW w:w="3684" w:type="dxa"/>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both"/>
              <w:rPr>
                <w:rFonts w:hint="eastAsia" w:ascii="等线" w:hAnsi="等线" w:eastAsia="等线" w:cs="等线"/>
                <w:i w:val="0"/>
                <w:color w:val="000000"/>
                <w:sz w:val="16"/>
                <w:szCs w:val="16"/>
                <w:u w:val="none"/>
              </w:rPr>
            </w:pPr>
          </w:p>
        </w:tc>
        <w:tc>
          <w:tcPr>
            <w:tcW w:w="1466" w:type="dxa"/>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both"/>
              <w:rPr>
                <w:rFonts w:hint="eastAsia" w:ascii="等线" w:hAnsi="等线" w:eastAsia="等线" w:cs="等线"/>
                <w:i w:val="0"/>
                <w:color w:val="000000"/>
                <w:sz w:val="16"/>
                <w:szCs w:val="16"/>
                <w:u w:val="none"/>
              </w:rPr>
            </w:pPr>
          </w:p>
        </w:tc>
        <w:tc>
          <w:tcPr>
            <w:tcW w:w="697" w:type="dxa"/>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both"/>
              <w:rPr>
                <w:rFonts w:hint="eastAsia" w:ascii="等线" w:hAnsi="等线" w:eastAsia="等线" w:cs="等线"/>
                <w:i w:val="0"/>
                <w:color w:val="000000"/>
                <w:sz w:val="16"/>
                <w:szCs w:val="16"/>
                <w:u w:val="none"/>
              </w:rPr>
            </w:pPr>
          </w:p>
        </w:tc>
        <w:tc>
          <w:tcPr>
            <w:tcW w:w="737" w:type="dxa"/>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both"/>
              <w:rPr>
                <w:rFonts w:hint="eastAsia" w:ascii="等线" w:hAnsi="等线" w:eastAsia="等线" w:cs="等线"/>
                <w:i w:val="0"/>
                <w:color w:val="000000"/>
                <w:sz w:val="16"/>
                <w:szCs w:val="16"/>
                <w:u w:val="none"/>
              </w:rPr>
            </w:pPr>
          </w:p>
        </w:tc>
        <w:tc>
          <w:tcPr>
            <w:tcW w:w="679" w:type="dxa"/>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center"/>
              <w:rPr>
                <w:rFonts w:hint="eastAsia" w:ascii="等线" w:hAnsi="等线" w:eastAsia="等线" w:cs="等线"/>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9179" w:type="dxa"/>
            <w:gridSpan w:val="8"/>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营运项目承包单位日常履约考评参照表（安全）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 w:hRule="atLeast"/>
        </w:trPr>
        <w:tc>
          <w:tcPr>
            <w:tcW w:w="42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序号</w:t>
            </w: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考评项目</w:t>
            </w:r>
          </w:p>
        </w:tc>
        <w:tc>
          <w:tcPr>
            <w:tcW w:w="76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考评分项</w:t>
            </w:r>
          </w:p>
        </w:tc>
        <w:tc>
          <w:tcPr>
            <w:tcW w:w="368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考评内容</w:t>
            </w:r>
          </w:p>
        </w:tc>
        <w:tc>
          <w:tcPr>
            <w:tcW w:w="3579"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等线" w:hAnsi="等线" w:eastAsia="等线" w:cs="等线"/>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等线" w:hAnsi="等线" w:eastAsia="等线" w:cs="等线"/>
                <w:i w:val="0"/>
                <w:color w:val="000000"/>
                <w:sz w:val="16"/>
                <w:szCs w:val="16"/>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等线" w:hAnsi="等线" w:eastAsia="等线" w:cs="等线"/>
                <w:i w:val="0"/>
                <w:color w:val="000000"/>
                <w:sz w:val="16"/>
                <w:szCs w:val="16"/>
                <w:u w:val="none"/>
              </w:rPr>
            </w:pPr>
          </w:p>
        </w:tc>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等线" w:hAnsi="等线" w:eastAsia="等线" w:cs="等线"/>
                <w:i w:val="0"/>
                <w:color w:val="000000"/>
                <w:sz w:val="16"/>
                <w:szCs w:val="16"/>
                <w:u w:val="none"/>
              </w:rPr>
            </w:pPr>
          </w:p>
        </w:tc>
        <w:tc>
          <w:tcPr>
            <w:tcW w:w="36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等线" w:hAnsi="等线" w:eastAsia="等线" w:cs="等线"/>
                <w:i w:val="0"/>
                <w:color w:val="000000"/>
                <w:sz w:val="16"/>
                <w:szCs w:val="16"/>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合同金额＜5万</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5万≤合同金额＜30万</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30万≤合同金额＜100万</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合同金额≥100万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w:t>
            </w: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安全事故</w:t>
            </w:r>
          </w:p>
        </w:tc>
        <w:tc>
          <w:tcPr>
            <w:tcW w:w="76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事故类型</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发生发生3人及以上重伤或发生1人及以上死亡或直接经济损失达200万元以上的安全生产事故</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发生重伤2人安全事故的</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扣合同金额的30%～50%；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或1万～2万</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扣合同金额的20%～30%；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或2万～4万</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扣合同金额的10%～20%；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或4万～8万</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扣合同金额的5%～10%;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3</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发生重伤1人安全事故的</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扣合同金额的20%～30%;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或5000～1万</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扣合同金额的10%～20%；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或1万～2万</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扣合同金额的5%～10%；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或2万～4万</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扣合同金额的3%～5%；</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或4万～8万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4</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发生停产、影响环境、破坏公共设施、造成不良影响等事故的</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扣合同金额的10%～20%；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或2000～3000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扣合同金额的5%～10%；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或5000～1万</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扣合同金额的3%～5%；</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或1万～2万</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扣合同金额的1%～2%；</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或2万～4万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2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5</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事故处理</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1.发生事故或事件隐瞒不报的</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2.未在1小时内向业主单位上报事故的</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3.拒绝、不配合事故事件调查的或事故事件调查提供虚假信息</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4.未按规定和程序组织事故调查和事故处理的</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5.未及时处理导致事故扩大的</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6.未落实“四不放过”的</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扣合同金额的30%～50%；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或1万～2万</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扣合同金额的20%～30%；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或2万～4万</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扣合同金额的10%～20%；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或4万～8万</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扣合同金额的5%～10%;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6</w:t>
            </w: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首次备案施工单位须提供的资料</w:t>
            </w:r>
          </w:p>
        </w:tc>
        <w:tc>
          <w:tcPr>
            <w:tcW w:w="7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一般资料</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1.施工人员签名的安全交底表（交底内容由分公司编写），被交底人员应与人员花名册一致</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2.施工单位对施工人员的三级安全教育材料</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3.特殊时期需要增加的资料（如新冠疫情期间，需要增加的人员健康码和行程码资料）</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缺资料扣合同金额的5%或500；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资料有问题扣合同金额的3%或300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缺资料扣合同金额的2%或2000；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资料有问题扣合同金额的1%或1000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缺资料扣合同金额的1%或4500；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资料有问题扣合同金额的0.4%或2000</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缺资料扣合同金额的0.4%或8000；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资料有问题扣合同金额的0.2%或4000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7</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施工方案</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4.施工方案，应满足合同要求，内容至少包括：</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施工点介绍</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施工内容（含作业流程、风险分析、施工工艺等）</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施工设备和材料（必要时含构件测试手段等）</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安全措施（根据工程特点、分公司的风险评估和施工单位的施工工艺制定）</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 xml:space="preserve">  正常施工安全物资（主要是安全防护设备、劳保用品）</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缺施工方案扣合同金额的6%或700；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资料有问题扣合同金额的3%或300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缺施工方案扣合同金额的3%或3500；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资料有问题扣合同金额的1%或1000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缺施工方案扣合同金额的1.5%或5000；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资料有问题扣合同金额的0.5%或2500</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缺施工方案扣合同金额的0.5%或1万；</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8</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应急预案</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5.应急预案，内容至少包括：</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现场情况介绍</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风险评估</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应急架构（包括应急主管人员和安全员，以及各应急小组，落实到人和联系方式）</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应急流程</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各种风险情况下的应急措施（根据现场情况、分公司的风险评估制定）</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应急物资清单</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 xml:space="preserve">  外单位救援力量及联系方式等</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缺应急预案扣合同金额的6%或700；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资料有问题扣合同金额的3%或300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缺应急预案扣合同金额的3%或3500；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资料有问题扣合同金额的1%或1000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缺应急预案扣合同金额的1.5%或5000；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资料有问题扣合同金额的0.5%或2500</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缺应急预案扣合同金额的0.5%或1万；</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4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9</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安全架构</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6.安全架构和相应安全责任制（落实到人和联系方式），可编写入施工方案内，架构人员主要包括：</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安全责任人</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施工负责人（可与安全责任人为同一个人）</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安全员</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设备、物资管理人员</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 xml:space="preserve">  关键岗位人员、特种作业人员</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缺安全架构扣合同金额的10%或2000；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缺少任何一类人员及其职责的扣合同金额的6%或700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缺安全架构扣合同金额的5%或5000；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缺少任何一类人员及其职责的扣合同金额的2%或2000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缺安全架构扣合同金额的2%或1万；</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缺少任何一类人员及其职责的扣合同金额的1%或5000</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缺安全架构扣合同金额的1%或2万；</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10</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人员资质</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7.施工人员花名册，人员应包含：</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施工负责人（需要施工管理人员资格证书）</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安全员（涉及动火、临时用电、有限空间、高空、抽堵盲板、吊装、动土、断路、设备检修等9大危险作业的，安全员需要有安全员证）</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特种作业人员（附证件号，同时要复印特种作业证，特种作业人数应满足合同要求）</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一般施工人员</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可能需要进入厂区的其他人员（如监理人员、资料员等）</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注：如作业涉及危险作业，作业人员须有作业人员岗前职业病体检和筛选</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缺花名册扣合同金额的5%或500；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缺特种作业人员或特种作业人员不满足合同要求，扣合同金额的5%或500；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其他人员或资料有缺漏扣合同金额的3%或300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缺花名册扣合同金额的2%或2000；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缺特种作业人员或特种作业人员不满足合同要求，扣合同金额的2%或2000；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其他人员或资料有缺漏扣合同金额的1%或1000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缺花名册扣合同金额的1%或4500；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缺特种作业人员或特种作业人员不满足合同要求，扣合同金额的1%或4500；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其他人员或资料有缺漏扣合同金额的0.4%或2000</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缺花名册扣合同金额的0.4%或8000；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缺特种作业人员或特种作业人员不满足合同要求，扣合同金额的0.4%或8000；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其他人员或资料有缺漏扣合同金额的0.2%或4000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11</w:t>
            </w: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施工现场管理</w:t>
            </w:r>
          </w:p>
        </w:tc>
        <w:tc>
          <w:tcPr>
            <w:tcW w:w="7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现场面貌</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1.施工现场未开展有效围蔽</w:t>
            </w:r>
          </w:p>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2.无七牌一图或有缺漏（七牌：工程概况牌：管理人员名单及监督电话牌、现场事故应急救援预案公示牌、安全生产牌、文明施工牌、消防保卫牌、环境保护牌；一图：施工现场平面图）</w:t>
            </w:r>
          </w:p>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3.现场无危险源公示、告知及相应警示</w:t>
            </w:r>
          </w:p>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4.材料堆放存在重大隐患</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扣合同金额的6%或700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扣合同金额的3%或3500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扣合同金额的1.5%或5000</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12</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施工管理</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1.现场未按施工方案落实安全防范措施的</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2.危险作业未经业主人员审批先行施工的</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3.未按施工方案施工的</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扣合同金额的10%或2000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扣合同金额的5%或5000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扣合同金额的2%或1万</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13</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每日安全交底</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1.缺少书面交底、未留存书面资料或交底资料缺少交底人、被交底人及安全员签字的</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2.内容未结合当天的现场状况、特点、工序，对危险因素、施工内容、安全作业和应急措施进行交底的</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14</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作业行为管理</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1.违反9大危险作业相关作业规范的</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2.现场存在违章作业、违章指挥等违反相关安全管理规定或制度的</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3.人员错误使用劳保用品3次以上的</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扣合同金额的6%或700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扣合同金额的3%或3500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扣合同金额的1.5%或5000</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15</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安全记录</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未按施工要求开展现场记录或记录内容有缺失</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16</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应急管理</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1.未设置应急物资点，未统一存放应急物资</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2.应急物资点无应急物资清单或无应急物资每日检查表</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3.无开展日常应急培训、训练、演练或无资料留档的</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17</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人员管理</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人员变更无完善的手续及资料的</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18</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隐患管理</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未及时对发现的隐患开展整改的</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扣合同金额的5%或500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扣合同金额的2%或2000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扣合同金额的1%或4500</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扣合同金额的0.4%或8000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19</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其他</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违反业主或上级主管部门提出的其他管理要求、文件、规定或拒不执行的</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扣合同金额的3%～5%；</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或300～500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扣合同金额的1%～2%；</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或1000～2000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扣合同金额的0.5%～1%；</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或2500～4500</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扣合同金额的0.3%～0.4%；</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或5000～8000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20</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0" w:hRule="atLeast"/>
        </w:trPr>
        <w:tc>
          <w:tcPr>
            <w:tcW w:w="9179" w:type="dxa"/>
            <w:gridSpan w:val="8"/>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cs="Times New Roman"/>
                <w:sz w:val="13"/>
                <w:szCs w:val="13"/>
                <w:lang w:val="en-US" w:eastAsia="zh-CN"/>
              </w:rPr>
            </w:pPr>
            <w:r>
              <w:rPr>
                <w:rFonts w:hint="eastAsia" w:cs="Times New Roman"/>
                <w:sz w:val="13"/>
                <w:szCs w:val="13"/>
                <w:lang w:val="en-US" w:eastAsia="zh-CN"/>
              </w:rPr>
              <w:t>注：1、与安全管理相关的考评内容具体考评标准内容参照广州市净水有限公司标准《工程项目安全管理规范》（Q/GZJSA 1-2021）执行。</w:t>
            </w:r>
          </w:p>
          <w:p>
            <w:pPr>
              <w:widowControl w:val="0"/>
              <w:numPr>
                <w:ilvl w:val="0"/>
                <w:numId w:val="0"/>
              </w:numPr>
              <w:spacing w:after="0" w:line="240" w:lineRule="auto"/>
              <w:ind w:firstLine="0" w:firstLineChars="0"/>
              <w:contextualSpacing/>
              <w:jc w:val="left"/>
              <w:rPr>
                <w:rFonts w:hint="eastAsia" w:ascii="仿宋_GB2312" w:hAnsi="仿宋_GB2312" w:eastAsia="仿宋_GB2312" w:cs="仿宋_GB2312"/>
                <w:color w:val="000000"/>
                <w:sz w:val="13"/>
                <w:szCs w:val="13"/>
                <w:highlight w:val="none"/>
                <w:lang w:val="en-US" w:eastAsia="zh-CN"/>
              </w:rPr>
            </w:pPr>
            <w:r>
              <w:rPr>
                <w:rFonts w:hint="eastAsia" w:ascii="仿宋_GB2312" w:hAnsi="仿宋_GB2312" w:eastAsia="仿宋_GB2312" w:cs="仿宋_GB2312"/>
                <w:color w:val="000000"/>
                <w:sz w:val="13"/>
                <w:szCs w:val="13"/>
                <w:highlight w:val="none"/>
                <w:lang w:val="en-US" w:eastAsia="zh-CN"/>
              </w:rPr>
              <w:t>2.本处理标准出自</w:t>
            </w:r>
            <w:r>
              <w:rPr>
                <w:rFonts w:hint="eastAsia" w:ascii="仿宋_GB2312" w:hAnsi="仿宋_GB2312" w:eastAsia="仿宋_GB2312" w:cs="仿宋_GB2312"/>
                <w:color w:val="000000"/>
                <w:sz w:val="13"/>
                <w:szCs w:val="13"/>
                <w:highlight w:val="none"/>
              </w:rPr>
              <w:t>《</w:t>
            </w:r>
            <w:r>
              <w:rPr>
                <w:rFonts w:hint="eastAsia" w:ascii="宋体" w:hAnsi="宋体" w:eastAsia="宋体" w:cs="宋体"/>
                <w:color w:val="000000"/>
                <w:sz w:val="13"/>
                <w:szCs w:val="13"/>
                <w:highlight w:val="none"/>
                <w:lang w:eastAsia="zh-CN"/>
              </w:rPr>
              <w:t>广州净水公司工程项目承包单位质量安全考评细则（试行）</w:t>
            </w:r>
            <w:r>
              <w:rPr>
                <w:rFonts w:hint="eastAsia" w:ascii="仿宋_GB2312" w:hAnsi="仿宋_GB2312" w:eastAsia="仿宋_GB2312" w:cs="仿宋_GB2312"/>
                <w:color w:val="000000"/>
                <w:sz w:val="13"/>
                <w:szCs w:val="13"/>
                <w:highlight w:val="none"/>
              </w:rPr>
              <w:t>》</w:t>
            </w:r>
            <w:r>
              <w:rPr>
                <w:rFonts w:hint="eastAsia" w:ascii="仿宋_GB2312" w:hAnsi="仿宋_GB2312" w:eastAsia="仿宋_GB2312" w:cs="仿宋_GB2312"/>
                <w:color w:val="000000"/>
                <w:sz w:val="13"/>
                <w:szCs w:val="13"/>
                <w:highlight w:val="none"/>
                <w:lang w:eastAsia="zh-CN"/>
              </w:rPr>
              <w:t>。</w:t>
            </w:r>
          </w:p>
          <w:p>
            <w:pPr>
              <w:widowControl w:val="0"/>
              <w:adjustRightInd w:val="0"/>
              <w:spacing w:after="120" w:line="360" w:lineRule="auto"/>
              <w:ind w:left="0" w:leftChars="0" w:firstLine="420"/>
              <w:jc w:val="both"/>
              <w:textAlignment w:val="baseline"/>
              <w:rPr>
                <w:rFonts w:hint="eastAsia" w:ascii="Calibri" w:hAnsi="Calibri" w:eastAsia="等线" w:cs="Times New Roman"/>
                <w:color w:val="000000"/>
                <w:kern w:val="2"/>
                <w:sz w:val="21"/>
                <w:szCs w:val="24"/>
                <w:lang w:val="en-US" w:eastAsia="zh-CN" w:bidi="ar-SA"/>
              </w:rPr>
            </w:pPr>
          </w:p>
        </w:tc>
      </w:tr>
    </w:tbl>
    <w:p>
      <w:pPr>
        <w:widowControl w:val="0"/>
        <w:adjustRightInd w:val="0"/>
        <w:spacing w:after="120" w:line="360" w:lineRule="auto"/>
        <w:ind w:left="0" w:leftChars="0" w:firstLine="0" w:firstLineChars="0"/>
        <w:jc w:val="both"/>
        <w:textAlignment w:val="baseline"/>
        <w:rPr>
          <w:rFonts w:hint="eastAsia" w:ascii="宋体" w:hAnsi="宋体" w:eastAsia="等线" w:cs="宋体"/>
          <w:b/>
          <w:bCs/>
          <w:color w:val="000000"/>
          <w:kern w:val="2"/>
          <w:sz w:val="24"/>
          <w:szCs w:val="24"/>
          <w:highlight w:val="none"/>
          <w:lang w:val="en-US" w:eastAsia="zh-CN" w:bidi="ar-SA"/>
        </w:rPr>
      </w:pPr>
    </w:p>
    <w:tbl>
      <w:tblPr>
        <w:tblStyle w:val="22"/>
        <w:tblW w:w="96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44"/>
        <w:gridCol w:w="454"/>
        <w:gridCol w:w="495"/>
        <w:gridCol w:w="2770"/>
        <w:gridCol w:w="1716"/>
        <w:gridCol w:w="900"/>
        <w:gridCol w:w="867"/>
        <w:gridCol w:w="700"/>
        <w:gridCol w:w="600"/>
        <w:gridCol w:w="559"/>
        <w:gridCol w:w="2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798" w:type="dxa"/>
            <w:gridSpan w:val="2"/>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left"/>
              <w:textAlignment w:val="center"/>
              <w:rPr>
                <w:rFonts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附件2-2</w:t>
            </w:r>
          </w:p>
        </w:tc>
        <w:tc>
          <w:tcPr>
            <w:tcW w:w="495" w:type="dxa"/>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left"/>
              <w:rPr>
                <w:rFonts w:hint="eastAsia" w:ascii="等线" w:hAnsi="等线" w:eastAsia="等线" w:cs="等线"/>
                <w:i w:val="0"/>
                <w:color w:val="000000"/>
                <w:sz w:val="16"/>
                <w:szCs w:val="16"/>
                <w:u w:val="none"/>
              </w:rPr>
            </w:pPr>
          </w:p>
        </w:tc>
        <w:tc>
          <w:tcPr>
            <w:tcW w:w="2770" w:type="dxa"/>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both"/>
              <w:rPr>
                <w:rFonts w:hint="eastAsia" w:ascii="等线" w:hAnsi="等线" w:eastAsia="等线" w:cs="等线"/>
                <w:i w:val="0"/>
                <w:color w:val="000000"/>
                <w:sz w:val="16"/>
                <w:szCs w:val="16"/>
                <w:u w:val="none"/>
              </w:rPr>
            </w:pPr>
          </w:p>
        </w:tc>
        <w:tc>
          <w:tcPr>
            <w:tcW w:w="1716" w:type="dxa"/>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both"/>
              <w:rPr>
                <w:rFonts w:hint="eastAsia" w:ascii="等线" w:hAnsi="等线" w:eastAsia="等线" w:cs="等线"/>
                <w:i w:val="0"/>
                <w:color w:val="000000"/>
                <w:sz w:val="16"/>
                <w:szCs w:val="16"/>
                <w:u w:val="none"/>
              </w:rPr>
            </w:pPr>
          </w:p>
        </w:tc>
        <w:tc>
          <w:tcPr>
            <w:tcW w:w="900" w:type="dxa"/>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both"/>
              <w:rPr>
                <w:rFonts w:hint="eastAsia" w:ascii="等线" w:hAnsi="等线" w:eastAsia="等线" w:cs="等线"/>
                <w:i w:val="0"/>
                <w:color w:val="000000"/>
                <w:sz w:val="16"/>
                <w:szCs w:val="16"/>
                <w:u w:val="none"/>
              </w:rPr>
            </w:pPr>
          </w:p>
        </w:tc>
        <w:tc>
          <w:tcPr>
            <w:tcW w:w="867" w:type="dxa"/>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both"/>
              <w:rPr>
                <w:rFonts w:hint="eastAsia" w:ascii="等线" w:hAnsi="等线" w:eastAsia="等线" w:cs="等线"/>
                <w:i w:val="0"/>
                <w:color w:val="000000"/>
                <w:sz w:val="16"/>
                <w:szCs w:val="16"/>
                <w:u w:val="none"/>
              </w:rPr>
            </w:pPr>
          </w:p>
        </w:tc>
        <w:tc>
          <w:tcPr>
            <w:tcW w:w="700" w:type="dxa"/>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both"/>
              <w:rPr>
                <w:rFonts w:hint="eastAsia" w:ascii="等线" w:hAnsi="等线" w:eastAsia="等线" w:cs="等线"/>
                <w:i w:val="0"/>
                <w:color w:val="000000"/>
                <w:sz w:val="16"/>
                <w:szCs w:val="16"/>
                <w:u w:val="none"/>
              </w:rPr>
            </w:pPr>
          </w:p>
        </w:tc>
        <w:tc>
          <w:tcPr>
            <w:tcW w:w="1159" w:type="dxa"/>
            <w:gridSpan w:val="2"/>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both"/>
              <w:rPr>
                <w:rFonts w:hint="eastAsia" w:ascii="等线" w:hAnsi="等线" w:eastAsia="等线" w:cs="等线"/>
                <w:i w:val="0"/>
                <w:color w:val="000000"/>
                <w:sz w:val="16"/>
                <w:szCs w:val="16"/>
                <w:u w:val="none"/>
              </w:rPr>
            </w:pPr>
          </w:p>
        </w:tc>
        <w:tc>
          <w:tcPr>
            <w:tcW w:w="240" w:type="dxa"/>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both"/>
              <w:rPr>
                <w:rFonts w:hint="eastAsia" w:ascii="等线" w:hAnsi="等线" w:eastAsia="等线" w:cs="等线"/>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9645" w:type="dxa"/>
            <w:gridSpan w:val="11"/>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营运项目承包单位综合履约考评表（安全）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4063" w:type="dxa"/>
            <w:gridSpan w:val="4"/>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项目名称：</w:t>
            </w:r>
          </w:p>
        </w:tc>
        <w:tc>
          <w:tcPr>
            <w:tcW w:w="1716" w:type="dxa"/>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center"/>
              <w:rPr>
                <w:rFonts w:hint="eastAsia" w:ascii="等线" w:hAnsi="等线" w:eastAsia="等线" w:cs="等线"/>
                <w:b/>
                <w:i w:val="0"/>
                <w:color w:val="000000"/>
                <w:sz w:val="16"/>
                <w:szCs w:val="16"/>
                <w:u w:val="none"/>
              </w:rPr>
            </w:pPr>
          </w:p>
        </w:tc>
        <w:tc>
          <w:tcPr>
            <w:tcW w:w="3866" w:type="dxa"/>
            <w:gridSpan w:val="6"/>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综合考评日期：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34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序号</w:t>
            </w:r>
          </w:p>
        </w:tc>
        <w:tc>
          <w:tcPr>
            <w:tcW w:w="45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考评分项</w:t>
            </w:r>
          </w:p>
        </w:tc>
        <w:tc>
          <w:tcPr>
            <w:tcW w:w="277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考评内容</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考评标准</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监理单位考评</w:t>
            </w:r>
          </w:p>
        </w:tc>
        <w:tc>
          <w:tcPr>
            <w:tcW w:w="86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分公司考评</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公司考评</w:t>
            </w:r>
          </w:p>
        </w:tc>
        <w:tc>
          <w:tcPr>
            <w:tcW w:w="79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综合考评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3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业务主管部门</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安全管理部门</w:t>
            </w:r>
          </w:p>
        </w:tc>
        <w:tc>
          <w:tcPr>
            <w:tcW w:w="7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96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一、加分部分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w:t>
            </w:r>
          </w:p>
        </w:tc>
        <w:tc>
          <w:tcPr>
            <w:tcW w:w="94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综合管理</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受到业主单位或上级管理部门通报表扬的</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加5～10分/项，可叠加</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w:t>
            </w:r>
          </w:p>
        </w:tc>
        <w:tc>
          <w:tcPr>
            <w:tcW w:w="94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现场管理</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积极配合业主单位做好安全工作及相关宣传教育，积极主动排查隐患的</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加5分/项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0" w:hRule="atLeast"/>
        </w:trPr>
        <w:tc>
          <w:tcPr>
            <w:tcW w:w="96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二、扣分部分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3</w:t>
            </w:r>
          </w:p>
        </w:tc>
        <w:tc>
          <w:tcPr>
            <w:tcW w:w="45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事故类型</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发生重伤1人及以上安全事故，或直接经济损失达200万元以上的安全生产事故</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扣100分/项，同时3年内禁止来我公司投标</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6</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发生停产、影响环境、破坏公共设施、造成不良影响等事故的</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扣40分/项，可叠加，到达100分，3年内禁止来我公司投标</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7</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事故处理</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1.发生事故或事件隐瞒不报的</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2.未在1小时内向业主单位上报事故的</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3.拒绝、不配合事故事件调查的或事故事件调查提供虚假信息</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4.未按规定和程序组织事故调查和事故处理的</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5.未及时处理导致事故扩大的</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6.未落实“四不放过”的</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扣100分/项，同时3年内禁止来我公司投标</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8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8</w:t>
            </w:r>
          </w:p>
        </w:tc>
        <w:tc>
          <w:tcPr>
            <w:tcW w:w="45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一般资料</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1.施工人员签名的安全交底表（交底内容由分公司编写），被交底人员应与人员花名册一致</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2.施工单位对施工人员的三级安全教育材料</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3.特殊时期需要增加的资料（如新冠疫情期间，需要增加的人员健康码和行程码资料）</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缺资料扣3～5分/项；</w:t>
            </w:r>
          </w:p>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资料有问题扣1～3分/项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9</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施工方案</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4.施工方案，应满足合同要求，内容至少包括：</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施工点介绍</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施工内容（含作业流程、风险分析、施工工艺等）</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施工设备和材料（必要时含构件测试手段等）</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安全措施（根据工程特点、分公司的风险评估和施工单位的施工工艺制定）</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 xml:space="preserve">  正常施工安全物资（主要是安全防护设备、劳保用品）</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缺施工方案扣4～8分/项；</w:t>
            </w:r>
          </w:p>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资料有问题扣1～3分/项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7"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10</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应急预案</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5.应急预案，内容至少包括：</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现场情况介绍</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风险评估</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应急架构（包括应急主管人员和安全员，以及各应急小组，落实到人和联系方式）</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应急流程</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各种风险情况下的应急措施（根据现场情况、分公司的风险评估制定）</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应急物资清单</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 xml:space="preserve">  外单位救援力量及联系方式等</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缺应急预案扣4～8分/项；</w:t>
            </w:r>
          </w:p>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资料有问题扣1～3分/项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2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11</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安全架构</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6.安全架构和相应安全责任制（落实到人和联系方式），可编写入施工方案内，架构人员主要包括：</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安全责任人</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施工负责人（可与安全责任人为同一个人）</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安全员</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设备、物资管理人员</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 xml:space="preserve">  关键岗位人员、特种作业人员</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缺安全架构扣5～10分/项；</w:t>
            </w:r>
          </w:p>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缺任何一类人员及其职责有问题扣2～4分/项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2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12</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人员资质</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7.施工人员花名册，人员应包含：</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施工负责人（需要施工管理人员资格证书）</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安全员（涉及动火、临时用电、有限空间、高空、抽堵盲板、吊装、动土、断路、设备检修等9大危险作业的，安全员需要有安全员证）</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特种作业人员（附证件号，同时要复印特种作业证，特种作业人数应满足合同要求）</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一般施工人员</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可能需要进入厂区的其他人员（如监理人员、资料员等）</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注：如作业涉及危险作业，作业人员须有作业人员岗前职业病体检和筛选</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缺花名册扣3～5分/项；</w:t>
            </w:r>
          </w:p>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缺特种作业人员或特种作业人员不满足合同要求扣3～5分/项；</w:t>
            </w:r>
          </w:p>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其他人员或资料有缺漏扣1～3分/项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56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13</w:t>
            </w:r>
          </w:p>
        </w:tc>
        <w:tc>
          <w:tcPr>
            <w:tcW w:w="45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施工现场管理</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现场面貌</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1.施工现场未开展有效围蔽</w:t>
            </w:r>
          </w:p>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2.无七牌一图或有缺漏（七牌：工程概况牌：管理人员名单及监督电话牌、现场事故应急救援预案公示牌、安全生产牌、文明施工牌、消防保卫牌、环境保护牌；一图：施工现场平面图）</w:t>
            </w:r>
          </w:p>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3.现场无危险源公示、告知及相应警示</w:t>
            </w:r>
          </w:p>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4.材料堆放存在重大隐患</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14</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施工管理</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1.现场未按施工方案落实安全防范措施的</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2.危险作业未经业主人员审批先行施工的</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3.未按施工方案施工的</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扣3～5分/项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6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15</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每日安全交底</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1.缺少书面交底、未留存书面资料或交底资料缺少交底人、被交底人及安全员签字的</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2.内容未结合当天的现场状况、特点、工序，对危险因素、施工内容、安全作业和应急措施进行交底的</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0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16</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作业行为管理</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1.违反9大危险作业相关作业规范的</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2.现场存在违章作业、违章指挥等违反相关安全管理规定或制度的</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3.人员错误使用劳保用品3次以上的</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扣3～5分/项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17</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安全记录</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未按施工要求开展现场记录或记录内容有缺失</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18</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应急管理</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1.未设置应急物资点，未统一存放应急物资</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2.应急物资点无应急物资清单或无应急物资每日检查表</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3.无开展日常应急培训、训练、演练或无资料留档的</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19</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人员管理</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人员变更无完善的手续及资料的</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扣3～5分/项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20</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隐患管理</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未及时对发现的隐患开展整改的</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扣4～8分/项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21</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其他</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违反业主或上级主管部门提出的其他管理要求、文件、规定或拒不执行的</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扣2～5分/项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22</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9645" w:type="dxa"/>
            <w:gridSpan w:val="11"/>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cs="Times New Roman"/>
                <w:sz w:val="13"/>
                <w:szCs w:val="13"/>
                <w:lang w:val="en-US" w:eastAsia="zh-CN"/>
              </w:rPr>
            </w:pPr>
            <w:r>
              <w:rPr>
                <w:rFonts w:hint="eastAsia" w:cs="Times New Roman"/>
                <w:sz w:val="13"/>
                <w:szCs w:val="13"/>
                <w:lang w:val="en-US" w:eastAsia="zh-CN"/>
              </w:rPr>
              <w:t>注：1、综合考评满分100分，各考评项目扣分不设上限；</w:t>
            </w:r>
          </w:p>
          <w:p>
            <w:pPr>
              <w:keepNext w:val="0"/>
              <w:keepLines w:val="0"/>
              <w:widowControl/>
              <w:suppressLineNumbers w:val="0"/>
              <w:spacing w:after="0" w:line="240" w:lineRule="auto"/>
              <w:jc w:val="left"/>
              <w:textAlignment w:val="center"/>
              <w:rPr>
                <w:rFonts w:hint="eastAsia" w:cs="Times New Roman"/>
                <w:sz w:val="13"/>
                <w:szCs w:val="13"/>
                <w:lang w:val="en-US" w:eastAsia="zh-CN"/>
              </w:rPr>
            </w:pPr>
            <w:r>
              <w:rPr>
                <w:rFonts w:hint="eastAsia" w:cs="Times New Roman"/>
                <w:sz w:val="13"/>
                <w:szCs w:val="13"/>
                <w:lang w:val="en-US" w:eastAsia="zh-CN"/>
              </w:rPr>
              <w:t xml:space="preserve">    2、监理单位考评只作为参考及履职依据，不计入考评，无监理单位不需填写；</w:t>
            </w:r>
          </w:p>
          <w:p>
            <w:pPr>
              <w:keepNext w:val="0"/>
              <w:keepLines w:val="0"/>
              <w:widowControl/>
              <w:suppressLineNumbers w:val="0"/>
              <w:spacing w:after="0" w:line="240" w:lineRule="auto"/>
              <w:jc w:val="left"/>
              <w:textAlignment w:val="center"/>
              <w:rPr>
                <w:rFonts w:hint="eastAsia" w:cs="Times New Roman"/>
                <w:sz w:val="13"/>
                <w:szCs w:val="13"/>
                <w:lang w:val="en-US" w:eastAsia="zh-CN"/>
              </w:rPr>
            </w:pPr>
            <w:r>
              <w:rPr>
                <w:rFonts w:hint="eastAsia" w:cs="Times New Roman"/>
                <w:sz w:val="13"/>
                <w:szCs w:val="13"/>
                <w:lang w:val="en-US" w:eastAsia="zh-CN"/>
              </w:rPr>
              <w:t xml:space="preserve">    3、“公司考评”业务主管部门和安全办针对本部门检查发现的内容进行扣（奖）分，项目部已经进行扣（奖）分的不重复执行；</w:t>
            </w:r>
          </w:p>
          <w:p>
            <w:pPr>
              <w:keepNext w:val="0"/>
              <w:keepLines w:val="0"/>
              <w:widowControl/>
              <w:suppressLineNumbers w:val="0"/>
              <w:spacing w:after="0" w:line="240" w:lineRule="auto"/>
              <w:jc w:val="left"/>
              <w:textAlignment w:val="center"/>
              <w:rPr>
                <w:rFonts w:hint="eastAsia" w:cs="Times New Roman"/>
                <w:sz w:val="13"/>
                <w:szCs w:val="13"/>
                <w:lang w:val="en-US" w:eastAsia="zh-CN"/>
              </w:rPr>
            </w:pPr>
            <w:r>
              <w:rPr>
                <w:rFonts w:hint="eastAsia" w:cs="Times New Roman"/>
                <w:sz w:val="13"/>
                <w:szCs w:val="13"/>
                <w:lang w:val="en-US" w:eastAsia="zh-CN"/>
              </w:rPr>
              <w:t xml:space="preserve">    4、各分公司考评填写相应的得（扣）分数值，如奖2分则填写“2”，扣2分则填写“-2”；</w:t>
            </w:r>
          </w:p>
          <w:p>
            <w:pPr>
              <w:keepNext w:val="0"/>
              <w:keepLines w:val="0"/>
              <w:widowControl/>
              <w:suppressLineNumbers w:val="0"/>
              <w:spacing w:after="0" w:line="240" w:lineRule="auto"/>
              <w:jc w:val="left"/>
              <w:textAlignment w:val="center"/>
              <w:rPr>
                <w:rFonts w:hint="eastAsia" w:cs="Times New Roman"/>
                <w:sz w:val="13"/>
                <w:szCs w:val="13"/>
                <w:lang w:val="en-US" w:eastAsia="zh-CN"/>
              </w:rPr>
            </w:pPr>
            <w:r>
              <w:rPr>
                <w:rFonts w:hint="eastAsia" w:cs="Times New Roman"/>
                <w:sz w:val="13"/>
                <w:szCs w:val="13"/>
                <w:lang w:val="en-US" w:eastAsia="zh-CN"/>
              </w:rPr>
              <w:t xml:space="preserve">    5、单项“综合考评”=项目部考评+公司考评；综合考评总分=各单项“综合考评”+100</w:t>
            </w:r>
          </w:p>
          <w:p>
            <w:pPr>
              <w:keepNext w:val="0"/>
              <w:keepLines w:val="0"/>
              <w:widowControl/>
              <w:suppressLineNumbers w:val="0"/>
              <w:spacing w:after="0" w:line="240" w:lineRule="auto"/>
              <w:jc w:val="left"/>
              <w:textAlignment w:val="center"/>
              <w:rPr>
                <w:rFonts w:hint="eastAsia" w:cs="Times New Roman"/>
                <w:sz w:val="13"/>
                <w:szCs w:val="13"/>
                <w:lang w:val="en-US" w:eastAsia="zh-CN"/>
              </w:rPr>
            </w:pPr>
            <w:r>
              <w:rPr>
                <w:rFonts w:hint="eastAsia" w:cs="Times New Roman"/>
                <w:sz w:val="13"/>
                <w:szCs w:val="13"/>
                <w:lang w:val="en-US" w:eastAsia="zh-CN"/>
              </w:rPr>
              <w:t xml:space="preserve">    6、最后得分=综合考评总分X类别系数；</w:t>
            </w:r>
          </w:p>
          <w:p>
            <w:pPr>
              <w:keepNext w:val="0"/>
              <w:keepLines w:val="0"/>
              <w:widowControl/>
              <w:suppressLineNumbers w:val="0"/>
              <w:spacing w:after="0" w:line="240" w:lineRule="auto"/>
              <w:jc w:val="left"/>
              <w:textAlignment w:val="center"/>
              <w:rPr>
                <w:rFonts w:hint="eastAsia" w:cs="Times New Roman"/>
                <w:sz w:val="13"/>
                <w:szCs w:val="13"/>
                <w:lang w:val="en-US" w:eastAsia="zh-CN"/>
              </w:rPr>
            </w:pPr>
            <w:r>
              <w:rPr>
                <w:rFonts w:hint="eastAsia" w:cs="Times New Roman"/>
                <w:sz w:val="13"/>
                <w:szCs w:val="13"/>
                <w:lang w:val="en-US" w:eastAsia="zh-CN"/>
              </w:rPr>
              <w:t xml:space="preserve">    7、各考评项目具体考评标准内容参照广州市净水有限公司标准《工程项目安全管理规范》（Q/GZJSA 1-2021）执行。 </w:t>
            </w:r>
          </w:p>
          <w:p>
            <w:pPr>
              <w:widowControl w:val="0"/>
              <w:numPr>
                <w:ilvl w:val="0"/>
                <w:numId w:val="0"/>
              </w:numPr>
              <w:spacing w:after="0" w:line="240" w:lineRule="auto"/>
              <w:ind w:firstLine="260" w:firstLineChars="200"/>
              <w:contextualSpacing/>
              <w:jc w:val="left"/>
              <w:rPr>
                <w:rFonts w:hint="eastAsia" w:ascii="仿宋_GB2312" w:hAnsi="仿宋_GB2312" w:eastAsia="仿宋_GB2312" w:cs="仿宋_GB2312"/>
                <w:color w:val="000000"/>
                <w:sz w:val="13"/>
                <w:szCs w:val="13"/>
                <w:highlight w:val="none"/>
                <w:lang w:val="en-US" w:eastAsia="zh-CN"/>
              </w:rPr>
            </w:pPr>
            <w:r>
              <w:rPr>
                <w:rFonts w:hint="eastAsia" w:ascii="仿宋_GB2312" w:hAnsi="仿宋_GB2312" w:eastAsia="仿宋_GB2312" w:cs="仿宋_GB2312"/>
                <w:color w:val="000000"/>
                <w:sz w:val="13"/>
                <w:szCs w:val="13"/>
                <w:highlight w:val="none"/>
                <w:lang w:val="en-US" w:eastAsia="zh-CN"/>
              </w:rPr>
              <w:t>8、本处理标准出自</w:t>
            </w:r>
            <w:r>
              <w:rPr>
                <w:rFonts w:hint="eastAsia" w:ascii="仿宋_GB2312" w:hAnsi="仿宋_GB2312" w:eastAsia="仿宋_GB2312" w:cs="仿宋_GB2312"/>
                <w:color w:val="000000"/>
                <w:sz w:val="13"/>
                <w:szCs w:val="13"/>
                <w:highlight w:val="none"/>
              </w:rPr>
              <w:t>《</w:t>
            </w:r>
            <w:r>
              <w:rPr>
                <w:rFonts w:hint="eastAsia" w:ascii="宋体" w:hAnsi="宋体" w:eastAsia="宋体" w:cs="宋体"/>
                <w:color w:val="000000"/>
                <w:sz w:val="13"/>
                <w:szCs w:val="13"/>
                <w:highlight w:val="none"/>
                <w:lang w:eastAsia="zh-CN"/>
              </w:rPr>
              <w:t>广州净水公司工程项目承包单位质量安全考评细则（试行）</w:t>
            </w:r>
            <w:r>
              <w:rPr>
                <w:rFonts w:hint="eastAsia" w:ascii="仿宋_GB2312" w:hAnsi="仿宋_GB2312" w:eastAsia="仿宋_GB2312" w:cs="仿宋_GB2312"/>
                <w:color w:val="000000"/>
                <w:sz w:val="13"/>
                <w:szCs w:val="13"/>
                <w:highlight w:val="none"/>
              </w:rPr>
              <w:t>》</w:t>
            </w:r>
            <w:r>
              <w:rPr>
                <w:rFonts w:hint="eastAsia" w:ascii="仿宋_GB2312" w:hAnsi="仿宋_GB2312" w:eastAsia="仿宋_GB2312" w:cs="仿宋_GB2312"/>
                <w:color w:val="000000"/>
                <w:sz w:val="13"/>
                <w:szCs w:val="13"/>
                <w:highlight w:val="none"/>
                <w:lang w:eastAsia="zh-CN"/>
              </w:rPr>
              <w:t>。</w:t>
            </w:r>
          </w:p>
          <w:p>
            <w:pPr>
              <w:widowControl w:val="0"/>
              <w:adjustRightInd w:val="0"/>
              <w:spacing w:after="120" w:line="360" w:lineRule="auto"/>
              <w:ind w:left="0" w:leftChars="0" w:firstLine="420"/>
              <w:jc w:val="both"/>
              <w:textAlignment w:val="baseline"/>
              <w:rPr>
                <w:rFonts w:hint="eastAsia" w:ascii="Calibri" w:hAnsi="Calibri" w:eastAsia="等线" w:cs="Times New Roman"/>
                <w:color w:val="000000"/>
                <w:kern w:val="2"/>
                <w:sz w:val="21"/>
                <w:szCs w:val="24"/>
                <w:lang w:val="en-US" w:eastAsia="zh-CN" w:bidi="ar-SA"/>
              </w:rPr>
            </w:pPr>
          </w:p>
        </w:tc>
      </w:tr>
    </w:tbl>
    <w:p>
      <w:pPr>
        <w:contextualSpacing/>
        <w:jc w:val="left"/>
        <w:rPr>
          <w:rFonts w:hint="eastAsia" w:ascii="仿宋_GB2312" w:hAnsi="仿宋_GB2312" w:eastAsia="仿宋_GB2312" w:cs="仿宋_GB2312"/>
          <w:szCs w:val="21"/>
        </w:rPr>
      </w:pPr>
    </w:p>
    <w:p>
      <w:pPr>
        <w:contextualSpacing/>
        <w:jc w:val="left"/>
        <w:rPr>
          <w:rFonts w:hint="eastAsia" w:ascii="仿宋_GB2312" w:hAnsi="仿宋_GB2312" w:eastAsia="仿宋_GB2312" w:cs="仿宋_GB2312"/>
          <w:szCs w:val="21"/>
        </w:rPr>
      </w:pPr>
      <w:r>
        <w:rPr>
          <w:rFonts w:hint="eastAsia" w:ascii="仿宋_GB2312" w:hAnsi="仿宋_GB2312" w:eastAsia="仿宋_GB2312" w:cs="仿宋_GB2312"/>
          <w:szCs w:val="21"/>
        </w:rPr>
        <w:t>备注：本处理标准出自</w:t>
      </w:r>
      <w:r>
        <w:rPr>
          <w:rFonts w:hint="eastAsia" w:ascii="仿宋_GB2312" w:hAnsi="仿宋_GB2312" w:eastAsia="仿宋_GB2312" w:cs="仿宋_GB2312"/>
          <w:color w:val="000000"/>
          <w:szCs w:val="21"/>
        </w:rPr>
        <w:t>《广州市净水有限公司经营建设项目参建企业不诚信行为管理办法》。</w:t>
      </w:r>
    </w:p>
    <w:p>
      <w:pPr>
        <w:spacing w:line="360" w:lineRule="auto"/>
        <w:rPr>
          <w:rFonts w:ascii="宋体" w:hAnsi="宋体" w:cs="宋体"/>
          <w:b/>
          <w:szCs w:val="21"/>
        </w:rPr>
      </w:pPr>
      <w:r>
        <w:rPr>
          <w:rFonts w:hint="eastAsia" w:ascii="宋体" w:hAnsi="宋体" w:cs="宋体"/>
          <w:b/>
          <w:szCs w:val="21"/>
        </w:rPr>
        <w:br w:type="page"/>
      </w:r>
      <w:r>
        <w:rPr>
          <w:rFonts w:hint="eastAsia" w:ascii="宋体" w:hAnsi="宋体" w:cs="宋体"/>
          <w:b/>
          <w:szCs w:val="21"/>
        </w:rPr>
        <w:t>附件3：</w:t>
      </w:r>
      <w:bookmarkEnd w:id="99"/>
      <w:bookmarkEnd w:id="100"/>
      <w:bookmarkEnd w:id="101"/>
      <w:r>
        <w:rPr>
          <w:rFonts w:hint="eastAsia" w:ascii="宋体" w:hAnsi="宋体" w:cs="宋体"/>
          <w:b/>
          <w:szCs w:val="21"/>
        </w:rPr>
        <w:t>安全协议书</w:t>
      </w:r>
    </w:p>
    <w:p>
      <w:pPr>
        <w:spacing w:line="360" w:lineRule="auto"/>
        <w:jc w:val="center"/>
        <w:rPr>
          <w:rFonts w:ascii="宋体" w:hAnsi="宋体" w:cs="宋体"/>
          <w:b/>
          <w:bCs/>
          <w:sz w:val="24"/>
        </w:rPr>
      </w:pP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营运场所施工安全协议书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adjustRightInd w:val="0"/>
        <w:snapToGrid w:val="0"/>
        <w:spacing w:line="560" w:lineRule="exact"/>
        <w:jc w:val="left"/>
        <w:rPr>
          <w:rStyle w:val="25"/>
          <w:rFonts w:asciiTheme="minorEastAsia" w:hAnsiTheme="minorEastAsia" w:eastAsiaTheme="minorEastAsia"/>
          <w:b w:val="0"/>
          <w:u w:val="single"/>
        </w:rPr>
      </w:pP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sz w:val="24"/>
        </w:rPr>
      </w:pPr>
      <w:r>
        <w:rPr>
          <w:rFonts w:asciiTheme="minorEastAsia" w:hAnsiTheme="minorEastAsia" w:eastAsiaTheme="minorEastAsia"/>
          <w:b/>
          <w:sz w:val="24"/>
        </w:rPr>
        <w:t xml:space="preserve"> 二、</w:t>
      </w:r>
      <w:r>
        <w:rPr>
          <w:rFonts w:hint="eastAsia" w:asciiTheme="minorEastAsia" w:hAnsiTheme="minorEastAsia" w:eastAsiaTheme="minorEastAsia"/>
          <w:b/>
          <w:sz w:val="24"/>
        </w:rPr>
        <w:t>甲方权责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根据《广州市水务局关于印发广州市水务工程施工和监理企业诚信评价管理办法的通知》（穗水建设〔2</w:t>
      </w:r>
      <w:r>
        <w:rPr>
          <w:rFonts w:asciiTheme="minorEastAsia" w:hAnsiTheme="minorEastAsia" w:eastAsiaTheme="minorEastAsia"/>
          <w:sz w:val="24"/>
        </w:rPr>
        <w:t>014</w:t>
      </w:r>
      <w:r>
        <w:rPr>
          <w:rFonts w:hint="eastAsia" w:asciiTheme="minorEastAsia" w:hAnsiTheme="minorEastAsia" w:eastAsiaTheme="minorEastAsia"/>
          <w:sz w:val="24"/>
        </w:rPr>
        <w:t>〕1</w:t>
      </w:r>
      <w:r>
        <w:rPr>
          <w:rFonts w:asciiTheme="minorEastAsia" w:hAnsiTheme="minorEastAsia" w:eastAsiaTheme="minorEastAsia"/>
          <w:sz w:val="24"/>
        </w:rPr>
        <w:t>0</w:t>
      </w:r>
      <w:r>
        <w:rPr>
          <w:rFonts w:hint="eastAsia" w:asciiTheme="minorEastAsia" w:hAnsiTheme="minorEastAsia" w:eastAsiaTheme="minorEastAsia"/>
          <w:sz w:val="24"/>
        </w:rPr>
        <w:t>号）、《市净水公司关于印发施工和监理企业诚信评价工作实施办法的通知》（穗净水〔201</w:t>
      </w:r>
      <w:r>
        <w:rPr>
          <w:rFonts w:asciiTheme="minorEastAsia" w:hAnsiTheme="minorEastAsia" w:eastAsiaTheme="minorEastAsia"/>
          <w:sz w:val="24"/>
        </w:rPr>
        <w:t>5</w:t>
      </w:r>
      <w:r>
        <w:rPr>
          <w:rFonts w:hint="eastAsia" w:asciiTheme="minorEastAsia" w:hAnsiTheme="minorEastAsia" w:eastAsiaTheme="minorEastAsia"/>
          <w:sz w:val="24"/>
        </w:rPr>
        <w:t>〕2</w:t>
      </w:r>
      <w:r>
        <w:rPr>
          <w:rFonts w:asciiTheme="minorEastAsia" w:hAnsiTheme="minorEastAsia" w:eastAsiaTheme="minorEastAsia"/>
          <w:sz w:val="24"/>
        </w:rPr>
        <w:t>40</w:t>
      </w:r>
      <w:r>
        <w:rPr>
          <w:rFonts w:hint="eastAsia" w:asciiTheme="minorEastAsia" w:hAnsiTheme="minorEastAsia" w:eastAsiaTheme="minorEastAsia"/>
          <w:sz w:val="24"/>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向上级进行反映，包括但不限于广东省市政行业协会、广州市市政公路协会等。</w:t>
      </w:r>
    </w:p>
    <w:p>
      <w:pPr>
        <w:spacing w:line="560" w:lineRule="exact"/>
        <w:ind w:firstLine="480" w:firstLineChars="200"/>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三、乙方权责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（三）乙方应在合同签订后</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四、事故责任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7"/>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五、补充条款：</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六、附则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甲方：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ind w:firstLine="240" w:firstLineChars="100"/>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乙方：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widowControl/>
        <w:spacing w:line="560" w:lineRule="exact"/>
        <w:ind w:firstLine="1560" w:firstLineChars="650"/>
        <w:jc w:val="left"/>
        <w:rPr>
          <w:rFonts w:ascii="宋体" w:hAnsi="宋体" w:cs="宋体"/>
          <w:kern w:val="0"/>
          <w:sz w:val="24"/>
        </w:rPr>
      </w:pPr>
    </w:p>
    <w:p>
      <w:pPr>
        <w:widowControl/>
        <w:spacing w:line="560" w:lineRule="exact"/>
        <w:ind w:firstLine="1560" w:firstLineChars="650"/>
        <w:jc w:val="left"/>
        <w:rPr>
          <w:rFonts w:ascii="宋体" w:hAnsi="宋体" w:cs="宋体"/>
          <w:kern w:val="0"/>
          <w:sz w:val="24"/>
        </w:rPr>
      </w:pPr>
    </w:p>
    <w:p>
      <w:pPr>
        <w:spacing w:line="360" w:lineRule="auto"/>
        <w:rPr>
          <w:rFonts w:ascii="宋体" w:hAnsi="宋体" w:cs="宋体"/>
          <w:b/>
          <w:bCs/>
          <w:szCs w:val="21"/>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spacing w:line="360" w:lineRule="auto"/>
        <w:rPr>
          <w:rFonts w:hint="eastAsia" w:ascii="宋体" w:hAnsi="宋体" w:cs="宋体"/>
          <w:b/>
          <w:bCs/>
          <w:szCs w:val="21"/>
        </w:rPr>
      </w:pPr>
      <w:r>
        <w:rPr>
          <w:rFonts w:hint="eastAsia" w:ascii="宋体" w:hAnsi="宋体" w:cs="宋体"/>
          <w:b/>
          <w:bCs/>
          <w:szCs w:val="21"/>
        </w:rPr>
        <w:br w:type="page"/>
      </w:r>
      <w:r>
        <w:rPr>
          <w:rFonts w:hint="eastAsia" w:ascii="宋体" w:hAnsi="宋体" w:cs="宋体"/>
          <w:b/>
          <w:bCs/>
          <w:szCs w:val="21"/>
        </w:rPr>
        <w:t>附件4：报价单</w:t>
      </w:r>
    </w:p>
    <w:p>
      <w:pPr>
        <w:pStyle w:val="3"/>
        <w:rPr>
          <w:rFonts w:hint="eastAsia" w:ascii="宋体" w:hAnsi="宋体" w:eastAsia="宋体" w:cs="宋体"/>
          <w:b/>
          <w:bCs/>
          <w:color w:val="auto"/>
          <w:sz w:val="21"/>
          <w:szCs w:val="21"/>
          <w:highlight w:val="none"/>
        </w:rPr>
      </w:pPr>
    </w:p>
    <w:tbl>
      <w:tblPr>
        <w:tblStyle w:val="22"/>
        <w:tblW w:w="95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434"/>
        <w:gridCol w:w="2624"/>
        <w:gridCol w:w="2607"/>
        <w:gridCol w:w="885"/>
        <w:gridCol w:w="675"/>
        <w:gridCol w:w="385"/>
        <w:gridCol w:w="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8613" w:type="dxa"/>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单位工程汇总表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228"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工程名称：江高分公司2022年保密室装修项目</w:t>
            </w:r>
          </w:p>
        </w:tc>
        <w:tc>
          <w:tcPr>
            <w:tcW w:w="385" w:type="dxa"/>
            <w:tcBorders>
              <w:top w:val="nil"/>
              <w:left w:val="nil"/>
              <w:bottom w:val="nil"/>
              <w:right w:val="nil"/>
            </w:tcBorders>
            <w:shd w:val="clear" w:color="FFFFFF" w:fill="FFFFFF"/>
            <w:tcMar>
              <w:top w:w="15" w:type="dxa"/>
              <w:left w:w="15" w:type="dxa"/>
              <w:right w:w="15" w:type="dxa"/>
            </w:tcMar>
            <w:vAlign w:val="bottom"/>
          </w:tcPr>
          <w:p>
            <w:pPr>
              <w:jc w:val="center"/>
              <w:rPr>
                <w:rFonts w:hint="eastAsia" w:ascii="宋体" w:hAnsi="宋体" w:eastAsia="宋体" w:cs="宋体"/>
                <w:i w:val="0"/>
                <w:color w:val="000000"/>
                <w:sz w:val="20"/>
                <w:szCs w:val="20"/>
                <w:u w:val="none"/>
              </w:rPr>
            </w:pPr>
          </w:p>
        </w:tc>
        <w:tc>
          <w:tcPr>
            <w:tcW w:w="960" w:type="dxa"/>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3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262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名称</w:t>
            </w:r>
          </w:p>
        </w:tc>
        <w:tc>
          <w:tcPr>
            <w:tcW w:w="2608"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取费基数</w:t>
            </w:r>
          </w:p>
        </w:tc>
        <w:tc>
          <w:tcPr>
            <w:tcW w:w="88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费率(%)</w:t>
            </w:r>
          </w:p>
        </w:tc>
        <w:tc>
          <w:tcPr>
            <w:tcW w:w="106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金额（元）</w:t>
            </w:r>
          </w:p>
        </w:tc>
        <w:tc>
          <w:tcPr>
            <w:tcW w:w="96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分部分项合计</w:t>
            </w:r>
          </w:p>
        </w:tc>
        <w:tc>
          <w:tcPr>
            <w:tcW w:w="26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分部分项合计</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14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措施合计</w:t>
            </w:r>
          </w:p>
        </w:tc>
        <w:tc>
          <w:tcPr>
            <w:tcW w:w="26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绿色施工安全防护措施费+其他措施费</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26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绿色施工安全防护措施费</w:t>
            </w:r>
          </w:p>
        </w:tc>
        <w:tc>
          <w:tcPr>
            <w:tcW w:w="26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安全及文明施工措施费</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26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其他措施费</w:t>
            </w:r>
          </w:p>
        </w:tc>
        <w:tc>
          <w:tcPr>
            <w:tcW w:w="26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其他措施费</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26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其他项目</w:t>
            </w:r>
          </w:p>
        </w:tc>
        <w:tc>
          <w:tcPr>
            <w:tcW w:w="26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其他项目合计</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w:t>
            </w:r>
          </w:p>
        </w:tc>
        <w:tc>
          <w:tcPr>
            <w:tcW w:w="26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暂列金额</w:t>
            </w:r>
          </w:p>
        </w:tc>
        <w:tc>
          <w:tcPr>
            <w:tcW w:w="26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暂列金额</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26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暂估价</w:t>
            </w:r>
          </w:p>
        </w:tc>
        <w:tc>
          <w:tcPr>
            <w:tcW w:w="26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暂估价合计</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w:t>
            </w:r>
          </w:p>
        </w:tc>
        <w:tc>
          <w:tcPr>
            <w:tcW w:w="26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计日工</w:t>
            </w:r>
          </w:p>
        </w:tc>
        <w:tc>
          <w:tcPr>
            <w:tcW w:w="26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计日工</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w:t>
            </w:r>
          </w:p>
        </w:tc>
        <w:tc>
          <w:tcPr>
            <w:tcW w:w="26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总承包服务费</w:t>
            </w:r>
          </w:p>
        </w:tc>
        <w:tc>
          <w:tcPr>
            <w:tcW w:w="26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总承包服务费</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26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预算包干费</w:t>
            </w:r>
          </w:p>
        </w:tc>
        <w:tc>
          <w:tcPr>
            <w:tcW w:w="26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预算包干费</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26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工程优质费</w:t>
            </w:r>
          </w:p>
        </w:tc>
        <w:tc>
          <w:tcPr>
            <w:tcW w:w="26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工程优质费</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w:t>
            </w:r>
          </w:p>
        </w:tc>
        <w:tc>
          <w:tcPr>
            <w:tcW w:w="26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概算幅度差</w:t>
            </w:r>
          </w:p>
        </w:tc>
        <w:tc>
          <w:tcPr>
            <w:tcW w:w="26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概算幅度差</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w:t>
            </w:r>
          </w:p>
        </w:tc>
        <w:tc>
          <w:tcPr>
            <w:tcW w:w="26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索赔费用</w:t>
            </w:r>
          </w:p>
        </w:tc>
        <w:tc>
          <w:tcPr>
            <w:tcW w:w="26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索赔费用</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w:t>
            </w:r>
          </w:p>
        </w:tc>
        <w:tc>
          <w:tcPr>
            <w:tcW w:w="26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现场签证费用</w:t>
            </w:r>
          </w:p>
        </w:tc>
        <w:tc>
          <w:tcPr>
            <w:tcW w:w="26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现场签证费用</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w:t>
            </w:r>
          </w:p>
        </w:tc>
        <w:tc>
          <w:tcPr>
            <w:tcW w:w="26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其他费用</w:t>
            </w:r>
          </w:p>
        </w:tc>
        <w:tc>
          <w:tcPr>
            <w:tcW w:w="26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其他费用</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14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26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税前工程造价</w:t>
            </w:r>
          </w:p>
        </w:tc>
        <w:tc>
          <w:tcPr>
            <w:tcW w:w="26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分部分项合计+措施合计+其他项目</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14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6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增值税销项税额</w:t>
            </w:r>
          </w:p>
        </w:tc>
        <w:tc>
          <w:tcPr>
            <w:tcW w:w="26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分部分项合计+措施合计+其他项目</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14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26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总造价</w:t>
            </w:r>
          </w:p>
        </w:tc>
        <w:tc>
          <w:tcPr>
            <w:tcW w:w="26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分部分项合计+措施合计+其他项目+增值税销项税额</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1435"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262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人工费</w:t>
            </w:r>
          </w:p>
        </w:tc>
        <w:tc>
          <w:tcPr>
            <w:tcW w:w="2608"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分部分项人工费+技术措施项目人工费</w:t>
            </w:r>
          </w:p>
        </w:tc>
        <w:tc>
          <w:tcPr>
            <w:tcW w:w="88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bl>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sz w:val="21"/>
          <w:szCs w:val="21"/>
          <w:highlight w:val="none"/>
        </w:rPr>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96"/>
        <w:gridCol w:w="1608"/>
        <w:gridCol w:w="3140"/>
        <w:gridCol w:w="37"/>
        <w:gridCol w:w="524"/>
        <w:gridCol w:w="673"/>
        <w:gridCol w:w="298"/>
        <w:gridCol w:w="541"/>
        <w:gridCol w:w="749"/>
        <w:gridCol w:w="7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10"/>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011"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工程名称：江高分公司2022年保密室装修项目</w:t>
            </w:r>
          </w:p>
        </w:tc>
        <w:tc>
          <w:tcPr>
            <w:tcW w:w="863"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125"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36" w:type="pct"/>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906" w:type="pct"/>
            <w:vMerge w:val="restart"/>
            <w:tcBorders>
              <w:top w:val="single" w:color="000000" w:sz="8" w:space="0"/>
              <w:left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790"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295"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379"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1292" w:type="pct"/>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36"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6" w:type="pct"/>
            <w:vMerge w:val="continue"/>
            <w:tcBorders>
              <w:left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90"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5"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79"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71"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39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36"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6" w:type="pct"/>
            <w:vMerge w:val="continue"/>
            <w:tcBorders>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90"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5"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79"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71"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3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整个项目</w:t>
            </w:r>
          </w:p>
        </w:tc>
        <w:tc>
          <w:tcPr>
            <w:tcW w:w="179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7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2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3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甲级防盗门</w:t>
            </w:r>
          </w:p>
        </w:tc>
        <w:tc>
          <w:tcPr>
            <w:tcW w:w="179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甲级防盗门（860*2100）</w:t>
            </w:r>
          </w:p>
        </w:tc>
        <w:tc>
          <w:tcPr>
            <w:tcW w:w="29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37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2.15</w:t>
            </w:r>
          </w:p>
        </w:tc>
        <w:tc>
          <w:tcPr>
            <w:tcW w:w="47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2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3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门禁</w:t>
            </w:r>
          </w:p>
        </w:tc>
        <w:tc>
          <w:tcPr>
            <w:tcW w:w="179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指纹密码锁</w:t>
            </w:r>
          </w:p>
        </w:tc>
        <w:tc>
          <w:tcPr>
            <w:tcW w:w="29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37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7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2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3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闭合器</w:t>
            </w:r>
          </w:p>
        </w:tc>
        <w:tc>
          <w:tcPr>
            <w:tcW w:w="179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自动闭合器</w:t>
            </w:r>
          </w:p>
        </w:tc>
        <w:tc>
          <w:tcPr>
            <w:tcW w:w="29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37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7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2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33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实心钢条防盗网</w:t>
            </w:r>
          </w:p>
        </w:tc>
        <w:tc>
          <w:tcPr>
            <w:tcW w:w="179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实心钢条防盗网</w:t>
            </w:r>
          </w:p>
        </w:tc>
        <w:tc>
          <w:tcPr>
            <w:tcW w:w="29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37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14.8</w:t>
            </w:r>
          </w:p>
        </w:tc>
        <w:tc>
          <w:tcPr>
            <w:tcW w:w="47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2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3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砌墙</w:t>
            </w:r>
          </w:p>
        </w:tc>
        <w:tc>
          <w:tcPr>
            <w:tcW w:w="179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18MM厚砖墙，房间四周墙壁均未到顶</w:t>
            </w:r>
          </w:p>
        </w:tc>
        <w:tc>
          <w:tcPr>
            <w:tcW w:w="29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37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47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2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3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扇灰</w:t>
            </w:r>
          </w:p>
        </w:tc>
        <w:tc>
          <w:tcPr>
            <w:tcW w:w="179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墙面扇灰，新砌砖墙墙壁（不含天花内墙壁）</w:t>
            </w:r>
          </w:p>
        </w:tc>
        <w:tc>
          <w:tcPr>
            <w:tcW w:w="29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37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7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2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3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天花</w:t>
            </w:r>
          </w:p>
        </w:tc>
        <w:tc>
          <w:tcPr>
            <w:tcW w:w="179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拆除天花</w:t>
            </w:r>
          </w:p>
        </w:tc>
        <w:tc>
          <w:tcPr>
            <w:tcW w:w="29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37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7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2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3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天花</w:t>
            </w:r>
          </w:p>
        </w:tc>
        <w:tc>
          <w:tcPr>
            <w:tcW w:w="179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修补天花,天花扇灰及加油漆，22平方米</w:t>
            </w:r>
          </w:p>
        </w:tc>
        <w:tc>
          <w:tcPr>
            <w:tcW w:w="29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47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2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3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施工</w:t>
            </w:r>
          </w:p>
        </w:tc>
        <w:tc>
          <w:tcPr>
            <w:tcW w:w="179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垃圾清运</w:t>
            </w:r>
          </w:p>
        </w:tc>
        <w:tc>
          <w:tcPr>
            <w:tcW w:w="29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47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2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3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凿墙</w:t>
            </w:r>
          </w:p>
        </w:tc>
        <w:tc>
          <w:tcPr>
            <w:tcW w:w="179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29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47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2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3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墙面修护</w:t>
            </w:r>
          </w:p>
        </w:tc>
        <w:tc>
          <w:tcPr>
            <w:tcW w:w="179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29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47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2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3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烟雾报警器</w:t>
            </w:r>
          </w:p>
        </w:tc>
        <w:tc>
          <w:tcPr>
            <w:tcW w:w="179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供电方式：电源供电</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警戒方式：声音报警</w:t>
            </w:r>
          </w:p>
        </w:tc>
        <w:tc>
          <w:tcPr>
            <w:tcW w:w="29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47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2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3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13</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自动灭火装置</w:t>
            </w:r>
          </w:p>
        </w:tc>
        <w:tc>
          <w:tcPr>
            <w:tcW w:w="179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悬挂式七氟丙烷自动灭火装置型号：19.3kg，净重19.3kg，安装高度＞3米，保护面积:20㎡</w:t>
            </w:r>
          </w:p>
        </w:tc>
        <w:tc>
          <w:tcPr>
            <w:tcW w:w="29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47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2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3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14</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警示牌</w:t>
            </w:r>
          </w:p>
        </w:tc>
        <w:tc>
          <w:tcPr>
            <w:tcW w:w="179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区域警示门牌，内容定制（24*12cm）</w:t>
            </w:r>
          </w:p>
        </w:tc>
        <w:tc>
          <w:tcPr>
            <w:tcW w:w="29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47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2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3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宣传海报</w:t>
            </w:r>
          </w:p>
        </w:tc>
        <w:tc>
          <w:tcPr>
            <w:tcW w:w="179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宣传海报（40*60）</w:t>
            </w:r>
          </w:p>
        </w:tc>
        <w:tc>
          <w:tcPr>
            <w:tcW w:w="29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47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2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3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16</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可移动屏风</w:t>
            </w:r>
          </w:p>
        </w:tc>
        <w:tc>
          <w:tcPr>
            <w:tcW w:w="179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可移动屏风（40*180CM）</w:t>
            </w:r>
          </w:p>
        </w:tc>
        <w:tc>
          <w:tcPr>
            <w:tcW w:w="29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47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2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3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17</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办公桌</w:t>
            </w:r>
          </w:p>
        </w:tc>
        <w:tc>
          <w:tcPr>
            <w:tcW w:w="179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120*60*73CM，含椅子（椅子总高100CM,总宽57.5CM）</w:t>
            </w:r>
          </w:p>
        </w:tc>
        <w:tc>
          <w:tcPr>
            <w:tcW w:w="29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47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2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3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179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7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2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3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179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7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2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3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单价措施合计</w:t>
            </w:r>
          </w:p>
        </w:tc>
        <w:tc>
          <w:tcPr>
            <w:tcW w:w="179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7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2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179" w:type="pct"/>
            <w:gridSpan w:val="8"/>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42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179" w:type="pct"/>
            <w:gridSpan w:val="8"/>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422"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8"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5000" w:type="pct"/>
            <w:gridSpan w:val="10"/>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3011" w:type="pct"/>
            <w:gridSpan w:val="3"/>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863" w:type="pct"/>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1125" w:type="pct"/>
            <w:gridSpan w:val="3"/>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bl>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sz w:val="21"/>
          <w:szCs w:val="21"/>
          <w:highlight w:val="none"/>
        </w:rPr>
      </w:pPr>
    </w:p>
    <w:p>
      <w:pPr>
        <w:pStyle w:val="2"/>
        <w:rPr>
          <w:rFonts w:hint="eastAsia" w:ascii="宋体" w:hAnsi="宋体" w:eastAsia="宋体" w:cs="宋体"/>
          <w:b/>
          <w:bCs/>
          <w:color w:val="auto"/>
          <w:sz w:val="21"/>
          <w:szCs w:val="21"/>
          <w:highlight w:val="none"/>
        </w:rPr>
      </w:pPr>
    </w:p>
    <w:p>
      <w:pPr>
        <w:pStyle w:val="3"/>
        <w:rPr>
          <w:rFonts w:hint="eastAsia"/>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sz w:val="21"/>
          <w:szCs w:val="21"/>
          <w:highlight w:val="none"/>
        </w:rPr>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68"/>
        <w:gridCol w:w="1230"/>
        <w:gridCol w:w="1299"/>
        <w:gridCol w:w="1396"/>
        <w:gridCol w:w="793"/>
        <w:gridCol w:w="74"/>
        <w:gridCol w:w="724"/>
        <w:gridCol w:w="640"/>
        <w:gridCol w:w="159"/>
        <w:gridCol w:w="857"/>
        <w:gridCol w:w="1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009" w:type="pct"/>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工程名称：江高分公司2022年保密室装修项目</w:t>
            </w:r>
          </w:p>
        </w:tc>
        <w:tc>
          <w:tcPr>
            <w:tcW w:w="773"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17"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23"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669"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735"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789"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446"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费率</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54"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金额</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c>
          <w:tcPr>
            <w:tcW w:w="455"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调整</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p>
        </w:tc>
        <w:tc>
          <w:tcPr>
            <w:tcW w:w="485"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调整后</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638" w:type="pct"/>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6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LSSGCSF00001</w:t>
            </w:r>
          </w:p>
        </w:tc>
        <w:tc>
          <w:tcPr>
            <w:tcW w:w="73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139.32</w:t>
            </w: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3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55"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6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WMGDZJF00001</w:t>
            </w:r>
          </w:p>
        </w:tc>
        <w:tc>
          <w:tcPr>
            <w:tcW w:w="73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5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3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以分部分项的人工费与施工机具费之和为计算基础，市级文明工地为0.6%；省级文明工地为1.2%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66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011707002001</w:t>
            </w:r>
          </w:p>
        </w:tc>
        <w:tc>
          <w:tcPr>
            <w:tcW w:w="73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4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5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3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65"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66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GGCSF0000001</w:t>
            </w:r>
          </w:p>
        </w:tc>
        <w:tc>
          <w:tcPr>
            <w:tcW w:w="73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5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3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赶工措施费=（1-δ）*分部分项的（人工费+施工机具费）*0.3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66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QTFY00000001</w:t>
            </w:r>
          </w:p>
        </w:tc>
        <w:tc>
          <w:tcPr>
            <w:tcW w:w="73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4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3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按经批准的专项施工组织方案计算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965" w:type="pct"/>
            <w:gridSpan w:val="5"/>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454" w:type="pct"/>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55" w:type="pct"/>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5"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38"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bl>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sz w:val="21"/>
          <w:szCs w:val="21"/>
          <w:highlight w:val="none"/>
        </w:rPr>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54"/>
        <w:gridCol w:w="1974"/>
        <w:gridCol w:w="2298"/>
        <w:gridCol w:w="201"/>
        <w:gridCol w:w="1248"/>
        <w:gridCol w:w="21"/>
        <w:gridCol w:w="898"/>
        <w:gridCol w:w="12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8"/>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945"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工程名称：江高分公司2022年保密室装修项目</w:t>
            </w:r>
          </w:p>
        </w:tc>
        <w:tc>
          <w:tcPr>
            <w:tcW w:w="828"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26"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538"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112"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408"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703"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取费基数</w:t>
            </w:r>
          </w:p>
        </w:tc>
        <w:tc>
          <w:tcPr>
            <w:tcW w:w="516"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计算费率</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720" w:type="pct"/>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53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1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140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分部分项合计+措施合计+其他项目</w:t>
            </w:r>
          </w:p>
        </w:tc>
        <w:tc>
          <w:tcPr>
            <w:tcW w:w="70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51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72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3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0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0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1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2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279" w:type="pct"/>
            <w:gridSpan w:val="7"/>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    计</w:t>
            </w:r>
          </w:p>
        </w:tc>
        <w:tc>
          <w:tcPr>
            <w:tcW w:w="720"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bl>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sz w:val="21"/>
          <w:szCs w:val="21"/>
          <w:highlight w:val="none"/>
        </w:rPr>
      </w:pPr>
    </w:p>
    <w:p>
      <w:pPr>
        <w:spacing w:line="560" w:lineRule="exact"/>
        <w:rPr>
          <w:rFonts w:ascii="仿宋_GB2312" w:eastAsia="仿宋_GB2312"/>
          <w:b/>
          <w:sz w:val="28"/>
          <w:szCs w:val="28"/>
        </w:rPr>
      </w:pPr>
      <w:r>
        <w:rPr>
          <w:rFonts w:hint="eastAsia" w:ascii="仿宋_GB2312" w:hAnsi="宋体" w:eastAsia="仿宋_GB2312"/>
          <w:b/>
          <w:sz w:val="24"/>
        </w:rPr>
        <w:br w:type="page"/>
      </w:r>
      <w:r>
        <w:rPr>
          <w:rFonts w:hint="eastAsia" w:ascii="仿宋_GB2312" w:hAnsi="宋体" w:eastAsia="仿宋_GB2312"/>
          <w:b/>
          <w:sz w:val="24"/>
        </w:rPr>
        <w:t>附件5：防疫管理协议书</w:t>
      </w:r>
    </w:p>
    <w:p>
      <w:pPr>
        <w:spacing w:line="440" w:lineRule="exact"/>
        <w:jc w:val="center"/>
        <w:rPr>
          <w:rFonts w:ascii="仿宋_GB2312" w:eastAsia="仿宋_GB2312"/>
          <w:b/>
          <w:bCs/>
          <w:sz w:val="28"/>
          <w:szCs w:val="28"/>
        </w:rPr>
      </w:pPr>
      <w:r>
        <w:rPr>
          <w:rFonts w:hint="eastAsia" w:ascii="仿宋_GB2312" w:eastAsia="仿宋_GB2312"/>
          <w:b/>
          <w:bCs/>
          <w:sz w:val="28"/>
          <w:szCs w:val="28"/>
        </w:rPr>
        <w:t>防疫管理协议书</w:t>
      </w:r>
    </w:p>
    <w:p>
      <w:pPr>
        <w:spacing w:line="440" w:lineRule="exact"/>
        <w:rPr>
          <w:rFonts w:ascii="仿宋_GB2312" w:hAnsi="宋体" w:eastAsia="仿宋_GB2312"/>
          <w:sz w:val="24"/>
        </w:rPr>
      </w:pPr>
    </w:p>
    <w:p>
      <w:pPr>
        <w:adjustRightInd w:val="0"/>
        <w:snapToGrid w:val="0"/>
        <w:spacing w:line="440" w:lineRule="exact"/>
        <w:ind w:firstLine="480" w:firstLineChars="200"/>
        <w:jc w:val="left"/>
        <w:rPr>
          <w:rFonts w:ascii="仿宋_GB2312" w:hAnsi="宋体" w:eastAsia="仿宋_GB2312"/>
          <w:sz w:val="24"/>
        </w:rPr>
      </w:pPr>
      <w:r>
        <w:rPr>
          <w:rFonts w:hint="eastAsia" w:ascii="仿宋_GB2312" w:hAnsi="宋体" w:eastAsia="仿宋_GB2312"/>
          <w:sz w:val="24"/>
        </w:rPr>
        <w:t>甲方：</w:t>
      </w:r>
      <w:r>
        <w:rPr>
          <w:rFonts w:hint="eastAsia" w:ascii="仿宋_GB2312" w:hAnsi="宋体" w:eastAsia="仿宋_GB2312"/>
          <w:sz w:val="24"/>
          <w:u w:val="single"/>
        </w:rPr>
        <w:t>广州市净水有限公司</w:t>
      </w:r>
    </w:p>
    <w:p>
      <w:pPr>
        <w:adjustRightInd w:val="0"/>
        <w:snapToGrid w:val="0"/>
        <w:spacing w:line="440" w:lineRule="exact"/>
        <w:ind w:firstLine="480" w:firstLineChars="200"/>
        <w:jc w:val="left"/>
        <w:rPr>
          <w:rFonts w:hint="eastAsia" w:ascii="仿宋_GB2312" w:hAnsi="仿宋_GB2312" w:eastAsia="仿宋_GB2312" w:cs="仿宋_GB2312"/>
          <w:sz w:val="24"/>
          <w:u w:val="single"/>
        </w:rPr>
      </w:pPr>
      <w:r>
        <w:rPr>
          <w:rFonts w:hint="eastAsia" w:ascii="仿宋_GB2312" w:hAnsi="仿宋_GB2312" w:eastAsia="仿宋_GB2312" w:cs="仿宋_GB2312"/>
          <w:sz w:val="24"/>
        </w:rPr>
        <w:t xml:space="preserve">乙方: </w:t>
      </w:r>
      <w:r>
        <w:rPr>
          <w:rFonts w:hint="eastAsia" w:ascii="仿宋_GB2312" w:hAnsi="仿宋_GB2312" w:eastAsia="仿宋_GB2312" w:cs="仿宋_GB2312"/>
          <w:sz w:val="24"/>
          <w:u w:val="single"/>
          <w:lang w:val="en-US" w:eastAsia="zh-CN" w:bidi="ar"/>
        </w:rPr>
        <w:t xml:space="preserve">                         </w:t>
      </w:r>
      <w:r>
        <w:rPr>
          <w:rFonts w:hint="eastAsia" w:ascii="仿宋_GB2312" w:hAnsi="仿宋_GB2312" w:eastAsia="仿宋_GB2312" w:cs="仿宋_GB2312"/>
          <w:sz w:val="24"/>
          <w:u w:val="single"/>
        </w:rPr>
        <w:t xml:space="preserve"> </w:t>
      </w:r>
    </w:p>
    <w:p>
      <w:pPr>
        <w:spacing w:line="440" w:lineRule="exact"/>
        <w:ind w:firstLine="540" w:firstLineChars="225"/>
        <w:rPr>
          <w:rFonts w:hint="eastAsia" w:ascii="仿宋_GB2312" w:hAnsi="仿宋_GB2312" w:eastAsia="仿宋_GB2312" w:cs="仿宋_GB2312"/>
          <w:sz w:val="24"/>
        </w:rPr>
      </w:pPr>
      <w:r>
        <w:rPr>
          <w:rFonts w:hint="eastAsia" w:ascii="仿宋_GB2312" w:hAnsi="仿宋_GB2312" w:eastAsia="仿宋_GB2312" w:cs="仿宋_GB2312"/>
          <w:sz w:val="24"/>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adjustRightInd w:val="0"/>
        <w:snapToGrid w:val="0"/>
        <w:spacing w:line="44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一、本协议与主协议的关系</w:t>
      </w:r>
    </w:p>
    <w:p>
      <w:pPr>
        <w:adjustRightInd w:val="0"/>
        <w:snapToGrid w:val="0"/>
        <w:spacing w:line="440" w:lineRule="exact"/>
        <w:ind w:left="105"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本协议作为</w:t>
      </w:r>
      <w:r>
        <w:rPr>
          <w:rFonts w:hint="eastAsia" w:ascii="仿宋_GB2312" w:hAnsi="仿宋_GB2312" w:eastAsia="仿宋_GB2312" w:cs="仿宋_GB2312"/>
          <w:sz w:val="24"/>
          <w:szCs w:val="20"/>
          <w:lang w:bidi="ar"/>
        </w:rPr>
        <w:t>广州市净水有限公司</w:t>
      </w:r>
      <w:r>
        <w:rPr>
          <w:rFonts w:hint="eastAsia" w:ascii="仿宋_GB2312" w:hAnsi="仿宋_GB2312" w:eastAsia="仿宋_GB2312" w:cs="仿宋_GB2312"/>
          <w:sz w:val="24"/>
          <w:highlight w:val="none"/>
          <w:u w:val="single"/>
          <w:lang w:bidi="ar"/>
        </w:rPr>
        <w:t xml:space="preserve"> 江高分公司2022年保密室装修项目+</w:t>
      </w:r>
      <w:r>
        <w:rPr>
          <w:rFonts w:hint="eastAsia" w:ascii="仿宋_GB2312" w:hAnsi="仿宋_GB2312" w:eastAsia="仿宋_GB2312" w:cs="仿宋_GB2312"/>
          <w:sz w:val="24"/>
          <w:szCs w:val="20"/>
          <w:highlight w:val="none"/>
          <w:u w:val="single"/>
          <w:lang w:bidi="ar"/>
        </w:rPr>
        <w:t xml:space="preserve">穗净水合[2022]    号 </w:t>
      </w:r>
      <w:r>
        <w:rPr>
          <w:rFonts w:hint="eastAsia" w:ascii="仿宋_GB2312" w:hAnsi="仿宋_GB2312" w:eastAsia="仿宋_GB2312" w:cs="仿宋_GB2312"/>
          <w:bCs/>
          <w:sz w:val="24"/>
          <w:highlight w:val="none"/>
          <w:u w:val="single"/>
        </w:rPr>
        <w:t xml:space="preserve">  </w:t>
      </w:r>
      <w:r>
        <w:rPr>
          <w:rFonts w:hint="eastAsia" w:ascii="仿宋_GB2312" w:hAnsi="仿宋_GB2312" w:eastAsia="仿宋_GB2312" w:cs="仿宋_GB2312"/>
          <w:sz w:val="24"/>
        </w:rPr>
        <w:t>的组成部分，与主合同具有同等法律</w:t>
      </w:r>
    </w:p>
    <w:p>
      <w:pPr>
        <w:adjustRightInd w:val="0"/>
        <w:snapToGrid w:val="0"/>
        <w:spacing w:line="44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二、甲乙双方权力及义务</w:t>
      </w:r>
    </w:p>
    <w:p>
      <w:pPr>
        <w:adjustRightInd w:val="0"/>
        <w:snapToGrid w:val="0"/>
        <w:spacing w:line="44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（一）甲乙双方应将项目维修施工人员生命安全和身体健康放在第一位，能妥善处置项目维修施工工地普通发热病例、可疑病例和突发新冠肺炎疫情。坚持预防为主，最大限度减少人员暴露和感染的风险。</w:t>
      </w:r>
    </w:p>
    <w:p>
      <w:pPr>
        <w:pStyle w:val="7"/>
        <w:spacing w:line="440" w:lineRule="exact"/>
        <w:rPr>
          <w:rFonts w:hint="eastAsia" w:ascii="仿宋_GB2312" w:hAnsi="仿宋_GB2312" w:eastAsia="仿宋_GB2312" w:cs="仿宋_GB2312"/>
          <w:sz w:val="24"/>
        </w:rPr>
      </w:pPr>
      <w:r>
        <w:rPr>
          <w:rFonts w:hint="eastAsia" w:ascii="仿宋_GB2312" w:hAnsi="仿宋_GB2312" w:eastAsia="仿宋_GB2312" w:cs="仿宋_GB2312"/>
          <w:sz w:val="24"/>
        </w:rPr>
        <w:t>（二）甲乙双方应积极配合，出现问题及时采取应急响应措施，迅速妥善处置项目施工场所普通发热病例、可疑病例和突发新冠肺炎疫情，并第一时间报送对方。</w:t>
      </w:r>
    </w:p>
    <w:p>
      <w:pPr>
        <w:pStyle w:val="7"/>
        <w:spacing w:line="440" w:lineRule="exact"/>
        <w:rPr>
          <w:rFonts w:hint="eastAsia" w:ascii="仿宋_GB2312" w:hAnsi="仿宋_GB2312" w:eastAsia="仿宋_GB2312" w:cs="仿宋_GB2312"/>
          <w:sz w:val="24"/>
        </w:rPr>
      </w:pPr>
      <w:r>
        <w:rPr>
          <w:rFonts w:hint="eastAsia" w:ascii="仿宋_GB2312" w:hAnsi="仿宋_GB2312" w:eastAsia="仿宋_GB2312" w:cs="仿宋_GB2312"/>
          <w:sz w:val="24"/>
        </w:rPr>
        <w:t>（三）甲乙双方应掌握维修施工人员情况，与建设主管部门和属地疫情防控指挥部门形成联防联控机制，建立快速有效的处置工作流程，建设、维修工地正常施工秩序</w:t>
      </w:r>
    </w:p>
    <w:p>
      <w:pPr>
        <w:adjustRightInd w:val="0"/>
        <w:snapToGrid w:val="0"/>
        <w:spacing w:line="44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三、甲方的义务</w:t>
      </w:r>
    </w:p>
    <w:p>
      <w:pPr>
        <w:adjustRightInd w:val="0"/>
        <w:snapToGrid w:val="0"/>
        <w:spacing w:line="440" w:lineRule="exact"/>
        <w:ind w:firstLine="480"/>
        <w:jc w:val="left"/>
        <w:rPr>
          <w:rFonts w:hint="eastAsia" w:ascii="仿宋_GB2312" w:hAnsi="仿宋_GB2312" w:eastAsia="仿宋_GB2312" w:cs="仿宋_GB2312"/>
          <w:sz w:val="24"/>
        </w:rPr>
      </w:pPr>
      <w:r>
        <w:rPr>
          <w:rFonts w:hint="eastAsia" w:ascii="仿宋_GB2312" w:hAnsi="仿宋_GB2312" w:eastAsia="仿宋_GB2312" w:cs="仿宋_GB2312"/>
          <w:sz w:val="24"/>
        </w:rPr>
        <w:t>（一）甲方应指导乙方项目维修施工人员需养成和保持戴口罩、“一米线”、勤洗手、勤通风、少聚集、错时用餐、“两点一线”简单生活等良好卫生习惯。</w:t>
      </w:r>
    </w:p>
    <w:p>
      <w:pPr>
        <w:pStyle w:val="7"/>
        <w:spacing w:line="440" w:lineRule="exact"/>
        <w:rPr>
          <w:rFonts w:hint="eastAsia" w:ascii="仿宋_GB2312" w:hAnsi="仿宋_GB2312" w:eastAsia="仿宋_GB2312" w:cs="仿宋_GB2312"/>
          <w:sz w:val="24"/>
        </w:rPr>
      </w:pPr>
      <w:r>
        <w:rPr>
          <w:rFonts w:hint="eastAsia" w:ascii="仿宋_GB2312" w:hAnsi="仿宋_GB2312" w:eastAsia="仿宋_GB2312" w:cs="仿宋_GB2312"/>
          <w:sz w:val="24"/>
        </w:rPr>
        <w:t>（二）甲方应提供给乙方项目维修施工人员安全工作环境，指导乙方维修施工人员及家属增强自我防护意识，关注重点疫情信息，降低感染风险。</w:t>
      </w:r>
    </w:p>
    <w:p>
      <w:pPr>
        <w:adjustRightInd w:val="0"/>
        <w:snapToGrid w:val="0"/>
        <w:spacing w:line="440" w:lineRule="exact"/>
        <w:ind w:firstLine="480"/>
        <w:jc w:val="left"/>
        <w:rPr>
          <w:rFonts w:hint="eastAsia" w:ascii="仿宋_GB2312" w:hAnsi="仿宋_GB2312" w:eastAsia="仿宋_GB2312" w:cs="仿宋_GB2312"/>
          <w:sz w:val="24"/>
        </w:rPr>
      </w:pPr>
      <w:r>
        <w:rPr>
          <w:rFonts w:hint="eastAsia" w:ascii="仿宋_GB2312" w:hAnsi="仿宋_GB2312" w:eastAsia="仿宋_GB2312" w:cs="仿宋_GB2312"/>
          <w:sz w:val="24"/>
        </w:rPr>
        <w:t>（三）甲方在施工前需开展疫情防控教育，同时对乙方人员防控落实情况进行监督，采取措施堵塞疫情防控漏洞。</w:t>
      </w:r>
    </w:p>
    <w:p>
      <w:pPr>
        <w:pStyle w:val="7"/>
        <w:spacing w:line="440" w:lineRule="exact"/>
        <w:rPr>
          <w:rFonts w:hint="eastAsia" w:ascii="仿宋_GB2312" w:hAnsi="仿宋_GB2312" w:eastAsia="仿宋_GB2312" w:cs="仿宋_GB2312"/>
          <w:sz w:val="24"/>
        </w:rPr>
      </w:pPr>
      <w:r>
        <w:rPr>
          <w:rFonts w:hint="eastAsia" w:ascii="仿宋_GB2312" w:hAnsi="仿宋_GB2312" w:eastAsia="仿宋_GB2312" w:cs="仿宋_GB2312"/>
          <w:sz w:val="24"/>
        </w:rPr>
        <w:t>（四）组织开展应急演练，确保应急情况下维修施工人员疫情发生时安全健康，保障各项工作有序、规范。</w:t>
      </w:r>
    </w:p>
    <w:p>
      <w:pPr>
        <w:adjustRightInd w:val="0"/>
        <w:snapToGrid w:val="0"/>
        <w:spacing w:line="44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四、乙方的义务</w:t>
      </w:r>
    </w:p>
    <w:p>
      <w:pPr>
        <w:pStyle w:val="7"/>
        <w:spacing w:line="440" w:lineRule="exact"/>
        <w:rPr>
          <w:rFonts w:hint="eastAsia" w:ascii="仿宋_GB2312" w:hAnsi="仿宋_GB2312" w:eastAsia="仿宋_GB2312" w:cs="仿宋_GB2312"/>
          <w:sz w:val="24"/>
        </w:rPr>
      </w:pPr>
      <w:r>
        <w:rPr>
          <w:rFonts w:hint="eastAsia" w:ascii="仿宋_GB2312" w:hAnsi="仿宋_GB2312" w:eastAsia="仿宋_GB2312" w:cs="仿宋_GB2312"/>
          <w:sz w:val="24"/>
        </w:rPr>
        <w:t>（一）乙方需配合甲方开展疫情防控宣传教育，提高项目维修施工人员自我防护意识。</w:t>
      </w:r>
    </w:p>
    <w:p>
      <w:pPr>
        <w:pStyle w:val="7"/>
        <w:spacing w:line="44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（二）配合甲方要求做好维修施工人员防控工作管理，及时提交防疫资料，落实疫情防控备案，必要时需编制防控管理工作方案</w:t>
      </w:r>
      <w:r>
        <w:rPr>
          <w:rFonts w:hint="eastAsia" w:ascii="仿宋_GB2312" w:hAnsi="仿宋_GB2312" w:eastAsia="仿宋_GB2312" w:cs="仿宋_GB2312"/>
          <w:sz w:val="32"/>
          <w:szCs w:val="32"/>
        </w:rPr>
        <w:t>。</w:t>
      </w:r>
    </w:p>
    <w:p>
      <w:pPr>
        <w:adjustRightInd w:val="0"/>
        <w:snapToGrid w:val="0"/>
        <w:spacing w:line="44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    （三）乙方须符合甲方疫苗接种及核酸检测检测要求，未满足相关要求的人员甲方有权限制乙方人员进入厂区。</w:t>
      </w:r>
    </w:p>
    <w:p>
      <w:pPr>
        <w:adjustRightInd w:val="0"/>
        <w:snapToGrid w:val="0"/>
        <w:spacing w:line="44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（四）乙方应建立畅通的信息传输渠道和严格的信息上报机制，出现人员感染新型冠状病毒的，应迅速报送甲方。</w:t>
      </w:r>
    </w:p>
    <w:p>
      <w:pPr>
        <w:adjustRightInd w:val="0"/>
        <w:snapToGrid w:val="0"/>
        <w:spacing w:line="440" w:lineRule="exact"/>
        <w:ind w:firstLine="480" w:firstLineChars="200"/>
        <w:jc w:val="left"/>
        <w:rPr>
          <w:rFonts w:hint="eastAsia" w:ascii="仿宋_GB2312" w:hAnsi="仿宋_GB2312" w:eastAsia="仿宋_GB2312" w:cs="仿宋_GB2312"/>
        </w:rPr>
      </w:pPr>
      <w:r>
        <w:rPr>
          <w:rFonts w:hint="eastAsia" w:ascii="仿宋_GB2312" w:hAnsi="仿宋_GB2312" w:eastAsia="仿宋_GB2312" w:cs="仿宋_GB2312"/>
          <w:sz w:val="24"/>
        </w:rPr>
        <w:t>（五）积极配合甲方各厂区进厂“防疫五件套”门岗防控要求，进厂前需戴口罩、扫描健康通行登记码、扫码个人健康申报、测体温、出示出入证且核对花名册。</w:t>
      </w:r>
    </w:p>
    <w:p>
      <w:pPr>
        <w:adjustRightInd w:val="0"/>
        <w:snapToGrid w:val="0"/>
        <w:spacing w:line="44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五、扣罚情况</w:t>
      </w:r>
    </w:p>
    <w:p>
      <w:pPr>
        <w:adjustRightInd w:val="0"/>
        <w:snapToGrid w:val="0"/>
        <w:spacing w:line="440" w:lineRule="exact"/>
        <w:ind w:left="105"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乙方项目维修施工人员需按照甲方服务要求执行，未达到疫情防控要求的，需按下列条款执行：</w:t>
      </w:r>
    </w:p>
    <w:p>
      <w:pPr>
        <w:adjustRightInd w:val="0"/>
        <w:snapToGrid w:val="0"/>
        <w:spacing w:line="440" w:lineRule="exact"/>
        <w:ind w:left="105"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（一）乙方项目维修施工人员及其亲属有重点区域、重点场所旅居史未报备的，每发现一人，从乙方当月服务费中扣500元；</w:t>
      </w:r>
    </w:p>
    <w:p>
      <w:pPr>
        <w:adjustRightInd w:val="0"/>
        <w:snapToGrid w:val="0"/>
        <w:spacing w:line="440" w:lineRule="exact"/>
        <w:ind w:left="105"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（二）乙方项目维修施工人员未按照甲方要求进行核酸检测的或有瞒报、虚报的，每发现一人，从乙方当月服务费中扣50元；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ascii="仿宋_GB2312" w:hAnsi="宋体" w:eastAsia="仿宋_GB2312"/>
          <w:sz w:val="24"/>
        </w:rPr>
      </w:pPr>
      <w:r>
        <w:rPr>
          <w:rFonts w:hint="eastAsia" w:ascii="仿宋_GB2312" w:hAnsi="仿宋_GB2312" w:eastAsia="仿宋_GB2312" w:cs="仿宋_GB2312"/>
          <w:sz w:val="24"/>
        </w:rPr>
        <w:t>（三）乙方项目维修施工人员拒不配合甲方疫情防控要求或不满足甲方防疫工</w:t>
      </w:r>
      <w:r>
        <w:rPr>
          <w:rFonts w:hint="eastAsia" w:ascii="仿宋_GB2312" w:hAnsi="宋体" w:eastAsia="仿宋_GB2312"/>
          <w:sz w:val="24"/>
        </w:rPr>
        <w:t>作要求的，甲方有权要求乙方3天内更换服务人员。</w:t>
      </w:r>
    </w:p>
    <w:p>
      <w:pPr>
        <w:pStyle w:val="37"/>
        <w:spacing w:line="440" w:lineRule="exact"/>
        <w:rPr>
          <w:rFonts w:ascii="仿宋_GB2312" w:hAnsi="宋体" w:eastAsia="仿宋_GB2312"/>
          <w:sz w:val="24"/>
        </w:rPr>
      </w:pPr>
      <w:r>
        <w:rPr>
          <w:rFonts w:hint="eastAsia" w:ascii="仿宋_GB2312" w:hAnsi="宋体" w:eastAsia="仿宋_GB2312"/>
          <w:sz w:val="24"/>
        </w:rPr>
        <w:t>六、补充条款：</w:t>
      </w:r>
      <w:r>
        <w:rPr>
          <w:rFonts w:hint="eastAsia" w:ascii="仿宋_GB2312" w:hAnsi="宋体" w:eastAsia="仿宋_GB2312"/>
          <w:sz w:val="24"/>
          <w:u w:val="single"/>
        </w:rPr>
        <w:t xml:space="preserve">         /       </w:t>
      </w:r>
      <w:r>
        <w:rPr>
          <w:rFonts w:hint="eastAsia" w:ascii="仿宋_GB2312" w:hAnsi="宋体" w:eastAsia="仿宋_GB2312"/>
          <w:sz w:val="24"/>
        </w:rPr>
        <w:t>。</w:t>
      </w:r>
    </w:p>
    <w:p>
      <w:pPr>
        <w:adjustRightInd w:val="0"/>
        <w:snapToGrid w:val="0"/>
        <w:spacing w:line="440" w:lineRule="exact"/>
        <w:jc w:val="left"/>
        <w:rPr>
          <w:rFonts w:ascii="仿宋_GB2312" w:hAnsi="宋体" w:eastAsia="仿宋_GB2312"/>
          <w:sz w:val="24"/>
        </w:rPr>
      </w:pPr>
      <w:r>
        <w:rPr>
          <w:rFonts w:hint="eastAsia" w:ascii="仿宋_GB2312" w:hAnsi="宋体" w:eastAsia="仿宋_GB2312"/>
          <w:sz w:val="24"/>
        </w:rPr>
        <w:t>七、附则</w:t>
      </w:r>
    </w:p>
    <w:p>
      <w:pPr>
        <w:adjustRightInd w:val="0"/>
        <w:snapToGrid w:val="0"/>
        <w:spacing w:line="440" w:lineRule="exact"/>
        <w:ind w:firstLine="480" w:firstLineChars="200"/>
        <w:jc w:val="left"/>
        <w:rPr>
          <w:rFonts w:ascii="仿宋_GB2312" w:hAnsi="宋体" w:eastAsia="仿宋_GB2312"/>
          <w:sz w:val="24"/>
        </w:rPr>
      </w:pPr>
      <w:r>
        <w:rPr>
          <w:rFonts w:hint="eastAsia" w:ascii="仿宋_GB2312" w:hAnsi="宋体" w:eastAsia="仿宋_GB2312"/>
          <w:sz w:val="24"/>
        </w:rPr>
        <w:t>本协议与合同同时签订、同时终止、同时生效，具有相同的法律效力。合同由甲乙双方签字、盖章生效，甲乙双方各</w:t>
      </w:r>
      <w:r>
        <w:rPr>
          <w:rFonts w:hint="eastAsia" w:ascii="仿宋_GB2312" w:hAnsi="宋体" w:eastAsia="仿宋_GB2312"/>
          <w:sz w:val="24"/>
          <w:u w:val="single"/>
        </w:rPr>
        <w:t xml:space="preserve">  </w:t>
      </w:r>
      <w:r>
        <w:rPr>
          <w:rFonts w:hint="eastAsia" w:ascii="仿宋_GB2312" w:hAnsi="宋体" w:eastAsia="仿宋_GB2312"/>
          <w:sz w:val="24"/>
        </w:rPr>
        <w:t>份。</w:t>
      </w:r>
    </w:p>
    <w:p>
      <w:pPr>
        <w:adjustRightInd w:val="0"/>
        <w:snapToGrid w:val="0"/>
        <w:spacing w:line="440" w:lineRule="exact"/>
        <w:rPr>
          <w:rFonts w:ascii="仿宋_GB2312" w:hAnsi="宋体" w:eastAsia="仿宋_GB2312"/>
          <w:sz w:val="24"/>
        </w:rPr>
      </w:pPr>
    </w:p>
    <w:p>
      <w:pPr>
        <w:adjustRightInd w:val="0"/>
        <w:snapToGrid w:val="0"/>
        <w:spacing w:line="440" w:lineRule="exact"/>
        <w:ind w:left="1330" w:leftChars="5" w:hanging="1320" w:hangingChars="550"/>
        <w:rPr>
          <w:rFonts w:ascii="仿宋_GB2312" w:hAnsi="宋体" w:eastAsia="仿宋_GB2312"/>
          <w:sz w:val="24"/>
        </w:rPr>
      </w:pPr>
      <w:r>
        <w:rPr>
          <w:rFonts w:hint="eastAsia" w:ascii="仿宋_GB2312" w:hAnsi="宋体" w:eastAsia="仿宋_GB2312"/>
          <w:sz w:val="24"/>
        </w:rPr>
        <w:t xml:space="preserve">   甲方代表 （章）：                    乙方代表（章）：                                                           　　              　　　　　　　</w:t>
      </w:r>
    </w:p>
    <w:p>
      <w:pPr>
        <w:adjustRightInd w:val="0"/>
        <w:snapToGrid w:val="0"/>
        <w:spacing w:line="440" w:lineRule="exact"/>
        <w:rPr>
          <w:rFonts w:ascii="宋体" w:hAnsi="宋体" w:cs="仿宋_GB2312"/>
          <w:sz w:val="24"/>
        </w:rPr>
      </w:pPr>
      <w:r>
        <w:rPr>
          <w:rFonts w:hint="eastAsia" w:ascii="仿宋_GB2312" w:hAnsi="宋体" w:eastAsia="仿宋_GB2312"/>
          <w:sz w:val="24"/>
        </w:rPr>
        <w:t xml:space="preserve">      年 　月　  日　　　　　                 年   月  　日</w:t>
      </w:r>
    </w:p>
    <w:p>
      <w:pPr>
        <w:rPr>
          <w:rFonts w:ascii="宋体" w:hAnsi="宋体" w:cs="仿宋_GB2312"/>
          <w:sz w:val="24"/>
        </w:rPr>
      </w:pPr>
    </w:p>
    <w:p>
      <w:pPr>
        <w:pStyle w:val="7"/>
        <w:ind w:firstLine="0"/>
        <w:rPr>
          <w:rFonts w:hint="eastAsia" w:ascii="仿宋_GB2312" w:hAnsi="宋体" w:eastAsia="仿宋_GB2312" w:cs="Times New Roman"/>
          <w:b/>
          <w:kern w:val="2"/>
          <w:sz w:val="24"/>
          <w:szCs w:val="24"/>
          <w:lang w:val="en-US" w:eastAsia="zh-CN" w:bidi="ar-SA"/>
        </w:rPr>
      </w:pPr>
      <w:r>
        <w:rPr>
          <w:rFonts w:hint="eastAsia"/>
        </w:rPr>
        <w:br w:type="page"/>
      </w:r>
      <w:r>
        <w:rPr>
          <w:rFonts w:hint="eastAsia" w:ascii="仿宋_GB2312" w:hAnsi="宋体" w:eastAsia="仿宋_GB2312" w:cs="Times New Roman"/>
          <w:b/>
          <w:kern w:val="2"/>
          <w:sz w:val="24"/>
          <w:szCs w:val="24"/>
          <w:lang w:val="en-US" w:eastAsia="zh-CN" w:bidi="ar-SA"/>
        </w:rPr>
        <w:t>附件6：发包通知书</w:t>
      </w:r>
    </w:p>
    <w:p>
      <w:pPr>
        <w:tabs>
          <w:tab w:val="left" w:pos="5740"/>
        </w:tabs>
        <w:autoSpaceDE w:val="0"/>
        <w:autoSpaceDN w:val="0"/>
        <w:adjustRightInd w:val="0"/>
        <w:jc w:val="center"/>
        <w:rPr>
          <w:rFonts w:hint="eastAsia" w:ascii="方正小标宋简体" w:hAnsi="宋体" w:eastAsia="方正小标宋简体" w:cs="宋体"/>
          <w:bCs/>
          <w:color w:val="auto"/>
          <w:kern w:val="0"/>
          <w:sz w:val="44"/>
          <w:szCs w:val="44"/>
        </w:rPr>
      </w:pPr>
    </w:p>
    <w:p>
      <w:pPr>
        <w:tabs>
          <w:tab w:val="left" w:pos="5740"/>
        </w:tabs>
        <w:autoSpaceDE w:val="0"/>
        <w:autoSpaceDN w:val="0"/>
        <w:adjustRightInd w:val="0"/>
        <w:jc w:val="center"/>
        <w:rPr>
          <w:rFonts w:ascii="方正小标宋简体" w:hAnsi="宋体" w:eastAsia="方正小标宋简体"/>
          <w:color w:val="auto"/>
          <w:sz w:val="44"/>
          <w:szCs w:val="44"/>
        </w:rPr>
      </w:pPr>
      <w:r>
        <w:rPr>
          <w:rFonts w:hint="eastAsia" w:ascii="方正小标宋简体" w:hAnsi="宋体" w:eastAsia="方正小标宋简体" w:cs="宋体"/>
          <w:bCs/>
          <w:color w:val="auto"/>
          <w:kern w:val="0"/>
          <w:sz w:val="44"/>
          <w:szCs w:val="44"/>
        </w:rPr>
        <w:t>广州市净水有限公司</w:t>
      </w:r>
      <w:r>
        <w:rPr>
          <w:rFonts w:hint="eastAsia" w:ascii="方正小标宋简体" w:hAnsi="宋体" w:eastAsia="方正小标宋简体"/>
          <w:color w:val="auto"/>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color w:val="auto"/>
          <w:kern w:val="0"/>
          <w:sz w:val="44"/>
          <w:szCs w:val="44"/>
        </w:rPr>
      </w:pPr>
      <w:r>
        <w:rPr>
          <w:rFonts w:hint="eastAsia" w:ascii="方正小标宋简体" w:hAnsi="宋体" w:eastAsia="方正小标宋简体" w:cs="宋体"/>
          <w:bCs/>
          <w:color w:val="auto"/>
          <w:kern w:val="0"/>
          <w:sz w:val="44"/>
          <w:szCs w:val="44"/>
        </w:rPr>
        <w:t>发包通知书</w:t>
      </w:r>
    </w:p>
    <w:p>
      <w:pPr>
        <w:tabs>
          <w:tab w:val="left" w:pos="709"/>
        </w:tabs>
        <w:autoSpaceDE w:val="0"/>
        <w:autoSpaceDN w:val="0"/>
        <w:adjustRightInd w:val="0"/>
        <w:spacing w:after="400"/>
        <w:jc w:val="center"/>
        <w:rPr>
          <w:rFonts w:ascii="仿宋" w:hAnsi="仿宋" w:eastAsia="仿宋" w:cs="仿宋"/>
          <w:color w:val="auto"/>
          <w:kern w:val="0"/>
          <w:sz w:val="32"/>
          <w:szCs w:val="32"/>
        </w:rPr>
      </w:pPr>
      <w:r>
        <w:rPr>
          <w:rFonts w:hint="eastAsia" w:ascii="仿宋" w:hAnsi="仿宋" w:eastAsia="仿宋" w:cs="仿宋"/>
          <w:color w:val="auto"/>
          <w:kern w:val="0"/>
          <w:sz w:val="32"/>
          <w:szCs w:val="32"/>
        </w:rPr>
        <w:t>广净（   询）字 [20××] 第 [×××] 号</w:t>
      </w:r>
    </w:p>
    <w:p>
      <w:pPr>
        <w:autoSpaceDE w:val="0"/>
        <w:autoSpaceDN w:val="0"/>
        <w:adjustRightInd w:val="0"/>
        <w:spacing w:after="300"/>
        <w:jc w:val="left"/>
        <w:rPr>
          <w:rFonts w:ascii="仿宋" w:hAnsi="仿宋" w:eastAsia="仿宋" w:cs="仿宋"/>
          <w:color w:val="auto"/>
          <w:kern w:val="0"/>
          <w:sz w:val="32"/>
          <w:szCs w:val="32"/>
        </w:rPr>
      </w:pPr>
      <w:r>
        <w:rPr>
          <w:rFonts w:hint="eastAsia" w:ascii="仿宋" w:hAnsi="仿宋" w:eastAsia="仿宋" w:cs="仿宋"/>
          <w:color w:val="auto"/>
          <w:kern w:val="0"/>
          <w:sz w:val="32"/>
          <w:szCs w:val="32"/>
        </w:rPr>
        <w:t>承包单位(全称):</w:t>
      </w:r>
    </w:p>
    <w:p>
      <w:pPr>
        <w:autoSpaceDE w:val="0"/>
        <w:autoSpaceDN w:val="0"/>
        <w:adjustRightInd w:val="0"/>
        <w:spacing w:after="300" w:line="500" w:lineRule="atLeast"/>
        <w:jc w:val="left"/>
        <w:rPr>
          <w:rFonts w:ascii="仿宋" w:hAnsi="仿宋" w:eastAsia="仿宋" w:cs="仿宋"/>
          <w:color w:val="auto"/>
          <w:kern w:val="0"/>
          <w:sz w:val="32"/>
          <w:szCs w:val="32"/>
        </w:rPr>
      </w:pPr>
      <w:r>
        <w:rPr>
          <w:rFonts w:hint="eastAsia" w:ascii="仿宋" w:hAnsi="仿宋" w:eastAsia="仿宋" w:cs="仿宋"/>
          <w:color w:val="auto"/>
          <w:kern w:val="0"/>
          <w:sz w:val="32"/>
          <w:szCs w:val="32"/>
        </w:rPr>
        <w:t xml:space="preserve">    经询价小组评审推荐，确定你单位为</w:t>
      </w:r>
      <w:r>
        <w:rPr>
          <w:rFonts w:hint="eastAsia" w:ascii="仿宋" w:hAnsi="仿宋" w:eastAsia="仿宋" w:cs="仿宋"/>
          <w:color w:val="auto"/>
          <w:kern w:val="0"/>
          <w:sz w:val="32"/>
          <w:szCs w:val="32"/>
          <w:lang w:val="en-US" w:eastAsia="zh-CN"/>
        </w:rPr>
        <w:t>江高</w:t>
      </w:r>
      <w:r>
        <w:rPr>
          <w:rFonts w:hint="eastAsia" w:ascii="仿宋" w:hAnsi="仿宋" w:eastAsia="仿宋" w:cs="仿宋"/>
          <w:color w:val="auto"/>
          <w:kern w:val="0"/>
          <w:sz w:val="32"/>
          <w:szCs w:val="32"/>
        </w:rPr>
        <w:t>分公</w:t>
      </w:r>
      <w:r>
        <w:rPr>
          <w:rFonts w:hint="eastAsia" w:ascii="仿宋" w:hAnsi="仿宋" w:eastAsia="仿宋" w:cs="仿宋"/>
          <w:color w:val="auto"/>
          <w:kern w:val="0"/>
          <w:sz w:val="32"/>
          <w:szCs w:val="32"/>
          <w:lang w:val="en-US" w:eastAsia="zh-CN"/>
        </w:rPr>
        <w:t>司</w:t>
      </w:r>
      <w:r>
        <w:rPr>
          <w:rFonts w:hint="eastAsia" w:ascii="仿宋" w:hAnsi="仿宋" w:eastAsia="仿宋" w:cs="仿宋"/>
          <w:color w:val="auto"/>
          <w:kern w:val="0"/>
          <w:sz w:val="32"/>
          <w:szCs w:val="32"/>
        </w:rPr>
        <w:t>2022年保密室装修项目的承包单位，承包内容为询价文件所规定的发包内容，报价为 人民币×拾×万×仟×佰元（￥元）。</w:t>
      </w:r>
    </w:p>
    <w:p>
      <w:pPr>
        <w:autoSpaceDE w:val="0"/>
        <w:autoSpaceDN w:val="0"/>
        <w:adjustRightInd w:val="0"/>
        <w:spacing w:after="200"/>
        <w:jc w:val="left"/>
        <w:rPr>
          <w:rFonts w:ascii="仿宋" w:hAnsi="仿宋" w:eastAsia="仿宋" w:cs="仿宋"/>
          <w:color w:val="auto"/>
          <w:kern w:val="0"/>
          <w:sz w:val="32"/>
          <w:szCs w:val="32"/>
        </w:rPr>
      </w:pPr>
      <w:r>
        <w:rPr>
          <w:rFonts w:hint="eastAsia" w:ascii="仿宋" w:hAnsi="仿宋" w:eastAsia="仿宋" w:cs="仿宋"/>
          <w:color w:val="auto"/>
          <w:kern w:val="0"/>
          <w:sz w:val="32"/>
          <w:szCs w:val="32"/>
        </w:rPr>
        <w:t>其中：</w:t>
      </w:r>
    </w:p>
    <w:p>
      <w:pPr>
        <w:autoSpaceDE w:val="0"/>
        <w:autoSpaceDN w:val="0"/>
        <w:adjustRightInd w:val="0"/>
        <w:spacing w:after="500"/>
        <w:jc w:val="left"/>
        <w:rPr>
          <w:rFonts w:ascii="仿宋" w:hAnsi="仿宋" w:eastAsia="仿宋" w:cs="仿宋"/>
          <w:color w:val="auto"/>
          <w:kern w:val="0"/>
          <w:sz w:val="32"/>
          <w:szCs w:val="32"/>
        </w:rPr>
      </w:pPr>
      <w:r>
        <w:rPr>
          <w:rFonts w:hint="eastAsia" w:ascii="仿宋" w:hAnsi="仿宋" w:eastAsia="仿宋" w:cs="仿宋"/>
          <w:color w:val="auto"/>
          <w:kern w:val="0"/>
          <w:sz w:val="32"/>
          <w:szCs w:val="32"/>
        </w:rPr>
        <w:t xml:space="preserve">      项目负责人姓名： </w:t>
      </w:r>
    </w:p>
    <w:p>
      <w:pPr>
        <w:autoSpaceDE w:val="0"/>
        <w:autoSpaceDN w:val="0"/>
        <w:adjustRightInd w:val="0"/>
        <w:spacing w:before="600" w:after="200"/>
        <w:ind w:left="5760"/>
        <w:jc w:val="left"/>
        <w:rPr>
          <w:rFonts w:ascii="仿宋" w:hAnsi="仿宋" w:eastAsia="仿宋" w:cs="仿宋"/>
          <w:color w:val="auto"/>
          <w:kern w:val="0"/>
          <w:sz w:val="32"/>
          <w:szCs w:val="32"/>
        </w:rPr>
      </w:pPr>
      <w:r>
        <w:rPr>
          <w:rFonts w:hint="eastAsia" w:ascii="仿宋" w:hAnsi="仿宋" w:eastAsia="仿宋" w:cs="仿宋"/>
          <w:color w:val="auto"/>
          <w:kern w:val="0"/>
          <w:sz w:val="32"/>
          <w:szCs w:val="32"/>
        </w:rPr>
        <w:t>发包单位（盖章）：</w:t>
      </w:r>
    </w:p>
    <w:p>
      <w:pPr>
        <w:autoSpaceDE w:val="0"/>
        <w:autoSpaceDN w:val="0"/>
        <w:adjustRightInd w:val="0"/>
        <w:spacing w:after="200"/>
        <w:jc w:val="left"/>
        <w:rPr>
          <w:rFonts w:ascii="仿宋_GB2312" w:hAnsi="STSong-Light" w:eastAsia="仿宋_GB2312" w:cs="STSong-Light"/>
          <w:color w:val="auto"/>
          <w:kern w:val="0"/>
          <w:sz w:val="32"/>
          <w:szCs w:val="32"/>
        </w:rPr>
      </w:pPr>
      <w:r>
        <w:rPr>
          <w:rFonts w:hint="eastAsia" w:ascii="仿宋" w:hAnsi="仿宋" w:eastAsia="仿宋" w:cs="仿宋"/>
          <w:color w:val="auto"/>
          <w:kern w:val="0"/>
          <w:sz w:val="32"/>
          <w:szCs w:val="32"/>
        </w:rPr>
        <w:t xml:space="preserve">                                        年  月  日</w:t>
      </w:r>
    </w:p>
    <w:p>
      <w:pPr>
        <w:autoSpaceDE w:val="0"/>
        <w:autoSpaceDN w:val="0"/>
        <w:adjustRightInd w:val="0"/>
        <w:spacing w:before="600" w:after="200"/>
        <w:ind w:left="5760"/>
        <w:jc w:val="left"/>
        <w:rPr>
          <w:rFonts w:ascii="STSong-Light" w:hAnsi="STSong-Light" w:cs="STSong-Light"/>
          <w:color w:val="auto"/>
          <w:kern w:val="0"/>
          <w:sz w:val="24"/>
        </w:rPr>
      </w:pPr>
    </w:p>
    <w:p>
      <w:pPr>
        <w:pStyle w:val="21"/>
        <w:rPr>
          <w:rFonts w:ascii="STSong-Light" w:hAnsi="STSong-Light" w:cs="STSong-Light"/>
          <w:color w:val="auto"/>
          <w:kern w:val="0"/>
          <w:sz w:val="24"/>
        </w:rPr>
      </w:pPr>
    </w:p>
    <w:p>
      <w:pPr>
        <w:adjustRightInd/>
        <w:snapToGrid/>
        <w:spacing w:beforeLines="-2147483648" w:afterLines="-2147483648" w:line="240" w:lineRule="auto"/>
        <w:jc w:val="left"/>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br w:type="page"/>
      </w:r>
    </w:p>
    <w:p>
      <w:pPr>
        <w:pStyle w:val="21"/>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rPr>
          <w:rFonts w:hint="eastAsia"/>
          <w:color w:val="auto"/>
          <w:highlight w:val="none"/>
        </w:rPr>
      </w:pPr>
      <w:bookmarkStart w:id="102" w:name="_Toc1563"/>
      <w:bookmarkStart w:id="103" w:name="_Toc8147"/>
      <w:bookmarkStart w:id="104" w:name="_Toc5129"/>
      <w:bookmarkStart w:id="105" w:name="_Toc21847"/>
      <w:bookmarkStart w:id="106" w:name="_Toc30824"/>
      <w:bookmarkStart w:id="107" w:name="_Toc16552"/>
      <w:bookmarkStart w:id="108" w:name="_Toc28358"/>
      <w:bookmarkStart w:id="109" w:name="_Toc6230"/>
      <w:bookmarkStart w:id="110" w:name="_Toc23515"/>
      <w:bookmarkStart w:id="111" w:name="_Toc3723"/>
      <w:bookmarkStart w:id="112" w:name="_Toc12169"/>
    </w:p>
    <w:p>
      <w:pPr>
        <w:pStyle w:val="4"/>
        <w:rPr>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第七章</w:t>
      </w:r>
      <w:bookmarkEnd w:id="102"/>
      <w:bookmarkEnd w:id="103"/>
      <w:bookmarkEnd w:id="104"/>
      <w:bookmarkEnd w:id="105"/>
      <w:bookmarkEnd w:id="106"/>
      <w:bookmarkEnd w:id="107"/>
      <w:bookmarkEnd w:id="108"/>
      <w:bookmarkEnd w:id="109"/>
      <w:bookmarkEnd w:id="110"/>
      <w:bookmarkEnd w:id="111"/>
      <w:bookmarkEnd w:id="112"/>
    </w:p>
    <w:p>
      <w:pPr>
        <w:pStyle w:val="37"/>
        <w:rPr>
          <w:color w:val="auto"/>
          <w:highlight w:val="none"/>
        </w:rPr>
      </w:pPr>
    </w:p>
    <w:p>
      <w:pPr>
        <w:pStyle w:val="4"/>
        <w:rPr>
          <w:color w:val="auto"/>
          <w:highlight w:val="none"/>
        </w:rPr>
      </w:pPr>
      <w:bookmarkStart w:id="113" w:name="_Toc21675"/>
      <w:bookmarkStart w:id="114" w:name="_Toc24815"/>
      <w:bookmarkStart w:id="115" w:name="_Toc30157"/>
      <w:bookmarkStart w:id="116" w:name="_Toc10840"/>
      <w:bookmarkStart w:id="117" w:name="_Toc12610"/>
      <w:bookmarkStart w:id="118" w:name="_Toc12769"/>
      <w:bookmarkStart w:id="119" w:name="_Toc88209951"/>
      <w:bookmarkStart w:id="120" w:name="_Toc17119"/>
      <w:bookmarkStart w:id="121" w:name="_Toc24490"/>
      <w:bookmarkStart w:id="122" w:name="_Toc31564"/>
      <w:bookmarkStart w:id="123" w:name="_Toc22764"/>
      <w:bookmarkStart w:id="124" w:name="_Toc87616388"/>
      <w:bookmarkStart w:id="125" w:name="_Toc5342"/>
      <w:r>
        <w:rPr>
          <w:rFonts w:hint="eastAsia"/>
          <w:color w:val="auto"/>
          <w:highlight w:val="none"/>
        </w:rPr>
        <w:t>响应文件</w:t>
      </w:r>
      <w:r>
        <w:rPr>
          <w:rFonts w:hint="eastAsia"/>
          <w:color w:val="auto"/>
          <w:highlight w:val="none"/>
          <w:lang w:val="en-US" w:eastAsia="zh-CN"/>
        </w:rPr>
        <w:t>格式要求</w:t>
      </w:r>
      <w:bookmarkEnd w:id="113"/>
      <w:bookmarkEnd w:id="114"/>
      <w:bookmarkEnd w:id="115"/>
      <w:bookmarkEnd w:id="116"/>
      <w:bookmarkEnd w:id="117"/>
      <w:bookmarkEnd w:id="118"/>
      <w:bookmarkEnd w:id="119"/>
      <w:bookmarkEnd w:id="120"/>
      <w:bookmarkEnd w:id="121"/>
      <w:bookmarkEnd w:id="122"/>
      <w:bookmarkEnd w:id="123"/>
      <w:bookmarkEnd w:id="124"/>
      <w:bookmarkEnd w:id="125"/>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26" w:name="_Toc87616389"/>
      <w:bookmarkStart w:id="127" w:name="_Toc88209952"/>
      <w:r>
        <w:rPr>
          <w:rFonts w:hint="eastAsia" w:ascii="仿宋_GB2312" w:eastAsia="仿宋_GB2312"/>
          <w:color w:val="auto"/>
          <w:sz w:val="28"/>
          <w:szCs w:val="28"/>
          <w:highlight w:val="none"/>
        </w:rPr>
        <w:t>1.响应函</w:t>
      </w:r>
      <w:bookmarkEnd w:id="126"/>
      <w:bookmarkEnd w:id="127"/>
    </w:p>
    <w:p>
      <w:pPr>
        <w:spacing w:line="600" w:lineRule="exact"/>
        <w:rPr>
          <w:rFonts w:hint="eastAsia" w:ascii="仿宋_GB2312" w:eastAsia="仿宋_GB2312"/>
          <w:color w:val="auto"/>
          <w:sz w:val="28"/>
          <w:szCs w:val="28"/>
          <w:highlight w:val="none"/>
        </w:rPr>
      </w:pPr>
      <w:bookmarkStart w:id="128" w:name="_Toc87616390"/>
      <w:bookmarkStart w:id="129" w:name="_Toc88209953"/>
      <w:r>
        <w:rPr>
          <w:rFonts w:hint="eastAsia" w:ascii="仿宋_GB2312" w:eastAsia="仿宋_GB2312"/>
          <w:color w:val="auto"/>
          <w:sz w:val="28"/>
          <w:szCs w:val="28"/>
          <w:highlight w:val="none"/>
        </w:rPr>
        <w:t>2.法定代表人证明或授权委托书</w:t>
      </w:r>
      <w:bookmarkEnd w:id="128"/>
      <w:bookmarkEnd w:id="129"/>
      <w:bookmarkStart w:id="130" w:name="_Toc88209956"/>
      <w:bookmarkStart w:id="131"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30"/>
      <w:bookmarkEnd w:id="131"/>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rPr>
          <w:rFonts w:hint="eastAsia" w:asciiTheme="minorEastAsia" w:hAnsiTheme="minorEastAsia" w:eastAsiaTheme="minorEastAsia"/>
          <w:color w:val="auto"/>
          <w:sz w:val="28"/>
          <w:szCs w:val="28"/>
          <w:highlight w:val="none"/>
        </w:rPr>
      </w:pPr>
      <w:bookmarkStart w:id="132" w:name="_Toc87616394"/>
      <w:bookmarkStart w:id="133" w:name="_Toc28619645"/>
      <w:bookmarkStart w:id="134" w:name="_Toc12665"/>
      <w:bookmarkStart w:id="135" w:name="_Toc88209957"/>
      <w:bookmarkStart w:id="136" w:name="_Toc6313"/>
      <w:r>
        <w:rPr>
          <w:rFonts w:hint="eastAsia" w:asciiTheme="minorEastAsia" w:hAnsiTheme="minorEastAsia" w:eastAsiaTheme="minorEastAsia"/>
          <w:color w:val="auto"/>
          <w:sz w:val="28"/>
          <w:szCs w:val="28"/>
          <w:highlight w:val="none"/>
        </w:rPr>
        <w:br w:type="page"/>
      </w:r>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1.响应函</w:t>
      </w:r>
      <w:bookmarkEnd w:id="132"/>
      <w:bookmarkEnd w:id="133"/>
      <w:bookmarkEnd w:id="134"/>
      <w:bookmarkEnd w:id="135"/>
      <w:bookmarkEnd w:id="136"/>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37" w:name="_Toc88209958"/>
      <w:bookmarkStart w:id="138" w:name="_Toc29833"/>
      <w:bookmarkStart w:id="139" w:name="_Toc22527"/>
      <w:bookmarkStart w:id="140" w:name="_Toc87616395"/>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37"/>
      <w:bookmarkEnd w:id="138"/>
      <w:bookmarkEnd w:id="139"/>
      <w:bookmarkEnd w:id="140"/>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9"/>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8"/>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2"/>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7"/>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2"/>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1"/>
        <w:rPr>
          <w:rFonts w:hint="eastAsia" w:ascii="仿宋_GB2312" w:hAnsi="宋体" w:eastAsia="仿宋_GB2312"/>
          <w:color w:val="auto"/>
          <w:sz w:val="30"/>
          <w:szCs w:val="30"/>
          <w:highlight w:val="none"/>
        </w:rPr>
      </w:pPr>
    </w:p>
    <w:p>
      <w:pPr>
        <w:pStyle w:val="21"/>
        <w:rPr>
          <w:rFonts w:hint="eastAsia" w:ascii="仿宋_GB2312" w:hAnsi="宋体" w:eastAsia="仿宋_GB2312"/>
          <w:color w:val="auto"/>
          <w:sz w:val="30"/>
          <w:szCs w:val="30"/>
          <w:highlight w:val="none"/>
        </w:rPr>
      </w:pPr>
    </w:p>
    <w:p>
      <w:pPr>
        <w:pStyle w:val="21"/>
        <w:rPr>
          <w:rFonts w:hint="eastAsia" w:ascii="仿宋_GB2312" w:hAnsi="宋体" w:eastAsia="仿宋_GB2312"/>
          <w:color w:val="auto"/>
          <w:sz w:val="30"/>
          <w:szCs w:val="30"/>
          <w:highlight w:val="none"/>
        </w:rPr>
      </w:pPr>
    </w:p>
    <w:p>
      <w:pPr>
        <w:pStyle w:val="21"/>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41" w:name="_Toc87616400"/>
      <w:bookmarkStart w:id="142" w:name="_Toc88209963"/>
      <w:bookmarkStart w:id="143" w:name="_Toc8086"/>
      <w:bookmarkStart w:id="144" w:name="_Toc19830"/>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41"/>
      <w:bookmarkEnd w:id="142"/>
      <w:bookmarkEnd w:id="143"/>
      <w:bookmarkEnd w:id="144"/>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45"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45"/>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我方郑重承诺，在参与广州市净水有限公司</w:t>
      </w:r>
      <w:r>
        <w:rPr>
          <w:rFonts w:hint="eastAsia" w:ascii="宋体" w:hAnsi="宋体" w:eastAsia="宋体" w:cs="宋体"/>
          <w:color w:val="auto"/>
          <w:kern w:val="2"/>
          <w:sz w:val="24"/>
          <w:szCs w:val="24"/>
          <w:highlight w:val="none"/>
          <w:lang w:val="en-US" w:eastAsia="zh-CN"/>
        </w:rPr>
        <w:t>江高分公司保密室装修</w:t>
      </w:r>
      <w:bookmarkStart w:id="152" w:name="_GoBack"/>
      <w:bookmarkEnd w:id="152"/>
      <w:r>
        <w:rPr>
          <w:rFonts w:hint="eastAsia" w:ascii="宋体" w:hAnsi="宋体" w:eastAsia="宋体" w:cs="宋体"/>
          <w:color w:val="auto"/>
          <w:kern w:val="2"/>
          <w:sz w:val="24"/>
          <w:szCs w:val="24"/>
          <w:highlight w:val="none"/>
          <w:lang w:val="en-GB"/>
        </w:rPr>
        <w:t>项目</w:t>
      </w:r>
      <w:r>
        <w:rPr>
          <w:rFonts w:hint="eastAsia" w:ascii="宋体" w:hAnsi="宋体" w:eastAsia="宋体" w:cs="宋体"/>
          <w:color w:val="auto"/>
          <w:kern w:val="2"/>
          <w:sz w:val="24"/>
          <w:szCs w:val="24"/>
          <w:highlight w:val="none"/>
          <w:lang w:val="en-GB" w:eastAsia="zh-CN"/>
        </w:rPr>
        <w:t>（</w:t>
      </w:r>
      <w:r>
        <w:rPr>
          <w:rFonts w:hint="eastAsia" w:ascii="宋体" w:hAnsi="宋体" w:eastAsia="宋体" w:cs="宋体"/>
          <w:color w:val="auto"/>
          <w:kern w:val="2"/>
          <w:sz w:val="24"/>
          <w:szCs w:val="24"/>
          <w:highlight w:val="none"/>
          <w:lang w:val="en-US" w:eastAsia="zh-CN"/>
        </w:rPr>
        <w:t>第二次</w:t>
      </w:r>
      <w:r>
        <w:rPr>
          <w:rFonts w:hint="eastAsia" w:ascii="宋体" w:hAnsi="宋体" w:eastAsia="宋体" w:cs="宋体"/>
          <w:color w:val="auto"/>
          <w:kern w:val="2"/>
          <w:sz w:val="24"/>
          <w:szCs w:val="24"/>
          <w:highlight w:val="none"/>
          <w:lang w:val="en-GB" w:eastAsia="zh-CN"/>
        </w:rPr>
        <w:t>）</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注：附件：网页截图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1、网站截图为“信用中国”网站（www.creditchina.gov.cn）首页“信用信息”搜索一栏输入企业全称后得出的查询结果页面。信用记录承诺必须附网站截图。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2、截图中应显示网站域名，页面信息必须明确显示参与本项目的企业全称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1"/>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12"/>
        <w:snapToGrid w:val="0"/>
        <w:spacing w:line="600" w:lineRule="exact"/>
        <w:ind w:firstLine="0" w:firstLineChars="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pStyle w:val="21"/>
        <w:ind w:firstLine="0"/>
        <w:rPr>
          <w:rFonts w:hint="default" w:ascii="仿宋_GB2312" w:eastAsia="仿宋_GB2312" w:hAnsiTheme="minorEastAsia"/>
          <w:color w:val="auto"/>
          <w:sz w:val="28"/>
          <w:szCs w:val="28"/>
          <w:highlight w:val="none"/>
          <w:lang w:val="en-US" w:eastAsia="zh-CN"/>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1"/>
        <w:rPr>
          <w:rFonts w:hint="default" w:ascii="仿宋_GB2312" w:eastAsia="仿宋_GB2312" w:hAnsiTheme="minorEastAsia"/>
          <w:color w:val="auto"/>
          <w:sz w:val="28"/>
          <w:szCs w:val="28"/>
          <w:highlight w:val="none"/>
          <w:lang w:val="en-US" w:eastAsia="zh-CN"/>
        </w:rPr>
      </w:pPr>
    </w:p>
    <w:p>
      <w:pPr>
        <w:pStyle w:val="21"/>
        <w:rPr>
          <w:rFonts w:hint="default" w:ascii="仿宋_GB2312" w:eastAsia="仿宋_GB2312" w:hAnsiTheme="minorEastAsia"/>
          <w:color w:val="auto"/>
          <w:sz w:val="28"/>
          <w:szCs w:val="28"/>
          <w:highlight w:val="none"/>
          <w:lang w:val="en-US" w:eastAsia="zh-CN"/>
        </w:rPr>
      </w:pPr>
    </w:p>
    <w:p>
      <w:pPr>
        <w:pStyle w:val="21"/>
        <w:rPr>
          <w:rFonts w:hint="default" w:ascii="仿宋_GB2312" w:eastAsia="仿宋_GB2312" w:hAnsiTheme="minorEastAsia"/>
          <w:color w:val="auto"/>
          <w:sz w:val="28"/>
          <w:szCs w:val="28"/>
          <w:highlight w:val="none"/>
          <w:lang w:val="en-US" w:eastAsia="zh-CN"/>
        </w:rPr>
      </w:pPr>
    </w:p>
    <w:p>
      <w:pPr>
        <w:rPr>
          <w:rFonts w:hint="eastAsia" w:asciiTheme="minorEastAsia" w:hAnsiTheme="minorEastAsia" w:eastAsiaTheme="minorEastAsia"/>
          <w:color w:val="auto"/>
          <w:sz w:val="28"/>
          <w:szCs w:val="28"/>
          <w:highlight w:val="none"/>
        </w:rPr>
      </w:pPr>
      <w:bookmarkStart w:id="146" w:name="_Toc32430"/>
      <w:bookmarkStart w:id="147" w:name="_Toc19423"/>
      <w:r>
        <w:rPr>
          <w:rFonts w:hint="eastAsia" w:ascii="仿宋_GB2312" w:eastAsia="仿宋_GB2312" w:hAnsiTheme="minorEastAsia"/>
          <w:color w:val="auto"/>
          <w:sz w:val="28"/>
          <w:szCs w:val="28"/>
          <w:highlight w:val="none"/>
          <w:lang w:val="en-US" w:eastAsia="zh-CN"/>
        </w:rPr>
        <w:br w:type="page"/>
      </w:r>
    </w:p>
    <w:bookmarkEnd w:id="146"/>
    <w:bookmarkEnd w:id="147"/>
    <w:p>
      <w:pPr>
        <w:pStyle w:val="6"/>
        <w:rPr>
          <w:rFonts w:asciiTheme="minorEastAsia" w:hAnsiTheme="minorEastAsia" w:eastAsiaTheme="minorEastAsia"/>
          <w:sz w:val="28"/>
          <w:szCs w:val="28"/>
        </w:rPr>
      </w:pPr>
      <w:r>
        <w:rPr>
          <w:rFonts w:hint="eastAsia" w:ascii="仿宋_GB2312" w:eastAsia="仿宋_GB2312" w:hAnsiTheme="minorEastAsia"/>
          <w:sz w:val="28"/>
          <w:szCs w:val="28"/>
        </w:rPr>
        <w:t>5</w:t>
      </w:r>
      <w:r>
        <w:rPr>
          <w:rFonts w:hint="eastAsia" w:asciiTheme="minorEastAsia" w:hAnsiTheme="minorEastAsia" w:eastAsiaTheme="minorEastAsia"/>
          <w:sz w:val="28"/>
          <w:szCs w:val="28"/>
        </w:rPr>
        <w:t>.报价表</w:t>
      </w:r>
    </w:p>
    <w:p>
      <w:pPr>
        <w:widowControl/>
        <w:jc w:val="center"/>
        <w:textAlignment w:val="center"/>
        <w:rPr>
          <w:rFonts w:ascii="宋体" w:hAnsi="宋体" w:cs="宋体"/>
          <w:sz w:val="24"/>
        </w:rPr>
      </w:pPr>
      <w:r>
        <w:rPr>
          <w:rFonts w:hint="eastAsia" w:ascii="华文楷体" w:hAnsi="华文楷体" w:eastAsia="华文楷体" w:cs="华文楷体"/>
          <w:color w:val="000000"/>
          <w:kern w:val="0"/>
          <w:sz w:val="28"/>
          <w:szCs w:val="28"/>
          <w:lang w:bidi="ar"/>
        </w:rPr>
        <w:t>采购清单</w:t>
      </w:r>
    </w:p>
    <w:tbl>
      <w:tblPr>
        <w:tblStyle w:val="22"/>
        <w:tblW w:w="4994" w:type="pct"/>
        <w:tblInd w:w="0" w:type="dxa"/>
        <w:tblLayout w:type="fixed"/>
        <w:tblCellMar>
          <w:top w:w="0" w:type="dxa"/>
          <w:left w:w="0" w:type="dxa"/>
          <w:bottom w:w="0" w:type="dxa"/>
          <w:right w:w="0" w:type="dxa"/>
        </w:tblCellMar>
      </w:tblPr>
      <w:tblGrid>
        <w:gridCol w:w="442"/>
        <w:gridCol w:w="825"/>
        <w:gridCol w:w="1138"/>
        <w:gridCol w:w="600"/>
        <w:gridCol w:w="434"/>
        <w:gridCol w:w="616"/>
        <w:gridCol w:w="917"/>
        <w:gridCol w:w="883"/>
        <w:gridCol w:w="800"/>
        <w:gridCol w:w="750"/>
        <w:gridCol w:w="1460"/>
      </w:tblGrid>
      <w:tr>
        <w:tblPrEx>
          <w:tblCellMar>
            <w:top w:w="0" w:type="dxa"/>
            <w:left w:w="0" w:type="dxa"/>
            <w:bottom w:w="0" w:type="dxa"/>
            <w:right w:w="0" w:type="dxa"/>
          </w:tblCellMar>
        </w:tblPrEx>
        <w:trPr>
          <w:trHeight w:val="1304" w:hRule="atLeast"/>
        </w:trPr>
        <w:tc>
          <w:tcPr>
            <w:tcW w:w="24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微软雅黑" w:hAnsi="微软雅黑" w:eastAsia="微软雅黑" w:cs="微软雅黑"/>
                <w:b/>
                <w:color w:val="000000"/>
                <w:sz w:val="20"/>
                <w:szCs w:val="20"/>
              </w:rPr>
            </w:pPr>
            <w:r>
              <w:rPr>
                <w:rFonts w:hint="eastAsia" w:ascii="微软雅黑" w:hAnsi="微软雅黑" w:eastAsia="微软雅黑" w:cs="微软雅黑"/>
                <w:b/>
                <w:color w:val="000000"/>
                <w:kern w:val="0"/>
                <w:sz w:val="20"/>
                <w:szCs w:val="20"/>
                <w:lang w:bidi="ar"/>
              </w:rPr>
              <w:t>序号</w:t>
            </w:r>
          </w:p>
        </w:tc>
        <w:tc>
          <w:tcPr>
            <w:tcW w:w="46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微软雅黑" w:hAnsi="微软雅黑" w:eastAsia="微软雅黑" w:cs="微软雅黑"/>
                <w:b/>
                <w:color w:val="000000"/>
                <w:sz w:val="20"/>
                <w:szCs w:val="20"/>
              </w:rPr>
            </w:pPr>
            <w:r>
              <w:rPr>
                <w:rFonts w:hint="eastAsia" w:ascii="微软雅黑" w:hAnsi="微软雅黑" w:eastAsia="微软雅黑" w:cs="微软雅黑"/>
                <w:b/>
                <w:color w:val="000000"/>
                <w:kern w:val="0"/>
                <w:sz w:val="20"/>
                <w:szCs w:val="20"/>
                <w:lang w:bidi="ar"/>
              </w:rPr>
              <w:t>货物名称</w:t>
            </w:r>
          </w:p>
        </w:tc>
        <w:tc>
          <w:tcPr>
            <w:tcW w:w="6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微软雅黑" w:hAnsi="微软雅黑" w:eastAsia="微软雅黑" w:cs="微软雅黑"/>
                <w:b/>
                <w:color w:val="000000"/>
                <w:sz w:val="20"/>
                <w:szCs w:val="20"/>
              </w:rPr>
            </w:pPr>
            <w:r>
              <w:rPr>
                <w:rFonts w:hint="eastAsia" w:ascii="微软雅黑" w:hAnsi="微软雅黑" w:eastAsia="微软雅黑" w:cs="微软雅黑"/>
                <w:b/>
                <w:color w:val="000000"/>
                <w:kern w:val="0"/>
                <w:sz w:val="20"/>
                <w:szCs w:val="20"/>
                <w:lang w:bidi="ar"/>
              </w:rPr>
              <w:t>规格型号/参数</w:t>
            </w:r>
          </w:p>
        </w:tc>
        <w:tc>
          <w:tcPr>
            <w:tcW w:w="3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微软雅黑" w:hAnsi="微软雅黑" w:eastAsia="微软雅黑" w:cs="微软雅黑"/>
                <w:b/>
                <w:color w:val="000000"/>
                <w:sz w:val="20"/>
                <w:szCs w:val="20"/>
              </w:rPr>
            </w:pPr>
            <w:r>
              <w:rPr>
                <w:rFonts w:hint="eastAsia" w:ascii="微软雅黑" w:hAnsi="微软雅黑" w:eastAsia="微软雅黑" w:cs="微软雅黑"/>
                <w:b/>
                <w:color w:val="000000"/>
                <w:kern w:val="0"/>
                <w:sz w:val="20"/>
                <w:szCs w:val="20"/>
                <w:lang w:bidi="ar"/>
              </w:rPr>
              <w:t>品牌</w:t>
            </w:r>
          </w:p>
        </w:tc>
        <w:tc>
          <w:tcPr>
            <w:tcW w:w="2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微软雅黑" w:hAnsi="微软雅黑" w:eastAsia="微软雅黑" w:cs="微软雅黑"/>
                <w:b/>
                <w:color w:val="000000"/>
                <w:sz w:val="20"/>
                <w:szCs w:val="20"/>
              </w:rPr>
            </w:pPr>
            <w:r>
              <w:rPr>
                <w:rFonts w:hint="eastAsia" w:ascii="微软雅黑" w:hAnsi="微软雅黑" w:eastAsia="微软雅黑" w:cs="微软雅黑"/>
                <w:b/>
                <w:color w:val="000000"/>
                <w:kern w:val="0"/>
                <w:sz w:val="20"/>
                <w:szCs w:val="20"/>
                <w:lang w:bidi="ar"/>
              </w:rPr>
              <w:t>单位</w:t>
            </w:r>
          </w:p>
        </w:tc>
        <w:tc>
          <w:tcPr>
            <w:tcW w:w="34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微软雅黑" w:hAnsi="微软雅黑" w:eastAsia="微软雅黑" w:cs="微软雅黑"/>
                <w:b/>
                <w:color w:val="000000"/>
                <w:sz w:val="20"/>
                <w:szCs w:val="20"/>
              </w:rPr>
            </w:pPr>
            <w:r>
              <w:rPr>
                <w:rFonts w:hint="eastAsia" w:ascii="微软雅黑" w:hAnsi="微软雅黑" w:eastAsia="微软雅黑" w:cs="微软雅黑"/>
                <w:b/>
                <w:color w:val="000000"/>
                <w:kern w:val="0"/>
                <w:sz w:val="20"/>
                <w:szCs w:val="20"/>
                <w:lang w:bidi="ar"/>
              </w:rPr>
              <w:t>数量</w:t>
            </w:r>
          </w:p>
        </w:tc>
        <w:tc>
          <w:tcPr>
            <w:tcW w:w="5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微软雅黑" w:hAnsi="微软雅黑" w:eastAsia="微软雅黑" w:cs="微软雅黑"/>
                <w:b/>
                <w:color w:val="000000"/>
                <w:sz w:val="20"/>
                <w:szCs w:val="20"/>
              </w:rPr>
            </w:pPr>
            <w:r>
              <w:rPr>
                <w:rFonts w:hint="eastAsia" w:ascii="微软雅黑" w:hAnsi="微软雅黑" w:eastAsia="微软雅黑" w:cs="微软雅黑"/>
                <w:b/>
                <w:color w:val="000000"/>
                <w:kern w:val="0"/>
                <w:sz w:val="20"/>
                <w:szCs w:val="20"/>
                <w:lang w:bidi="ar"/>
              </w:rPr>
              <w:t>不含税单价（元）</w:t>
            </w:r>
          </w:p>
        </w:tc>
        <w:tc>
          <w:tcPr>
            <w:tcW w:w="4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微软雅黑" w:hAnsi="微软雅黑" w:eastAsia="微软雅黑" w:cs="微软雅黑"/>
                <w:b/>
                <w:color w:val="000000"/>
                <w:sz w:val="20"/>
                <w:szCs w:val="20"/>
              </w:rPr>
            </w:pPr>
            <w:r>
              <w:rPr>
                <w:rFonts w:hint="eastAsia" w:ascii="微软雅黑" w:hAnsi="微软雅黑" w:eastAsia="微软雅黑" w:cs="微软雅黑"/>
                <w:b/>
                <w:color w:val="000000"/>
                <w:kern w:val="0"/>
                <w:sz w:val="20"/>
                <w:szCs w:val="20"/>
                <w:lang w:bidi="ar"/>
              </w:rPr>
              <w:t>不含税总价（元）</w:t>
            </w:r>
          </w:p>
        </w:tc>
        <w:tc>
          <w:tcPr>
            <w:tcW w:w="45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微软雅黑" w:hAnsi="微软雅黑" w:eastAsia="微软雅黑" w:cs="微软雅黑"/>
                <w:b/>
                <w:color w:val="000000"/>
                <w:sz w:val="20"/>
                <w:szCs w:val="20"/>
              </w:rPr>
            </w:pPr>
            <w:r>
              <w:rPr>
                <w:rFonts w:hint="eastAsia" w:ascii="微软雅黑" w:hAnsi="微软雅黑" w:eastAsia="微软雅黑" w:cs="微软雅黑"/>
                <w:b/>
                <w:color w:val="000000"/>
                <w:kern w:val="0"/>
                <w:sz w:val="20"/>
                <w:szCs w:val="20"/>
                <w:lang w:bidi="ar"/>
              </w:rPr>
              <w:t>含税单价（元）</w:t>
            </w:r>
          </w:p>
        </w:tc>
        <w:tc>
          <w:tcPr>
            <w:tcW w:w="4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微软雅黑" w:hAnsi="微软雅黑" w:eastAsia="微软雅黑" w:cs="微软雅黑"/>
                <w:b/>
                <w:color w:val="000000"/>
                <w:sz w:val="20"/>
                <w:szCs w:val="20"/>
              </w:rPr>
            </w:pPr>
            <w:r>
              <w:rPr>
                <w:rFonts w:hint="eastAsia" w:ascii="微软雅黑" w:hAnsi="微软雅黑" w:eastAsia="微软雅黑" w:cs="微软雅黑"/>
                <w:b/>
                <w:color w:val="000000"/>
                <w:kern w:val="0"/>
                <w:sz w:val="20"/>
                <w:szCs w:val="20"/>
                <w:lang w:bidi="ar"/>
              </w:rPr>
              <w:t>含税总价（元）</w:t>
            </w:r>
          </w:p>
        </w:tc>
        <w:tc>
          <w:tcPr>
            <w:tcW w:w="8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微软雅黑" w:hAnsi="微软雅黑" w:eastAsia="微软雅黑" w:cs="微软雅黑"/>
                <w:b/>
                <w:color w:val="000000"/>
                <w:sz w:val="20"/>
                <w:szCs w:val="20"/>
              </w:rPr>
            </w:pPr>
            <w:r>
              <w:rPr>
                <w:rFonts w:hint="eastAsia" w:ascii="微软雅黑" w:hAnsi="微软雅黑" w:eastAsia="微软雅黑" w:cs="微软雅黑"/>
                <w:b/>
                <w:color w:val="000000"/>
                <w:kern w:val="0"/>
                <w:sz w:val="20"/>
                <w:szCs w:val="20"/>
                <w:lang w:bidi="ar"/>
              </w:rPr>
              <w:t>备注</w:t>
            </w:r>
          </w:p>
        </w:tc>
      </w:tr>
      <w:tr>
        <w:tblPrEx>
          <w:tblCellMar>
            <w:top w:w="0" w:type="dxa"/>
            <w:left w:w="0" w:type="dxa"/>
            <w:bottom w:w="0" w:type="dxa"/>
            <w:right w:w="0" w:type="dxa"/>
          </w:tblCellMar>
        </w:tblPrEx>
        <w:trPr>
          <w:trHeight w:val="1304" w:hRule="atLeast"/>
        </w:trPr>
        <w:tc>
          <w:tcPr>
            <w:tcW w:w="24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2"/>
                <w:szCs w:val="22"/>
                <w:u w:val="none"/>
                <w:lang w:val="en-US" w:eastAsia="zh-CN" w:bidi="ar-SA"/>
              </w:rPr>
            </w:pPr>
            <w:r>
              <w:rPr>
                <w:rFonts w:hint="eastAsia" w:ascii="仿宋" w:hAnsi="仿宋" w:eastAsia="仿宋" w:cs="仿宋"/>
                <w:i w:val="0"/>
                <w:color w:val="auto"/>
                <w:kern w:val="0"/>
                <w:sz w:val="22"/>
                <w:szCs w:val="22"/>
                <w:u w:val="none"/>
                <w:lang w:val="en-US" w:eastAsia="zh-CN" w:bidi="ar"/>
              </w:rPr>
              <w:t>1</w:t>
            </w:r>
          </w:p>
        </w:tc>
        <w:tc>
          <w:tcPr>
            <w:tcW w:w="46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甲级防盗门</w:t>
            </w:r>
          </w:p>
        </w:tc>
        <w:tc>
          <w:tcPr>
            <w:tcW w:w="6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甲级防盗门（860*2100）</w:t>
            </w:r>
          </w:p>
        </w:tc>
        <w:tc>
          <w:tcPr>
            <w:tcW w:w="3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定制</w:t>
            </w:r>
          </w:p>
        </w:tc>
        <w:tc>
          <w:tcPr>
            <w:tcW w:w="2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扇</w:t>
            </w:r>
          </w:p>
        </w:tc>
        <w:tc>
          <w:tcPr>
            <w:tcW w:w="34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000000"/>
                <w:sz w:val="22"/>
              </w:rPr>
            </w:pPr>
          </w:p>
        </w:tc>
        <w:tc>
          <w:tcPr>
            <w:tcW w:w="4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000000"/>
                <w:sz w:val="22"/>
              </w:rPr>
            </w:pPr>
          </w:p>
        </w:tc>
        <w:tc>
          <w:tcPr>
            <w:tcW w:w="45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000000"/>
                <w:sz w:val="22"/>
              </w:rPr>
            </w:pPr>
          </w:p>
        </w:tc>
        <w:tc>
          <w:tcPr>
            <w:tcW w:w="4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000000"/>
                <w:sz w:val="22"/>
              </w:rPr>
            </w:pPr>
          </w:p>
        </w:tc>
        <w:tc>
          <w:tcPr>
            <w:tcW w:w="8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sz w:val="24"/>
                <w:szCs w:val="24"/>
                <w:u w:val="none"/>
              </w:rPr>
              <w:t>需要用符合 GB 17565 要求的甲级防盗安全门，并提供公安部的检测报告</w:t>
            </w:r>
            <w:r>
              <w:rPr>
                <w:rFonts w:hint="eastAsia" w:ascii="仿宋" w:hAnsi="仿宋" w:eastAsia="仿宋" w:cs="仿宋"/>
                <w:i w:val="0"/>
                <w:color w:val="auto"/>
                <w:sz w:val="24"/>
                <w:szCs w:val="24"/>
                <w:u w:val="none"/>
                <w:lang w:eastAsia="zh-CN"/>
              </w:rPr>
              <w:t>。（</w:t>
            </w:r>
            <w:r>
              <w:rPr>
                <w:rFonts w:hint="eastAsia" w:ascii="仿宋" w:hAnsi="仿宋" w:eastAsia="仿宋" w:cs="仿宋"/>
                <w:i w:val="0"/>
                <w:color w:val="auto"/>
                <w:sz w:val="24"/>
                <w:szCs w:val="24"/>
                <w:u w:val="none"/>
                <w:lang w:val="en-US" w:eastAsia="zh-CN"/>
              </w:rPr>
              <w:t>冷轧钢、龙骨架、防火阻燃材料，配备机械锁</w:t>
            </w:r>
            <w:r>
              <w:rPr>
                <w:rFonts w:hint="eastAsia" w:ascii="仿宋" w:hAnsi="仿宋" w:eastAsia="仿宋" w:cs="仿宋"/>
                <w:i w:val="0"/>
                <w:color w:val="auto"/>
                <w:sz w:val="24"/>
                <w:szCs w:val="24"/>
                <w:u w:val="none"/>
                <w:lang w:eastAsia="zh-CN"/>
              </w:rPr>
              <w:t>）</w:t>
            </w:r>
          </w:p>
        </w:tc>
      </w:tr>
      <w:tr>
        <w:tblPrEx>
          <w:tblCellMar>
            <w:top w:w="0" w:type="dxa"/>
            <w:left w:w="0" w:type="dxa"/>
            <w:bottom w:w="0" w:type="dxa"/>
            <w:right w:w="0" w:type="dxa"/>
          </w:tblCellMar>
        </w:tblPrEx>
        <w:trPr>
          <w:trHeight w:val="359" w:hRule="atLeast"/>
        </w:trPr>
        <w:tc>
          <w:tcPr>
            <w:tcW w:w="24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2"/>
                <w:szCs w:val="22"/>
                <w:u w:val="none"/>
                <w:lang w:val="en-US" w:eastAsia="zh-CN" w:bidi="ar-SA"/>
              </w:rPr>
            </w:pPr>
            <w:r>
              <w:rPr>
                <w:rFonts w:hint="eastAsia" w:ascii="仿宋" w:hAnsi="仿宋" w:eastAsia="仿宋" w:cs="仿宋"/>
                <w:i w:val="0"/>
                <w:color w:val="auto"/>
                <w:kern w:val="0"/>
                <w:sz w:val="22"/>
                <w:szCs w:val="22"/>
                <w:u w:val="none"/>
                <w:lang w:val="en-US" w:eastAsia="zh-CN" w:bidi="ar"/>
              </w:rPr>
              <w:t>2</w:t>
            </w:r>
          </w:p>
        </w:tc>
        <w:tc>
          <w:tcPr>
            <w:tcW w:w="46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门禁</w:t>
            </w:r>
          </w:p>
        </w:tc>
        <w:tc>
          <w:tcPr>
            <w:tcW w:w="6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指纹密码锁</w:t>
            </w:r>
          </w:p>
        </w:tc>
        <w:tc>
          <w:tcPr>
            <w:tcW w:w="3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国产</w:t>
            </w:r>
          </w:p>
        </w:tc>
        <w:tc>
          <w:tcPr>
            <w:tcW w:w="2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个</w:t>
            </w:r>
          </w:p>
        </w:tc>
        <w:tc>
          <w:tcPr>
            <w:tcW w:w="34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000000"/>
                <w:sz w:val="22"/>
              </w:rPr>
            </w:pPr>
          </w:p>
        </w:tc>
        <w:tc>
          <w:tcPr>
            <w:tcW w:w="4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000000"/>
                <w:sz w:val="22"/>
              </w:rPr>
            </w:pPr>
          </w:p>
        </w:tc>
        <w:tc>
          <w:tcPr>
            <w:tcW w:w="45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000000"/>
                <w:sz w:val="22"/>
              </w:rPr>
            </w:pPr>
          </w:p>
        </w:tc>
        <w:tc>
          <w:tcPr>
            <w:tcW w:w="4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000000"/>
                <w:sz w:val="22"/>
              </w:rPr>
            </w:pPr>
          </w:p>
        </w:tc>
        <w:tc>
          <w:tcPr>
            <w:tcW w:w="8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指纹密码一体锁</w:t>
            </w:r>
          </w:p>
        </w:tc>
      </w:tr>
      <w:tr>
        <w:tblPrEx>
          <w:tblCellMar>
            <w:top w:w="0" w:type="dxa"/>
            <w:left w:w="0" w:type="dxa"/>
            <w:bottom w:w="0" w:type="dxa"/>
            <w:right w:w="0" w:type="dxa"/>
          </w:tblCellMar>
        </w:tblPrEx>
        <w:trPr>
          <w:trHeight w:val="426" w:hRule="atLeast"/>
        </w:trPr>
        <w:tc>
          <w:tcPr>
            <w:tcW w:w="24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2"/>
                <w:szCs w:val="22"/>
                <w:u w:val="none"/>
                <w:lang w:val="en-US" w:eastAsia="zh-CN" w:bidi="ar-SA"/>
              </w:rPr>
            </w:pPr>
            <w:r>
              <w:rPr>
                <w:rFonts w:hint="eastAsia" w:ascii="仿宋" w:hAnsi="仿宋" w:eastAsia="仿宋" w:cs="仿宋"/>
                <w:i w:val="0"/>
                <w:color w:val="auto"/>
                <w:kern w:val="0"/>
                <w:sz w:val="22"/>
                <w:szCs w:val="22"/>
                <w:u w:val="none"/>
                <w:lang w:val="en-US" w:eastAsia="zh-CN" w:bidi="ar"/>
              </w:rPr>
              <w:t>3</w:t>
            </w:r>
          </w:p>
        </w:tc>
        <w:tc>
          <w:tcPr>
            <w:tcW w:w="46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闭合器</w:t>
            </w:r>
          </w:p>
        </w:tc>
        <w:tc>
          <w:tcPr>
            <w:tcW w:w="6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自动闭合器</w:t>
            </w:r>
          </w:p>
        </w:tc>
        <w:tc>
          <w:tcPr>
            <w:tcW w:w="3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定制</w:t>
            </w:r>
          </w:p>
        </w:tc>
        <w:tc>
          <w:tcPr>
            <w:tcW w:w="2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个</w:t>
            </w:r>
          </w:p>
        </w:tc>
        <w:tc>
          <w:tcPr>
            <w:tcW w:w="34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000000"/>
                <w:sz w:val="22"/>
              </w:rPr>
            </w:pPr>
          </w:p>
        </w:tc>
        <w:tc>
          <w:tcPr>
            <w:tcW w:w="4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000000"/>
                <w:sz w:val="22"/>
              </w:rPr>
            </w:pPr>
          </w:p>
        </w:tc>
        <w:tc>
          <w:tcPr>
            <w:tcW w:w="45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000000"/>
                <w:sz w:val="22"/>
              </w:rPr>
            </w:pPr>
          </w:p>
        </w:tc>
        <w:tc>
          <w:tcPr>
            <w:tcW w:w="4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000000"/>
                <w:sz w:val="22"/>
              </w:rPr>
            </w:pPr>
          </w:p>
        </w:tc>
        <w:tc>
          <w:tcPr>
            <w:tcW w:w="8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门锁自动闭合器</w:t>
            </w:r>
          </w:p>
        </w:tc>
      </w:tr>
      <w:tr>
        <w:tblPrEx>
          <w:tblCellMar>
            <w:top w:w="0" w:type="dxa"/>
            <w:left w:w="0" w:type="dxa"/>
            <w:bottom w:w="0" w:type="dxa"/>
            <w:right w:w="0" w:type="dxa"/>
          </w:tblCellMar>
        </w:tblPrEx>
        <w:trPr>
          <w:trHeight w:val="626" w:hRule="atLeast"/>
        </w:trPr>
        <w:tc>
          <w:tcPr>
            <w:tcW w:w="24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2"/>
                <w:szCs w:val="22"/>
                <w:u w:val="none"/>
                <w:lang w:val="en-US" w:eastAsia="zh-CN" w:bidi="ar-SA"/>
              </w:rPr>
            </w:pPr>
            <w:r>
              <w:rPr>
                <w:rFonts w:hint="eastAsia" w:ascii="仿宋" w:hAnsi="仿宋" w:eastAsia="仿宋" w:cs="仿宋"/>
                <w:i w:val="0"/>
                <w:color w:val="auto"/>
                <w:kern w:val="0"/>
                <w:sz w:val="22"/>
                <w:szCs w:val="22"/>
                <w:u w:val="none"/>
                <w:lang w:val="en-US" w:eastAsia="zh-CN" w:bidi="ar"/>
              </w:rPr>
              <w:t>4</w:t>
            </w:r>
          </w:p>
        </w:tc>
        <w:tc>
          <w:tcPr>
            <w:tcW w:w="46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实心钢条防盗网</w:t>
            </w:r>
          </w:p>
        </w:tc>
        <w:tc>
          <w:tcPr>
            <w:tcW w:w="6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实心钢条防盗网</w:t>
            </w:r>
          </w:p>
        </w:tc>
        <w:tc>
          <w:tcPr>
            <w:tcW w:w="3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定制</w:t>
            </w:r>
          </w:p>
        </w:tc>
        <w:tc>
          <w:tcPr>
            <w:tcW w:w="2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w:t>
            </w:r>
          </w:p>
        </w:tc>
        <w:tc>
          <w:tcPr>
            <w:tcW w:w="34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sz w:val="24"/>
                <w:szCs w:val="24"/>
                <w:u w:val="none"/>
                <w:lang w:val="en-US" w:eastAsia="zh-CN"/>
              </w:rPr>
              <w:t>32</w:t>
            </w:r>
          </w:p>
        </w:tc>
        <w:tc>
          <w:tcPr>
            <w:tcW w:w="5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000000"/>
                <w:sz w:val="22"/>
              </w:rPr>
            </w:pPr>
          </w:p>
        </w:tc>
        <w:tc>
          <w:tcPr>
            <w:tcW w:w="4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000000"/>
                <w:sz w:val="22"/>
              </w:rPr>
            </w:pPr>
          </w:p>
        </w:tc>
        <w:tc>
          <w:tcPr>
            <w:tcW w:w="45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000000"/>
                <w:sz w:val="22"/>
              </w:rPr>
            </w:pPr>
          </w:p>
        </w:tc>
        <w:tc>
          <w:tcPr>
            <w:tcW w:w="4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000000"/>
                <w:sz w:val="22"/>
              </w:rPr>
            </w:pPr>
          </w:p>
        </w:tc>
        <w:tc>
          <w:tcPr>
            <w:tcW w:w="8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不足一平方时按一平方计算</w:t>
            </w:r>
          </w:p>
        </w:tc>
      </w:tr>
      <w:tr>
        <w:tblPrEx>
          <w:tblCellMar>
            <w:top w:w="0" w:type="dxa"/>
            <w:left w:w="0" w:type="dxa"/>
            <w:bottom w:w="0" w:type="dxa"/>
            <w:right w:w="0" w:type="dxa"/>
          </w:tblCellMar>
        </w:tblPrEx>
        <w:trPr>
          <w:trHeight w:val="692" w:hRule="atLeast"/>
        </w:trPr>
        <w:tc>
          <w:tcPr>
            <w:tcW w:w="24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2"/>
                <w:szCs w:val="22"/>
                <w:u w:val="none"/>
                <w:lang w:val="en-US" w:eastAsia="zh-CN" w:bidi="ar-SA"/>
              </w:rPr>
            </w:pPr>
            <w:r>
              <w:rPr>
                <w:rFonts w:hint="eastAsia" w:ascii="仿宋" w:hAnsi="仿宋" w:eastAsia="仿宋" w:cs="仿宋"/>
                <w:i w:val="0"/>
                <w:color w:val="auto"/>
                <w:kern w:val="0"/>
                <w:sz w:val="22"/>
                <w:szCs w:val="22"/>
                <w:u w:val="none"/>
                <w:lang w:val="en-US" w:eastAsia="zh-CN" w:bidi="ar"/>
              </w:rPr>
              <w:t>5</w:t>
            </w:r>
          </w:p>
        </w:tc>
        <w:tc>
          <w:tcPr>
            <w:tcW w:w="46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砌墙</w:t>
            </w:r>
          </w:p>
        </w:tc>
        <w:tc>
          <w:tcPr>
            <w:tcW w:w="6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18MM厚砖墙，房间四周墙壁均未到顶</w:t>
            </w:r>
          </w:p>
        </w:tc>
        <w:tc>
          <w:tcPr>
            <w:tcW w:w="3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定制</w:t>
            </w:r>
          </w:p>
        </w:tc>
        <w:tc>
          <w:tcPr>
            <w:tcW w:w="2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kern w:val="2"/>
                <w:sz w:val="24"/>
                <w:szCs w:val="24"/>
                <w:u w:val="none"/>
                <w:vertAlign w:val="superscript"/>
                <w:lang w:val="en-US" w:eastAsia="zh-CN" w:bidi="ar-SA"/>
              </w:rPr>
            </w:pPr>
            <w:r>
              <w:rPr>
                <w:rFonts w:hint="eastAsia" w:ascii="仿宋" w:hAnsi="仿宋" w:eastAsia="仿宋" w:cs="仿宋"/>
                <w:i w:val="0"/>
                <w:color w:val="auto"/>
                <w:sz w:val="32"/>
                <w:szCs w:val="32"/>
                <w:u w:val="none"/>
                <w:vertAlign w:val="baseline"/>
                <w:lang w:val="en-US" w:eastAsia="zh-CN"/>
              </w:rPr>
              <w:t>m</w:t>
            </w:r>
            <w:r>
              <w:rPr>
                <w:rFonts w:hint="eastAsia" w:ascii="仿宋" w:hAnsi="仿宋" w:eastAsia="仿宋" w:cs="仿宋"/>
                <w:i w:val="0"/>
                <w:color w:val="auto"/>
                <w:sz w:val="32"/>
                <w:szCs w:val="32"/>
                <w:u w:val="none"/>
                <w:vertAlign w:val="superscript"/>
                <w:lang w:val="en-US" w:eastAsia="zh-CN"/>
              </w:rPr>
              <w:t>3</w:t>
            </w:r>
          </w:p>
        </w:tc>
        <w:tc>
          <w:tcPr>
            <w:tcW w:w="34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sz w:val="24"/>
                <w:szCs w:val="24"/>
                <w:u w:val="none"/>
                <w:lang w:val="en-US" w:eastAsia="zh-CN"/>
              </w:rPr>
              <w:t>7</w:t>
            </w:r>
          </w:p>
        </w:tc>
        <w:tc>
          <w:tcPr>
            <w:tcW w:w="5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000000"/>
                <w:sz w:val="22"/>
              </w:rPr>
            </w:pPr>
          </w:p>
        </w:tc>
        <w:tc>
          <w:tcPr>
            <w:tcW w:w="4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000000"/>
                <w:sz w:val="22"/>
              </w:rPr>
            </w:pPr>
          </w:p>
        </w:tc>
        <w:tc>
          <w:tcPr>
            <w:tcW w:w="45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000000"/>
                <w:sz w:val="22"/>
              </w:rPr>
            </w:pPr>
          </w:p>
        </w:tc>
        <w:tc>
          <w:tcPr>
            <w:tcW w:w="4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000000"/>
                <w:sz w:val="22"/>
              </w:rPr>
            </w:pPr>
          </w:p>
        </w:tc>
        <w:tc>
          <w:tcPr>
            <w:tcW w:w="8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不足一平方时按一平方计算</w:t>
            </w:r>
          </w:p>
        </w:tc>
      </w:tr>
      <w:tr>
        <w:tblPrEx>
          <w:tblCellMar>
            <w:top w:w="0" w:type="dxa"/>
            <w:left w:w="0" w:type="dxa"/>
            <w:bottom w:w="0" w:type="dxa"/>
            <w:right w:w="0" w:type="dxa"/>
          </w:tblCellMar>
        </w:tblPrEx>
        <w:trPr>
          <w:trHeight w:val="826" w:hRule="atLeast"/>
        </w:trPr>
        <w:tc>
          <w:tcPr>
            <w:tcW w:w="249"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2"/>
                <w:szCs w:val="22"/>
                <w:u w:val="none"/>
                <w:lang w:val="en-US" w:eastAsia="zh-CN" w:bidi="ar-SA"/>
              </w:rPr>
            </w:pPr>
            <w:r>
              <w:rPr>
                <w:rFonts w:hint="eastAsia" w:ascii="仿宋" w:hAnsi="仿宋" w:eastAsia="仿宋" w:cs="仿宋"/>
                <w:i w:val="0"/>
                <w:color w:val="auto"/>
                <w:kern w:val="0"/>
                <w:sz w:val="22"/>
                <w:szCs w:val="22"/>
                <w:u w:val="none"/>
                <w:lang w:val="en-US" w:eastAsia="zh-CN" w:bidi="ar"/>
              </w:rPr>
              <w:t>6</w:t>
            </w:r>
          </w:p>
        </w:tc>
        <w:tc>
          <w:tcPr>
            <w:tcW w:w="46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扇灰</w:t>
            </w:r>
          </w:p>
        </w:tc>
        <w:tc>
          <w:tcPr>
            <w:tcW w:w="6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墙面扇灰，新砌砖墙墙壁（不含天花内墙壁）</w:t>
            </w:r>
          </w:p>
        </w:tc>
        <w:tc>
          <w:tcPr>
            <w:tcW w:w="3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定制</w:t>
            </w:r>
          </w:p>
        </w:tc>
        <w:tc>
          <w:tcPr>
            <w:tcW w:w="2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w:t>
            </w:r>
          </w:p>
        </w:tc>
        <w:tc>
          <w:tcPr>
            <w:tcW w:w="34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sz w:val="24"/>
                <w:szCs w:val="24"/>
                <w:u w:val="none"/>
                <w:lang w:val="en-US" w:eastAsia="zh-CN"/>
              </w:rPr>
              <w:t>63</w:t>
            </w:r>
          </w:p>
        </w:tc>
        <w:tc>
          <w:tcPr>
            <w:tcW w:w="5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000000"/>
                <w:sz w:val="22"/>
              </w:rPr>
            </w:pPr>
          </w:p>
        </w:tc>
        <w:tc>
          <w:tcPr>
            <w:tcW w:w="4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000000"/>
                <w:sz w:val="22"/>
              </w:rPr>
            </w:pPr>
          </w:p>
        </w:tc>
        <w:tc>
          <w:tcPr>
            <w:tcW w:w="45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000000"/>
                <w:sz w:val="22"/>
              </w:rPr>
            </w:pPr>
          </w:p>
        </w:tc>
        <w:tc>
          <w:tcPr>
            <w:tcW w:w="4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000000"/>
                <w:sz w:val="22"/>
              </w:rPr>
            </w:pPr>
          </w:p>
        </w:tc>
        <w:tc>
          <w:tcPr>
            <w:tcW w:w="8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不足一平方时按一平方计算</w:t>
            </w:r>
          </w:p>
        </w:tc>
      </w:tr>
      <w:tr>
        <w:tblPrEx>
          <w:tblCellMar>
            <w:top w:w="0" w:type="dxa"/>
            <w:left w:w="0" w:type="dxa"/>
            <w:bottom w:w="0" w:type="dxa"/>
            <w:right w:w="0" w:type="dxa"/>
          </w:tblCellMar>
        </w:tblPrEx>
        <w:trPr>
          <w:trHeight w:val="90" w:hRule="atLeast"/>
        </w:trPr>
        <w:tc>
          <w:tcPr>
            <w:tcW w:w="249" w:type="pc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eastAsiaTheme="minorEastAsia"/>
                <w:lang w:val="en-US" w:eastAsia="zh-CN"/>
              </w:rPr>
            </w:pPr>
            <w:r>
              <w:rPr>
                <w:rFonts w:hint="eastAsia" w:ascii="仿宋" w:hAnsi="仿宋" w:eastAsia="仿宋" w:cs="仿宋"/>
                <w:i w:val="0"/>
                <w:color w:val="auto"/>
                <w:kern w:val="0"/>
                <w:sz w:val="22"/>
                <w:szCs w:val="22"/>
                <w:u w:val="none"/>
                <w:lang w:val="en-US" w:eastAsia="zh-CN" w:bidi="ar"/>
              </w:rPr>
              <w:t>7</w:t>
            </w:r>
          </w:p>
        </w:tc>
        <w:tc>
          <w:tcPr>
            <w:tcW w:w="465" w:type="pct"/>
            <w:tcBorders>
              <w:top w:val="single" w:color="000000" w:sz="4" w:space="0"/>
              <w:left w:val="single" w:color="auto"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天花</w:t>
            </w:r>
          </w:p>
        </w:tc>
        <w:tc>
          <w:tcPr>
            <w:tcW w:w="641"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拆除天花</w:t>
            </w:r>
          </w:p>
        </w:tc>
        <w:tc>
          <w:tcPr>
            <w:tcW w:w="338" w:type="pc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定制</w:t>
            </w:r>
          </w:p>
        </w:tc>
        <w:tc>
          <w:tcPr>
            <w:tcW w:w="244" w:type="pc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w:t>
            </w:r>
          </w:p>
        </w:tc>
        <w:tc>
          <w:tcPr>
            <w:tcW w:w="347" w:type="pc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both"/>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sz w:val="24"/>
                <w:szCs w:val="24"/>
                <w:u w:val="none"/>
                <w:lang w:val="en-US" w:eastAsia="zh-CN"/>
              </w:rPr>
              <w:t>30</w:t>
            </w:r>
          </w:p>
        </w:tc>
        <w:tc>
          <w:tcPr>
            <w:tcW w:w="517" w:type="pct"/>
            <w:tcBorders>
              <w:top w:val="single" w:color="000000" w:sz="4" w:space="0"/>
              <w:left w:val="single" w:color="000000" w:sz="4" w:space="0"/>
              <w:right w:val="single" w:color="000000" w:sz="4" w:space="0"/>
            </w:tcBorders>
            <w:tcMar>
              <w:top w:w="15" w:type="dxa"/>
              <w:left w:w="15" w:type="dxa"/>
              <w:right w:w="15" w:type="dxa"/>
            </w:tcMar>
            <w:vAlign w:val="center"/>
          </w:tcPr>
          <w:p>
            <w:pPr>
              <w:rPr>
                <w:rFonts w:ascii="宋体" w:hAnsi="宋体" w:eastAsia="宋体" w:cs="宋体"/>
                <w:color w:val="000000"/>
                <w:sz w:val="22"/>
              </w:rPr>
            </w:pPr>
          </w:p>
        </w:tc>
        <w:tc>
          <w:tcPr>
            <w:tcW w:w="498" w:type="pct"/>
            <w:tcBorders>
              <w:top w:val="single" w:color="000000" w:sz="4" w:space="0"/>
              <w:left w:val="single" w:color="000000" w:sz="4" w:space="0"/>
              <w:right w:val="single" w:color="000000" w:sz="4" w:space="0"/>
            </w:tcBorders>
            <w:tcMar>
              <w:top w:w="15" w:type="dxa"/>
              <w:left w:w="15" w:type="dxa"/>
              <w:right w:w="15" w:type="dxa"/>
            </w:tcMar>
            <w:vAlign w:val="center"/>
          </w:tcPr>
          <w:p>
            <w:pPr>
              <w:rPr>
                <w:rFonts w:ascii="宋体" w:hAnsi="宋体" w:eastAsia="宋体" w:cs="宋体"/>
                <w:color w:val="000000"/>
                <w:sz w:val="22"/>
              </w:rPr>
            </w:pPr>
          </w:p>
        </w:tc>
        <w:tc>
          <w:tcPr>
            <w:tcW w:w="451" w:type="pct"/>
            <w:tcBorders>
              <w:top w:val="single" w:color="000000" w:sz="4" w:space="0"/>
              <w:left w:val="single" w:color="000000" w:sz="4" w:space="0"/>
              <w:right w:val="single" w:color="000000" w:sz="4" w:space="0"/>
            </w:tcBorders>
            <w:tcMar>
              <w:top w:w="15" w:type="dxa"/>
              <w:left w:w="15" w:type="dxa"/>
              <w:right w:w="15" w:type="dxa"/>
            </w:tcMar>
            <w:vAlign w:val="center"/>
          </w:tcPr>
          <w:p>
            <w:pPr>
              <w:rPr>
                <w:rFonts w:ascii="宋体" w:hAnsi="宋体" w:eastAsia="宋体" w:cs="宋体"/>
                <w:color w:val="000000"/>
                <w:sz w:val="22"/>
              </w:rPr>
            </w:pPr>
          </w:p>
        </w:tc>
        <w:tc>
          <w:tcPr>
            <w:tcW w:w="423" w:type="pct"/>
            <w:tcBorders>
              <w:top w:val="single" w:color="000000" w:sz="4" w:space="0"/>
              <w:left w:val="single" w:color="000000" w:sz="4" w:space="0"/>
              <w:right w:val="single" w:color="000000" w:sz="4" w:space="0"/>
            </w:tcBorders>
            <w:tcMar>
              <w:top w:w="15" w:type="dxa"/>
              <w:left w:w="15" w:type="dxa"/>
              <w:right w:w="15" w:type="dxa"/>
            </w:tcMar>
            <w:vAlign w:val="center"/>
          </w:tcPr>
          <w:p>
            <w:pPr>
              <w:rPr>
                <w:rFonts w:ascii="宋体" w:hAnsi="宋体" w:eastAsia="宋体" w:cs="宋体"/>
                <w:color w:val="000000"/>
                <w:sz w:val="22"/>
              </w:rPr>
            </w:pPr>
          </w:p>
        </w:tc>
        <w:tc>
          <w:tcPr>
            <w:tcW w:w="823" w:type="pc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不足一平方时按一平方计算</w:t>
            </w:r>
          </w:p>
        </w:tc>
      </w:tr>
      <w:tr>
        <w:tblPrEx>
          <w:tblCellMar>
            <w:top w:w="0" w:type="dxa"/>
            <w:left w:w="0" w:type="dxa"/>
            <w:bottom w:w="0" w:type="dxa"/>
            <w:right w:w="0" w:type="dxa"/>
          </w:tblCellMar>
        </w:tblPrEx>
        <w:trPr>
          <w:trHeight w:val="394" w:hRule="atLeast"/>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8</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4"/>
                <w:szCs w:val="24"/>
                <w:u w:val="none"/>
                <w:lang w:val="en-US" w:eastAsia="zh-CN" w:bidi="ar"/>
              </w:rPr>
              <w:t>天花</w:t>
            </w:r>
          </w:p>
        </w:tc>
        <w:tc>
          <w:tcPr>
            <w:tcW w:w="64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修补天花,天花扇灰及加油漆，22平方米</w:t>
            </w:r>
          </w:p>
        </w:tc>
        <w:tc>
          <w:tcPr>
            <w:tcW w:w="33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定制</w:t>
            </w:r>
          </w:p>
        </w:tc>
        <w:tc>
          <w:tcPr>
            <w:tcW w:w="24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w:t>
            </w:r>
          </w:p>
        </w:tc>
        <w:tc>
          <w:tcPr>
            <w:tcW w:w="34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40" w:firstLineChars="100"/>
              <w:jc w:val="both"/>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sz w:val="24"/>
                <w:szCs w:val="24"/>
                <w:u w:val="none"/>
                <w:lang w:val="en-US" w:eastAsia="zh-CN"/>
              </w:rPr>
              <w:t>30</w:t>
            </w:r>
          </w:p>
        </w:tc>
        <w:tc>
          <w:tcPr>
            <w:tcW w:w="517"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498"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451"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423"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82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不足一平方时按一平方计算</w:t>
            </w:r>
          </w:p>
        </w:tc>
      </w:tr>
      <w:tr>
        <w:tblPrEx>
          <w:tblCellMar>
            <w:top w:w="0" w:type="dxa"/>
            <w:left w:w="0" w:type="dxa"/>
            <w:bottom w:w="0" w:type="dxa"/>
            <w:right w:w="0" w:type="dxa"/>
          </w:tblCellMar>
        </w:tblPrEx>
        <w:trPr>
          <w:trHeight w:val="394" w:hRule="atLeast"/>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9</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施工</w:t>
            </w:r>
          </w:p>
        </w:tc>
        <w:tc>
          <w:tcPr>
            <w:tcW w:w="64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垃圾清运</w:t>
            </w:r>
          </w:p>
        </w:tc>
        <w:tc>
          <w:tcPr>
            <w:tcW w:w="33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定制</w:t>
            </w:r>
          </w:p>
        </w:tc>
        <w:tc>
          <w:tcPr>
            <w:tcW w:w="24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dm3</w:t>
            </w:r>
          </w:p>
        </w:tc>
        <w:tc>
          <w:tcPr>
            <w:tcW w:w="34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8</w:t>
            </w:r>
          </w:p>
        </w:tc>
        <w:tc>
          <w:tcPr>
            <w:tcW w:w="517"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498"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451"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423"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82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i w:val="0"/>
                <w:color w:val="auto"/>
                <w:kern w:val="2"/>
                <w:sz w:val="24"/>
                <w:szCs w:val="24"/>
                <w:u w:val="none"/>
                <w:lang w:val="en-US" w:eastAsia="zh-CN" w:bidi="ar-SA"/>
              </w:rPr>
            </w:pPr>
          </w:p>
        </w:tc>
      </w:tr>
      <w:tr>
        <w:tblPrEx>
          <w:tblCellMar>
            <w:top w:w="0" w:type="dxa"/>
            <w:left w:w="0" w:type="dxa"/>
            <w:bottom w:w="0" w:type="dxa"/>
            <w:right w:w="0" w:type="dxa"/>
          </w:tblCellMar>
        </w:tblPrEx>
        <w:trPr>
          <w:trHeight w:val="477" w:hRule="atLeast"/>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10</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凿墙</w:t>
            </w:r>
          </w:p>
        </w:tc>
        <w:tc>
          <w:tcPr>
            <w:tcW w:w="64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4"/>
                <w:szCs w:val="24"/>
                <w:u w:val="none"/>
                <w:lang w:val="en-US" w:eastAsia="zh-CN" w:bidi="ar"/>
              </w:rPr>
            </w:pPr>
          </w:p>
        </w:tc>
        <w:tc>
          <w:tcPr>
            <w:tcW w:w="33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定制</w:t>
            </w:r>
          </w:p>
        </w:tc>
        <w:tc>
          <w:tcPr>
            <w:tcW w:w="24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w:t>
            </w:r>
          </w:p>
        </w:tc>
        <w:tc>
          <w:tcPr>
            <w:tcW w:w="34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4</w:t>
            </w:r>
          </w:p>
        </w:tc>
        <w:tc>
          <w:tcPr>
            <w:tcW w:w="517"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498"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451"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423"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82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i w:val="0"/>
                <w:color w:val="auto"/>
                <w:kern w:val="2"/>
                <w:sz w:val="24"/>
                <w:szCs w:val="24"/>
                <w:u w:val="none"/>
                <w:lang w:val="en-US" w:eastAsia="zh-CN" w:bidi="ar-SA"/>
              </w:rPr>
            </w:pPr>
          </w:p>
        </w:tc>
      </w:tr>
      <w:tr>
        <w:tblPrEx>
          <w:tblCellMar>
            <w:top w:w="0" w:type="dxa"/>
            <w:left w:w="0" w:type="dxa"/>
            <w:bottom w:w="0" w:type="dxa"/>
            <w:right w:w="0" w:type="dxa"/>
          </w:tblCellMar>
        </w:tblPrEx>
        <w:trPr>
          <w:trHeight w:val="244" w:hRule="atLeast"/>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11</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墙面修护</w:t>
            </w:r>
          </w:p>
        </w:tc>
        <w:tc>
          <w:tcPr>
            <w:tcW w:w="64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4"/>
                <w:szCs w:val="24"/>
                <w:u w:val="none"/>
                <w:lang w:val="en-US" w:eastAsia="zh-CN" w:bidi="ar"/>
              </w:rPr>
            </w:pPr>
          </w:p>
        </w:tc>
        <w:tc>
          <w:tcPr>
            <w:tcW w:w="33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定制</w:t>
            </w:r>
          </w:p>
        </w:tc>
        <w:tc>
          <w:tcPr>
            <w:tcW w:w="24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w:t>
            </w:r>
          </w:p>
        </w:tc>
        <w:tc>
          <w:tcPr>
            <w:tcW w:w="34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4</w:t>
            </w:r>
          </w:p>
        </w:tc>
        <w:tc>
          <w:tcPr>
            <w:tcW w:w="517"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498"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451"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423"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82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i w:val="0"/>
                <w:color w:val="auto"/>
                <w:kern w:val="2"/>
                <w:sz w:val="24"/>
                <w:szCs w:val="24"/>
                <w:u w:val="none"/>
                <w:lang w:val="en-US" w:eastAsia="zh-CN" w:bidi="ar-SA"/>
              </w:rPr>
            </w:pPr>
          </w:p>
        </w:tc>
      </w:tr>
      <w:tr>
        <w:tblPrEx>
          <w:tblCellMar>
            <w:top w:w="0" w:type="dxa"/>
            <w:left w:w="0" w:type="dxa"/>
            <w:bottom w:w="0" w:type="dxa"/>
            <w:right w:w="0" w:type="dxa"/>
          </w:tblCellMar>
        </w:tblPrEx>
        <w:trPr>
          <w:trHeight w:val="411" w:hRule="atLeast"/>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12</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烟雾报警器</w:t>
            </w:r>
          </w:p>
        </w:tc>
        <w:tc>
          <w:tcPr>
            <w:tcW w:w="64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供电方式：电源供电</w:t>
            </w:r>
          </w:p>
          <w:p>
            <w:pPr>
              <w:keepNext w:val="0"/>
              <w:keepLines w:val="0"/>
              <w:widowControl/>
              <w:suppressLineNumbers w:val="0"/>
              <w:jc w:val="left"/>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警戒方式：声音报警</w:t>
            </w:r>
          </w:p>
        </w:tc>
        <w:tc>
          <w:tcPr>
            <w:tcW w:w="33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NP-Y1</w:t>
            </w:r>
          </w:p>
        </w:tc>
        <w:tc>
          <w:tcPr>
            <w:tcW w:w="24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个</w:t>
            </w:r>
          </w:p>
        </w:tc>
        <w:tc>
          <w:tcPr>
            <w:tcW w:w="34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1</w:t>
            </w:r>
          </w:p>
        </w:tc>
        <w:tc>
          <w:tcPr>
            <w:tcW w:w="517"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498"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451"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423"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823" w:type="pct"/>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i w:val="0"/>
                <w:color w:val="auto"/>
                <w:kern w:val="2"/>
                <w:sz w:val="24"/>
                <w:szCs w:val="24"/>
                <w:u w:val="none"/>
                <w:lang w:val="en-US" w:eastAsia="zh-CN" w:bidi="ar-SA"/>
              </w:rPr>
            </w:pPr>
          </w:p>
        </w:tc>
      </w:tr>
      <w:tr>
        <w:tblPrEx>
          <w:tblCellMar>
            <w:top w:w="0" w:type="dxa"/>
            <w:left w:w="0" w:type="dxa"/>
            <w:bottom w:w="0" w:type="dxa"/>
            <w:right w:w="0" w:type="dxa"/>
          </w:tblCellMar>
        </w:tblPrEx>
        <w:trPr>
          <w:trHeight w:val="260" w:hRule="atLeast"/>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13</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自动灭火装置</w:t>
            </w:r>
          </w:p>
        </w:tc>
        <w:tc>
          <w:tcPr>
            <w:tcW w:w="64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悬挂式七氟丙烷自动灭火装置型号：19.3kg，净重19.3kg，安装高度＞3米，保护面积:20㎡</w:t>
            </w:r>
          </w:p>
        </w:tc>
        <w:tc>
          <w:tcPr>
            <w:tcW w:w="33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国产</w:t>
            </w:r>
          </w:p>
        </w:tc>
        <w:tc>
          <w:tcPr>
            <w:tcW w:w="24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套</w:t>
            </w:r>
          </w:p>
        </w:tc>
        <w:tc>
          <w:tcPr>
            <w:tcW w:w="34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1</w:t>
            </w:r>
          </w:p>
        </w:tc>
        <w:tc>
          <w:tcPr>
            <w:tcW w:w="517"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498"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451"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423"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823" w:type="pct"/>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i w:val="0"/>
                <w:color w:val="auto"/>
                <w:kern w:val="2"/>
                <w:sz w:val="24"/>
                <w:szCs w:val="24"/>
                <w:u w:val="none"/>
                <w:lang w:val="en-US" w:eastAsia="zh-CN" w:bidi="ar-SA"/>
              </w:rPr>
            </w:pPr>
          </w:p>
        </w:tc>
      </w:tr>
      <w:tr>
        <w:tblPrEx>
          <w:tblCellMar>
            <w:top w:w="0" w:type="dxa"/>
            <w:left w:w="0" w:type="dxa"/>
            <w:bottom w:w="0" w:type="dxa"/>
            <w:right w:w="0" w:type="dxa"/>
          </w:tblCellMar>
        </w:tblPrEx>
        <w:trPr>
          <w:trHeight w:val="661" w:hRule="atLeast"/>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14</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警示牌</w:t>
            </w:r>
          </w:p>
        </w:tc>
        <w:tc>
          <w:tcPr>
            <w:tcW w:w="64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区域警示门牌，内容定制（24*12cm）</w:t>
            </w:r>
          </w:p>
        </w:tc>
        <w:tc>
          <w:tcPr>
            <w:tcW w:w="33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定制</w:t>
            </w:r>
          </w:p>
        </w:tc>
        <w:tc>
          <w:tcPr>
            <w:tcW w:w="24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张</w:t>
            </w:r>
          </w:p>
        </w:tc>
        <w:tc>
          <w:tcPr>
            <w:tcW w:w="34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2</w:t>
            </w:r>
          </w:p>
        </w:tc>
        <w:tc>
          <w:tcPr>
            <w:tcW w:w="517"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498"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451"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423"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823" w:type="pct"/>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sz w:val="24"/>
                <w:szCs w:val="24"/>
                <w:u w:val="none"/>
              </w:rPr>
              <w:t>警示牌</w:t>
            </w:r>
            <w:r>
              <w:rPr>
                <w:rFonts w:hint="eastAsia" w:ascii="仿宋" w:hAnsi="仿宋" w:eastAsia="仿宋" w:cs="仿宋"/>
                <w:i w:val="0"/>
                <w:color w:val="auto"/>
                <w:sz w:val="24"/>
                <w:szCs w:val="24"/>
                <w:u w:val="none"/>
                <w:lang w:val="en-US" w:eastAsia="zh-CN"/>
              </w:rPr>
              <w:t>为</w:t>
            </w:r>
            <w:r>
              <w:rPr>
                <w:rFonts w:hint="eastAsia" w:ascii="仿宋" w:hAnsi="仿宋" w:eastAsia="仿宋" w:cs="仿宋"/>
                <w:i w:val="0"/>
                <w:color w:val="auto"/>
                <w:sz w:val="24"/>
                <w:szCs w:val="24"/>
                <w:u w:val="none"/>
              </w:rPr>
              <w:t>亚克力材质</w:t>
            </w:r>
          </w:p>
        </w:tc>
      </w:tr>
      <w:tr>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15</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宣传海报</w:t>
            </w:r>
          </w:p>
        </w:tc>
        <w:tc>
          <w:tcPr>
            <w:tcW w:w="64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宣传海报（40*60）</w:t>
            </w:r>
          </w:p>
        </w:tc>
        <w:tc>
          <w:tcPr>
            <w:tcW w:w="33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定制</w:t>
            </w:r>
          </w:p>
        </w:tc>
        <w:tc>
          <w:tcPr>
            <w:tcW w:w="24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套</w:t>
            </w:r>
          </w:p>
        </w:tc>
        <w:tc>
          <w:tcPr>
            <w:tcW w:w="34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1</w:t>
            </w:r>
          </w:p>
        </w:tc>
        <w:tc>
          <w:tcPr>
            <w:tcW w:w="517"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498"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451"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423"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823" w:type="pct"/>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sz w:val="24"/>
                <w:szCs w:val="24"/>
                <w:u w:val="none"/>
                <w:lang w:val="en-US" w:eastAsia="zh-CN"/>
              </w:rPr>
              <w:t>6张</w:t>
            </w:r>
          </w:p>
        </w:tc>
      </w:tr>
      <w:tr>
        <w:tblPrEx>
          <w:tblCellMar>
            <w:top w:w="0" w:type="dxa"/>
            <w:left w:w="0" w:type="dxa"/>
            <w:bottom w:w="0" w:type="dxa"/>
            <w:right w:w="0" w:type="dxa"/>
          </w:tblCellMar>
        </w:tblPrEx>
        <w:trPr>
          <w:trHeight w:val="610" w:hRule="atLeast"/>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16</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可移动屏风</w:t>
            </w:r>
          </w:p>
        </w:tc>
        <w:tc>
          <w:tcPr>
            <w:tcW w:w="64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可移动屏风（40*180CM）</w:t>
            </w:r>
          </w:p>
        </w:tc>
        <w:tc>
          <w:tcPr>
            <w:tcW w:w="33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定制</w:t>
            </w:r>
          </w:p>
        </w:tc>
        <w:tc>
          <w:tcPr>
            <w:tcW w:w="24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项</w:t>
            </w:r>
          </w:p>
        </w:tc>
        <w:tc>
          <w:tcPr>
            <w:tcW w:w="34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1</w:t>
            </w:r>
          </w:p>
        </w:tc>
        <w:tc>
          <w:tcPr>
            <w:tcW w:w="517"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498"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451"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423"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82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sz w:val="24"/>
                <w:szCs w:val="24"/>
                <w:u w:val="none"/>
              </w:rPr>
              <w:t>屏风是</w:t>
            </w:r>
            <w:r>
              <w:rPr>
                <w:rFonts w:hint="eastAsia" w:ascii="仿宋" w:hAnsi="仿宋" w:eastAsia="仿宋" w:cs="仿宋"/>
                <w:i w:val="0"/>
                <w:color w:val="auto"/>
                <w:sz w:val="24"/>
                <w:szCs w:val="24"/>
                <w:u w:val="none"/>
                <w:lang w:val="en-US" w:eastAsia="zh-CN"/>
              </w:rPr>
              <w:t>折叠</w:t>
            </w:r>
            <w:r>
              <w:rPr>
                <w:rFonts w:hint="eastAsia" w:ascii="仿宋" w:hAnsi="仿宋" w:eastAsia="仿宋" w:cs="仿宋"/>
                <w:i w:val="0"/>
                <w:color w:val="auto"/>
                <w:sz w:val="24"/>
                <w:szCs w:val="24"/>
                <w:u w:val="none"/>
              </w:rPr>
              <w:t>款</w:t>
            </w:r>
            <w:r>
              <w:rPr>
                <w:rFonts w:hint="eastAsia" w:ascii="仿宋" w:hAnsi="仿宋" w:eastAsia="仿宋" w:cs="仿宋"/>
                <w:i w:val="0"/>
                <w:color w:val="auto"/>
                <w:sz w:val="24"/>
                <w:szCs w:val="24"/>
                <w:u w:val="none"/>
                <w:lang w:eastAsia="zh-CN"/>
              </w:rPr>
              <w:t>，</w:t>
            </w:r>
            <w:r>
              <w:rPr>
                <w:rFonts w:hint="eastAsia" w:ascii="仿宋" w:hAnsi="仿宋" w:eastAsia="仿宋" w:cs="仿宋"/>
                <w:i w:val="0"/>
                <w:color w:val="auto"/>
                <w:sz w:val="24"/>
                <w:szCs w:val="24"/>
                <w:u w:val="none"/>
                <w:lang w:val="en-US" w:eastAsia="zh-CN"/>
              </w:rPr>
              <w:t>材质为木质+油布</w:t>
            </w:r>
          </w:p>
        </w:tc>
      </w:tr>
      <w:tr>
        <w:tblPrEx>
          <w:tblCellMar>
            <w:top w:w="0" w:type="dxa"/>
            <w:left w:w="0" w:type="dxa"/>
            <w:bottom w:w="0" w:type="dxa"/>
            <w:right w:w="0" w:type="dxa"/>
          </w:tblCellMar>
        </w:tblPrEx>
        <w:trPr>
          <w:trHeight w:val="1658" w:hRule="atLeast"/>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17</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办公桌</w:t>
            </w:r>
          </w:p>
        </w:tc>
        <w:tc>
          <w:tcPr>
            <w:tcW w:w="64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120*60*73CM，含椅子（椅子总高100CM,总宽57.5CM）</w:t>
            </w:r>
          </w:p>
        </w:tc>
        <w:tc>
          <w:tcPr>
            <w:tcW w:w="33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定制</w:t>
            </w:r>
          </w:p>
        </w:tc>
        <w:tc>
          <w:tcPr>
            <w:tcW w:w="24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套</w:t>
            </w:r>
          </w:p>
        </w:tc>
        <w:tc>
          <w:tcPr>
            <w:tcW w:w="34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2</w:t>
            </w:r>
          </w:p>
        </w:tc>
        <w:tc>
          <w:tcPr>
            <w:tcW w:w="517"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498"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451"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423"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82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sz w:val="24"/>
                <w:szCs w:val="24"/>
                <w:u w:val="none"/>
                <w:lang w:val="en-US" w:eastAsia="zh-CN"/>
              </w:rPr>
              <w:t>桌面为木质材料，支撑为铁架。椅子为可伸缩款式，地下有静音防滑滚轮。</w:t>
            </w:r>
          </w:p>
        </w:tc>
      </w:tr>
    </w:tbl>
    <w:p>
      <w:pPr>
        <w:adjustRightInd w:val="0"/>
        <w:snapToGrid w:val="0"/>
        <w:spacing w:line="600" w:lineRule="exact"/>
        <w:ind w:firstLine="570"/>
        <w:rPr>
          <w:rFonts w:ascii="仿宋_GB2312" w:eastAsia="仿宋_GB2312" w:hAnsiTheme="minorEastAsia"/>
          <w:sz w:val="28"/>
          <w:szCs w:val="28"/>
        </w:rPr>
      </w:pPr>
    </w:p>
    <w:p>
      <w:pPr>
        <w:pStyle w:val="6"/>
        <w:rPr>
          <w:rFonts w:asciiTheme="majorEastAsia" w:hAnsiTheme="majorEastAsia" w:eastAsiaTheme="majorEastAsia"/>
          <w:sz w:val="28"/>
          <w:szCs w:val="28"/>
        </w:rPr>
      </w:pPr>
      <w:bookmarkStart w:id="148" w:name="_Toc88209965"/>
      <w:bookmarkStart w:id="149" w:name="_Toc16386"/>
      <w:bookmarkStart w:id="150" w:name="_Toc6058"/>
      <w:bookmarkStart w:id="151" w:name="_Toc87616402"/>
      <w:r>
        <w:rPr>
          <w:rFonts w:hint="eastAsia" w:eastAsiaTheme="majorEastAsia"/>
        </w:rPr>
        <w:t>6</w:t>
      </w:r>
      <w:r>
        <w:rPr>
          <w:rFonts w:hint="eastAsia" w:asciiTheme="majorEastAsia" w:hAnsiTheme="majorEastAsia" w:eastAsiaTheme="majorEastAsia"/>
          <w:sz w:val="28"/>
          <w:szCs w:val="28"/>
        </w:rPr>
        <w:t>.其他资料</w:t>
      </w:r>
      <w:bookmarkEnd w:id="148"/>
      <w:bookmarkEnd w:id="149"/>
      <w:bookmarkEnd w:id="150"/>
      <w:bookmarkEnd w:id="151"/>
    </w:p>
    <w:p>
      <w:pPr>
        <w:adjustRightInd w:val="0"/>
        <w:snapToGrid w:val="0"/>
        <w:spacing w:line="600" w:lineRule="exact"/>
        <w:ind w:firstLine="570"/>
        <w:rPr>
          <w:rFonts w:ascii="仿宋_GB2312" w:eastAsia="仿宋_GB2312" w:hAnsiTheme="minorEastAsia"/>
          <w:sz w:val="28"/>
          <w:szCs w:val="28"/>
        </w:rPr>
      </w:pPr>
      <w:r>
        <w:rPr>
          <w:rFonts w:ascii="仿宋_GB2312" w:eastAsia="仿宋_GB2312" w:hAnsiTheme="minorEastAsia"/>
          <w:sz w:val="28"/>
          <w:szCs w:val="28"/>
        </w:rPr>
        <w:t>供应商须提交的其他资料</w:t>
      </w:r>
      <w:r>
        <w:rPr>
          <w:rFonts w:hint="eastAsia" w:ascii="仿宋_GB2312" w:eastAsia="仿宋_GB2312" w:hAnsiTheme="minorEastAsia"/>
          <w:sz w:val="28"/>
          <w:szCs w:val="28"/>
        </w:rPr>
        <w:t>。</w:t>
      </w:r>
    </w:p>
    <w:p>
      <w:pPr>
        <w:rPr>
          <w:color w:val="auto"/>
          <w:highlight w:val="none"/>
        </w:rPr>
      </w:pPr>
    </w:p>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 w:name="STSong-Light">
    <w:altName w:val="Times New Roman"/>
    <w:panose1 w:val="00000000000000000000"/>
    <w:charset w:val="00"/>
    <w:family w:val="roman"/>
    <w:pitch w:val="default"/>
    <w:sig w:usb0="00000000" w:usb1="00000000" w:usb2="00000000" w:usb3="00000000" w:csb0="0000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E2hskBAACa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f8TaGyQEAAJoDAAAOAAAAAAAAAAEAIAAAAB4BAABkcnMvZTJvRG9j&#10;LnhtbFBLBQYAAAAABgAGAFkBAABZBQ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6"/>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Fh0nMg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cC5O25x4pefPy6//lx+fyfL&#10;rE8foMa0+4CJaXjnB8yd/YDOTHtQ0eYvEiIYR3XPV3XlkIjIj9ar9brCkMDYfEF89vA8REjvpbck&#10;Gw2NOL6iKj99hDSmzim5mvN32pgyQuP+cSBm9rDc+9hjttKwHyZCe9+ekU+Pk2+ow0WnxHxwKGxe&#10;ktmIs7GfjWOI+tCVLcr1INweEzZRessVRtipMI6ssJvWK+/E43vJevilt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xYdJzIAQAAmgMAAA4AAAAAAAAAAQAgAAAAHgEAAGRycy9lMm9Eb2Mu&#10;eG1sUEsFBgAAAAAGAAYAWQEAAFgFA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586129"/>
    <w:multiLevelType w:val="singleLevel"/>
    <w:tmpl w:val="C9586129"/>
    <w:lvl w:ilvl="0" w:tentative="0">
      <w:start w:val="2"/>
      <w:numFmt w:val="chineseCounting"/>
      <w:suff w:val="nothing"/>
      <w:lvlText w:val="%1、"/>
      <w:lvlJc w:val="left"/>
      <w:rPr>
        <w:rFonts w:hint="eastAsia"/>
      </w:r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F474C9A6"/>
    <w:multiLevelType w:val="singleLevel"/>
    <w:tmpl w:val="F474C9A6"/>
    <w:lvl w:ilvl="0" w:tentative="0">
      <w:start w:val="10"/>
      <w:numFmt w:val="chineseCounting"/>
      <w:suff w:val="space"/>
      <w:lvlText w:val="第%1条"/>
      <w:lvlJc w:val="left"/>
      <w:rPr>
        <w:rFonts w:hint="eastAsia"/>
      </w:rPr>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iNzI3ZWY4NjJlYTRhMjE1ZTdiYzM0M2E0MzNkOGUifQ=="/>
  </w:docVars>
  <w:rsids>
    <w:rsidRoot w:val="005D618A"/>
    <w:rsid w:val="003D60BA"/>
    <w:rsid w:val="00411689"/>
    <w:rsid w:val="005D618A"/>
    <w:rsid w:val="00855987"/>
    <w:rsid w:val="00911ECD"/>
    <w:rsid w:val="00A042E0"/>
    <w:rsid w:val="00B26BB1"/>
    <w:rsid w:val="00B26E21"/>
    <w:rsid w:val="00F83B64"/>
    <w:rsid w:val="01066A9C"/>
    <w:rsid w:val="013E3461"/>
    <w:rsid w:val="01CD524F"/>
    <w:rsid w:val="02090C75"/>
    <w:rsid w:val="0253516A"/>
    <w:rsid w:val="02A23A3C"/>
    <w:rsid w:val="035D130A"/>
    <w:rsid w:val="039110A9"/>
    <w:rsid w:val="03AC246A"/>
    <w:rsid w:val="03B23056"/>
    <w:rsid w:val="03DC3EBA"/>
    <w:rsid w:val="03F9794D"/>
    <w:rsid w:val="046A2461"/>
    <w:rsid w:val="051C2970"/>
    <w:rsid w:val="060C3611"/>
    <w:rsid w:val="06C64829"/>
    <w:rsid w:val="077D16D2"/>
    <w:rsid w:val="077F4E47"/>
    <w:rsid w:val="082A69F3"/>
    <w:rsid w:val="08675FC8"/>
    <w:rsid w:val="089370CA"/>
    <w:rsid w:val="09B713FD"/>
    <w:rsid w:val="09EF6ACC"/>
    <w:rsid w:val="0A315056"/>
    <w:rsid w:val="0AA213B4"/>
    <w:rsid w:val="0AF61C7E"/>
    <w:rsid w:val="0AFB45AD"/>
    <w:rsid w:val="0B351E9B"/>
    <w:rsid w:val="0B4C50D3"/>
    <w:rsid w:val="0B806B92"/>
    <w:rsid w:val="0B827E94"/>
    <w:rsid w:val="0B842F76"/>
    <w:rsid w:val="0BD070E1"/>
    <w:rsid w:val="0C247926"/>
    <w:rsid w:val="0CF751CB"/>
    <w:rsid w:val="0D794204"/>
    <w:rsid w:val="0E2125D1"/>
    <w:rsid w:val="0E214211"/>
    <w:rsid w:val="0E5E296E"/>
    <w:rsid w:val="0E5F2769"/>
    <w:rsid w:val="0F4D75A3"/>
    <w:rsid w:val="0F5B2DCA"/>
    <w:rsid w:val="0FED051E"/>
    <w:rsid w:val="0FEE4C29"/>
    <w:rsid w:val="10031608"/>
    <w:rsid w:val="10046082"/>
    <w:rsid w:val="111703D2"/>
    <w:rsid w:val="112B101A"/>
    <w:rsid w:val="119B53FC"/>
    <w:rsid w:val="12424CDC"/>
    <w:rsid w:val="129A2738"/>
    <w:rsid w:val="12B56BF1"/>
    <w:rsid w:val="12CB1A89"/>
    <w:rsid w:val="13180F3F"/>
    <w:rsid w:val="131840FB"/>
    <w:rsid w:val="13467417"/>
    <w:rsid w:val="136E76CF"/>
    <w:rsid w:val="145F08C6"/>
    <w:rsid w:val="15776308"/>
    <w:rsid w:val="15BC6B3C"/>
    <w:rsid w:val="164D40B0"/>
    <w:rsid w:val="1694429A"/>
    <w:rsid w:val="17635326"/>
    <w:rsid w:val="179955C0"/>
    <w:rsid w:val="18236EFD"/>
    <w:rsid w:val="18430166"/>
    <w:rsid w:val="189D5B1F"/>
    <w:rsid w:val="18A34CD0"/>
    <w:rsid w:val="18EF17D6"/>
    <w:rsid w:val="19A53EA8"/>
    <w:rsid w:val="19B64DBC"/>
    <w:rsid w:val="1A373ACF"/>
    <w:rsid w:val="1A8423A9"/>
    <w:rsid w:val="1A895341"/>
    <w:rsid w:val="1B0D071F"/>
    <w:rsid w:val="1B4568CE"/>
    <w:rsid w:val="1B9015B7"/>
    <w:rsid w:val="1BF54245"/>
    <w:rsid w:val="1C5455F0"/>
    <w:rsid w:val="1C801250"/>
    <w:rsid w:val="1CA9454F"/>
    <w:rsid w:val="1D0E6976"/>
    <w:rsid w:val="1D5A79EE"/>
    <w:rsid w:val="1E0E2CD0"/>
    <w:rsid w:val="1E831280"/>
    <w:rsid w:val="1EBC4704"/>
    <w:rsid w:val="1F172EB5"/>
    <w:rsid w:val="1F94592D"/>
    <w:rsid w:val="1FB860DE"/>
    <w:rsid w:val="203C5A02"/>
    <w:rsid w:val="209D4C94"/>
    <w:rsid w:val="20E84705"/>
    <w:rsid w:val="218400BA"/>
    <w:rsid w:val="21AB1E2F"/>
    <w:rsid w:val="21D40498"/>
    <w:rsid w:val="22767047"/>
    <w:rsid w:val="22FE7367"/>
    <w:rsid w:val="23A05588"/>
    <w:rsid w:val="23DE3F1D"/>
    <w:rsid w:val="240476A1"/>
    <w:rsid w:val="25431AEB"/>
    <w:rsid w:val="25BF43FD"/>
    <w:rsid w:val="25F86BCD"/>
    <w:rsid w:val="2605748B"/>
    <w:rsid w:val="269E416A"/>
    <w:rsid w:val="27056EC3"/>
    <w:rsid w:val="272100D3"/>
    <w:rsid w:val="272C72FC"/>
    <w:rsid w:val="275131CB"/>
    <w:rsid w:val="27EB149D"/>
    <w:rsid w:val="27FD3E52"/>
    <w:rsid w:val="28AB54EA"/>
    <w:rsid w:val="28E11370"/>
    <w:rsid w:val="291E7847"/>
    <w:rsid w:val="294A756A"/>
    <w:rsid w:val="29781BF8"/>
    <w:rsid w:val="29C33ED0"/>
    <w:rsid w:val="29D5322D"/>
    <w:rsid w:val="2A025DD9"/>
    <w:rsid w:val="2A2619CB"/>
    <w:rsid w:val="2A7C2231"/>
    <w:rsid w:val="2ABB753D"/>
    <w:rsid w:val="2B7A49FA"/>
    <w:rsid w:val="2C615D26"/>
    <w:rsid w:val="2CB679ED"/>
    <w:rsid w:val="2D173C07"/>
    <w:rsid w:val="2D424A86"/>
    <w:rsid w:val="2DA845B3"/>
    <w:rsid w:val="2E7B52DB"/>
    <w:rsid w:val="2E8E664C"/>
    <w:rsid w:val="2F324CFE"/>
    <w:rsid w:val="2FBA09F1"/>
    <w:rsid w:val="2FEF2ACF"/>
    <w:rsid w:val="30540211"/>
    <w:rsid w:val="31112A0D"/>
    <w:rsid w:val="311F4B20"/>
    <w:rsid w:val="312D7741"/>
    <w:rsid w:val="316F137F"/>
    <w:rsid w:val="319A1CF4"/>
    <w:rsid w:val="31DF525F"/>
    <w:rsid w:val="31EC162B"/>
    <w:rsid w:val="32324C2E"/>
    <w:rsid w:val="327171DF"/>
    <w:rsid w:val="341E3434"/>
    <w:rsid w:val="34BB4442"/>
    <w:rsid w:val="360B7EBA"/>
    <w:rsid w:val="36116865"/>
    <w:rsid w:val="362C59FE"/>
    <w:rsid w:val="369C32FD"/>
    <w:rsid w:val="37666E72"/>
    <w:rsid w:val="38081EA3"/>
    <w:rsid w:val="38167A04"/>
    <w:rsid w:val="394B167A"/>
    <w:rsid w:val="39DA2868"/>
    <w:rsid w:val="3A4E4336"/>
    <w:rsid w:val="3A6007FE"/>
    <w:rsid w:val="3AF93D6C"/>
    <w:rsid w:val="3B7C2CE4"/>
    <w:rsid w:val="3BAF716B"/>
    <w:rsid w:val="3C0B5355"/>
    <w:rsid w:val="3CD4176B"/>
    <w:rsid w:val="3D1F44D9"/>
    <w:rsid w:val="3D5C38CD"/>
    <w:rsid w:val="3E5070F1"/>
    <w:rsid w:val="3E5A066D"/>
    <w:rsid w:val="3F6C3589"/>
    <w:rsid w:val="3F850180"/>
    <w:rsid w:val="3F9004D6"/>
    <w:rsid w:val="3FD371E4"/>
    <w:rsid w:val="3FDE7C83"/>
    <w:rsid w:val="400E4D5E"/>
    <w:rsid w:val="40E1138C"/>
    <w:rsid w:val="413814BA"/>
    <w:rsid w:val="416C4732"/>
    <w:rsid w:val="41872511"/>
    <w:rsid w:val="424236D9"/>
    <w:rsid w:val="42466655"/>
    <w:rsid w:val="42C82F57"/>
    <w:rsid w:val="435707E5"/>
    <w:rsid w:val="43C76AF7"/>
    <w:rsid w:val="443661F9"/>
    <w:rsid w:val="446828F0"/>
    <w:rsid w:val="45093E85"/>
    <w:rsid w:val="45C13B4D"/>
    <w:rsid w:val="46054BCA"/>
    <w:rsid w:val="464C6AFC"/>
    <w:rsid w:val="468B0091"/>
    <w:rsid w:val="46A107C3"/>
    <w:rsid w:val="46B15CE2"/>
    <w:rsid w:val="46BE113D"/>
    <w:rsid w:val="46E44B13"/>
    <w:rsid w:val="4703508A"/>
    <w:rsid w:val="475023F8"/>
    <w:rsid w:val="479D361E"/>
    <w:rsid w:val="47B74789"/>
    <w:rsid w:val="480F2B9D"/>
    <w:rsid w:val="48282920"/>
    <w:rsid w:val="485321E0"/>
    <w:rsid w:val="48546AD3"/>
    <w:rsid w:val="48CA4868"/>
    <w:rsid w:val="48F005D3"/>
    <w:rsid w:val="49547ADD"/>
    <w:rsid w:val="49732351"/>
    <w:rsid w:val="49757B20"/>
    <w:rsid w:val="498F4AF1"/>
    <w:rsid w:val="49C05787"/>
    <w:rsid w:val="49CF518D"/>
    <w:rsid w:val="4A1178A8"/>
    <w:rsid w:val="4ADA1F63"/>
    <w:rsid w:val="4AE23D89"/>
    <w:rsid w:val="4B2038D0"/>
    <w:rsid w:val="4B296E7D"/>
    <w:rsid w:val="4B79394E"/>
    <w:rsid w:val="4B877F28"/>
    <w:rsid w:val="4C9C17E3"/>
    <w:rsid w:val="4D916BA6"/>
    <w:rsid w:val="4DC44169"/>
    <w:rsid w:val="4DE24E21"/>
    <w:rsid w:val="4E1B19A3"/>
    <w:rsid w:val="4EF0709E"/>
    <w:rsid w:val="4F0469A4"/>
    <w:rsid w:val="513C6A7B"/>
    <w:rsid w:val="529B324A"/>
    <w:rsid w:val="53227DF2"/>
    <w:rsid w:val="532D486F"/>
    <w:rsid w:val="5333545B"/>
    <w:rsid w:val="538D0E89"/>
    <w:rsid w:val="5450213C"/>
    <w:rsid w:val="54D24048"/>
    <w:rsid w:val="54D64CD5"/>
    <w:rsid w:val="54FA0F07"/>
    <w:rsid w:val="55887D69"/>
    <w:rsid w:val="561A0928"/>
    <w:rsid w:val="56423872"/>
    <w:rsid w:val="56B279F0"/>
    <w:rsid w:val="579D710E"/>
    <w:rsid w:val="581F22F6"/>
    <w:rsid w:val="586E1E17"/>
    <w:rsid w:val="58862C35"/>
    <w:rsid w:val="58C14957"/>
    <w:rsid w:val="58CC23D2"/>
    <w:rsid w:val="59057132"/>
    <w:rsid w:val="5A49692D"/>
    <w:rsid w:val="5AE83A50"/>
    <w:rsid w:val="5B353193"/>
    <w:rsid w:val="5BAB2917"/>
    <w:rsid w:val="5BFC33FA"/>
    <w:rsid w:val="5BFC36E5"/>
    <w:rsid w:val="5C3107A4"/>
    <w:rsid w:val="5C3B1B93"/>
    <w:rsid w:val="5C9220DF"/>
    <w:rsid w:val="5D4A15F3"/>
    <w:rsid w:val="5D69542A"/>
    <w:rsid w:val="5D783B72"/>
    <w:rsid w:val="5E0930EF"/>
    <w:rsid w:val="5E3D4D53"/>
    <w:rsid w:val="5E4717E6"/>
    <w:rsid w:val="5E55774C"/>
    <w:rsid w:val="60045F96"/>
    <w:rsid w:val="60104DDC"/>
    <w:rsid w:val="605C0804"/>
    <w:rsid w:val="60B0779C"/>
    <w:rsid w:val="6189617B"/>
    <w:rsid w:val="61B52BB6"/>
    <w:rsid w:val="61B749C2"/>
    <w:rsid w:val="61FA4799"/>
    <w:rsid w:val="62280D20"/>
    <w:rsid w:val="62A065CE"/>
    <w:rsid w:val="62CA2457"/>
    <w:rsid w:val="638240A1"/>
    <w:rsid w:val="63833423"/>
    <w:rsid w:val="63A5257B"/>
    <w:rsid w:val="63BD3DCC"/>
    <w:rsid w:val="63C61741"/>
    <w:rsid w:val="64560967"/>
    <w:rsid w:val="64E15548"/>
    <w:rsid w:val="656B1D10"/>
    <w:rsid w:val="65B841F9"/>
    <w:rsid w:val="65B90DB3"/>
    <w:rsid w:val="66022B28"/>
    <w:rsid w:val="66120F31"/>
    <w:rsid w:val="664A38E2"/>
    <w:rsid w:val="66581E87"/>
    <w:rsid w:val="66FA11D5"/>
    <w:rsid w:val="674302C7"/>
    <w:rsid w:val="67443DB9"/>
    <w:rsid w:val="680A5986"/>
    <w:rsid w:val="680D5F4B"/>
    <w:rsid w:val="68113F51"/>
    <w:rsid w:val="68E94770"/>
    <w:rsid w:val="68F949C9"/>
    <w:rsid w:val="695A4290"/>
    <w:rsid w:val="6A334932"/>
    <w:rsid w:val="6A3353FF"/>
    <w:rsid w:val="6A5D63E6"/>
    <w:rsid w:val="6A5F24D1"/>
    <w:rsid w:val="6AE347EB"/>
    <w:rsid w:val="6B434AF0"/>
    <w:rsid w:val="6B57675A"/>
    <w:rsid w:val="6BDD7B4D"/>
    <w:rsid w:val="6D42408A"/>
    <w:rsid w:val="6EBC0B3A"/>
    <w:rsid w:val="6EF51C7D"/>
    <w:rsid w:val="6F8363E5"/>
    <w:rsid w:val="6FAC3CC5"/>
    <w:rsid w:val="6FC746F5"/>
    <w:rsid w:val="70317AC6"/>
    <w:rsid w:val="704B26F7"/>
    <w:rsid w:val="70863262"/>
    <w:rsid w:val="70A76ED3"/>
    <w:rsid w:val="70E77EB4"/>
    <w:rsid w:val="71860B17"/>
    <w:rsid w:val="723B27CC"/>
    <w:rsid w:val="72687227"/>
    <w:rsid w:val="72A03FD9"/>
    <w:rsid w:val="73406CFF"/>
    <w:rsid w:val="7383028C"/>
    <w:rsid w:val="73A25E44"/>
    <w:rsid w:val="741F68CF"/>
    <w:rsid w:val="75252DF3"/>
    <w:rsid w:val="75621536"/>
    <w:rsid w:val="75BF3154"/>
    <w:rsid w:val="75D70EE2"/>
    <w:rsid w:val="764A07CF"/>
    <w:rsid w:val="764F6B3D"/>
    <w:rsid w:val="76CD2B7B"/>
    <w:rsid w:val="76D80645"/>
    <w:rsid w:val="76E03371"/>
    <w:rsid w:val="7789051A"/>
    <w:rsid w:val="77FC3C10"/>
    <w:rsid w:val="780E5898"/>
    <w:rsid w:val="782642CC"/>
    <w:rsid w:val="7894095E"/>
    <w:rsid w:val="78964555"/>
    <w:rsid w:val="78CF4963"/>
    <w:rsid w:val="79000679"/>
    <w:rsid w:val="79A416F0"/>
    <w:rsid w:val="79B03EB6"/>
    <w:rsid w:val="7AE15A5C"/>
    <w:rsid w:val="7AF37579"/>
    <w:rsid w:val="7AF87F64"/>
    <w:rsid w:val="7B1C0C84"/>
    <w:rsid w:val="7B5A62DF"/>
    <w:rsid w:val="7B7A04A8"/>
    <w:rsid w:val="7C0C3F6D"/>
    <w:rsid w:val="7C22163C"/>
    <w:rsid w:val="7C457B4B"/>
    <w:rsid w:val="7C595075"/>
    <w:rsid w:val="7C6B07B2"/>
    <w:rsid w:val="7CBF4CBD"/>
    <w:rsid w:val="7D133243"/>
    <w:rsid w:val="7D945420"/>
    <w:rsid w:val="7D9E43C4"/>
    <w:rsid w:val="7E394207"/>
    <w:rsid w:val="7E4007A2"/>
    <w:rsid w:val="7E791CAD"/>
    <w:rsid w:val="7EA50DFB"/>
    <w:rsid w:val="7EC86878"/>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1"/>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2"/>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3"/>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2"/>
    <w:basedOn w:val="1"/>
    <w:qFormat/>
    <w:uiPriority w:val="0"/>
    <w:pPr>
      <w:spacing w:after="120" w:line="480" w:lineRule="auto"/>
    </w:p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41"/>
    <w:unhideWhenUsed/>
    <w:qFormat/>
    <w:uiPriority w:val="99"/>
    <w:pPr>
      <w:spacing w:after="120"/>
    </w:pPr>
    <w:rPr>
      <w:sz w:val="16"/>
      <w:szCs w:val="16"/>
    </w:rPr>
  </w:style>
  <w:style w:type="paragraph" w:styleId="9">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0">
    <w:name w:val="toc 3"/>
    <w:basedOn w:val="1"/>
    <w:next w:val="1"/>
    <w:unhideWhenUsed/>
    <w:qFormat/>
    <w:uiPriority w:val="39"/>
    <w:pPr>
      <w:widowControl/>
      <w:spacing w:after="100" w:line="276" w:lineRule="auto"/>
      <w:ind w:left="440"/>
      <w:jc w:val="left"/>
    </w:pPr>
    <w:rPr>
      <w:kern w:val="0"/>
      <w:sz w:val="22"/>
    </w:rPr>
  </w:style>
  <w:style w:type="paragraph" w:styleId="11">
    <w:name w:val="Plain Text"/>
    <w:basedOn w:val="1"/>
    <w:next w:val="12"/>
    <w:qFormat/>
    <w:uiPriority w:val="0"/>
    <w:rPr>
      <w:rFonts w:ascii="宋体" w:hAnsi="Courier New"/>
      <w:szCs w:val="21"/>
    </w:rPr>
  </w:style>
  <w:style w:type="paragraph" w:customStyle="1" w:styleId="12">
    <w:name w:val="Default"/>
    <w:next w:val="13"/>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3">
    <w:name w:val="List"/>
    <w:basedOn w:val="1"/>
    <w:next w:val="1"/>
    <w:qFormat/>
    <w:uiPriority w:val="0"/>
    <w:pPr>
      <w:snapToGrid w:val="0"/>
    </w:pPr>
    <w:rPr>
      <w:szCs w:val="24"/>
    </w:rPr>
  </w:style>
  <w:style w:type="paragraph" w:styleId="14">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5">
    <w:name w:val="Balloon Text"/>
    <w:basedOn w:val="1"/>
    <w:link w:val="36"/>
    <w:semiHidden/>
    <w:unhideWhenUsed/>
    <w:qFormat/>
    <w:uiPriority w:val="99"/>
    <w:rPr>
      <w:sz w:val="18"/>
      <w:szCs w:val="18"/>
    </w:rPr>
  </w:style>
  <w:style w:type="paragraph" w:styleId="16">
    <w:name w:val="footer"/>
    <w:basedOn w:val="1"/>
    <w:link w:val="30"/>
    <w:unhideWhenUsed/>
    <w:qFormat/>
    <w:uiPriority w:val="99"/>
    <w:pPr>
      <w:tabs>
        <w:tab w:val="center" w:pos="4153"/>
        <w:tab w:val="right" w:pos="8306"/>
      </w:tabs>
      <w:snapToGrid w:val="0"/>
      <w:jc w:val="left"/>
    </w:pPr>
    <w:rPr>
      <w:sz w:val="18"/>
      <w:szCs w:val="18"/>
    </w:rPr>
  </w:style>
  <w:style w:type="paragraph" w:styleId="17">
    <w:name w:val="header"/>
    <w:basedOn w:val="1"/>
    <w:link w:val="2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21">
    <w:name w:val="Body Text First Indent 2"/>
    <w:basedOn w:val="9"/>
    <w:qFormat/>
    <w:uiPriority w:val="0"/>
    <w:pPr>
      <w:adjustRightInd w:val="0"/>
      <w:spacing w:line="360" w:lineRule="auto"/>
      <w:ind w:left="0" w:leftChars="0" w:firstLine="420"/>
      <w:textAlignment w:val="baseline"/>
    </w:pPr>
    <w:rPr>
      <w:rFonts w:eastAsia="等线" w:cs="Times New Roman"/>
      <w:color w:val="000000"/>
      <w:szCs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Strong"/>
    <w:basedOn w:val="24"/>
    <w:qFormat/>
    <w:uiPriority w:val="22"/>
    <w:rPr>
      <w:rFonts w:eastAsia="宋体"/>
      <w:b/>
      <w:bCs/>
      <w:kern w:val="2"/>
      <w:sz w:val="24"/>
      <w:szCs w:val="24"/>
      <w:lang w:val="en-US" w:eastAsia="zh-CN" w:bidi="ar-SA"/>
    </w:rPr>
  </w:style>
  <w:style w:type="character" w:styleId="26">
    <w:name w:val="Hyperlink"/>
    <w:basedOn w:val="24"/>
    <w:unhideWhenUsed/>
    <w:qFormat/>
    <w:uiPriority w:val="99"/>
    <w:rPr>
      <w:color w:val="0000FF" w:themeColor="hyperlink"/>
      <w:u w:val="single"/>
      <w14:textFill>
        <w14:solidFill>
          <w14:schemeClr w14:val="hlink"/>
        </w14:solidFill>
      </w14:textFill>
    </w:rPr>
  </w:style>
  <w:style w:type="character" w:styleId="27">
    <w:name w:val="annotation reference"/>
    <w:qFormat/>
    <w:uiPriority w:val="0"/>
    <w:rPr>
      <w:rFonts w:ascii="Times New Roman" w:hAnsi="Times New Roman" w:eastAsia="宋体" w:cs="Times New Roman"/>
      <w:sz w:val="21"/>
      <w:szCs w:val="21"/>
    </w:rPr>
  </w:style>
  <w:style w:type="paragraph" w:customStyle="1" w:styleId="28">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29">
    <w:name w:val="页眉 Char"/>
    <w:basedOn w:val="24"/>
    <w:link w:val="17"/>
    <w:semiHidden/>
    <w:qFormat/>
    <w:uiPriority w:val="99"/>
    <w:rPr>
      <w:sz w:val="18"/>
      <w:szCs w:val="18"/>
    </w:rPr>
  </w:style>
  <w:style w:type="character" w:customStyle="1" w:styleId="30">
    <w:name w:val="页脚 Char"/>
    <w:basedOn w:val="24"/>
    <w:link w:val="16"/>
    <w:qFormat/>
    <w:uiPriority w:val="99"/>
    <w:rPr>
      <w:sz w:val="18"/>
      <w:szCs w:val="18"/>
    </w:rPr>
  </w:style>
  <w:style w:type="character" w:customStyle="1" w:styleId="31">
    <w:name w:val="标题 1 Char"/>
    <w:basedOn w:val="24"/>
    <w:link w:val="4"/>
    <w:qFormat/>
    <w:uiPriority w:val="9"/>
    <w:rPr>
      <w:rFonts w:eastAsia="方正小标宋简体"/>
      <w:bCs/>
      <w:kern w:val="44"/>
      <w:sz w:val="44"/>
      <w:szCs w:val="44"/>
    </w:rPr>
  </w:style>
  <w:style w:type="character" w:customStyle="1" w:styleId="32">
    <w:name w:val="标题 2 Char"/>
    <w:basedOn w:val="24"/>
    <w:link w:val="5"/>
    <w:qFormat/>
    <w:uiPriority w:val="9"/>
    <w:rPr>
      <w:rFonts w:eastAsia="方正小标宋简体" w:asciiTheme="majorHAnsi" w:hAnsiTheme="majorHAnsi" w:cstheme="majorBidi"/>
      <w:bCs/>
      <w:sz w:val="36"/>
      <w:szCs w:val="32"/>
    </w:rPr>
  </w:style>
  <w:style w:type="character" w:customStyle="1" w:styleId="33">
    <w:name w:val="标题 3 Char"/>
    <w:basedOn w:val="24"/>
    <w:link w:val="6"/>
    <w:qFormat/>
    <w:uiPriority w:val="9"/>
    <w:rPr>
      <w:rFonts w:ascii="Calibri" w:hAnsi="Calibri" w:eastAsia="宋体" w:cs="Times New Roman"/>
      <w:b/>
      <w:bCs/>
      <w:sz w:val="32"/>
      <w:szCs w:val="32"/>
    </w:rPr>
  </w:style>
  <w:style w:type="paragraph" w:styleId="34">
    <w:name w:val="List Paragraph"/>
    <w:basedOn w:val="1"/>
    <w:link w:val="42"/>
    <w:qFormat/>
    <w:uiPriority w:val="34"/>
    <w:pPr>
      <w:ind w:firstLine="420" w:firstLineChars="200"/>
    </w:pPr>
  </w:style>
  <w:style w:type="paragraph" w:customStyle="1" w:styleId="35">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Char"/>
    <w:basedOn w:val="24"/>
    <w:link w:val="15"/>
    <w:semiHidden/>
    <w:qFormat/>
    <w:uiPriority w:val="99"/>
    <w:rPr>
      <w:sz w:val="18"/>
      <w:szCs w:val="18"/>
    </w:rPr>
  </w:style>
  <w:style w:type="paragraph"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M97"/>
    <w:basedOn w:val="12"/>
    <w:next w:val="12"/>
    <w:qFormat/>
    <w:uiPriority w:val="0"/>
    <w:pPr>
      <w:spacing w:after="373"/>
    </w:pPr>
    <w:rPr>
      <w:color w:val="auto"/>
    </w:rPr>
  </w:style>
  <w:style w:type="paragraph" w:customStyle="1" w:styleId="39">
    <w:name w:val="CM91"/>
    <w:basedOn w:val="12"/>
    <w:next w:val="12"/>
    <w:qFormat/>
    <w:uiPriority w:val="0"/>
    <w:pPr>
      <w:spacing w:after="160"/>
    </w:pPr>
    <w:rPr>
      <w:color w:val="auto"/>
    </w:rPr>
  </w:style>
  <w:style w:type="character" w:customStyle="1" w:styleId="40">
    <w:name w:val="正文文本 3 Char"/>
    <w:link w:val="8"/>
    <w:qFormat/>
    <w:uiPriority w:val="99"/>
    <w:rPr>
      <w:sz w:val="16"/>
      <w:szCs w:val="16"/>
    </w:rPr>
  </w:style>
  <w:style w:type="character" w:customStyle="1" w:styleId="41">
    <w:name w:val="正文文本 3 Char1"/>
    <w:basedOn w:val="24"/>
    <w:link w:val="8"/>
    <w:semiHidden/>
    <w:qFormat/>
    <w:uiPriority w:val="99"/>
    <w:rPr>
      <w:sz w:val="16"/>
      <w:szCs w:val="16"/>
    </w:rPr>
  </w:style>
  <w:style w:type="character" w:customStyle="1" w:styleId="42">
    <w:name w:val="列出段落 Char"/>
    <w:link w:val="34"/>
    <w:qFormat/>
    <w:uiPriority w:val="34"/>
  </w:style>
  <w:style w:type="paragraph" w:customStyle="1" w:styleId="43">
    <w:name w:val="1"/>
    <w:basedOn w:val="1"/>
    <w:next w:val="11"/>
    <w:qFormat/>
    <w:uiPriority w:val="99"/>
    <w:pPr>
      <w:widowControl w:val="0"/>
      <w:jc w:val="both"/>
    </w:pPr>
    <w:rPr>
      <w:rFonts w:ascii="宋体" w:hAnsi="Courier New"/>
      <w:kern w:val="2"/>
    </w:rPr>
  </w:style>
  <w:style w:type="paragraph" w:customStyle="1" w:styleId="44">
    <w:name w:val="WPSOffice手动目录 1"/>
    <w:qFormat/>
    <w:uiPriority w:val="0"/>
    <w:pPr>
      <w:ind w:leftChars="0"/>
    </w:pPr>
    <w:rPr>
      <w:rFonts w:asciiTheme="minorHAnsi" w:hAnsiTheme="minorHAnsi" w:eastAsiaTheme="minorEastAsia" w:cstheme="minorBidi"/>
      <w:sz w:val="20"/>
      <w:szCs w:val="20"/>
    </w:rPr>
  </w:style>
  <w:style w:type="paragraph" w:customStyle="1" w:styleId="45">
    <w:name w:val="WPSOffice手动目录 2"/>
    <w:qFormat/>
    <w:uiPriority w:val="0"/>
    <w:pPr>
      <w:ind w:leftChars="200"/>
    </w:pPr>
    <w:rPr>
      <w:rFonts w:asciiTheme="minorHAnsi" w:hAnsiTheme="minorHAnsi" w:eastAsiaTheme="minorEastAsia" w:cstheme="minorBidi"/>
      <w:sz w:val="20"/>
      <w:szCs w:val="20"/>
    </w:rPr>
  </w:style>
  <w:style w:type="paragraph" w:customStyle="1" w:styleId="46">
    <w:name w:val="WPSOffice手动目录 3"/>
    <w:qFormat/>
    <w:uiPriority w:val="0"/>
    <w:pPr>
      <w:ind w:leftChars="400"/>
    </w:pPr>
    <w:rPr>
      <w:rFonts w:asciiTheme="minorHAnsi" w:hAnsiTheme="minorHAnsi" w:eastAsiaTheme="minorEastAsia" w:cstheme="minorBidi"/>
      <w:sz w:val="20"/>
      <w:szCs w:val="20"/>
    </w:rPr>
  </w:style>
  <w:style w:type="paragraph" w:customStyle="1" w:styleId="47">
    <w:name w:val="_Style 4"/>
    <w:basedOn w:val="4"/>
    <w:next w:val="1"/>
    <w:qFormat/>
    <w:uiPriority w:val="0"/>
    <w:pPr>
      <w:keepNext w:val="0"/>
      <w:keepLines w:val="0"/>
      <w:spacing w:before="0" w:after="0" w:line="576" w:lineRule="auto"/>
      <w:jc w:val="left"/>
      <w:outlineLvl w:val="9"/>
    </w:pPr>
    <w:rPr>
      <w:rFonts w:ascii="Calibri" w:hAnsi="Calibri" w:eastAsia="黑体"/>
      <w:bCs w:val="0"/>
      <w:kern w:val="0"/>
      <w:lang w:eastAsia="en-US"/>
    </w:rPr>
  </w:style>
  <w:style w:type="paragraph" w:customStyle="1" w:styleId="48">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character" w:customStyle="1" w:styleId="49">
    <w:name w:val="font01"/>
    <w:qFormat/>
    <w:uiPriority w:val="0"/>
    <w:rPr>
      <w:rFonts w:hint="eastAsia" w:ascii="宋体" w:hAnsi="宋体" w:eastAsia="宋体" w:cs="宋体"/>
      <w:color w:val="000000"/>
      <w:sz w:val="24"/>
      <w:szCs w:val="24"/>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82</Pages>
  <Words>29114</Words>
  <Characters>30905</Characters>
  <Lines>300</Lines>
  <Paragraphs>84</Paragraphs>
  <TotalTime>16</TotalTime>
  <ScaleCrop>false</ScaleCrop>
  <LinksUpToDate>false</LinksUpToDate>
  <CharactersWithSpaces>33227</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江高分公司</cp:lastModifiedBy>
  <cp:lastPrinted>2022-08-11T08:05:00Z</cp:lastPrinted>
  <dcterms:modified xsi:type="dcterms:W3CDTF">2022-08-17T03:51:06Z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7729D9AB11EA4AC8A3BBE594D7BD4A0E</vt:lpwstr>
  </property>
</Properties>
</file>