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p>
    <w:p>
      <w:pPr>
        <w:jc w:val="center"/>
        <w:rPr>
          <w:rFonts w:hint="eastAsia" w:ascii="方正小标宋简体" w:eastAsia="方正小标宋简体"/>
          <w:b/>
          <w:bCs/>
          <w:color w:val="auto"/>
          <w:sz w:val="52"/>
          <w:szCs w:val="52"/>
          <w:highlight w:val="none"/>
          <w:u w:val="none"/>
          <w:lang w:val="en-US" w:eastAsia="zh-CN"/>
        </w:rPr>
      </w:pPr>
      <w:r>
        <w:rPr>
          <w:rFonts w:hint="eastAsia" w:ascii="方正小标宋简体" w:eastAsia="方正小标宋简体"/>
          <w:b/>
          <w:bCs/>
          <w:color w:val="auto"/>
          <w:sz w:val="52"/>
          <w:szCs w:val="52"/>
          <w:highlight w:val="none"/>
          <w:lang w:val="en-US" w:eastAsia="zh-CN"/>
        </w:rPr>
        <w:t>广州市净水有限公司龙归分公司2022年一期高压电房设备更换及发电机租赁、</w:t>
      </w:r>
      <w:r>
        <w:rPr>
          <w:rFonts w:hint="eastAsia" w:ascii="方正小标宋简体" w:eastAsia="方正小标宋简体"/>
          <w:b/>
          <w:bCs/>
          <w:color w:val="auto"/>
          <w:sz w:val="52"/>
          <w:szCs w:val="52"/>
          <w:highlight w:val="none"/>
          <w:u w:val="none"/>
          <w:lang w:val="en-US" w:eastAsia="zh-CN"/>
        </w:rPr>
        <w:t>一期低压电房配电柜底座</w:t>
      </w:r>
    </w:p>
    <w:p>
      <w:pPr>
        <w:jc w:val="center"/>
        <w:rPr>
          <w:rFonts w:ascii="方正小标宋简体" w:eastAsia="方正小标宋简体"/>
          <w:color w:val="auto"/>
          <w:sz w:val="52"/>
          <w:szCs w:val="52"/>
          <w:highlight w:val="none"/>
        </w:rPr>
      </w:pPr>
      <w:r>
        <w:rPr>
          <w:rFonts w:hint="eastAsia" w:ascii="方正小标宋简体" w:eastAsia="方正小标宋简体"/>
          <w:b/>
          <w:bCs/>
          <w:color w:val="auto"/>
          <w:sz w:val="52"/>
          <w:szCs w:val="52"/>
          <w:highlight w:val="none"/>
          <w:u w:val="none"/>
          <w:lang w:val="en-US" w:eastAsia="zh-CN"/>
        </w:rPr>
        <w:t>加固</w:t>
      </w:r>
      <w:r>
        <w:rPr>
          <w:rFonts w:hint="eastAsia" w:ascii="方正小标宋简体" w:eastAsia="方正小标宋简体"/>
          <w:b/>
          <w:bCs/>
          <w:color w:val="auto"/>
          <w:sz w:val="52"/>
          <w:szCs w:val="52"/>
          <w:highlight w:val="none"/>
          <w:lang w:val="en-US" w:eastAsia="zh-CN"/>
        </w:rPr>
        <w:t>项目</w:t>
      </w:r>
      <w:r>
        <w:rPr>
          <w:rFonts w:hint="eastAsia" w:ascii="方正小标宋简体" w:eastAsia="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1322"/>
      <w:bookmarkStart w:id="5" w:name="_Toc31938"/>
      <w:bookmarkStart w:id="6" w:name="_Toc19609"/>
      <w:bookmarkStart w:id="7" w:name="_Toc1669"/>
      <w:bookmarkStart w:id="8" w:name="_Toc4275"/>
      <w:bookmarkStart w:id="9" w:name="_Toc7519"/>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snapToGrid/>
        <w:spacing w:line="24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广州市净水有限公司龙归分公司2022年一期高压电房设备更换及发电机租赁、一期高压电房高压电柜配件更换项目</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val="en-US" w:eastAsia="zh-CN"/>
        </w:rPr>
        <w:t>项目一：</w:t>
      </w:r>
      <w:r>
        <w:rPr>
          <w:rFonts w:hint="eastAsia" w:ascii="仿宋_GB2312" w:eastAsia="仿宋_GB2312"/>
          <w:color w:val="auto"/>
          <w:sz w:val="28"/>
          <w:szCs w:val="28"/>
          <w:highlight w:val="none"/>
          <w:u w:val="single"/>
          <w:lang w:val="en-US" w:eastAsia="zh-CN"/>
        </w:rPr>
        <w:t>2022年龙归分公司一期高压电房设备更换及发电机租赁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项目二：龙归分公司2022年一期低压电房配电柜底座加固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XJ-20220819-5</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4最高限价：364484.9元。其中项目一：2022年龙归分公司一期高压电房设备更换及发电机租赁</w:t>
      </w:r>
      <w:r>
        <w:rPr>
          <w:rFonts w:hint="eastAsia" w:ascii="仿宋_GB2312" w:eastAsia="仿宋_GB2312"/>
          <w:color w:val="auto"/>
          <w:sz w:val="28"/>
          <w:szCs w:val="28"/>
          <w:highlight w:val="none"/>
          <w:u w:val="none"/>
        </w:rPr>
        <w:t xml:space="preserve"> 最高限价</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：320023.9元，其中不含税工程造价为293599.9元，税率为9%，绿色施工安全防护措施费为2234.72元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项目二：龙归分公司2022年一期低压电房配电柜底座加固项目</w:t>
      </w:r>
      <w:r>
        <w:rPr>
          <w:rFonts w:hint="eastAsia" w:ascii="仿宋_GB2312" w:eastAsia="仿宋_GB2312"/>
          <w:color w:val="auto"/>
          <w:sz w:val="28"/>
          <w:szCs w:val="28"/>
          <w:highlight w:val="none"/>
          <w:u w:val="none"/>
        </w:rPr>
        <w:t>最高限价</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：4</w:t>
      </w:r>
      <w:r>
        <w:rPr>
          <w:rFonts w:hint="eastAsia" w:ascii="仿宋_GB2312" w:eastAsia="仿宋_GB2312"/>
          <w:color w:val="auto"/>
          <w:sz w:val="28"/>
          <w:szCs w:val="28"/>
          <w:highlight w:val="none"/>
          <w:u w:val="none"/>
          <w:lang w:val="en-US" w:eastAsia="zh-CN"/>
        </w:rPr>
        <w:t>4461.00元，</w:t>
      </w:r>
      <w:r>
        <w:rPr>
          <w:rFonts w:hint="eastAsia" w:ascii="仿宋_GB2312" w:eastAsia="仿宋_GB2312"/>
          <w:color w:val="auto"/>
          <w:sz w:val="28"/>
          <w:szCs w:val="28"/>
          <w:highlight w:val="none"/>
          <w:u w:val="none"/>
        </w:rPr>
        <w:t>其中不含税工程造价为</w:t>
      </w:r>
      <w:r>
        <w:rPr>
          <w:rFonts w:hint="eastAsia" w:ascii="仿宋_GB2312" w:eastAsia="仿宋_GB2312"/>
          <w:color w:val="auto"/>
          <w:sz w:val="28"/>
          <w:szCs w:val="28"/>
          <w:highlight w:val="none"/>
          <w:u w:val="none"/>
          <w:lang w:val="en-US" w:eastAsia="zh-CN"/>
        </w:rPr>
        <w:t>40789.91</w:t>
      </w:r>
      <w:r>
        <w:rPr>
          <w:rFonts w:hint="eastAsia" w:ascii="仿宋_GB2312" w:eastAsia="仿宋_GB2312"/>
          <w:color w:val="auto"/>
          <w:sz w:val="28"/>
          <w:szCs w:val="28"/>
          <w:highlight w:val="none"/>
          <w:u w:val="none"/>
        </w:rPr>
        <w:t>元，税率为</w:t>
      </w:r>
      <w:r>
        <w:rPr>
          <w:rFonts w:hint="eastAsia" w:ascii="仿宋_GB2312" w:eastAsia="仿宋_GB2312"/>
          <w:color w:val="auto"/>
          <w:sz w:val="28"/>
          <w:szCs w:val="28"/>
          <w:highlight w:val="none"/>
          <w:u w:val="none"/>
          <w:lang w:val="en-US" w:eastAsia="zh-CN"/>
        </w:rPr>
        <w:t>9</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绿色施工安全防护措施费为非竞争性费用，在报价时须按询价文件规定的金额填写，不得参与竞争，否则按无效报价处理。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ind w:firstLine="560" w:firstLineChars="200"/>
        <w:rPr>
          <w:rFonts w:hint="eastAsia" w:ascii="仿宋_GB2312" w:eastAsia="仿宋_GB2312" w:hAnsiTheme="minorHAnsi" w:cstheme="minorBidi"/>
          <w:color w:val="auto"/>
          <w:sz w:val="28"/>
          <w:szCs w:val="28"/>
          <w:highlight w:val="none"/>
          <w:u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lang w:val="en-US" w:eastAsia="zh-CN"/>
        </w:rPr>
        <w:t>项目一：</w:t>
      </w:r>
      <w:r>
        <w:rPr>
          <w:rFonts w:hint="eastAsia" w:ascii="仿宋_GB2312" w:eastAsia="仿宋_GB2312"/>
          <w:color w:val="auto"/>
          <w:sz w:val="28"/>
          <w:szCs w:val="28"/>
          <w:highlight w:val="none"/>
          <w:lang w:val="en-US" w:eastAsia="zh-CN"/>
        </w:rPr>
        <w:t>2022年龙归分公司一期高压电房设备更换及发电机租赁项目：</w:t>
      </w:r>
      <w:r>
        <w:rPr>
          <w:rFonts w:hint="eastAsia" w:ascii="仿宋_GB2312" w:eastAsia="仿宋_GB2312" w:hAnsiTheme="minorHAnsi" w:cstheme="minorBidi"/>
          <w:color w:val="auto"/>
          <w:sz w:val="28"/>
          <w:szCs w:val="28"/>
          <w:highlight w:val="none"/>
          <w:u w:val="none"/>
          <w:lang w:val="en-US" w:eastAsia="zh-CN"/>
        </w:rPr>
        <w:t>广州市净水有限公司（龙归）高压配电室2台进线高压柜设备的综合继电器保护装置（以下简称综合继保）已经无法正常使用，现需现场换新2个综合继保，同时更换计量PT4个，并维修高压柜地刀一套。更换配件时需要停电操作，由于龙归分公司一二期生产线设备、化验班、仓库及办公场所等用电全部由一期高压配电房供给，计划在施工期间租赁发电机进行发电，保障龙归分公司一二期厂区用电。</w:t>
      </w:r>
    </w:p>
    <w:p>
      <w:pPr>
        <w:spacing w:line="360" w:lineRule="auto"/>
        <w:rPr>
          <w:color w:val="auto"/>
          <w:sz w:val="24"/>
          <w:szCs w:val="24"/>
          <w:highlight w:val="none"/>
        </w:rPr>
      </w:pP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项目二：龙归分公司2022年一期低压电房配电柜底座加固项目：</w:t>
      </w:r>
      <w:r>
        <w:rPr>
          <w:rFonts w:hint="eastAsia" w:ascii="仿宋_GB2312" w:eastAsia="仿宋_GB2312" w:hAnsiTheme="minorHAnsi" w:cstheme="minorBidi"/>
          <w:b w:val="0"/>
          <w:bCs w:val="0"/>
          <w:color w:val="auto"/>
          <w:kern w:val="2"/>
          <w:sz w:val="28"/>
          <w:szCs w:val="28"/>
          <w:highlight w:val="none"/>
          <w:u w:val="none"/>
          <w:lang w:val="en-US" w:eastAsia="zh-CN" w:bidi="ar-SA"/>
        </w:rPr>
        <w:t>一期低压电房</w:t>
      </w:r>
      <w:r>
        <w:rPr>
          <w:rFonts w:hint="eastAsia" w:ascii="仿宋_GB2312" w:eastAsia="仿宋_GB2312"/>
          <w:color w:val="auto"/>
          <w:sz w:val="28"/>
          <w:szCs w:val="28"/>
          <w:highlight w:val="none"/>
          <w:u w:val="none"/>
        </w:rPr>
        <w:t>由于电房基础沉降，造成低压配电柜下沉，柜体不在同一平面，随着时间推移下沉加剧，电柜结构将会受应力影响产生变形，损坏内部元器件和导体搭接稳定性，对供电安全造成巨大隐患。</w:t>
      </w:r>
      <w:r>
        <w:rPr>
          <w:rFonts w:hint="eastAsia" w:ascii="仿宋_GB2312" w:eastAsia="仿宋_GB2312"/>
          <w:color w:val="auto"/>
          <w:sz w:val="28"/>
          <w:szCs w:val="28"/>
          <w:highlight w:val="none"/>
          <w:u w:val="none"/>
          <w:lang w:val="en-US" w:eastAsia="zh-CN"/>
        </w:rPr>
        <w:t>现计划</w:t>
      </w:r>
      <w:r>
        <w:rPr>
          <w:rFonts w:hint="eastAsia" w:ascii="仿宋_GB2312" w:eastAsia="仿宋_GB2312"/>
          <w:color w:val="auto"/>
          <w:sz w:val="28"/>
          <w:szCs w:val="28"/>
          <w:highlight w:val="none"/>
          <w:u w:val="none"/>
        </w:rPr>
        <w:t>在每台柜本体结构的支撑受力点（即柜体侧横梁与立柱拼接点）正下方放一台机械式10T千斤顶，千斤顶下方垫一块花纹钢板以增大受力面积，防止千斤顶破坏电缆沟地面。共需7台千斤顶，千斤顶下方用8mm厚板材加工成的槽钢底座加高。</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广州市白云区太和镇龙归龙岗北路20号广州市净水有限公司龙归分公司。</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w:t>
      </w:r>
      <w:r>
        <w:rPr>
          <w:rFonts w:hint="eastAsia" w:ascii="仿宋_GB2312" w:eastAsia="仿宋_GB2312"/>
          <w:color w:val="auto"/>
          <w:sz w:val="28"/>
          <w:szCs w:val="28"/>
          <w:highlight w:val="none"/>
          <w:u w:val="single"/>
        </w:rPr>
        <w:t>询价文件中所有要求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本项目需进入高压电房及低压电房作业，作业人员需同时持有高压进网作业许可证和低压电工证</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 w:hAnsi="仿宋" w:eastAsia="仿宋" w:cs="仿宋"/>
          <w:color w:val="auto"/>
          <w:kern w:val="2"/>
          <w:sz w:val="28"/>
          <w:szCs w:val="28"/>
          <w:highlight w:val="none"/>
          <w:u w:val="none"/>
          <w:lang w:val="en-US" w:eastAsia="zh-CN"/>
        </w:rPr>
        <w:t>电力工程施工总承包三级（或以上），</w:t>
      </w:r>
      <w:r>
        <w:rPr>
          <w:rFonts w:hint="eastAsia" w:ascii="仿宋_GB2312" w:eastAsia="仿宋_GB2312"/>
          <w:color w:val="auto"/>
          <w:sz w:val="28"/>
          <w:szCs w:val="28"/>
          <w:highlight w:val="none"/>
          <w:lang w:eastAsia="zh-CN"/>
        </w:rPr>
        <w:t>建设主管部门颁发且在有效期内的《安全生产许可证》</w:t>
      </w:r>
      <w:r>
        <w:rPr>
          <w:rFonts w:hint="eastAsia" w:ascii="仿宋_GB2312" w:eastAsia="仿宋_GB2312"/>
          <w:color w:val="auto"/>
          <w:sz w:val="28"/>
          <w:szCs w:val="28"/>
          <w:highlight w:val="none"/>
        </w:rPr>
        <w:t>资质。</w:t>
      </w:r>
    </w:p>
    <w:p>
      <w:pPr>
        <w:spacing w:line="600" w:lineRule="exact"/>
        <w:rPr>
          <w:rFonts w:hint="eastAsia"/>
          <w:color w:val="auto"/>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  </w:t>
      </w:r>
      <w:r>
        <w:rPr>
          <w:rFonts w:hint="eastAsia" w:ascii="仿宋_GB2312" w:eastAsia="仿宋_GB2312"/>
          <w:color w:val="auto"/>
          <w:sz w:val="28"/>
          <w:szCs w:val="28"/>
          <w:highlight w:val="none"/>
          <w:u w:val="none"/>
          <w:lang w:val="en-US" w:eastAsia="zh-CN"/>
        </w:rPr>
        <w:t>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none"/>
          <w:lang w:val="en-US" w:eastAsia="zh-CN"/>
        </w:rPr>
        <w:t xml:space="preserve"> 高低压电力设备维护</w:t>
      </w:r>
      <w:r>
        <w:rPr>
          <w:rFonts w:hint="eastAsia" w:ascii="仿宋_GB2312" w:eastAsia="仿宋_GB2312"/>
          <w:color w:val="auto"/>
          <w:sz w:val="28"/>
          <w:szCs w:val="28"/>
          <w:highlight w:val="none"/>
          <w:u w:val="none"/>
        </w:rPr>
        <w:t>项目的业</w:t>
      </w:r>
      <w:r>
        <w:rPr>
          <w:rFonts w:hint="eastAsia" w:ascii="仿宋_GB2312" w:eastAsia="仿宋_GB2312"/>
          <w:color w:val="auto"/>
          <w:sz w:val="28"/>
          <w:szCs w:val="28"/>
          <w:highlight w:val="none"/>
        </w:rPr>
        <w:t>绩。（</w:t>
      </w:r>
      <w:r>
        <w:rPr>
          <w:rFonts w:hint="eastAsia" w:ascii="仿宋" w:hAnsi="仿宋" w:eastAsia="仿宋" w:cs="仿宋"/>
          <w:color w:val="auto"/>
          <w:sz w:val="28"/>
          <w:szCs w:val="28"/>
          <w:highlight w:val="none"/>
        </w:rPr>
        <w:t>提供合同复印件证明，包括但不限于项目名称、金额及实施内容、合同签字盖章、签订日期，加盖单位公章</w:t>
      </w:r>
      <w:r>
        <w:rPr>
          <w:rFonts w:hint="eastAsia" w:ascii="仿宋_GB2312" w:eastAsia="仿宋_GB2312"/>
          <w:color w:val="auto"/>
          <w:sz w:val="28"/>
          <w:szCs w:val="28"/>
          <w:highlight w:val="non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（注：注册建造师电子证书须由本人在个人签名处手写签名，未手写签名或与签名图像笔迹不一致的，电子证书无效</w:t>
      </w:r>
      <w:r>
        <w:rPr>
          <w:rFonts w:hint="eastAsia" w:ascii="仿宋_GB2312" w:eastAsia="仿宋_GB2312"/>
          <w:color w:val="auto"/>
          <w:sz w:val="28"/>
          <w:szCs w:val="28"/>
          <w:highlight w:val="none"/>
          <w:lang w:eastAsia="zh-CN"/>
        </w:rPr>
        <w:t>。外省参加考试取得二级建造师资格证书并注册的人员暂不能在我省执业</w:t>
      </w:r>
      <w:r>
        <w:rPr>
          <w:rFonts w:hint="eastAsia" w:ascii="仿宋_GB2312" w:eastAsia="仿宋_GB2312"/>
          <w:color w:val="auto"/>
          <w:sz w:val="28"/>
          <w:szCs w:val="28"/>
          <w:highlight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hAnsi="仿宋" w:eastAsia="仿宋_GB2312" w:cs="仿宋_GB2312"/>
          <w:color w:val="auto"/>
          <w:sz w:val="28"/>
          <w:szCs w:val="28"/>
          <w:highlight w:val="none"/>
          <w:lang w:val="zh-CN"/>
        </w:rPr>
        <w:t>防疫要求：</w:t>
      </w:r>
      <w:r>
        <w:rPr>
          <w:rFonts w:hint="eastAsia" w:ascii="仿宋_GB2312" w:eastAsia="仿宋_GB2312"/>
          <w:color w:val="auto"/>
          <w:sz w:val="28"/>
          <w:szCs w:val="28"/>
          <w:highlight w:val="none"/>
          <w:lang w:val="en-US" w:eastAsia="zh-CN"/>
        </w:rPr>
        <w:t>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踏勘现场联系人：黎工</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踏勘现场联系人联系方式：13580398855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 w:hAnsi="仿宋" w:eastAsia="仿宋" w:cs="仿宋"/>
          <w:color w:val="auto"/>
          <w:sz w:val="28"/>
          <w:szCs w:val="28"/>
          <w:highlight w:val="none"/>
          <w:u w:val="single"/>
          <w:lang w:val="en-US" w:eastAsia="zh-CN"/>
        </w:rPr>
        <w:t>广州市白云区太和镇龙归龙岗北路20号广州市净水有限公司龙归分公司。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 xml:space="preserve"> 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hAnsi="宋体" w:cs="Times New Roman"/>
          <w:color w:val="auto"/>
          <w:sz w:val="28"/>
          <w:szCs w:val="28"/>
          <w:highlight w:val="none"/>
          <w:lang w:val="en-US" w:eastAsia="zh-CN"/>
        </w:rPr>
      </w:pPr>
      <w:r>
        <w:rPr>
          <w:rFonts w:hint="eastAsia" w:ascii="仿宋_GB2312" w:hAnsi="宋体" w:cs="Times New Roman"/>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51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121" w:type="dxa"/>
          </w:tcPr>
          <w:p>
            <w:pPr>
              <w:adjustRightInd w:val="0"/>
              <w:snapToGrid w:val="0"/>
              <w:spacing w:line="5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121" w:type="dxa"/>
          </w:tcPr>
          <w:p>
            <w:pPr>
              <w:adjustRightInd w:val="0"/>
              <w:snapToGrid w:val="0"/>
              <w:spacing w:line="5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121" w:type="dxa"/>
          </w:tcPr>
          <w:p>
            <w:pPr>
              <w:adjustRightInd w:val="0"/>
              <w:snapToGrid w:val="0"/>
              <w:spacing w:line="5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5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5121" w:type="dxa"/>
          </w:tcPr>
          <w:p>
            <w:pPr>
              <w:adjustRightInd w:val="0"/>
              <w:snapToGrid w:val="0"/>
              <w:spacing w:line="5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color w:val="auto"/>
          <w:highlight w:val="none"/>
        </w:rPr>
      </w:pPr>
      <w:r>
        <w:rPr>
          <w:rFonts w:hint="eastAsia" w:asciiTheme="minorEastAsia" w:hAnsiTheme="minorEastAsia"/>
          <w:color w:val="auto"/>
          <w:sz w:val="24"/>
          <w:szCs w:val="24"/>
          <w:highlight w:val="none"/>
        </w:rPr>
        <w:t>适用于纸质评审的采购项目</w:t>
      </w:r>
      <w:bookmarkStart w:id="13" w:name="_Toc10891"/>
      <w:bookmarkStart w:id="14" w:name="_Toc16557"/>
      <w:bookmarkStart w:id="15" w:name="_Toc7340"/>
      <w:bookmarkStart w:id="16" w:name="_Toc25603"/>
      <w:bookmarkStart w:id="17" w:name="_Toc16705"/>
      <w:bookmarkStart w:id="18" w:name="_Toc2324"/>
      <w:bookmarkStart w:id="19" w:name="_Toc19295"/>
      <w:bookmarkStart w:id="20" w:name="_Toc2331"/>
      <w:bookmarkStart w:id="21" w:name="_Toc9448"/>
      <w:bookmarkStart w:id="22" w:name="_Toc32588"/>
      <w:bookmarkStart w:id="23" w:name="_Toc23749"/>
    </w:p>
    <w:p>
      <w:pPr>
        <w:pStyle w:val="3"/>
        <w:jc w:val="both"/>
        <w:rPr>
          <w:rFonts w:hint="eastAsia"/>
          <w:color w:val="auto"/>
          <w:highlight w:val="none"/>
        </w:rPr>
      </w:pPr>
    </w:p>
    <w:p>
      <w:pPr>
        <w:rPr>
          <w:rFonts w:hint="eastAsia"/>
          <w:color w:val="auto"/>
          <w:highlight w:val="none"/>
        </w:rPr>
      </w:pPr>
    </w:p>
    <w:p>
      <w:pPr>
        <w:pStyle w:val="2"/>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0" w:firstLine="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8572" w:type="dxa"/>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480" w:hanging="480" w:hangingChars="200"/>
              <w:rPr>
                <w:rFonts w:hint="eastAsia" w:ascii="仿宋_GB2312" w:eastAsia="仿宋_GB2312" w:hAnsiTheme="minorHAnsi"/>
                <w:color w:val="auto"/>
                <w:sz w:val="24"/>
                <w:szCs w:val="24"/>
                <w:highlight w:val="none"/>
              </w:rPr>
            </w:pPr>
            <w:r>
              <w:rPr>
                <w:rFonts w:hint="eastAsia" w:ascii="仿宋_GB2312" w:eastAsia="仿宋_GB2312" w:hAnsiTheme="minorHAnsi"/>
                <w:color w:val="auto"/>
                <w:sz w:val="24"/>
                <w:szCs w:val="24"/>
                <w:highlight w:val="none"/>
              </w:rPr>
              <w:sym w:font="Wingdings 2" w:char="0052"/>
            </w:r>
            <w:r>
              <w:rPr>
                <w:rFonts w:hint="eastAsia" w:ascii="仿宋_GB2312" w:eastAsia="仿宋_GB2312" w:hAnsiTheme="minorHAnsi"/>
                <w:color w:val="auto"/>
                <w:sz w:val="24"/>
                <w:szCs w:val="24"/>
                <w:highlight w:val="none"/>
              </w:rPr>
              <w:t>采购人确定满足采购文件</w:t>
            </w:r>
            <w:r>
              <w:rPr>
                <w:rFonts w:hint="eastAsia" w:ascii="仿宋_GB2312" w:eastAsia="仿宋_GB2312" w:hAnsiTheme="minorHAnsi"/>
                <w:color w:val="auto"/>
                <w:sz w:val="24"/>
                <w:szCs w:val="24"/>
                <w:highlight w:val="none"/>
                <w:lang w:val="en-US" w:eastAsia="zh-CN"/>
              </w:rPr>
              <w:t>资格性、响应性</w:t>
            </w:r>
            <w:r>
              <w:rPr>
                <w:rFonts w:hint="eastAsia" w:ascii="仿宋_GB2312" w:eastAsia="仿宋_GB2312" w:hAnsiTheme="minorHAnsi"/>
                <w:color w:val="auto"/>
                <w:sz w:val="24"/>
                <w:szCs w:val="24"/>
                <w:highlight w:val="none"/>
              </w:rPr>
              <w:t>要求，并且经评审的报价最低的为成交供应商</w:t>
            </w:r>
          </w:p>
          <w:p>
            <w:pPr>
              <w:adjustRightInd w:val="0"/>
              <w:snapToGrid w:val="0"/>
              <w:ind w:left="480" w:hanging="480" w:hanging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HAnsi"/>
                <w:color w:val="auto"/>
                <w:sz w:val="24"/>
                <w:szCs w:val="24"/>
                <w:highlight w:val="none"/>
              </w:rPr>
              <w:sym w:font="Wingdings 2" w:char="00A3"/>
            </w:r>
            <w:r>
              <w:rPr>
                <w:rFonts w:hint="eastAsia" w:ascii="仿宋_GB2312" w:eastAsia="仿宋_GB2312" w:hAnsiTheme="minorHAnsi"/>
                <w:color w:val="auto"/>
                <w:sz w:val="24"/>
                <w:szCs w:val="24"/>
                <w:highlight w:val="none"/>
              </w:rPr>
              <w:t>评审小组按照采购文件确定的标准排序，采购人确定排名第一的供应商为成交供应商</w:t>
            </w:r>
            <w:r>
              <w:rPr>
                <w:rFonts w:hint="eastAsia" w:ascii="仿宋_GB2312" w:eastAsia="仿宋_GB2312" w:hAnsiTheme="minorHAnsi"/>
                <w:color w:val="auto"/>
                <w:sz w:val="24"/>
                <w:szCs w:val="24"/>
                <w:highlight w:val="none"/>
                <w:lang w:eastAsia="zh-CN"/>
              </w:rPr>
              <w:t>。</w:t>
            </w:r>
            <w:r>
              <w:rPr>
                <w:rFonts w:hint="eastAsia" w:ascii="仿宋_GB2312" w:eastAsia="仿宋_GB2312" w:hAnsiTheme="minorHAnsi"/>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050"/>
      <w:bookmarkStart w:id="35" w:name="_Toc7118"/>
      <w:bookmarkStart w:id="36" w:name="_Toc20594"/>
      <w:bookmarkStart w:id="37" w:name="_Toc14552"/>
      <w:bookmarkStart w:id="38" w:name="_Toc3156"/>
      <w:bookmarkStart w:id="39" w:name="_Toc23581"/>
      <w:bookmarkStart w:id="40" w:name="_Toc14870"/>
      <w:bookmarkStart w:id="41" w:name="_Toc4952"/>
      <w:bookmarkStart w:id="42" w:name="_Toc7437"/>
      <w:bookmarkStart w:id="43" w:name="_Toc10930"/>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87616378"/>
      <w:bookmarkStart w:id="46" w:name="_Toc13898"/>
      <w:bookmarkStart w:id="47" w:name="_Toc32607"/>
      <w:bookmarkStart w:id="48" w:name="_Toc7831"/>
      <w:bookmarkStart w:id="49" w:name="_Toc29345"/>
      <w:bookmarkStart w:id="50" w:name="_Toc22212"/>
      <w:bookmarkStart w:id="51" w:name="_Toc29484"/>
      <w:bookmarkStart w:id="52" w:name="_Toc21079"/>
      <w:bookmarkStart w:id="53" w:name="_Toc6308"/>
      <w:bookmarkStart w:id="54" w:name="_Toc21840"/>
      <w:bookmarkStart w:id="55" w:name="_Toc88209941"/>
      <w:bookmarkStart w:id="56" w:name="_Toc12177"/>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901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12"/>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ind w:firstLine="560" w:firstLineChars="200"/>
        <w:rPr>
          <w:rFonts w:hint="eastAsia" w:ascii="仿宋_GB2312" w:eastAsia="仿宋_GB2312" w:hAnsiTheme="minorHAnsi" w:cstheme="minorBidi"/>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项目一：</w:t>
      </w:r>
      <w:r>
        <w:rPr>
          <w:rFonts w:hint="eastAsia" w:ascii="仿宋_GB2312" w:eastAsia="仿宋_GB2312"/>
          <w:color w:val="auto"/>
          <w:sz w:val="28"/>
          <w:szCs w:val="28"/>
          <w:highlight w:val="none"/>
          <w:lang w:val="en-US" w:eastAsia="zh-CN"/>
        </w:rPr>
        <w:t>2022年龙归分公司一期高压电房设备更换及发电机租赁项目：</w:t>
      </w:r>
      <w:r>
        <w:rPr>
          <w:rFonts w:hint="eastAsia" w:ascii="仿宋_GB2312" w:eastAsia="仿宋_GB2312" w:hAnsiTheme="minorHAnsi" w:cstheme="minorBidi"/>
          <w:color w:val="auto"/>
          <w:sz w:val="28"/>
          <w:szCs w:val="28"/>
          <w:highlight w:val="none"/>
          <w:u w:val="none"/>
          <w:lang w:val="en-US" w:eastAsia="zh-CN"/>
        </w:rPr>
        <w:t>广州市净水有限公司（龙归）高压配电室2台进线高压柜设备的综合继电器保护装置（以下简称综合继保）已经无法正常使用，现需现场换新2个综合继保，同时更换计量PT4个，并维修高压柜地刀一套。更换配件时需要停电操作，由于龙归分公司一二期生产线设备、化验班、仓库及办公场所等用电全部由一期高压配电房供给，计划在施工期间租赁发电机进行发电，保障龙归分公司一二期厂区用电。</w:t>
      </w:r>
    </w:p>
    <w:p>
      <w:pPr>
        <w:spacing w:line="360" w:lineRule="auto"/>
        <w:rPr>
          <w:color w:val="auto"/>
          <w:sz w:val="24"/>
          <w:szCs w:val="24"/>
          <w:highlight w:val="none"/>
        </w:rPr>
      </w:pP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项目二：龙归分公司2022年一期低压电房配电柜底座加固项目：</w:t>
      </w:r>
      <w:r>
        <w:rPr>
          <w:rFonts w:hint="eastAsia" w:ascii="仿宋_GB2312" w:eastAsia="仿宋_GB2312" w:hAnsiTheme="minorHAnsi" w:cstheme="minorBidi"/>
          <w:b w:val="0"/>
          <w:bCs w:val="0"/>
          <w:color w:val="auto"/>
          <w:kern w:val="2"/>
          <w:sz w:val="28"/>
          <w:szCs w:val="28"/>
          <w:highlight w:val="none"/>
          <w:u w:val="none"/>
          <w:lang w:val="en-US" w:eastAsia="zh-CN" w:bidi="ar-SA"/>
        </w:rPr>
        <w:t>一期低压电房</w:t>
      </w:r>
      <w:r>
        <w:rPr>
          <w:rFonts w:hint="eastAsia" w:ascii="仿宋_GB2312" w:eastAsia="仿宋_GB2312"/>
          <w:color w:val="auto"/>
          <w:sz w:val="28"/>
          <w:szCs w:val="28"/>
          <w:highlight w:val="none"/>
          <w:u w:val="none"/>
        </w:rPr>
        <w:t>由于电房基础沉降，造成低压配电柜下沉，柜体不在同一平面，随着时间推移下沉加剧，电柜结构将会受应力影响产生变形，损坏内部元器件和导体搭接稳定性，对供电安全造成巨大隐患。</w:t>
      </w:r>
      <w:r>
        <w:rPr>
          <w:rFonts w:hint="eastAsia" w:ascii="仿宋_GB2312" w:eastAsia="仿宋_GB2312"/>
          <w:color w:val="auto"/>
          <w:sz w:val="28"/>
          <w:szCs w:val="28"/>
          <w:highlight w:val="none"/>
          <w:u w:val="none"/>
          <w:lang w:val="en-US" w:eastAsia="zh-CN"/>
        </w:rPr>
        <w:t>现计划</w:t>
      </w:r>
      <w:r>
        <w:rPr>
          <w:rFonts w:hint="eastAsia" w:ascii="仿宋_GB2312" w:eastAsia="仿宋_GB2312"/>
          <w:color w:val="auto"/>
          <w:sz w:val="28"/>
          <w:szCs w:val="28"/>
          <w:highlight w:val="none"/>
          <w:u w:val="none"/>
        </w:rPr>
        <w:t>在每台柜本体结构的支撑受力点（即柜体侧横梁与立柱拼接点）正下方放一台机械式10T千斤顶，千斤顶下方垫一块花纹钢板以增大受力面积，防止千斤顶破坏电缆沟地面。如下图所示，共需7台千斤顶，千斤顶下方用8mm厚板材加工成的槽钢底座加高。</w:t>
      </w:r>
    </w:p>
    <w:p>
      <w:pPr>
        <w:pStyle w:val="12"/>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bookmarkEnd w:id="60"/>
    <w:p>
      <w:pPr>
        <w:ind w:firstLine="560" w:firstLineChars="200"/>
        <w:rPr>
          <w:rFonts w:hint="eastAsia" w:hAnsi="宋体" w:cs="宋体"/>
          <w:color w:val="auto"/>
          <w:sz w:val="32"/>
          <w:szCs w:val="32"/>
          <w:highlight w:val="none"/>
          <w:lang w:val="en-US" w:eastAsia="zh-CN"/>
        </w:rPr>
      </w:pPr>
      <w:r>
        <w:rPr>
          <w:rFonts w:hint="eastAsia" w:ascii="仿宋_GB2312" w:eastAsia="仿宋_GB2312"/>
          <w:color w:val="auto"/>
          <w:sz w:val="28"/>
          <w:szCs w:val="28"/>
          <w:highlight w:val="none"/>
          <w:u w:val="single"/>
          <w:lang w:val="en-US" w:eastAsia="zh-CN"/>
        </w:rPr>
        <w:t>项目一：</w:t>
      </w:r>
      <w:r>
        <w:rPr>
          <w:rFonts w:hint="eastAsia" w:ascii="仿宋_GB2312" w:eastAsia="仿宋_GB2312"/>
          <w:color w:val="auto"/>
          <w:sz w:val="28"/>
          <w:szCs w:val="28"/>
          <w:highlight w:val="none"/>
          <w:lang w:val="en-US" w:eastAsia="zh-CN"/>
        </w:rPr>
        <w:t>2022年龙归分公司一期高压电房设备更换及发电机租赁项目技术要求：龙归分公司一二期高压由主供（龙归F18）及备供(F3)供电，更换综合继电保护装置及计量PT时需要全停电，影响厂区正常生产运行，经计算，若租赁发电机进行供电，一二期共需要3台1000kVA发电机进行供电，更换综合继电保护装置及计量PT连同接线、铜牌改造、刀闸维修等工作，预计超过24小时工作时间，为不影响一二期厂区设备运行，</w:t>
      </w:r>
      <w:r>
        <w:rPr>
          <w:rFonts w:hint="eastAsia" w:ascii="仿宋_GB2312" w:eastAsia="仿宋_GB2312" w:hAnsiTheme="minorHAnsi" w:cstheme="minorBidi"/>
          <w:color w:val="auto"/>
          <w:sz w:val="28"/>
          <w:szCs w:val="28"/>
          <w:highlight w:val="none"/>
          <w:lang w:val="en-US" w:eastAsia="zh-CN"/>
        </w:rPr>
        <w:t>计划在施工期间租赁2天共3台</w:t>
      </w:r>
      <w:r>
        <w:rPr>
          <w:rFonts w:hint="eastAsia" w:ascii="仿宋_GB2312" w:eastAsia="仿宋_GB2312"/>
          <w:color w:val="auto"/>
          <w:sz w:val="28"/>
          <w:szCs w:val="28"/>
          <w:highlight w:val="none"/>
          <w:lang w:val="en-US" w:eastAsia="zh-CN"/>
        </w:rPr>
        <w:t>1000kVA</w:t>
      </w:r>
      <w:r>
        <w:rPr>
          <w:rFonts w:hint="eastAsia" w:ascii="仿宋_GB2312" w:eastAsia="仿宋_GB2312" w:hAnsiTheme="minorHAnsi" w:cstheme="minorBidi"/>
          <w:color w:val="auto"/>
          <w:sz w:val="28"/>
          <w:szCs w:val="28"/>
          <w:highlight w:val="none"/>
          <w:lang w:val="en-US" w:eastAsia="zh-CN"/>
        </w:rPr>
        <w:t>发电机进行发电，保障龙归分公司一二期厂区用电。</w:t>
      </w:r>
    </w:p>
    <w:p>
      <w:pPr>
        <w:pStyle w:val="6"/>
        <w:jc w:val="center"/>
        <w:rPr>
          <w:rFonts w:hint="eastAsia" w:hAnsi="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工程量清单</w:t>
      </w:r>
    </w:p>
    <w:tbl>
      <w:tblPr>
        <w:tblStyle w:val="24"/>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34"/>
        <w:gridCol w:w="1826"/>
        <w:gridCol w:w="1140"/>
        <w:gridCol w:w="2017"/>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6"/>
              <w:ind w:left="0" w:leftChars="0" w:firstLine="0" w:firstLineChars="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序号</w:t>
            </w:r>
          </w:p>
        </w:tc>
        <w:tc>
          <w:tcPr>
            <w:tcW w:w="1434" w:type="dxa"/>
          </w:tcPr>
          <w:p>
            <w:pPr>
              <w:pStyle w:val="6"/>
              <w:ind w:left="0" w:leftChars="0" w:firstLine="280" w:firstLineChars="10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名称</w:t>
            </w:r>
          </w:p>
        </w:tc>
        <w:tc>
          <w:tcPr>
            <w:tcW w:w="1826" w:type="dxa"/>
          </w:tcPr>
          <w:p>
            <w:pPr>
              <w:pStyle w:val="6"/>
              <w:ind w:left="0" w:leftChars="0" w:firstLine="280" w:firstLineChars="10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型号</w:t>
            </w:r>
          </w:p>
        </w:tc>
        <w:tc>
          <w:tcPr>
            <w:tcW w:w="1140" w:type="dxa"/>
          </w:tcPr>
          <w:p>
            <w:pPr>
              <w:pStyle w:val="6"/>
              <w:ind w:left="0" w:leftChars="0" w:firstLine="0" w:firstLineChars="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数量</w:t>
            </w:r>
          </w:p>
        </w:tc>
        <w:tc>
          <w:tcPr>
            <w:tcW w:w="2017" w:type="dxa"/>
          </w:tcPr>
          <w:p>
            <w:pPr>
              <w:pStyle w:val="6"/>
              <w:ind w:left="0" w:leftChars="0" w:firstLine="0" w:firstLineChars="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计划使用时间</w:t>
            </w:r>
          </w:p>
        </w:tc>
        <w:tc>
          <w:tcPr>
            <w:tcW w:w="1333" w:type="dxa"/>
          </w:tcPr>
          <w:p>
            <w:pPr>
              <w:pStyle w:val="6"/>
              <w:ind w:left="0" w:leftChars="0" w:firstLine="0" w:firstLineChars="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6"/>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1</w:t>
            </w:r>
          </w:p>
        </w:tc>
        <w:tc>
          <w:tcPr>
            <w:tcW w:w="1434"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发电机</w:t>
            </w:r>
          </w:p>
        </w:tc>
        <w:tc>
          <w:tcPr>
            <w:tcW w:w="1826"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1000KW</w:t>
            </w:r>
          </w:p>
        </w:tc>
        <w:tc>
          <w:tcPr>
            <w:tcW w:w="1140"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3台</w:t>
            </w:r>
          </w:p>
        </w:tc>
        <w:tc>
          <w:tcPr>
            <w:tcW w:w="2017" w:type="dxa"/>
          </w:tcPr>
          <w:p>
            <w:pPr>
              <w:pStyle w:val="6"/>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48小时</w:t>
            </w:r>
          </w:p>
        </w:tc>
        <w:tc>
          <w:tcPr>
            <w:tcW w:w="1333"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含人员值守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6"/>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2</w:t>
            </w:r>
          </w:p>
        </w:tc>
        <w:tc>
          <w:tcPr>
            <w:tcW w:w="1434"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燃油费</w:t>
            </w:r>
          </w:p>
        </w:tc>
        <w:tc>
          <w:tcPr>
            <w:tcW w:w="1826"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国标0#柴油</w:t>
            </w:r>
          </w:p>
        </w:tc>
        <w:tc>
          <w:tcPr>
            <w:tcW w:w="1140"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3台</w:t>
            </w:r>
          </w:p>
        </w:tc>
        <w:tc>
          <w:tcPr>
            <w:tcW w:w="2017" w:type="dxa"/>
          </w:tcPr>
          <w:p>
            <w:pPr>
              <w:pStyle w:val="6"/>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48小时</w:t>
            </w:r>
          </w:p>
        </w:tc>
        <w:tc>
          <w:tcPr>
            <w:tcW w:w="1333"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单价按照当日挂牌价计算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3</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提供过线板、扎带、胶皮、围栏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4</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提供连接低压发电设备至低压配电柜的低压电缆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5</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提供保障供电技术人员及值守人员、人员必须持证上岗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6</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提供保障供电设备的就位、安装、调试，低压电缆敷设和终端头制作安装，人员值守及服务后现场清理等服务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7</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1000KW发电机组按70%负载估算每小时油耗约180升，不足48小时按实际使用时间结算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8</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以上费用包括运费、税费</w:t>
            </w:r>
          </w:p>
        </w:tc>
      </w:tr>
    </w:tbl>
    <w:p>
      <w:pPr>
        <w:pStyle w:val="22"/>
        <w:rPr>
          <w:rFonts w:hint="default" w:ascii="仿宋_GB2312" w:eastAsia="仿宋_GB2312" w:hAnsiTheme="minorEastAsia"/>
          <w:color w:val="auto"/>
          <w:szCs w:val="21"/>
          <w:highlight w:val="none"/>
          <w:lang w:val="en-US"/>
        </w:rPr>
      </w:pPr>
    </w:p>
    <w:p>
      <w:pPr>
        <w:rPr>
          <w:color w:val="auto"/>
          <w:sz w:val="24"/>
          <w:szCs w:val="24"/>
          <w:highlight w:val="none"/>
        </w:rPr>
      </w:pPr>
      <w:r>
        <w:rPr>
          <w:rFonts w:hint="eastAsia" w:ascii="仿宋_GB2312" w:eastAsia="仿宋_GB2312"/>
          <w:color w:val="auto"/>
          <w:sz w:val="28"/>
          <w:szCs w:val="28"/>
          <w:highlight w:val="none"/>
          <w:u w:val="single"/>
          <w:lang w:val="en-US" w:eastAsia="zh-CN"/>
        </w:rPr>
        <w:t>项目二：龙归分公司2022年一期低压电房配电柜底座加固项目技术要求：</w:t>
      </w:r>
      <w:r>
        <w:rPr>
          <w:rFonts w:hint="eastAsia" w:ascii="仿宋_GB2312" w:eastAsia="仿宋_GB2312"/>
          <w:color w:val="auto"/>
          <w:sz w:val="28"/>
          <w:szCs w:val="28"/>
          <w:highlight w:val="none"/>
        </w:rPr>
        <w:t>1、停电</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高低压柜均要停电，总停电时间控制在10小时内，同时以下三处需采取从二期电房取电的形式以保证临时用电：一期沉砂池鼓风机房、进水在线监测站、提升泵电房。届时施工前，高低压柜停电后，从二期低压电房，利用备用开关取电，直接拉电缆至以上三处用电的总配电箱下桩，提供电源（三相四线电缆约50米）。</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在每台柜本体结构的支撑受力点（即柜体侧横梁与立柱拼接点）正下方放一台机械式10T千斤顶，千斤顶下方垫一块花纹钢板以增大受力面积，防止千斤顶破坏电缆沟地面。如下图所示，共需7台千斤顶，千斤顶下方用8mm厚板材加工成的槽钢底座加高。</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千斤顶规格：螺旋式，承重10T，升至最高行程后总体高度＞700mm。</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槽钢底座规格：5mm厚，高宽300*150mm</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花纹钢板：5mm厚，500*500mm。</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3、操作千斤顶，承托柜体至原水平位置，在电柜与原槽钢的落差间隙，垫入垫块，以垫至原水平位置为准。</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4、恢复送电：拆除临时供电电缆，检查各电柜、电箱无异常后，重新送电。</w:t>
      </w:r>
    </w:p>
    <w:p>
      <w:pPr>
        <w:spacing w:line="360" w:lineRule="auto"/>
        <w:ind w:firstLine="424" w:firstLineChars="202"/>
        <w:rPr>
          <w:color w:val="auto"/>
          <w:highlight w:val="none"/>
        </w:rPr>
      </w:pPr>
    </w:p>
    <w:p>
      <w:pPr>
        <w:spacing w:line="360" w:lineRule="auto"/>
        <w:ind w:firstLine="424" w:firstLineChars="202"/>
        <w:rPr>
          <w:color w:val="auto"/>
          <w:highlight w:val="none"/>
        </w:rPr>
      </w:pPr>
    </w:p>
    <w:p>
      <w:pPr>
        <w:spacing w:line="360" w:lineRule="auto"/>
        <w:rPr>
          <w:color w:val="auto"/>
          <w:highlight w:val="none"/>
        </w:rPr>
      </w:pPr>
      <w:r>
        <w:rPr>
          <w:rFonts w:hint="eastAsia"/>
          <w:color w:val="auto"/>
          <w:highlight w:val="none"/>
        </w:rPr>
        <w:drawing>
          <wp:inline distT="0" distB="0" distL="114300" distR="114300">
            <wp:extent cx="5580380" cy="3161030"/>
            <wp:effectExtent l="0" t="0" r="1270" b="127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8"/>
                    <a:srcRect t="19865"/>
                    <a:stretch>
                      <a:fillRect/>
                    </a:stretch>
                  </pic:blipFill>
                  <pic:spPr>
                    <a:xfrm>
                      <a:off x="0" y="0"/>
                      <a:ext cx="5580380" cy="3161030"/>
                    </a:xfrm>
                    <a:prstGeom prst="rect">
                      <a:avLst/>
                    </a:prstGeom>
                    <a:noFill/>
                    <a:ln>
                      <a:noFill/>
                    </a:ln>
                  </pic:spPr>
                </pic:pic>
              </a:graphicData>
            </a:graphic>
          </wp:inline>
        </w:drawing>
      </w:r>
    </w:p>
    <w:p>
      <w:pPr>
        <w:spacing w:line="360" w:lineRule="auto"/>
        <w:ind w:firstLine="0" w:firstLineChars="0"/>
        <w:jc w:val="center"/>
        <w:rPr>
          <w:b/>
          <w:color w:val="auto"/>
          <w:highlight w:val="none"/>
        </w:rPr>
      </w:pPr>
      <w:r>
        <w:rPr>
          <w:color w:val="auto"/>
          <w:highlight w:val="none"/>
        </w:rPr>
        <w:t>施工效果图</w:t>
      </w:r>
    </w:p>
    <w:p>
      <w:pPr>
        <w:spacing w:line="360" w:lineRule="auto"/>
        <w:jc w:val="center"/>
        <w:rPr>
          <w:color w:val="auto"/>
          <w:highlight w:val="none"/>
        </w:rPr>
      </w:pPr>
      <w:r>
        <w:rPr>
          <w:color w:val="auto"/>
          <w:highlight w:val="none"/>
        </w:rPr>
        <w:t>千斤顶图样：</w:t>
      </w:r>
    </w:p>
    <w:p>
      <w:pPr>
        <w:pStyle w:val="46"/>
        <w:kinsoku w:val="0"/>
        <w:overflowPunct w:val="0"/>
        <w:spacing w:before="31" w:line="360" w:lineRule="auto"/>
        <w:jc w:val="center"/>
        <w:rPr>
          <w:rFonts w:hint="eastAsia" w:ascii="宋体" w:hAnsi="宋体" w:eastAsia="宋体" w:cs="宋体"/>
          <w:color w:val="auto"/>
          <w:sz w:val="24"/>
          <w:szCs w:val="24"/>
          <w:highlight w:val="none"/>
        </w:rPr>
      </w:pPr>
      <w:r>
        <w:rPr>
          <w:color w:val="auto"/>
          <w:highlight w:val="none"/>
        </w:rPr>
        <w:drawing>
          <wp:inline distT="0" distB="0" distL="114300" distR="114300">
            <wp:extent cx="2486025" cy="4086225"/>
            <wp:effectExtent l="0" t="0" r="9525" b="952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9"/>
                    <a:stretch>
                      <a:fillRect/>
                    </a:stretch>
                  </pic:blipFill>
                  <pic:spPr>
                    <a:xfrm>
                      <a:off x="0" y="0"/>
                      <a:ext cx="2486025" cy="4086225"/>
                    </a:xfrm>
                    <a:prstGeom prst="rect">
                      <a:avLst/>
                    </a:prstGeom>
                    <a:noFill/>
                    <a:ln>
                      <a:noFill/>
                    </a:ln>
                  </pic:spPr>
                </pic:pic>
              </a:graphicData>
            </a:graphic>
          </wp:inline>
        </w:drawing>
      </w:r>
    </w:p>
    <w:p>
      <w:pPr>
        <w:numPr>
          <w:ilvl w:val="0"/>
          <w:numId w:val="0"/>
        </w:numPr>
        <w:tabs>
          <w:tab w:val="left" w:pos="315"/>
          <w:tab w:val="left" w:pos="360"/>
        </w:tabs>
        <w:spacing w:line="360" w:lineRule="auto"/>
        <w:ind w:right="-145" w:rightChars="-69"/>
        <w:rPr>
          <w:rFonts w:hint="eastAsia" w:ascii="宋体" w:hAnsi="宋体" w:eastAsia="宋体" w:cs="宋体"/>
          <w:b/>
          <w:bCs/>
          <w:color w:val="auto"/>
          <w:kern w:val="44"/>
          <w:sz w:val="28"/>
          <w:szCs w:val="28"/>
          <w:highlight w:val="none"/>
          <w:lang w:val="en-US" w:eastAsia="zh-CN" w:bidi="ar-SA"/>
        </w:rPr>
      </w:pPr>
      <w:r>
        <w:rPr>
          <w:rFonts w:hint="eastAsia" w:ascii="宋体" w:hAnsi="宋体" w:cs="宋体"/>
          <w:b/>
          <w:bCs/>
          <w:color w:val="auto"/>
          <w:kern w:val="44"/>
          <w:sz w:val="28"/>
          <w:szCs w:val="28"/>
          <w:highlight w:val="none"/>
          <w:lang w:val="en-US" w:eastAsia="zh-CN" w:bidi="ar-SA"/>
        </w:rPr>
        <w:t>三、工程量清单</w:t>
      </w:r>
    </w:p>
    <w:p>
      <w:pPr>
        <w:numPr>
          <w:ilvl w:val="0"/>
          <w:numId w:val="0"/>
        </w:numPr>
        <w:tabs>
          <w:tab w:val="left" w:pos="315"/>
          <w:tab w:val="left" w:pos="360"/>
        </w:tabs>
        <w:spacing w:line="360" w:lineRule="auto"/>
        <w:ind w:right="-145" w:rightChars="-69"/>
        <w:rPr>
          <w:rFonts w:hint="eastAsia" w:ascii="宋体" w:hAnsi="宋体" w:eastAsia="宋体" w:cs="宋体"/>
          <w:b/>
          <w:bCs/>
          <w:color w:val="auto"/>
          <w:kern w:val="44"/>
          <w:sz w:val="28"/>
          <w:szCs w:val="28"/>
          <w:highlight w:val="none"/>
          <w:lang w:val="en-US" w:eastAsia="zh-CN" w:bidi="ar-SA"/>
        </w:rPr>
      </w:pPr>
    </w:p>
    <w:tbl>
      <w:tblPr>
        <w:tblStyle w:val="23"/>
        <w:tblW w:w="86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7"/>
        <w:gridCol w:w="1850"/>
        <w:gridCol w:w="3350"/>
        <w:gridCol w:w="1267"/>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项目名称</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型号/规格</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千斤顶</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10T，螺旋式，最高行程下总高度≥700mm</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花纹板</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500*500*5mm</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块</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槽钢底座</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350*150*150*5mm</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电缆</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KVV22 6*1.5</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临时电缆安装</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辅材</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含个人防护工具</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hint="default" w:ascii="仿宋_GB2312" w:eastAsia="仿宋_GB2312"/>
          <w:color w:val="auto"/>
          <w:sz w:val="28"/>
          <w:szCs w:val="28"/>
          <w:highlight w:val="none"/>
          <w:lang w:val="en-US"/>
        </w:rPr>
      </w:pPr>
      <w:r>
        <w:rPr>
          <w:rFonts w:hint="eastAsia" w:ascii="仿宋" w:hAnsi="仿宋" w:eastAsia="仿宋" w:cs="仿宋"/>
          <w:bCs/>
          <w:color w:val="auto"/>
          <w:sz w:val="28"/>
          <w:szCs w:val="28"/>
          <w:highlight w:val="none"/>
          <w:lang w:val="en-US" w:eastAsia="zh-CN"/>
        </w:rPr>
        <w:t>注：为保障厂区安全生产，本项目实施前需提供详细的施工图纸，以及设备技术参数、合格证以及详细施工方案。</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1" w:name="_Toc23353"/>
      <w:bookmarkStart w:id="62" w:name="_Toc537"/>
      <w:bookmarkStart w:id="63" w:name="_Toc12135"/>
      <w:bookmarkStart w:id="64" w:name="_Toc25925"/>
      <w:bookmarkStart w:id="65" w:name="_Toc1284"/>
      <w:bookmarkStart w:id="66" w:name="_Toc18538"/>
      <w:bookmarkStart w:id="67" w:name="_Toc4680"/>
      <w:bookmarkStart w:id="68" w:name="_Toc1496"/>
      <w:bookmarkStart w:id="69" w:name="_Toc23330"/>
      <w:bookmarkStart w:id="70" w:name="_Toc29835"/>
      <w:bookmarkStart w:id="71" w:name="_Toc1557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rFonts w:hint="eastAsia"/>
          <w:color w:val="auto"/>
          <w:highlight w:val="none"/>
        </w:rPr>
      </w:pPr>
      <w:bookmarkStart w:id="72" w:name="_Toc1375"/>
      <w:bookmarkStart w:id="73" w:name="_Toc8183"/>
      <w:bookmarkStart w:id="74" w:name="_Toc22797"/>
      <w:bookmarkStart w:id="75" w:name="_Toc19686"/>
      <w:bookmarkStart w:id="76" w:name="_Toc88209949"/>
      <w:bookmarkStart w:id="77" w:name="_Toc19088"/>
      <w:bookmarkStart w:id="78" w:name="_Toc12968"/>
      <w:bookmarkStart w:id="79" w:name="_Toc12980"/>
      <w:bookmarkStart w:id="80" w:name="_Toc22501"/>
      <w:bookmarkStart w:id="81" w:name="_Toc13309"/>
      <w:bookmarkStart w:id="82" w:name="_Toc323"/>
      <w:bookmarkStart w:id="83" w:name="_Toc12721"/>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tabs>
          <w:tab w:val="left" w:pos="840"/>
        </w:tabs>
        <w:spacing w:line="360" w:lineRule="auto"/>
        <w:ind w:left="1106" w:leftChars="104" w:hanging="888" w:hangingChars="158"/>
        <w:jc w:val="center"/>
        <w:rPr>
          <w:rFonts w:hint="eastAsia" w:ascii="仿宋" w:hAnsi="仿宋" w:eastAsia="仿宋" w:cs="仿宋"/>
          <w:b/>
          <w:color w:val="auto"/>
          <w:sz w:val="56"/>
          <w:szCs w:val="56"/>
          <w:highlight w:val="none"/>
          <w:lang w:val="en-US" w:eastAsia="zh-CN"/>
        </w:rPr>
      </w:pPr>
    </w:p>
    <w:p>
      <w:pPr>
        <w:tabs>
          <w:tab w:val="left" w:pos="840"/>
        </w:tabs>
        <w:spacing w:line="360" w:lineRule="auto"/>
        <w:ind w:left="1106" w:leftChars="104" w:hanging="888" w:hangingChars="158"/>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lang w:val="en-US" w:eastAsia="zh-CN"/>
        </w:rPr>
        <w:t>广州</w:t>
      </w:r>
      <w:r>
        <w:rPr>
          <w:rFonts w:hint="eastAsia" w:ascii="仿宋" w:hAnsi="仿宋" w:eastAsia="仿宋" w:cs="仿宋"/>
          <w:b/>
          <w:color w:val="auto"/>
          <w:sz w:val="56"/>
          <w:szCs w:val="56"/>
          <w:highlight w:val="none"/>
        </w:rPr>
        <w:t>市净水</w:t>
      </w:r>
      <w:r>
        <w:rPr>
          <w:rFonts w:hint="eastAsia" w:ascii="仿宋" w:hAnsi="仿宋" w:eastAsia="仿宋" w:cs="仿宋"/>
          <w:b/>
          <w:color w:val="auto"/>
          <w:sz w:val="56"/>
          <w:szCs w:val="56"/>
          <w:highlight w:val="none"/>
          <w:lang w:val="en-US" w:eastAsia="zh-CN"/>
        </w:rPr>
        <w:t>有限</w:t>
      </w:r>
      <w:r>
        <w:rPr>
          <w:rFonts w:hint="eastAsia" w:ascii="仿宋" w:hAnsi="仿宋" w:eastAsia="仿宋" w:cs="仿宋"/>
          <w:b/>
          <w:color w:val="auto"/>
          <w:sz w:val="56"/>
          <w:szCs w:val="56"/>
          <w:highlight w:val="none"/>
        </w:rPr>
        <w:t>公司</w:t>
      </w:r>
    </w:p>
    <w:p>
      <w:pPr>
        <w:tabs>
          <w:tab w:val="left" w:pos="840"/>
        </w:tabs>
        <w:spacing w:line="360" w:lineRule="auto"/>
        <w:ind w:left="1106" w:leftChars="104" w:hanging="888" w:hangingChars="158"/>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设备</w:t>
      </w:r>
      <w:r>
        <w:rPr>
          <w:rFonts w:hint="eastAsia" w:ascii="仿宋" w:hAnsi="仿宋" w:eastAsia="仿宋" w:cs="仿宋"/>
          <w:b/>
          <w:color w:val="auto"/>
          <w:sz w:val="56"/>
          <w:szCs w:val="56"/>
          <w:highlight w:val="none"/>
          <w:lang w:val="en-US" w:eastAsia="zh-CN"/>
        </w:rPr>
        <w:t>维修维护</w:t>
      </w:r>
      <w:r>
        <w:rPr>
          <w:rFonts w:hint="eastAsia" w:ascii="仿宋" w:hAnsi="仿宋" w:eastAsia="仿宋" w:cs="仿宋"/>
          <w:b/>
          <w:color w:val="auto"/>
          <w:sz w:val="56"/>
          <w:szCs w:val="56"/>
          <w:highlight w:val="none"/>
        </w:rPr>
        <w:t>项目合同</w:t>
      </w:r>
    </w:p>
    <w:p>
      <w:pPr>
        <w:spacing w:line="500" w:lineRule="exact"/>
        <w:ind w:left="1506" w:hanging="1205" w:hangingChars="500"/>
        <w:rPr>
          <w:rFonts w:hint="eastAsia" w:ascii="仿宋" w:hAnsi="仿宋" w:eastAsia="仿宋" w:cs="仿宋"/>
          <w:b/>
          <w:color w:val="auto"/>
          <w:sz w:val="24"/>
          <w:szCs w:val="24"/>
          <w:highlight w:val="none"/>
        </w:rPr>
      </w:pPr>
    </w:p>
    <w:p>
      <w:pPr>
        <w:spacing w:line="500" w:lineRule="exact"/>
        <w:ind w:left="1506" w:hanging="1205" w:hangingChars="500"/>
        <w:rPr>
          <w:rFonts w:hint="eastAsia" w:ascii="仿宋" w:hAnsi="仿宋" w:eastAsia="仿宋" w:cs="仿宋"/>
          <w:b/>
          <w:color w:val="auto"/>
          <w:sz w:val="24"/>
          <w:szCs w:val="24"/>
          <w:highlight w:val="none"/>
        </w:rPr>
      </w:pPr>
    </w:p>
    <w:p>
      <w:pPr>
        <w:spacing w:line="0" w:lineRule="atLeast"/>
        <w:ind w:left="1506" w:hanging="1506" w:hangingChars="5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 xml:space="preserve">项目名称: </w:t>
      </w:r>
      <w:r>
        <w:rPr>
          <w:rFonts w:hint="eastAsia" w:ascii="宋体" w:hAnsi="宋体" w:cs="宋体" w:eastAsiaTheme="minorEastAsia"/>
          <w:b/>
          <w:color w:val="auto"/>
          <w:sz w:val="30"/>
          <w:szCs w:val="30"/>
          <w:highlight w:val="none"/>
          <w:lang w:val="en-US" w:eastAsia="zh-CN"/>
        </w:rPr>
        <w:t>广州市净水有限公司龙归分公司2022年一期高压电房设备更换及发电机租赁、</w:t>
      </w:r>
      <w:r>
        <w:rPr>
          <w:rFonts w:hint="eastAsia" w:ascii="宋体" w:hAnsi="宋体" w:cs="宋体" w:eastAsiaTheme="minorEastAsia"/>
          <w:b/>
          <w:color w:val="auto"/>
          <w:sz w:val="30"/>
          <w:szCs w:val="30"/>
          <w:highlight w:val="none"/>
          <w:u w:val="none"/>
          <w:lang w:val="en-US" w:eastAsia="zh-CN"/>
        </w:rPr>
        <w:t>一期低压电房配电柜底座加固</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项目编号：</w:t>
      </w: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合同编号：穗净水合[</w:t>
      </w:r>
      <w:r>
        <w:rPr>
          <w:rFonts w:hint="eastAsia" w:ascii="宋体" w:hAnsi="宋体" w:cs="宋体"/>
          <w:b/>
          <w:color w:val="auto"/>
          <w:sz w:val="30"/>
          <w:szCs w:val="30"/>
          <w:highlight w:val="none"/>
          <w:lang w:eastAsia="zh-CN"/>
        </w:rPr>
        <w:t>2022</w:t>
      </w:r>
      <w:r>
        <w:rPr>
          <w:rFonts w:hint="eastAsia" w:ascii="宋体" w:hAnsi="宋体" w:cs="宋体"/>
          <w:b/>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keepNext w:val="0"/>
        <w:keepLines w:val="0"/>
        <w:pageBreakBefore w:val="0"/>
        <w:widowControl w:val="0"/>
        <w:kinsoku/>
        <w:wordWrap/>
        <w:overflowPunct/>
        <w:topLinePunct w:val="0"/>
        <w:autoSpaceDE/>
        <w:autoSpaceDN/>
        <w:bidi w:val="0"/>
        <w:adjustRightInd/>
        <w:snapToGrid/>
        <w:spacing w:beforeLines="30" w:afterLines="0" w:line="500" w:lineRule="exact"/>
        <w:ind w:firstLine="480" w:firstLineChars="200"/>
        <w:textAlignment w:val="auto"/>
        <w:rPr>
          <w:rFonts w:hint="eastAsia" w:ascii="仿宋" w:hAnsi="仿宋" w:eastAsia="仿宋" w:cs="仿宋"/>
          <w:color w:val="auto"/>
          <w:sz w:val="24"/>
          <w:szCs w:val="24"/>
          <w:highlight w:val="none"/>
        </w:rPr>
      </w:pPr>
    </w:p>
    <w:p>
      <w:pPr>
        <w:pStyle w:val="6"/>
        <w:rPr>
          <w:rFonts w:hint="eastAsia" w:ascii="仿宋" w:hAnsi="仿宋" w:eastAsia="仿宋" w:cs="仿宋"/>
          <w:color w:val="auto"/>
          <w:sz w:val="24"/>
          <w:szCs w:val="24"/>
          <w:highlight w:val="none"/>
        </w:rPr>
      </w:pPr>
    </w:p>
    <w:p>
      <w:pPr>
        <w:pStyle w:val="6"/>
        <w:rPr>
          <w:rFonts w:hint="eastAsia" w:ascii="仿宋" w:hAnsi="仿宋" w:eastAsia="仿宋" w:cs="仿宋"/>
          <w:color w:val="auto"/>
          <w:sz w:val="24"/>
          <w:szCs w:val="24"/>
          <w:highlight w:val="none"/>
        </w:rPr>
      </w:pPr>
    </w:p>
    <w:p>
      <w:pPr>
        <w:spacing w:before="93" w:beforeLines="30" w:line="384" w:lineRule="auto"/>
        <w:ind w:left="210" w:leftChars="100" w:firstLine="600" w:firstLineChars="250"/>
        <w:rPr>
          <w:rFonts w:ascii="宋体" w:hAnsi="宋体" w:cs="宋体"/>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（以下简称“乙方”）就</w:t>
      </w:r>
      <w:r>
        <w:rPr>
          <w:rFonts w:hint="eastAsia" w:ascii="宋体" w:hAnsi="宋体" w:cs="宋体"/>
          <w:b/>
          <w:color w:val="auto"/>
          <w:sz w:val="30"/>
          <w:szCs w:val="30"/>
          <w:highlight w:val="none"/>
        </w:rPr>
        <w:t xml:space="preserve"> </w:t>
      </w:r>
      <w:r>
        <w:rPr>
          <w:rFonts w:hint="eastAsia" w:ascii="宋体" w:hAnsi="宋体" w:cs="宋体" w:eastAsiaTheme="minorEastAsia"/>
          <w:b w:val="0"/>
          <w:color w:val="auto"/>
          <w:sz w:val="24"/>
          <w:szCs w:val="22"/>
          <w:highlight w:val="none"/>
          <w:u w:val="single"/>
          <w:lang w:val="en-US" w:eastAsia="zh-CN"/>
        </w:rPr>
        <w:t>广州市净水有限公司龙归分公司2022年一期高压电房设备更换及发电机租赁、一期低压电房配电柜底座加固</w:t>
      </w:r>
      <w:r>
        <w:rPr>
          <w:rFonts w:hint="eastAsia" w:ascii="宋体" w:hAnsi="宋体" w:cs="宋体"/>
          <w:color w:val="auto"/>
          <w:sz w:val="24"/>
          <w:highlight w:val="none"/>
        </w:rPr>
        <w:t xml:space="preserve">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1）本合同执行过程中双方达成的变更本合同条款的书面补充协议；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3）本合同其他附件；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4）发包通知书；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5）询价文件；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7）标准、规范及有关技术性文件；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）工程量清单</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）工程报价单或预算书</w:t>
      </w:r>
    </w:p>
    <w:p>
      <w:pPr>
        <w:spacing w:line="384"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二、工程概况、工程承包范围</w:t>
      </w:r>
    </w:p>
    <w:p>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2.1工程名称：</w:t>
      </w:r>
      <w:r>
        <w:rPr>
          <w:rFonts w:hint="eastAsia" w:ascii="宋体" w:hAnsi="宋体" w:cs="宋体" w:eastAsiaTheme="minorEastAsia"/>
          <w:b w:val="0"/>
          <w:color w:val="auto"/>
          <w:sz w:val="24"/>
          <w:szCs w:val="22"/>
          <w:highlight w:val="none"/>
          <w:u w:val="single"/>
          <w:lang w:val="en-US" w:eastAsia="zh-CN"/>
        </w:rPr>
        <w:t>广州市净水有限公司龙归分公司2022年一期高压电房设备更换及发电机租赁、一期低压电房配电柜底座加固</w:t>
      </w:r>
      <w:r>
        <w:rPr>
          <w:rFonts w:hint="eastAsia" w:ascii="宋体" w:hAnsi="宋体" w:eastAsia="宋体" w:cs="宋体"/>
          <w:color w:val="auto"/>
          <w:sz w:val="24"/>
          <w:szCs w:val="24"/>
          <w:highlight w:val="none"/>
          <w:u w:val="single"/>
        </w:rPr>
        <w:t xml:space="preserve"> 。</w:t>
      </w:r>
    </w:p>
    <w:p>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2.2工程地点：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广州市白云区太和镇龙归龙岗北路20号</w:t>
      </w:r>
      <w:r>
        <w:rPr>
          <w:rFonts w:hint="eastAsia" w:ascii="宋体" w:hAnsi="宋体" w:eastAsia="宋体" w:cs="宋体"/>
          <w:color w:val="auto"/>
          <w:sz w:val="24"/>
          <w:szCs w:val="24"/>
          <w:highlight w:val="none"/>
          <w:u w:val="single"/>
          <w:lang w:eastAsia="zh-CN"/>
        </w:rPr>
        <w:t>。</w:t>
      </w:r>
    </w:p>
    <w:p>
      <w:pPr>
        <w:pStyle w:val="2"/>
        <w:ind w:firstLine="480" w:firstLineChars="200"/>
        <w:rPr>
          <w:rFonts w:hint="default"/>
          <w:color w:val="auto"/>
          <w:highlight w:val="none"/>
          <w:lang w:val="en-US"/>
        </w:rPr>
      </w:pPr>
      <w:r>
        <w:rPr>
          <w:rFonts w:hint="eastAsia" w:ascii="宋体" w:hAnsi="宋体" w:eastAsia="宋体" w:cs="宋体"/>
          <w:color w:val="auto"/>
          <w:sz w:val="24"/>
          <w:szCs w:val="24"/>
          <w:highlight w:val="none"/>
          <w:u w:val="single"/>
        </w:rPr>
        <w:t>2.3工程内容：</w:t>
      </w:r>
      <w:r>
        <w:rPr>
          <w:rFonts w:hint="eastAsia" w:ascii="宋体" w:hAnsi="宋体" w:eastAsia="宋体" w:cs="宋体"/>
          <w:color w:val="auto"/>
          <w:sz w:val="24"/>
          <w:szCs w:val="24"/>
          <w:highlight w:val="none"/>
          <w:u w:val="single"/>
          <w:lang w:val="en-US" w:eastAsia="zh-CN"/>
        </w:rPr>
        <w:tab/>
      </w:r>
      <w:r>
        <w:rPr>
          <w:rFonts w:hint="eastAsia" w:ascii="宋体" w:hAnsi="宋体" w:cs="宋体" w:eastAsiaTheme="minorEastAsia"/>
          <w:b w:val="0"/>
          <w:color w:val="auto"/>
          <w:sz w:val="24"/>
          <w:szCs w:val="22"/>
          <w:highlight w:val="none"/>
          <w:u w:val="single"/>
          <w:lang w:val="en-US" w:eastAsia="zh-CN"/>
        </w:rPr>
        <w:t>龙归分公司一期高压电房设备更换及发电机租赁、一期低压电房配电柜底座加固</w:t>
      </w:r>
      <w:r>
        <w:rPr>
          <w:rFonts w:hint="eastAsia" w:hAnsi="宋体" w:eastAsia="宋体" w:cs="宋体"/>
          <w:color w:val="auto"/>
          <w:sz w:val="24"/>
          <w:szCs w:val="24"/>
          <w:highlight w:val="none"/>
          <w:u w:val="single"/>
          <w:lang w:val="en-US" w:eastAsia="zh-CN"/>
        </w:rPr>
        <w:t>。</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三、工程承包方式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w:char="00FE"/>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hint="eastAsia" w:ascii="宋体" w:hAnsi="宋体" w:eastAsia="宋体" w:cs="宋体"/>
          <w:color w:val="auto"/>
          <w:sz w:val="24"/>
          <w:szCs w:val="24"/>
          <w:highlight w:val="none"/>
        </w:rPr>
      </w:pPr>
      <w:r>
        <w:rPr>
          <w:rFonts w:hint="eastAsia" w:ascii="宋体" w:hAnsi="宋体" w:cs="宋体"/>
          <w:color w:val="auto"/>
          <w:szCs w:val="21"/>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4.3因非乙方原因引起工程量报价清单中工程量发生增减，且单个子目工程量变化幅度在25%以内（含）时，按工程量报价清单中列明的子目单价结算。否则，按新增单价执行。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（4）通过市场询价双方协商确定。</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lang w:val="en-US" w:eastAsia="zh-CN"/>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5.1暂开工日期：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月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，具体日期以甲方发出的开工</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为准。乙方不能按时开工，应当不迟于协议书约定的开工日期前</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60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天。乙方未能按合同工期竣工验收的，每逾期一天，甲方有权要求乙方按合同暂定总价的 1%支付违约金，逾期达到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天及以上的，甲方有权解除合同并要求乙方支付合同暂定总价的20%作为违约金。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color w:val="auto"/>
          <w:sz w:val="24"/>
          <w:highlight w:val="none"/>
          <w:u w:val="single"/>
          <w:lang w:val="en-US" w:eastAsia="zh-CN"/>
        </w:rPr>
        <w:t xml:space="preserve"> 7 </w:t>
      </w:r>
      <w:r>
        <w:rPr>
          <w:rFonts w:hint="eastAsia" w:ascii="宋体" w:hAnsi="宋体" w:cs="宋体"/>
          <w:bCs/>
          <w:color w:val="auto"/>
          <w:sz w:val="24"/>
          <w:highlight w:val="none"/>
        </w:rPr>
        <w:t>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hint="eastAsia" w:ascii="宋体" w:hAnsi="宋体" w:cs="宋体"/>
          <w:bCs/>
          <w:color w:val="auto"/>
          <w:sz w:val="24"/>
          <w:highlight w:val="none"/>
          <w:u w:val="single"/>
        </w:rPr>
        <w:t>3</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宋体" w:hAnsi="宋体" w:eastAsia="宋体"/>
          <w:bCs/>
          <w:color w:val="auto"/>
          <w:sz w:val="24"/>
          <w:highlight w:val="none"/>
        </w:rPr>
        <w:t>（</w:t>
      </w:r>
      <w:r>
        <w:rPr>
          <w:rFonts w:hint="eastAsia" w:cs="宋体"/>
          <w:color w:val="auto"/>
          <w:sz w:val="24"/>
          <w:highlight w:val="none"/>
        </w:rPr>
        <w:t>如合同另行约定违约责任，从其约定</w:t>
      </w:r>
      <w:r>
        <w:rPr>
          <w:rFonts w:hint="eastAsia" w:ascii="宋体" w:hAnsi="宋体" w:eastAsia="宋体"/>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5.6乙方不得随意更换项目负责人及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附件5中的</w:t>
      </w:r>
      <w:r>
        <w:rPr>
          <w:rFonts w:hint="eastAsia" w:asciiTheme="minorEastAsia" w:hAnsiTheme="minorEastAsia" w:eastAsiaTheme="minorEastAsia" w:cstheme="minorEastAsia"/>
          <w:color w:val="auto"/>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color w:val="auto"/>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color w:val="auto"/>
          <w:sz w:val="24"/>
          <w:szCs w:val="24"/>
          <w:highlight w:val="none"/>
          <w:u w:val="single"/>
          <w:lang w:val="en-US" w:eastAsia="zh-CN"/>
        </w:rPr>
        <w:t xml:space="preserve"> 1000元/天</w:t>
      </w:r>
      <w:r>
        <w:rPr>
          <w:rFonts w:hint="eastAsia" w:asciiTheme="minorEastAsia" w:hAnsiTheme="minorEastAsia" w:eastAsiaTheme="minorEastAsia" w:cstheme="minorEastAsia"/>
          <w:color w:val="auto"/>
          <w:sz w:val="24"/>
          <w:szCs w:val="24"/>
          <w:highlight w:val="none"/>
          <w:lang w:val="en-US" w:eastAsia="zh-CN"/>
        </w:rPr>
        <w:t>，因此造成损失的，按实际发生额赔偿。</w:t>
      </w:r>
    </w:p>
    <w:p>
      <w:pPr>
        <w:pStyle w:val="2"/>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rPr>
        <w:t>在合同有效期内，若乙方发生不诚信行为情形的，乙方自愿接受甲方按</w:t>
      </w:r>
      <w:r>
        <w:rPr>
          <w:rFonts w:hint="eastAsia" w:asciiTheme="minorEastAsia" w:hAnsiTheme="minorEastAsia" w:eastAsiaTheme="minorEastAsia" w:cstheme="minorEastAsia"/>
          <w:color w:val="auto"/>
          <w:sz w:val="24"/>
          <w:szCs w:val="24"/>
          <w:highlight w:val="none"/>
          <w:lang w:eastAsia="zh-CN"/>
        </w:rPr>
        <w:t>《广州市净水有限公司经营建设项目参建企业不诚信行为管理办法》</w:t>
      </w:r>
      <w:r>
        <w:rPr>
          <w:rFonts w:hint="eastAsia" w:asciiTheme="minorEastAsia" w:hAnsiTheme="minorEastAsia" w:eastAsiaTheme="minorEastAsia" w:cstheme="minorEastAsia"/>
          <w:color w:val="auto"/>
          <w:sz w:val="24"/>
          <w:szCs w:val="24"/>
          <w:highlight w:val="none"/>
        </w:rPr>
        <w:t>处理</w:t>
      </w:r>
      <w:r>
        <w:rPr>
          <w:rFonts w:hint="eastAsia" w:asciiTheme="minorEastAsia" w:hAnsiTheme="minorEastAsia" w:eastAsiaTheme="minorEastAsia" w:cstheme="minorEastAsia"/>
          <w:color w:val="auto"/>
          <w:sz w:val="24"/>
          <w:szCs w:val="24"/>
          <w:highlight w:val="none"/>
          <w:lang w:eastAsia="zh-CN"/>
        </w:rPr>
        <w:t>，具体处理标准详见附件</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w:t>
      </w:r>
    </w:p>
    <w:p>
      <w:pPr>
        <w:spacing w:line="384" w:lineRule="auto"/>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施工用水用电采用以下方式</w:t>
      </w:r>
      <w:r>
        <w:rPr>
          <w:rFonts w:hint="eastAsia" w:ascii="宋体" w:hAnsi="宋体" w:cs="宋体"/>
          <w:color w:val="auto"/>
          <w:sz w:val="24"/>
          <w:highlight w:val="none"/>
          <w:u w:val="single"/>
        </w:rPr>
        <w:t>（1）</w:t>
      </w:r>
      <w:r>
        <w:rPr>
          <w:rFonts w:hint="eastAsia" w:ascii="宋体" w:hAnsi="宋体" w:cs="宋体"/>
          <w:color w:val="auto"/>
          <w:sz w:val="24"/>
          <w:highlight w:val="none"/>
        </w:rPr>
        <w:t>执行。</w:t>
      </w:r>
    </w:p>
    <w:p>
      <w:pPr>
        <w:pStyle w:val="2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eastAsiaTheme="minorEastAsia"/>
          <w:color w:val="auto"/>
          <w:kern w:val="2"/>
          <w:sz w:val="24"/>
          <w:szCs w:val="22"/>
          <w:highlight w:val="none"/>
          <w:lang w:val="en-US" w:eastAsia="zh-CN" w:bidi="ar-SA"/>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ascii="宋体" w:hAnsi="宋体" w:cs="宋体"/>
          <w:color w:val="auto"/>
          <w:sz w:val="24"/>
          <w:highlight w:val="none"/>
        </w:rPr>
        <w:t>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hint="eastAsia" w:ascii="宋体" w:hAnsi="宋体" w:eastAsia="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rPr>
          <w:rFonts w:hint="eastAsia" w:ascii="宋体" w:hAnsi="宋体" w:eastAsia="宋体" w:cs="宋体"/>
          <w:color w:val="auto"/>
          <w:sz w:val="24"/>
          <w:szCs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八、付款及履约担保</w:t>
      </w:r>
    </w:p>
    <w:p>
      <w:pPr>
        <w:spacing w:line="384" w:lineRule="auto"/>
        <w:ind w:firstLine="480" w:firstLineChars="200"/>
        <w:rPr>
          <w:rFonts w:hint="eastAsia" w:ascii="宋体" w:hAnsi="宋体" w:cs="宋体"/>
          <w:bCs/>
          <w:color w:val="auto"/>
          <w:sz w:val="24"/>
          <w:highlight w:val="non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  </w:t>
      </w:r>
    </w:p>
    <w:p>
      <w:pPr>
        <w:spacing w:line="384" w:lineRule="auto"/>
        <w:ind w:firstLine="480" w:firstLineChars="200"/>
        <w:rPr>
          <w:rFonts w:hint="eastAsia" w:ascii="宋体" w:hAnsi="宋体" w:cs="宋体"/>
          <w:color w:val="auto"/>
          <w:sz w:val="24"/>
          <w:highlight w:val="none"/>
        </w:rPr>
      </w:pPr>
      <w:r>
        <w:rPr>
          <w:rFonts w:ascii="宋体" w:hAnsi="宋体" w:cs="宋体"/>
          <w:color w:val="auto"/>
          <w:sz w:val="24"/>
          <w:highlight w:val="none"/>
        </w:rPr>
        <w:t>8.2.</w:t>
      </w: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30</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万元给乙方。</w:t>
      </w:r>
    </w:p>
    <w:p>
      <w:pPr>
        <w:pStyle w:val="47"/>
        <w:rPr>
          <w:rFonts w:hint="eastAsia"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1</w:t>
      </w:r>
      <w:r>
        <w:rPr>
          <w:rFonts w:hint="eastAsia" w:ascii="宋体" w:hAnsi="宋体" w:cs="宋体"/>
          <w:color w:val="auto"/>
          <w:sz w:val="24"/>
          <w:highlight w:val="none"/>
          <w:u w:val="single"/>
          <w:lang w:val="en-US" w:eastAsia="zh-CN"/>
        </w:rPr>
        <w:t>项目验收合格后，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ascii="宋体" w:hAnsi="宋体" w:cs="宋体"/>
          <w:color w:val="auto"/>
          <w:sz w:val="24"/>
          <w:highlight w:val="none"/>
        </w:rPr>
        <w:t>%</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w:t>
      </w:r>
      <w:r>
        <w:rPr>
          <w:rFonts w:hint="eastAsia" w:hAnsi="宋体" w:cs="宋体"/>
          <w:color w:val="auto"/>
          <w:sz w:val="24"/>
          <w:highlight w:val="none"/>
          <w:u w:val="single"/>
          <w:lang w:val="en-US" w:eastAsia="zh-CN"/>
        </w:rPr>
        <w:t>30</w:t>
      </w:r>
      <w:r>
        <w:rPr>
          <w:rFonts w:hAnsi="宋体" w:cs="宋体"/>
          <w:color w:val="auto"/>
          <w:sz w:val="24"/>
          <w:highlight w:val="none"/>
          <w:u w:val="single"/>
        </w:rPr>
        <w:t xml:space="preserve"> </w:t>
      </w:r>
      <w:r>
        <w:rPr>
          <w:rFonts w:hint="eastAsia" w:hAnsi="宋体" w:cs="宋体"/>
          <w:color w:val="auto"/>
          <w:sz w:val="24"/>
          <w:highlight w:val="none"/>
        </w:rPr>
        <w:t>个工作日内，甲方支付合同结算价的5％（质保金）给乙方（无息）。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乙方收款账户：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乙方在收款前需提交相应金额增值税专用发票给甲方。</w:t>
      </w:r>
      <w:r>
        <w:rPr>
          <w:rFonts w:hint="eastAsia" w:ascii="宋体" w:hAnsi="宋体" w:eastAsia="宋体" w:cs="宋体"/>
          <w:color w:val="auto"/>
          <w:sz w:val="24"/>
          <w:szCs w:val="24"/>
          <w:highlight w:val="none"/>
          <w:lang w:val="en-US" w:eastAsia="zh-CN"/>
        </w:rPr>
        <w:t>支付单位为：广州市净水有限公司，</w:t>
      </w:r>
      <w:r>
        <w:rPr>
          <w:rFonts w:hint="eastAsia" w:ascii="宋体" w:hAnsi="宋体" w:eastAsia="宋体" w:cs="宋体"/>
          <w:color w:val="auto"/>
          <w:sz w:val="24"/>
          <w:szCs w:val="24"/>
          <w:highlight w:val="none"/>
        </w:rPr>
        <w:t>增值税专用发票信息：</w:t>
      </w:r>
    </w:p>
    <w:p>
      <w:pPr>
        <w:spacing w:line="5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名称：广州市净水有限公司</w:t>
      </w:r>
    </w:p>
    <w:p>
      <w:pPr>
        <w:spacing w:line="5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税号：</w:t>
      </w:r>
      <w:r>
        <w:rPr>
          <w:rFonts w:hint="eastAsia" w:ascii="宋体" w:hAnsi="宋体" w:eastAsia="宋体" w:cs="宋体"/>
          <w:color w:val="auto"/>
          <w:sz w:val="24"/>
          <w:szCs w:val="24"/>
          <w:highlight w:val="none"/>
          <w:u w:val="single"/>
        </w:rPr>
        <w:t xml:space="preserve"> 9144 0101 75558 4729Q  </w:t>
      </w:r>
    </w:p>
    <w:p>
      <w:pPr>
        <w:spacing w:line="5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广州市天河区临江大道501号/020-38890283                       </w:t>
      </w:r>
      <w:r>
        <w:rPr>
          <w:rFonts w:hint="eastAsia" w:ascii="宋体" w:hAnsi="宋体" w:eastAsia="宋体" w:cs="宋体"/>
          <w:color w:val="auto"/>
          <w:sz w:val="24"/>
          <w:szCs w:val="24"/>
          <w:highlight w:val="none"/>
        </w:rPr>
        <w:t xml:space="preserve"> </w:t>
      </w:r>
    </w:p>
    <w:p>
      <w:pPr>
        <w:spacing w:line="5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开户银行及账号：</w:t>
      </w:r>
      <w:r>
        <w:rPr>
          <w:rFonts w:hint="eastAsia" w:ascii="宋体" w:hAnsi="宋体" w:eastAsia="宋体" w:cs="宋体"/>
          <w:color w:val="auto"/>
          <w:sz w:val="24"/>
          <w:szCs w:val="24"/>
          <w:highlight w:val="none"/>
          <w:u w:val="single"/>
          <w:lang w:val="en-US" w:eastAsia="zh-CN"/>
        </w:rPr>
        <w:t>民生银行广州分行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0301 0141 4000 6932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84" w:lineRule="auto"/>
        <w:ind w:firstLine="480" w:firstLineChars="200"/>
        <w:outlineLvl w:val="0"/>
        <w:rPr>
          <w:rFonts w:ascii="宋体" w:hAnsi="宋体" w:cs="宋体"/>
          <w:color w:val="auto"/>
          <w:sz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r>
        <w:rPr>
          <w:rFonts w:hint="eastAsia" w:ascii="宋体" w:hAnsi="宋体" w:cs="宋体"/>
          <w:color w:val="auto"/>
          <w:szCs w:val="21"/>
          <w:highlight w:val="none"/>
          <w:lang w:eastAsia="zh-CN"/>
        </w:rPr>
        <w:t>□</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w:t>
      </w:r>
      <w:r>
        <w:rPr>
          <w:rFonts w:hint="eastAsia" w:cs="宋体"/>
          <w:color w:val="auto"/>
          <w:highlight w:val="none"/>
          <w:lang w:val="en-US" w:eastAsia="zh-CN"/>
        </w:rPr>
        <w:t>6</w:t>
      </w:r>
      <w:r>
        <w:rPr>
          <w:rFonts w:cs="宋体"/>
          <w:color w:val="auto"/>
          <w:highlight w:val="none"/>
        </w:rPr>
        <w:t>.1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lang w:val="en-US" w:eastAsia="zh-CN"/>
        </w:rPr>
        <w:t>6</w:t>
      </w:r>
      <w:r>
        <w:rPr>
          <w:rFonts w:ascii="宋体" w:hAnsi="宋体" w:cs="宋体"/>
          <w:color w:val="auto"/>
          <w:sz w:val="24"/>
          <w:highlight w:val="none"/>
        </w:rPr>
        <w:t>.2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lang w:val="en-US" w:eastAsia="zh-CN"/>
        </w:rPr>
        <w:t>6</w:t>
      </w:r>
      <w:r>
        <w:rPr>
          <w:rFonts w:ascii="宋体" w:hAnsi="宋体" w:cs="宋体"/>
          <w:color w:val="auto"/>
          <w:sz w:val="24"/>
          <w:highlight w:val="none"/>
        </w:rPr>
        <w:t>.3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color w:val="auto"/>
          <w:sz w:val="24"/>
          <w:szCs w:val="24"/>
          <w:highlight w:val="none"/>
        </w:rPr>
      </w:pPr>
      <w:r>
        <w:rPr>
          <w:rFonts w:hAnsi="宋体" w:cs="宋体"/>
          <w:color w:val="auto"/>
          <w:sz w:val="24"/>
          <w:highlight w:val="none"/>
        </w:rPr>
        <w:t>8.</w:t>
      </w:r>
      <w:r>
        <w:rPr>
          <w:rFonts w:hint="eastAsia" w:hAnsi="宋体" w:cs="宋体"/>
          <w:color w:val="auto"/>
          <w:sz w:val="24"/>
          <w:highlight w:val="none"/>
          <w:lang w:val="en-US" w:eastAsia="zh-CN"/>
        </w:rPr>
        <w:t>7</w:t>
      </w:r>
      <w:r>
        <w:rPr>
          <w:rFonts w:hint="eastAsia" w:ascii="宋体" w:hAnsi="宋体" w:eastAsia="宋体" w:cs="宋体"/>
          <w:color w:val="auto"/>
          <w:sz w:val="24"/>
          <w:highlight w:val="none"/>
        </w:rPr>
        <w:t xml:space="preserve">付款方式：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 xml:space="preserve">网银支付；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支票；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p>
    <w:p>
      <w:pPr>
        <w:spacing w:line="384" w:lineRule="auto"/>
        <w:ind w:firstLine="482" w:firstLineChars="200"/>
        <w:rPr>
          <w:rFonts w:ascii="宋体" w:hAnsi="宋体" w:cs="宋体"/>
          <w:b/>
          <w:bCs/>
          <w:color w:val="auto"/>
          <w:sz w:val="24"/>
          <w:highlight w:val="none"/>
        </w:rPr>
      </w:pPr>
      <w:bookmarkStart w:id="85" w:name="_Toc518992994"/>
      <w:bookmarkStart w:id="86" w:name="_Toc520190034"/>
      <w:bookmarkStart w:id="87" w:name="_Toc474245220"/>
      <w:r>
        <w:rPr>
          <w:rFonts w:hint="eastAsia" w:ascii="宋体" w:hAnsi="宋体" w:cs="宋体"/>
          <w:b/>
          <w:bCs/>
          <w:color w:val="auto"/>
          <w:sz w:val="24"/>
          <w:highlight w:val="none"/>
        </w:rPr>
        <w:t>第九条竣工验收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spacing w:line="384"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第</w:t>
      </w: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条</w:t>
      </w:r>
      <w:r>
        <w:rPr>
          <w:rFonts w:hint="eastAsia" w:ascii="宋体" w:hAnsi="宋体" w:eastAsia="宋体" w:cs="宋体"/>
          <w:b/>
          <w:bCs/>
          <w:color w:val="auto"/>
          <w:sz w:val="24"/>
          <w:highlight w:val="none"/>
        </w:rPr>
        <w:t>质量保证</w:t>
      </w:r>
      <w:bookmarkEnd w:id="85"/>
      <w:bookmarkEnd w:id="86"/>
      <w:bookmarkEnd w:id="87"/>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1</w:t>
      </w:r>
      <w:r>
        <w:rPr>
          <w:rFonts w:hint="eastAsia" w:ascii="宋体" w:hAnsi="宋体" w:cs="宋体"/>
          <w:color w:val="auto"/>
          <w:kern w:val="0"/>
          <w:sz w:val="24"/>
          <w:highlight w:val="none"/>
          <w:lang w:val="zh-CN"/>
        </w:rPr>
        <w:t>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u w:val="single"/>
        </w:rPr>
        <w:t>5</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pStyle w:val="3"/>
        <w:keepNext/>
        <w:keepLines/>
        <w:pageBreakBefore w:val="0"/>
        <w:widowControl w:val="0"/>
        <w:kinsoku/>
        <w:wordWrap/>
        <w:overflowPunct/>
        <w:topLinePunct w:val="0"/>
        <w:autoSpaceDE/>
        <w:autoSpaceDN/>
        <w:bidi w:val="0"/>
        <w:adjustRightInd/>
        <w:snapToGrid/>
        <w:spacing w:beforeLines="50" w:afterLines="50" w:line="500" w:lineRule="exact"/>
        <w:ind w:firstLine="482" w:firstLineChars="200"/>
        <w:jc w:val="left"/>
        <w:textAlignment w:val="auto"/>
        <w:rPr>
          <w:rFonts w:hint="eastAsia" w:ascii="宋体" w:hAnsi="宋体" w:eastAsia="宋体" w:cs="宋体"/>
          <w:b w:val="0"/>
          <w:color w:val="auto"/>
          <w:sz w:val="24"/>
          <w:szCs w:val="24"/>
          <w:highlight w:val="none"/>
        </w:rPr>
      </w:pPr>
      <w:bookmarkStart w:id="88" w:name="_Toc183666531"/>
      <w:bookmarkStart w:id="89" w:name="_Toc107446862"/>
      <w:bookmarkStart w:id="90" w:name="_Toc518993000"/>
      <w:bookmarkStart w:id="91" w:name="_Toc19692"/>
      <w:bookmarkStart w:id="92" w:name="_Toc474245226"/>
      <w:bookmarkStart w:id="93" w:name="_Toc306350467"/>
      <w:bookmarkStart w:id="94" w:name="_Toc520190040"/>
      <w:bookmarkStart w:id="95" w:name="_Toc107447255"/>
      <w:r>
        <w:rPr>
          <w:rFonts w:hint="eastAsia" w:ascii="宋体" w:hAnsi="宋体" w:cs="宋体"/>
          <w:b/>
          <w:bCs/>
          <w:color w:val="auto"/>
          <w:sz w:val="24"/>
          <w:highlight w:val="none"/>
        </w:rPr>
        <w:t>第十一条</w:t>
      </w:r>
      <w:r>
        <w:rPr>
          <w:rFonts w:hint="eastAsia" w:ascii="宋体" w:hAnsi="宋体" w:eastAsia="宋体" w:cs="宋体"/>
          <w:color w:val="auto"/>
          <w:sz w:val="24"/>
          <w:szCs w:val="24"/>
          <w:highlight w:val="none"/>
        </w:rPr>
        <w:t>不可抗力</w:t>
      </w:r>
      <w:bookmarkEnd w:id="88"/>
      <w:bookmarkEnd w:id="89"/>
      <w:bookmarkEnd w:id="90"/>
      <w:bookmarkEnd w:id="91"/>
      <w:bookmarkEnd w:id="92"/>
      <w:bookmarkEnd w:id="93"/>
      <w:bookmarkEnd w:id="94"/>
      <w:bookmarkEnd w:id="95"/>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bookmarkStart w:id="96" w:name="_Toc518993001"/>
      <w:bookmarkStart w:id="97" w:name="_Toc474245227"/>
      <w:bookmarkStart w:id="98" w:name="_Toc12010"/>
      <w:bookmarkStart w:id="99" w:name="_Toc183666532"/>
      <w:bookmarkStart w:id="100" w:name="_Toc520190041"/>
      <w:bookmarkStart w:id="101" w:name="_Toc306350468"/>
      <w:bookmarkStart w:id="102" w:name="_Toc107447257"/>
      <w:bookmarkStart w:id="103" w:name="_Toc107446864"/>
      <w:bookmarkStart w:id="104" w:name="_Toc118172294"/>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before="156" w:beforeLines="50" w:after="156" w:afterLines="50" w:line="360" w:lineRule="auto"/>
        <w:ind w:firstLine="480" w:firstLineChars="200"/>
        <w:jc w:val="left"/>
        <w:textAlignment w:val="auto"/>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3"/>
        <w:keepNext/>
        <w:keepLines/>
        <w:pageBreakBefore w:val="0"/>
        <w:widowControl w:val="0"/>
        <w:kinsoku/>
        <w:wordWrap/>
        <w:overflowPunct/>
        <w:topLinePunct w:val="0"/>
        <w:autoSpaceDE/>
        <w:autoSpaceDN/>
        <w:bidi w:val="0"/>
        <w:adjustRightInd/>
        <w:snapToGrid/>
        <w:spacing w:beforeLines="50" w:afterLines="50"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第</w:t>
      </w:r>
      <w:r>
        <w:rPr>
          <w:rFonts w:hint="eastAsia" w:ascii="宋体" w:hAnsi="宋体" w:eastAsia="宋体" w:cs="宋体"/>
          <w:b/>
          <w:bCs/>
          <w:color w:val="auto"/>
          <w:sz w:val="24"/>
          <w:highlight w:val="none"/>
        </w:rPr>
        <w:t>十二</w:t>
      </w:r>
      <w:r>
        <w:rPr>
          <w:rFonts w:hint="eastAsia" w:ascii="宋体" w:hAnsi="宋体" w:eastAsia="宋体" w:cs="宋体"/>
          <w:b/>
          <w:bCs/>
          <w:color w:val="auto"/>
          <w:sz w:val="24"/>
          <w:highlight w:val="none"/>
          <w:lang w:val="en-US" w:eastAsia="zh-CN"/>
        </w:rPr>
        <w:t>条</w:t>
      </w:r>
      <w:r>
        <w:rPr>
          <w:rFonts w:hint="eastAsia" w:ascii="宋体" w:hAnsi="宋体" w:eastAsia="宋体" w:cs="宋体"/>
          <w:b/>
          <w:bCs/>
          <w:color w:val="auto"/>
          <w:sz w:val="24"/>
          <w:highlight w:val="none"/>
        </w:rPr>
        <w:t>争议解决</w:t>
      </w:r>
      <w:bookmarkEnd w:id="96"/>
      <w:bookmarkEnd w:id="97"/>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highlight w:val="none"/>
        </w:rPr>
      </w:pPr>
      <w:bookmarkStart w:id="105" w:name="_Toc306350469"/>
      <w:bookmarkStart w:id="106" w:name="_Toc183666533"/>
      <w:bookmarkStart w:id="107" w:name="_Toc518993003"/>
      <w:bookmarkStart w:id="108" w:name="_Toc474245229"/>
      <w:bookmarkStart w:id="109" w:name="_Toc52019004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12.2在甲方同意的情况下，除有争端之外的合同其它部分在争端解决前应继续执行。</w:t>
      </w:r>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color w:val="auto"/>
          <w:sz w:val="24"/>
          <w:highlight w:val="none"/>
        </w:rPr>
      </w:pPr>
      <w:r>
        <w:rPr>
          <w:rFonts w:hint="eastAsia" w:ascii="宋体" w:hAnsi="宋体" w:eastAsia="宋体" w:cs="宋体"/>
          <w:b/>
          <w:bCs/>
          <w:color w:val="auto"/>
          <w:kern w:val="44"/>
          <w:sz w:val="24"/>
          <w:szCs w:val="44"/>
          <w:highlight w:val="none"/>
          <w:lang w:val="en-US" w:eastAsia="zh-CN" w:bidi="ar-SA"/>
        </w:rPr>
        <w:t>第十三条</w:t>
      </w:r>
      <w:bookmarkStart w:id="110" w:name="_Toc107446871"/>
      <w:bookmarkStart w:id="111" w:name="_Toc107447264"/>
      <w:r>
        <w:rPr>
          <w:rFonts w:hint="eastAsia" w:ascii="宋体" w:hAnsi="宋体" w:eastAsia="宋体" w:cs="宋体"/>
          <w:b/>
          <w:bCs/>
          <w:color w:val="auto"/>
          <w:kern w:val="44"/>
          <w:sz w:val="24"/>
          <w:szCs w:val="44"/>
          <w:highlight w:val="none"/>
          <w:lang w:val="en-US" w:eastAsia="zh-CN" w:bidi="ar-SA"/>
        </w:rPr>
        <w:t>合同生效及其他</w:t>
      </w:r>
      <w:bookmarkEnd w:id="110"/>
      <w:bookmarkEnd w:id="111"/>
    </w:p>
    <w:p>
      <w:pPr>
        <w:spacing w:line="500" w:lineRule="exact"/>
        <w:ind w:firstLine="480"/>
        <w:rPr>
          <w:rFonts w:hint="eastAsia" w:ascii="宋体" w:hAnsi="宋体" w:eastAsia="宋体" w:cs="宋体"/>
          <w:color w:val="auto"/>
          <w:sz w:val="24"/>
          <w:szCs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.2本合同正文一式</w:t>
      </w:r>
      <w:r>
        <w:rPr>
          <w:rFonts w:hint="eastAsia" w:ascii="宋体" w:hAnsi="宋体" w:eastAsia="宋体" w:cs="宋体"/>
          <w:color w:val="auto"/>
          <w:sz w:val="24"/>
          <w:szCs w:val="24"/>
          <w:highlight w:val="none"/>
          <w:u w:val="single"/>
        </w:rPr>
        <w:t xml:space="preserve"> 六 </w:t>
      </w:r>
      <w:r>
        <w:rPr>
          <w:rFonts w:hint="eastAsia" w:ascii="宋体" w:hAnsi="宋体" w:eastAsia="宋体" w:cs="宋体"/>
          <w:color w:val="auto"/>
          <w:sz w:val="24"/>
          <w:szCs w:val="24"/>
          <w:highlight w:val="none"/>
        </w:rPr>
        <w:t xml:space="preserve"> 份，其中：甲方</w:t>
      </w:r>
      <w:r>
        <w:rPr>
          <w:rFonts w:hint="eastAsia" w:ascii="宋体" w:hAnsi="宋体" w:eastAsia="宋体" w:cs="宋体"/>
          <w:color w:val="auto"/>
          <w:sz w:val="24"/>
          <w:szCs w:val="24"/>
          <w:highlight w:val="none"/>
          <w:u w:val="single"/>
        </w:rPr>
        <w:t xml:space="preserve">   四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 xml:space="preserve">  二 </w:t>
      </w:r>
      <w:r>
        <w:rPr>
          <w:rFonts w:hint="eastAsia" w:ascii="宋体" w:hAnsi="宋体" w:eastAsia="宋体" w:cs="宋体"/>
          <w:color w:val="auto"/>
          <w:sz w:val="24"/>
          <w:szCs w:val="24"/>
          <w:highlight w:val="none"/>
        </w:rPr>
        <w:t>份。</w:t>
      </w:r>
    </w:p>
    <w:p>
      <w:pPr>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如需修改或补充本合同内容，双方应签署书面修改或补充协议，该等协议将作为本合同的一个组成部分。</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.廉洁协议书</w:t>
      </w:r>
    </w:p>
    <w:p>
      <w:pPr>
        <w:spacing w:line="5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营运施工安全</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p>
    <w:p>
      <w:pPr>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3.发包通知书</w:t>
      </w:r>
    </w:p>
    <w:p>
      <w:pPr>
        <w:spacing w:line="5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4.工程量清单</w:t>
      </w:r>
    </w:p>
    <w:p>
      <w:pPr>
        <w:pStyle w:val="12"/>
        <w:tabs>
          <w:tab w:val="left" w:pos="1260"/>
        </w:tabs>
        <w:spacing w:line="500" w:lineRule="exact"/>
        <w:ind w:firstLine="720" w:firstLineChars="300"/>
        <w:jc w:val="left"/>
        <w:rPr>
          <w:rFonts w:hint="eastAsia" w:ascii="宋体" w:hAnsi="宋体" w:eastAsia="宋体" w:cs="宋体"/>
          <w:color w:val="auto"/>
          <w:sz w:val="21"/>
          <w:szCs w:val="21"/>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1"/>
          <w:szCs w:val="21"/>
          <w:highlight w:val="none"/>
        </w:rPr>
        <w:t>不诚信行为的情形及相应被暂停参与投标活动的处理标准</w:t>
      </w:r>
    </w:p>
    <w:p>
      <w:pPr>
        <w:pStyle w:val="12"/>
        <w:tabs>
          <w:tab w:val="left" w:pos="1260"/>
        </w:tabs>
        <w:spacing w:line="500" w:lineRule="exact"/>
        <w:ind w:firstLine="720" w:firstLineChars="300"/>
        <w:jc w:val="left"/>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6.项目质量安全考评相关条款</w:t>
      </w:r>
    </w:p>
    <w:p>
      <w:pPr>
        <w:pStyle w:val="12"/>
        <w:tabs>
          <w:tab w:val="left" w:pos="1260"/>
        </w:tabs>
        <w:spacing w:line="500" w:lineRule="exact"/>
        <w:ind w:firstLine="720" w:firstLineChars="300"/>
        <w:jc w:val="left"/>
        <w:rPr>
          <w:rFonts w:hint="eastAsia" w:ascii="宋体"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项目投入人员架构表</w:t>
      </w:r>
    </w:p>
    <w:p>
      <w:pPr>
        <w:pStyle w:val="12"/>
        <w:tabs>
          <w:tab w:val="left" w:pos="1260"/>
        </w:tabs>
        <w:spacing w:line="500" w:lineRule="exact"/>
        <w:ind w:firstLine="720" w:firstLineChars="3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8、防疫管理协议书</w:t>
      </w:r>
    </w:p>
    <w:p>
      <w:pPr>
        <w:rPr>
          <w:rFonts w:hint="default"/>
          <w:color w:val="auto"/>
          <w:highlight w:val="none"/>
          <w:lang w:val="en-US" w:eastAsia="zh-CN"/>
        </w:rPr>
      </w:pPr>
      <w:r>
        <w:rPr>
          <w:rFonts w:hint="eastAsia"/>
          <w:color w:val="auto"/>
          <w:highlight w:val="none"/>
          <w:lang w:val="en-US" w:eastAsia="zh-CN"/>
        </w:rPr>
        <w:t xml:space="preserve">    </w:t>
      </w:r>
    </w:p>
    <w:p>
      <w:pPr>
        <w:rPr>
          <w:rFonts w:hint="eastAsia"/>
          <w:color w:val="auto"/>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甲方：</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乙方：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（盖章）                           （盖章）</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项目经办人：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项目经办人：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签订时间：     年   月   日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签订时间：     年   月   日</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地址：</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地址：</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p>
    <w:p>
      <w:pPr>
        <w:spacing w:line="500" w:lineRule="exact"/>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电话：</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电  话：</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：廉洁协议</w:t>
      </w:r>
    </w:p>
    <w:p>
      <w:pPr>
        <w:spacing w:line="360" w:lineRule="auto"/>
        <w:jc w:val="center"/>
        <w:rPr>
          <w:rFonts w:hint="eastAsia" w:ascii="宋体" w:hAnsi="宋体" w:eastAsia="宋体" w:cs="宋体"/>
          <w:b/>
          <w:color w:val="auto"/>
          <w:sz w:val="32"/>
          <w:szCs w:val="32"/>
          <w:highlight w:val="none"/>
        </w:rPr>
      </w:pPr>
      <w:bookmarkStart w:id="112" w:name="_Toc389815339"/>
      <w:bookmarkStart w:id="113" w:name="_Toc387080836"/>
      <w:bookmarkStart w:id="114" w:name="_Toc389815031"/>
      <w:r>
        <w:rPr>
          <w:rFonts w:hint="eastAsia" w:ascii="宋体" w:hAnsi="宋体" w:eastAsia="宋体" w:cs="宋体"/>
          <w:b/>
          <w:color w:val="auto"/>
          <w:sz w:val="32"/>
          <w:szCs w:val="32"/>
          <w:highlight w:val="none"/>
        </w:rPr>
        <w:t>廉洁协议</w:t>
      </w:r>
    </w:p>
    <w:p>
      <w:pPr>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(以下称甲方)与</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(以下称乙方)，特此订立本协议共同遵照执行。</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第一条甲乙双方的权利和义务</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（二）严格执行</w:t>
      </w:r>
      <w:r>
        <w:rPr>
          <w:rFonts w:hint="eastAsia" w:ascii="宋体" w:hAnsi="宋体" w:eastAsia="宋体" w:cs="宋体"/>
          <w:color w:val="auto"/>
          <w:sz w:val="24"/>
          <w:highlight w:val="none"/>
          <w:u w:val="single"/>
          <w:lang w:eastAsia="zh-CN"/>
        </w:rPr>
        <w:t>龙归分公司</w:t>
      </w:r>
      <w:r>
        <w:rPr>
          <w:rFonts w:hint="eastAsia" w:ascii="宋体" w:hAnsi="宋体" w:eastAsia="宋体" w:cs="宋体"/>
          <w:color w:val="auto"/>
          <w:sz w:val="24"/>
          <w:highlight w:val="none"/>
          <w:u w:val="single"/>
          <w:lang w:val="en-US" w:eastAsia="zh-CN"/>
        </w:rPr>
        <w:t>氯饼自动投加控制系统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合同（以下简称：主合同），自觉履行合同约定的相关义务。</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（三）在业务活动中坚持公开、公正、诚信、透明的原则，不得损害国家、集体利益。</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第二条甲方的义务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（七）甲方工作人员不得接受乙方给予或赠送的干股或红利。</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第三条乙方的义务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（一）乙方不得以任何理由向甲方及其工作人员行贿或馈赠礼金、有价证券、贵重礼品。</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（二)乙方不得以任何名义为甲方及其工作人员报销应由甲方单位或个人支付的任何费用。</w:t>
      </w:r>
    </w:p>
    <w:p>
      <w:pPr>
        <w:spacing w:line="360" w:lineRule="auto"/>
        <w:ind w:left="25" w:leftChars="1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（三）乙方不得以任何理由安排甲方工作人员参加可能影响相关业务公开、公正、公平性的宴请及娱乐活动。</w:t>
      </w:r>
    </w:p>
    <w:p>
      <w:pPr>
        <w:pStyle w:val="15"/>
        <w:rPr>
          <w:rFonts w:hint="eastAsia" w:ascii="宋体" w:hAnsi="宋体" w:eastAsia="宋体" w:cs="宋体"/>
          <w:sz w:val="24"/>
          <w:highlight w:val="none"/>
        </w:rPr>
      </w:pPr>
      <w:r>
        <w:rPr>
          <w:rFonts w:hint="eastAsia" w:ascii="宋体" w:hAnsi="宋体" w:eastAsia="宋体" w:cs="宋体"/>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（七）乙方不得向甲方工作人员提供干股或红利。</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甲方举报投诉联系部门：广州市净水有限公司</w:t>
      </w:r>
      <w:r>
        <w:rPr>
          <w:rFonts w:hint="eastAsia" w:ascii="宋体" w:hAnsi="宋体" w:eastAsia="宋体" w:cs="宋体"/>
          <w:color w:val="auto"/>
          <w:sz w:val="24"/>
          <w:highlight w:val="none"/>
          <w:u w:val="single"/>
        </w:rPr>
        <w:t>纪检室</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020-38890265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1、扣除乙方全部履约保证金；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2、解除主合同；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3、追究乙方合同其他违约责任；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4、根据甲方及其上级单位、主管部门的有关规定，对乙方违反廉洁协议的行为限制其参与招投标活动的资格。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乙方无条件接受甲方处理意见并承担给甲方造成的损失，全额返还用不正当手段获取的非法所得，并承担相应的法律责任。</w:t>
      </w:r>
    </w:p>
    <w:p>
      <w:pPr>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 xml:space="preserve">第五条 </w:t>
      </w:r>
      <w:r>
        <w:rPr>
          <w:rFonts w:hint="eastAsia" w:ascii="宋体" w:hAnsi="宋体" w:eastAsia="宋体" w:cs="宋体"/>
          <w:color w:val="auto"/>
          <w:kern w:val="0"/>
          <w:sz w:val="24"/>
          <w:highlight w:val="none"/>
        </w:rPr>
        <w:t xml:space="preserve">本协议执行情况，接受有管辖权的纪检、监察部门的监督，双方应予以配合检查调查。 </w:t>
      </w:r>
    </w:p>
    <w:p>
      <w:pPr>
        <w:spacing w:line="360" w:lineRule="auto"/>
        <w:ind w:left="239" w:leftChars="114" w:firstLine="241" w:firstLineChars="1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第六条</w:t>
      </w: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lang w:eastAsia="zh-CN"/>
        </w:rPr>
        <w:t>龙归分公司</w:t>
      </w:r>
      <w:r>
        <w:rPr>
          <w:rFonts w:hint="eastAsia" w:ascii="宋体" w:hAnsi="宋体" w:eastAsia="宋体" w:cs="宋体"/>
          <w:color w:val="auto"/>
          <w:sz w:val="24"/>
          <w:highlight w:val="none"/>
          <w:lang w:val="en-US" w:eastAsia="zh-CN"/>
        </w:rPr>
        <w:t>氯饼自动投加控制系统</w:t>
      </w:r>
      <w:r>
        <w:rPr>
          <w:rFonts w:hint="eastAsia" w:ascii="宋体" w:hAnsi="宋体" w:eastAsia="宋体" w:cs="宋体"/>
          <w:color w:val="auto"/>
          <w:sz w:val="24"/>
          <w:highlight w:val="none"/>
          <w:u w:val="single"/>
        </w:rPr>
        <w:t>（穗净水合</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lang w:eastAsia="zh-CN"/>
        </w:rPr>
        <w:t>2022</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号）</w:t>
      </w:r>
      <w:r>
        <w:rPr>
          <w:rFonts w:hint="eastAsia" w:ascii="宋体" w:hAnsi="宋体" w:eastAsia="宋体" w:cs="宋体"/>
          <w:color w:val="auto"/>
          <w:sz w:val="24"/>
          <w:highlight w:val="none"/>
        </w:rPr>
        <w:t>合同的附件，并具有同等的法律效力，本协议自双方签字盖章之日起生效，与主合同同时终止。</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第七条</w:t>
      </w:r>
      <w:r>
        <w:rPr>
          <w:rFonts w:hint="eastAsia" w:ascii="宋体" w:hAnsi="宋体" w:eastAsia="宋体" w:cs="宋体"/>
          <w:color w:val="auto"/>
          <w:sz w:val="24"/>
          <w:highlight w:val="none"/>
        </w:rPr>
        <w:t>本协议一式</w:t>
      </w:r>
      <w:r>
        <w:rPr>
          <w:rFonts w:hint="eastAsia" w:ascii="宋体" w:hAnsi="宋体" w:eastAsia="宋体" w:cs="宋体"/>
          <w:color w:val="auto"/>
          <w:sz w:val="24"/>
          <w:highlight w:val="none"/>
          <w:lang w:val="en-US" w:eastAsia="zh-CN"/>
        </w:rPr>
        <w:t>陆</w:t>
      </w:r>
      <w:r>
        <w:rPr>
          <w:rFonts w:hint="eastAsia" w:ascii="宋体" w:hAnsi="宋体" w:eastAsia="宋体" w:cs="宋体"/>
          <w:color w:val="auto"/>
          <w:sz w:val="24"/>
          <w:highlight w:val="none"/>
        </w:rPr>
        <w:t>份，甲方</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份，乙方</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w:t>
      </w:r>
    </w:p>
    <w:p>
      <w:pPr>
        <w:spacing w:line="360" w:lineRule="auto"/>
        <w:ind w:firstLine="480" w:firstLineChars="20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甲方（盖章）：                     乙方（盖章）：</w:t>
      </w:r>
      <w:r>
        <w:rPr>
          <w:rFonts w:hint="eastAsia" w:ascii="宋体" w:hAnsi="宋体" w:eastAsia="宋体" w:cs="宋体"/>
          <w:color w:val="auto"/>
          <w:sz w:val="24"/>
          <w:highlight w:val="none"/>
          <w:lang w:val="en-US" w:eastAsia="zh-CN"/>
        </w:rPr>
        <w:t xml:space="preserve">                                   </w:t>
      </w:r>
    </w:p>
    <w:p>
      <w:pPr>
        <w:pStyle w:val="33"/>
        <w:tabs>
          <w:tab w:val="left" w:pos="5100"/>
        </w:tabs>
        <w:spacing w:line="360" w:lineRule="auto"/>
        <w:ind w:left="7200" w:firstLine="0" w:firstLineChars="0"/>
        <w:jc w:val="left"/>
        <w:rPr>
          <w:rFonts w:hint="eastAsia" w:ascii="宋体" w:hAnsi="宋体" w:eastAsia="宋体" w:cs="宋体"/>
          <w:color w:val="auto"/>
          <w:sz w:val="24"/>
          <w:highlight w:val="none"/>
        </w:rPr>
      </w:pPr>
    </w:p>
    <w:p>
      <w:pPr>
        <w:tabs>
          <w:tab w:val="left" w:pos="5100"/>
        </w:tabs>
        <w:spacing w:line="360" w:lineRule="auto"/>
        <w:ind w:left="7200" w:hanging="7200" w:hangingChars="30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                         签约代表：</w:t>
      </w:r>
    </w:p>
    <w:p>
      <w:pPr>
        <w:tabs>
          <w:tab w:val="left" w:pos="4170"/>
        </w:tabs>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日期:    年  月  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rPr>
          <w:rFonts w:hint="eastAsia"/>
          <w:color w:val="auto"/>
          <w:highlight w:val="none"/>
        </w:rPr>
      </w:pPr>
      <w:r>
        <w:rPr>
          <w:rFonts w:hint="eastAsia" w:ascii="宋体" w:hAnsi="宋体" w:eastAsia="宋体" w:cs="宋体"/>
          <w:b/>
          <w:color w:val="auto"/>
          <w:sz w:val="24"/>
          <w:highlight w:val="none"/>
        </w:rPr>
        <w:br w:type="page"/>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bookmarkEnd w:id="112"/>
      <w:bookmarkEnd w:id="113"/>
      <w:bookmarkEnd w:id="114"/>
      <w:r>
        <w:rPr>
          <w:rFonts w:hint="eastAsia" w:ascii="宋体" w:hAnsi="宋体" w:eastAsia="宋体" w:cs="宋体"/>
          <w:b/>
          <w:color w:val="auto"/>
          <w:szCs w:val="21"/>
          <w:highlight w:val="none"/>
        </w:rPr>
        <w:t>营运场所施工安全协议书</w:t>
      </w:r>
    </w:p>
    <w:p>
      <w:pPr>
        <w:spacing w:line="360" w:lineRule="auto"/>
        <w:jc w:val="center"/>
        <w:rPr>
          <w:rFonts w:hint="eastAsia" w:ascii="宋体" w:hAnsi="宋体" w:eastAsia="宋体" w:cs="宋体"/>
          <w:b/>
          <w:bCs/>
          <w:color w:val="auto"/>
          <w:sz w:val="24"/>
          <w:highlight w:val="none"/>
        </w:rPr>
      </w:pPr>
    </w:p>
    <w:p>
      <w:pPr>
        <w:spacing w:line="560" w:lineRule="exact"/>
        <w:jc w:val="center"/>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营运场所施工安全协议书</w:t>
      </w:r>
    </w:p>
    <w:p>
      <w:pPr>
        <w:spacing w:line="560" w:lineRule="exact"/>
        <w:rPr>
          <w:rFonts w:hint="eastAsia" w:ascii="宋体" w:hAnsi="宋体" w:eastAsia="宋体" w:cs="宋体"/>
          <w:color w:val="auto"/>
          <w:sz w:val="24"/>
          <w:highlight w:val="none"/>
        </w:rPr>
      </w:pPr>
    </w:p>
    <w:p>
      <w:pPr>
        <w:spacing w:line="560" w:lineRule="exact"/>
        <w:rPr>
          <w:rFonts w:hint="eastAsia" w:ascii="宋体" w:hAnsi="宋体" w:eastAsia="宋体" w:cs="宋体"/>
          <w:color w:val="auto"/>
          <w:kern w:val="0"/>
          <w:sz w:val="24"/>
          <w:highlight w:val="none"/>
        </w:rPr>
      </w:pPr>
      <w:bookmarkStart w:id="115" w:name="_Toc21391"/>
      <w:r>
        <w:rPr>
          <w:rFonts w:hint="eastAsia" w:ascii="宋体" w:hAnsi="宋体" w:eastAsia="宋体" w:cs="宋体"/>
          <w:color w:val="auto"/>
          <w:kern w:val="0"/>
          <w:sz w:val="24"/>
          <w:highlight w:val="none"/>
        </w:rPr>
        <w:t>甲方：</w:t>
      </w:r>
      <w:r>
        <w:rPr>
          <w:rFonts w:hint="eastAsia" w:ascii="宋体" w:hAnsi="宋体" w:eastAsia="宋体" w:cs="宋体"/>
          <w:color w:val="auto"/>
          <w:sz w:val="24"/>
          <w:highlight w:val="none"/>
        </w:rPr>
        <w:t>广州市净水有限公司</w:t>
      </w:r>
    </w:p>
    <w:p>
      <w:pPr>
        <w:spacing w:line="56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乙方：</w:t>
      </w:r>
      <w:r>
        <w:rPr>
          <w:rFonts w:hint="eastAsia" w:ascii="宋体" w:hAnsi="宋体" w:eastAsia="宋体" w:cs="宋体"/>
          <w:color w:val="auto"/>
          <w:sz w:val="24"/>
          <w:highlight w:val="none"/>
          <w:lang w:val="en-US" w:eastAsia="zh-CN"/>
        </w:rPr>
        <w:t xml:space="preserve">                                   </w:t>
      </w:r>
    </w:p>
    <w:p>
      <w:pPr>
        <w:adjustRightInd w:val="0"/>
        <w:snapToGrid w:val="0"/>
        <w:spacing w:line="560" w:lineRule="exact"/>
        <w:jc w:val="left"/>
        <w:rPr>
          <w:rStyle w:val="26"/>
          <w:rFonts w:hint="eastAsia" w:ascii="宋体" w:hAnsi="宋体" w:eastAsia="宋体" w:cs="宋体"/>
          <w:b w:val="0"/>
          <w:color w:val="auto"/>
          <w:highlight w:val="none"/>
          <w:u w:val="single"/>
        </w:rPr>
      </w:pPr>
    </w:p>
    <w:bookmarkEnd w:id="115"/>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根据《中华人民共和国安全生产法》</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《中华人民共和国建筑法》</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《建设工程安全生产管理条例》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《生产安全事故报告和调查处理条例》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《中华人民共和国职业病防治法》</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《工作场所职业卫生管理规定》</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《用人单位职业健康监护监督管理办法》</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龙归分公司</w:t>
      </w:r>
      <w:r>
        <w:rPr>
          <w:rFonts w:hint="eastAsia" w:ascii="宋体" w:hAnsi="宋体" w:eastAsia="宋体" w:cs="宋体"/>
          <w:color w:val="auto"/>
          <w:sz w:val="24"/>
          <w:highlight w:val="none"/>
          <w:u w:val="single"/>
          <w:lang w:val="en-US" w:eastAsia="zh-CN"/>
        </w:rPr>
        <w:t>氯饼自动投加控制系统</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的组成部分，与主合同具有同等法律效力。</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二、甲方权责</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（二）落实生产营运等相关配合措施，提供必要的施工条件。</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（三）要求乙方遵守的甲方安全管理要求。</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1.按主合同相关条款进行经济扣罚；</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3.限制投保，或经其他单位承包后以分别方参与项目实施；</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4.向上级进行反映，包括但不限于广东省市政行业协会、广州市市政公路协会等。</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三、乙方权责</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（三）乙方应在合同签订后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3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（八）严格履行本协议，遵守甲方各项管理规定，服从管理。</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四、事故责任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五、补充条款：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六、附则</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hint="eastAsia" w:ascii="宋体" w:hAnsi="宋体" w:eastAsia="宋体" w:cs="宋体"/>
          <w:color w:val="auto"/>
          <w:sz w:val="24"/>
          <w:highlight w:val="none"/>
        </w:rPr>
      </w:pPr>
    </w:p>
    <w:tbl>
      <w:tblPr>
        <w:tblStyle w:val="24"/>
        <w:tblW w:w="8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vAlign w:val="top"/>
          </w:tcPr>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vAlign w:val="top"/>
          </w:tcPr>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 xml:space="preserve">                                   </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p>
          <w:p>
            <w:pPr>
              <w:adjustRightInd w:val="0"/>
              <w:snapToGrid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 xml:space="preserve"> 发包通知书</w:t>
      </w: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附件4.工程量清单</w:t>
      </w:r>
    </w:p>
    <w:p>
      <w:pPr>
        <w:pStyle w:val="6"/>
        <w:rPr>
          <w:rFonts w:hint="eastAsia"/>
          <w:color w:val="auto"/>
          <w:highlight w:val="none"/>
        </w:rPr>
      </w:pPr>
    </w:p>
    <w:p>
      <w:pPr>
        <w:pStyle w:val="6"/>
        <w:rPr>
          <w:rFonts w:hint="eastAsia" w:eastAsia="宋体"/>
          <w:color w:val="auto"/>
          <w:highlight w:val="none"/>
          <w:lang w:val="en-US" w:eastAsia="zh-CN"/>
        </w:rPr>
      </w:pPr>
      <w:r>
        <w:rPr>
          <w:rFonts w:hint="eastAsia" w:ascii="宋体" w:hAnsi="宋体" w:eastAsia="宋体" w:cs="宋体"/>
          <w:b/>
          <w:bCs/>
          <w:color w:val="auto"/>
          <w:szCs w:val="21"/>
          <w:highlight w:val="none"/>
          <w:lang w:val="en-US" w:eastAsia="zh-CN"/>
        </w:rPr>
        <w:t>项目一：</w:t>
      </w:r>
      <w:r>
        <w:rPr>
          <w:rFonts w:hint="eastAsia" w:ascii="宋体" w:hAnsi="宋体" w:eastAsia="宋体" w:cs="宋体"/>
          <w:b/>
          <w:bCs/>
          <w:color w:val="auto"/>
          <w:sz w:val="22"/>
          <w:szCs w:val="21"/>
          <w:highlight w:val="none"/>
          <w:lang w:val="en-US" w:eastAsia="zh-CN"/>
        </w:rPr>
        <w:t>2022年龙归分公司一期高压电房设备更换及发电机租赁</w:t>
      </w:r>
    </w:p>
    <w:tbl>
      <w:tblPr>
        <w:tblStyle w:val="23"/>
        <w:tblpPr w:leftFromText="180" w:rightFromText="180" w:vertAnchor="text" w:horzAnchor="page" w:tblpX="1597" w:tblpY="489"/>
        <w:tblOverlap w:val="never"/>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12"/>
        <w:gridCol w:w="3899"/>
        <w:gridCol w:w="1113"/>
        <w:gridCol w:w="435"/>
        <w:gridCol w:w="2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874"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1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548"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20"/>
                <w:szCs w:val="20"/>
                <w:highlight w:val="none"/>
                <w:u w:val="none"/>
              </w:rPr>
            </w:pPr>
          </w:p>
        </w:tc>
        <w:tc>
          <w:tcPr>
            <w:tcW w:w="22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1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501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65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更换配件清单</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发电机租赁清单</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2234.72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224"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预算价合计=1+2+3+5</w:t>
            </w:r>
          </w:p>
        </w:tc>
        <w:tc>
          <w:tcPr>
            <w:tcW w:w="265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bl>
    <w:tbl>
      <w:tblPr>
        <w:tblStyle w:val="23"/>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8"/>
        <w:gridCol w:w="345"/>
        <w:gridCol w:w="232"/>
        <w:gridCol w:w="611"/>
        <w:gridCol w:w="1456"/>
        <w:gridCol w:w="78"/>
        <w:gridCol w:w="526"/>
        <w:gridCol w:w="638"/>
        <w:gridCol w:w="542"/>
        <w:gridCol w:w="73"/>
        <w:gridCol w:w="27"/>
        <w:gridCol w:w="38"/>
        <w:gridCol w:w="773"/>
        <w:gridCol w:w="9"/>
        <w:gridCol w:w="299"/>
        <w:gridCol w:w="109"/>
        <w:gridCol w:w="470"/>
        <w:gridCol w:w="25"/>
        <w:gridCol w:w="152"/>
        <w:gridCol w:w="682"/>
        <w:gridCol w:w="17"/>
        <w:gridCol w:w="63"/>
        <w:gridCol w:w="25"/>
        <w:gridCol w:w="693"/>
        <w:gridCol w:w="304"/>
        <w:gridCol w:w="51"/>
        <w:gridCol w:w="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795" w:hRule="atLeast"/>
        </w:trPr>
        <w:tc>
          <w:tcPr>
            <w:tcW w:w="8686" w:type="dxa"/>
            <w:gridSpan w:val="26"/>
            <w:tcBorders>
              <w:top w:val="nil"/>
              <w:left w:val="nil"/>
              <w:bottom w:val="nil"/>
              <w:right w:val="nil"/>
            </w:tcBorders>
            <w:shd w:val="clear" w:color="FFFFFF" w:fill="FFFFFF"/>
            <w:tcMar>
              <w:top w:w="15" w:type="dxa"/>
              <w:left w:w="15" w:type="dxa"/>
              <w:right w:w="15" w:type="dxa"/>
            </w:tcMar>
            <w:vAlign w:val="center"/>
          </w:tcPr>
          <w:tbl>
            <w:tblPr>
              <w:tblStyle w:val="23"/>
              <w:tblW w:w="885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9"/>
              <w:gridCol w:w="1700"/>
              <w:gridCol w:w="2227"/>
              <w:gridCol w:w="6"/>
              <w:gridCol w:w="1227"/>
              <w:gridCol w:w="430"/>
              <w:gridCol w:w="6"/>
              <w:gridCol w:w="227"/>
              <w:gridCol w:w="605"/>
              <w:gridCol w:w="892"/>
              <w:gridCol w:w="673"/>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55"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9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4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7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222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2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更换配件清单</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030402017001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进线微机保护装置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1.名称:进线微机保护装置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2.型号:RDS200XFT（备自投 RDS200B）</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030404019001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接地刀闸检修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1.名称:接地刀闸检修</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030702001001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出线柜保护挡板</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1.名称:出线柜保护挡板</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2.规格:KYN28</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030402017002</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计量柜电压互感器</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1.名称:计量柜电压互感器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2.型号:10KV 进线计量 PT</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7287"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7287"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9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39591.84</w:t>
                  </w:r>
                </w:p>
              </w:tc>
              <w:tc>
                <w:tcPr>
                  <w:tcW w:w="67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8855" w:type="dxa"/>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79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663"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240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bl>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825" w:hRule="atLeast"/>
        </w:trPr>
        <w:tc>
          <w:tcPr>
            <w:tcW w:w="44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8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5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75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7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159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2234.72</w:t>
            </w: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57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57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286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235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540" w:hRule="atLeast"/>
        </w:trPr>
        <w:tc>
          <w:tcPr>
            <w:tcW w:w="448"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8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153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16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8686" w:type="dxa"/>
            <w:gridSpan w:val="2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12"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795" w:hRule="atLeast"/>
        </w:trPr>
        <w:tc>
          <w:tcPr>
            <w:tcW w:w="8686"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825"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825" w:hRule="atLeast"/>
        </w:trPr>
        <w:tc>
          <w:tcPr>
            <w:tcW w:w="44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8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5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75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7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88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36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360" w:hRule="atLeast"/>
        </w:trPr>
        <w:tc>
          <w:tcPr>
            <w:tcW w:w="5014"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12"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550" w:type="dxa"/>
            <w:gridSpan w:val="2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324" w:type="dxa"/>
            <w:gridSpan w:val="6"/>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796"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754"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324"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2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851"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23"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32"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543"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851"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23"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543"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96" w:type="dxa"/>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754" w:type="dxa"/>
            <w:gridSpan w:val="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324"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787"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746"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34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编号</w:t>
            </w:r>
          </w:p>
        </w:tc>
        <w:tc>
          <w:tcPr>
            <w:tcW w:w="229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60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125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暂定数量</w:t>
            </w:r>
          </w:p>
        </w:tc>
        <w:tc>
          <w:tcPr>
            <w:tcW w:w="125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实际数量</w:t>
            </w:r>
          </w:p>
        </w:tc>
        <w:tc>
          <w:tcPr>
            <w:tcW w:w="1434"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单价(元)</w:t>
            </w:r>
          </w:p>
        </w:tc>
        <w:tc>
          <w:tcPr>
            <w:tcW w:w="123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34"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w:t>
            </w: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发电机租赁清单</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燃油费</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w:t>
            </w: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25920</w:t>
            </w: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施工机具</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施工机具小计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4.企业管理费和利润</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         计</w:t>
            </w:r>
          </w:p>
        </w:tc>
        <w:tc>
          <w:tcPr>
            <w:tcW w:w="99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8874" w:type="dxa"/>
            <w:gridSpan w:val="2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87"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746" w:type="dxa"/>
            <w:gridSpan w:val="7"/>
            <w:tcBorders>
              <w:top w:val="nil"/>
              <w:left w:val="nil"/>
              <w:bottom w:val="nil"/>
              <w:right w:val="nil"/>
            </w:tcBorders>
            <w:shd w:val="clear" w:color="FFFFFF" w:fill="FFFFFF"/>
            <w:tcMar>
              <w:top w:w="15" w:type="dxa"/>
              <w:left w:w="15" w:type="dxa"/>
              <w:right w:w="15" w:type="dxa"/>
            </w:tcMar>
            <w:vAlign w:val="top"/>
          </w:tcPr>
          <w:p>
            <w:pPr>
              <w:jc w:val="center"/>
              <w:rPr>
                <w:rFonts w:hint="eastAsia" w:ascii="宋体" w:hAnsi="宋体" w:eastAsia="宋体" w:cs="宋体"/>
                <w:i w:val="0"/>
                <w:color w:val="auto"/>
                <w:sz w:val="18"/>
                <w:szCs w:val="18"/>
                <w:highlight w:val="none"/>
                <w:u w:val="none"/>
              </w:rPr>
            </w:pPr>
          </w:p>
        </w:tc>
        <w:tc>
          <w:tcPr>
            <w:tcW w:w="1341"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表—12—4</w:t>
            </w:r>
          </w:p>
        </w:tc>
      </w:tr>
    </w:tbl>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adjustRightInd w:val="0"/>
        <w:snapToGrid w:val="0"/>
        <w:spacing w:beforeLines="50" w:afterLines="50" w:line="600" w:lineRule="exact"/>
        <w:jc w:val="center"/>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项目二：龙归分公司2022年一期低压电房配电柜底座加固项目：</w:t>
      </w:r>
    </w:p>
    <w:tbl>
      <w:tblPr>
        <w:tblStyle w:val="23"/>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5"/>
        <w:gridCol w:w="1436"/>
        <w:gridCol w:w="2603"/>
        <w:gridCol w:w="984"/>
        <w:gridCol w:w="1074"/>
        <w:gridCol w:w="1074"/>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项目名称</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型号/规格</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单价</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千斤顶</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10T，螺旋式，最高行程下总高度≥700mm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花纹板</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500*500*5mm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块</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槽钢底座</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350*150*150*5mm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电缆</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KVV22 6*1.5</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临时电缆安装</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辅材</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含个人防护工具</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总价</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12"/>
        <w:tabs>
          <w:tab w:val="left" w:pos="1260"/>
        </w:tabs>
        <w:spacing w:line="500" w:lineRule="exact"/>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附件5：</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附件6：</w:t>
      </w:r>
    </w:p>
    <w:tbl>
      <w:tblPr>
        <w:tblStyle w:val="23"/>
        <w:tblpPr w:leftFromText="180" w:rightFromText="180" w:vertAnchor="text" w:horzAnchor="page" w:tblpX="952" w:tblpY="315"/>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shd w:val="clear" w:color="auto" w:fill="auto"/>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扣合同金额的0.5%～1%；</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2"/>
              <w:rPr>
                <w:rFonts w:hint="eastAsia"/>
                <w:color w:val="auto"/>
                <w:highlight w:val="none"/>
              </w:rPr>
            </w:pPr>
          </w:p>
        </w:tc>
      </w:tr>
    </w:tbl>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tbl>
      <w:tblPr>
        <w:tblStyle w:val="23"/>
        <w:tblpPr w:leftFromText="180" w:rightFromText="180" w:vertAnchor="text" w:horzAnchor="page" w:tblpX="844" w:tblpY="87"/>
        <w:tblOverlap w:val="never"/>
        <w:tblW w:w="10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shd w:val="clear" w:color="auto" w:fill="auto"/>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6"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1091"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3784" w:type="dxa"/>
            <w:gridSpan w:val="5"/>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2、监理单位考评只作为参考及履职依据，不计入考评，无监理单位不需填写；</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4、各分公司考评填写相应的得（扣）分数值，如奖2分则填写“2”，扣2分则填写“-2”；</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5、单项“综合考评”=项目部考评+公司考评；综合考评总分=各单项“综合考评”+100</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6、最后得分=综合考评总分X类别系数；</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2"/>
              <w:rPr>
                <w:rFonts w:hint="eastAsia"/>
                <w:color w:val="auto"/>
                <w:highlight w:val="none"/>
              </w:rPr>
            </w:pPr>
          </w:p>
        </w:tc>
      </w:tr>
    </w:tbl>
    <w:p>
      <w:pPr>
        <w:pStyle w:val="22"/>
        <w:rPr>
          <w:rFonts w:hint="eastAsia" w:ascii="宋体" w:hAnsi="宋体" w:cs="宋体"/>
          <w:b/>
          <w:bCs/>
          <w:color w:val="auto"/>
          <w:sz w:val="24"/>
          <w:szCs w:val="24"/>
          <w:highlight w:val="none"/>
          <w:lang w:val="en-US" w:eastAsia="zh-CN"/>
        </w:rPr>
      </w:pPr>
    </w:p>
    <w:p>
      <w:pPr>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spacing w:line="560" w:lineRule="exact"/>
        <w:ind w:firstLine="120" w:firstLineChars="50"/>
        <w:rPr>
          <w:rFonts w:hint="eastAsia" w:ascii="仿宋_GB2312" w:hAnsi="宋体" w:eastAsia="仿宋_GB2312"/>
          <w:b/>
          <w:color w:val="auto"/>
          <w:sz w:val="24"/>
          <w:highlight w:val="none"/>
          <w:lang w:val="en-US" w:eastAsia="zh-CN"/>
        </w:rPr>
      </w:pPr>
      <w:r>
        <w:rPr>
          <w:rFonts w:hint="eastAsia" w:ascii="仿宋_GB2312" w:hAnsi="宋体" w:eastAsia="仿宋_GB2312"/>
          <w:b/>
          <w:color w:val="auto"/>
          <w:sz w:val="24"/>
          <w:highlight w:val="none"/>
          <w:lang w:val="en-US" w:eastAsia="zh-CN"/>
        </w:rPr>
        <w:t>附件7：项目投入人员架构表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spacing w:line="560" w:lineRule="exact"/>
        <w:ind w:firstLine="120" w:firstLineChars="50"/>
        <w:rPr>
          <w:rFonts w:ascii="仿宋_GB2312" w:eastAsia="仿宋_GB2312"/>
          <w:b/>
          <w:color w:val="auto"/>
          <w:sz w:val="28"/>
          <w:szCs w:val="28"/>
          <w:highlight w:val="none"/>
        </w:rPr>
      </w:pPr>
      <w:r>
        <w:rPr>
          <w:rFonts w:hint="eastAsia" w:ascii="仿宋_GB2312" w:hAnsi="宋体" w:eastAsia="仿宋_GB2312"/>
          <w:b/>
          <w:color w:val="auto"/>
          <w:sz w:val="24"/>
          <w:highlight w:val="none"/>
          <w:lang w:val="en-US" w:eastAsia="zh-CN"/>
        </w:rPr>
        <w:t>附件8：防疫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color w:val="auto"/>
          <w:highlight w:val="none"/>
          <w:u w:val="single"/>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6"/>
          <w:rFonts w:hint="eastAsia" w:ascii="仿宋" w:hAnsi="仿宋" w:eastAsia="仿宋"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6"/>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3"/>
        <w:rPr>
          <w:rFonts w:hint="eastAsia"/>
          <w:color w:val="auto"/>
          <w:highlight w:val="none"/>
        </w:rPr>
      </w:pPr>
      <w:bookmarkStart w:id="116" w:name="_Toc8147"/>
      <w:bookmarkStart w:id="117" w:name="_Toc12169"/>
      <w:bookmarkStart w:id="118" w:name="_Toc30824"/>
      <w:bookmarkStart w:id="119" w:name="_Toc3723"/>
      <w:bookmarkStart w:id="120" w:name="_Toc1563"/>
      <w:bookmarkStart w:id="121" w:name="_Toc21847"/>
      <w:bookmarkStart w:id="122" w:name="_Toc28358"/>
      <w:bookmarkStart w:id="123" w:name="_Toc16552"/>
      <w:bookmarkStart w:id="124" w:name="_Toc5129"/>
      <w:bookmarkStart w:id="125" w:name="_Toc23515"/>
      <w:bookmarkStart w:id="126" w:name="_Toc6230"/>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6"/>
        <w:rPr>
          <w:color w:val="auto"/>
          <w:highlight w:val="none"/>
        </w:rPr>
      </w:pPr>
    </w:p>
    <w:p>
      <w:pPr>
        <w:pStyle w:val="3"/>
        <w:rPr>
          <w:color w:val="auto"/>
          <w:highlight w:val="none"/>
        </w:rPr>
      </w:pPr>
      <w:bookmarkStart w:id="127" w:name="_Toc22764"/>
      <w:bookmarkStart w:id="128" w:name="_Toc24815"/>
      <w:bookmarkStart w:id="129" w:name="_Toc31564"/>
      <w:bookmarkStart w:id="130" w:name="_Toc24490"/>
      <w:bookmarkStart w:id="131" w:name="_Toc12610"/>
      <w:bookmarkStart w:id="132" w:name="_Toc5342"/>
      <w:bookmarkStart w:id="133" w:name="_Toc12769"/>
      <w:bookmarkStart w:id="134" w:name="_Toc88209951"/>
      <w:bookmarkStart w:id="135" w:name="_Toc17119"/>
      <w:bookmarkStart w:id="136" w:name="_Toc87616388"/>
      <w:bookmarkStart w:id="137" w:name="_Toc30157"/>
      <w:bookmarkStart w:id="138" w:name="_Toc10840"/>
      <w:bookmarkStart w:id="139" w:name="_Toc21675"/>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eastAsia="方正小标宋简体" w:asciiTheme="minorHAnsi"/>
          <w:bCs/>
          <w:color w:val="auto"/>
          <w:kern w:val="44"/>
          <w:sz w:val="44"/>
          <w:szCs w:val="44"/>
          <w:highlight w:val="none"/>
          <w:lang w:val="en-US" w:eastAsia="zh-CN"/>
        </w:rPr>
        <w:t>广州市净水有限公司龙归分公司2022年一期高压电房设备更换及发电机租赁、</w:t>
      </w:r>
      <w:r>
        <w:rPr>
          <w:rFonts w:hint="eastAsia" w:eastAsia="方正小标宋简体" w:asciiTheme="minorHAnsi"/>
          <w:bCs/>
          <w:color w:val="auto"/>
          <w:kern w:val="44"/>
          <w:sz w:val="44"/>
          <w:szCs w:val="44"/>
          <w:highlight w:val="none"/>
          <w:u w:val="none"/>
          <w:lang w:val="en-US" w:eastAsia="zh-CN"/>
        </w:rPr>
        <w:t>一期低压电房配电柜底座加固</w:t>
      </w:r>
      <w:r>
        <w:rPr>
          <w:rFonts w:hint="eastAsia" w:eastAsia="方正小标宋简体" w:asciiTheme="minorHAnsi"/>
          <w:bCs/>
          <w:color w:val="auto"/>
          <w:kern w:val="44"/>
          <w:sz w:val="44"/>
          <w:szCs w:val="44"/>
          <w:highlight w:val="none"/>
          <w:lang w:val="en-US" w:eastAsia="zh-CN"/>
        </w:rPr>
        <w:t>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8209952"/>
      <w:bookmarkStart w:id="141" w:name="_Toc87616389"/>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8209953"/>
      <w:bookmarkStart w:id="143" w:name="_Toc87616390"/>
      <w:r>
        <w:rPr>
          <w:rFonts w:hint="eastAsia" w:ascii="仿宋_GB2312" w:eastAsia="仿宋_GB2312"/>
          <w:color w:val="auto"/>
          <w:sz w:val="28"/>
          <w:szCs w:val="28"/>
          <w:highlight w:val="none"/>
        </w:rPr>
        <w:t>2.法定代表人证明或授权委托书</w:t>
      </w:r>
      <w:bookmarkEnd w:id="142"/>
      <w:bookmarkEnd w:id="143"/>
      <w:bookmarkStart w:id="144" w:name="_Toc87616393"/>
      <w:bookmarkStart w:id="14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4"/>
      <w:bookmarkEnd w:id="14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6" w:name="_Toc88209957"/>
      <w:bookmarkStart w:id="147" w:name="_Toc12665"/>
      <w:bookmarkStart w:id="148" w:name="_Toc87616394"/>
      <w:bookmarkStart w:id="149" w:name="_Toc28619645"/>
      <w:bookmarkStart w:id="150" w:name="_Toc6313"/>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rPr>
          <w:rFonts w:asciiTheme="minorEastAsia" w:hAnsiTheme="minorEastAsia" w:eastAsiaTheme="minorEastAsia"/>
          <w:color w:val="auto"/>
          <w:sz w:val="28"/>
          <w:szCs w:val="28"/>
          <w:highlight w:val="none"/>
        </w:rPr>
      </w:pPr>
      <w:bookmarkStart w:id="151" w:name="_Toc29833"/>
      <w:bookmarkStart w:id="152" w:name="_Toc87616395"/>
      <w:bookmarkStart w:id="153" w:name="_Toc88209958"/>
      <w:bookmarkStart w:id="154" w:name="_Toc22527"/>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060" w:type="dxa"/>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19830"/>
      <w:bookmarkStart w:id="156" w:name="_Toc88209963"/>
      <w:bookmarkStart w:id="157" w:name="_Toc8086"/>
      <w:bookmarkStart w:id="158"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我方郑重承诺，在参与广州市净水有限公司龙归分公司2022年一期高压电房设备更换及发电机租赁、一期低压电房配电柜底座加固项目</w:t>
      </w:r>
      <w:bookmarkStart w:id="166" w:name="_GoBack"/>
      <w:bookmarkEnd w:id="166"/>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rPr>
          <w:rFonts w:hint="eastAsia" w:ascii="宋体" w:hAnsi="宋体" w:eastAsia="宋体" w:cs="宋体"/>
          <w:b w:val="0"/>
          <w:bCs/>
          <w:color w:val="auto"/>
          <w:sz w:val="22"/>
          <w:szCs w:val="22"/>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top"/>
          </w:tcPr>
          <w:p>
            <w:pPr>
              <w:jc w:val="center"/>
              <w:rPr>
                <w:rFonts w:ascii="仿宋" w:hAnsi="仿宋" w:eastAsia="仿宋" w:cs="仿宋_GB2312"/>
                <w:b/>
                <w:color w:val="auto"/>
                <w:sz w:val="28"/>
                <w:szCs w:val="28"/>
                <w:highlight w:val="none"/>
              </w:rPr>
            </w:pPr>
          </w:p>
        </w:tc>
        <w:tc>
          <w:tcPr>
            <w:tcW w:w="161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0" w:name="_Toc19423"/>
      <w:bookmarkStart w:id="16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0"/>
      <w:bookmarkEnd w:id="161"/>
    </w:p>
    <w:p>
      <w:pPr>
        <w:pStyle w:val="6"/>
        <w:rPr>
          <w:rFonts w:hint="eastAsia" w:eastAsia="宋体"/>
          <w:color w:val="auto"/>
          <w:highlight w:val="none"/>
          <w:lang w:val="en-US" w:eastAsia="zh-CN"/>
        </w:rPr>
      </w:pPr>
      <w:r>
        <w:rPr>
          <w:rFonts w:hint="eastAsia" w:ascii="宋体" w:hAnsi="宋体" w:eastAsia="宋体" w:cs="宋体"/>
          <w:b/>
          <w:bCs/>
          <w:color w:val="auto"/>
          <w:szCs w:val="21"/>
          <w:highlight w:val="none"/>
          <w:lang w:val="en-US" w:eastAsia="zh-CN"/>
        </w:rPr>
        <w:t>项目一：</w:t>
      </w:r>
      <w:r>
        <w:rPr>
          <w:rFonts w:hint="eastAsia" w:ascii="宋体" w:hAnsi="宋体" w:eastAsia="宋体" w:cs="宋体"/>
          <w:b/>
          <w:bCs/>
          <w:color w:val="auto"/>
          <w:sz w:val="22"/>
          <w:szCs w:val="21"/>
          <w:highlight w:val="none"/>
          <w:lang w:val="en-US" w:eastAsia="zh-CN"/>
        </w:rPr>
        <w:t>2022年龙归分公司一期高压电房设备更换及发电机租赁</w:t>
      </w:r>
    </w:p>
    <w:tbl>
      <w:tblPr>
        <w:tblStyle w:val="23"/>
        <w:tblpPr w:leftFromText="180" w:rightFromText="180" w:vertAnchor="text" w:horzAnchor="page" w:tblpX="1597" w:tblpY="489"/>
        <w:tblOverlap w:val="never"/>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12"/>
        <w:gridCol w:w="3899"/>
        <w:gridCol w:w="1113"/>
        <w:gridCol w:w="435"/>
        <w:gridCol w:w="2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4"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1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548"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20"/>
                <w:szCs w:val="20"/>
                <w:highlight w:val="none"/>
                <w:u w:val="none"/>
              </w:rPr>
            </w:pPr>
          </w:p>
        </w:tc>
        <w:tc>
          <w:tcPr>
            <w:tcW w:w="22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1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501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65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更换配件清单</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发电机租赁清单</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2234.72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224"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预算价合计=1+2+3+5</w:t>
            </w:r>
          </w:p>
        </w:tc>
        <w:tc>
          <w:tcPr>
            <w:tcW w:w="265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bl>
    <w:tbl>
      <w:tblPr>
        <w:tblStyle w:val="23"/>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8"/>
        <w:gridCol w:w="345"/>
        <w:gridCol w:w="232"/>
        <w:gridCol w:w="611"/>
        <w:gridCol w:w="1456"/>
        <w:gridCol w:w="78"/>
        <w:gridCol w:w="526"/>
        <w:gridCol w:w="638"/>
        <w:gridCol w:w="542"/>
        <w:gridCol w:w="73"/>
        <w:gridCol w:w="27"/>
        <w:gridCol w:w="38"/>
        <w:gridCol w:w="773"/>
        <w:gridCol w:w="9"/>
        <w:gridCol w:w="299"/>
        <w:gridCol w:w="109"/>
        <w:gridCol w:w="470"/>
        <w:gridCol w:w="25"/>
        <w:gridCol w:w="152"/>
        <w:gridCol w:w="682"/>
        <w:gridCol w:w="17"/>
        <w:gridCol w:w="63"/>
        <w:gridCol w:w="25"/>
        <w:gridCol w:w="693"/>
        <w:gridCol w:w="304"/>
        <w:gridCol w:w="51"/>
        <w:gridCol w:w="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795" w:hRule="atLeast"/>
        </w:trPr>
        <w:tc>
          <w:tcPr>
            <w:tcW w:w="8686" w:type="dxa"/>
            <w:gridSpan w:val="26"/>
            <w:tcBorders>
              <w:top w:val="nil"/>
              <w:left w:val="nil"/>
              <w:bottom w:val="nil"/>
              <w:right w:val="nil"/>
            </w:tcBorders>
            <w:shd w:val="clear" w:color="FFFFFF" w:fill="FFFFFF"/>
            <w:tcMar>
              <w:top w:w="15" w:type="dxa"/>
              <w:left w:w="15" w:type="dxa"/>
              <w:right w:w="15" w:type="dxa"/>
            </w:tcMar>
            <w:vAlign w:val="center"/>
          </w:tcPr>
          <w:tbl>
            <w:tblPr>
              <w:tblStyle w:val="23"/>
              <w:tblW w:w="885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9"/>
              <w:gridCol w:w="1700"/>
              <w:gridCol w:w="2227"/>
              <w:gridCol w:w="6"/>
              <w:gridCol w:w="1227"/>
              <w:gridCol w:w="430"/>
              <w:gridCol w:w="6"/>
              <w:gridCol w:w="227"/>
              <w:gridCol w:w="605"/>
              <w:gridCol w:w="892"/>
              <w:gridCol w:w="673"/>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55"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9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4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7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222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2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更换配件清单</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030402017001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进线微机保护装置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1.名称:进线微机保护装置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2.型号:RDS200XFT（备自投 RDS200B）</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030404019001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接地刀闸检修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1.名称:接地刀闸检修</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030702001001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出线柜保护挡板</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1.名称:出线柜保护挡板</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2.规格:KYN28</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030402017002</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计量柜电压互感器</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1.名称:计量柜电压互感器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2.型号:10KV 进线计量 PT</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7287"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7287"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9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855" w:type="dxa"/>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79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663"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240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bl>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4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8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5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75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7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159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2234.72</w:t>
            </w: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57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57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286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235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540" w:hRule="atLeast"/>
        </w:trPr>
        <w:tc>
          <w:tcPr>
            <w:tcW w:w="448"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8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153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16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8686" w:type="dxa"/>
            <w:gridSpan w:val="2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12"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795" w:hRule="atLeast"/>
        </w:trPr>
        <w:tc>
          <w:tcPr>
            <w:tcW w:w="8686"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825"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4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8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5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75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7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88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5014"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12"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550" w:type="dxa"/>
            <w:gridSpan w:val="2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324" w:type="dxa"/>
            <w:gridSpan w:val="6"/>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796"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754"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324"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2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851"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23"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32"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543"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851"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23"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543"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96" w:type="dxa"/>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754" w:type="dxa"/>
            <w:gridSpan w:val="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324"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787"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746"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34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编号</w:t>
            </w:r>
          </w:p>
        </w:tc>
        <w:tc>
          <w:tcPr>
            <w:tcW w:w="229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60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125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暂定数量</w:t>
            </w:r>
          </w:p>
        </w:tc>
        <w:tc>
          <w:tcPr>
            <w:tcW w:w="125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实际数量</w:t>
            </w:r>
          </w:p>
        </w:tc>
        <w:tc>
          <w:tcPr>
            <w:tcW w:w="1434"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单价(元)</w:t>
            </w:r>
          </w:p>
        </w:tc>
        <w:tc>
          <w:tcPr>
            <w:tcW w:w="123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34"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w:t>
            </w: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发电机租赁清单</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燃油费</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w:t>
            </w: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25920</w:t>
            </w: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施工机具</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施工机具小计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4.企业管理费和利润</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         计</w:t>
            </w:r>
          </w:p>
        </w:tc>
        <w:tc>
          <w:tcPr>
            <w:tcW w:w="99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8874" w:type="dxa"/>
            <w:gridSpan w:val="2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87"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746" w:type="dxa"/>
            <w:gridSpan w:val="7"/>
            <w:tcBorders>
              <w:top w:val="nil"/>
              <w:left w:val="nil"/>
              <w:bottom w:val="nil"/>
              <w:right w:val="nil"/>
            </w:tcBorders>
            <w:shd w:val="clear" w:color="FFFFFF" w:fill="FFFFFF"/>
            <w:tcMar>
              <w:top w:w="15" w:type="dxa"/>
              <w:left w:w="15" w:type="dxa"/>
              <w:right w:w="15" w:type="dxa"/>
            </w:tcMar>
            <w:vAlign w:val="top"/>
          </w:tcPr>
          <w:p>
            <w:pPr>
              <w:jc w:val="center"/>
              <w:rPr>
                <w:rFonts w:hint="eastAsia" w:ascii="宋体" w:hAnsi="宋体" w:eastAsia="宋体" w:cs="宋体"/>
                <w:i w:val="0"/>
                <w:color w:val="auto"/>
                <w:sz w:val="18"/>
                <w:szCs w:val="18"/>
                <w:highlight w:val="none"/>
                <w:u w:val="none"/>
              </w:rPr>
            </w:pPr>
          </w:p>
        </w:tc>
        <w:tc>
          <w:tcPr>
            <w:tcW w:w="1341"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表—12—4</w:t>
            </w:r>
          </w:p>
        </w:tc>
      </w:tr>
    </w:tbl>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adjustRightInd w:val="0"/>
        <w:snapToGrid w:val="0"/>
        <w:spacing w:beforeLines="50" w:afterLines="50" w:line="600" w:lineRule="exact"/>
        <w:jc w:val="center"/>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项目二：龙归分公司2022年一期低压电房配电柜底座加固项目：</w:t>
      </w:r>
    </w:p>
    <w:tbl>
      <w:tblPr>
        <w:tblStyle w:val="23"/>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5"/>
        <w:gridCol w:w="1436"/>
        <w:gridCol w:w="2603"/>
        <w:gridCol w:w="984"/>
        <w:gridCol w:w="1074"/>
        <w:gridCol w:w="1074"/>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项目名称</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型号/规格</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单价</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千斤顶</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10T，螺旋式，最高行程下总高度≥700mm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花纹板</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500*500*5mm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块</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槽钢底座</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350*150*150*5mm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电缆</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KVV22 6*1.5</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临时电缆安装</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辅材</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含个人防护工具</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总价</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62" w:name="_Toc16386"/>
      <w:bookmarkStart w:id="163" w:name="_Toc87616402"/>
      <w:bookmarkStart w:id="164" w:name="_Toc6058"/>
      <w:bookmarkStart w:id="16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3E3461"/>
    <w:rsid w:val="017C6362"/>
    <w:rsid w:val="01BB0F13"/>
    <w:rsid w:val="02090C75"/>
    <w:rsid w:val="02A23A3C"/>
    <w:rsid w:val="035D130A"/>
    <w:rsid w:val="039110A9"/>
    <w:rsid w:val="03AC246A"/>
    <w:rsid w:val="03AE6061"/>
    <w:rsid w:val="03B23056"/>
    <w:rsid w:val="03DA0020"/>
    <w:rsid w:val="03DA023E"/>
    <w:rsid w:val="03DC3EBA"/>
    <w:rsid w:val="03F9794D"/>
    <w:rsid w:val="046A2461"/>
    <w:rsid w:val="04C06D9E"/>
    <w:rsid w:val="051C2970"/>
    <w:rsid w:val="060C3611"/>
    <w:rsid w:val="06C64829"/>
    <w:rsid w:val="070E7B6E"/>
    <w:rsid w:val="071D62B7"/>
    <w:rsid w:val="077D16D2"/>
    <w:rsid w:val="082A69F3"/>
    <w:rsid w:val="08675FC8"/>
    <w:rsid w:val="09154959"/>
    <w:rsid w:val="09B713FD"/>
    <w:rsid w:val="09EF6ACC"/>
    <w:rsid w:val="0A315056"/>
    <w:rsid w:val="0AA213B4"/>
    <w:rsid w:val="0AF61C7E"/>
    <w:rsid w:val="0AFB45AD"/>
    <w:rsid w:val="0B351E9B"/>
    <w:rsid w:val="0B4C50D3"/>
    <w:rsid w:val="0B806B92"/>
    <w:rsid w:val="0B827E94"/>
    <w:rsid w:val="0B842F76"/>
    <w:rsid w:val="0BD070E1"/>
    <w:rsid w:val="0BD65B6B"/>
    <w:rsid w:val="0BE74194"/>
    <w:rsid w:val="0C2361E7"/>
    <w:rsid w:val="0C236E63"/>
    <w:rsid w:val="0C247926"/>
    <w:rsid w:val="0C933979"/>
    <w:rsid w:val="0D794204"/>
    <w:rsid w:val="0E2125D1"/>
    <w:rsid w:val="0E214211"/>
    <w:rsid w:val="0E5F2769"/>
    <w:rsid w:val="0F4D75A3"/>
    <w:rsid w:val="0F5B2DCA"/>
    <w:rsid w:val="0FCB77DB"/>
    <w:rsid w:val="0FD03863"/>
    <w:rsid w:val="0FED051E"/>
    <w:rsid w:val="0FEE4C29"/>
    <w:rsid w:val="10031608"/>
    <w:rsid w:val="10046082"/>
    <w:rsid w:val="104974DD"/>
    <w:rsid w:val="10C80C4E"/>
    <w:rsid w:val="111703D2"/>
    <w:rsid w:val="112B101A"/>
    <w:rsid w:val="11441B21"/>
    <w:rsid w:val="119B53FC"/>
    <w:rsid w:val="1215733B"/>
    <w:rsid w:val="12424CDC"/>
    <w:rsid w:val="129A2738"/>
    <w:rsid w:val="12B56BF1"/>
    <w:rsid w:val="12CB1A89"/>
    <w:rsid w:val="131840FB"/>
    <w:rsid w:val="13467417"/>
    <w:rsid w:val="136E76CF"/>
    <w:rsid w:val="141310EA"/>
    <w:rsid w:val="145F08C6"/>
    <w:rsid w:val="14D56A06"/>
    <w:rsid w:val="14E43F59"/>
    <w:rsid w:val="15776308"/>
    <w:rsid w:val="15BC6B3C"/>
    <w:rsid w:val="160D1C4E"/>
    <w:rsid w:val="16360A7B"/>
    <w:rsid w:val="164D40B0"/>
    <w:rsid w:val="1694429A"/>
    <w:rsid w:val="17635326"/>
    <w:rsid w:val="179C3C92"/>
    <w:rsid w:val="17B803EA"/>
    <w:rsid w:val="1815096B"/>
    <w:rsid w:val="18236EFD"/>
    <w:rsid w:val="189D5B1F"/>
    <w:rsid w:val="18A34CD0"/>
    <w:rsid w:val="19A53EA8"/>
    <w:rsid w:val="19B64DBC"/>
    <w:rsid w:val="19EC6A4A"/>
    <w:rsid w:val="1A373ACF"/>
    <w:rsid w:val="1A7B10BA"/>
    <w:rsid w:val="1A895341"/>
    <w:rsid w:val="1B0D071F"/>
    <w:rsid w:val="1B4568CE"/>
    <w:rsid w:val="1B4C56B8"/>
    <w:rsid w:val="1B9015B7"/>
    <w:rsid w:val="1B950DA6"/>
    <w:rsid w:val="1BF54245"/>
    <w:rsid w:val="1D0E6976"/>
    <w:rsid w:val="1D5A79EE"/>
    <w:rsid w:val="1E0E2CD0"/>
    <w:rsid w:val="1E562965"/>
    <w:rsid w:val="1E831280"/>
    <w:rsid w:val="1EBC4704"/>
    <w:rsid w:val="1F172EB5"/>
    <w:rsid w:val="1F94592D"/>
    <w:rsid w:val="1FB860DE"/>
    <w:rsid w:val="203C5A02"/>
    <w:rsid w:val="209D4C94"/>
    <w:rsid w:val="20B44FCD"/>
    <w:rsid w:val="20E84705"/>
    <w:rsid w:val="218400BA"/>
    <w:rsid w:val="21AB1E2F"/>
    <w:rsid w:val="21D40498"/>
    <w:rsid w:val="22493963"/>
    <w:rsid w:val="226C69B4"/>
    <w:rsid w:val="22767047"/>
    <w:rsid w:val="236B2A0F"/>
    <w:rsid w:val="237C4C1C"/>
    <w:rsid w:val="23A05588"/>
    <w:rsid w:val="240476A1"/>
    <w:rsid w:val="25431AEB"/>
    <w:rsid w:val="25BE3BFB"/>
    <w:rsid w:val="25BF43FD"/>
    <w:rsid w:val="25F86BCD"/>
    <w:rsid w:val="2605748B"/>
    <w:rsid w:val="262477ED"/>
    <w:rsid w:val="26396D26"/>
    <w:rsid w:val="264544A6"/>
    <w:rsid w:val="267702FB"/>
    <w:rsid w:val="269E416A"/>
    <w:rsid w:val="26C11C6B"/>
    <w:rsid w:val="272100D3"/>
    <w:rsid w:val="272C72FC"/>
    <w:rsid w:val="275131CB"/>
    <w:rsid w:val="278F6521"/>
    <w:rsid w:val="27EB149D"/>
    <w:rsid w:val="27FD3E52"/>
    <w:rsid w:val="28E11370"/>
    <w:rsid w:val="294A756A"/>
    <w:rsid w:val="29781BF8"/>
    <w:rsid w:val="29C33ED0"/>
    <w:rsid w:val="29D5322D"/>
    <w:rsid w:val="2A025DD9"/>
    <w:rsid w:val="2A2619CB"/>
    <w:rsid w:val="2A7C2231"/>
    <w:rsid w:val="2A8B2657"/>
    <w:rsid w:val="2A920E4F"/>
    <w:rsid w:val="2ABB753D"/>
    <w:rsid w:val="2AFE6EC4"/>
    <w:rsid w:val="2B7A49FA"/>
    <w:rsid w:val="2C615D26"/>
    <w:rsid w:val="2CB679ED"/>
    <w:rsid w:val="2D173C07"/>
    <w:rsid w:val="2D424A86"/>
    <w:rsid w:val="2DDA66B7"/>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035AFA"/>
    <w:rsid w:val="32324C2E"/>
    <w:rsid w:val="327171DF"/>
    <w:rsid w:val="3391569E"/>
    <w:rsid w:val="341E3434"/>
    <w:rsid w:val="34BB4442"/>
    <w:rsid w:val="34F85FE0"/>
    <w:rsid w:val="3584136B"/>
    <w:rsid w:val="35FF5AA4"/>
    <w:rsid w:val="360B7EBA"/>
    <w:rsid w:val="36107446"/>
    <w:rsid w:val="36416867"/>
    <w:rsid w:val="3676374D"/>
    <w:rsid w:val="367D5DD4"/>
    <w:rsid w:val="369C32FD"/>
    <w:rsid w:val="37075CB6"/>
    <w:rsid w:val="37666E72"/>
    <w:rsid w:val="37A16410"/>
    <w:rsid w:val="38081EA3"/>
    <w:rsid w:val="38167A04"/>
    <w:rsid w:val="381C3783"/>
    <w:rsid w:val="384B3661"/>
    <w:rsid w:val="394B167A"/>
    <w:rsid w:val="39DA2868"/>
    <w:rsid w:val="3A055F4B"/>
    <w:rsid w:val="3A3F02FA"/>
    <w:rsid w:val="3A4E4336"/>
    <w:rsid w:val="3A6007FE"/>
    <w:rsid w:val="3A802587"/>
    <w:rsid w:val="3A852164"/>
    <w:rsid w:val="3AF93D6C"/>
    <w:rsid w:val="3AFD06C8"/>
    <w:rsid w:val="3B7C2CE4"/>
    <w:rsid w:val="3B9A1C8B"/>
    <w:rsid w:val="3BAF716B"/>
    <w:rsid w:val="3C0B5355"/>
    <w:rsid w:val="3CB015D4"/>
    <w:rsid w:val="3CD4176B"/>
    <w:rsid w:val="3D1F44D9"/>
    <w:rsid w:val="3D5C38CD"/>
    <w:rsid w:val="3E0D22B5"/>
    <w:rsid w:val="3E5070F1"/>
    <w:rsid w:val="3EC370CB"/>
    <w:rsid w:val="3F6C3589"/>
    <w:rsid w:val="3F850180"/>
    <w:rsid w:val="3F9004D6"/>
    <w:rsid w:val="3FEE7CFA"/>
    <w:rsid w:val="400E4D5E"/>
    <w:rsid w:val="40E1138C"/>
    <w:rsid w:val="413814BA"/>
    <w:rsid w:val="41476074"/>
    <w:rsid w:val="41800F0E"/>
    <w:rsid w:val="41872511"/>
    <w:rsid w:val="41DF1251"/>
    <w:rsid w:val="424236D9"/>
    <w:rsid w:val="42466655"/>
    <w:rsid w:val="42C82F57"/>
    <w:rsid w:val="435707E5"/>
    <w:rsid w:val="4365527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7FC5A7C"/>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A17D0F"/>
    <w:rsid w:val="4ADA1F63"/>
    <w:rsid w:val="4AE23D89"/>
    <w:rsid w:val="4B2038D0"/>
    <w:rsid w:val="4B296E7D"/>
    <w:rsid w:val="4B79394E"/>
    <w:rsid w:val="4B877F28"/>
    <w:rsid w:val="4C147D09"/>
    <w:rsid w:val="4C1A2EC5"/>
    <w:rsid w:val="4D5C7FEA"/>
    <w:rsid w:val="4D916BA6"/>
    <w:rsid w:val="4DC44169"/>
    <w:rsid w:val="4DE24E21"/>
    <w:rsid w:val="4E1B19A3"/>
    <w:rsid w:val="4E48787F"/>
    <w:rsid w:val="4EF0709E"/>
    <w:rsid w:val="4F0469A4"/>
    <w:rsid w:val="500E56F4"/>
    <w:rsid w:val="50540C73"/>
    <w:rsid w:val="50752AF8"/>
    <w:rsid w:val="50806FEB"/>
    <w:rsid w:val="51346E43"/>
    <w:rsid w:val="513C6A7B"/>
    <w:rsid w:val="5209326F"/>
    <w:rsid w:val="52EC6EC2"/>
    <w:rsid w:val="532D486F"/>
    <w:rsid w:val="5333545B"/>
    <w:rsid w:val="533F3D6F"/>
    <w:rsid w:val="538D0E89"/>
    <w:rsid w:val="5450213C"/>
    <w:rsid w:val="546711F3"/>
    <w:rsid w:val="54D24048"/>
    <w:rsid w:val="54D64CD5"/>
    <w:rsid w:val="5532287C"/>
    <w:rsid w:val="55887D69"/>
    <w:rsid w:val="56160149"/>
    <w:rsid w:val="561A0928"/>
    <w:rsid w:val="56423872"/>
    <w:rsid w:val="569E06BC"/>
    <w:rsid w:val="56B279F0"/>
    <w:rsid w:val="56F20F86"/>
    <w:rsid w:val="570404A9"/>
    <w:rsid w:val="579D710E"/>
    <w:rsid w:val="57D367F9"/>
    <w:rsid w:val="581F22F6"/>
    <w:rsid w:val="586E1E17"/>
    <w:rsid w:val="58862C35"/>
    <w:rsid w:val="58C14957"/>
    <w:rsid w:val="58CC23D2"/>
    <w:rsid w:val="58E66050"/>
    <w:rsid w:val="590C6D63"/>
    <w:rsid w:val="59FC7994"/>
    <w:rsid w:val="5A2433DF"/>
    <w:rsid w:val="5A3F32C7"/>
    <w:rsid w:val="5AE83A50"/>
    <w:rsid w:val="5B353193"/>
    <w:rsid w:val="5BAB2917"/>
    <w:rsid w:val="5BFC33FA"/>
    <w:rsid w:val="5C221B16"/>
    <w:rsid w:val="5C3107A4"/>
    <w:rsid w:val="5C3B1B93"/>
    <w:rsid w:val="5C844151"/>
    <w:rsid w:val="5C9220DF"/>
    <w:rsid w:val="5D4A15F3"/>
    <w:rsid w:val="5D69542A"/>
    <w:rsid w:val="5D783B72"/>
    <w:rsid w:val="5E0930EF"/>
    <w:rsid w:val="5E3D4D53"/>
    <w:rsid w:val="5E4717E6"/>
    <w:rsid w:val="5E55774C"/>
    <w:rsid w:val="5E8A70FF"/>
    <w:rsid w:val="5FE57153"/>
    <w:rsid w:val="60045F96"/>
    <w:rsid w:val="60104DDC"/>
    <w:rsid w:val="604A1623"/>
    <w:rsid w:val="605C0804"/>
    <w:rsid w:val="60802CD4"/>
    <w:rsid w:val="60913E6F"/>
    <w:rsid w:val="61733C3E"/>
    <w:rsid w:val="6189617B"/>
    <w:rsid w:val="61B52BB6"/>
    <w:rsid w:val="61B749C2"/>
    <w:rsid w:val="62280D20"/>
    <w:rsid w:val="628C4B85"/>
    <w:rsid w:val="62B4786E"/>
    <w:rsid w:val="62CA2457"/>
    <w:rsid w:val="62D13935"/>
    <w:rsid w:val="638240A1"/>
    <w:rsid w:val="63833423"/>
    <w:rsid w:val="63A5257B"/>
    <w:rsid w:val="63BD3DCC"/>
    <w:rsid w:val="63C61741"/>
    <w:rsid w:val="644E2F41"/>
    <w:rsid w:val="64560967"/>
    <w:rsid w:val="656B1D10"/>
    <w:rsid w:val="65B841F9"/>
    <w:rsid w:val="66022B28"/>
    <w:rsid w:val="664A38E2"/>
    <w:rsid w:val="66581E87"/>
    <w:rsid w:val="66FA11D5"/>
    <w:rsid w:val="674302C7"/>
    <w:rsid w:val="67CB09D8"/>
    <w:rsid w:val="67EE3B0F"/>
    <w:rsid w:val="680A5986"/>
    <w:rsid w:val="680D5F4B"/>
    <w:rsid w:val="68113F51"/>
    <w:rsid w:val="68306E82"/>
    <w:rsid w:val="68E94770"/>
    <w:rsid w:val="68F949C9"/>
    <w:rsid w:val="695A4290"/>
    <w:rsid w:val="6A334932"/>
    <w:rsid w:val="6A3353FF"/>
    <w:rsid w:val="6A5D63E6"/>
    <w:rsid w:val="6A5F24D1"/>
    <w:rsid w:val="6A6A17FD"/>
    <w:rsid w:val="6ACA70C4"/>
    <w:rsid w:val="6AE347EB"/>
    <w:rsid w:val="6B330365"/>
    <w:rsid w:val="6B434AF0"/>
    <w:rsid w:val="6B57675A"/>
    <w:rsid w:val="6B87098A"/>
    <w:rsid w:val="6BDD7B4D"/>
    <w:rsid w:val="6EBC0B3A"/>
    <w:rsid w:val="6EF51C7D"/>
    <w:rsid w:val="6F8363E5"/>
    <w:rsid w:val="6F841DCF"/>
    <w:rsid w:val="6FA80CCD"/>
    <w:rsid w:val="6FAC3CC5"/>
    <w:rsid w:val="6FC746F5"/>
    <w:rsid w:val="6FD93226"/>
    <w:rsid w:val="70317AC6"/>
    <w:rsid w:val="704B26F7"/>
    <w:rsid w:val="70697B21"/>
    <w:rsid w:val="70863262"/>
    <w:rsid w:val="709D12FB"/>
    <w:rsid w:val="70A76ED3"/>
    <w:rsid w:val="71860B17"/>
    <w:rsid w:val="723B27CC"/>
    <w:rsid w:val="72687227"/>
    <w:rsid w:val="72A03FD9"/>
    <w:rsid w:val="73406CFF"/>
    <w:rsid w:val="7383028C"/>
    <w:rsid w:val="73A25E44"/>
    <w:rsid w:val="73E535F7"/>
    <w:rsid w:val="741F68CF"/>
    <w:rsid w:val="75252DF3"/>
    <w:rsid w:val="75374893"/>
    <w:rsid w:val="754817F7"/>
    <w:rsid w:val="75621536"/>
    <w:rsid w:val="75BF3154"/>
    <w:rsid w:val="75F54F9C"/>
    <w:rsid w:val="764A07CF"/>
    <w:rsid w:val="764F6B3D"/>
    <w:rsid w:val="76CD2B7B"/>
    <w:rsid w:val="76D80645"/>
    <w:rsid w:val="76E03371"/>
    <w:rsid w:val="771211AA"/>
    <w:rsid w:val="780E5898"/>
    <w:rsid w:val="782642CC"/>
    <w:rsid w:val="7894095E"/>
    <w:rsid w:val="78964555"/>
    <w:rsid w:val="78CF4963"/>
    <w:rsid w:val="78D67AA0"/>
    <w:rsid w:val="79000679"/>
    <w:rsid w:val="791C0FE5"/>
    <w:rsid w:val="795958C5"/>
    <w:rsid w:val="79A416F0"/>
    <w:rsid w:val="79B03EB6"/>
    <w:rsid w:val="79B61437"/>
    <w:rsid w:val="7AE15A5C"/>
    <w:rsid w:val="7AF00E92"/>
    <w:rsid w:val="7AF37579"/>
    <w:rsid w:val="7AF87F64"/>
    <w:rsid w:val="7B1C0C84"/>
    <w:rsid w:val="7B5A62DF"/>
    <w:rsid w:val="7B7A04A8"/>
    <w:rsid w:val="7C05211E"/>
    <w:rsid w:val="7C0C3F6D"/>
    <w:rsid w:val="7C22163C"/>
    <w:rsid w:val="7C457B4B"/>
    <w:rsid w:val="7C595075"/>
    <w:rsid w:val="7C6B07B2"/>
    <w:rsid w:val="7D133243"/>
    <w:rsid w:val="7D945420"/>
    <w:rsid w:val="7E394207"/>
    <w:rsid w:val="7E4007A2"/>
    <w:rsid w:val="7E791CAD"/>
    <w:rsid w:val="7EA50DFB"/>
    <w:rsid w:val="7EC86878"/>
    <w:rsid w:val="7F16390D"/>
    <w:rsid w:val="7F752917"/>
    <w:rsid w:val="7F78623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Table Paragraph"/>
    <w:basedOn w:val="1"/>
    <w:qFormat/>
    <w:uiPriority w:val="1"/>
    <w:pPr>
      <w:autoSpaceDE w:val="0"/>
      <w:autoSpaceDN w:val="0"/>
      <w:adjustRightInd w:val="0"/>
      <w:jc w:val="left"/>
    </w:pPr>
    <w:rPr>
      <w:kern w:val="0"/>
      <w:sz w:val="24"/>
    </w:rPr>
  </w:style>
  <w:style w:type="paragraph" w:customStyle="1" w:styleId="47">
    <w:name w:val="普通正文"/>
    <w:basedOn w:val="1"/>
    <w:qFormat/>
    <w:uiPriority w:val="99"/>
    <w:pPr>
      <w:spacing w:line="360" w:lineRule="auto"/>
      <w:ind w:left="34"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32820</Words>
  <Characters>35263</Characters>
  <Lines>300</Lines>
  <Paragraphs>84</Paragraphs>
  <TotalTime>23</TotalTime>
  <ScaleCrop>false</ScaleCrop>
  <LinksUpToDate>false</LinksUpToDate>
  <CharactersWithSpaces>38313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2022-08-09T00:59:00Z</cp:lastPrinted>
  <dcterms:modified xsi:type="dcterms:W3CDTF">2022-08-19T08:51:24Z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5D4F55ACC3554DC68690AB4365CAE709</vt:lpwstr>
  </property>
</Properties>
</file>