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lang w:val="en-US" w:eastAsia="zh-CN"/>
        </w:rPr>
        <w:t>广州城市水处理设备有限公司柔性加热器采购项目</w:t>
      </w:r>
      <w:r>
        <w:rPr>
          <w:rFonts w:hint="eastAsia" w:ascii="宋体" w:hAnsi="宋体" w:eastAsia="宋体" w:cs="宋体"/>
          <w:b/>
          <w:bCs/>
          <w:color w:val="auto"/>
          <w:sz w:val="52"/>
          <w:szCs w:val="52"/>
          <w:highlight w:val="none"/>
        </w:rPr>
        <w:t>采购文件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二〇二二年</w:t>
      </w: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26148"/>
      <w:bookmarkStart w:id="1" w:name="_Toc18145"/>
    </w:p>
    <w:p>
      <w:pPr>
        <w:rPr>
          <w:rFonts w:ascii="宋体" w:hAnsi="宋体" w:eastAsia="宋体" w:cs="宋体"/>
          <w:color w:val="auto"/>
          <w:highlight w:val="none"/>
        </w:rPr>
      </w:pPr>
    </w:p>
    <w:p>
      <w:pPr>
        <w:rPr>
          <w:rFonts w:ascii="宋体" w:hAnsi="宋体" w:eastAsia="宋体" w:cs="宋体"/>
          <w:color w:val="auto"/>
          <w:highlight w:val="none"/>
        </w:rPr>
      </w:pPr>
      <w:bookmarkStart w:id="2" w:name="_Toc17696"/>
      <w:bookmarkStart w:id="3" w:name="_Toc1711"/>
    </w:p>
    <w:p>
      <w:pPr>
        <w:rPr>
          <w:rFonts w:ascii="宋体" w:hAnsi="宋体"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4" w:name="_Toc4275"/>
      <w:bookmarkStart w:id="5" w:name="_Toc19609"/>
      <w:bookmarkStart w:id="6" w:name="_Toc31938"/>
      <w:bookmarkStart w:id="7" w:name="_Toc11322"/>
      <w:bookmarkStart w:id="8" w:name="_Toc7519"/>
      <w:bookmarkStart w:id="9" w:name="_Toc1669"/>
      <w:bookmarkStart w:id="10" w:name="_Toc17801"/>
    </w:p>
    <w:p>
      <w:pPr>
        <w:pStyle w:val="2"/>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1" w:name="_Toc26363"/>
      <w:bookmarkStart w:id="12" w:name="_Toc5230"/>
      <w:bookmarkStart w:id="13" w:name="_Toc14238"/>
      <w:bookmarkStart w:id="14" w:name="_Toc2659"/>
      <w:bookmarkStart w:id="15" w:name="_Toc28995"/>
      <w:bookmarkStart w:id="16" w:name="_Toc30989"/>
      <w:bookmarkStart w:id="17" w:name="_Toc8201"/>
      <w:bookmarkStart w:id="18" w:name="_Toc88209924"/>
      <w:bookmarkStart w:id="19" w:name="_Toc999"/>
      <w:bookmarkStart w:id="20" w:name="_Toc10122"/>
      <w:bookmarkStart w:id="21" w:name="_Toc30131"/>
      <w:bookmarkStart w:id="22" w:name="_Toc15709"/>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5"/>
        <w:spacing w:line="600" w:lineRule="exact"/>
        <w:rPr>
          <w:rFonts w:hint="eastAsia" w:ascii="宋体" w:hAnsi="宋体" w:eastAsia="宋体" w:cs="宋体"/>
          <w:color w:val="auto"/>
          <w:highlight w:val="none"/>
        </w:rPr>
      </w:pPr>
      <w:bookmarkStart w:id="23" w:name="_Toc21373"/>
      <w:bookmarkStart w:id="24" w:name="_Toc9680"/>
      <w:r>
        <w:rPr>
          <w:rFonts w:hint="eastAsia" w:ascii="宋体" w:hAnsi="宋体" w:eastAsia="宋体" w:cs="宋体"/>
          <w:color w:val="auto"/>
          <w:highlight w:val="none"/>
          <w:lang w:val="en-US" w:eastAsia="zh-CN"/>
        </w:rPr>
        <w:t>广州城市水处理设备有限公司柔性加热器采购项目</w:t>
      </w:r>
    </w:p>
    <w:p>
      <w:pPr>
        <w:pStyle w:val="5"/>
        <w:spacing w:line="600" w:lineRule="exact"/>
        <w:rPr>
          <w:rFonts w:ascii="宋体" w:hAnsi="宋体" w:eastAsia="宋体" w:cs="宋体"/>
          <w:color w:val="auto"/>
          <w:highlight w:val="none"/>
        </w:rPr>
      </w:pPr>
      <w:r>
        <w:rPr>
          <w:rFonts w:hint="eastAsia" w:ascii="宋体" w:hAnsi="宋体" w:eastAsia="宋体" w:cs="宋体"/>
          <w:color w:val="auto"/>
          <w:highlight w:val="none"/>
        </w:rPr>
        <w:t>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广州城市水处理设备有限公司柔性加热器采购项目</w:t>
      </w:r>
      <w:r>
        <w:rPr>
          <w:rFonts w:hint="eastAsia" w:ascii="宋体" w:hAnsi="宋体" w:eastAsia="宋体" w:cs="宋体"/>
          <w:color w:val="auto"/>
          <w:sz w:val="28"/>
          <w:szCs w:val="28"/>
          <w:highlight w:val="none"/>
        </w:rPr>
        <w:t>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1.1采购项目名称：</w:t>
      </w:r>
      <w:r>
        <w:rPr>
          <w:rFonts w:hint="eastAsia" w:ascii="宋体" w:hAnsi="宋体" w:eastAsia="宋体" w:cs="宋体"/>
          <w:color w:val="auto"/>
          <w:sz w:val="28"/>
          <w:szCs w:val="28"/>
          <w:highlight w:val="none"/>
          <w:lang w:val="en-US" w:eastAsia="zh-CN"/>
        </w:rPr>
        <w:t>广州城市水处理设备有限公司柔性加热器采购</w:t>
      </w:r>
    </w:p>
    <w:p>
      <w:pPr>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1.2项目编号：</w:t>
      </w:r>
      <w:r>
        <w:rPr>
          <w:rFonts w:hint="eastAsia" w:ascii="宋体" w:hAnsi="宋体" w:eastAsia="宋体" w:cs="宋体"/>
          <w:color w:val="auto"/>
          <w:sz w:val="28"/>
          <w:szCs w:val="28"/>
          <w:highlight w:val="none"/>
          <w:lang w:val="en-US" w:eastAsia="zh-CN"/>
        </w:rPr>
        <w:t>穗净水设备询[2022]007号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 xml:space="preserve">自有资金  </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rPr>
        <w:t>9</w:t>
      </w:r>
      <w:r>
        <w:rPr>
          <w:rFonts w:hint="eastAsia" w:ascii="宋体" w:hAnsi="宋体" w:eastAsia="宋体" w:cs="宋体"/>
          <w:color w:val="auto"/>
          <w:sz w:val="28"/>
          <w:szCs w:val="28"/>
          <w:highlight w:val="none"/>
          <w:u w:val="single"/>
          <w:lang w:val="en-US" w:eastAsia="zh-CN"/>
        </w:rPr>
        <w:t>7500</w:t>
      </w:r>
      <w:r>
        <w:rPr>
          <w:rFonts w:hint="eastAsia" w:ascii="宋体" w:hAnsi="宋体" w:eastAsia="宋体" w:cs="宋体"/>
          <w:color w:val="auto"/>
          <w:sz w:val="28"/>
          <w:szCs w:val="28"/>
          <w:highlight w:val="none"/>
          <w:u w:val="single"/>
        </w:rPr>
        <w:t>.00元，其中不含税价为</w:t>
      </w:r>
      <w:r>
        <w:rPr>
          <w:rFonts w:hint="eastAsia" w:ascii="宋体" w:hAnsi="宋体" w:eastAsia="宋体" w:cs="宋体"/>
          <w:color w:val="auto"/>
          <w:sz w:val="28"/>
          <w:szCs w:val="28"/>
          <w:highlight w:val="none"/>
          <w:u w:val="single"/>
          <w:lang w:val="en-US" w:eastAsia="zh-CN"/>
        </w:rPr>
        <w:t>86283.19</w:t>
      </w:r>
      <w:r>
        <w:rPr>
          <w:rFonts w:hint="eastAsia" w:ascii="宋体" w:hAnsi="宋体" w:eastAsia="宋体" w:cs="宋体"/>
          <w:color w:val="auto"/>
          <w:sz w:val="28"/>
          <w:szCs w:val="28"/>
          <w:highlight w:val="none"/>
          <w:u w:val="single"/>
        </w:rPr>
        <w:t>元，税率13%.</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5"/>
        <w:tblpPr w:leftFromText="180" w:rightFromText="180" w:vertAnchor="text" w:horzAnchor="page" w:tblpX="1825" w:tblpY="297"/>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10"/>
        <w:gridCol w:w="1575"/>
        <w:gridCol w:w="1515"/>
        <w:gridCol w:w="19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序号</w:t>
            </w:r>
          </w:p>
        </w:tc>
        <w:tc>
          <w:tcPr>
            <w:tcW w:w="1710"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设备名称</w:t>
            </w:r>
          </w:p>
        </w:tc>
        <w:tc>
          <w:tcPr>
            <w:tcW w:w="1575"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单位</w:t>
            </w:r>
          </w:p>
        </w:tc>
        <w:tc>
          <w:tcPr>
            <w:tcW w:w="1515"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工作功率</w:t>
            </w:r>
          </w:p>
        </w:tc>
        <w:tc>
          <w:tcPr>
            <w:tcW w:w="1935" w:type="dxa"/>
            <w:noWrap w:val="0"/>
            <w:vAlign w:val="center"/>
          </w:tcPr>
          <w:p>
            <w:pPr>
              <w:pStyle w:val="1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数量</w:t>
            </w:r>
          </w:p>
        </w:tc>
        <w:tc>
          <w:tcPr>
            <w:tcW w:w="1320" w:type="dxa"/>
            <w:noWrap w:val="0"/>
            <w:vAlign w:val="center"/>
          </w:tcPr>
          <w:p>
            <w:pPr>
              <w:pStyle w:val="1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w:t>
            </w:r>
          </w:p>
        </w:tc>
        <w:tc>
          <w:tcPr>
            <w:tcW w:w="171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柔性加热器</w:t>
            </w:r>
          </w:p>
        </w:tc>
        <w:tc>
          <w:tcPr>
            <w:tcW w:w="1575"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151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5kW</w:t>
            </w:r>
          </w:p>
        </w:tc>
        <w:tc>
          <w:tcPr>
            <w:tcW w:w="193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320" w:type="dxa"/>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6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171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柔性加热器</w:t>
            </w:r>
          </w:p>
        </w:tc>
        <w:tc>
          <w:tcPr>
            <w:tcW w:w="1575"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1515"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12kW</w:t>
            </w:r>
          </w:p>
        </w:tc>
        <w:tc>
          <w:tcPr>
            <w:tcW w:w="193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320" w:type="dxa"/>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bl>
    <w:p>
      <w:pPr>
        <w:adjustRightInd w:val="0"/>
        <w:snapToGrid w:val="0"/>
        <w:spacing w:line="600" w:lineRule="exact"/>
        <w:ind w:firstLine="560" w:firstLineChars="20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上述货物供货时需提供设备维修保养手册，使用说明书，设备生产合格证或厂家提供的产品合格证明。必须是全新合格产品，并能正常使用。</w:t>
      </w:r>
    </w:p>
    <w:p>
      <w:pPr>
        <w:pStyle w:val="10"/>
        <w:ind w:firstLine="560" w:firstLineChars="200"/>
        <w:rPr>
          <w:rFonts w:hint="eastAsia" w:ascii="宋体" w:hAnsi="宋体" w:eastAsia="宋体" w:cs="宋体"/>
          <w:color w:val="auto"/>
          <w:sz w:val="28"/>
          <w:szCs w:val="28"/>
          <w:highlight w:val="none"/>
        </w:rPr>
      </w:pP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45</w:t>
      </w:r>
      <w:r>
        <w:rPr>
          <w:rFonts w:hint="eastAsia" w:ascii="宋体" w:hAnsi="宋体" w:eastAsia="宋体" w:cs="宋体"/>
          <w:color w:val="auto"/>
          <w:sz w:val="28"/>
          <w:szCs w:val="28"/>
          <w:highlight w:val="none"/>
          <w:u w:val="single"/>
        </w:rPr>
        <w:t xml:space="preserve">天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服从</w:t>
      </w:r>
      <w:r>
        <w:rPr>
          <w:rFonts w:hint="eastAsia" w:ascii="宋体" w:hAnsi="宋体" w:eastAsia="宋体" w:cs="宋体"/>
          <w:color w:val="auto"/>
          <w:sz w:val="28"/>
          <w:szCs w:val="28"/>
          <w:highlight w:val="none"/>
          <w:u w:val="single"/>
        </w:rPr>
        <w:t>广州城市水处理设备有限公司</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广州市净水有限公司</w:t>
      </w:r>
      <w:r>
        <w:rPr>
          <w:rFonts w:hint="eastAsia" w:ascii="宋体" w:hAnsi="宋体" w:eastAsia="宋体" w:cs="宋体"/>
          <w:color w:val="auto"/>
          <w:sz w:val="28"/>
          <w:szCs w:val="28"/>
          <w:highlight w:val="none"/>
          <w:u w:val="none"/>
          <w:lang w:val="en-US" w:eastAsia="zh-CN"/>
        </w:rPr>
        <w:t xml:space="preserve">的具体施工安排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业绩要求：2019年1月1日至今，最少有一个本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询价</w:t>
      </w:r>
      <w:r>
        <w:rPr>
          <w:rFonts w:hint="eastAsia" w:ascii="宋体" w:hAnsi="宋体" w:eastAsia="宋体" w:cs="宋体"/>
          <w:color w:val="auto"/>
          <w:sz w:val="28"/>
          <w:szCs w:val="28"/>
          <w:highlight w:val="none"/>
        </w:rPr>
        <w:t>货物</w:t>
      </w:r>
      <w:r>
        <w:rPr>
          <w:rFonts w:hint="eastAsia" w:ascii="宋体" w:hAnsi="宋体" w:eastAsia="宋体" w:cs="宋体"/>
          <w:color w:val="auto"/>
          <w:sz w:val="28"/>
          <w:szCs w:val="28"/>
          <w:highlight w:val="none"/>
          <w:lang w:val="en-US" w:eastAsia="zh-CN"/>
        </w:rPr>
        <w:t>同类型产品</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adjustRightInd w:val="0"/>
        <w:snapToGrid w:val="0"/>
        <w:spacing w:line="600" w:lineRule="exact"/>
        <w:jc w:val="left"/>
        <w:rPr>
          <w:rFonts w:hint="eastAsia" w:ascii="仿宋" w:hAnsi="仿宋" w:eastAsia="仿宋" w:cs="仿宋"/>
          <w:color w:val="auto"/>
          <w:sz w:val="28"/>
          <w:szCs w:val="28"/>
          <w:highlight w:val="none"/>
          <w:u w:val="single"/>
          <w:lang w:eastAsia="zh-CN"/>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）报价人须出具承诺函（设备制造商除外），承诺所提供报价设备均为</w:t>
      </w:r>
      <w:r>
        <w:rPr>
          <w:rFonts w:hint="eastAsia" w:ascii="宋体" w:hAnsi="宋体" w:eastAsia="宋体" w:cs="宋体"/>
          <w:color w:val="auto"/>
          <w:sz w:val="28"/>
          <w:szCs w:val="28"/>
          <w:highlight w:val="none"/>
          <w:lang w:val="en-US" w:eastAsia="zh-CN"/>
        </w:rPr>
        <w:t>全新原装</w:t>
      </w:r>
      <w:r>
        <w:rPr>
          <w:rFonts w:hint="eastAsia" w:ascii="宋体" w:hAnsi="宋体" w:eastAsia="宋体" w:cs="宋体"/>
          <w:color w:val="auto"/>
          <w:sz w:val="28"/>
          <w:szCs w:val="28"/>
          <w:highlight w:val="none"/>
          <w:lang w:val="zh-CN"/>
        </w:rPr>
        <w:t>产品</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加盖单位公章</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若报价人非报价设备的制造商，则须出具生产厂家的销售项目授权书</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复印件需加盖报价单位公章</w:t>
      </w:r>
      <w:r>
        <w:rPr>
          <w:rFonts w:hint="eastAsia" w:ascii="宋体" w:hAnsi="宋体" w:eastAsia="宋体" w:cs="宋体"/>
          <w:color w:val="auto"/>
          <w:sz w:val="28"/>
          <w:szCs w:val="28"/>
          <w:highlight w:val="none"/>
          <w:lang w:val="zh-CN" w:eastAsia="zh-CN"/>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从2022年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日至2022年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18</w:t>
      </w:r>
      <w:bookmarkStart w:id="206" w:name="_GoBack"/>
      <w:bookmarkEnd w:id="206"/>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6.1递交响应文件截止时间：2022年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日10时00分前（北京时间）。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ascii="宋体" w:hAnsi="宋体" w:eastAsia="宋体" w:cs="宋体"/>
          <w:color w:val="auto"/>
          <w:sz w:val="28"/>
          <w:szCs w:val="28"/>
          <w:highlight w:val="none"/>
          <w:lang w:val="zh-CN"/>
        </w:rPr>
        <w:t>广州市</w:t>
      </w:r>
      <w:r>
        <w:rPr>
          <w:rFonts w:hint="eastAsia" w:ascii="宋体" w:hAnsi="宋体" w:eastAsia="宋体" w:cs="宋体"/>
          <w:color w:val="auto"/>
          <w:sz w:val="28"/>
          <w:szCs w:val="28"/>
          <w:highlight w:val="none"/>
        </w:rPr>
        <w:t>荔湾</w:t>
      </w:r>
      <w:r>
        <w:rPr>
          <w:rFonts w:hint="eastAsia" w:ascii="宋体" w:hAnsi="宋体" w:eastAsia="宋体" w:cs="宋体"/>
          <w:color w:val="auto"/>
          <w:sz w:val="28"/>
          <w:szCs w:val="28"/>
          <w:highlight w:val="none"/>
          <w:lang w:val="zh-CN"/>
        </w:rPr>
        <w:t>区</w:t>
      </w:r>
      <w:r>
        <w:rPr>
          <w:rFonts w:hint="eastAsia" w:ascii="宋体" w:hAnsi="宋体" w:eastAsia="宋体" w:cs="宋体"/>
          <w:color w:val="auto"/>
          <w:sz w:val="28"/>
          <w:szCs w:val="28"/>
          <w:highlight w:val="none"/>
        </w:rPr>
        <w:t>桥中南路7号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w:t>
      </w:r>
      <w:r>
        <w:rPr>
          <w:rFonts w:hint="eastAsia" w:ascii="宋体" w:hAnsi="宋体" w:eastAsia="宋体" w:cs="宋体"/>
          <w:color w:val="auto"/>
          <w:sz w:val="28"/>
          <w:szCs w:val="28"/>
          <w:highlight w:val="none"/>
          <w:lang w:val="en-US" w:eastAsia="zh-CN"/>
        </w:rPr>
        <w:t>净水有限公司</w:t>
      </w:r>
      <w:r>
        <w:rPr>
          <w:rFonts w:hint="eastAsia" w:ascii="宋体" w:hAnsi="宋体" w:eastAsia="宋体" w:cs="宋体"/>
          <w:color w:val="auto"/>
          <w:sz w:val="28"/>
          <w:szCs w:val="28"/>
          <w:highlight w:val="none"/>
        </w:rPr>
        <w:t>大坦沙净水厂。</w:t>
      </w:r>
    </w:p>
    <w:p>
      <w:pPr>
        <w:pStyle w:val="2"/>
        <w:ind w:firstLine="560" w:firstLineChars="200"/>
        <w:rPr>
          <w:rFonts w:hint="eastAsia" w:eastAsia="宋体" w:cs="宋体"/>
          <w:color w:val="auto"/>
          <w:highlight w:val="none"/>
          <w:lang w:eastAsia="zh-CN"/>
        </w:rPr>
      </w:pPr>
      <w:r>
        <w:rPr>
          <w:rFonts w:hint="eastAsia" w:eastAsia="宋体" w:cs="宋体"/>
          <w:color w:val="auto"/>
          <w:sz w:val="28"/>
          <w:szCs w:val="28"/>
          <w:highlight w:val="none"/>
        </w:rPr>
        <w:t>防疫要求：基于疫情防控形势，授权委托人须通过“广州净水公司”微信公众号（提前）预约，填写访客预约信息（包括：1.近14天内行程有异地中高风险地区及所在的地级市（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盟、州、直辖市的区）旅居史的来（返）穗人员拒绝来访；2.近14天行程内有异地本土疫情报告的地级市（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eastAsia="宋体" w:cs="宋体"/>
          <w:color w:val="auto"/>
          <w:sz w:val="28"/>
          <w:szCs w:val="28"/>
          <w:highlight w:val="none"/>
          <w:lang w:eastAsia="zh-CN"/>
        </w:rPr>
        <w:t>。</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val="en-US" w:eastAsia="zh-CN"/>
        </w:rPr>
        <w:t>广州城市水处理设备有限公司</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val="en-US" w:eastAsia="zh-CN"/>
        </w:rPr>
        <w:t>020-81761207</w:t>
      </w:r>
      <w:r>
        <w:rPr>
          <w:rFonts w:hint="eastAsia" w:ascii="宋体" w:hAnsi="宋体" w:eastAsia="宋体" w:cs="宋体"/>
          <w:color w:val="auto"/>
          <w:sz w:val="28"/>
          <w:szCs w:val="28"/>
          <w:highlight w:val="none"/>
        </w:rPr>
        <w:t>。</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10.联系方式</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联系人：蔡工</w:t>
      </w:r>
    </w:p>
    <w:p>
      <w:pPr>
        <w:pStyle w:val="2"/>
        <w:ind w:firstLine="0"/>
        <w:rPr>
          <w:rFonts w:hint="default" w:eastAsia="宋体" w:cs="宋体"/>
          <w:color w:val="auto"/>
          <w:sz w:val="28"/>
          <w:szCs w:val="28"/>
          <w:highlight w:val="none"/>
          <w:lang w:val="en-US" w:eastAsia="zh-CN"/>
        </w:rPr>
      </w:pPr>
      <w:r>
        <w:rPr>
          <w:rFonts w:hint="eastAsia" w:eastAsia="宋体" w:cs="宋体"/>
          <w:color w:val="auto"/>
          <w:sz w:val="28"/>
          <w:szCs w:val="28"/>
          <w:highlight w:val="none"/>
        </w:rPr>
        <w:t>电  话：1</w:t>
      </w:r>
      <w:r>
        <w:rPr>
          <w:rFonts w:hint="eastAsia" w:eastAsia="宋体" w:cs="宋体"/>
          <w:color w:val="auto"/>
          <w:sz w:val="28"/>
          <w:szCs w:val="28"/>
          <w:highlight w:val="none"/>
          <w:lang w:val="en-US" w:eastAsia="zh-CN"/>
        </w:rPr>
        <w:t>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2022年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eastAsia="宋体" w:cs="宋体"/>
          <w:color w:val="auto"/>
          <w:highlight w:val="none"/>
        </w:rPr>
      </w:pPr>
    </w:p>
    <w:p>
      <w:pPr>
        <w:pStyle w:val="4"/>
        <w:rPr>
          <w:rFonts w:ascii="宋体" w:hAnsi="宋体" w:eastAsia="宋体" w:cs="宋体"/>
          <w:color w:val="auto"/>
          <w:highlight w:val="none"/>
        </w:rPr>
      </w:pPr>
      <w:bookmarkStart w:id="26" w:name="_Toc9448"/>
      <w:bookmarkStart w:id="27" w:name="_Toc16705"/>
      <w:bookmarkStart w:id="28" w:name="_Toc16557"/>
      <w:bookmarkStart w:id="29" w:name="_Toc7340"/>
      <w:bookmarkStart w:id="30" w:name="_Toc19295"/>
      <w:bookmarkStart w:id="31" w:name="_Toc32588"/>
      <w:bookmarkStart w:id="32" w:name="_Toc23749"/>
      <w:bookmarkStart w:id="33" w:name="_Toc2331"/>
      <w:bookmarkStart w:id="34" w:name="_Toc25603"/>
      <w:bookmarkStart w:id="35" w:name="_Toc2324"/>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eastAsia="宋体" w:cs="宋体"/>
          <w:color w:val="auto"/>
          <w:highlight w:val="none"/>
        </w:rPr>
      </w:pPr>
    </w:p>
    <w:p>
      <w:pPr>
        <w:pStyle w:val="5"/>
        <w:rPr>
          <w:rFonts w:ascii="宋体" w:hAnsi="宋体" w:eastAsia="宋体" w:cs="宋体"/>
          <w:color w:val="auto"/>
          <w:highlight w:val="none"/>
        </w:rPr>
      </w:pPr>
      <w:bookmarkStart w:id="36" w:name="_Toc3416"/>
      <w:bookmarkStart w:id="37" w:name="_Toc2339"/>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adjustRightInd w:val="0"/>
        <w:snapToGrid w:val="0"/>
        <w:spacing w:before="190" w:beforeLines="50" w:after="190" w:afterLines="50" w:line="600" w:lineRule="exact"/>
        <w:ind w:left="0" w:firstLine="0" w:firstLineChars="0"/>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color w:val="auto"/>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rPr>
        <w:t>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5"/>
        <w:rPr>
          <w:rFonts w:ascii="宋体" w:hAnsi="宋体" w:eastAsia="宋体" w:cs="宋体"/>
          <w:color w:val="auto"/>
          <w:kern w:val="44"/>
          <w:sz w:val="44"/>
          <w:szCs w:val="44"/>
          <w:highlight w:val="none"/>
        </w:rPr>
      </w:pPr>
      <w:bookmarkStart w:id="38" w:name="_Toc21455"/>
      <w:bookmarkStart w:id="39" w:name="_Toc2867"/>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5"/>
        <w:rPr>
          <w:rFonts w:ascii="宋体" w:hAnsi="宋体" w:eastAsia="宋体" w:cs="宋体"/>
          <w:color w:val="auto"/>
          <w:highlight w:val="none"/>
        </w:rPr>
      </w:pPr>
      <w:bookmarkStart w:id="40" w:name="_Toc7040"/>
      <w:bookmarkStart w:id="41" w:name="_Toc88209934"/>
      <w:bookmarkStart w:id="42" w:name="_Toc87616371"/>
      <w:bookmarkStart w:id="43" w:name="_Toc7303"/>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5"/>
        <w:rPr>
          <w:rFonts w:ascii="宋体" w:hAnsi="宋体" w:eastAsia="宋体" w:cs="宋体"/>
          <w:color w:val="auto"/>
          <w:highlight w:val="none"/>
        </w:rPr>
      </w:pPr>
      <w:r>
        <w:rPr>
          <w:rFonts w:hint="eastAsia" w:ascii="宋体" w:hAnsi="宋体" w:eastAsia="宋体" w:cs="宋体"/>
          <w:color w:val="auto"/>
          <w:highlight w:val="none"/>
        </w:rPr>
        <w:t>询比采购</w:t>
      </w: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adjustRightInd w:val="0"/>
        <w:snapToGrid w:val="0"/>
        <w:spacing w:line="600" w:lineRule="exact"/>
        <w:jc w:val="left"/>
        <w:rPr>
          <w:rFonts w:hint="eastAsia"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询比地址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广州市荔湾区桥中南路7号广州净水有限公司大坦沙净水厂</w:t>
            </w:r>
          </w:p>
          <w:p>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2"/>
        <w:rPr>
          <w:rFonts w:eastAsia="宋体" w:cs="宋体"/>
          <w:color w:val="auto"/>
          <w:sz w:val="28"/>
          <w:szCs w:val="28"/>
          <w:highlight w:val="none"/>
        </w:rPr>
      </w:pPr>
    </w:p>
    <w:p>
      <w:pPr>
        <w:pStyle w:val="4"/>
        <w:rPr>
          <w:rFonts w:ascii="宋体" w:hAnsi="宋体" w:eastAsia="宋体" w:cs="宋体"/>
          <w:color w:val="auto"/>
          <w:highlight w:val="none"/>
        </w:rPr>
      </w:pPr>
      <w:bookmarkStart w:id="44" w:name="_Toc3156"/>
      <w:bookmarkStart w:id="45" w:name="_Toc14870"/>
      <w:bookmarkStart w:id="46" w:name="_Toc7118"/>
      <w:bookmarkStart w:id="47" w:name="_Toc19759"/>
      <w:bookmarkStart w:id="48" w:name="_Toc23581"/>
      <w:bookmarkStart w:id="49" w:name="_Toc10930"/>
      <w:bookmarkStart w:id="50" w:name="_Toc4952"/>
      <w:bookmarkStart w:id="51" w:name="_Toc14552"/>
      <w:bookmarkStart w:id="52" w:name="_Toc20594"/>
      <w:bookmarkStart w:id="53" w:name="_Toc19050"/>
      <w:bookmarkStart w:id="54" w:name="_Toc7437"/>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55" w:name="_Toc32607"/>
      <w:bookmarkStart w:id="56" w:name="_Toc21079"/>
      <w:bookmarkStart w:id="57" w:name="_Toc88209941"/>
      <w:bookmarkStart w:id="58" w:name="_Toc29484"/>
      <w:bookmarkStart w:id="59" w:name="_Toc12177"/>
      <w:bookmarkStart w:id="60" w:name="_Toc22212"/>
      <w:bookmarkStart w:id="61" w:name="_Toc29345"/>
      <w:bookmarkStart w:id="62" w:name="_Toc13898"/>
      <w:bookmarkStart w:id="63" w:name="_Toc7831"/>
      <w:bookmarkStart w:id="64" w:name="_Toc87616378"/>
      <w:bookmarkStart w:id="65" w:name="_Toc21840"/>
      <w:bookmarkStart w:id="66" w:name="_Toc30530"/>
      <w:bookmarkStart w:id="67" w:name="_Toc6308"/>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6826"/>
      <w:bookmarkStart w:id="69" w:name="_Toc23033"/>
      <w:r>
        <w:rPr>
          <w:rFonts w:hint="eastAsia" w:ascii="宋体" w:hAnsi="宋体" w:eastAsia="宋体" w:cs="宋体"/>
          <w:color w:val="auto"/>
          <w:highlight w:val="none"/>
        </w:rPr>
        <w:br w:type="page"/>
      </w:r>
    </w:p>
    <w:p>
      <w:pPr>
        <w:pStyle w:val="5"/>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5"/>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
        <w:rPr>
          <w:rFonts w:eastAsia="宋体" w:cs="宋体"/>
          <w:color w:val="auto"/>
          <w:szCs w:val="44"/>
          <w:highlight w:val="none"/>
        </w:rPr>
      </w:pPr>
    </w:p>
    <w:p>
      <w:pPr>
        <w:pStyle w:val="2"/>
        <w:rPr>
          <w:rFonts w:eastAsia="宋体" w:cs="宋体"/>
          <w:color w:val="auto"/>
          <w:szCs w:val="44"/>
          <w:highlight w:val="none"/>
        </w:rPr>
      </w:pPr>
    </w:p>
    <w:p>
      <w:pPr>
        <w:pStyle w:val="2"/>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3"/>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我司维修车间业务扩张，加热器数量不足，为提高维修效率，需采购2台柔性加热器，拟采购的两台设备的工作功率为5kW及12kW。</w:t>
      </w:r>
    </w:p>
    <w:p>
      <w:pPr>
        <w:pStyle w:val="13"/>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highlight w:val="none"/>
          <w:lang w:val="zh-CN"/>
        </w:rPr>
      </w:pPr>
      <w:r>
        <w:rPr>
          <w:rFonts w:hint="eastAsia" w:ascii="宋体" w:hAnsi="宋体" w:eastAsia="宋体" w:cs="宋体"/>
          <w:color w:val="auto"/>
          <w:sz w:val="24"/>
          <w:szCs w:val="24"/>
          <w:highlight w:val="none"/>
          <w:lang w:val="en-US" w:eastAsia="zh-CN"/>
        </w:rPr>
        <w:t>中选单位需按采购清单及需求参数的要求进行供货，货物必须符合国家法律法规规定的标准、行业标准；所有货物必须有原厂产品合格证并与送货之日移交至</w:t>
      </w:r>
      <w:r>
        <w:rPr>
          <w:rFonts w:hint="eastAsia" w:ascii="宋体" w:hAnsi="宋体" w:eastAsia="宋体" w:cs="宋体"/>
          <w:color w:val="auto"/>
          <w:sz w:val="24"/>
          <w:szCs w:val="24"/>
          <w:highlight w:val="none"/>
          <w:lang w:val="zh-CN" w:eastAsia="zh-CN"/>
        </w:rPr>
        <w:t>广州</w:t>
      </w:r>
      <w:r>
        <w:rPr>
          <w:rFonts w:hint="eastAsia" w:ascii="宋体" w:hAnsi="宋体" w:eastAsia="宋体" w:cs="宋体"/>
          <w:color w:val="auto"/>
          <w:sz w:val="24"/>
          <w:szCs w:val="24"/>
          <w:highlight w:val="none"/>
          <w:lang w:val="en-US" w:eastAsia="zh-CN"/>
        </w:rPr>
        <w:t>城市水处理设备</w:t>
      </w:r>
      <w:r>
        <w:rPr>
          <w:rFonts w:hint="eastAsia" w:ascii="宋体" w:hAnsi="宋体" w:eastAsia="宋体" w:cs="宋体"/>
          <w:color w:val="auto"/>
          <w:sz w:val="24"/>
          <w:szCs w:val="24"/>
          <w:highlight w:val="none"/>
          <w:lang w:val="zh-CN" w:eastAsia="zh-CN"/>
        </w:rPr>
        <w:t>有限公司</w:t>
      </w:r>
      <w:r>
        <w:rPr>
          <w:rFonts w:hint="eastAsia" w:ascii="宋体" w:hAnsi="宋体" w:eastAsia="宋体" w:cs="宋体"/>
          <w:color w:val="auto"/>
          <w:sz w:val="24"/>
          <w:szCs w:val="24"/>
          <w:highlight w:val="none"/>
          <w:lang w:val="en-US" w:eastAsia="zh-CN"/>
        </w:rPr>
        <w:t xml:space="preserve">指定地点。所供货物必须为原厂全新产品，中选单位禁止向询价人提供二手产品、拆机件、翻新件。 </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1.采购清单：</w:t>
      </w:r>
    </w:p>
    <w:tbl>
      <w:tblPr>
        <w:tblStyle w:val="25"/>
        <w:tblpPr w:leftFromText="180" w:rightFromText="180" w:vertAnchor="text" w:horzAnchor="page" w:tblpX="1637" w:tblpY="297"/>
        <w:tblOverlap w:val="never"/>
        <w:tblW w:w="51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1980"/>
        <w:gridCol w:w="1362"/>
        <w:gridCol w:w="1708"/>
        <w:gridCol w:w="1668"/>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55"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098"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设备名称</w:t>
            </w:r>
          </w:p>
        </w:tc>
        <w:tc>
          <w:tcPr>
            <w:tcW w:w="755"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c>
          <w:tcPr>
            <w:tcW w:w="947"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工作功率</w:t>
            </w:r>
          </w:p>
        </w:tc>
        <w:tc>
          <w:tcPr>
            <w:tcW w:w="925"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016"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55"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p>
        </w:tc>
        <w:tc>
          <w:tcPr>
            <w:tcW w:w="1098"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柔性加热器</w:t>
            </w:r>
          </w:p>
        </w:tc>
        <w:tc>
          <w:tcPr>
            <w:tcW w:w="755"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947"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5kW</w:t>
            </w:r>
          </w:p>
        </w:tc>
        <w:tc>
          <w:tcPr>
            <w:tcW w:w="925"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16" w:type="pct"/>
            <w:vAlign w:val="center"/>
          </w:tcPr>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55"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98"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柔性加热器</w:t>
            </w:r>
          </w:p>
        </w:tc>
        <w:tc>
          <w:tcPr>
            <w:tcW w:w="755"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947"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12kW</w:t>
            </w:r>
          </w:p>
        </w:tc>
        <w:tc>
          <w:tcPr>
            <w:tcW w:w="925" w:type="pct"/>
            <w:vAlign w:val="center"/>
          </w:tcPr>
          <w:p>
            <w:pPr>
              <w:tabs>
                <w:tab w:val="left" w:pos="270"/>
                <w:tab w:val="left" w:pos="4324"/>
                <w:tab w:val="left" w:pos="5062"/>
                <w:tab w:val="left" w:pos="5800"/>
                <w:tab w:val="left" w:pos="6645"/>
                <w:tab w:val="left" w:pos="8382"/>
              </w:tabs>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16" w:type="pct"/>
            <w:vAlign w:val="center"/>
          </w:tcPr>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p>
        </w:tc>
      </w:tr>
    </w:tbl>
    <w:p>
      <w:pPr>
        <w:adjustRightInd w:val="0"/>
        <w:snapToGrid w:val="0"/>
        <w:spacing w:line="360" w:lineRule="auto"/>
        <w:ind w:firstLine="560" w:firstLineChars="200"/>
        <w:rPr>
          <w:rFonts w:hint="eastAsia" w:ascii="仿宋" w:hAnsi="仿宋" w:eastAsia="仿宋" w:cs="仿宋"/>
          <w:kern w:val="0"/>
          <w:sz w:val="28"/>
          <w:szCs w:val="28"/>
          <w:highlight w:val="none"/>
          <w:lang w:val="en-US" w:eastAsia="zh-CN"/>
        </w:rPr>
      </w:pP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2.需求参数：（注：报价的设备参数须完全满足以下的设备参数要求，报价时须提供参数响应承诺书）</w:t>
      </w:r>
    </w:p>
    <w:p>
      <w:pPr>
        <w:adjustRightInd w:val="0"/>
        <w:snapToGrid w:val="0"/>
        <w:spacing w:line="360" w:lineRule="auto"/>
        <w:ind w:firstLine="960"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2.1柔性加热器（12kW）：</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2.1.1使用需求：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（1）工件类型：轴承内圈、联轴器；</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（2）加热作用：加热后，拆卸。</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2.1.2工件信息：</w:t>
      </w:r>
    </w:p>
    <w:tbl>
      <w:tblPr>
        <w:tblStyle w:val="25"/>
        <w:tblW w:w="94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320"/>
        <w:gridCol w:w="1305"/>
        <w:gridCol w:w="1260"/>
        <w:gridCol w:w="1320"/>
        <w:gridCol w:w="139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5" w:type="dxa"/>
          </w:tcPr>
          <w:p>
            <w:pPr>
              <w:adjustRightInd w:val="0"/>
              <w:snapToGrid w:val="0"/>
              <w:spacing w:line="360" w:lineRule="auto"/>
              <w:jc w:val="center"/>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工件类型</w:t>
            </w:r>
          </w:p>
        </w:tc>
        <w:tc>
          <w:tcPr>
            <w:tcW w:w="1320" w:type="dxa"/>
          </w:tcPr>
          <w:p>
            <w:pPr>
              <w:adjustRightInd w:val="0"/>
              <w:snapToGrid w:val="0"/>
              <w:spacing w:line="360" w:lineRule="auto"/>
              <w:jc w:val="center"/>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最小外径</w:t>
            </w:r>
          </w:p>
        </w:tc>
        <w:tc>
          <w:tcPr>
            <w:tcW w:w="1305"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最大外径</w:t>
            </w:r>
          </w:p>
        </w:tc>
        <w:tc>
          <w:tcPr>
            <w:tcW w:w="126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最小宽度</w:t>
            </w:r>
          </w:p>
        </w:tc>
        <w:tc>
          <w:tcPr>
            <w:tcW w:w="132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最大宽度</w:t>
            </w:r>
          </w:p>
        </w:tc>
        <w:tc>
          <w:tcPr>
            <w:tcW w:w="1395"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最小壁厚</w:t>
            </w:r>
          </w:p>
        </w:tc>
        <w:tc>
          <w:tcPr>
            <w:tcW w:w="153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最大壁厚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轴承内圈</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55</w:t>
            </w:r>
          </w:p>
        </w:tc>
        <w:tc>
          <w:tcPr>
            <w:tcW w:w="130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100</w:t>
            </w:r>
          </w:p>
        </w:tc>
        <w:tc>
          <w:tcPr>
            <w:tcW w:w="126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25</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50</w:t>
            </w:r>
          </w:p>
        </w:tc>
        <w:tc>
          <w:tcPr>
            <w:tcW w:w="139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53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联轴器</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65</w:t>
            </w:r>
          </w:p>
        </w:tc>
        <w:tc>
          <w:tcPr>
            <w:tcW w:w="130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100</w:t>
            </w:r>
          </w:p>
        </w:tc>
        <w:tc>
          <w:tcPr>
            <w:tcW w:w="126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90</w:t>
            </w:r>
          </w:p>
        </w:tc>
        <w:tc>
          <w:tcPr>
            <w:tcW w:w="139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c>
          <w:tcPr>
            <w:tcW w:w="153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r>
    </w:tbl>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2.1.3技术参数：</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（1）采购的加热器为中频加热器，采用IGBT 和全空冷式感应加热。</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（2）参数配置表：</w:t>
      </w:r>
    </w:p>
    <w:p>
      <w:pPr>
        <w:pStyle w:val="2"/>
        <w:rPr>
          <w:rFonts w:hint="eastAsia"/>
          <w:lang w:val="en-US" w:eastAsia="zh-CN"/>
        </w:rPr>
      </w:pPr>
    </w:p>
    <w:tbl>
      <w:tblPr>
        <w:tblStyle w:val="25"/>
        <w:tblW w:w="9420"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1"/>
        <w:gridCol w:w="2823"/>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项目</w:t>
            </w:r>
          </w:p>
        </w:tc>
        <w:tc>
          <w:tcPr>
            <w:tcW w:w="2823"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指标</w:t>
            </w:r>
          </w:p>
        </w:tc>
        <w:tc>
          <w:tcPr>
            <w:tcW w:w="3616"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12kW</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电流</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20A</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加热温度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0-240摄氏度</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输出功率可调节范围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10-100%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10kHz-35kHz</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输出频率跟踪</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自动</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闭环控制精度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效率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≧95%</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包括输出隔离变压器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功率因数</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≧0.85</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380VAC 三相</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 -30%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输入频率允许波动范围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过载能力</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1.10 倍额定，1 分钟</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柜体防护等级</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IP20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bl>
    <w:p>
      <w:pPr>
        <w:adjustRightInd w:val="0"/>
        <w:snapToGrid w:val="0"/>
        <w:spacing w:line="360" w:lineRule="auto"/>
        <w:rPr>
          <w:rFonts w:hint="eastAsia" w:ascii="宋体" w:hAnsi="宋体" w:eastAsia="宋体" w:cs="宋体"/>
          <w:kern w:val="0"/>
          <w:sz w:val="24"/>
          <w:szCs w:val="24"/>
          <w:highlight w:val="none"/>
          <w:lang w:val="en-US" w:eastAsia="zh-CN"/>
        </w:rPr>
      </w:pPr>
    </w:p>
    <w:p>
      <w:pPr>
        <w:adjustRightInd w:val="0"/>
        <w:snapToGrid w:val="0"/>
        <w:spacing w:line="360" w:lineRule="auto"/>
        <w:ind w:firstLine="960" w:firstLineChars="400"/>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2.2柔性加热器（5kW）：</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2.2.1使用需求：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工件类型：轴承内圈。</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2.2.2工件信息：</w:t>
      </w:r>
    </w:p>
    <w:tbl>
      <w:tblPr>
        <w:tblStyle w:val="25"/>
        <w:tblW w:w="94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40"/>
        <w:gridCol w:w="246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w:t>
            </w:r>
          </w:p>
        </w:tc>
        <w:tc>
          <w:tcPr>
            <w:tcW w:w="204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轴承内圈宽度</w:t>
            </w:r>
          </w:p>
        </w:tc>
        <w:tc>
          <w:tcPr>
            <w:tcW w:w="246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轴承内圈外径</w:t>
            </w:r>
          </w:p>
        </w:tc>
        <w:tc>
          <w:tcPr>
            <w:tcW w:w="243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≧20mm</w:t>
            </w:r>
          </w:p>
        </w:tc>
        <w:tc>
          <w:tcPr>
            <w:tcW w:w="204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≧20mm</w:t>
            </w:r>
          </w:p>
        </w:tc>
        <w:tc>
          <w:tcPr>
            <w:tcW w:w="246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≦150mm</w:t>
            </w:r>
          </w:p>
        </w:tc>
        <w:tc>
          <w:tcPr>
            <w:tcW w:w="243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≦3KG</w:t>
            </w:r>
          </w:p>
        </w:tc>
      </w:tr>
    </w:tbl>
    <w:p>
      <w:pPr>
        <w:adjustRightInd w:val="0"/>
        <w:snapToGrid w:val="0"/>
        <w:spacing w:line="360" w:lineRule="auto"/>
        <w:rPr>
          <w:rFonts w:hint="eastAsia" w:ascii="宋体" w:hAnsi="宋体" w:eastAsia="宋体" w:cs="宋体"/>
          <w:kern w:val="0"/>
          <w:sz w:val="24"/>
          <w:szCs w:val="24"/>
          <w:highlight w:val="none"/>
          <w:lang w:val="en-US" w:eastAsia="zh-CN"/>
        </w:rPr>
      </w:pP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2.2.3技术参数：</w:t>
      </w:r>
    </w:p>
    <w:tbl>
      <w:tblPr>
        <w:tblStyle w:val="25"/>
        <w:tblW w:w="94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2823"/>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项目</w:t>
            </w:r>
          </w:p>
        </w:tc>
        <w:tc>
          <w:tcPr>
            <w:tcW w:w="2823"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指标</w:t>
            </w:r>
          </w:p>
        </w:tc>
        <w:tc>
          <w:tcPr>
            <w:tcW w:w="3631"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输出功率可调范围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1-5kW</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10kHz-35kHz</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输出频率跟踪</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自动</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闭环控制精度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效率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≧95%</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包括输出隔离变压器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功率因数</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≧0.85</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220VAC 单相</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 -30%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输入频率允许波动范围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过载能力</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1.10 倍额定，1 分钟</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柜体防护等级</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IP20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bl>
    <w:p>
      <w:pPr>
        <w:adjustRightInd w:val="0"/>
        <w:snapToGrid w:val="0"/>
        <w:spacing w:line="360" w:lineRule="auto"/>
        <w:ind w:firstLine="960"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2.3设备要求: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（1）系统的IGBT 逆变以及输出隔离变压器均采用空冷结构；</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（2）设备需采用DSP 中央处理器；</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（3）系统采用ZCS 电路实现高频低损耗IGBT 逆变，在DSP 的控制下，能快速精准地跟踪负载的变化，及时调整逆变频率和相位；</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（4）高频跟踪逆变的稳定性较强，具备有短路保护和欠压保护功能；</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（5）具备谐振频率自动准确跟踪功能，保证系统始终工作在最佳工作点附近；</w:t>
      </w:r>
    </w:p>
    <w:p>
      <w:pPr>
        <w:adjustRightInd w:val="0"/>
        <w:snapToGrid w:val="0"/>
        <w:spacing w:line="360" w:lineRule="auto"/>
        <w:ind w:firstLine="480" w:firstLineChars="200"/>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（6）内置PID 程序，适合温度闭环运行，能实现升温及降温速度控制。内置绝缘电阻在线监测功能，可在运行时实时测量输出回路的绝缘电阻（包括感应器/感应电缆、延长电缆/），可显示绝缘电阻值（例如8.2MΩ），可设置绝缘电阻报警/保护值，可在复杂的现场环境下提供高安全保障；</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（7）装置具有短路、过载、过压、过温保护和限制功能，具有变压器状态检测。其中过流和过压均具有硬件和软件双重保护；</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（8）具有本地控制、有线控制、PC机控制，三种启停和操控方法，同时具有多个输入输出状态接口，满足PLC、电脑等远程控制或集中控制的需要；</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（9）具有阻抗自动切换功能：可实现居里点前、后阻抗自动切换，以保持电源始终以高功率输出。借助此功能，可以选择较小功率的电源实现过居里温度点加热；</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（10）加热器经过加热、消磁工序后，残磁值应满足JB/T 6641-2017滚动轴承 残磁及其评定方法的标准要求；（须提供有资质的第三方单位的产品检验报告复印件，并加盖报价单位公章）</w:t>
      </w:r>
    </w:p>
    <w:p>
      <w:pPr>
        <w:pStyle w:val="2"/>
        <w:rPr>
          <w:rFonts w:hint="eastAsia"/>
          <w:lang w:val="en-US" w:eastAsia="zh-CN"/>
        </w:rPr>
      </w:pPr>
    </w:p>
    <w:p>
      <w:pPr>
        <w:pStyle w:val="13"/>
        <w:numPr>
          <w:ilvl w:val="0"/>
          <w:numId w:val="5"/>
        </w:numPr>
        <w:adjustRightInd w:val="0"/>
        <w:snapToGrid w:val="0"/>
        <w:spacing w:line="300" w:lineRule="auto"/>
        <w:ind w:firstLineChars="0"/>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8"/>
          <w:szCs w:val="28"/>
          <w:highlight w:val="none"/>
          <w:lang w:val="zh-CN" w:eastAsia="zh-CN"/>
        </w:rPr>
        <w:t>其他要求</w:t>
      </w:r>
    </w:p>
    <w:p>
      <w:pPr>
        <w:pStyle w:val="37"/>
        <w:numPr>
          <w:ilvl w:val="0"/>
          <w:numId w:val="6"/>
        </w:numPr>
        <w:adjustRightInd w:val="0"/>
        <w:snapToGrid w:val="0"/>
        <w:spacing w:line="360" w:lineRule="auto"/>
        <w:ind w:left="420" w:leftChars="0" w:firstLine="480" w:firstLineChars="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遇到使用技术问题，电话咨询不能解决的，</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lang w:val="zh-CN" w:eastAsia="zh-CN"/>
        </w:rPr>
        <w:t>应在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小时内到达现场进行处理，确保产品正常工作；无法在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小时内解决的，应该在</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lang w:val="zh-CN" w:eastAsia="zh-CN"/>
        </w:rPr>
        <w:t>小时内提供设备备用配件，使询价人能够正常使用。（报价时须出具承诺函并盖公章）</w:t>
      </w:r>
    </w:p>
    <w:p>
      <w:pPr>
        <w:pStyle w:val="37"/>
        <w:numPr>
          <w:ilvl w:val="0"/>
          <w:numId w:val="6"/>
        </w:numPr>
        <w:adjustRightInd w:val="0"/>
        <w:snapToGrid w:val="0"/>
        <w:spacing w:line="360" w:lineRule="auto"/>
        <w:ind w:left="0" w:leftChars="0" w:firstLine="48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56"/>
          <w:szCs w:val="56"/>
          <w:highlight w:val="none"/>
          <w:lang w:val="en-US" w:eastAsia="zh-CN"/>
        </w:rPr>
        <w:t>*</w:t>
      </w:r>
      <w:r>
        <w:rPr>
          <w:rFonts w:hint="eastAsia" w:ascii="宋体" w:hAnsi="宋体" w:eastAsia="宋体" w:cs="宋体"/>
          <w:color w:val="auto"/>
          <w:sz w:val="24"/>
          <w:szCs w:val="24"/>
          <w:highlight w:val="none"/>
          <w:lang w:val="en-US" w:eastAsia="zh-CN"/>
        </w:rPr>
        <w:t>报价时须提供由货物的生产厂家书写的产品参数技术说明书。（说明书须盖生产厂家公章）</w:t>
      </w:r>
    </w:p>
    <w:p>
      <w:pPr>
        <w:ind w:firstLine="560" w:firstLineChars="200"/>
        <w:rPr>
          <w:rFonts w:ascii="宋体" w:hAnsi="宋体" w:eastAsia="宋体" w:cs="宋体"/>
          <w:b/>
          <w:bCs/>
          <w:color w:val="auto"/>
          <w:sz w:val="28"/>
          <w:szCs w:val="28"/>
          <w:highlight w:val="none"/>
        </w:rPr>
      </w:pPr>
    </w:p>
    <w:p>
      <w:pPr>
        <w:pStyle w:val="13"/>
        <w:keepNext w:val="0"/>
        <w:keepLines w:val="0"/>
        <w:widowControl/>
        <w:numPr>
          <w:ilvl w:val="0"/>
          <w:numId w:val="5"/>
        </w:numPr>
        <w:suppressLineNumbers w:val="0"/>
        <w:spacing w:line="300" w:lineRule="auto"/>
        <w:ind w:left="0" w:firstLine="0"/>
        <w:rPr>
          <w:rFonts w:hint="eastAsia" w:ascii="宋体" w:hAnsi="宋体" w:eastAsia="宋体" w:cs="宋体"/>
          <w:b/>
          <w:i w:val="0"/>
          <w:caps w:val="0"/>
          <w:color w:val="auto"/>
          <w:spacing w:val="0"/>
          <w:sz w:val="28"/>
          <w:szCs w:val="28"/>
          <w:highlight w:val="none"/>
          <w:lang w:val="zh-CN"/>
        </w:rPr>
      </w:pPr>
      <w:r>
        <w:rPr>
          <w:rFonts w:hint="eastAsia" w:ascii="宋体" w:hAnsi="宋体" w:eastAsia="宋体" w:cs="宋体"/>
          <w:b/>
          <w:i w:val="0"/>
          <w:caps w:val="0"/>
          <w:color w:val="auto"/>
          <w:spacing w:val="0"/>
          <w:sz w:val="28"/>
          <w:szCs w:val="28"/>
          <w:highlight w:val="none"/>
          <w:lang w:val="zh-CN"/>
        </w:rPr>
        <w:t>项目商务要求</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及保管、保险：</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包装须符合同等相关标准，因包装不良造成的损失由报价人负责。</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送到现场过程中的全部运输，包括装卸车、货物现场的搬运</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bidi w:val="0"/>
        <w:adjustRightInd w:val="0"/>
        <w:snapToGrid w:val="0"/>
        <w:spacing w:line="360" w:lineRule="auto"/>
        <w:ind w:left="420" w:lef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合同签订后45天内到货</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20" w:leftChars="20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广州城市水处理设备有限公司指定位置。（具体位置供货前由广州城市水处理设备有限公司通知）</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）确保</w:t>
      </w:r>
      <w:r>
        <w:rPr>
          <w:rFonts w:hint="eastAsia" w:ascii="宋体" w:hAnsi="宋体" w:eastAsia="宋体" w:cs="宋体"/>
          <w:color w:val="auto"/>
          <w:sz w:val="24"/>
          <w:szCs w:val="24"/>
          <w:highlight w:val="none"/>
          <w:lang w:val="en-US" w:eastAsia="zh-CN"/>
        </w:rPr>
        <w:t>货物为原装未拆封或未使用的产品</w:t>
      </w:r>
      <w:r>
        <w:rPr>
          <w:rFonts w:hint="eastAsia" w:ascii="宋体" w:hAnsi="宋体" w:eastAsia="宋体" w:cs="宋体"/>
          <w:color w:val="auto"/>
          <w:sz w:val="24"/>
          <w:szCs w:val="24"/>
          <w:highlight w:val="none"/>
          <w:lang w:eastAsia="zh-CN"/>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）货物在质保期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为自供货验收合格之日起1年内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如有质量问题</w:t>
      </w:r>
      <w:r>
        <w:rPr>
          <w:rFonts w:hint="eastAsia" w:ascii="宋体" w:hAnsi="宋体" w:eastAsia="宋体" w:cs="宋体"/>
          <w:color w:val="auto"/>
          <w:sz w:val="24"/>
          <w:szCs w:val="24"/>
          <w:highlight w:val="none"/>
          <w:lang w:val="en-US" w:eastAsia="zh-CN"/>
        </w:rPr>
        <w:t>或未能适配原有设备</w:t>
      </w:r>
      <w:r>
        <w:rPr>
          <w:rFonts w:hint="eastAsia" w:ascii="宋体" w:hAnsi="宋体" w:eastAsia="宋体" w:cs="宋体"/>
          <w:color w:val="auto"/>
          <w:sz w:val="24"/>
          <w:szCs w:val="24"/>
          <w:highlight w:val="none"/>
        </w:rPr>
        <w:t>时，报价人必须</w:t>
      </w:r>
      <w:r>
        <w:rPr>
          <w:rFonts w:hint="eastAsia" w:ascii="宋体" w:hAnsi="宋体" w:eastAsia="宋体" w:cs="宋体"/>
          <w:color w:val="auto"/>
          <w:sz w:val="24"/>
          <w:szCs w:val="24"/>
          <w:highlight w:val="none"/>
          <w:lang w:val="en-US" w:eastAsia="zh-CN"/>
        </w:rPr>
        <w:t>1小时内派技术人员到现场免费进行维修</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w:t>
      </w:r>
      <w:r>
        <w:rPr>
          <w:rFonts w:hint="eastAsia" w:ascii="宋体" w:hAnsi="宋体" w:eastAsia="宋体" w:cs="宋体"/>
          <w:color w:val="auto"/>
          <w:sz w:val="24"/>
          <w:szCs w:val="24"/>
          <w:highlight w:val="none"/>
          <w:lang w:eastAsia="zh-CN"/>
        </w:rPr>
        <w:t>、分包</w:t>
      </w:r>
      <w:r>
        <w:rPr>
          <w:rFonts w:hint="eastAsia" w:ascii="宋体" w:hAnsi="宋体" w:eastAsia="宋体" w:cs="宋体"/>
          <w:color w:val="auto"/>
          <w:sz w:val="24"/>
          <w:szCs w:val="24"/>
          <w:highlight w:val="none"/>
        </w:rPr>
        <w:t>。否则，甲方有权单方面终止合同，</w:t>
      </w:r>
      <w:r>
        <w:rPr>
          <w:rFonts w:hint="eastAsia" w:ascii="宋体" w:hAnsi="宋体" w:eastAsia="宋体" w:cs="宋体"/>
          <w:color w:val="auto"/>
          <w:sz w:val="24"/>
          <w:szCs w:val="24"/>
          <w:highlight w:val="none"/>
          <w:lang w:val="en-US" w:eastAsia="zh-CN"/>
        </w:rPr>
        <w:t>拒收其货物</w:t>
      </w:r>
      <w:r>
        <w:rPr>
          <w:rFonts w:hint="eastAsia" w:ascii="宋体" w:hAnsi="宋体" w:eastAsia="宋体" w:cs="宋体"/>
          <w:color w:val="auto"/>
          <w:sz w:val="24"/>
          <w:szCs w:val="24"/>
          <w:highlight w:val="none"/>
        </w:rPr>
        <w:t>，由此而造成的经济损失由乙方负责赔偿。</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.询价人将自承包商履行完合同义务之日起15个工作日内组织验收，审定报价人供货的货物合格情况，进行结算审核。</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.付款方式：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w:t>
      </w:r>
      <w:r>
        <w:rPr>
          <w:rFonts w:hint="eastAsia" w:ascii="宋体" w:hAnsi="宋体" w:eastAsia="宋体" w:cs="宋体"/>
          <w:color w:val="auto"/>
          <w:sz w:val="24"/>
          <w:szCs w:val="24"/>
          <w:highlight w:val="none"/>
          <w:lang w:val="en-US" w:eastAsia="zh-CN"/>
        </w:rPr>
        <w:t>支票、</w:t>
      </w:r>
      <w:r>
        <w:rPr>
          <w:rFonts w:hint="eastAsia" w:ascii="宋体" w:hAnsi="宋体" w:eastAsia="宋体" w:cs="宋体"/>
          <w:color w:val="auto"/>
          <w:sz w:val="24"/>
          <w:szCs w:val="24"/>
          <w:highlight w:val="none"/>
        </w:rPr>
        <w:t>银行汇票形式。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w:t>
      </w:r>
      <w:r>
        <w:rPr>
          <w:rFonts w:hint="eastAsia" w:ascii="宋体" w:hAnsi="宋体" w:eastAsia="宋体" w:cs="宋体"/>
          <w:color w:val="auto"/>
          <w:sz w:val="24"/>
          <w:szCs w:val="24"/>
          <w:highlight w:val="none"/>
          <w:lang w:val="en-US" w:eastAsia="zh-CN"/>
        </w:rPr>
        <w:t>需求单位</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.承包方</w:t>
      </w:r>
      <w:r>
        <w:rPr>
          <w:rFonts w:hint="eastAsia" w:ascii="宋体" w:hAnsi="宋体" w:eastAsia="宋体" w:cs="宋体"/>
          <w:color w:val="auto"/>
          <w:sz w:val="24"/>
          <w:szCs w:val="24"/>
          <w:highlight w:val="none"/>
          <w:lang w:val="en-US" w:eastAsia="zh-CN"/>
        </w:rPr>
        <w:t>式：</w:t>
      </w:r>
      <w:r>
        <w:rPr>
          <w:rFonts w:hint="eastAsia" w:ascii="宋体" w:hAnsi="宋体" w:eastAsia="宋体" w:cs="宋体"/>
          <w:color w:val="auto"/>
          <w:sz w:val="24"/>
          <w:szCs w:val="24"/>
          <w:highlight w:val="none"/>
        </w:rPr>
        <w:t>单价包干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b/>
      </w:r>
    </w:p>
    <w:p>
      <w:pPr>
        <w:pStyle w:val="2"/>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71" w:name="_Toc25925"/>
      <w:bookmarkStart w:id="72" w:name="_Toc18538"/>
      <w:bookmarkStart w:id="73" w:name="_Toc12135"/>
      <w:bookmarkStart w:id="74" w:name="_Toc1284"/>
      <w:bookmarkStart w:id="75" w:name="_Toc29835"/>
      <w:bookmarkStart w:id="76" w:name="_Toc15570"/>
      <w:bookmarkStart w:id="77" w:name="_Toc23353"/>
      <w:bookmarkStart w:id="78" w:name="_Toc23330"/>
      <w:bookmarkStart w:id="79" w:name="_Toc4680"/>
      <w:bookmarkStart w:id="80" w:name="_Toc537"/>
      <w:bookmarkStart w:id="81" w:name="_Toc1496"/>
    </w:p>
    <w:p>
      <w:pPr>
        <w:pStyle w:val="4"/>
        <w:rPr>
          <w:rFonts w:hint="eastAsia"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82" w:name="_Toc22797"/>
      <w:bookmarkStart w:id="83" w:name="_Toc88209949"/>
      <w:bookmarkStart w:id="84" w:name="_Toc8183"/>
      <w:bookmarkStart w:id="85" w:name="_Toc19686"/>
      <w:bookmarkStart w:id="86" w:name="_Toc323"/>
      <w:bookmarkStart w:id="87" w:name="_Toc22501"/>
      <w:bookmarkStart w:id="88" w:name="_Toc12968"/>
      <w:bookmarkStart w:id="89" w:name="_Toc13309"/>
      <w:bookmarkStart w:id="90" w:name="_Toc19088"/>
      <w:bookmarkStart w:id="91" w:name="_Toc12980"/>
      <w:bookmarkStart w:id="92" w:name="_Toc12721"/>
      <w:bookmarkStart w:id="93" w:name="_Toc87616386"/>
      <w:bookmarkStart w:id="94" w:name="_Toc1375"/>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
        <w:rPr>
          <w:rFonts w:eastAsia="宋体" w:cs="宋体"/>
          <w:color w:val="auto"/>
          <w:highlight w:val="none"/>
        </w:rPr>
      </w:pPr>
    </w:p>
    <w:p>
      <w:pPr>
        <w:jc w:val="center"/>
        <w:rPr>
          <w:rFonts w:hint="eastAsia" w:ascii="仿宋" w:hAnsi="仿宋" w:eastAsia="仿宋" w:cs="仿宋"/>
          <w:b/>
          <w:color w:val="auto"/>
          <w:sz w:val="52"/>
          <w:szCs w:val="84"/>
        </w:rPr>
      </w:pP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设备采购合同</w:t>
      </w:r>
    </w:p>
    <w:p>
      <w:pPr>
        <w:jc w:val="center"/>
        <w:rPr>
          <w:rFonts w:hint="eastAsia" w:ascii="仿宋" w:hAnsi="仿宋" w:eastAsia="仿宋" w:cs="仿宋"/>
          <w:color w:val="auto"/>
          <w:sz w:val="30"/>
        </w:rPr>
      </w:pPr>
    </w:p>
    <w:p>
      <w:pPr>
        <w:rPr>
          <w:rFonts w:hint="eastAsia" w:ascii="仿宋" w:hAnsi="仿宋" w:eastAsia="仿宋" w:cs="仿宋"/>
          <w:color w:val="auto"/>
          <w:sz w:val="30"/>
        </w:rPr>
      </w:pPr>
      <w:r>
        <w:rPr>
          <w:rFonts w:hint="eastAsia" w:ascii="仿宋" w:hAnsi="仿宋" w:eastAsia="仿宋" w:cs="仿宋"/>
          <w:color w:val="auto"/>
          <w:sz w:val="30"/>
        </w:rPr>
        <w:t>项目名称：</w:t>
      </w:r>
      <w:r>
        <w:rPr>
          <w:rFonts w:hint="eastAsia" w:ascii="仿宋" w:hAnsi="仿宋" w:eastAsia="仿宋" w:cs="仿宋"/>
          <w:color w:val="auto"/>
          <w:sz w:val="30"/>
          <w:lang w:val="en-US" w:eastAsia="zh-CN"/>
        </w:rPr>
        <w:t>广州城市水处理设备有限公司柔性加热器采购项目</w:t>
      </w:r>
    </w:p>
    <w:p>
      <w:pPr>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项目编号：</w:t>
      </w:r>
    </w:p>
    <w:p>
      <w:pPr>
        <w:rPr>
          <w:rFonts w:hint="eastAsia" w:ascii="仿宋" w:hAnsi="仿宋" w:eastAsia="仿宋" w:cs="仿宋"/>
          <w:color w:val="auto"/>
          <w:sz w:val="30"/>
          <w:lang w:val="en-US" w:eastAsia="zh-CN"/>
        </w:rPr>
      </w:pPr>
    </w:p>
    <w:p>
      <w:pPr>
        <w:rPr>
          <w:rFonts w:hint="eastAsia" w:ascii="仿宋" w:hAnsi="仿宋" w:eastAsia="仿宋" w:cs="仿宋"/>
          <w:color w:val="auto"/>
          <w:sz w:val="30"/>
          <w:lang w:val="en-US" w:eastAsia="zh-CN"/>
        </w:rPr>
      </w:pPr>
      <w:r>
        <w:rPr>
          <w:rFonts w:hint="eastAsia" w:ascii="仿宋" w:hAnsi="仿宋" w:eastAsia="仿宋" w:cs="仿宋"/>
          <w:color w:val="auto"/>
          <w:sz w:val="30"/>
        </w:rPr>
        <w:t>合同编号：</w:t>
      </w:r>
      <w:r>
        <w:rPr>
          <w:rFonts w:hint="eastAsia" w:ascii="仿宋" w:hAnsi="仿宋" w:eastAsia="仿宋" w:cs="仿宋"/>
          <w:color w:val="auto"/>
          <w:sz w:val="30"/>
          <w:lang w:val="en-US" w:eastAsia="zh-CN"/>
        </w:rPr>
        <w:t>穗净水设备合[          ]           号</w:t>
      </w:r>
    </w:p>
    <w:p>
      <w:pPr>
        <w:rPr>
          <w:rFonts w:hint="eastAsia" w:ascii="仿宋" w:hAnsi="仿宋" w:eastAsia="仿宋" w:cs="仿宋"/>
          <w:color w:val="auto"/>
          <w:sz w:val="30"/>
          <w:szCs w:val="30"/>
        </w:rPr>
      </w:pPr>
    </w:p>
    <w:p>
      <w:pPr>
        <w:rPr>
          <w:rFonts w:hint="eastAsia" w:ascii="仿宋" w:hAnsi="仿宋" w:eastAsia="仿宋" w:cs="仿宋"/>
          <w:color w:val="auto"/>
          <w:sz w:val="30"/>
          <w:u w:val="single"/>
        </w:rPr>
      </w:pPr>
      <w:r>
        <w:rPr>
          <w:rFonts w:hint="eastAsia" w:ascii="仿宋" w:hAnsi="仿宋" w:eastAsia="仿宋" w:cs="仿宋"/>
          <w:color w:val="auto"/>
          <w:sz w:val="30"/>
        </w:rPr>
        <w:t>甲方（买方）：</w:t>
      </w:r>
      <w:r>
        <w:rPr>
          <w:rFonts w:hint="eastAsia" w:ascii="仿宋" w:hAnsi="仿宋" w:eastAsia="仿宋" w:cs="仿宋"/>
          <w:color w:val="auto"/>
          <w:sz w:val="30"/>
          <w:lang w:val="en-US" w:eastAsia="zh-CN"/>
        </w:rPr>
        <w:t>广州城市水处理设备有限公司</w:t>
      </w:r>
    </w:p>
    <w:p>
      <w:pPr>
        <w:rPr>
          <w:rFonts w:hint="eastAsia" w:ascii="仿宋" w:hAnsi="仿宋" w:eastAsia="仿宋" w:cs="仿宋"/>
          <w:color w:val="auto"/>
          <w:sz w:val="30"/>
        </w:rPr>
      </w:pPr>
      <w:r>
        <w:rPr>
          <w:rFonts w:hint="eastAsia" w:ascii="仿宋" w:hAnsi="仿宋" w:eastAsia="仿宋" w:cs="仿宋"/>
          <w:color w:val="auto"/>
          <w:sz w:val="30"/>
        </w:rPr>
        <w:t>乙方（卖方）：</w:t>
      </w:r>
      <w:r>
        <w:rPr>
          <w:rFonts w:hint="eastAsia" w:ascii="仿宋" w:hAnsi="仿宋" w:eastAsia="仿宋" w:cs="仿宋"/>
          <w:b/>
          <w:bCs/>
          <w:color w:val="auto"/>
          <w:sz w:val="30"/>
          <w:u w:val="single"/>
        </w:rPr>
        <w:t xml:space="preserve"> </w:t>
      </w:r>
      <w:r>
        <w:rPr>
          <w:rFonts w:hint="eastAsia" w:ascii="仿宋" w:hAnsi="仿宋" w:eastAsia="仿宋" w:cs="仿宋"/>
          <w:b/>
          <w:bCs/>
          <w:color w:val="auto"/>
          <w:sz w:val="30"/>
          <w:u w:val="single"/>
          <w:lang w:val="en-US" w:eastAsia="zh-CN"/>
        </w:rPr>
        <w:t xml:space="preserve">              </w:t>
      </w:r>
      <w:r>
        <w:rPr>
          <w:rFonts w:hint="eastAsia" w:ascii="仿宋" w:hAnsi="仿宋" w:eastAsia="仿宋" w:cs="仿宋"/>
          <w:b/>
          <w:bCs/>
          <w:color w:val="auto"/>
          <w:sz w:val="30"/>
          <w:u w:val="single"/>
        </w:rPr>
        <w:t xml:space="preserve">                                         </w:t>
      </w:r>
      <w:r>
        <w:rPr>
          <w:rFonts w:hint="eastAsia" w:ascii="仿宋" w:hAnsi="仿宋" w:eastAsia="仿宋" w:cs="仿宋"/>
          <w:color w:val="auto"/>
          <w:sz w:val="30"/>
          <w:u w:val="single"/>
        </w:rPr>
        <w:t xml:space="preserve">                                        </w:t>
      </w:r>
      <w:r>
        <w:rPr>
          <w:rFonts w:hint="eastAsia" w:ascii="仿宋" w:hAnsi="仿宋" w:eastAsia="仿宋" w:cs="仿宋"/>
          <w:color w:val="auto"/>
          <w:sz w:val="30"/>
        </w:rPr>
        <w:t xml:space="preserve"> </w:t>
      </w:r>
    </w:p>
    <w:p>
      <w:pPr>
        <w:rPr>
          <w:rFonts w:hint="eastAsia" w:ascii="仿宋" w:hAnsi="仿宋" w:eastAsia="仿宋" w:cs="仿宋"/>
          <w:color w:val="auto"/>
          <w:sz w:val="30"/>
        </w:rPr>
      </w:pPr>
      <w:r>
        <w:rPr>
          <w:rFonts w:hint="eastAsia" w:ascii="仿宋" w:hAnsi="仿宋" w:eastAsia="仿宋" w:cs="仿宋"/>
          <w:color w:val="auto"/>
          <w:sz w:val="30"/>
        </w:rPr>
        <w:t>签订日期：           年       月     日</w:t>
      </w:r>
    </w:p>
    <w:p>
      <w:pPr>
        <w:rPr>
          <w:rFonts w:hint="eastAsia" w:ascii="仿宋" w:hAnsi="仿宋" w:eastAsia="仿宋" w:cs="仿宋"/>
          <w:color w:val="auto"/>
          <w:sz w:val="30"/>
        </w:rPr>
      </w:pPr>
      <w:r>
        <w:rPr>
          <w:rFonts w:hint="eastAsia" w:ascii="仿宋" w:hAnsi="仿宋" w:eastAsia="仿宋" w:cs="仿宋"/>
          <w:color w:val="auto"/>
          <w:sz w:val="30"/>
        </w:rPr>
        <w:t>签约地点：广州市</w:t>
      </w:r>
    </w:p>
    <w:p>
      <w:pPr>
        <w:pStyle w:val="55"/>
        <w:spacing w:line="500" w:lineRule="exact"/>
        <w:jc w:val="center"/>
        <w:rPr>
          <w:rFonts w:hint="eastAsia" w:ascii="仿宋" w:hAnsi="仿宋" w:eastAsia="仿宋" w:cs="仿宋"/>
          <w:b/>
          <w:bCs/>
          <w:sz w:val="36"/>
          <w:szCs w:val="36"/>
          <w:lang w:val="zh-CN" w:eastAsia="zh-CN"/>
        </w:rPr>
      </w:pPr>
    </w:p>
    <w:p>
      <w:pPr>
        <w:rPr>
          <w:rFonts w:hint="eastAsia" w:ascii="仿宋" w:hAnsi="仿宋" w:eastAsia="仿宋" w:cs="仿宋"/>
          <w:color w:val="auto"/>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》及其他有关法律、行政法规，</w:t>
      </w:r>
      <w:r>
        <w:rPr>
          <w:rFonts w:hint="eastAsia" w:ascii="仿宋" w:hAnsi="仿宋" w:eastAsia="仿宋" w:cs="仿宋"/>
          <w:color w:val="auto"/>
          <w:sz w:val="24"/>
          <w:szCs w:val="24"/>
          <w:u w:val="single"/>
          <w:lang w:val="en-US" w:eastAsia="zh-CN"/>
        </w:rPr>
        <w:t>广州城市水处理设备有限公司</w:t>
      </w:r>
      <w:r>
        <w:rPr>
          <w:rFonts w:hint="eastAsia" w:ascii="仿宋" w:hAnsi="仿宋" w:eastAsia="仿宋" w:cs="仿宋"/>
          <w:color w:val="auto"/>
          <w:sz w:val="24"/>
          <w:szCs w:val="24"/>
        </w:rPr>
        <w:t xml:space="preserve"> （以下简称“甲方”）与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采购和相应技术服务事宜，遵循平等、自愿、公平和诚实信用的原则，双方协商一致，订立本合同。</w:t>
      </w:r>
      <w:bookmarkStart w:id="95" w:name="_Toc1018"/>
      <w:bookmarkStart w:id="96" w:name="_Toc520190026"/>
      <w:bookmarkStart w:id="97" w:name="_Toc474245210"/>
      <w:bookmarkStart w:id="98" w:name="_Toc518992986"/>
      <w:bookmarkStart w:id="99" w:name="_Toc183666513"/>
    </w:p>
    <w:p>
      <w:pPr>
        <w:spacing w:line="360" w:lineRule="auto"/>
        <w:ind w:firstLine="54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第一条 组成合同的文件及优先顺序</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 xml:space="preserve">⑴ </w:t>
      </w:r>
      <w:r>
        <w:rPr>
          <w:rFonts w:hint="eastAsia" w:ascii="仿宋" w:hAnsi="仿宋" w:eastAsia="仿宋" w:cs="仿宋"/>
          <w:color w:val="auto"/>
          <w:sz w:val="24"/>
        </w:rPr>
        <w:t>在本合同实施过程双方签署的补充与修正文件</w:t>
      </w:r>
      <w:r>
        <w:rPr>
          <w:rFonts w:hint="eastAsia" w:ascii="仿宋" w:hAnsi="仿宋" w:eastAsia="仿宋" w:cs="仿宋"/>
          <w:bCs/>
          <w:color w:val="auto"/>
          <w:sz w:val="24"/>
        </w:rPr>
        <w:t>；</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⑵ 本合同书；</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⑶ 中标通知书/发包通知书/</w:t>
      </w:r>
      <w:r>
        <w:rPr>
          <w:rFonts w:hint="eastAsia" w:ascii="仿宋" w:hAnsi="仿宋" w:eastAsia="仿宋" w:cs="仿宋"/>
          <w:bCs/>
          <w:color w:val="auto"/>
          <w:sz w:val="24"/>
          <w:lang w:val="en-US" w:eastAsia="zh-CN"/>
        </w:rPr>
        <w:t>成交通知书/</w:t>
      </w:r>
      <w:r>
        <w:rPr>
          <w:rFonts w:hint="eastAsia" w:ascii="仿宋" w:hAnsi="仿宋" w:eastAsia="仿宋" w:cs="仿宋"/>
          <w:bCs/>
          <w:color w:val="auto"/>
          <w:sz w:val="24"/>
        </w:rPr>
        <w:t>委托函；</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⑷ 招标文件/询价文件；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⑸ 投标文件/响应文件；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⑹ 标准、规范及有关技术性文件；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⑺ 图纸；</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rPr>
      </w:pPr>
      <w:r>
        <w:rPr>
          <w:rFonts w:hint="eastAsia" w:ascii="仿宋" w:hAnsi="仿宋" w:eastAsia="仿宋" w:cs="仿宋"/>
          <w:bCs/>
          <w:color w:val="auto"/>
          <w:sz w:val="24"/>
        </w:rPr>
        <w:t>⑻ 工程量清单/</w:t>
      </w:r>
      <w:r>
        <w:rPr>
          <w:rFonts w:hint="eastAsia" w:ascii="仿宋" w:hAnsi="仿宋" w:eastAsia="仿宋" w:cs="仿宋"/>
          <w:color w:val="auto"/>
          <w:sz w:val="24"/>
        </w:rPr>
        <w:t>工程报价单或预算书；</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rPr>
        <w:t>⑼ 本合同其他附件；</w:t>
      </w:r>
    </w:p>
    <w:p>
      <w:pPr>
        <w:spacing w:line="360" w:lineRule="auto"/>
        <w:rPr>
          <w:rFonts w:hint="eastAsia" w:ascii="仿宋" w:hAnsi="仿宋" w:eastAsia="仿宋" w:cs="仿宋"/>
          <w:b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第二条 </w:t>
      </w:r>
      <w:bookmarkEnd w:id="95"/>
      <w:bookmarkEnd w:id="96"/>
      <w:bookmarkEnd w:id="97"/>
      <w:bookmarkEnd w:id="98"/>
      <w:bookmarkEnd w:id="99"/>
      <w:r>
        <w:rPr>
          <w:rFonts w:hint="eastAsia" w:ascii="仿宋" w:hAnsi="仿宋" w:eastAsia="仿宋" w:cs="仿宋"/>
          <w:b/>
          <w:color w:val="auto"/>
          <w:sz w:val="24"/>
          <w:szCs w:val="24"/>
        </w:rPr>
        <w:t>合同标的</w:t>
      </w:r>
    </w:p>
    <w:p>
      <w:pPr>
        <w:autoSpaceDE w:val="0"/>
        <w:autoSpaceDN w:val="0"/>
        <w:adjustRightInd w:val="0"/>
        <w:spacing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本合同所指设备为</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lang w:val="zh-CN"/>
        </w:rPr>
        <w:t>全新的原装产品，原产地为</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rPr>
        <w:t>，</w:t>
      </w:r>
      <w:r>
        <w:rPr>
          <w:rFonts w:hint="eastAsia" w:ascii="仿宋" w:hAnsi="仿宋" w:eastAsia="仿宋" w:cs="仿宋"/>
          <w:color w:val="auto"/>
          <w:kern w:val="0"/>
          <w:sz w:val="24"/>
          <w:szCs w:val="24"/>
        </w:rPr>
        <w:t>其</w:t>
      </w:r>
      <w:r>
        <w:rPr>
          <w:rFonts w:hint="eastAsia" w:ascii="仿宋" w:hAnsi="仿宋" w:eastAsia="仿宋" w:cs="仿宋"/>
          <w:color w:val="auto"/>
          <w:kern w:val="0"/>
          <w:sz w:val="24"/>
          <w:szCs w:val="24"/>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29"/>
        <w:gridCol w:w="975"/>
        <w:gridCol w:w="1290"/>
        <w:gridCol w:w="765"/>
        <w:gridCol w:w="750"/>
        <w:gridCol w:w="735"/>
        <w:gridCol w:w="990"/>
        <w:gridCol w:w="795"/>
        <w:gridCol w:w="1062"/>
        <w:gridCol w:w="940"/>
      </w:tblGrid>
      <w:tr>
        <w:tblPrEx>
          <w:tblCellMar>
            <w:top w:w="0" w:type="dxa"/>
            <w:left w:w="108" w:type="dxa"/>
            <w:bottom w:w="0" w:type="dxa"/>
            <w:right w:w="108" w:type="dxa"/>
          </w:tblCellMar>
        </w:tblPrEx>
        <w:trPr>
          <w:trHeight w:val="440" w:hRule="atLeast"/>
        </w:trPr>
        <w:tc>
          <w:tcPr>
            <w:tcW w:w="72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名称</w:t>
            </w:r>
          </w:p>
        </w:tc>
        <w:tc>
          <w:tcPr>
            <w:tcW w:w="129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生产厂家及</w:t>
            </w:r>
            <w:r>
              <w:rPr>
                <w:rFonts w:hint="eastAsia" w:ascii="仿宋" w:hAnsi="仿宋" w:eastAsia="仿宋" w:cs="仿宋"/>
                <w:color w:val="auto"/>
                <w:kern w:val="0"/>
                <w:sz w:val="24"/>
                <w:lang w:val="en-US" w:eastAsia="zh-CN"/>
              </w:rPr>
              <w:t>型号</w:t>
            </w:r>
          </w:p>
        </w:tc>
        <w:tc>
          <w:tcPr>
            <w:tcW w:w="76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单位</w:t>
            </w:r>
          </w:p>
        </w:tc>
        <w:tc>
          <w:tcPr>
            <w:tcW w:w="75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数量</w:t>
            </w:r>
          </w:p>
        </w:tc>
        <w:tc>
          <w:tcPr>
            <w:tcW w:w="172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单价（元）</w:t>
            </w:r>
          </w:p>
        </w:tc>
        <w:tc>
          <w:tcPr>
            <w:tcW w:w="185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备注</w:t>
            </w:r>
          </w:p>
        </w:tc>
      </w:tr>
      <w:tr>
        <w:tblPrEx>
          <w:tblCellMar>
            <w:top w:w="0" w:type="dxa"/>
            <w:left w:w="108" w:type="dxa"/>
            <w:bottom w:w="0" w:type="dxa"/>
            <w:right w:w="108" w:type="dxa"/>
          </w:tblCellMar>
        </w:tblPrEx>
        <w:trPr>
          <w:trHeight w:val="425" w:hRule="atLeast"/>
        </w:trPr>
        <w:tc>
          <w:tcPr>
            <w:tcW w:w="72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97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129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76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75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rPr>
            </w:pPr>
          </w:p>
        </w:tc>
        <w:tc>
          <w:tcPr>
            <w:tcW w:w="73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含税</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不含税</w:t>
            </w:r>
          </w:p>
        </w:tc>
        <w:tc>
          <w:tcPr>
            <w:tcW w:w="79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含税</w:t>
            </w:r>
          </w:p>
        </w:tc>
        <w:tc>
          <w:tcPr>
            <w:tcW w:w="106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p>
        </w:tc>
      </w:tr>
      <w:tr>
        <w:tblPrEx>
          <w:tblCellMar>
            <w:top w:w="0" w:type="dxa"/>
            <w:left w:w="108" w:type="dxa"/>
            <w:bottom w:w="0" w:type="dxa"/>
            <w:right w:w="108" w:type="dxa"/>
          </w:tblCellMar>
        </w:tblPrEx>
        <w:trPr>
          <w:trHeight w:val="314"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eastAsia="zh-CN"/>
              </w:rPr>
              <w:t>1</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default" w:ascii="仿宋" w:hAnsi="仿宋" w:eastAsia="仿宋" w:cs="仿宋"/>
                <w:color w:val="auto"/>
                <w:kern w:val="0"/>
                <w:sz w:val="24"/>
                <w:lang w:val="en-US" w:eastAsia="zh-CN"/>
              </w:rPr>
              <w:t>柔性加热器</w:t>
            </w:r>
          </w:p>
        </w:tc>
        <w:tc>
          <w:tcPr>
            <w:tcW w:w="12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en-US" w:eastAsia="zh-CN"/>
              </w:rPr>
              <w:t>台</w:t>
            </w:r>
          </w:p>
        </w:tc>
        <w:tc>
          <w:tcPr>
            <w:tcW w:w="7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en-US" w:eastAsia="zh-CN"/>
              </w:rPr>
              <w:t>1</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en-US" w:eastAsia="zh-CN"/>
              </w:rPr>
              <w:t>12kW</w:t>
            </w:r>
          </w:p>
        </w:tc>
      </w:tr>
      <w:tr>
        <w:tblPrEx>
          <w:tblCellMar>
            <w:top w:w="0" w:type="dxa"/>
            <w:left w:w="108" w:type="dxa"/>
            <w:bottom w:w="0" w:type="dxa"/>
            <w:right w:w="108" w:type="dxa"/>
          </w:tblCellMar>
        </w:tblPrEx>
        <w:trPr>
          <w:trHeight w:val="347"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eastAsia="zh-CN"/>
              </w:rPr>
              <w:t>2</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default" w:ascii="仿宋" w:hAnsi="仿宋" w:eastAsia="仿宋" w:cs="仿宋"/>
                <w:color w:val="auto"/>
                <w:kern w:val="0"/>
                <w:sz w:val="24"/>
                <w:lang w:val="en-US" w:eastAsia="zh-CN"/>
              </w:rPr>
              <w:t>柔性加热器</w:t>
            </w:r>
          </w:p>
        </w:tc>
        <w:tc>
          <w:tcPr>
            <w:tcW w:w="12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en-US" w:eastAsia="zh-CN"/>
              </w:rPr>
              <w:t>台</w:t>
            </w:r>
          </w:p>
        </w:tc>
        <w:tc>
          <w:tcPr>
            <w:tcW w:w="7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en-US" w:eastAsia="zh-CN"/>
              </w:rPr>
              <w:t>1</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en-US" w:eastAsia="zh-CN"/>
              </w:rPr>
              <w:t>5kW</w:t>
            </w:r>
          </w:p>
        </w:tc>
      </w:tr>
      <w:tr>
        <w:tblPrEx>
          <w:tblCellMar>
            <w:top w:w="0" w:type="dxa"/>
            <w:left w:w="108" w:type="dxa"/>
            <w:bottom w:w="0" w:type="dxa"/>
            <w:right w:w="108" w:type="dxa"/>
          </w:tblCellMar>
        </w:tblPrEx>
        <w:trPr>
          <w:trHeight w:val="211" w:hRule="atLeast"/>
        </w:trPr>
        <w:tc>
          <w:tcPr>
            <w:tcW w:w="45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color w:val="auto"/>
                <w:kern w:val="0"/>
                <w:sz w:val="24"/>
                <w:lang w:val="zh-CN"/>
              </w:rPr>
              <w:t>总价（元）</w:t>
            </w:r>
          </w:p>
        </w:tc>
        <w:tc>
          <w:tcPr>
            <w:tcW w:w="4522"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lang w:val="zh-CN"/>
              </w:rPr>
            </w:pPr>
            <w:r>
              <w:rPr>
                <w:rFonts w:hint="eastAsia" w:ascii="仿宋" w:hAnsi="仿宋" w:eastAsia="仿宋" w:cs="仿宋"/>
                <w:i w:val="0"/>
                <w:color w:val="000000"/>
                <w:sz w:val="24"/>
                <w:szCs w:val="24"/>
                <w:u w:val="none"/>
                <w:lang w:val="en-US" w:eastAsia="zh-CN"/>
              </w:rPr>
              <w:t xml:space="preserve">   元（含税13%）</w:t>
            </w:r>
          </w:p>
        </w:tc>
      </w:tr>
    </w:tbl>
    <w:p>
      <w:pPr>
        <w:spacing w:after="120" w:afterLines="50" w:line="360" w:lineRule="auto"/>
        <w:ind w:firstLine="480" w:firstLineChars="200"/>
        <w:rPr>
          <w:rFonts w:hint="eastAsia" w:ascii="仿宋" w:hAnsi="仿宋" w:eastAsia="仿宋" w:cs="仿宋"/>
          <w:color w:val="auto"/>
          <w:kern w:val="0"/>
          <w:sz w:val="24"/>
          <w:szCs w:val="24"/>
          <w:lang w:val="zh-CN"/>
        </w:rPr>
      </w:pPr>
      <w:bookmarkStart w:id="100" w:name="_Toc17140"/>
      <w:bookmarkStart w:id="101" w:name="_Toc520190027"/>
      <w:bookmarkStart w:id="102" w:name="_Toc518992987"/>
      <w:bookmarkStart w:id="103" w:name="_Toc474245211"/>
      <w:r>
        <w:rPr>
          <w:rFonts w:hint="eastAsia" w:ascii="仿宋" w:hAnsi="仿宋" w:eastAsia="仿宋" w:cs="仿宋"/>
          <w:color w:val="auto"/>
          <w:kern w:val="0"/>
          <w:sz w:val="24"/>
          <w:szCs w:val="24"/>
          <w:lang w:val="zh-CN"/>
        </w:rPr>
        <w:t>其他技术需求见附件（如需）。</w:t>
      </w:r>
      <w:bookmarkEnd w:id="100"/>
      <w:bookmarkStart w:id="104" w:name="_Toc26357"/>
      <w:bookmarkStart w:id="105" w:name="_Toc107447235"/>
      <w:bookmarkStart w:id="106" w:name="_Toc107446842"/>
      <w:bookmarkStart w:id="107" w:name="_Toc183666514"/>
    </w:p>
    <w:p>
      <w:pPr>
        <w:spacing w:after="120" w:afterLines="50"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第三条 交货日期及地点</w:t>
      </w:r>
    </w:p>
    <w:p>
      <w:pPr>
        <w:spacing w:after="120" w:after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 交货日期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日前完成供货（如需有不同交货时间注明）,具体交货时间以甲方通知为准。</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3.2交货地点：</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,最终具体交货地点以甲方通知为准。</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3.3 交货方式：乙方在设备运至交货地</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个工作日前通知甲方。</w:t>
      </w:r>
    </w:p>
    <w:p>
      <w:pPr>
        <w:spacing w:after="0" w:line="360" w:lineRule="auto"/>
        <w:ind w:firstLine="480" w:firstLineChars="200"/>
        <w:rPr>
          <w:rFonts w:hint="eastAsia" w:ascii="仿宋" w:hAnsi="仿宋" w:eastAsia="仿宋" w:cs="仿宋"/>
          <w:b/>
          <w:color w:val="auto"/>
          <w:sz w:val="24"/>
          <w:szCs w:val="24"/>
        </w:rPr>
      </w:pPr>
      <w:r>
        <w:rPr>
          <w:rFonts w:hint="eastAsia" w:ascii="仿宋" w:hAnsi="仿宋" w:eastAsia="仿宋" w:cs="仿宋"/>
          <w:bCs/>
          <w:color w:val="auto"/>
          <w:sz w:val="24"/>
          <w:szCs w:val="24"/>
        </w:rPr>
        <w:t>3.4其他：</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w:t>
      </w:r>
    </w:p>
    <w:p>
      <w:pPr>
        <w:spacing w:after="0" w:line="360" w:lineRule="auto"/>
        <w:ind w:firstLine="482" w:firstLineChars="200"/>
        <w:rPr>
          <w:rFonts w:hint="eastAsia" w:ascii="仿宋" w:hAnsi="仿宋" w:eastAsia="仿宋" w:cs="仿宋"/>
          <w:color w:val="auto"/>
          <w:kern w:val="0"/>
          <w:sz w:val="24"/>
          <w:szCs w:val="24"/>
          <w:lang w:val="zh-CN"/>
        </w:rPr>
      </w:pPr>
      <w:r>
        <w:rPr>
          <w:rFonts w:hint="eastAsia" w:ascii="仿宋" w:hAnsi="仿宋" w:eastAsia="仿宋" w:cs="仿宋"/>
          <w:b/>
          <w:color w:val="auto"/>
          <w:sz w:val="24"/>
          <w:szCs w:val="24"/>
        </w:rPr>
        <w:t>第四条 合同价格</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sz w:val="24"/>
          <w:szCs w:val="24"/>
        </w:rPr>
        <w:t xml:space="preserve">4.1 </w:t>
      </w:r>
      <w:r>
        <w:rPr>
          <w:rFonts w:hint="eastAsia" w:ascii="仿宋" w:hAnsi="仿宋" w:eastAsia="仿宋" w:cs="仿宋"/>
          <w:color w:val="auto"/>
          <w:kern w:val="0"/>
          <w:sz w:val="24"/>
          <w:szCs w:val="24"/>
          <w:lang w:val="zh-CN"/>
        </w:rPr>
        <w:t>本合同</w:t>
      </w:r>
      <w:r>
        <w:rPr>
          <w:rFonts w:hint="eastAsia" w:ascii="仿宋" w:hAnsi="仿宋" w:eastAsia="仿宋" w:cs="仿宋"/>
          <w:color w:val="auto"/>
          <w:kern w:val="0"/>
          <w:sz w:val="24"/>
          <w:szCs w:val="24"/>
        </w:rPr>
        <w:t>暂定</w:t>
      </w:r>
      <w:r>
        <w:rPr>
          <w:rFonts w:hint="eastAsia" w:ascii="仿宋" w:hAnsi="仿宋" w:eastAsia="仿宋" w:cs="仿宋"/>
          <w:color w:val="auto"/>
          <w:kern w:val="0"/>
          <w:sz w:val="24"/>
          <w:szCs w:val="24"/>
          <w:lang w:val="zh-CN"/>
        </w:rPr>
        <w:t>总价为</w:t>
      </w:r>
      <w:r>
        <w:rPr>
          <w:rFonts w:hint="eastAsia" w:ascii="仿宋" w:hAnsi="仿宋" w:eastAsia="仿宋" w:cs="仿宋"/>
          <w:color w:val="auto"/>
          <w:kern w:val="0"/>
          <w:sz w:val="24"/>
          <w:szCs w:val="24"/>
          <w:u w:val="single"/>
          <w:lang w:val="zh-CN"/>
        </w:rPr>
        <w:t xml:space="preserve"> … </w:t>
      </w:r>
      <w:r>
        <w:rPr>
          <w:rFonts w:hint="eastAsia" w:ascii="仿宋" w:hAnsi="仿宋" w:eastAsia="仿宋" w:cs="仿宋"/>
          <w:color w:val="auto"/>
          <w:kern w:val="0"/>
          <w:sz w:val="24"/>
          <w:szCs w:val="24"/>
          <w:lang w:val="zh-CN"/>
        </w:rPr>
        <w:t>万元，（人民币）大写：</w:t>
      </w:r>
      <w:r>
        <w:rPr>
          <w:rFonts w:hint="eastAsia" w:ascii="仿宋" w:hAnsi="仿宋" w:eastAsia="仿宋" w:cs="仿宋"/>
          <w:color w:val="auto"/>
          <w:kern w:val="0"/>
          <w:sz w:val="24"/>
          <w:szCs w:val="24"/>
          <w:u w:val="single"/>
          <w:lang w:val="zh-CN"/>
        </w:rPr>
        <w:t xml:space="preserve"> … </w:t>
      </w:r>
      <w:r>
        <w:rPr>
          <w:rFonts w:hint="eastAsia" w:ascii="仿宋" w:hAnsi="仿宋" w:eastAsia="仿宋" w:cs="仿宋"/>
          <w:color w:val="auto"/>
          <w:kern w:val="0"/>
          <w:sz w:val="24"/>
          <w:szCs w:val="24"/>
          <w:lang w:val="zh-CN"/>
        </w:rPr>
        <w:t xml:space="preserve">。 </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zh-CN"/>
        </w:rPr>
        <w:t>.2</w:t>
      </w: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zh-CN"/>
        </w:rPr>
        <w:t>设备价格包括</w:t>
      </w:r>
      <w:r>
        <w:rPr>
          <w:rFonts w:hint="eastAsia" w:ascii="仿宋" w:hAnsi="仿宋" w:eastAsia="仿宋" w:cs="仿宋"/>
          <w:color w:val="auto"/>
          <w:kern w:val="0"/>
          <w:sz w:val="24"/>
          <w:szCs w:val="24"/>
          <w:u w:val="single"/>
          <w:lang w:val="zh-CN"/>
        </w:rPr>
        <w:t>工艺设计、设备及随机附件的制造、包装、运输（设备运输过程中所需的相关手续</w:t>
      </w:r>
      <w:r>
        <w:rPr>
          <w:rFonts w:hint="eastAsia" w:ascii="仿宋" w:hAnsi="仿宋" w:eastAsia="仿宋" w:cs="仿宋"/>
          <w:color w:val="auto"/>
          <w:kern w:val="0"/>
          <w:sz w:val="24"/>
          <w:szCs w:val="24"/>
          <w:u w:val="single"/>
        </w:rPr>
        <w:t>及费用</w:t>
      </w:r>
      <w:r>
        <w:rPr>
          <w:rFonts w:hint="eastAsia" w:ascii="仿宋" w:hAnsi="仿宋" w:eastAsia="仿宋" w:cs="仿宋"/>
          <w:color w:val="auto"/>
          <w:kern w:val="0"/>
          <w:sz w:val="24"/>
          <w:szCs w:val="24"/>
          <w:u w:val="single"/>
          <w:lang w:val="zh-CN"/>
        </w:rPr>
        <w:t>）、装卸、安装调试</w:t>
      </w:r>
      <w:r>
        <w:rPr>
          <w:rFonts w:hint="eastAsia" w:ascii="仿宋" w:hAnsi="仿宋" w:eastAsia="仿宋" w:cs="仿宋"/>
          <w:color w:val="auto"/>
          <w:kern w:val="0"/>
          <w:sz w:val="24"/>
          <w:szCs w:val="24"/>
          <w:u w:val="single"/>
          <w:lang w:val="en-US" w:eastAsia="zh-CN"/>
        </w:rPr>
        <w:t>或者指导安装调试</w:t>
      </w:r>
      <w:r>
        <w:rPr>
          <w:rFonts w:hint="eastAsia" w:ascii="仿宋" w:hAnsi="仿宋" w:eastAsia="仿宋" w:cs="仿宋"/>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zh-CN"/>
        </w:rPr>
        <w:t>.3</w:t>
      </w:r>
      <w:r>
        <w:rPr>
          <w:rFonts w:hint="eastAsia" w:ascii="仿宋" w:hAnsi="仿宋" w:eastAsia="仿宋" w:cs="仿宋"/>
          <w:color w:val="auto"/>
          <w:kern w:val="0"/>
          <w:sz w:val="24"/>
          <w:szCs w:val="24"/>
        </w:rPr>
        <w:t xml:space="preserve"> 本合同约定的价格为含税价价格</w:t>
      </w:r>
      <w:r>
        <w:rPr>
          <w:rFonts w:hint="eastAsia" w:ascii="仿宋" w:hAnsi="仿宋" w:eastAsia="仿宋" w:cs="仿宋"/>
          <w:color w:val="auto"/>
          <w:sz w:val="24"/>
          <w:szCs w:val="24"/>
        </w:rPr>
        <w:t>（税率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hint="eastAsia" w:ascii="仿宋" w:hAnsi="仿宋" w:eastAsia="仿宋" w:cs="仿宋"/>
          <w:b/>
          <w:color w:val="auto"/>
          <w:sz w:val="24"/>
          <w:szCs w:val="24"/>
        </w:rPr>
      </w:pPr>
      <w:bookmarkStart w:id="108" w:name="_Toc518992989"/>
      <w:bookmarkStart w:id="109" w:name="_Toc520190029"/>
      <w:bookmarkStart w:id="110" w:name="_Toc474245213"/>
      <w:bookmarkStart w:id="111" w:name="_Toc107446843"/>
      <w:bookmarkStart w:id="112" w:name="_Toc107447236"/>
      <w:r>
        <w:rPr>
          <w:rFonts w:hint="eastAsia" w:ascii="仿宋" w:hAnsi="仿宋" w:eastAsia="仿宋" w:cs="仿宋"/>
          <w:b/>
          <w:color w:val="auto"/>
          <w:sz w:val="24"/>
          <w:szCs w:val="24"/>
        </w:rPr>
        <w:t>第五条 支付方式</w:t>
      </w:r>
      <w:bookmarkEnd w:id="108"/>
      <w:bookmarkEnd w:id="109"/>
      <w:bookmarkEnd w:id="110"/>
    </w:p>
    <w:bookmarkEnd w:id="111"/>
    <w:bookmarkEnd w:id="112"/>
    <w:p>
      <w:pPr>
        <w:tabs>
          <w:tab w:val="left" w:pos="851"/>
        </w:tabs>
        <w:adjustRightInd w:val="0"/>
        <w:snapToGrid w:val="0"/>
        <w:spacing w:after="0" w:line="360" w:lineRule="auto"/>
        <w:ind w:firstLine="480" w:firstLineChars="200"/>
        <w:rPr>
          <w:rFonts w:hint="eastAsia" w:ascii="仿宋" w:hAnsi="仿宋" w:eastAsia="仿宋" w:cs="仿宋"/>
          <w:color w:val="auto"/>
          <w:sz w:val="24"/>
          <w:szCs w:val="24"/>
        </w:rPr>
      </w:pPr>
      <w:bookmarkStart w:id="113" w:name="_Toc14703"/>
      <w:bookmarkStart w:id="114" w:name="_Toc183666516"/>
      <w:r>
        <w:rPr>
          <w:rFonts w:hint="eastAsia" w:ascii="仿宋" w:hAnsi="仿宋" w:eastAsia="仿宋" w:cs="仿宋"/>
          <w:color w:val="auto"/>
          <w:sz w:val="24"/>
          <w:szCs w:val="24"/>
        </w:rPr>
        <w:t>5.1</w:t>
      </w:r>
      <w:r>
        <w:rPr>
          <w:rFonts w:hint="eastAsia" w:ascii="仿宋" w:hAnsi="仿宋" w:eastAsia="仿宋" w:cs="仿宋"/>
          <w:bCs/>
          <w:color w:val="auto"/>
          <w:sz w:val="24"/>
          <w:szCs w:val="24"/>
        </w:rPr>
        <w:t>预付款的支付：</w:t>
      </w:r>
      <w:r>
        <w:rPr>
          <w:rFonts w:hint="eastAsia" w:ascii="仿宋" w:hAnsi="仿宋" w:eastAsia="仿宋" w:cs="仿宋"/>
          <w:color w:val="auto"/>
          <w:szCs w:val="21"/>
        </w:rPr>
        <w:sym w:font="Wingdings 2" w:char="0052"/>
      </w:r>
      <w:r>
        <w:rPr>
          <w:rFonts w:hint="eastAsia" w:ascii="仿宋" w:hAnsi="仿宋" w:eastAsia="仿宋" w:cs="仿宋"/>
          <w:bCs/>
          <w:color w:val="auto"/>
          <w:sz w:val="24"/>
          <w:szCs w:val="24"/>
        </w:rPr>
        <w:t xml:space="preserve">无；    </w:t>
      </w:r>
      <w:r>
        <w:rPr>
          <w:rFonts w:hint="eastAsia" w:ascii="仿宋" w:hAnsi="仿宋" w:eastAsia="仿宋" w:cs="仿宋"/>
          <w:color w:val="auto"/>
          <w:szCs w:val="21"/>
        </w:rPr>
        <w:t>□</w:t>
      </w:r>
      <w:r>
        <w:rPr>
          <w:rFonts w:hint="eastAsia" w:ascii="仿宋" w:hAnsi="仿宋" w:eastAsia="仿宋" w:cs="仿宋"/>
          <w:color w:val="auto"/>
          <w:szCs w:val="21"/>
          <w:lang w:val="en-US" w:eastAsia="zh-CN"/>
        </w:rPr>
        <w:t>有，</w:t>
      </w:r>
      <w:r>
        <w:rPr>
          <w:rFonts w:hint="eastAsia" w:ascii="仿宋" w:hAnsi="仿宋" w:eastAsia="仿宋" w:cs="仿宋"/>
          <w:bCs/>
          <w:color w:val="auto"/>
          <w:sz w:val="24"/>
          <w:szCs w:val="24"/>
        </w:rPr>
        <w:t>合同签订后，乙方开具等额的增值税专用发票及提交履约担保（如有）后</w:t>
      </w:r>
      <w:r>
        <w:rPr>
          <w:rFonts w:hint="eastAsia" w:ascii="仿宋" w:hAnsi="仿宋" w:eastAsia="仿宋" w:cs="仿宋"/>
          <w:bCs/>
          <w:color w:val="auto"/>
          <w:sz w:val="24"/>
          <w:szCs w:val="24"/>
          <w:u w:val="single"/>
        </w:rPr>
        <w:t>10</w:t>
      </w:r>
      <w:r>
        <w:rPr>
          <w:rFonts w:hint="eastAsia" w:ascii="仿宋" w:hAnsi="仿宋" w:eastAsia="仿宋" w:cs="仿宋"/>
          <w:bCs/>
          <w:color w:val="auto"/>
          <w:sz w:val="24"/>
          <w:szCs w:val="24"/>
        </w:rPr>
        <w:t xml:space="preserve">个工作日内，甲方支付合同暂定总价的 </w:t>
      </w:r>
      <w:r>
        <w:rPr>
          <w:rFonts w:hint="eastAsia" w:ascii="仿宋" w:hAnsi="仿宋" w:eastAsia="仿宋" w:cs="仿宋"/>
          <w:bCs/>
          <w:color w:val="auto"/>
          <w:sz w:val="24"/>
          <w:szCs w:val="24"/>
          <w:u w:val="single"/>
        </w:rPr>
        <w:t xml:space="preserve">  30%  </w:t>
      </w:r>
      <w:r>
        <w:rPr>
          <w:rFonts w:hint="eastAsia" w:ascii="仿宋" w:hAnsi="仿宋" w:eastAsia="仿宋" w:cs="仿宋"/>
          <w:color w:val="auto"/>
          <w:sz w:val="24"/>
          <w:szCs w:val="24"/>
        </w:rPr>
        <w:t>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元，（大写：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作为预付款。</w:t>
      </w:r>
      <w:r>
        <w:rPr>
          <w:rFonts w:hint="eastAsia" w:ascii="仿宋" w:hAnsi="仿宋" w:eastAsia="仿宋" w:cs="仿宋"/>
          <w:color w:val="auto"/>
          <w:sz w:val="24"/>
          <w:szCs w:val="24"/>
        </w:rPr>
        <w:t>若合同解除或终止，乙方在</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个工作日内返还预付款（无息）。</w:t>
      </w:r>
      <w:r>
        <w:rPr>
          <w:rFonts w:hint="eastAsia" w:ascii="仿宋" w:hAnsi="仿宋" w:eastAsia="仿宋" w:cs="仿宋"/>
          <w:bCs/>
          <w:color w:val="auto"/>
          <w:kern w:val="0"/>
          <w:sz w:val="24"/>
          <w:szCs w:val="24"/>
        </w:rPr>
        <w:t>逾期未返还，每逾期一天，乙方应按合同暂定总价的</w:t>
      </w:r>
      <w:r>
        <w:rPr>
          <w:rFonts w:hint="eastAsia" w:ascii="仿宋" w:hAnsi="仿宋" w:eastAsia="仿宋" w:cs="仿宋"/>
          <w:bCs/>
          <w:color w:val="auto"/>
          <w:kern w:val="0"/>
          <w:sz w:val="24"/>
          <w:szCs w:val="24"/>
          <w:u w:val="single"/>
        </w:rPr>
        <w:t>万分之五/天</w:t>
      </w:r>
      <w:r>
        <w:rPr>
          <w:rFonts w:hint="eastAsia" w:ascii="仿宋" w:hAnsi="仿宋" w:eastAsia="仿宋" w:cs="仿宋"/>
          <w:bCs/>
          <w:color w:val="auto"/>
          <w:kern w:val="0"/>
          <w:sz w:val="24"/>
          <w:szCs w:val="24"/>
        </w:rPr>
        <w:t>支付违约金</w:t>
      </w:r>
      <w:r>
        <w:rPr>
          <w:rFonts w:hint="eastAsia" w:ascii="仿宋" w:hAnsi="仿宋" w:eastAsia="仿宋" w:cs="仿宋"/>
          <w:color w:val="auto"/>
          <w:sz w:val="24"/>
          <w:szCs w:val="24"/>
        </w:rPr>
        <w:t>。</w:t>
      </w:r>
    </w:p>
    <w:p>
      <w:pPr>
        <w:tabs>
          <w:tab w:val="left" w:pos="851"/>
        </w:tabs>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5.2 支付方式：</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5.2.1设备到达现场，经开箱验收合格并全部调试完毕，乙方提交请款资料及等额增值税专用发票，经甲方结算审核后</w:t>
      </w:r>
      <w:r>
        <w:rPr>
          <w:rFonts w:hint="eastAsia" w:ascii="仿宋" w:hAnsi="仿宋" w:eastAsia="仿宋" w:cs="仿宋"/>
          <w:color w:val="auto"/>
          <w:sz w:val="24"/>
          <w:szCs w:val="24"/>
          <w:u w:val="single"/>
        </w:rPr>
        <w:t xml:space="preserve"> 15 </w:t>
      </w:r>
      <w:r>
        <w:rPr>
          <w:rFonts w:hint="eastAsia" w:ascii="仿宋" w:hAnsi="仿宋" w:eastAsia="仿宋" w:cs="仿宋"/>
          <w:color w:val="auto"/>
          <w:sz w:val="24"/>
          <w:szCs w:val="24"/>
        </w:rPr>
        <w:t>个工作日内，支付至合同结算价的95%（含预付款）（若审核价低于合同暂定总价，则以审核价作为合同结算价，否则以合同暂定总价为合同结算价），合同结算价的5%作为质保金留存。</w:t>
      </w:r>
    </w:p>
    <w:p>
      <w:pPr>
        <w:pStyle w:val="13"/>
        <w:spacing w:line="360" w:lineRule="auto"/>
        <w:ind w:firstLine="525" w:firstLineChars="250"/>
        <w:outlineLvl w:val="1"/>
        <w:rPr>
          <w:rFonts w:hint="eastAsia" w:ascii="仿宋" w:hAnsi="仿宋" w:eastAsia="仿宋" w:cs="仿宋"/>
          <w:szCs w:val="24"/>
        </w:rPr>
      </w:pPr>
      <w:r>
        <w:rPr>
          <w:rFonts w:hint="eastAsia" w:ascii="仿宋" w:hAnsi="仿宋" w:eastAsia="仿宋" w:cs="仿宋"/>
          <w:szCs w:val="24"/>
        </w:rPr>
        <w:t>5.2.2质保期按合同第九条规定执行，质保期满且乙方不存在违约情形，乙方提交请款资料及等额增值税专用发票，甲方审核无误后在</w:t>
      </w:r>
      <w:r>
        <w:rPr>
          <w:rFonts w:hint="eastAsia" w:ascii="仿宋" w:hAnsi="仿宋" w:eastAsia="仿宋" w:cs="仿宋"/>
          <w:szCs w:val="24"/>
          <w:u w:val="single"/>
        </w:rPr>
        <w:t xml:space="preserve"> 15 </w:t>
      </w:r>
      <w:r>
        <w:rPr>
          <w:rFonts w:hint="eastAsia" w:ascii="仿宋" w:hAnsi="仿宋" w:eastAsia="仿宋" w:cs="仿宋"/>
          <w:szCs w:val="24"/>
        </w:rPr>
        <w:t>个工作日内支付合同结算价的5％（质保金）给乙方(无息)。</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5.2.3乙方收款账户：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rPr>
        <w:t>收款账号：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rPr>
        <w:t>开户行：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5.2.4乙方在收款前需向甲方提交等额增值税专用发票，增值税专用发票信息：</w:t>
      </w:r>
    </w:p>
    <w:p>
      <w:pPr>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tabs>
          <w:tab w:val="left" w:pos="851"/>
        </w:tabs>
        <w:adjustRightInd w:val="0"/>
        <w:snapToGrid w:val="0"/>
        <w:spacing w:line="360" w:lineRule="auto"/>
        <w:ind w:firstLine="480" w:firstLineChars="200"/>
        <w:outlineLvl w:val="1"/>
        <w:rPr>
          <w:rFonts w:hint="eastAsia" w:ascii="仿宋" w:hAnsi="仿宋" w:eastAsia="仿宋" w:cs="仿宋"/>
          <w:color w:val="auto"/>
          <w:sz w:val="24"/>
          <w:szCs w:val="24"/>
        </w:rPr>
      </w:pPr>
      <w:r>
        <w:rPr>
          <w:rFonts w:hint="eastAsia" w:ascii="仿宋" w:hAnsi="仿宋" w:eastAsia="仿宋" w:cs="仿宋"/>
          <w:color w:val="auto"/>
          <w:sz w:val="24"/>
          <w:szCs w:val="24"/>
        </w:rPr>
        <w:t xml:space="preserve">5.3付款方式：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网银支付；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支票；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pPr>
        <w:autoSpaceDE w:val="0"/>
        <w:autoSpaceDN w:val="0"/>
        <w:adjustRightInd w:val="0"/>
        <w:spacing w:after="0" w:line="360" w:lineRule="auto"/>
        <w:rPr>
          <w:rFonts w:hint="eastAsia" w:ascii="仿宋" w:hAnsi="仿宋" w:eastAsia="仿宋" w:cs="仿宋"/>
          <w:bCs/>
          <w:color w:val="auto"/>
          <w:sz w:val="24"/>
          <w:szCs w:val="24"/>
        </w:rPr>
      </w:pPr>
      <w:r>
        <w:rPr>
          <w:rFonts w:hint="eastAsia" w:ascii="仿宋" w:hAnsi="仿宋" w:eastAsia="仿宋" w:cs="仿宋"/>
          <w:b/>
          <w:color w:val="auto"/>
          <w:sz w:val="24"/>
          <w:szCs w:val="24"/>
        </w:rPr>
        <w:t>第六条 履约担保</w:t>
      </w:r>
    </w:p>
    <w:p>
      <w:pPr>
        <w:spacing w:after="0" w:line="360" w:lineRule="auto"/>
        <w:ind w:firstLine="480" w:firstLineChars="200"/>
        <w:outlineLvl w:val="0"/>
        <w:rPr>
          <w:rFonts w:hint="eastAsia" w:ascii="仿宋" w:hAnsi="仿宋" w:eastAsia="仿宋" w:cs="仿宋"/>
          <w:color w:val="auto"/>
          <w:sz w:val="24"/>
          <w:szCs w:val="24"/>
          <w:u w:val="single"/>
        </w:rPr>
      </w:pPr>
      <w:r>
        <w:rPr>
          <w:rFonts w:hint="eastAsia" w:ascii="仿宋" w:hAnsi="仿宋" w:eastAsia="仿宋" w:cs="仿宋"/>
          <w:color w:val="auto"/>
          <w:sz w:val="24"/>
          <w:szCs w:val="24"/>
        </w:rPr>
        <w:t>6.1履约担保：</w:t>
      </w:r>
      <w:r>
        <w:rPr>
          <w:rFonts w:hint="eastAsia" w:ascii="仿宋" w:hAnsi="仿宋" w:eastAsia="仿宋" w:cs="仿宋"/>
          <w:color w:val="auto"/>
          <w:szCs w:val="21"/>
        </w:rPr>
        <w:sym w:font="Wingdings 2" w:char="0052"/>
      </w:r>
      <w:r>
        <w:rPr>
          <w:rFonts w:hint="eastAsia" w:ascii="仿宋" w:hAnsi="仿宋" w:eastAsia="仿宋" w:cs="仿宋"/>
          <w:bCs/>
          <w:color w:val="auto"/>
          <w:sz w:val="24"/>
          <w:szCs w:val="24"/>
        </w:rPr>
        <w:t xml:space="preserve">无；   </w:t>
      </w:r>
      <w:r>
        <w:rPr>
          <w:rFonts w:hint="eastAsia" w:ascii="仿宋" w:hAnsi="仿宋" w:eastAsia="仿宋" w:cs="仿宋"/>
          <w:color w:val="auto"/>
          <w:szCs w:val="21"/>
        </w:rPr>
        <w:t>□</w:t>
      </w:r>
      <w:r>
        <w:rPr>
          <w:rFonts w:hint="eastAsia" w:ascii="仿宋" w:hAnsi="仿宋" w:eastAsia="仿宋" w:cs="仿宋"/>
          <w:bCs/>
          <w:color w:val="auto"/>
          <w:sz w:val="24"/>
          <w:szCs w:val="24"/>
        </w:rPr>
        <w:t xml:space="preserve"> </w:t>
      </w:r>
      <w:r>
        <w:rPr>
          <w:rFonts w:hint="eastAsia" w:ascii="仿宋" w:hAnsi="仿宋" w:eastAsia="仿宋" w:cs="仿宋"/>
          <w:bCs/>
          <w:color w:val="auto"/>
          <w:sz w:val="24"/>
          <w:szCs w:val="24"/>
          <w:lang w:val="en-US" w:eastAsia="zh-CN"/>
        </w:rPr>
        <w:t>有，</w:t>
      </w:r>
      <w:r>
        <w:rPr>
          <w:rFonts w:hint="eastAsia" w:ascii="仿宋" w:hAnsi="仿宋" w:eastAsia="仿宋" w:cs="仿宋"/>
          <w:color w:val="auto"/>
          <w:sz w:val="24"/>
          <w:szCs w:val="24"/>
        </w:rPr>
        <w:t>本合同签订后10日内</w:t>
      </w:r>
      <w:r>
        <w:rPr>
          <w:rFonts w:hint="eastAsia" w:ascii="仿宋" w:hAnsi="仿宋" w:eastAsia="仿宋" w:cs="仿宋"/>
          <w:color w:val="auto"/>
          <w:sz w:val="24"/>
          <w:szCs w:val="24"/>
          <w:u w:val="single"/>
        </w:rPr>
        <w:t>以合同暂定总价的10%作为履约保证金，</w:t>
      </w:r>
      <w:r>
        <w:rPr>
          <w:rFonts w:hint="eastAsia" w:ascii="仿宋" w:hAnsi="仿宋" w:eastAsia="仿宋" w:cs="仿宋"/>
          <w:color w:val="auto"/>
          <w:sz w:val="24"/>
          <w:szCs w:val="24"/>
        </w:rPr>
        <w:t>金额为：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（大写人民币：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6.2履约担保按以下任一种形式提供：</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1、符合甲方要求（详见附件6保函格式）的银行独立保函，</w:t>
      </w:r>
    </w:p>
    <w:p>
      <w:pPr>
        <w:pStyle w:val="21"/>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2、现金转账至甲方以下指定账户：</w:t>
      </w:r>
    </w:p>
    <w:p>
      <w:pPr>
        <w:tabs>
          <w:tab w:val="left" w:pos="1995"/>
        </w:tabs>
        <w:spacing w:line="360" w:lineRule="auto"/>
        <w:ind w:firstLine="480" w:firstLineChars="20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户名：广州</w:t>
      </w:r>
      <w:r>
        <w:rPr>
          <w:rFonts w:hint="eastAsia" w:ascii="仿宋" w:hAnsi="仿宋" w:eastAsia="仿宋" w:cs="仿宋"/>
          <w:bCs/>
          <w:color w:val="auto"/>
          <w:sz w:val="24"/>
          <w:szCs w:val="24"/>
          <w:lang w:val="en-US" w:eastAsia="zh-CN"/>
        </w:rPr>
        <w:t>城市水处理设备有限公司</w:t>
      </w:r>
    </w:p>
    <w:p>
      <w:pPr>
        <w:tabs>
          <w:tab w:val="left" w:pos="1995"/>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账号：44050142031400001565 </w:t>
      </w:r>
    </w:p>
    <w:p>
      <w:pPr>
        <w:tabs>
          <w:tab w:val="left" w:pos="1995"/>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开户行：中国建设银行股份有限公司广州珠江新城支行 </w:t>
      </w:r>
    </w:p>
    <w:p>
      <w:pPr>
        <w:spacing w:line="360" w:lineRule="auto"/>
        <w:ind w:firstLine="48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6.3履约担保的担保期限和返还</w:t>
      </w:r>
    </w:p>
    <w:p>
      <w:pPr>
        <w:spacing w:line="360" w:lineRule="auto"/>
        <w:ind w:firstLine="48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6.3.1</w:t>
      </w:r>
      <w:r>
        <w:rPr>
          <w:rFonts w:hint="eastAsia" w:ascii="仿宋" w:hAnsi="仿宋" w:eastAsia="仿宋" w:cs="仿宋"/>
          <w:sz w:val="24"/>
        </w:rPr>
        <w:t>履约银行保函（或现金履约保证金）的担保期限：从提供履约担保（或转账成功）之日起至合同履行完成。</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6.3.2</w:t>
      </w:r>
      <w:r>
        <w:rPr>
          <w:rFonts w:hint="eastAsia" w:ascii="仿宋" w:hAnsi="仿宋" w:eastAsia="仿宋" w:cs="仿宋"/>
          <w:sz w:val="24"/>
        </w:rPr>
        <w:t>履约银行保函在合同履行完成后，由乙方提出申请，甲方在28日内返还，不支付利息；</w:t>
      </w:r>
      <w:r>
        <w:rPr>
          <w:rFonts w:hint="eastAsia" w:ascii="仿宋" w:hAnsi="仿宋" w:eastAsia="仿宋" w:cs="仿宋"/>
          <w:color w:val="auto"/>
          <w:sz w:val="24"/>
          <w:szCs w:val="24"/>
        </w:rPr>
        <w:t xml:space="preserve"> </w:t>
      </w:r>
    </w:p>
    <w:p>
      <w:pPr>
        <w:spacing w:line="360" w:lineRule="auto"/>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6.3.3延长担保期限。履约银行保函形式提交履约保证金的，在银行保函到期前，乙方应提前</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天向甲方提交新的保函以替换即将到期的保函。如乙方未及时提交的，甲方有权直接要求担保银行支付其担保的全部金额并解除合同。</w:t>
      </w:r>
    </w:p>
    <w:p>
      <w:pPr>
        <w:pStyle w:val="21"/>
        <w:spacing w:before="0" w:beforeAutospacing="0" w:after="0" w:afterAutospacing="0" w:line="360" w:lineRule="auto"/>
        <w:ind w:firstLine="525"/>
        <w:rPr>
          <w:rFonts w:hint="eastAsia" w:ascii="仿宋" w:hAnsi="仿宋" w:eastAsia="仿宋" w:cs="仿宋"/>
        </w:rPr>
      </w:pPr>
      <w:r>
        <w:rPr>
          <w:rFonts w:hint="eastAsia" w:ascii="仿宋" w:hAnsi="仿宋" w:eastAsia="仿宋" w:cs="仿宋"/>
        </w:rPr>
        <w:t>6.3.4现金履约保证金的退还：合同履行完成后，由乙方提出申请，甲方在28天内将剩余履约保证金（无息）返还。</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6.3.5甲方按合同约定提取履约担保金额后，乙方应在收到甲方通知后</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天内补足数额，逾期未补足，则甲方有权提取履约担保的全部余额并解除合同。</w:t>
      </w:r>
    </w:p>
    <w:bookmarkEnd w:id="113"/>
    <w:bookmarkEnd w:id="114"/>
    <w:p>
      <w:pPr>
        <w:spacing w:after="0"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bCs/>
          <w:color w:val="auto"/>
          <w:kern w:val="0"/>
          <w:sz w:val="24"/>
          <w:szCs w:val="24"/>
        </w:rPr>
        <w:t xml:space="preserve">第七条 </w:t>
      </w:r>
      <w:r>
        <w:rPr>
          <w:rFonts w:hint="eastAsia" w:ascii="仿宋" w:hAnsi="仿宋" w:eastAsia="仿宋" w:cs="仿宋"/>
          <w:b/>
          <w:color w:val="auto"/>
          <w:sz w:val="24"/>
          <w:szCs w:val="24"/>
        </w:rPr>
        <w:t>交货及检验要求</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7.1 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7.2外观验收：设备运抵交货地点后，甲乙双方根据合同约定对合同设备的包装、外观与件数进行清点检查，并共同签署合同设备外观检查记录。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7.3 开箱验收：开箱检验在合同设备交付地点进行，</w:t>
      </w:r>
      <w:r>
        <w:rPr>
          <w:rFonts w:hint="eastAsia" w:ascii="仿宋" w:hAnsi="仿宋" w:eastAsia="仿宋" w:cs="仿宋"/>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7.6 甲方有权对合同设备进行原厂正品验证，若合同设备无法获原厂验证，甲方有权退回设备，要求乙方在</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个工作日内退回已支付款项并按设备价格的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20</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w:t>
      </w:r>
    </w:p>
    <w:bookmarkEnd w:id="101"/>
    <w:bookmarkEnd w:id="102"/>
    <w:bookmarkEnd w:id="103"/>
    <w:bookmarkEnd w:id="104"/>
    <w:bookmarkEnd w:id="105"/>
    <w:bookmarkEnd w:id="106"/>
    <w:bookmarkEnd w:id="107"/>
    <w:p>
      <w:pPr>
        <w:spacing w:before="120" w:after="120" w:line="360" w:lineRule="auto"/>
        <w:ind w:firstLine="482" w:firstLineChars="200"/>
        <w:rPr>
          <w:rFonts w:hint="eastAsia" w:ascii="仿宋" w:hAnsi="仿宋" w:eastAsia="仿宋" w:cs="仿宋"/>
          <w:b/>
          <w:color w:val="auto"/>
          <w:sz w:val="24"/>
          <w:szCs w:val="24"/>
        </w:rPr>
      </w:pPr>
      <w:bookmarkStart w:id="115" w:name="_Toc474245215"/>
      <w:bookmarkStart w:id="116" w:name="_Toc520190030"/>
      <w:bookmarkStart w:id="117" w:name="_Toc518992990"/>
      <w:bookmarkStart w:id="118" w:name="_Toc183666534"/>
      <w:bookmarkStart w:id="119" w:name="_Toc257"/>
      <w:r>
        <w:rPr>
          <w:rFonts w:hint="eastAsia" w:ascii="仿宋" w:hAnsi="仿宋" w:eastAsia="仿宋" w:cs="仿宋"/>
          <w:b/>
          <w:color w:val="auto"/>
          <w:sz w:val="24"/>
          <w:szCs w:val="24"/>
        </w:rPr>
        <w:t>第八条 包装</w:t>
      </w:r>
      <w:bookmarkEnd w:id="115"/>
      <w:bookmarkEnd w:id="116"/>
      <w:bookmarkEnd w:id="117"/>
      <w:r>
        <w:rPr>
          <w:rFonts w:hint="eastAsia" w:ascii="仿宋" w:hAnsi="仿宋" w:eastAsia="仿宋" w:cs="仿宋"/>
          <w:b/>
          <w:color w:val="auto"/>
          <w:sz w:val="24"/>
          <w:szCs w:val="24"/>
        </w:rPr>
        <w:t>、标示及运输要求</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 包装</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8.1.2超限设备的包装要求：</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8.2 </w:t>
      </w:r>
      <w:bookmarkStart w:id="120" w:name="_Toc107447244"/>
      <w:bookmarkStart w:id="121" w:name="_Toc107446851"/>
      <w:r>
        <w:rPr>
          <w:rFonts w:hint="eastAsia" w:ascii="仿宋" w:hAnsi="仿宋" w:eastAsia="仿宋" w:cs="仿宋"/>
          <w:bCs/>
          <w:color w:val="auto"/>
          <w:sz w:val="24"/>
          <w:szCs w:val="24"/>
        </w:rPr>
        <w:t>标志</w:t>
      </w:r>
    </w:p>
    <w:bookmarkEnd w:id="120"/>
    <w:bookmarkEnd w:id="121"/>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8.2.1乙方应按照国家标准对设备的外包装进行标志。</w:t>
      </w:r>
    </w:p>
    <w:p>
      <w:pPr>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8.2.3  如由于包装不当或包装箱内部保护措施不符合要求而导致在装车或运输中发生设备或其任何部件的损坏或遗失，乙方应自费对缺损的设备、部件进行修理、更换或补供。</w:t>
      </w:r>
      <w:bookmarkStart w:id="122" w:name="_Toc474245218"/>
      <w:bookmarkStart w:id="123" w:name="_Toc520190032"/>
      <w:bookmarkStart w:id="124" w:name="_Toc518992992"/>
      <w:bookmarkStart w:id="125" w:name="_Toc306350457"/>
      <w:bookmarkStart w:id="126" w:name="_Toc183666521"/>
      <w:bookmarkStart w:id="127" w:name="_Toc9269"/>
    </w:p>
    <w:p>
      <w:pPr>
        <w:adjustRightInd w:val="0"/>
        <w:snapToGrid w:val="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8.3运输</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8.3.1乙方应自行选择适宜的运输工具及线路安排合同设备运输。</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8.3.2 除合同条款另有约定外，每件设备的备品备件应整套装运。</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22"/>
    <w:bookmarkEnd w:id="123"/>
    <w:bookmarkEnd w:id="124"/>
    <w:bookmarkEnd w:id="125"/>
    <w:bookmarkEnd w:id="126"/>
    <w:bookmarkEnd w:id="127"/>
    <w:p>
      <w:pPr>
        <w:adjustRightInd w:val="0"/>
        <w:snapToGrid w:val="0"/>
        <w:spacing w:before="120" w:beforeLines="50" w:after="120" w:afterLines="50" w:line="360" w:lineRule="auto"/>
        <w:ind w:firstLine="482" w:firstLineChars="200"/>
        <w:rPr>
          <w:rFonts w:hint="eastAsia" w:ascii="仿宋" w:hAnsi="仿宋" w:eastAsia="仿宋" w:cs="仿宋"/>
          <w:color w:val="auto"/>
          <w:sz w:val="24"/>
          <w:szCs w:val="24"/>
        </w:rPr>
      </w:pPr>
      <w:bookmarkStart w:id="128" w:name="_Toc306350458"/>
      <w:bookmarkStart w:id="129" w:name="_Toc18496"/>
      <w:bookmarkStart w:id="130" w:name="_Toc183666522"/>
      <w:r>
        <w:rPr>
          <w:rFonts w:hint="eastAsia" w:ascii="仿宋" w:hAnsi="仿宋" w:eastAsia="仿宋" w:cs="仿宋"/>
          <w:b/>
          <w:color w:val="auto"/>
          <w:sz w:val="24"/>
          <w:szCs w:val="24"/>
        </w:rPr>
        <w:t>第九条 技术服务</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9.1  乙方应按甲方需求，派遣技术熟练、称职的技术人员到现场为甲方提供设备调试运行等技术服务。</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9.3  乙方技术人员应遵守甲方施工现场的各项规章制度和安全操作规程，并服从甲方的现场管理。</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82" w:firstLineChars="200"/>
        <w:rPr>
          <w:rFonts w:hint="eastAsia" w:ascii="仿宋" w:hAnsi="仿宋" w:eastAsia="仿宋" w:cs="仿宋"/>
          <w:b/>
          <w:color w:val="auto"/>
          <w:sz w:val="24"/>
          <w:szCs w:val="24"/>
        </w:rPr>
      </w:pPr>
      <w:bookmarkStart w:id="131" w:name="_Toc520190034"/>
      <w:bookmarkStart w:id="132" w:name="_Toc518992994"/>
      <w:bookmarkStart w:id="133" w:name="_Toc474245220"/>
      <w:bookmarkStart w:id="134" w:name="_Toc4682"/>
      <w:bookmarkStart w:id="135" w:name="_Toc183666523"/>
      <w:bookmarkStart w:id="136" w:name="_Toc306350459"/>
      <w:r>
        <w:rPr>
          <w:rFonts w:hint="eastAsia" w:ascii="仿宋" w:hAnsi="仿宋" w:eastAsia="仿宋" w:cs="仿宋"/>
          <w:b/>
          <w:color w:val="auto"/>
          <w:sz w:val="24"/>
          <w:szCs w:val="24"/>
        </w:rPr>
        <w:t>第十条 质量保</w:t>
      </w:r>
      <w:bookmarkEnd w:id="131"/>
      <w:bookmarkEnd w:id="132"/>
      <w:bookmarkEnd w:id="133"/>
      <w:r>
        <w:rPr>
          <w:rFonts w:hint="eastAsia" w:ascii="仿宋" w:hAnsi="仿宋" w:eastAsia="仿宋" w:cs="仿宋"/>
          <w:b/>
          <w:color w:val="auto"/>
          <w:sz w:val="24"/>
          <w:szCs w:val="24"/>
        </w:rPr>
        <w:t>修</w:t>
      </w:r>
    </w:p>
    <w:p>
      <w:pPr>
        <w:tabs>
          <w:tab w:val="left" w:pos="851"/>
        </w:tabs>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10.1保修期：自</w:t>
      </w:r>
      <w:r>
        <w:rPr>
          <w:rFonts w:hint="eastAsia" w:ascii="仿宋" w:hAnsi="仿宋" w:eastAsia="仿宋" w:cs="仿宋"/>
          <w:color w:val="auto"/>
          <w:kern w:val="0"/>
          <w:sz w:val="24"/>
          <w:szCs w:val="24"/>
          <w:lang w:val="zh-CN"/>
        </w:rPr>
        <w:t>设备</w:t>
      </w:r>
      <w:r>
        <w:rPr>
          <w:rFonts w:hint="eastAsia" w:ascii="仿宋" w:hAnsi="仿宋" w:eastAsia="仿宋" w:cs="仿宋"/>
          <w:color w:val="auto"/>
          <w:kern w:val="0"/>
          <w:sz w:val="24"/>
          <w:szCs w:val="24"/>
        </w:rPr>
        <w:t>开箱</w:t>
      </w:r>
      <w:r>
        <w:rPr>
          <w:rFonts w:hint="eastAsia" w:ascii="仿宋" w:hAnsi="仿宋" w:eastAsia="仿宋" w:cs="仿宋"/>
          <w:color w:val="auto"/>
          <w:kern w:val="0"/>
          <w:sz w:val="24"/>
          <w:szCs w:val="24"/>
          <w:lang w:val="zh-CN"/>
        </w:rPr>
        <w:t>验收合格之日起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年</w:t>
      </w:r>
      <w:r>
        <w:rPr>
          <w:rFonts w:hint="eastAsia" w:ascii="仿宋" w:hAnsi="仿宋" w:eastAsia="仿宋" w:cs="仿宋"/>
          <w:color w:val="auto"/>
          <w:sz w:val="24"/>
          <w:szCs w:val="24"/>
        </w:rPr>
        <w:t xml:space="preserve">。保修期内乙方应免费对设备进行日常维护保养及质量缺陷修复。                                          </w:t>
      </w:r>
    </w:p>
    <w:p>
      <w:pPr>
        <w:tabs>
          <w:tab w:val="left" w:pos="851"/>
        </w:tabs>
        <w:adjustRightInd w:val="0"/>
        <w:snapToGrid w:val="0"/>
        <w:spacing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sz w:val="24"/>
          <w:szCs w:val="24"/>
        </w:rPr>
        <w:t>10.2</w:t>
      </w:r>
      <w:r>
        <w:rPr>
          <w:rFonts w:hint="eastAsia" w:ascii="仿宋" w:hAnsi="仿宋" w:eastAsia="仿宋" w:cs="仿宋"/>
          <w:color w:val="auto"/>
          <w:kern w:val="0"/>
          <w:sz w:val="24"/>
          <w:szCs w:val="24"/>
        </w:rPr>
        <w:t>保修</w:t>
      </w:r>
      <w:r>
        <w:rPr>
          <w:rFonts w:hint="eastAsia" w:ascii="仿宋" w:hAnsi="仿宋" w:eastAsia="仿宋" w:cs="仿宋"/>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仿宋" w:hAnsi="仿宋" w:eastAsia="仿宋" w:cs="仿宋"/>
          <w:color w:val="auto"/>
          <w:kern w:val="0"/>
          <w:sz w:val="24"/>
          <w:szCs w:val="24"/>
          <w:u w:val="single"/>
          <w:lang w:val="zh-CN"/>
        </w:rPr>
        <w:t>同暂定总价的10%作为</w:t>
      </w:r>
      <w:r>
        <w:rPr>
          <w:rFonts w:hint="eastAsia" w:ascii="仿宋" w:hAnsi="仿宋" w:eastAsia="仿宋" w:cs="仿宋"/>
          <w:color w:val="auto"/>
          <w:kern w:val="0"/>
          <w:sz w:val="24"/>
          <w:szCs w:val="24"/>
          <w:lang w:val="zh-CN"/>
        </w:rPr>
        <w:t>违约金，</w:t>
      </w:r>
      <w:r>
        <w:rPr>
          <w:rFonts w:hint="eastAsia" w:ascii="仿宋" w:hAnsi="仿宋" w:eastAsia="仿宋" w:cs="仿宋"/>
          <w:color w:val="auto"/>
          <w:kern w:val="0"/>
          <w:sz w:val="24"/>
          <w:szCs w:val="24"/>
        </w:rPr>
        <w:t>由此产生的</w:t>
      </w:r>
      <w:r>
        <w:rPr>
          <w:rFonts w:hint="eastAsia" w:ascii="仿宋" w:hAnsi="仿宋" w:eastAsia="仿宋" w:cs="仿宋"/>
          <w:color w:val="auto"/>
          <w:kern w:val="0"/>
          <w:sz w:val="24"/>
          <w:szCs w:val="24"/>
          <w:lang w:val="zh-CN"/>
        </w:rPr>
        <w:t>费用由乙方承担。对涉及运营费用，乙方应保证在</w:t>
      </w:r>
      <w:r>
        <w:rPr>
          <w:rFonts w:hint="eastAsia" w:ascii="仿宋" w:hAnsi="仿宋" w:eastAsia="仿宋" w:cs="仿宋"/>
          <w:color w:val="auto"/>
          <w:kern w:val="0"/>
          <w:sz w:val="24"/>
          <w:szCs w:val="24"/>
        </w:rPr>
        <w:t>开箱</w:t>
      </w:r>
      <w:r>
        <w:rPr>
          <w:rFonts w:hint="eastAsia" w:ascii="仿宋" w:hAnsi="仿宋" w:eastAsia="仿宋" w:cs="仿宋"/>
          <w:color w:val="auto"/>
          <w:kern w:val="0"/>
          <w:sz w:val="24"/>
          <w:szCs w:val="24"/>
          <w:lang w:val="zh-CN"/>
        </w:rPr>
        <w:t>验收</w:t>
      </w:r>
      <w:r>
        <w:rPr>
          <w:rFonts w:hint="eastAsia" w:ascii="仿宋" w:hAnsi="仿宋" w:eastAsia="仿宋" w:cs="仿宋"/>
          <w:color w:val="auto"/>
          <w:kern w:val="0"/>
          <w:sz w:val="24"/>
          <w:szCs w:val="24"/>
        </w:rPr>
        <w:t>合格</w:t>
      </w:r>
      <w:r>
        <w:rPr>
          <w:rFonts w:hint="eastAsia" w:ascii="仿宋" w:hAnsi="仿宋" w:eastAsia="仿宋" w:cs="仿宋"/>
          <w:color w:val="auto"/>
          <w:kern w:val="0"/>
          <w:sz w:val="24"/>
          <w:szCs w:val="24"/>
          <w:lang w:val="zh-CN"/>
        </w:rPr>
        <w:t>后三年内，</w:t>
      </w:r>
      <w:r>
        <w:rPr>
          <w:rFonts w:hint="eastAsia" w:ascii="仿宋" w:hAnsi="仿宋" w:eastAsia="仿宋" w:cs="仿宋"/>
          <w:color w:val="auto"/>
          <w:kern w:val="0"/>
          <w:sz w:val="24"/>
          <w:szCs w:val="24"/>
        </w:rPr>
        <w:t>设备</w:t>
      </w:r>
      <w:r>
        <w:rPr>
          <w:rFonts w:hint="eastAsia" w:ascii="仿宋" w:hAnsi="仿宋" w:eastAsia="仿宋" w:cs="仿宋"/>
          <w:color w:val="auto"/>
          <w:kern w:val="0"/>
          <w:sz w:val="24"/>
          <w:szCs w:val="24"/>
          <w:lang w:val="zh-CN"/>
        </w:rPr>
        <w:t>运行费用不高于投标文件/响应文件的承诺指标，</w:t>
      </w:r>
      <w:r>
        <w:rPr>
          <w:rFonts w:hint="eastAsia" w:ascii="仿宋" w:hAnsi="仿宋" w:eastAsia="仿宋" w:cs="仿宋"/>
          <w:color w:val="auto"/>
          <w:kern w:val="0"/>
          <w:sz w:val="24"/>
          <w:szCs w:val="24"/>
        </w:rPr>
        <w:t>否则，</w:t>
      </w:r>
      <w:r>
        <w:rPr>
          <w:rFonts w:hint="eastAsia" w:ascii="仿宋" w:hAnsi="仿宋" w:eastAsia="仿宋" w:cs="仿宋"/>
          <w:color w:val="auto"/>
          <w:kern w:val="0"/>
          <w:sz w:val="24"/>
          <w:szCs w:val="24"/>
          <w:lang w:val="zh-CN"/>
        </w:rPr>
        <w:t>乙方需无条件免费更换设备</w:t>
      </w:r>
      <w:r>
        <w:rPr>
          <w:rFonts w:hint="eastAsia" w:ascii="仿宋" w:hAnsi="仿宋" w:eastAsia="仿宋" w:cs="仿宋"/>
          <w:color w:val="auto"/>
          <w:kern w:val="0"/>
          <w:sz w:val="24"/>
          <w:szCs w:val="24"/>
        </w:rPr>
        <w:t>并支付违约金</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5000</w:t>
      </w:r>
      <w:r>
        <w:rPr>
          <w:rFonts w:hint="eastAsia" w:ascii="仿宋" w:hAnsi="仿宋" w:eastAsia="仿宋" w:cs="仿宋"/>
          <w:color w:val="auto"/>
          <w:kern w:val="0"/>
          <w:sz w:val="24"/>
          <w:szCs w:val="24"/>
        </w:rPr>
        <w:t>元</w:t>
      </w:r>
      <w:r>
        <w:rPr>
          <w:rFonts w:hint="eastAsia" w:ascii="仿宋" w:hAnsi="仿宋" w:eastAsia="仿宋" w:cs="仿宋"/>
          <w:color w:val="auto"/>
          <w:kern w:val="0"/>
          <w:sz w:val="24"/>
          <w:szCs w:val="24"/>
          <w:lang w:val="zh-CN"/>
        </w:rPr>
        <w:t>（如有）。</w:t>
      </w:r>
    </w:p>
    <w:p>
      <w:pPr>
        <w:tabs>
          <w:tab w:val="left" w:pos="851"/>
        </w:tabs>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10.3 保修期间由于设备本身原因产生的故障仍属质保范围，对更换或维修过的零部件从更换或维修完成并验收合格之日起，质量保修期重新计算。</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10.4 质量保修期间，如合同设备出现故障，乙方应在接到甲方通知后</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24</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  小时内通过电话、网络等提供远程技术指导，如甲方需要乙方到场的，乙方应在收到甲方通知后</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48</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小时内派专业技术人员到场负责解决及维修故障。</w:t>
      </w:r>
      <w:bookmarkEnd w:id="134"/>
      <w:bookmarkEnd w:id="135"/>
      <w:bookmarkEnd w:id="136"/>
      <w:bookmarkStart w:id="137" w:name="_Toc183666528"/>
      <w:bookmarkStart w:id="138" w:name="_Toc107447250"/>
      <w:bookmarkStart w:id="139" w:name="_Toc107446857"/>
      <w:bookmarkStart w:id="140" w:name="_Toc474245223"/>
      <w:bookmarkStart w:id="141" w:name="_Toc520190037"/>
      <w:bookmarkStart w:id="142" w:name="_Toc518992997"/>
      <w:bookmarkStart w:id="143" w:name="_Toc27734"/>
      <w:bookmarkStart w:id="144" w:name="_Toc306350464"/>
      <w:r>
        <w:rPr>
          <w:rFonts w:hint="eastAsia" w:ascii="仿宋" w:hAnsi="仿宋" w:eastAsia="仿宋" w:cs="仿宋"/>
          <w:bCs/>
          <w:color w:val="auto"/>
          <w:sz w:val="24"/>
          <w:szCs w:val="24"/>
        </w:rPr>
        <w:t>如果乙方不按时到场维修或到场后不能修复的，甲方有权委托他人予以维修，乙方承担由此发生的费用并支付</w:t>
      </w:r>
      <w:r>
        <w:rPr>
          <w:rFonts w:hint="eastAsia" w:ascii="仿宋" w:hAnsi="仿宋" w:eastAsia="仿宋" w:cs="仿宋"/>
          <w:bCs/>
          <w:color w:val="auto"/>
          <w:sz w:val="24"/>
          <w:szCs w:val="24"/>
          <w:u w:val="single"/>
        </w:rPr>
        <w:t>合同暂定总价10%/次</w:t>
      </w:r>
      <w:r>
        <w:rPr>
          <w:rFonts w:hint="eastAsia" w:ascii="仿宋" w:hAnsi="仿宋" w:eastAsia="仿宋" w:cs="仿宋"/>
          <w:bCs/>
          <w:color w:val="auto"/>
          <w:sz w:val="24"/>
          <w:szCs w:val="24"/>
        </w:rPr>
        <w:t>作为违约金。</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
          <w:color w:val="auto"/>
          <w:sz w:val="24"/>
          <w:szCs w:val="24"/>
        </w:rPr>
        <w:t>第十一条 违约责任</w:t>
      </w:r>
      <w:bookmarkEnd w:id="137"/>
      <w:bookmarkEnd w:id="138"/>
      <w:bookmarkEnd w:id="139"/>
      <w:bookmarkEnd w:id="140"/>
      <w:bookmarkEnd w:id="141"/>
      <w:bookmarkEnd w:id="142"/>
      <w:bookmarkEnd w:id="143"/>
      <w:bookmarkEnd w:id="144"/>
    </w:p>
    <w:p>
      <w:pPr>
        <w:spacing w:line="360" w:lineRule="auto"/>
        <w:ind w:firstLine="482"/>
        <w:rPr>
          <w:rFonts w:hint="eastAsia" w:ascii="仿宋" w:hAnsi="仿宋" w:eastAsia="仿宋" w:cs="仿宋"/>
          <w:bCs/>
          <w:color w:val="auto"/>
          <w:sz w:val="24"/>
          <w:szCs w:val="24"/>
        </w:rPr>
      </w:pPr>
      <w:bookmarkStart w:id="145" w:name="_Toc5166"/>
      <w:bookmarkStart w:id="146" w:name="_Toc183666529"/>
      <w:bookmarkStart w:id="147" w:name="_Toc306350465"/>
      <w:r>
        <w:rPr>
          <w:rFonts w:hint="eastAsia" w:ascii="仿宋" w:hAnsi="仿宋" w:eastAsia="仿宋" w:cs="仿宋"/>
          <w:bCs/>
          <w:color w:val="auto"/>
          <w:sz w:val="24"/>
          <w:szCs w:val="24"/>
        </w:rPr>
        <w:t>11.1 延期交货的违约责任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11.1.1 乙方应按照本合同约定的时间交货。如乙方因客观情况导致无法按时交货，乙方应在交货期前</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7</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日，以书面形式将原因及预计拖延的时间通知甲方。经甲方同意后，交货期顺延。</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11.1.2乙方未能在合同规定期限内交货并交付完整技术资料的，每逾期一天，甲方有权按迟</w:t>
      </w:r>
      <w:r>
        <w:rPr>
          <w:rFonts w:hint="eastAsia" w:ascii="仿宋" w:hAnsi="仿宋" w:eastAsia="仿宋" w:cs="仿宋"/>
          <w:bCs/>
          <w:color w:val="auto"/>
          <w:sz w:val="24"/>
          <w:szCs w:val="24"/>
          <w:u w:val="single"/>
        </w:rPr>
        <w:t>交货设备价格的1%/天</w:t>
      </w:r>
      <w:r>
        <w:rPr>
          <w:rFonts w:hint="eastAsia" w:ascii="仿宋" w:hAnsi="仿宋" w:eastAsia="仿宋" w:cs="仿宋"/>
          <w:bCs/>
          <w:color w:val="auto"/>
          <w:sz w:val="24"/>
          <w:szCs w:val="24"/>
        </w:rPr>
        <w:t>要求乙方支付违约金。逾期超过</w:t>
      </w:r>
      <w:r>
        <w:rPr>
          <w:rFonts w:hint="eastAsia" w:ascii="仿宋" w:hAnsi="仿宋" w:eastAsia="仿宋" w:cs="仿宋"/>
          <w:bCs/>
          <w:color w:val="auto"/>
          <w:sz w:val="24"/>
          <w:szCs w:val="24"/>
          <w:u w:val="single"/>
        </w:rPr>
        <w:t xml:space="preserve"> 15 </w:t>
      </w:r>
      <w:r>
        <w:rPr>
          <w:rFonts w:hint="eastAsia" w:ascii="仿宋" w:hAnsi="仿宋" w:eastAsia="仿宋" w:cs="仿宋"/>
          <w:bCs/>
          <w:color w:val="auto"/>
          <w:sz w:val="24"/>
          <w:szCs w:val="24"/>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 质量问题的违约责任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（1）乙方承担费用，用合格的新设备更换有缺陷的设备或修补缺陷部分；</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（3）按不合格设备价格的</w:t>
      </w:r>
      <w:r>
        <w:rPr>
          <w:rFonts w:hint="eastAsia" w:ascii="仿宋" w:hAnsi="仿宋" w:eastAsia="仿宋" w:cs="仿宋"/>
          <w:bCs/>
          <w:color w:val="auto"/>
          <w:sz w:val="24"/>
          <w:szCs w:val="24"/>
          <w:u w:val="single"/>
        </w:rPr>
        <w:t>50</w:t>
      </w:r>
      <w:r>
        <w:rPr>
          <w:rFonts w:hint="eastAsia" w:ascii="仿宋" w:hAnsi="仿宋" w:eastAsia="仿宋" w:cs="仿宋"/>
          <w:bCs/>
          <w:color w:val="auto"/>
          <w:sz w:val="24"/>
          <w:szCs w:val="24"/>
        </w:rPr>
        <w:t>%支付违约金。</w:t>
      </w:r>
    </w:p>
    <w:p>
      <w:pPr>
        <w:numPr>
          <w:ilvl w:val="0"/>
          <w:numId w:val="0"/>
        </w:num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（4）赔偿甲方因设备质量问题导致的一切损失。</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11.2.2 如果乙方提供的技术资料有错误，或者由于乙方技术人员原因造成设备安装、调试不成功和（或）造成合同设备损坏的情况，乙方应在</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24</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小时内采取修理、更换、退货等补救措施并负担因此发生的费用，同时需向甲方支付</w:t>
      </w:r>
      <w:r>
        <w:rPr>
          <w:rFonts w:hint="eastAsia" w:ascii="仿宋" w:hAnsi="仿宋" w:eastAsia="仿宋" w:cs="仿宋"/>
          <w:bCs/>
          <w:color w:val="auto"/>
          <w:sz w:val="24"/>
          <w:szCs w:val="24"/>
          <w:u w:val="single"/>
        </w:rPr>
        <w:t xml:space="preserve">不合格设备价格的 50 </w:t>
      </w:r>
      <w:r>
        <w:rPr>
          <w:rFonts w:hint="eastAsia" w:ascii="仿宋" w:hAnsi="仿宋" w:eastAsia="仿宋" w:cs="仿宋"/>
          <w:bCs/>
          <w:color w:val="auto"/>
          <w:sz w:val="24"/>
          <w:szCs w:val="24"/>
        </w:rPr>
        <w:t>%作为违约金。</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仿宋" w:hAnsi="仿宋" w:eastAsia="仿宋" w:cs="仿宋"/>
          <w:bCs/>
          <w:color w:val="auto"/>
          <w:sz w:val="24"/>
          <w:szCs w:val="24"/>
          <w:u w:val="single"/>
        </w:rPr>
        <w:t>合同暂定总价的 100 %</w:t>
      </w:r>
      <w:r>
        <w:rPr>
          <w:rFonts w:hint="eastAsia" w:ascii="仿宋" w:hAnsi="仿宋" w:eastAsia="仿宋" w:cs="仿宋"/>
          <w:bCs/>
          <w:color w:val="auto"/>
          <w:sz w:val="24"/>
          <w:szCs w:val="24"/>
        </w:rPr>
        <w:t>支付违约金。</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11.3 如乙方未按合同六条约定递交履约保证金，甲方有权解除合同并要求乙方支付</w:t>
      </w:r>
      <w:r>
        <w:rPr>
          <w:rFonts w:hint="eastAsia" w:ascii="仿宋" w:hAnsi="仿宋" w:eastAsia="仿宋" w:cs="仿宋"/>
          <w:bCs/>
          <w:color w:val="auto"/>
          <w:sz w:val="24"/>
          <w:szCs w:val="24"/>
          <w:u w:val="single"/>
        </w:rPr>
        <w:t>合同暂定总价的20%</w:t>
      </w:r>
      <w:r>
        <w:rPr>
          <w:rFonts w:hint="eastAsia" w:ascii="仿宋" w:hAnsi="仿宋" w:eastAsia="仿宋" w:cs="仿宋"/>
          <w:bCs/>
          <w:color w:val="auto"/>
          <w:sz w:val="24"/>
          <w:szCs w:val="24"/>
        </w:rPr>
        <w:t xml:space="preserve">作为违约金。 </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11.4 如双方对质量责任认定有争议，</w:t>
      </w:r>
      <w:r>
        <w:rPr>
          <w:rFonts w:hint="eastAsia" w:ascii="仿宋" w:hAnsi="仿宋" w:eastAsia="仿宋" w:cs="仿宋"/>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bCs/>
          <w:color w:val="auto"/>
          <w:sz w:val="24"/>
          <w:szCs w:val="24"/>
          <w:u w:val="single"/>
        </w:rPr>
        <w:t>_</w:t>
      </w:r>
      <w:r>
        <w:rPr>
          <w:rFonts w:hint="eastAsia" w:ascii="仿宋" w:hAnsi="仿宋" w:eastAsia="仿宋" w:cs="仿宋"/>
          <w:bCs/>
          <w:color w:val="auto"/>
          <w:sz w:val="24"/>
          <w:szCs w:val="24"/>
          <w:u w:val="single"/>
          <w:lang w:val="en-US" w:eastAsia="zh-CN"/>
        </w:rPr>
        <w:t>30</w:t>
      </w:r>
      <w:r>
        <w:rPr>
          <w:rFonts w:hint="eastAsia" w:ascii="仿宋" w:hAnsi="仿宋" w:eastAsia="仿宋" w:cs="仿宋"/>
          <w:bCs/>
          <w:color w:val="auto"/>
          <w:sz w:val="24"/>
          <w:szCs w:val="24"/>
          <w:u w:val="single"/>
        </w:rPr>
        <w:t xml:space="preserve"> _</w:t>
      </w:r>
      <w:r>
        <w:rPr>
          <w:rFonts w:hint="eastAsia" w:ascii="仿宋" w:hAnsi="仿宋" w:eastAsia="仿宋" w:cs="仿宋"/>
          <w:bCs/>
          <w:color w:val="auto"/>
          <w:sz w:val="24"/>
          <w:szCs w:val="24"/>
        </w:rPr>
        <w:t>日，甲方有权解除合同并要求乙方支付</w:t>
      </w:r>
      <w:r>
        <w:rPr>
          <w:rFonts w:hint="eastAsia" w:ascii="仿宋" w:hAnsi="仿宋" w:eastAsia="仿宋" w:cs="仿宋"/>
          <w:bCs/>
          <w:color w:val="auto"/>
          <w:sz w:val="24"/>
          <w:szCs w:val="24"/>
          <w:u w:val="single"/>
        </w:rPr>
        <w:t>合同暂定总价的20%</w:t>
      </w:r>
      <w:r>
        <w:rPr>
          <w:rFonts w:hint="eastAsia" w:ascii="仿宋" w:hAnsi="仿宋" w:eastAsia="仿宋" w:cs="仿宋"/>
          <w:bCs/>
          <w:color w:val="auto"/>
          <w:sz w:val="24"/>
          <w:szCs w:val="24"/>
        </w:rPr>
        <w:t>作为违约金（</w:t>
      </w:r>
      <w:r>
        <w:rPr>
          <w:rFonts w:hint="eastAsia" w:ascii="仿宋" w:hAnsi="仿宋" w:eastAsia="仿宋" w:cs="仿宋"/>
          <w:color w:val="auto"/>
          <w:sz w:val="24"/>
        </w:rPr>
        <w:t>如合同另行约定违约责任，从其约定</w:t>
      </w:r>
      <w:r>
        <w:rPr>
          <w:rFonts w:hint="eastAsia" w:ascii="仿宋" w:hAnsi="仿宋" w:eastAsia="仿宋" w:cs="仿宋"/>
          <w:bCs/>
          <w:color w:val="auto"/>
          <w:sz w:val="24"/>
          <w:szCs w:val="24"/>
        </w:rPr>
        <w:t xml:space="preserve">）。 </w:t>
      </w:r>
    </w:p>
    <w:p>
      <w:pPr>
        <w:spacing w:line="360" w:lineRule="auto"/>
        <w:ind w:firstLine="482"/>
        <w:rPr>
          <w:rFonts w:hint="eastAsia" w:ascii="仿宋" w:hAnsi="仿宋" w:eastAsia="仿宋" w:cs="仿宋"/>
          <w:sz w:val="24"/>
          <w:szCs w:val="24"/>
        </w:rPr>
      </w:pPr>
      <w:r>
        <w:rPr>
          <w:rFonts w:hint="eastAsia" w:ascii="仿宋" w:hAnsi="仿宋" w:eastAsia="仿宋" w:cs="仿宋"/>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hint="eastAsia" w:ascii="仿宋" w:hAnsi="仿宋" w:eastAsia="仿宋" w:cs="仿宋"/>
          <w:b/>
          <w:color w:val="auto"/>
          <w:sz w:val="24"/>
          <w:szCs w:val="24"/>
        </w:rPr>
      </w:pPr>
      <w:bookmarkStart w:id="148" w:name="_Toc107446861"/>
      <w:bookmarkStart w:id="149" w:name="_Toc520190038"/>
      <w:bookmarkStart w:id="150" w:name="_Toc518992998"/>
      <w:bookmarkStart w:id="151" w:name="_Toc107447253"/>
      <w:bookmarkStart w:id="152" w:name="_Toc107447254"/>
      <w:bookmarkStart w:id="153" w:name="_Toc107446860"/>
      <w:bookmarkStart w:id="154" w:name="_Toc118086592"/>
      <w:bookmarkStart w:id="155" w:name="_Toc474245224"/>
      <w:r>
        <w:rPr>
          <w:rFonts w:hint="eastAsia" w:ascii="仿宋" w:hAnsi="仿宋" w:eastAsia="仿宋" w:cs="仿宋"/>
          <w:b/>
          <w:color w:val="auto"/>
          <w:sz w:val="24"/>
          <w:szCs w:val="24"/>
        </w:rPr>
        <w:t>第十二条 变更或解除</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12.1 甲方解除合同</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如乙方存在下述情况之一，甲方有权向乙方发出书面通知，全部或部分解除本合同：</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12.1.1 乙方未能在本合同约定或甲方另行指定的期限内提供部分或全部设备或提供技术服务，并经甲方催告后仍未提供； </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12.1.2乙方交付的设备存在严重的质量问题，导致本合同目的不能实现；</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12.1.3 乙方存在违反合同义务的其他情形，经甲方催告后仍未作出补救或完成整改；</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12.1.4 乙方投标时提交的资料不真实，或任何时候发现乙方有违反投标时的承诺和（或）声明的情况；</w:t>
      </w:r>
    </w:p>
    <w:p>
      <w:pPr>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12.2 乙方解除合同</w:t>
      </w:r>
    </w:p>
    <w:p>
      <w:pPr>
        <w:spacing w:line="360" w:lineRule="auto"/>
        <w:ind w:firstLine="482"/>
        <w:rPr>
          <w:rFonts w:hint="eastAsia" w:ascii="仿宋" w:hAnsi="仿宋" w:eastAsia="仿宋" w:cs="仿宋"/>
          <w:color w:val="auto"/>
          <w:sz w:val="24"/>
          <w:szCs w:val="24"/>
        </w:rPr>
      </w:pPr>
      <w:r>
        <w:rPr>
          <w:rFonts w:hint="eastAsia" w:ascii="仿宋" w:hAnsi="仿宋" w:eastAsia="仿宋" w:cs="仿宋"/>
          <w:bCs/>
          <w:color w:val="auto"/>
          <w:sz w:val="24"/>
          <w:szCs w:val="24"/>
        </w:rPr>
        <w:t>如甲方无正当理由未能按本合同约定期限向乙方支付合同款，并经乙方催告后超过</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60</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 天仍未支付，乙方有权以书面通知解除本合同。</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   12.3甲乙双方经协商一致后解除合同。</w:t>
      </w:r>
    </w:p>
    <w:p>
      <w:pPr>
        <w:spacing w:line="480" w:lineRule="exact"/>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第十三条 不可抗力</w:t>
      </w:r>
    </w:p>
    <w:p>
      <w:pPr>
        <w:widowControl w:val="0"/>
        <w:numPr>
          <w:ilvl w:val="0"/>
          <w:numId w:val="0"/>
        </w:num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（2）战争行为、入侵、武装冲突或外敌行为、封锁、暴乱、恐怖行为或军事演习；</w:t>
      </w:r>
    </w:p>
    <w:p>
      <w:pPr>
        <w:widowControl w:val="0"/>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第十四条 争议解决方式：</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14.1 因本合同引起的或与本合同有关的任何争议，甲乙双方应友好协商解决，如协商不成，任何一方均可依法向</w:t>
      </w:r>
      <w:r>
        <w:rPr>
          <w:rFonts w:hint="eastAsia" w:ascii="仿宋" w:hAnsi="仿宋" w:eastAsia="仿宋" w:cs="仿宋"/>
          <w:color w:val="auto"/>
          <w:sz w:val="24"/>
          <w:szCs w:val="24"/>
          <w:u w:val="single"/>
        </w:rPr>
        <w:t>甲方所在地人民法院</w:t>
      </w:r>
      <w:r>
        <w:rPr>
          <w:rFonts w:hint="eastAsia" w:ascii="仿宋" w:hAnsi="仿宋" w:eastAsia="仿宋" w:cs="仿宋"/>
          <w:color w:val="auto"/>
          <w:sz w:val="24"/>
          <w:szCs w:val="24"/>
        </w:rPr>
        <w:t>提起诉讼。</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14.2 在甲方同意的情况下，除有争端之外的合同其它部分在争端解决前应继续执行。</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第十五条 其他：</w:t>
      </w:r>
    </w:p>
    <w:p>
      <w:pPr>
        <w:spacing w:line="360" w:lineRule="auto"/>
        <w:ind w:firstLine="595" w:firstLineChars="248"/>
        <w:rPr>
          <w:rFonts w:hint="eastAsia" w:ascii="仿宋" w:hAnsi="仿宋" w:eastAsia="仿宋" w:cs="仿宋"/>
          <w:b/>
          <w:color w:val="auto"/>
          <w:sz w:val="24"/>
          <w:szCs w:val="24"/>
        </w:rPr>
      </w:pPr>
      <w:r>
        <w:rPr>
          <w:rFonts w:hint="eastAsia" w:ascii="仿宋" w:hAnsi="仿宋" w:eastAsia="仿宋" w:cs="仿宋"/>
          <w:bCs/>
          <w:color w:val="auto"/>
          <w:sz w:val="24"/>
          <w:szCs w:val="24"/>
        </w:rPr>
        <w:t>15.1</w:t>
      </w:r>
      <w:r>
        <w:rPr>
          <w:rFonts w:hint="eastAsia" w:ascii="仿宋" w:hAnsi="仿宋" w:eastAsia="仿宋" w:cs="仿宋"/>
          <w:color w:val="auto"/>
          <w:sz w:val="24"/>
          <w:szCs w:val="24"/>
        </w:rPr>
        <w:t>本合同未尽事宜，可由甲乙双方另行签订补充协议。补充协议与本合同具有同等法律效力。</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15.2本合同自甲乙双方法定代表人或授权代理人签字并加盖公章之日起生效。</w:t>
      </w:r>
    </w:p>
    <w:p>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15.3本合同一式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份。均具有同等法律效力。</w:t>
      </w: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15.4补充条款：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bookmarkEnd w:id="118"/>
    <w:bookmarkEnd w:id="119"/>
    <w:bookmarkEnd w:id="145"/>
    <w:bookmarkEnd w:id="146"/>
    <w:bookmarkEnd w:id="147"/>
    <w:bookmarkEnd w:id="148"/>
    <w:bookmarkEnd w:id="149"/>
    <w:bookmarkEnd w:id="150"/>
    <w:bookmarkEnd w:id="151"/>
    <w:bookmarkEnd w:id="152"/>
    <w:bookmarkEnd w:id="153"/>
    <w:bookmarkEnd w:id="154"/>
    <w:bookmarkEnd w:id="155"/>
    <w:p>
      <w:pPr>
        <w:pStyle w:val="2"/>
        <w:ind w:left="0" w:leftChars="0" w:firstLine="0" w:firstLineChars="0"/>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附件：1.发包通知书</w:t>
      </w:r>
    </w:p>
    <w:p>
      <w:pPr>
        <w:spacing w:line="360" w:lineRule="auto"/>
        <w:ind w:leftChars="300" w:firstLine="48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2.物品采购安全协议书</w:t>
      </w:r>
    </w:p>
    <w:p>
      <w:pPr>
        <w:spacing w:line="360" w:lineRule="auto"/>
        <w:ind w:leftChars="300"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.廉洁协议</w:t>
      </w:r>
    </w:p>
    <w:p>
      <w:pPr>
        <w:spacing w:line="360" w:lineRule="auto"/>
        <w:ind w:leftChars="300"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不诚信行为的情形及相应被暂停参与投标活动的处理标准</w:t>
      </w:r>
    </w:p>
    <w:p>
      <w:pPr>
        <w:spacing w:line="360" w:lineRule="auto"/>
        <w:ind w:leftChars="300"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rPr>
        <w:t>.技术需求（如需）</w:t>
      </w:r>
    </w:p>
    <w:p>
      <w:pPr>
        <w:spacing w:line="360" w:lineRule="auto"/>
        <w:ind w:leftChars="300"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.授权委托证明（如需）</w:t>
      </w:r>
    </w:p>
    <w:p>
      <w:pPr>
        <w:spacing w:line="360" w:lineRule="auto"/>
        <w:ind w:leftChars="300"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.履约保函（模板）</w:t>
      </w:r>
    </w:p>
    <w:tbl>
      <w:tblPr>
        <w:tblStyle w:val="24"/>
        <w:tblpPr w:leftFromText="180" w:rightFromText="180" w:vertAnchor="text" w:horzAnchor="page" w:tblpX="1795" w:tblpY="6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甲方</w:t>
            </w:r>
            <w:r>
              <w:rPr>
                <w:rFonts w:hint="eastAsia" w:ascii="仿宋" w:hAnsi="仿宋" w:eastAsia="仿宋" w:cs="仿宋"/>
                <w:color w:val="auto"/>
                <w:sz w:val="24"/>
                <w:szCs w:val="24"/>
              </w:rPr>
              <w:t>：（章）</w:t>
            </w:r>
            <w:r>
              <w:rPr>
                <w:rFonts w:hint="eastAsia" w:ascii="仿宋" w:hAnsi="仿宋" w:eastAsia="仿宋" w:cs="仿宋"/>
                <w:color w:val="auto"/>
                <w:sz w:val="24"/>
                <w:szCs w:val="24"/>
                <w:lang w:val="en-US" w:eastAsia="zh-CN"/>
              </w:rPr>
              <w:t>广州城市水处理设备有限公司</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乙方</w:t>
            </w:r>
            <w:r>
              <w:rPr>
                <w:rFonts w:hint="eastAsia" w:ascii="仿宋" w:hAnsi="仿宋" w:eastAsia="仿宋" w:cs="仿宋"/>
                <w:color w:val="auto"/>
                <w:sz w:val="24"/>
                <w:szCs w:val="24"/>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签订日期：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hint="eastAsia" w:ascii="仿宋" w:hAnsi="仿宋" w:eastAsia="仿宋" w:cs="仿宋"/>
                <w:color w:val="auto"/>
                <w:sz w:val="24"/>
                <w:szCs w:val="24"/>
              </w:rPr>
            </w:pPr>
            <w:r>
              <w:rPr>
                <w:rFonts w:hint="eastAsia" w:ascii="仿宋" w:hAnsi="仿宋" w:eastAsia="仿宋" w:cs="仿宋"/>
                <w:color w:val="auto"/>
                <w:sz w:val="24"/>
                <w:szCs w:val="24"/>
              </w:rPr>
              <w:t>签订日期:</w:t>
            </w: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w:t>
      </w:r>
      <w:r>
        <w:rPr>
          <w:rFonts w:hint="eastAsia" w:ascii="宋体" w:hAnsi="宋体" w:eastAsia="宋体" w:cs="宋体"/>
          <w:b/>
          <w:bCs/>
          <w:color w:val="auto"/>
          <w:szCs w:val="21"/>
          <w:highlight w:val="none"/>
          <w:lang w:val="en-US" w:eastAsia="zh-CN"/>
        </w:rPr>
        <w:t>物品采购</w:t>
      </w:r>
      <w:r>
        <w:rPr>
          <w:rFonts w:hint="eastAsia" w:ascii="宋体" w:hAnsi="宋体" w:eastAsia="宋体" w:cs="宋体"/>
          <w:b/>
          <w:bCs/>
          <w:color w:val="auto"/>
          <w:szCs w:val="21"/>
          <w:highlight w:val="none"/>
        </w:rPr>
        <w:t>安全协议书</w:t>
      </w: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 xml:space="preserve">（合同名称）+（合同编号）   </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2000</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p>
    <w:p>
      <w:pPr>
        <w:adjustRightInd w:val="0"/>
        <w:snapToGrid w:val="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处理</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发生重伤或死亡1～2人的，暂停投标1年至2年（含）。</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发生重伤或死亡3～9人的，暂停投标2年以上至4年。</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其他不诚信</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bl>
    <w:p>
      <w:pPr>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备注：本处理标准出自《广州市净水有限公司经营建设项目参建企业不诚信行为管理办法》。</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Cs w:val="21"/>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7  </w:t>
      </w:r>
      <w:r>
        <w:rPr>
          <w:rFonts w:hint="eastAsia" w:ascii="仿宋" w:hAnsi="仿宋" w:eastAsia="仿宋" w:cs="仿宋"/>
          <w:b/>
          <w:bCs/>
          <w:color w:val="auto"/>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Cs w:val="21"/>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Cs w:val="21"/>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（受益人）</w:t>
      </w:r>
      <w:r>
        <w:rPr>
          <w:rFonts w:hint="eastAsia" w:ascii="仿宋" w:hAnsi="仿宋" w:eastAsia="仿宋" w:cs="仿宋"/>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鉴于</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（以下简称“委托人”）与贵方于</w:t>
      </w:r>
      <w:r>
        <w:rPr>
          <w:rFonts w:hint="eastAsia" w:ascii="仿宋" w:hAnsi="仿宋" w:eastAsia="仿宋" w:cs="仿宋"/>
          <w:sz w:val="24"/>
          <w:szCs w:val="24"/>
          <w:u w:val="single"/>
        </w:rPr>
        <w:t xml:space="preserve">   年  月  日</w:t>
      </w:r>
      <w:r>
        <w:rPr>
          <w:rFonts w:hint="eastAsia" w:ascii="仿宋" w:hAnsi="仿宋" w:eastAsia="仿宋" w:cs="仿宋"/>
          <w:sz w:val="24"/>
          <w:szCs w:val="24"/>
        </w:rPr>
        <w:t>签订了</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一、我行保证在收到贵单位于保函有效期内送达的依本保函约定的索赔申请后，在个</w:t>
      </w:r>
      <w:r>
        <w:rPr>
          <w:rFonts w:hint="eastAsia" w:ascii="仿宋" w:hAnsi="仿宋" w:eastAsia="仿宋" w:cs="仿宋"/>
          <w:sz w:val="24"/>
          <w:szCs w:val="24"/>
          <w:u w:val="single"/>
        </w:rPr>
        <w:t xml:space="preserve">  </w:t>
      </w:r>
      <w:r>
        <w:rPr>
          <w:rFonts w:hint="eastAsia" w:ascii="仿宋" w:hAnsi="仿宋" w:eastAsia="仿宋" w:cs="仿宋"/>
          <w:sz w:val="24"/>
          <w:szCs w:val="24"/>
        </w:rPr>
        <w:t>工作日内无条件和不可改变地向贵单位支付最高金额不超过人民币元</w:t>
      </w:r>
      <w:r>
        <w:rPr>
          <w:rFonts w:hint="eastAsia" w:ascii="仿宋" w:hAnsi="仿宋" w:eastAsia="仿宋" w:cs="仿宋"/>
          <w:sz w:val="24"/>
          <w:szCs w:val="24"/>
          <w:u w:val="single"/>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三、本保函自签发之日起生效，有效期至</w:t>
      </w:r>
      <w:r>
        <w:rPr>
          <w:rFonts w:hint="eastAsia" w:ascii="仿宋" w:hAnsi="仿宋" w:eastAsia="仿宋" w:cs="仿宋"/>
          <w:sz w:val="24"/>
          <w:szCs w:val="24"/>
          <w:u w:val="single"/>
        </w:rPr>
        <w:t xml:space="preserve">  年  月  日</w:t>
      </w:r>
      <w:r>
        <w:rPr>
          <w:rFonts w:hint="eastAsia" w:ascii="仿宋" w:hAnsi="仿宋" w:eastAsia="仿宋" w:cs="仿宋"/>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5.受益人请求付款的请款单据包含法院裁判文书、仲裁裁决、第三方单位出具的鉴定书等申请人违约的证明材料。</w:t>
      </w:r>
    </w:p>
    <w:p>
      <w:pPr>
        <w:pStyle w:val="2"/>
        <w:rPr>
          <w:rFonts w:ascii="宋体" w:hAnsi="宋体" w:eastAsia="宋体" w:cs="宋体"/>
          <w:color w:val="auto"/>
          <w:szCs w:val="21"/>
          <w:highlight w:val="none"/>
        </w:rPr>
      </w:pPr>
    </w:p>
    <w:p>
      <w:pPr>
        <w:rPr>
          <w:rFonts w:ascii="宋体" w:hAnsi="宋体" w:eastAsia="宋体" w:cs="宋体"/>
          <w:b/>
          <w:bCs/>
          <w:color w:val="auto"/>
          <w:sz w:val="24"/>
          <w:szCs w:val="24"/>
          <w:highlight w:val="none"/>
        </w:rPr>
      </w:pPr>
    </w:p>
    <w:p>
      <w:pPr>
        <w:pStyle w:val="2"/>
        <w:rPr>
          <w:rFonts w:eastAsia="宋体" w:cs="宋体"/>
          <w:b/>
          <w:bCs/>
          <w:color w:val="auto"/>
          <w:highlight w:val="none"/>
        </w:rPr>
      </w:pPr>
    </w:p>
    <w:p>
      <w:pPr>
        <w:pStyle w:val="2"/>
        <w:rPr>
          <w:rFonts w:eastAsia="宋体" w:cs="宋体"/>
          <w:b/>
          <w:bCs/>
          <w:color w:val="auto"/>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4"/>
        <w:rPr>
          <w:rFonts w:ascii="宋体" w:hAnsi="宋体" w:eastAsia="宋体" w:cs="宋体"/>
          <w:color w:val="auto"/>
          <w:highlight w:val="none"/>
        </w:rPr>
      </w:pPr>
      <w:bookmarkStart w:id="156" w:name="_Toc21847"/>
      <w:bookmarkStart w:id="157" w:name="_Toc16552"/>
      <w:bookmarkStart w:id="158" w:name="_Toc23515"/>
      <w:bookmarkStart w:id="159" w:name="_Toc30824"/>
      <w:bookmarkStart w:id="160" w:name="_Toc28358"/>
      <w:bookmarkStart w:id="161" w:name="_Toc8147"/>
      <w:bookmarkStart w:id="162" w:name="_Toc1563"/>
      <w:bookmarkStart w:id="163" w:name="_Toc3723"/>
      <w:bookmarkStart w:id="164" w:name="_Toc5129"/>
      <w:bookmarkStart w:id="165" w:name="_Toc12169"/>
      <w:bookmarkStart w:id="166" w:name="_Toc6230"/>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156"/>
      <w:bookmarkEnd w:id="157"/>
      <w:bookmarkEnd w:id="158"/>
      <w:bookmarkEnd w:id="159"/>
      <w:bookmarkEnd w:id="160"/>
      <w:bookmarkEnd w:id="161"/>
      <w:bookmarkEnd w:id="162"/>
      <w:bookmarkEnd w:id="163"/>
      <w:bookmarkEnd w:id="164"/>
      <w:bookmarkEnd w:id="165"/>
      <w:bookmarkEnd w:id="166"/>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67" w:name="_Toc30157"/>
      <w:bookmarkStart w:id="168" w:name="_Toc31564"/>
      <w:bookmarkStart w:id="169" w:name="_Toc88209951"/>
      <w:bookmarkStart w:id="170" w:name="_Toc24490"/>
      <w:bookmarkStart w:id="171" w:name="_Toc24815"/>
      <w:bookmarkStart w:id="172" w:name="_Toc87616388"/>
      <w:bookmarkStart w:id="173" w:name="_Toc17119"/>
      <w:bookmarkStart w:id="174" w:name="_Toc10840"/>
      <w:bookmarkStart w:id="175" w:name="_Toc5342"/>
      <w:bookmarkStart w:id="176" w:name="_Toc22764"/>
      <w:bookmarkStart w:id="177" w:name="_Toc12769"/>
      <w:bookmarkStart w:id="178" w:name="_Toc21675"/>
      <w:bookmarkStart w:id="179" w:name="_Toc12610"/>
      <w:r>
        <w:rPr>
          <w:rFonts w:hint="eastAsia" w:ascii="宋体" w:hAnsi="宋体" w:eastAsia="宋体" w:cs="宋体"/>
          <w:color w:val="auto"/>
          <w:highlight w:val="none"/>
        </w:rPr>
        <w:t>响应文件格式要求</w:t>
      </w:r>
      <w:bookmarkEnd w:id="167"/>
      <w:bookmarkEnd w:id="168"/>
      <w:bookmarkEnd w:id="169"/>
      <w:bookmarkEnd w:id="170"/>
      <w:bookmarkEnd w:id="171"/>
      <w:bookmarkEnd w:id="172"/>
      <w:bookmarkEnd w:id="173"/>
      <w:bookmarkEnd w:id="174"/>
      <w:bookmarkEnd w:id="175"/>
      <w:bookmarkEnd w:id="176"/>
      <w:bookmarkEnd w:id="177"/>
      <w:bookmarkEnd w:id="178"/>
      <w:bookmarkEnd w:id="179"/>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hint="eastAsia" w:ascii="宋体" w:hAnsi="宋体" w:eastAsia="宋体" w:cs="宋体"/>
          <w:b w:val="0"/>
          <w:bCs w:val="0"/>
          <w:color w:val="auto"/>
          <w:sz w:val="44"/>
          <w:szCs w:val="44"/>
          <w:highlight w:val="none"/>
          <w:u w:val="single"/>
          <w:lang w:val="en-US" w:eastAsia="zh-CN"/>
        </w:rPr>
      </w:pPr>
      <w:r>
        <w:rPr>
          <w:rFonts w:hint="eastAsia" w:ascii="宋体" w:hAnsi="宋体" w:eastAsia="宋体" w:cs="宋体"/>
          <w:b w:val="0"/>
          <w:bCs w:val="0"/>
          <w:color w:val="auto"/>
          <w:sz w:val="44"/>
          <w:szCs w:val="44"/>
          <w:highlight w:val="none"/>
          <w:u w:val="single"/>
          <w:lang w:val="en-US" w:eastAsia="zh-CN"/>
        </w:rPr>
        <w:t>广州城市水处理设备有限公司柔性加热器采购项目</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80" w:name="_Toc87616389"/>
      <w:bookmarkStart w:id="181" w:name="_Toc88209952"/>
      <w:r>
        <w:rPr>
          <w:rFonts w:hint="eastAsia" w:ascii="宋体" w:hAnsi="宋体" w:eastAsia="宋体" w:cs="宋体"/>
          <w:color w:val="auto"/>
          <w:sz w:val="28"/>
          <w:szCs w:val="28"/>
          <w:highlight w:val="none"/>
        </w:rPr>
        <w:t>1.响应函</w:t>
      </w:r>
      <w:bookmarkEnd w:id="180"/>
      <w:bookmarkEnd w:id="181"/>
    </w:p>
    <w:p>
      <w:pPr>
        <w:spacing w:line="600" w:lineRule="exact"/>
        <w:rPr>
          <w:rFonts w:ascii="宋体" w:hAnsi="宋体" w:eastAsia="宋体" w:cs="宋体"/>
          <w:color w:val="auto"/>
          <w:sz w:val="28"/>
          <w:szCs w:val="28"/>
          <w:highlight w:val="none"/>
        </w:rPr>
      </w:pPr>
      <w:bookmarkStart w:id="182" w:name="_Toc87616390"/>
      <w:bookmarkStart w:id="183" w:name="_Toc88209953"/>
      <w:r>
        <w:rPr>
          <w:rFonts w:hint="eastAsia" w:ascii="宋体" w:hAnsi="宋体" w:eastAsia="宋体" w:cs="宋体"/>
          <w:color w:val="auto"/>
          <w:sz w:val="28"/>
          <w:szCs w:val="28"/>
          <w:highlight w:val="none"/>
        </w:rPr>
        <w:t>2.法定代表人证明或授权委托书</w:t>
      </w:r>
      <w:bookmarkEnd w:id="182"/>
      <w:bookmarkEnd w:id="183"/>
      <w:bookmarkStart w:id="184" w:name="_Toc87616393"/>
      <w:bookmarkStart w:id="185" w:name="_Toc88209956"/>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其他资料</w:t>
      </w:r>
      <w:bookmarkEnd w:id="184"/>
      <w:bookmarkEnd w:id="185"/>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6"/>
        <w:rPr>
          <w:rFonts w:ascii="宋体" w:hAnsi="宋体" w:cs="宋体"/>
          <w:color w:val="auto"/>
          <w:sz w:val="28"/>
          <w:szCs w:val="28"/>
          <w:highlight w:val="none"/>
        </w:rPr>
      </w:pPr>
      <w:bookmarkStart w:id="186" w:name="_Toc6313"/>
      <w:bookmarkStart w:id="187" w:name="_Toc88209957"/>
      <w:bookmarkStart w:id="188" w:name="_Toc12665"/>
      <w:bookmarkStart w:id="189" w:name="_Toc28619645"/>
      <w:bookmarkStart w:id="190" w:name="_Toc87616394"/>
      <w:r>
        <w:rPr>
          <w:rFonts w:hint="eastAsia" w:ascii="宋体" w:hAnsi="宋体" w:cs="宋体"/>
          <w:color w:val="auto"/>
          <w:sz w:val="28"/>
          <w:szCs w:val="28"/>
          <w:highlight w:val="none"/>
        </w:rPr>
        <w:t>1.响应函</w:t>
      </w:r>
      <w:bookmarkEnd w:id="186"/>
      <w:bookmarkEnd w:id="187"/>
      <w:bookmarkEnd w:id="188"/>
      <w:bookmarkEnd w:id="189"/>
      <w:bookmarkEnd w:id="190"/>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Start w:id="191" w:name="_Toc88209958"/>
      <w:bookmarkStart w:id="192" w:name="_Toc87616395"/>
      <w:bookmarkStart w:id="193" w:name="_Toc22527"/>
      <w:bookmarkStart w:id="194" w:name="_Toc29833"/>
    </w:p>
    <w:p>
      <w:pPr>
        <w:pStyle w:val="2"/>
        <w:rPr>
          <w:rFonts w:hint="eastAsia" w:ascii="宋体" w:hAnsi="宋体" w:eastAsia="宋体" w:cs="宋体"/>
          <w:color w:val="auto"/>
          <w:sz w:val="28"/>
          <w:szCs w:val="28"/>
          <w:highlight w:val="none"/>
        </w:rPr>
      </w:pPr>
    </w:p>
    <w:p>
      <w:pPr>
        <w:pStyle w:val="6"/>
        <w:spacing w:before="0"/>
        <w:rPr>
          <w:rFonts w:hint="eastAsia" w:ascii="宋体" w:hAnsi="宋体" w:cs="宋体"/>
          <w:color w:val="auto"/>
          <w:sz w:val="28"/>
          <w:szCs w:val="28"/>
          <w:highlight w:val="none"/>
        </w:rPr>
      </w:pPr>
    </w:p>
    <w:p>
      <w:pPr>
        <w:rPr>
          <w:rFonts w:hint="eastAsia"/>
        </w:rPr>
      </w:pPr>
    </w:p>
    <w:p>
      <w:pPr>
        <w:pStyle w:val="6"/>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91"/>
      <w:bookmarkEnd w:id="192"/>
      <w:bookmarkEnd w:id="193"/>
      <w:bookmarkEnd w:id="194"/>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7"/>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95" w:name="_Toc19830"/>
      <w:bookmarkStart w:id="196" w:name="_Toc8086"/>
      <w:bookmarkStart w:id="197" w:name="_Toc87616400"/>
      <w:bookmarkStart w:id="198" w:name="_Toc88209963"/>
      <w:r>
        <w:rPr>
          <w:rFonts w:hint="eastAsia" w:ascii="宋体" w:hAnsi="宋体" w:cs="宋体"/>
          <w:color w:val="auto"/>
          <w:sz w:val="28"/>
          <w:szCs w:val="28"/>
          <w:highlight w:val="none"/>
        </w:rPr>
        <w:t>3.资格审查资料</w:t>
      </w:r>
      <w:bookmarkEnd w:id="195"/>
      <w:bookmarkEnd w:id="196"/>
      <w:bookmarkEnd w:id="197"/>
      <w:bookmarkEnd w:id="198"/>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199"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9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GB" w:eastAsia="zh-CN"/>
        </w:rPr>
        <w:t>广州城市水处理设备有限公司柔性加热器采购项目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eastAsia="宋体" w:cs="宋体"/>
          <w:color w:val="auto"/>
          <w:highlight w:val="none"/>
        </w:rPr>
      </w:pPr>
      <w:r>
        <w:rPr>
          <w:rFonts w:hint="eastAsia" w:ascii="宋体" w:hAnsi="宋体" w:eastAsia="宋体" w:cs="宋体"/>
          <w:color w:val="auto"/>
          <w:sz w:val="24"/>
          <w:szCs w:val="24"/>
          <w:highlight w:val="none"/>
          <w:lang w:val="en-GB"/>
        </w:rPr>
        <w:t>年  月  日</w:t>
      </w: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6"/>
        <w:rPr>
          <w:rFonts w:ascii="宋体" w:hAnsi="宋体" w:cs="宋体"/>
          <w:color w:val="auto"/>
          <w:sz w:val="28"/>
          <w:szCs w:val="28"/>
          <w:highlight w:val="none"/>
        </w:rPr>
      </w:pPr>
      <w:bookmarkStart w:id="200" w:name="_Toc32430"/>
      <w:bookmarkStart w:id="201" w:name="_Toc19423"/>
      <w:r>
        <w:rPr>
          <w:rFonts w:hint="eastAsia" w:ascii="宋体" w:hAnsi="宋体" w:cs="宋体"/>
          <w:color w:val="auto"/>
          <w:sz w:val="28"/>
          <w:szCs w:val="28"/>
          <w:highlight w:val="none"/>
        </w:rPr>
        <w:t>5.报价表</w:t>
      </w:r>
      <w:bookmarkEnd w:id="200"/>
      <w:bookmarkEnd w:id="201"/>
    </w:p>
    <w:tbl>
      <w:tblPr>
        <w:tblStyle w:val="24"/>
        <w:tblW w:w="9149" w:type="dxa"/>
        <w:jc w:val="center"/>
        <w:tblLayout w:type="fixed"/>
        <w:tblCellMar>
          <w:top w:w="0" w:type="dxa"/>
          <w:left w:w="108" w:type="dxa"/>
          <w:bottom w:w="0" w:type="dxa"/>
          <w:right w:w="108" w:type="dxa"/>
        </w:tblCellMar>
      </w:tblPr>
      <w:tblGrid>
        <w:gridCol w:w="548"/>
        <w:gridCol w:w="1572"/>
        <w:gridCol w:w="888"/>
        <w:gridCol w:w="536"/>
        <w:gridCol w:w="678"/>
        <w:gridCol w:w="799"/>
        <w:gridCol w:w="1065"/>
        <w:gridCol w:w="840"/>
        <w:gridCol w:w="946"/>
        <w:gridCol w:w="1277"/>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157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名称</w:t>
            </w:r>
          </w:p>
        </w:tc>
        <w:tc>
          <w:tcPr>
            <w:tcW w:w="8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生产厂家及</w:t>
            </w:r>
            <w:r>
              <w:rPr>
                <w:rFonts w:hint="eastAsia" w:ascii="宋体" w:hAnsi="宋体" w:eastAsia="宋体" w:cs="宋体"/>
                <w:color w:val="auto"/>
                <w:kern w:val="0"/>
                <w:sz w:val="24"/>
                <w:highlight w:val="none"/>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单位</w:t>
            </w:r>
          </w:p>
        </w:tc>
        <w:tc>
          <w:tcPr>
            <w:tcW w:w="6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金额（元）</w:t>
            </w:r>
          </w:p>
        </w:tc>
        <w:tc>
          <w:tcPr>
            <w:tcW w:w="1277"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备注</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157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8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6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1277"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1</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r>
              <w:rPr>
                <w:rFonts w:hint="default" w:ascii="宋体" w:hAnsi="宋体" w:eastAsia="宋体" w:cs="宋体"/>
                <w:color w:val="auto"/>
                <w:sz w:val="24"/>
                <w:szCs w:val="24"/>
                <w:highlight w:val="none"/>
                <w:lang w:val="en-US" w:eastAsia="zh-CN"/>
              </w:rPr>
              <w:t>柔性加热器</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27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szCs w:val="24"/>
                <w:highlight w:val="none"/>
                <w:lang w:val="en-US" w:eastAsia="zh-CN"/>
              </w:rPr>
              <w:t>功率5kW</w:t>
            </w: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2</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lang w:val="zh-CN"/>
              </w:rPr>
            </w:pPr>
            <w:r>
              <w:rPr>
                <w:rFonts w:hint="default" w:ascii="宋体" w:hAnsi="宋体" w:eastAsia="宋体" w:cs="宋体"/>
                <w:color w:val="auto"/>
                <w:sz w:val="24"/>
                <w:szCs w:val="24"/>
                <w:highlight w:val="none"/>
                <w:lang w:val="en-US" w:eastAsia="zh-CN"/>
              </w:rPr>
              <w:t>柔性加热器</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zh-CN" w:eastAsia="zh-CN" w:bidi="ar-SA"/>
              </w:rPr>
            </w:pPr>
            <w:r>
              <w:rPr>
                <w:rFonts w:hint="eastAsia" w:ascii="宋体" w:hAnsi="宋体" w:eastAsia="宋体" w:cs="宋体"/>
                <w:color w:val="auto"/>
                <w:sz w:val="24"/>
                <w:szCs w:val="24"/>
                <w:highlight w:val="none"/>
                <w:lang w:val="en-US" w:eastAsia="zh-CN"/>
              </w:rPr>
              <w:t>台</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27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zh-CN" w:eastAsia="zh-CN" w:bidi="ar-SA"/>
              </w:rPr>
            </w:pPr>
            <w:r>
              <w:rPr>
                <w:rFonts w:hint="eastAsia" w:ascii="宋体" w:hAnsi="宋体" w:eastAsia="宋体" w:cs="宋体"/>
                <w:color w:val="auto"/>
                <w:sz w:val="24"/>
                <w:szCs w:val="24"/>
                <w:highlight w:val="none"/>
                <w:lang w:val="en-US" w:eastAsia="zh-CN"/>
              </w:rPr>
              <w:t>功率12kW</w:t>
            </w: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总价（元）</w:t>
            </w:r>
          </w:p>
        </w:tc>
        <w:tc>
          <w:tcPr>
            <w:tcW w:w="4927"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 xml:space="preserve">   元（含税13%）</w:t>
            </w:r>
          </w:p>
        </w:tc>
      </w:tr>
    </w:tbl>
    <w:p>
      <w:pPr>
        <w:rPr>
          <w:rFonts w:ascii="宋体" w:hAnsi="宋体" w:eastAsia="宋体" w:cs="宋体"/>
          <w:color w:val="auto"/>
          <w:highlight w:val="none"/>
        </w:rPr>
      </w:pPr>
    </w:p>
    <w:p>
      <w:pPr>
        <w:pStyle w:val="50"/>
        <w:rPr>
          <w:rFonts w:hint="eastAsia" w:ascii="宋体" w:hAnsi="宋体" w:cs="宋体"/>
          <w:color w:val="auto"/>
          <w:highlight w:val="none"/>
        </w:rPr>
      </w:pPr>
      <w:bookmarkStart w:id="202" w:name="_Toc16386"/>
      <w:bookmarkStart w:id="203" w:name="_Toc6058"/>
      <w:bookmarkStart w:id="204" w:name="_Toc87616402"/>
      <w:bookmarkStart w:id="205" w:name="_Toc88209965"/>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6"/>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6.</w:t>
      </w:r>
    </w:p>
    <w:p>
      <w:p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响应承诺书 </w:t>
      </w:r>
    </w:p>
    <w:p>
      <w:pPr>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广州城市水处理设备有限公司：</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eastAsia="zh-CN"/>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auto"/>
          <w:sz w:val="28"/>
          <w:szCs w:val="28"/>
          <w:highlight w:val="none"/>
          <w:u w:val="none"/>
        </w:rPr>
        <w:t>所提供报价</w:t>
      </w:r>
      <w:r>
        <w:rPr>
          <w:rFonts w:hint="eastAsia" w:ascii="仿宋" w:hAnsi="仿宋" w:eastAsia="仿宋" w:cs="仿宋"/>
          <w:color w:val="auto"/>
          <w:sz w:val="28"/>
          <w:szCs w:val="28"/>
          <w:highlight w:val="none"/>
          <w:u w:val="none"/>
          <w:lang w:eastAsia="zh-CN"/>
        </w:rPr>
        <w:t>备品</w:t>
      </w:r>
      <w:r>
        <w:rPr>
          <w:rFonts w:hint="eastAsia" w:ascii="仿宋" w:hAnsi="仿宋" w:eastAsia="仿宋" w:cs="仿宋"/>
          <w:color w:val="auto"/>
          <w:sz w:val="28"/>
          <w:szCs w:val="28"/>
          <w:highlight w:val="none"/>
          <w:u w:val="none"/>
          <w:lang w:val="en-US" w:eastAsia="zh-CN"/>
        </w:rPr>
        <w:t>备件</w:t>
      </w:r>
      <w:r>
        <w:rPr>
          <w:rFonts w:hint="eastAsia" w:ascii="仿宋" w:hAnsi="仿宋" w:eastAsia="仿宋" w:cs="仿宋"/>
          <w:color w:val="auto"/>
          <w:sz w:val="28"/>
          <w:szCs w:val="28"/>
          <w:highlight w:val="none"/>
          <w:u w:val="none"/>
        </w:rPr>
        <w:t>均为</w:t>
      </w:r>
      <w:r>
        <w:rPr>
          <w:rFonts w:hint="eastAsia" w:ascii="仿宋_GB2312" w:hAnsi="宋体" w:eastAsia="仿宋_GB2312" w:cs="宋体"/>
          <w:color w:val="auto"/>
          <w:kern w:val="0"/>
          <w:sz w:val="28"/>
          <w:szCs w:val="28"/>
          <w:highlight w:val="none"/>
          <w:lang w:val="en-US" w:eastAsia="zh-CN"/>
        </w:rPr>
        <w:t>符合询价文件的</w:t>
      </w:r>
      <w:r>
        <w:rPr>
          <w:rFonts w:hint="eastAsia" w:ascii="仿宋" w:hAnsi="仿宋" w:eastAsia="仿宋" w:cs="仿宋"/>
          <w:color w:val="auto"/>
          <w:sz w:val="28"/>
          <w:szCs w:val="28"/>
          <w:highlight w:val="none"/>
          <w:u w:val="none"/>
          <w:lang w:val="en-US" w:eastAsia="zh-CN"/>
        </w:rPr>
        <w:t>全新</w:t>
      </w:r>
      <w:r>
        <w:rPr>
          <w:rFonts w:hint="eastAsia" w:ascii="仿宋" w:hAnsi="仿宋" w:eastAsia="仿宋" w:cs="仿宋"/>
          <w:color w:val="auto"/>
          <w:sz w:val="28"/>
          <w:szCs w:val="28"/>
          <w:highlight w:val="none"/>
          <w:u w:val="none"/>
        </w:rPr>
        <w:t>原装产品</w:t>
      </w:r>
      <w:r>
        <w:rPr>
          <w:rFonts w:hint="eastAsia" w:ascii="仿宋" w:hAnsi="仿宋" w:eastAsia="仿宋" w:cs="仿宋"/>
          <w:color w:val="auto"/>
          <w:sz w:val="28"/>
          <w:szCs w:val="28"/>
          <w:highlight w:val="none"/>
          <w:u w:val="none"/>
          <w:lang w:eastAsia="zh-CN"/>
        </w:rPr>
        <w:t>，货物在质保期(为自供货验收合格之日起1年内）如有质量问题或未能适配原有设备时，</w:t>
      </w: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lang w:eastAsia="zh-CN"/>
        </w:rPr>
        <w:t>小时内派技术人员到现场免费进行维修。</w:t>
      </w:r>
      <w:r>
        <w:rPr>
          <w:rFonts w:hint="eastAsia" w:ascii="仿宋" w:hAnsi="仿宋" w:eastAsia="仿宋" w:cs="仿宋"/>
          <w:color w:val="auto"/>
          <w:sz w:val="28"/>
          <w:szCs w:val="28"/>
          <w:highlight w:val="none"/>
          <w:u w:val="none"/>
          <w:lang w:val="en-US" w:eastAsia="zh-CN"/>
        </w:rPr>
        <w:t xml:space="preserve">                     </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（报价单位）</w:t>
      </w:r>
      <w:r>
        <w:rPr>
          <w:rFonts w:hint="eastAsia" w:ascii="仿宋" w:hAnsi="仿宋" w:eastAsia="仿宋" w:cs="仿宋"/>
          <w:color w:val="auto"/>
          <w:sz w:val="28"/>
          <w:szCs w:val="28"/>
          <w:highlight w:val="none"/>
          <w:u w:val="none"/>
          <w:lang w:val="en-US" w:eastAsia="zh-CN"/>
        </w:rPr>
        <w:t>盖章</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年  月  日</w:t>
      </w: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bookmarkEnd w:id="202"/>
    <w:bookmarkEnd w:id="203"/>
    <w:bookmarkEnd w:id="204"/>
    <w:bookmarkEnd w:id="205"/>
    <w:p>
      <w:pPr>
        <w:adjustRightInd w:val="0"/>
        <w:snapToGrid w:val="0"/>
        <w:spacing w:line="360" w:lineRule="auto"/>
        <w:ind w:firstLine="562" w:firstLineChars="200"/>
        <w:jc w:val="left"/>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val="en-US" w:eastAsia="zh-CN"/>
        </w:rPr>
        <w:t>7.参数响应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ind w:firstLine="562" w:firstLineChars="20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lang w:val="en-GB"/>
        </w:rPr>
        <w:t>我方郑重承诺，</w:t>
      </w:r>
      <w:r>
        <w:rPr>
          <w:rFonts w:hint="eastAsia" w:ascii="宋体" w:hAnsi="宋体" w:eastAsia="宋体" w:cs="宋体"/>
          <w:sz w:val="24"/>
          <w:szCs w:val="24"/>
          <w:highlight w:val="none"/>
          <w:lang w:val="en-US" w:eastAsia="zh-CN"/>
        </w:rPr>
        <w:t>在柔性加热器采购</w:t>
      </w:r>
      <w:r>
        <w:rPr>
          <w:rFonts w:hint="eastAsia" w:ascii="宋体" w:hAnsi="宋体" w:eastAsia="宋体" w:cs="宋体"/>
          <w:sz w:val="24"/>
          <w:szCs w:val="24"/>
          <w:highlight w:val="none"/>
          <w:lang w:val="en-GB" w:eastAsia="zh-CN"/>
        </w:rPr>
        <w:t>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u w:val="single"/>
          <w:lang w:val="en-US" w:eastAsia="zh-CN"/>
        </w:rPr>
        <w:t>中我方所提供设备的参数完全满足以下内容</w:t>
      </w:r>
      <w:r>
        <w:rPr>
          <w:rFonts w:hint="eastAsia" w:ascii="宋体" w:hAnsi="宋体" w:eastAsia="宋体" w:cs="宋体"/>
          <w:sz w:val="24"/>
          <w:szCs w:val="24"/>
          <w:highlight w:val="none"/>
          <w:u w:val="none"/>
          <w:lang w:val="zh-CN"/>
        </w:rPr>
        <w:t>：</w:t>
      </w:r>
    </w:p>
    <w:p>
      <w:pPr>
        <w:adjustRightInd w:val="0"/>
        <w:snapToGrid w:val="0"/>
        <w:spacing w:line="360" w:lineRule="auto"/>
        <w:ind w:firstLine="964"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1.柔性加热器（12kW）：</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1.1使用需求：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（1）工件类型：轴承内圈、联轴器；</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（2）加热作用：加热后，拆卸。</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1.2工件信息：</w:t>
      </w:r>
    </w:p>
    <w:tbl>
      <w:tblPr>
        <w:tblStyle w:val="25"/>
        <w:tblW w:w="94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320"/>
        <w:gridCol w:w="1305"/>
        <w:gridCol w:w="1260"/>
        <w:gridCol w:w="1320"/>
        <w:gridCol w:w="139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adjustRightInd w:val="0"/>
              <w:snapToGrid w:val="0"/>
              <w:spacing w:line="360" w:lineRule="auto"/>
              <w:jc w:val="center"/>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工件类型</w:t>
            </w:r>
          </w:p>
        </w:tc>
        <w:tc>
          <w:tcPr>
            <w:tcW w:w="1320" w:type="dxa"/>
          </w:tcPr>
          <w:p>
            <w:pPr>
              <w:adjustRightInd w:val="0"/>
              <w:snapToGrid w:val="0"/>
              <w:spacing w:line="360" w:lineRule="auto"/>
              <w:jc w:val="center"/>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最小外径</w:t>
            </w:r>
          </w:p>
        </w:tc>
        <w:tc>
          <w:tcPr>
            <w:tcW w:w="1305"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最大外径</w:t>
            </w:r>
          </w:p>
        </w:tc>
        <w:tc>
          <w:tcPr>
            <w:tcW w:w="126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最小宽度</w:t>
            </w:r>
          </w:p>
        </w:tc>
        <w:tc>
          <w:tcPr>
            <w:tcW w:w="132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最大宽度</w:t>
            </w:r>
          </w:p>
        </w:tc>
        <w:tc>
          <w:tcPr>
            <w:tcW w:w="1395"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最小壁厚</w:t>
            </w:r>
          </w:p>
        </w:tc>
        <w:tc>
          <w:tcPr>
            <w:tcW w:w="153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最大壁厚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轴承内圈</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55</w:t>
            </w:r>
          </w:p>
        </w:tc>
        <w:tc>
          <w:tcPr>
            <w:tcW w:w="130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100</w:t>
            </w:r>
          </w:p>
        </w:tc>
        <w:tc>
          <w:tcPr>
            <w:tcW w:w="126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25</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50</w:t>
            </w:r>
          </w:p>
        </w:tc>
        <w:tc>
          <w:tcPr>
            <w:tcW w:w="139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53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联轴器</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65</w:t>
            </w:r>
          </w:p>
        </w:tc>
        <w:tc>
          <w:tcPr>
            <w:tcW w:w="130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100</w:t>
            </w:r>
          </w:p>
        </w:tc>
        <w:tc>
          <w:tcPr>
            <w:tcW w:w="126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90</w:t>
            </w:r>
          </w:p>
        </w:tc>
        <w:tc>
          <w:tcPr>
            <w:tcW w:w="139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c>
          <w:tcPr>
            <w:tcW w:w="153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r>
    </w:tbl>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1.3技术参数：</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（1）采购的加热器为中频加热器，采用IGBT 和全空冷式感应加热。</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（2）参数配置表：</w:t>
      </w:r>
    </w:p>
    <w:p>
      <w:pPr>
        <w:pStyle w:val="2"/>
        <w:rPr>
          <w:rFonts w:hint="eastAsia"/>
          <w:lang w:val="en-US" w:eastAsia="zh-CN"/>
        </w:rPr>
      </w:pPr>
    </w:p>
    <w:tbl>
      <w:tblPr>
        <w:tblStyle w:val="25"/>
        <w:tblW w:w="9420"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1"/>
        <w:gridCol w:w="2823"/>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项目</w:t>
            </w:r>
          </w:p>
        </w:tc>
        <w:tc>
          <w:tcPr>
            <w:tcW w:w="2823"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指标</w:t>
            </w:r>
          </w:p>
        </w:tc>
        <w:tc>
          <w:tcPr>
            <w:tcW w:w="3616"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12kW</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电流</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20A</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加热温度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0-240摄氏度</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输出功率可调节范围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10-100%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10kHz-35kHz</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输出频率跟踪</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自动</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闭环控制精度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效率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≧95%</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包括输出隔离变压器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功率因数</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≧0.85</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380VAC 三相</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 -30%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输入频率允许波动范围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过载能力</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1.10 倍额定，1 分钟</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柜体防护等级</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IP20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bl>
    <w:p>
      <w:pPr>
        <w:adjustRightInd w:val="0"/>
        <w:snapToGrid w:val="0"/>
        <w:spacing w:line="360" w:lineRule="auto"/>
        <w:rPr>
          <w:rFonts w:hint="eastAsia" w:ascii="宋体" w:hAnsi="宋体" w:eastAsia="宋体" w:cs="宋体"/>
          <w:kern w:val="0"/>
          <w:sz w:val="24"/>
          <w:szCs w:val="24"/>
          <w:highlight w:val="none"/>
          <w:lang w:val="en-US" w:eastAsia="zh-CN"/>
        </w:rPr>
      </w:pPr>
    </w:p>
    <w:p>
      <w:pPr>
        <w:adjustRightInd w:val="0"/>
        <w:snapToGrid w:val="0"/>
        <w:spacing w:line="360" w:lineRule="auto"/>
        <w:ind w:firstLine="964" w:firstLineChars="400"/>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2.柔性加热器（5kW）：</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2.1使用需求：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工件类型：轴承内圈。</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2.2工件信息：</w:t>
      </w:r>
    </w:p>
    <w:tbl>
      <w:tblPr>
        <w:tblStyle w:val="25"/>
        <w:tblW w:w="94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40"/>
        <w:gridCol w:w="246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w:t>
            </w:r>
          </w:p>
        </w:tc>
        <w:tc>
          <w:tcPr>
            <w:tcW w:w="204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轴承内圈宽度</w:t>
            </w:r>
          </w:p>
        </w:tc>
        <w:tc>
          <w:tcPr>
            <w:tcW w:w="246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轴承内圈外径</w:t>
            </w:r>
          </w:p>
        </w:tc>
        <w:tc>
          <w:tcPr>
            <w:tcW w:w="243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≧20mm</w:t>
            </w:r>
          </w:p>
        </w:tc>
        <w:tc>
          <w:tcPr>
            <w:tcW w:w="204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≧20mm</w:t>
            </w:r>
          </w:p>
        </w:tc>
        <w:tc>
          <w:tcPr>
            <w:tcW w:w="246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≦150mm</w:t>
            </w:r>
          </w:p>
        </w:tc>
        <w:tc>
          <w:tcPr>
            <w:tcW w:w="243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≦3KG</w:t>
            </w:r>
          </w:p>
        </w:tc>
      </w:tr>
    </w:tbl>
    <w:p>
      <w:pPr>
        <w:adjustRightInd w:val="0"/>
        <w:snapToGrid w:val="0"/>
        <w:spacing w:line="360" w:lineRule="auto"/>
        <w:rPr>
          <w:rFonts w:hint="eastAsia" w:ascii="宋体" w:hAnsi="宋体" w:eastAsia="宋体" w:cs="宋体"/>
          <w:kern w:val="0"/>
          <w:sz w:val="24"/>
          <w:szCs w:val="24"/>
          <w:highlight w:val="none"/>
          <w:lang w:val="en-US" w:eastAsia="zh-CN"/>
        </w:rPr>
      </w:pP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2.3技术参数：</w:t>
      </w:r>
    </w:p>
    <w:tbl>
      <w:tblPr>
        <w:tblStyle w:val="25"/>
        <w:tblW w:w="94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2823"/>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项目</w:t>
            </w:r>
          </w:p>
        </w:tc>
        <w:tc>
          <w:tcPr>
            <w:tcW w:w="2823"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指标</w:t>
            </w:r>
          </w:p>
        </w:tc>
        <w:tc>
          <w:tcPr>
            <w:tcW w:w="3631"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输出功率可调范围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1-5kW</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10kHz-35kHz</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输出频率跟踪</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自动</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闭环控制精度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效率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≧95%</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包括输出隔离变压器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功率因数</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≧0.85</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220VAC 单相</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 -30%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输入频率允许波动范围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过载能力</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1.10 倍额定，1 分钟</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柜体防护等级</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IP20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bl>
    <w:p>
      <w:pPr>
        <w:adjustRightInd w:val="0"/>
        <w:snapToGrid w:val="0"/>
        <w:spacing w:line="360" w:lineRule="auto"/>
        <w:ind w:firstLine="964" w:firstLineChars="400"/>
        <w:rPr>
          <w:rFonts w:hint="eastAsia" w:ascii="宋体" w:hAnsi="宋体" w:eastAsia="宋体" w:cs="宋体"/>
          <w:b/>
          <w:bCs/>
          <w:kern w:val="0"/>
          <w:sz w:val="24"/>
          <w:szCs w:val="24"/>
          <w:highlight w:val="none"/>
          <w:lang w:val="en-US" w:eastAsia="zh-CN"/>
        </w:rPr>
      </w:pPr>
    </w:p>
    <w:p>
      <w:pPr>
        <w:adjustRightInd w:val="0"/>
        <w:snapToGrid w:val="0"/>
        <w:spacing w:line="360" w:lineRule="auto"/>
        <w:ind w:firstLine="964"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3.设备要求: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（1）系统的IGBT 逆变以及输出隔离变压器均采用空冷结构；</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（2）设备需采用DSP 中央处理器；</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（3）系统采用ZCS 电路实现高频低损耗IGBT 逆变，在DSP 的控制下，能快速精准地跟踪负载的变化，及时调整逆变频率和相位；</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（4）高频跟踪逆变的稳定性较强，具备有短路保护和欠压保护功能；</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（5）具备谐振频率自动准确跟踪功能，保证系统始终工作在最佳工作点附近；</w:t>
      </w:r>
    </w:p>
    <w:p>
      <w:pPr>
        <w:adjustRightInd w:val="0"/>
        <w:snapToGrid w:val="0"/>
        <w:spacing w:line="360" w:lineRule="auto"/>
        <w:ind w:firstLine="480" w:firstLineChars="200"/>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（6）内置PID 程序，适合温度闭环运行，能实现升温及降温速度控制。内置绝缘电阻在线监测功能，可在运行时实时测量输出回路的绝缘电阻（包括感应器/感应电缆、延长电缆/），可显示绝缘电阻值（例如8.2MΩ），可设置绝缘电阻报警/保护值，可在复杂的现场环境下提供高安全保障；</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（7）装置具有短路、过载、过压、过温保护和限制功能，具有变压器状态检测。其中过流和过压均具有硬件和软件双重保护；</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（8）具有本地控制、有线控制、PC机控制，三种启停和操控方法，同时具有多个输入输出状态接口，满足PLC、电脑等远程控制或集中控制的需要；</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（9）具有阻抗自动切换功能：可实现居里点前、后阻抗自动切换，以保持电源始终以高功率输出。借助此功能，可以选择较小功率的电源实现过居里温度点加热；</w:t>
      </w:r>
    </w:p>
    <w:p>
      <w:pPr>
        <w:adjustRightInd w:val="0"/>
        <w:snapToGrid w:val="0"/>
        <w:spacing w:line="360" w:lineRule="auto"/>
        <w:ind w:left="0" w:leftChars="0" w:firstLine="480" w:firstLineChars="200"/>
        <w:jc w:val="left"/>
        <w:rPr>
          <w:rFonts w:hint="eastAsia" w:ascii="宋体" w:hAnsi="宋体" w:eastAsia="宋体" w:cs="宋体"/>
          <w:sz w:val="24"/>
          <w:szCs w:val="24"/>
          <w:highlight w:val="none"/>
          <w:lang w:val="en-GB"/>
        </w:rPr>
      </w:pPr>
      <w:r>
        <w:rPr>
          <w:rFonts w:hint="eastAsia" w:ascii="宋体" w:hAnsi="宋体" w:eastAsia="宋体" w:cs="宋体"/>
          <w:kern w:val="0"/>
          <w:sz w:val="24"/>
          <w:szCs w:val="24"/>
          <w:highlight w:val="none"/>
          <w:lang w:val="en-US" w:eastAsia="zh-CN"/>
        </w:rPr>
        <w:t>（10）加热器经过加热、消磁工序后，残磁值应满足JB/T 6641-2017滚动轴承残磁及其评定方法的标准要求。</w:t>
      </w: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rPr>
          <w:rFonts w:hint="eastAsia" w:ascii="宋体" w:hAnsi="宋体" w:cs="宋体"/>
          <w:color w:val="auto"/>
          <w:sz w:val="28"/>
          <w:szCs w:val="28"/>
          <w:highlight w:val="none"/>
          <w:lang w:val="en-US" w:eastAsia="zh-CN"/>
        </w:rPr>
      </w:pPr>
    </w:p>
    <w:p>
      <w:pPr>
        <w:pStyle w:val="2"/>
        <w:rPr>
          <w:rFonts w:hint="eastAsia" w:ascii="宋体" w:hAnsi="宋体" w:cs="宋体"/>
          <w:color w:val="auto"/>
          <w:sz w:val="28"/>
          <w:szCs w:val="28"/>
          <w:highlight w:val="none"/>
          <w:lang w:val="en-US" w:eastAsia="zh-CN"/>
        </w:rPr>
      </w:pPr>
    </w:p>
    <w:p>
      <w:pPr>
        <w:pStyle w:val="2"/>
        <w:rPr>
          <w:rFonts w:hint="eastAsia" w:ascii="宋体" w:hAnsi="宋体" w:cs="宋体"/>
          <w:color w:val="auto"/>
          <w:sz w:val="28"/>
          <w:szCs w:val="28"/>
          <w:highlight w:val="none"/>
          <w:lang w:val="en-US" w:eastAsia="zh-CN"/>
        </w:rPr>
      </w:pPr>
    </w:p>
    <w:p>
      <w:pPr>
        <w:pStyle w:val="6"/>
        <w:numPr>
          <w:ilvl w:val="0"/>
          <w:numId w:val="0"/>
        </w:numPr>
        <w:ind w:leftChars="0"/>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其他资料</w:t>
      </w:r>
    </w:p>
    <w:p>
      <w:pPr>
        <w:numPr>
          <w:ilvl w:val="0"/>
          <w:numId w:val="0"/>
        </w:numPr>
        <w:ind w:leftChars="0"/>
        <w:rPr>
          <w:rFonts w:hint="default" w:eastAsiaTheme="minorEastAsia"/>
          <w:lang w:val="en-US" w:eastAsia="zh-CN"/>
        </w:rPr>
      </w:pPr>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headerReference r:id="rId6" w:type="default"/>
      <w:footerReference r:id="rId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593D22"/>
    <w:multiLevelType w:val="singleLevel"/>
    <w:tmpl w:val="60593D22"/>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4NjBiNjQ3NzZmN2E0YTZkMTMzMjhjZTFkMTAifQ=="/>
  </w:docVars>
  <w:rsids>
    <w:rsidRoot w:val="00172A27"/>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540211"/>
    <w:rsid w:val="30682355"/>
    <w:rsid w:val="31000D25"/>
    <w:rsid w:val="312D7741"/>
    <w:rsid w:val="316F137F"/>
    <w:rsid w:val="31836839"/>
    <w:rsid w:val="31DF525F"/>
    <w:rsid w:val="32324C2E"/>
    <w:rsid w:val="327171DF"/>
    <w:rsid w:val="328D2734"/>
    <w:rsid w:val="333B456F"/>
    <w:rsid w:val="337310AB"/>
    <w:rsid w:val="33DB5E1D"/>
    <w:rsid w:val="341E3434"/>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BE86295"/>
    <w:rsid w:val="4C1155A4"/>
    <w:rsid w:val="4CA9307F"/>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7F74A1"/>
    <w:rsid w:val="6AE347EB"/>
    <w:rsid w:val="6B434AF0"/>
    <w:rsid w:val="6B57675A"/>
    <w:rsid w:val="6BC85759"/>
    <w:rsid w:val="6BDD7B4D"/>
    <w:rsid w:val="6C3E44D5"/>
    <w:rsid w:val="6D0722AD"/>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B9345A"/>
    <w:rsid w:val="76CD2B7B"/>
    <w:rsid w:val="76D80645"/>
    <w:rsid w:val="76E03371"/>
    <w:rsid w:val="780E5898"/>
    <w:rsid w:val="782642CC"/>
    <w:rsid w:val="783B1D3D"/>
    <w:rsid w:val="7894095E"/>
    <w:rsid w:val="78D90FF3"/>
    <w:rsid w:val="79000679"/>
    <w:rsid w:val="790777B5"/>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3"/>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9"/>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8"/>
    <w:next w:val="8"/>
    <w:link w:val="54"/>
    <w:semiHidden/>
    <w:unhideWhenUsed/>
    <w:qFormat/>
    <w:uiPriority w:val="99"/>
    <w:rPr>
      <w:b/>
      <w:bCs/>
    </w:rPr>
  </w:style>
  <w:style w:type="paragraph" w:styleId="23">
    <w:name w:val="Body Text First Indent"/>
    <w:basedOn w:val="10"/>
    <w:unhideWhenUsed/>
    <w:qFormat/>
    <w:uiPriority w:val="99"/>
    <w:pPr>
      <w:widowControl w:val="0"/>
      <w:spacing w:after="120" w:line="240" w:lineRule="auto"/>
      <w:ind w:firstLine="420"/>
    </w:pPr>
    <w:rPr>
      <w:kern w:val="2"/>
      <w:sz w:val="21"/>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Char"/>
    <w:basedOn w:val="26"/>
    <w:link w:val="5"/>
    <w:qFormat/>
    <w:uiPriority w:val="9"/>
    <w:rPr>
      <w:rFonts w:eastAsia="方正小标宋简体" w:asciiTheme="majorHAnsi" w:hAnsiTheme="majorHAnsi" w:cstheme="majorBidi"/>
      <w:bCs/>
      <w:sz w:val="36"/>
      <w:szCs w:val="32"/>
    </w:rPr>
  </w:style>
  <w:style w:type="paragraph" w:customStyle="1" w:styleId="32">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6"/>
    <w:link w:val="17"/>
    <w:qFormat/>
    <w:uiPriority w:val="99"/>
    <w:rPr>
      <w:sz w:val="18"/>
      <w:szCs w:val="18"/>
    </w:rPr>
  </w:style>
  <w:style w:type="character" w:customStyle="1" w:styleId="34">
    <w:name w:val="页脚 Char"/>
    <w:basedOn w:val="26"/>
    <w:link w:val="16"/>
    <w:qFormat/>
    <w:uiPriority w:val="99"/>
    <w:rPr>
      <w:sz w:val="18"/>
      <w:szCs w:val="18"/>
    </w:rPr>
  </w:style>
  <w:style w:type="character" w:customStyle="1" w:styleId="35">
    <w:name w:val="标题 1 Char"/>
    <w:basedOn w:val="26"/>
    <w:link w:val="4"/>
    <w:qFormat/>
    <w:uiPriority w:val="9"/>
    <w:rPr>
      <w:rFonts w:eastAsia="方正小标宋简体"/>
      <w:bCs/>
      <w:kern w:val="44"/>
      <w:sz w:val="44"/>
      <w:szCs w:val="44"/>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5"/>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Char"/>
    <w:basedOn w:val="26"/>
    <w:link w:val="8"/>
    <w:semiHidden/>
    <w:qFormat/>
    <w:uiPriority w:val="99"/>
    <w:rPr>
      <w:rFonts w:asciiTheme="minorHAnsi" w:hAnsiTheme="minorHAnsi" w:eastAsiaTheme="minorEastAsia" w:cstheme="minorBidi"/>
      <w:kern w:val="2"/>
      <w:sz w:val="21"/>
      <w:szCs w:val="22"/>
    </w:rPr>
  </w:style>
  <w:style w:type="character" w:customStyle="1" w:styleId="54">
    <w:name w:val="批注主题 Char"/>
    <w:basedOn w:val="53"/>
    <w:link w:val="22"/>
    <w:semiHidden/>
    <w:qFormat/>
    <w:uiPriority w:val="99"/>
    <w:rPr>
      <w:rFonts w:asciiTheme="minorHAnsi" w:hAnsiTheme="minorHAnsi" w:eastAsiaTheme="minorEastAsia" w:cstheme="minorBidi"/>
      <w:b/>
      <w:bCs/>
      <w:kern w:val="2"/>
      <w:sz w:val="21"/>
      <w:szCs w:val="22"/>
    </w:rPr>
  </w:style>
  <w:style w:type="paragraph" w:customStyle="1" w:styleId="55">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55</Pages>
  <Words>17734</Words>
  <Characters>18360</Characters>
  <Lines>155</Lines>
  <Paragraphs>43</Paragraphs>
  <TotalTime>256</TotalTime>
  <ScaleCrop>false</ScaleCrop>
  <LinksUpToDate>false</LinksUpToDate>
  <CharactersWithSpaces>20269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2022-08-05T07:46:00Z</cp:lastPrinted>
  <dcterms:modified xsi:type="dcterms:W3CDTF">2022-08-11T09:17:59Z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