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jc w:val="center"/>
        <w:rPr>
          <w:rFonts w:hint="default" w:ascii="方正小标宋简体" w:eastAsia="方正小标宋简体"/>
          <w:sz w:val="52"/>
          <w:szCs w:val="52"/>
          <w:highlight w:val="none"/>
          <w:lang w:val="en-US" w:eastAsia="zh-CN"/>
        </w:rPr>
      </w:pPr>
      <w:r>
        <w:rPr>
          <w:rFonts w:hint="eastAsia" w:ascii="方正小标宋简体" w:eastAsia="方正小标宋简体"/>
          <w:sz w:val="52"/>
          <w:szCs w:val="52"/>
          <w:highlight w:val="none"/>
          <w:lang w:val="en-US" w:eastAsia="zh-CN"/>
        </w:rPr>
        <w:t>广州市净水有限公司沥滘分公司2022年固定式气体检测仪采购项目（第二次）</w:t>
      </w: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二二年</w:t>
      </w:r>
      <w:r>
        <w:rPr>
          <w:rFonts w:hint="eastAsia" w:ascii="黑体" w:hAnsi="黑体" w:eastAsia="黑体" w:cs="仿宋_GB2312"/>
          <w:sz w:val="32"/>
          <w:szCs w:val="32"/>
          <w:highlight w:val="none"/>
          <w:lang w:val="en-US" w:eastAsia="zh-CN"/>
        </w:rPr>
        <w:t>七</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19"/>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19"/>
        <w:numPr>
          <w:ilvl w:val="0"/>
          <w:numId w:val="1"/>
        </w:numPr>
        <w:tabs>
          <w:tab w:val="right" w:pos="8844"/>
        </w:tabs>
        <w:rPr>
          <w:highlight w:val="none"/>
        </w:rPr>
      </w:pPr>
      <w:r>
        <w:rPr>
          <w:rFonts w:hint="eastAsia"/>
          <w:highlight w:val="none"/>
          <w:lang w:val="en-US" w:eastAsia="zh-CN"/>
        </w:rPr>
        <w:t>供应商须知</w:t>
      </w:r>
    </w:p>
    <w:p>
      <w:pPr>
        <w:pStyle w:val="19"/>
        <w:numPr>
          <w:ilvl w:val="0"/>
          <w:numId w:val="1"/>
        </w:numPr>
        <w:tabs>
          <w:tab w:val="right" w:pos="8844"/>
        </w:tabs>
        <w:rPr>
          <w:highlight w:val="none"/>
        </w:rPr>
      </w:pPr>
      <w:r>
        <w:rPr>
          <w:rFonts w:hint="eastAsia"/>
          <w:highlight w:val="none"/>
          <w:lang w:val="en-US" w:eastAsia="zh-CN"/>
        </w:rPr>
        <w:t>采购方法</w:t>
      </w:r>
    </w:p>
    <w:p>
      <w:pPr>
        <w:pStyle w:val="19"/>
        <w:numPr>
          <w:ilvl w:val="0"/>
          <w:numId w:val="1"/>
        </w:numPr>
        <w:tabs>
          <w:tab w:val="right" w:pos="8844"/>
        </w:tabs>
        <w:rPr>
          <w:highlight w:val="none"/>
        </w:rPr>
      </w:pPr>
      <w:r>
        <w:rPr>
          <w:rFonts w:hint="eastAsia"/>
          <w:highlight w:val="none"/>
          <w:lang w:val="en-US" w:eastAsia="zh-CN"/>
        </w:rPr>
        <w:t>评审方法</w:t>
      </w:r>
    </w:p>
    <w:p>
      <w:pPr>
        <w:pStyle w:val="19"/>
        <w:numPr>
          <w:ilvl w:val="0"/>
          <w:numId w:val="1"/>
        </w:numPr>
        <w:tabs>
          <w:tab w:val="right" w:pos="8844"/>
        </w:tabs>
        <w:rPr>
          <w:highlight w:val="none"/>
        </w:rPr>
      </w:pPr>
      <w:r>
        <w:rPr>
          <w:rFonts w:hint="eastAsia"/>
          <w:highlight w:val="none"/>
          <w:lang w:val="en-US" w:eastAsia="zh-CN"/>
        </w:rPr>
        <w:t>采购需求</w:t>
      </w:r>
    </w:p>
    <w:p>
      <w:pPr>
        <w:pStyle w:val="19"/>
        <w:numPr>
          <w:ilvl w:val="0"/>
          <w:numId w:val="1"/>
        </w:numPr>
        <w:tabs>
          <w:tab w:val="right" w:pos="8844"/>
        </w:tabs>
        <w:rPr>
          <w:highlight w:val="none"/>
        </w:rPr>
      </w:pPr>
      <w:r>
        <w:rPr>
          <w:rFonts w:hint="eastAsia"/>
          <w:highlight w:val="none"/>
        </w:rPr>
        <w:t>合同草案</w:t>
      </w:r>
    </w:p>
    <w:p>
      <w:pPr>
        <w:pStyle w:val="19"/>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hint="eastAsia"/>
          <w:highlight w:val="none"/>
        </w:rPr>
      </w:pPr>
      <w:bookmarkStart w:id="0" w:name="_Toc18145"/>
      <w:bookmarkStart w:id="1" w:name="_Toc26148"/>
    </w:p>
    <w:p>
      <w:pPr>
        <w:rPr>
          <w:rFonts w:hint="eastAsia"/>
          <w:highlight w:val="none"/>
        </w:rPr>
      </w:pPr>
    </w:p>
    <w:p>
      <w:pPr>
        <w:pStyle w:val="4"/>
        <w:rPr>
          <w:rFonts w:hint="eastAsia"/>
          <w:highlight w:val="none"/>
        </w:rPr>
      </w:pPr>
      <w:bookmarkStart w:id="2" w:name="_Toc17696"/>
      <w:bookmarkStart w:id="3" w:name="_Toc1711"/>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highlight w:val="none"/>
        </w:rPr>
      </w:pPr>
      <w:bookmarkStart w:id="4" w:name="_Toc31938"/>
      <w:bookmarkStart w:id="5" w:name="_Toc1669"/>
      <w:bookmarkStart w:id="6" w:name="_Toc19609"/>
      <w:bookmarkStart w:id="7" w:name="_Toc17801"/>
      <w:bookmarkStart w:id="8" w:name="_Toc7519"/>
      <w:bookmarkStart w:id="9" w:name="_Toc11322"/>
      <w:bookmarkStart w:id="10" w:name="_Toc4275"/>
    </w:p>
    <w:p>
      <w:pPr>
        <w:pStyle w:val="4"/>
        <w:rPr>
          <w:rFonts w:hint="eastAsia"/>
          <w:highlight w:val="none"/>
        </w:rPr>
      </w:pPr>
    </w:p>
    <w:p>
      <w:pPr>
        <w:pStyle w:val="4"/>
        <w:rPr>
          <w:rFonts w:hint="eastAsia"/>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2205355</wp:posOffset>
                </wp:positionH>
                <wp:positionV relativeFrom="paragraph">
                  <wp:posOffset>782320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3.65pt;margin-top:61.6pt;height:0pt;width:75.5pt;z-index:251670528;mso-width-relative:page;mso-height-relative:page;" filled="f" stroked="t" coordsize="21600,21600" o:gfxdata="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PDP2AAAAAsBAAAPAAAAAAAA&#10;AAEAIAAAACIAAABkcnMvZG93bnJldi54bWxQSwECFAAUAAAACACHTuJAP0A05tkBAACWAwAADgAA&#10;AAAAAAABACAAAAAnAQAAZHJzL2Uyb0RvYy54bWxQSwUGAAAAAAYABgBZAQAAcgUAAAAA&#10;">
                <v:fill on="f" focussize="0,0"/>
                <v:stroke color="#000000" joinstyle="round"/>
                <v:imagedata o:title=""/>
                <o:lock v:ext="edit" aspectratio="f"/>
              </v:shape>
            </w:pict>
          </mc:Fallback>
        </mc:AlternateContent>
      </w:r>
    </w:p>
    <w:p>
      <w:pPr>
        <w:pStyle w:val="4"/>
        <w:rPr>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2197735</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3.05pt;margin-top:39.95pt;height:0pt;width:75.5pt;z-index:251671552;mso-width-relative:page;mso-height-relative:page;" filled="f" stroked="t" coordsize="21600,21600" o:gfxdata="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d9bdd1wAAAAk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5"/>
        <w:rPr>
          <w:highlight w:val="none"/>
        </w:rPr>
      </w:pPr>
    </w:p>
    <w:p>
      <w:pPr>
        <w:pStyle w:val="4"/>
        <w:rPr>
          <w:highlight w:val="none"/>
        </w:rPr>
      </w:pPr>
      <w:bookmarkStart w:id="11" w:name="_Toc5230"/>
      <w:bookmarkStart w:id="12" w:name="_Toc15709"/>
      <w:bookmarkStart w:id="13" w:name="_Toc10122"/>
      <w:bookmarkStart w:id="14" w:name="_Toc28995"/>
      <w:bookmarkStart w:id="15" w:name="_Toc30989"/>
      <w:bookmarkStart w:id="16" w:name="_Toc88209924"/>
      <w:bookmarkStart w:id="17" w:name="_Toc8201"/>
      <w:bookmarkStart w:id="18" w:name="_Toc26363"/>
      <w:bookmarkStart w:id="19" w:name="_Toc2659"/>
      <w:bookmarkStart w:id="20" w:name="_Toc999"/>
      <w:bookmarkStart w:id="21" w:name="_Toc30131"/>
      <w:bookmarkStart w:id="22" w:name="_Toc14238"/>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仿宋_GB2312" w:eastAsia="仿宋_GB2312"/>
          <w:sz w:val="28"/>
          <w:szCs w:val="28"/>
          <w:highlight w:val="none"/>
        </w:rPr>
      </w:pPr>
    </w:p>
    <w:p>
      <w:pPr>
        <w:pStyle w:val="5"/>
        <w:spacing w:line="600" w:lineRule="exact"/>
        <w:rPr>
          <w:highlight w:val="none"/>
        </w:rPr>
      </w:pPr>
      <w:bookmarkStart w:id="23" w:name="_Toc21373"/>
      <w:bookmarkStart w:id="24" w:name="_Toc9680"/>
      <w:r>
        <w:rPr>
          <w:rFonts w:hint="eastAsia"/>
          <w:highlight w:val="none"/>
          <w:u w:val="single"/>
        </w:rPr>
        <w:t>广州市净水有限公司</w:t>
      </w:r>
      <w:r>
        <w:rPr>
          <w:rFonts w:hint="eastAsia"/>
          <w:highlight w:val="none"/>
          <w:u w:val="single"/>
          <w:lang w:eastAsia="zh-CN"/>
        </w:rPr>
        <w:t>沥滘分公司2022年固定式气体检测仪采购项目（第二次）</w:t>
      </w:r>
      <w:r>
        <w:rPr>
          <w:rFonts w:hint="eastAsia"/>
          <w:highlight w:val="none"/>
        </w:rPr>
        <w:t>采购公告</w:t>
      </w:r>
      <w:bookmarkEnd w:id="23"/>
      <w:bookmarkEnd w:id="24"/>
    </w:p>
    <w:p>
      <w:pPr>
        <w:adjustRightInd w:val="0"/>
        <w:snapToGrid w:val="0"/>
        <w:spacing w:line="360" w:lineRule="auto"/>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沥滘分公司2022年固定式气体检测仪采购项目（第二次）</w:t>
      </w:r>
      <w:r>
        <w:rPr>
          <w:rFonts w:hint="eastAsia" w:ascii="仿宋_GB2312" w:eastAsia="仿宋_GB2312"/>
          <w:sz w:val="28"/>
          <w:szCs w:val="28"/>
          <w:highlight w:val="none"/>
        </w:rPr>
        <w:t xml:space="preserve">已具备采购条件，现对该□施工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□服务项目实施公开采购活动，采用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公开询比的</w:t>
      </w:r>
      <w:r>
        <w:rPr>
          <w:rFonts w:hint="eastAsia" w:ascii="仿宋_GB2312" w:eastAsia="仿宋_GB2312"/>
          <w:sz w:val="28"/>
          <w:szCs w:val="28"/>
          <w:highlight w:val="none"/>
        </w:rPr>
        <w:t>方式公开邀请合格供应商参加本项目采购竞争。</w:t>
      </w:r>
    </w:p>
    <w:p>
      <w:pPr>
        <w:adjustRightInd w:val="0"/>
        <w:snapToGrid w:val="0"/>
        <w:spacing w:line="360" w:lineRule="auto"/>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沥滘分公司2022年固定式气体检测仪采购项目（第二次）</w:t>
      </w:r>
    </w:p>
    <w:p>
      <w:pPr>
        <w:adjustRightInd w:val="0"/>
        <w:snapToGrid w:val="0"/>
        <w:spacing w:line="360" w:lineRule="auto"/>
        <w:jc w:val="left"/>
        <w:rPr>
          <w:rFonts w:hint="default" w:ascii="仿宋_GB2312" w:eastAsia="仿宋_GB2312"/>
          <w:sz w:val="28"/>
          <w:szCs w:val="28"/>
          <w:highlight w:val="none"/>
          <w:lang w:val="en-US"/>
        </w:rPr>
      </w:pPr>
      <w:r>
        <w:rPr>
          <w:rFonts w:hint="eastAsia" w:ascii="仿宋_GB2312" w:eastAsia="仿宋_GB2312"/>
          <w:sz w:val="28"/>
          <w:szCs w:val="28"/>
          <w:highlight w:val="none"/>
        </w:rPr>
        <w:t>1.2项目编号：</w:t>
      </w:r>
      <w:r>
        <w:rPr>
          <w:rFonts w:hint="eastAsia" w:ascii="仿宋_GB2312" w:eastAsia="仿宋_GB2312"/>
          <w:sz w:val="28"/>
          <w:szCs w:val="28"/>
          <w:u w:val="single"/>
          <w:lang w:val="en-US" w:eastAsia="zh-CN"/>
        </w:rPr>
        <w:t>XJ-20220805-2</w:t>
      </w:r>
    </w:p>
    <w:p>
      <w:pPr>
        <w:adjustRightInd w:val="0"/>
        <w:snapToGrid w:val="0"/>
        <w:spacing w:line="360" w:lineRule="auto"/>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r>
        <w:rPr>
          <w:rFonts w:hint="eastAsia" w:ascii="仿宋_GB2312" w:eastAsia="仿宋_GB2312"/>
          <w:sz w:val="28"/>
          <w:szCs w:val="28"/>
          <w:highlight w:val="none"/>
          <w:u w:val="single"/>
        </w:rPr>
        <w:t xml:space="preserve"> </w:t>
      </w:r>
    </w:p>
    <w:p>
      <w:pPr>
        <w:adjustRightInd w:val="0"/>
        <w:snapToGrid w:val="0"/>
        <w:spacing w:line="360" w:lineRule="auto"/>
        <w:jc w:val="left"/>
        <w:rPr>
          <w:rFonts w:hint="eastAsia" w:ascii="仿宋_GB2312" w:eastAsia="仿宋_GB2312"/>
          <w:sz w:val="28"/>
          <w:szCs w:val="28"/>
          <w:highlight w:val="none"/>
          <w:u w:val="single"/>
          <w:lang w:eastAsia="zh-CN"/>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67800</w:t>
      </w:r>
      <w:r>
        <w:rPr>
          <w:rFonts w:hint="eastAsia" w:ascii="仿宋_GB2312" w:eastAsia="仿宋_GB2312"/>
          <w:sz w:val="28"/>
          <w:szCs w:val="28"/>
          <w:highlight w:val="none"/>
          <w:u w:val="single"/>
        </w:rPr>
        <w:t>元人民币</w:t>
      </w:r>
    </w:p>
    <w:p>
      <w:pPr>
        <w:adjustRightInd w:val="0"/>
        <w:snapToGrid w:val="0"/>
        <w:spacing w:line="360" w:lineRule="auto"/>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360" w:lineRule="auto"/>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360" w:lineRule="auto"/>
        <w:jc w:val="left"/>
        <w:rPr>
          <w:rFonts w:hint="eastAsia" w:ascii="仿宋_GB2312" w:eastAsia="仿宋_GB2312"/>
          <w:sz w:val="28"/>
          <w:szCs w:val="28"/>
          <w:highlight w:val="none"/>
          <w:u w:val="single"/>
          <w:lang w:eastAsia="zh-CN"/>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采购</w:t>
      </w:r>
      <w:r>
        <w:rPr>
          <w:rFonts w:hint="eastAsia" w:ascii="仿宋_GB2312" w:eastAsia="仿宋_GB2312"/>
          <w:sz w:val="28"/>
          <w:szCs w:val="28"/>
          <w:highlight w:val="none"/>
          <w:u w:val="single"/>
          <w:lang w:val="en-US" w:eastAsia="zh-CN"/>
        </w:rPr>
        <w:t>2套</w:t>
      </w:r>
      <w:r>
        <w:rPr>
          <w:rFonts w:hint="eastAsia" w:ascii="仿宋_GB2312" w:eastAsia="仿宋_GB2312"/>
          <w:sz w:val="28"/>
          <w:szCs w:val="28"/>
          <w:highlight w:val="none"/>
          <w:u w:val="single"/>
        </w:rPr>
        <w:t>与厂区原固定式气体检测仪参数完全一致，可后期集中收集报警信息并传输的固定式气体检测仪</w:t>
      </w:r>
      <w:r>
        <w:rPr>
          <w:rFonts w:hint="eastAsia" w:ascii="仿宋_GB2312" w:eastAsia="仿宋_GB2312"/>
          <w:sz w:val="28"/>
          <w:szCs w:val="28"/>
          <w:highlight w:val="none"/>
          <w:u w:val="single"/>
          <w:lang w:eastAsia="zh-CN"/>
        </w:rPr>
        <w:t>。</w:t>
      </w:r>
    </w:p>
    <w:p>
      <w:pPr>
        <w:adjustRightInd w:val="0"/>
        <w:snapToGrid w:val="0"/>
        <w:spacing w:line="360" w:lineRule="auto"/>
        <w:jc w:val="left"/>
        <w:rPr>
          <w:rFonts w:hint="default" w:ascii="仿宋_GB2312" w:eastAsia="仿宋_GB2312"/>
          <w:sz w:val="28"/>
          <w:szCs w:val="28"/>
          <w:highlight w:val="none"/>
          <w:lang w:val="en-US"/>
        </w:rPr>
      </w:pPr>
      <w:r>
        <w:rPr>
          <w:rFonts w:hint="eastAsia" w:ascii="仿宋_GB2312" w:eastAsia="仿宋_GB2312"/>
          <w:sz w:val="28"/>
          <w:szCs w:val="28"/>
          <w:highlight w:val="none"/>
        </w:rPr>
        <w:t xml:space="preserve">2.2项目工期：□计划工期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交货期  □服务期为</w:t>
      </w:r>
      <w:r>
        <w:rPr>
          <w:rFonts w:hint="eastAsia" w:ascii="仿宋_GB2312" w:eastAsia="仿宋_GB2312"/>
          <w:color w:val="auto"/>
          <w:sz w:val="28"/>
          <w:szCs w:val="28"/>
          <w:highlight w:val="none"/>
          <w:u w:val="single"/>
        </w:rPr>
        <w:t>自合同签订之日起</w:t>
      </w:r>
      <w:r>
        <w:rPr>
          <w:rFonts w:hint="eastAsia" w:ascii="仿宋_GB2312" w:eastAsia="仿宋_GB2312"/>
          <w:sz w:val="28"/>
          <w:szCs w:val="28"/>
          <w:highlight w:val="none"/>
          <w:u w:val="single"/>
          <w:lang w:val="en-US" w:eastAsia="zh-CN"/>
        </w:rPr>
        <w:t>三个月内。</w:t>
      </w:r>
    </w:p>
    <w:p>
      <w:pPr>
        <w:adjustRightInd w:val="0"/>
        <w:snapToGrid w:val="0"/>
        <w:spacing w:line="360" w:lineRule="auto"/>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交货地点  □服务地点位于</w:t>
      </w:r>
      <w:r>
        <w:rPr>
          <w:rFonts w:hint="eastAsia" w:ascii="仿宋_GB2312" w:eastAsia="仿宋_GB2312"/>
          <w:sz w:val="28"/>
          <w:szCs w:val="28"/>
          <w:highlight w:val="none"/>
          <w:u w:val="single"/>
        </w:rPr>
        <w:t>广州市净水有限公司沥滘分公司</w:t>
      </w:r>
    </w:p>
    <w:p>
      <w:pPr>
        <w:pStyle w:val="12"/>
        <w:keepNext w:val="0"/>
        <w:keepLines w:val="0"/>
        <w:pageBreakBefore w:val="0"/>
        <w:numPr>
          <w:ilvl w:val="0"/>
          <w:numId w:val="0"/>
        </w:numPr>
        <w:kinsoku/>
        <w:wordWrap/>
        <w:overflowPunct/>
        <w:topLinePunct w:val="0"/>
        <w:bidi w:val="0"/>
        <w:adjustRightInd w:val="0"/>
        <w:snapToGrid w:val="0"/>
        <w:spacing w:line="360" w:lineRule="auto"/>
        <w:rPr>
          <w:rFonts w:hint="eastAsia" w:ascii="仿宋_GB2312" w:eastAsia="仿宋_GB2312"/>
          <w:sz w:val="28"/>
          <w:szCs w:val="28"/>
          <w:highlight w:val="none"/>
        </w:rPr>
      </w:pPr>
      <w:r>
        <w:rPr>
          <w:rFonts w:hint="eastAsia" w:ascii="仿宋_GB2312" w:eastAsia="仿宋_GB2312"/>
          <w:sz w:val="28"/>
          <w:szCs w:val="28"/>
          <w:highlight w:val="none"/>
        </w:rPr>
        <w:t xml:space="preserve">2.4质量要求：□施工质量要求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详见合同附件 </w:t>
      </w:r>
    </w:p>
    <w:p>
      <w:pPr>
        <w:adjustRightInd w:val="0"/>
        <w:snapToGrid w:val="0"/>
        <w:spacing w:line="360" w:lineRule="auto"/>
        <w:ind w:left="420" w:right="-369"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360" w:lineRule="auto"/>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360" w:lineRule="auto"/>
        <w:jc w:val="left"/>
        <w:rPr>
          <w:rFonts w:hint="eastAsia" w:ascii="仿宋_GB2312" w:eastAsia="仿宋_GB2312"/>
          <w:sz w:val="28"/>
          <w:szCs w:val="28"/>
          <w:highlight w:val="none"/>
          <w:lang w:eastAsia="zh-CN"/>
        </w:rPr>
      </w:pP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360" w:lineRule="auto"/>
        <w:jc w:val="left"/>
        <w:rPr>
          <w:rFonts w:ascii="仿宋_GB2312" w:eastAsia="仿宋_GB2312"/>
          <w:sz w:val="28"/>
          <w:szCs w:val="28"/>
          <w:highlight w:val="none"/>
          <w:u w:val="singl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供应商应当具备</w:t>
      </w:r>
      <w:r>
        <w:rPr>
          <w:rFonts w:hint="eastAsia" w:ascii="仿宋_GB2312" w:eastAsia="仿宋_GB2312"/>
          <w:sz w:val="28"/>
          <w:szCs w:val="28"/>
          <w:highlight w:val="none"/>
          <w:lang w:val="en-US" w:eastAsia="zh-CN"/>
        </w:rPr>
        <w:t xml:space="preserve">    /       资质</w:t>
      </w:r>
      <w:r>
        <w:rPr>
          <w:rFonts w:hint="eastAsia" w:ascii="仿宋_GB2312" w:eastAsia="仿宋_GB2312"/>
          <w:sz w:val="28"/>
          <w:szCs w:val="28"/>
          <w:highlight w:val="none"/>
        </w:rPr>
        <w:t>。</w:t>
      </w:r>
    </w:p>
    <w:p>
      <w:pPr>
        <w:adjustRightInd w:val="0"/>
        <w:snapToGrid w:val="0"/>
        <w:spacing w:line="360" w:lineRule="auto"/>
        <w:jc w:val="left"/>
        <w:rPr>
          <w:rFonts w:hint="eastAsia" w:ascii="仿宋_GB2312" w:eastAsia="仿宋_GB2312"/>
          <w:sz w:val="28"/>
          <w:szCs w:val="28"/>
          <w:highlight w:val="non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 xml:space="preserve"> 2019年1月1日至今，</w:t>
      </w:r>
      <w:r>
        <w:rPr>
          <w:rFonts w:hint="eastAsia" w:ascii="仿宋_GB2312" w:eastAsia="仿宋_GB2312"/>
          <w:sz w:val="28"/>
          <w:szCs w:val="28"/>
          <w:highlight w:val="none"/>
        </w:rPr>
        <w:t>供应商</w:t>
      </w:r>
      <w:r>
        <w:rPr>
          <w:rFonts w:hint="eastAsia" w:ascii="仿宋_GB2312" w:eastAsia="仿宋_GB2312"/>
          <w:sz w:val="28"/>
          <w:szCs w:val="28"/>
          <w:highlight w:val="none"/>
          <w:lang w:val="en-US" w:eastAsia="zh-CN"/>
        </w:rPr>
        <w:t>最少</w:t>
      </w:r>
      <w:r>
        <w:rPr>
          <w:rFonts w:hint="eastAsia" w:ascii="仿宋_GB2312" w:eastAsia="仿宋_GB2312"/>
          <w:sz w:val="28"/>
          <w:szCs w:val="28"/>
          <w:highlight w:val="none"/>
        </w:rPr>
        <w:t>具有</w:t>
      </w:r>
      <w:r>
        <w:rPr>
          <w:rFonts w:hint="eastAsia" w:ascii="仿宋_GB2312" w:eastAsia="仿宋_GB2312"/>
          <w:sz w:val="28"/>
          <w:szCs w:val="28"/>
          <w:highlight w:val="none"/>
          <w:lang w:val="en-US" w:eastAsia="zh-CN"/>
        </w:rPr>
        <w:t>一项</w:t>
      </w:r>
      <w:r>
        <w:rPr>
          <w:rFonts w:hint="eastAsia" w:ascii="仿宋" w:hAnsi="仿宋" w:eastAsia="仿宋" w:cs="仿宋"/>
          <w:color w:val="auto"/>
          <w:sz w:val="28"/>
          <w:szCs w:val="28"/>
          <w:highlight w:val="none"/>
          <w:u w:val="single"/>
          <w:lang w:val="en-US" w:eastAsia="zh-CN"/>
        </w:rPr>
        <w:t>固定式气体检测仪</w:t>
      </w:r>
      <w:r>
        <w:rPr>
          <w:rFonts w:hint="eastAsia" w:ascii="仿宋" w:hAnsi="仿宋" w:eastAsia="仿宋" w:cs="仿宋"/>
          <w:color w:val="auto"/>
          <w:sz w:val="28"/>
          <w:szCs w:val="28"/>
          <w:highlight w:val="none"/>
          <w:u w:val="single"/>
          <w:lang w:val="en-US"/>
        </w:rPr>
        <w:t>系统</w:t>
      </w:r>
      <w:r>
        <w:rPr>
          <w:rFonts w:hint="eastAsia" w:ascii="仿宋" w:hAnsi="仿宋" w:eastAsia="仿宋" w:cs="仿宋"/>
          <w:color w:val="auto"/>
          <w:sz w:val="28"/>
          <w:szCs w:val="28"/>
          <w:highlight w:val="none"/>
          <w:u w:val="single"/>
          <w:lang w:val="en-US" w:eastAsia="zh-CN"/>
        </w:rPr>
        <w:t>供货及安装（调试）</w:t>
      </w:r>
      <w:r>
        <w:rPr>
          <w:rFonts w:hint="eastAsia" w:ascii="仿宋_GB2312" w:eastAsia="仿宋_GB2312"/>
          <w:sz w:val="28"/>
          <w:szCs w:val="28"/>
          <w:highlight w:val="none"/>
        </w:rPr>
        <w:t>项目的业绩。（提供合同复印件证明，包括但不限于项目名称、金额及实施内容、合同签字盖章、签订日期，加盖单位公章）</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360" w:lineRule="auto"/>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360" w:lineRule="auto"/>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360" w:lineRule="auto"/>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360" w:lineRule="auto"/>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360" w:lineRule="auto"/>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360" w:lineRule="auto"/>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360" w:lineRule="auto"/>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360" w:lineRule="auto"/>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360" w:lineRule="auto"/>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360" w:lineRule="auto"/>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360" w:lineRule="auto"/>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360" w:lineRule="auto"/>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360" w:lineRule="auto"/>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u w:val="single"/>
          <w:lang w:val="en-US" w:eastAsia="zh-CN"/>
        </w:rPr>
        <w:t xml:space="preserve"> 2022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6</w:t>
      </w:r>
      <w:r>
        <w:rPr>
          <w:rFonts w:hint="eastAsia" w:ascii="仿宋_GB2312" w:eastAsia="仿宋_GB2312"/>
          <w:sz w:val="28"/>
          <w:szCs w:val="28"/>
        </w:rPr>
        <w:t>日至</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10</w:t>
      </w:r>
      <w:r>
        <w:rPr>
          <w:rFonts w:hint="eastAsia" w:ascii="仿宋_GB2312" w:eastAsia="仿宋_GB2312"/>
          <w:sz w:val="28"/>
          <w:szCs w:val="28"/>
        </w:rPr>
        <w:t>日</w:t>
      </w:r>
      <w:r>
        <w:rPr>
          <w:rFonts w:hint="eastAsia" w:ascii="仿宋_GB2312" w:eastAsia="仿宋_GB2312"/>
          <w:sz w:val="28"/>
          <w:szCs w:val="28"/>
          <w:highlight w:val="none"/>
        </w:rPr>
        <w:t>（北京时间）</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360" w:lineRule="auto"/>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360" w:lineRule="auto"/>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360" w:lineRule="auto"/>
        <w:rPr>
          <w:rFonts w:hint="eastAsia" w:ascii="仿宋_GB2312" w:eastAsia="仿宋_GB2312"/>
          <w:sz w:val="28"/>
          <w:szCs w:val="28"/>
          <w:highlight w:val="non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不组织</w:t>
      </w:r>
    </w:p>
    <w:p>
      <w:pPr>
        <w:adjustRightInd w:val="0"/>
        <w:snapToGrid w:val="0"/>
        <w:spacing w:line="360" w:lineRule="auto"/>
        <w:ind w:firstLine="0" w:firstLineChars="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360" w:lineRule="auto"/>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360" w:lineRule="auto"/>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11</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分前</w:t>
      </w:r>
      <w:r>
        <w:rPr>
          <w:rFonts w:hint="eastAsia" w:ascii="仿宋_GB2312" w:eastAsia="仿宋_GB2312"/>
          <w:sz w:val="28"/>
          <w:szCs w:val="28"/>
          <w:highlight w:val="none"/>
        </w:rPr>
        <w:t>（北京时间）。</w:t>
      </w:r>
    </w:p>
    <w:p>
      <w:pPr>
        <w:adjustRightInd w:val="0"/>
        <w:snapToGrid w:val="0"/>
        <w:spacing w:line="360" w:lineRule="auto"/>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.2递交</w:t>
      </w:r>
      <w:r>
        <w:rPr>
          <w:rFonts w:hint="eastAsia" w:ascii="仿宋_GB2312" w:eastAsia="仿宋_GB2312"/>
          <w:sz w:val="28"/>
          <w:szCs w:val="28"/>
          <w:highlight w:val="none"/>
          <w:lang w:val="en-US" w:eastAsia="zh-CN"/>
        </w:rPr>
        <w:t>及快递</w:t>
      </w:r>
      <w:r>
        <w:rPr>
          <w:rFonts w:hint="eastAsia" w:ascii="仿宋_GB2312" w:eastAsia="仿宋_GB2312"/>
          <w:sz w:val="28"/>
          <w:szCs w:val="28"/>
          <w:highlight w:val="none"/>
        </w:rPr>
        <w:t>地址：</w:t>
      </w:r>
      <w:r>
        <w:rPr>
          <w:rFonts w:hint="eastAsia" w:ascii="仿宋_GB2312" w:eastAsia="仿宋_GB2312"/>
          <w:sz w:val="28"/>
          <w:szCs w:val="28"/>
          <w:highlight w:val="none"/>
          <w:lang w:val="en-US" w:eastAsia="zh-CN"/>
        </w:rPr>
        <w:t>广州市天河区临江大道501号</w:t>
      </w:r>
      <w:r>
        <w:rPr>
          <w:rFonts w:hint="eastAsia" w:ascii="仿宋_GB2312" w:eastAsia="仿宋_GB2312"/>
          <w:sz w:val="28"/>
          <w:szCs w:val="28"/>
          <w:highlight w:val="none"/>
          <w:u w:val="single"/>
          <w:lang w:val="en-US" w:eastAsia="zh-CN"/>
        </w:rPr>
        <w:t>广州市净水有限公司6楼招标部</w:t>
      </w:r>
      <w:r>
        <w:rPr>
          <w:rFonts w:hint="eastAsia" w:ascii="仿宋_GB2312" w:eastAsia="仿宋_GB2312"/>
          <w:sz w:val="28"/>
          <w:szCs w:val="28"/>
          <w:highlight w:val="none"/>
        </w:rPr>
        <w:t>。</w:t>
      </w:r>
    </w:p>
    <w:p>
      <w:pPr>
        <w:pStyle w:val="2"/>
        <w:spacing w:line="360" w:lineRule="auto"/>
        <w:ind w:firstLine="560" w:firstLineChars="200"/>
        <w:rPr>
          <w:rFonts w:hint="default" w:eastAsia="仿宋_GB2312"/>
          <w:highlight w:val="none"/>
          <w:lang w:val="en-US" w:eastAsia="zh-CN"/>
        </w:rPr>
      </w:pPr>
      <w:r>
        <w:rPr>
          <w:rFonts w:hint="eastAsia" w:ascii="仿宋_GB2312" w:eastAsia="仿宋_GB2312"/>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360" w:lineRule="auto"/>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.1发布公告的其他媒介</w:t>
      </w:r>
    </w:p>
    <w:p>
      <w:pPr>
        <w:adjustRightInd w:val="0"/>
        <w:snapToGrid w:val="0"/>
        <w:spacing w:line="360" w:lineRule="auto"/>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补充和修改</w:t>
      </w:r>
      <w:r>
        <w:rPr>
          <w:rFonts w:hint="eastAsia" w:ascii="仿宋_GB2312" w:eastAsia="仿宋_GB2312"/>
          <w:sz w:val="28"/>
          <w:szCs w:val="28"/>
          <w:highlight w:val="none"/>
        </w:rPr>
        <w:t>同时在广州市净水有限公司门户网站</w:t>
      </w:r>
      <w:r>
        <w:rPr>
          <w:rFonts w:hint="eastAsia" w:ascii="仿宋_GB2312" w:eastAsia="仿宋_GB2312"/>
          <w:sz w:val="28"/>
          <w:szCs w:val="28"/>
          <w:highlight w:val="none"/>
          <w:lang w:val="en-US" w:eastAsia="zh-CN"/>
        </w:rPr>
        <w:t>和阳光平台</w:t>
      </w:r>
      <w:r>
        <w:rPr>
          <w:rFonts w:hint="eastAsia" w:ascii="仿宋_GB2312" w:eastAsia="仿宋_GB2312"/>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w:t>
      </w:r>
      <w:r>
        <w:rPr>
          <w:rFonts w:hint="eastAsia" w:ascii="仿宋_GB2312" w:eastAsia="仿宋_GB2312"/>
          <w:sz w:val="28"/>
          <w:szCs w:val="28"/>
          <w:highlight w:val="none"/>
        </w:rPr>
        <w:t>广州市净水有限公司门户网站</w:t>
      </w:r>
      <w:r>
        <w:rPr>
          <w:rFonts w:hint="eastAsia" w:ascii="仿宋_GB2312" w:hAnsi="Calibri" w:eastAsia="仿宋_GB2312" w:cs="Times New Roman"/>
          <w:sz w:val="28"/>
          <w:szCs w:val="28"/>
          <w:highlight w:val="none"/>
        </w:rPr>
        <w:t>为准。</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.2响应文件递交注意事项</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360" w:lineRule="auto"/>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360" w:lineRule="auto"/>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360" w:lineRule="auto"/>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38890841/</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62315524</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360" w:lineRule="auto"/>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360" w:lineRule="auto"/>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 被书面限制参与采购活动的企业名单</w:t>
      </w:r>
    </w:p>
    <w:p>
      <w:pPr>
        <w:adjustRightInd w:val="0"/>
        <w:snapToGrid w:val="0"/>
        <w:spacing w:line="360" w:lineRule="auto"/>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360" w:lineRule="auto"/>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360" w:lineRule="auto"/>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360" w:lineRule="auto"/>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spacing w:line="360" w:lineRule="auto"/>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spacing w:line="360" w:lineRule="auto"/>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spacing w:line="360" w:lineRule="auto"/>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spacing w:line="360" w:lineRule="auto"/>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spacing w:line="360" w:lineRule="auto"/>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spacing w:line="360" w:lineRule="auto"/>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spacing w:line="360" w:lineRule="auto"/>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highlight w:val="none"/>
              </w:rPr>
              <w:t>广州市自来水工程有限公司</w:t>
            </w:r>
          </w:p>
        </w:tc>
        <w:tc>
          <w:tcPr>
            <w:tcW w:w="4557" w:type="dxa"/>
            <w:vAlign w:val="center"/>
          </w:tcPr>
          <w:p>
            <w:pPr>
              <w:spacing w:line="360" w:lineRule="auto"/>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360" w:lineRule="auto"/>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10</w:t>
      </w:r>
      <w:r>
        <w:rPr>
          <w:rFonts w:hint="eastAsia" w:asciiTheme="minorEastAsia" w:hAnsiTheme="minorEastAsia"/>
          <w:b/>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360" w:lineRule="auto"/>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360" w:lineRule="auto"/>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360" w:lineRule="auto"/>
              <w:jc w:val="left"/>
              <w:rPr>
                <w:rFonts w:hint="eastAsia"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360" w:lineRule="auto"/>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360" w:lineRule="auto"/>
              <w:jc w:val="left"/>
              <w:rPr>
                <w:rFonts w:hint="eastAsia" w:ascii="仿宋_GB2312" w:eastAsia="仿宋_GB2312"/>
                <w:sz w:val="28"/>
                <w:szCs w:val="28"/>
                <w:highlight w:val="none"/>
              </w:rPr>
            </w:pP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2022年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月</w:t>
            </w:r>
            <w:bookmarkStart w:id="186" w:name="_GoBack"/>
            <w:bookmarkEnd w:id="186"/>
            <w:r>
              <w:rPr>
                <w:rFonts w:hint="eastAsia" w:ascii="仿宋_GB2312" w:eastAsia="仿宋_GB2312"/>
                <w:sz w:val="28"/>
                <w:szCs w:val="28"/>
                <w:highlight w:val="none"/>
                <w:u w:val="single"/>
              </w:rPr>
              <w:t>5日</w:t>
            </w:r>
          </w:p>
        </w:tc>
      </w:tr>
    </w:tbl>
    <w:p>
      <w:pPr>
        <w:pStyle w:val="2"/>
        <w:ind w:firstLine="0"/>
        <w:rPr>
          <w:rFonts w:hint="eastAsia" w:ascii="仿宋" w:hAnsi="仿宋" w:eastAsia="仿宋" w:cs="仿宋"/>
          <w:b/>
          <w:sz w:val="28"/>
          <w:szCs w:val="28"/>
          <w:highlight w:val="none"/>
          <w:lang w:val="en-US" w:eastAsia="zh-CN"/>
        </w:rPr>
      </w:pPr>
    </w:p>
    <w:p>
      <w:pPr>
        <w:rPr>
          <w:rFonts w:hint="eastAsia"/>
          <w:highlight w:val="none"/>
        </w:rPr>
      </w:pPr>
      <w:bookmarkStart w:id="25" w:name="_Toc10891"/>
    </w:p>
    <w:p>
      <w:pPr>
        <w:pStyle w:val="4"/>
        <w:rPr>
          <w:rFonts w:hint="eastAsia"/>
          <w:highlight w:val="none"/>
        </w:rPr>
      </w:pPr>
      <w:bookmarkStart w:id="26" w:name="_Toc2324"/>
      <w:bookmarkStart w:id="27" w:name="_Toc2331"/>
      <w:bookmarkStart w:id="28" w:name="_Toc32588"/>
      <w:bookmarkStart w:id="29" w:name="_Toc7340"/>
      <w:bookmarkStart w:id="30" w:name="_Toc19295"/>
      <w:bookmarkStart w:id="31" w:name="_Toc23749"/>
      <w:bookmarkStart w:id="32" w:name="_Toc16557"/>
      <w:bookmarkStart w:id="33" w:name="_Toc9448"/>
      <w:bookmarkStart w:id="34" w:name="_Toc16705"/>
      <w:bookmarkStart w:id="35" w:name="_Toc25603"/>
    </w:p>
    <w:p>
      <w:pPr>
        <w:pStyle w:val="2"/>
        <w:ind w:firstLine="0"/>
        <w:rPr>
          <w:rFonts w:hint="eastAsia"/>
        </w:rPr>
      </w:pPr>
    </w:p>
    <w:p>
      <w:pPr>
        <w:pStyle w:val="2"/>
        <w:ind w:firstLine="0"/>
        <w:rPr>
          <w:rFonts w:hint="eastAsia"/>
        </w:rPr>
      </w:pPr>
    </w:p>
    <w:p>
      <w:pPr>
        <w:pStyle w:val="2"/>
        <w:ind w:firstLine="0"/>
        <w:rPr>
          <w:rFonts w:hint="eastAsia"/>
        </w:rPr>
      </w:pPr>
    </w:p>
    <w:p>
      <w:pPr>
        <w:pStyle w:val="2"/>
        <w:ind w:firstLine="0"/>
        <w:rPr>
          <w:rFonts w:hint="eastAsia"/>
        </w:rPr>
      </w:pPr>
    </w:p>
    <w:p>
      <w:pPr>
        <w:pStyle w:val="4"/>
        <w:rPr>
          <w:rFonts w:hint="eastAsia"/>
          <w:highlight w:val="none"/>
        </w:rPr>
      </w:pPr>
    </w:p>
    <w:p>
      <w:pPr>
        <w:pStyle w:val="4"/>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2197735</wp:posOffset>
                </wp:positionH>
                <wp:positionV relativeFrom="paragraph">
                  <wp:posOffset>497840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3.05pt;margin-top:39.2pt;height:0pt;width:75.5pt;z-index:251673600;mso-width-relative:page;mso-height-relative:page;" filled="f" stroked="t" coordsize="21600,21600" o:gfxdata="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XdItS1wAAAAk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41275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3.65pt;margin-top:3.25pt;height:0pt;width:75.5pt;z-index:251672576;mso-width-relative:page;mso-height-relative:page;" filled="f" stroked="t" coordsize="21600,21600" o:gfxdata="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JSku9UAAAAHAQAADwAAAAAAAAAB&#10;ACAAAAAiAAAAZHJzL2Rvd25yZXYueG1sUEsBAhQAFAAAAAgAh07iQMaOXoTaAQAAlgMAAA4AAAAA&#10;AAAAAQAgAAAAJAEAAGRycy9lMm9Eb2MueG1sUEsFBgAAAAAGAAYAWQEAAHA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highlight w:val="none"/>
        </w:rPr>
      </w:pPr>
    </w:p>
    <w:p>
      <w:pPr>
        <w:pStyle w:val="5"/>
        <w:rPr>
          <w:highlight w:val="none"/>
        </w:rPr>
      </w:pPr>
      <w:bookmarkStart w:id="36" w:name="_Toc3416"/>
      <w:bookmarkStart w:id="37" w:name="_Toc2339"/>
      <w:r>
        <w:rPr>
          <w:rFonts w:hint="eastAsia"/>
          <w:highlight w:val="none"/>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highlight w:val="none"/>
        </w:rPr>
      </w:pPr>
      <w:r>
        <w:rPr>
          <w:rFonts w:hint="eastAsia" w:asciiTheme="minorEastAsia" w:hAnsiTheme="minorEastAsia"/>
          <w:b/>
          <w:sz w:val="32"/>
          <w:szCs w:val="32"/>
          <w:highlight w:val="none"/>
        </w:rPr>
        <w:t>对供应商的资格要求</w:t>
      </w:r>
      <w:r>
        <w:rPr>
          <w:rFonts w:hint="eastAsia" w:asciiTheme="minorEastAsia" w:hAnsiTheme="minorEastAsia"/>
          <w:b/>
          <w:sz w:val="32"/>
          <w:szCs w:val="32"/>
          <w:highlight w:val="none"/>
          <w:lang w:val="en-US" w:eastAsia="zh-CN"/>
        </w:rPr>
        <w:t>.</w:t>
      </w:r>
    </w:p>
    <w:p>
      <w:pPr>
        <w:pStyle w:val="2"/>
        <w:numPr>
          <w:ilvl w:val="-1"/>
          <w:numId w:val="0"/>
        </w:numPr>
        <w:ind w:firstLine="0"/>
        <w:rPr>
          <w:rFonts w:hint="default" w:eastAsia="等线"/>
          <w:highlight w:val="none"/>
          <w:lang w:val="en-US" w:eastAsia="zh-CN"/>
        </w:rPr>
      </w:pPr>
      <w:r>
        <w:rPr>
          <w:rFonts w:hint="eastAsia"/>
          <w:highlight w:val="none"/>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Theme="minorEastAsia" w:hAnsiTheme="minorEastAsia"/>
          <w:b/>
          <w:sz w:val="32"/>
          <w:szCs w:val="32"/>
          <w:highlight w:val="none"/>
          <w:lang w:val="en-US" w:eastAsia="zh-CN"/>
        </w:rPr>
        <w:t xml:space="preserve">2.  </w:t>
      </w:r>
      <w:r>
        <w:rPr>
          <w:rFonts w:hint="eastAsia" w:asciiTheme="minorEastAsia" w:hAnsiTheme="minorEastAsia"/>
          <w:b/>
          <w:sz w:val="32"/>
          <w:szCs w:val="32"/>
          <w:highlight w:val="none"/>
        </w:rPr>
        <w:t>本次交易一般规则.</w:t>
      </w:r>
      <w:r>
        <w:rPr>
          <w:rFonts w:ascii="仿宋_GB2312" w:eastAsia="仿宋_GB2312"/>
          <w:sz w:val="28"/>
          <w:szCs w:val="28"/>
          <w:highlight w:val="none"/>
        </w:rPr>
        <w:t>表</w:t>
      </w:r>
      <w:r>
        <w:rPr>
          <w:rFonts w:hint="eastAsia" w:ascii="仿宋_GB2312" w:eastAsia="仿宋_GB2312"/>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hint="default" w:ascii="仿宋_GB2312" w:eastAsia="仿宋_GB2312"/>
                <w:sz w:val="24"/>
                <w:szCs w:val="24"/>
                <w:highlight w:val="none"/>
                <w:lang w:val="en-US" w:eastAsia="zh-CN"/>
              </w:rPr>
            </w:pPr>
            <w:r>
              <w:rPr>
                <w:rFonts w:hint="eastAsia" w:ascii="仿宋_GB2312" w:eastAsia="仿宋_GB2312"/>
                <w:sz w:val="24"/>
                <w:szCs w:val="24"/>
                <w:highlight w:val="none"/>
              </w:rPr>
              <w:t>（8）在采购过程中由采购单位发出的修正和补充文件等</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lang w:val="en-US" w:eastAsia="zh-CN"/>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1</w:t>
            </w:r>
            <w:r>
              <w:rPr>
                <w:rFonts w:hint="eastAsia" w:ascii="仿宋_GB2312" w:eastAsia="仿宋_GB2312" w:hAnsiTheme="minorEastAsia"/>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.3</w:t>
            </w:r>
          </w:p>
          <w:p>
            <w:pPr>
              <w:adjustRightInd w:val="0"/>
              <w:snapToGrid w:val="0"/>
              <w:jc w:val="center"/>
              <w:rPr>
                <w:sz w:val="24"/>
                <w:szCs w:val="24"/>
                <w:highlight w:val="none"/>
              </w:rPr>
            </w:pPr>
          </w:p>
        </w:tc>
        <w:tc>
          <w:tcPr>
            <w:tcW w:w="1263" w:type="dxa"/>
            <w:vAlign w:val="center"/>
          </w:tcPr>
          <w:p>
            <w:pPr>
              <w:adjustRightInd w:val="0"/>
              <w:snapToGrid w:val="0"/>
              <w:jc w:val="left"/>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本项目</w:t>
            </w:r>
            <w:r>
              <w:rPr>
                <w:rFonts w:hint="eastAsia" w:ascii="仿宋_GB2312" w:eastAsia="仿宋_GB2312"/>
                <w:sz w:val="24"/>
                <w:szCs w:val="24"/>
                <w:highlight w:val="none"/>
              </w:rPr>
              <w:t>不允许</w:t>
            </w:r>
            <w:r>
              <w:rPr>
                <w:rFonts w:hint="eastAsia" w:ascii="仿宋_GB2312" w:eastAsia="仿宋_GB2312"/>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highlight w:val="none"/>
                <w:u w:val="none"/>
              </w:rPr>
            </w:pPr>
            <w:r>
              <w:rPr>
                <w:rFonts w:hint="eastAsia" w:ascii="仿宋_GB2312" w:eastAsia="仿宋_GB2312" w:hAnsiTheme="minorEastAsia"/>
                <w:sz w:val="24"/>
                <w:szCs w:val="24"/>
                <w:highlight w:val="none"/>
                <w:lang w:val="en-US" w:eastAsia="zh-CN"/>
              </w:rPr>
              <w:t>详</w:t>
            </w: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.6</w:t>
            </w:r>
          </w:p>
        </w:tc>
        <w:tc>
          <w:tcPr>
            <w:tcW w:w="1263" w:type="dxa"/>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最高限价</w:t>
            </w:r>
            <w:r>
              <w:rPr>
                <w:rFonts w:hint="eastAsia" w:ascii="仿宋_GB2312" w:eastAsia="仿宋_GB2312"/>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.7</w:t>
            </w:r>
          </w:p>
          <w:p>
            <w:pPr>
              <w:adjustRightInd w:val="0"/>
              <w:snapToGrid w:val="0"/>
              <w:jc w:val="center"/>
              <w:rPr>
                <w:rFonts w:ascii="仿宋_GB2312" w:eastAsia="仿宋_GB2312" w:hAnsiTheme="minorHAnsi" w:cstheme="minorBidi"/>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lang w:val="en-US" w:eastAsia="zh-CN"/>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lang w:val="en-US" w:eastAsia="zh-CN"/>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供应商地址</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联系人及其联系方式</w:t>
            </w:r>
            <w:r>
              <w:rPr>
                <w:rFonts w:hint="eastAsia" w:ascii="仿宋_GB2312" w:eastAsia="仿宋_GB2312" w:hAnsi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w:t>
            </w:r>
            <w:r>
              <w:rPr>
                <w:rFonts w:hint="eastAsia" w:ascii="仿宋_GB2312" w:eastAsia="仿宋_GB2312" w:hAnsiTheme="minorEastAsia"/>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lang w:val="en-US" w:eastAsia="zh-CN"/>
              </w:rPr>
              <w:t>3</w:t>
            </w:r>
            <w:r>
              <w:rPr>
                <w:rFonts w:hint="eastAsia" w:ascii="仿宋_GB2312" w:eastAsia="仿宋_GB2312" w:hAnsiTheme="minorEastAsia"/>
                <w:sz w:val="24"/>
                <w:szCs w:val="24"/>
                <w:highlight w:val="none"/>
              </w:rPr>
              <w:t>人</w:t>
            </w:r>
            <w:r>
              <w:rPr>
                <w:rFonts w:hint="eastAsia" w:ascii="仿宋_GB2312" w:eastAsia="仿宋_GB2312" w:hAnsi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lang w:val="en-US" w:eastAsia="zh-CN"/>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5"/>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pStyle w:val="2"/>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5"/>
        <w:rPr>
          <w:highlight w:val="none"/>
        </w:rPr>
      </w:pPr>
    </w:p>
    <w:p>
      <w:pPr>
        <w:pStyle w:val="35"/>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adjustRightInd w:val="0"/>
        <w:snapToGrid w:val="0"/>
        <w:spacing w:line="600" w:lineRule="exact"/>
        <w:ind w:firstLine="560" w:firstLineChars="200"/>
        <w:jc w:val="left"/>
        <w:rPr>
          <w:rFonts w:hint="eastAsia" w:ascii="仿宋_GB2312" w:eastAsia="仿宋_GB2312"/>
          <w:sz w:val="28"/>
          <w:szCs w:val="28"/>
          <w:highlight w:val="none"/>
          <w:lang w:val="en-US" w:eastAsia="zh-CN"/>
        </w:rPr>
      </w:pPr>
    </w:p>
    <w:p>
      <w:pPr>
        <w:pStyle w:val="2"/>
        <w:rPr>
          <w:rFonts w:hint="eastAsia" w:ascii="仿宋_GB2312" w:eastAsia="仿宋_GB2312"/>
          <w:sz w:val="28"/>
          <w:szCs w:val="28"/>
          <w:highlight w:val="none"/>
          <w:lang w:val="en-US" w:eastAsia="zh-CN"/>
        </w:rPr>
      </w:pPr>
    </w:p>
    <w:p>
      <w:pPr>
        <w:pStyle w:val="2"/>
        <w:rPr>
          <w:rFonts w:hint="eastAsia" w:ascii="仿宋_GB2312" w:eastAsia="仿宋_GB2312"/>
          <w:sz w:val="28"/>
          <w:szCs w:val="28"/>
          <w:highlight w:val="none"/>
          <w:lang w:val="en-US" w:eastAsia="zh-CN"/>
        </w:rPr>
      </w:pPr>
    </w:p>
    <w:p>
      <w:pPr>
        <w:pStyle w:val="2"/>
        <w:rPr>
          <w:rFonts w:hint="eastAsia" w:ascii="仿宋_GB2312" w:eastAsia="仿宋_GB2312"/>
          <w:sz w:val="28"/>
          <w:szCs w:val="28"/>
          <w:highlight w:val="none"/>
          <w:lang w:val="en-US" w:eastAsia="zh-CN"/>
        </w:rPr>
      </w:pPr>
    </w:p>
    <w:p>
      <w:pPr>
        <w:pStyle w:val="2"/>
        <w:rPr>
          <w:rFonts w:hint="eastAsia" w:ascii="仿宋_GB2312" w:eastAsia="仿宋_GB2312"/>
          <w:sz w:val="28"/>
          <w:szCs w:val="28"/>
          <w:highlight w:val="none"/>
          <w:lang w:val="en-US" w:eastAsia="zh-CN"/>
        </w:rPr>
      </w:pPr>
    </w:p>
    <w:p>
      <w:pPr>
        <w:pStyle w:val="2"/>
        <w:rPr>
          <w:rFonts w:hint="eastAsia" w:ascii="仿宋_GB2312" w:eastAsia="仿宋_GB2312"/>
          <w:sz w:val="28"/>
          <w:szCs w:val="28"/>
          <w:highlight w:val="none"/>
          <w:lang w:val="en-US" w:eastAsia="zh-CN"/>
        </w:rPr>
      </w:pPr>
    </w:p>
    <w:p>
      <w:pPr>
        <w:pStyle w:val="5"/>
        <w:rPr>
          <w:rFonts w:hint="eastAsia" w:asciiTheme="minorHAnsi" w:hAnsiTheme="minorHAnsi" w:cstheme="minorBidi"/>
          <w:kern w:val="44"/>
          <w:sz w:val="44"/>
          <w:szCs w:val="44"/>
          <w:highlight w:val="none"/>
        </w:rPr>
      </w:pPr>
      <w:bookmarkStart w:id="38" w:name="_Toc2867"/>
      <w:bookmarkStart w:id="39" w:name="_Toc21455"/>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2185035</wp:posOffset>
                </wp:positionH>
                <wp:positionV relativeFrom="paragraph">
                  <wp:posOffset>596900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2.05pt;margin-top:47pt;height:0pt;width:75.5pt;z-index:251663360;mso-width-relative:page;mso-height-relative:page;" filled="f" stroked="t" coordsize="21600,21600" o:gfxdata="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704gt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2201545</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35pt;margin-top:10.85pt;height:0pt;width:75.5pt;z-index:251662336;mso-width-relative:page;mso-height-relative:page;" filled="f" stroked="t" coordsize="21600,21600" o:gfxdata="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pVlKtcAAAAJAQAADwAAAAAAAAAB&#10;ACAAAAAiAAAAZHJzL2Rvd25yZXYueG1sUEsBAhQAFAAAAAgAh07iQL9tOV7YAQAAlAMAAA4AAAAA&#10;AAAAAQAgAAAAJgEAAGRycy9lMm9Eb2MueG1sUEsFBgAAAAAGAAYAWQEAAHA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8"/>
      <w:bookmarkEnd w:id="39"/>
    </w:p>
    <w:p>
      <w:pPr>
        <w:pStyle w:val="35"/>
        <w:rPr>
          <w:highlight w:val="none"/>
        </w:rPr>
      </w:pPr>
    </w:p>
    <w:p>
      <w:pPr>
        <w:pStyle w:val="5"/>
        <w:rPr>
          <w:highlight w:val="none"/>
        </w:rPr>
      </w:pPr>
      <w:bookmarkStart w:id="40" w:name="_Toc88209934"/>
      <w:bookmarkStart w:id="41" w:name="_Toc7303"/>
      <w:bookmarkStart w:id="42" w:name="_Toc87616371"/>
      <w:bookmarkStart w:id="43" w:name="_Toc7040"/>
      <w:r>
        <w:rPr>
          <w:rFonts w:hint="eastAsia"/>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5"/>
        <w:rPr>
          <w:highlight w:val="none"/>
        </w:rPr>
      </w:pPr>
      <w:bookmarkStart w:id="44" w:name="_Toc3789"/>
      <w:bookmarkStart w:id="45" w:name="_Toc24895"/>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46" w:name="_Toc14552"/>
      <w:bookmarkStart w:id="47" w:name="_Toc14870"/>
      <w:bookmarkStart w:id="48" w:name="_Toc19759"/>
      <w:bookmarkStart w:id="49" w:name="_Toc20594"/>
      <w:bookmarkStart w:id="50" w:name="_Toc7118"/>
      <w:bookmarkStart w:id="51" w:name="_Toc4952"/>
      <w:bookmarkStart w:id="52" w:name="_Toc10930"/>
      <w:bookmarkStart w:id="53" w:name="_Toc3156"/>
      <w:bookmarkStart w:id="54" w:name="_Toc19050"/>
      <w:bookmarkStart w:id="55" w:name="_Toc7437"/>
      <w:bookmarkStart w:id="56" w:name="_Toc23581"/>
      <w:r>
        <w:rPr>
          <w:highlight w:val="none"/>
        </w:rPr>
        <mc:AlternateContent>
          <mc:Choice Requires="wps">
            <w:drawing>
              <wp:anchor distT="0" distB="0" distL="114300" distR="114300" simplePos="0" relativeHeight="251665408" behindDoc="0" locked="0" layoutInCell="1" allowOverlap="1">
                <wp:simplePos x="0" y="0"/>
                <wp:positionH relativeFrom="column">
                  <wp:posOffset>2192020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2.6pt;margin-top:56.7pt;height:0pt;width:75.5pt;z-index:251665408;mso-width-relative:page;mso-height-relative:page;" filled="f" stroked="t" coordsize="21600,21600" o:gfxdata="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sZY3d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241935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1.85pt;margin-top:19.05pt;height:0pt;width:75.5pt;z-index:251664384;mso-width-relative:page;mso-height-relative:page;" filled="f" stroked="t" coordsize="21600,21600" o:gfxdata="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MRCit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6"/>
      <w:bookmarkEnd w:id="47"/>
      <w:bookmarkEnd w:id="48"/>
      <w:bookmarkEnd w:id="49"/>
      <w:bookmarkEnd w:id="50"/>
      <w:bookmarkEnd w:id="51"/>
      <w:bookmarkEnd w:id="52"/>
      <w:bookmarkEnd w:id="53"/>
      <w:bookmarkEnd w:id="54"/>
      <w:bookmarkEnd w:id="55"/>
      <w:bookmarkEnd w:id="56"/>
    </w:p>
    <w:p>
      <w:pPr>
        <w:pStyle w:val="35"/>
        <w:rPr>
          <w:highlight w:val="none"/>
        </w:rPr>
      </w:pPr>
    </w:p>
    <w:p>
      <w:pPr>
        <w:pStyle w:val="4"/>
        <w:rPr>
          <w:highlight w:val="none"/>
        </w:rPr>
      </w:pPr>
      <w:bookmarkStart w:id="57" w:name="_Toc6308"/>
      <w:bookmarkStart w:id="58" w:name="_Toc87616378"/>
      <w:bookmarkStart w:id="59" w:name="_Toc12177"/>
      <w:bookmarkStart w:id="60" w:name="_Toc21840"/>
      <w:bookmarkStart w:id="61" w:name="_Toc29345"/>
      <w:bookmarkStart w:id="62" w:name="_Toc32607"/>
      <w:bookmarkStart w:id="63" w:name="_Toc13898"/>
      <w:bookmarkStart w:id="64" w:name="_Toc22212"/>
      <w:bookmarkStart w:id="65" w:name="_Toc7831"/>
      <w:bookmarkStart w:id="66" w:name="_Toc30530"/>
      <w:bookmarkStart w:id="67" w:name="_Toc29484"/>
      <w:bookmarkStart w:id="68" w:name="_Toc88209941"/>
      <w:bookmarkStart w:id="69" w:name="_Toc21079"/>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5"/>
        <w:rPr>
          <w:highlight w:val="none"/>
        </w:rPr>
      </w:pPr>
      <w:bookmarkStart w:id="70" w:name="_Toc23033"/>
      <w:bookmarkStart w:id="71" w:name="_Toc26826"/>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4"/>
        <w:rPr>
          <w:rFonts w:hint="eastAsia"/>
          <w:highlight w:val="none"/>
        </w:rPr>
      </w:pPr>
      <w:bookmarkStart w:id="72" w:name="_Toc88209947"/>
    </w:p>
    <w:p>
      <w:pPr>
        <w:pStyle w:val="4"/>
        <w:rPr>
          <w:rFonts w:hint="eastAsia"/>
          <w:highlight w:val="none"/>
        </w:rPr>
      </w:pPr>
    </w:p>
    <w:p>
      <w:pPr>
        <w:pStyle w:val="4"/>
        <w:rPr>
          <w:highlight w:val="none"/>
        </w:rPr>
      </w:pPr>
      <w:r>
        <w:rPr>
          <w:highlight w:val="none"/>
        </w:rPr>
        <mc:AlternateContent>
          <mc:Choice Requires="wps">
            <w:drawing>
              <wp:anchor distT="0" distB="0" distL="114300" distR="114300" simplePos="0" relativeHeight="251675648" behindDoc="0" locked="0" layoutInCell="1" allowOverlap="1">
                <wp:simplePos x="0" y="0"/>
                <wp:positionH relativeFrom="column">
                  <wp:posOffset>2216785</wp:posOffset>
                </wp:positionH>
                <wp:positionV relativeFrom="paragraph">
                  <wp:posOffset>488315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4.55pt;margin-top:38.45pt;height:0pt;width:75.5pt;z-index:251675648;mso-width-relative:page;mso-height-relative:page;" filled="f" stroked="t" coordsize="21600,21600" o:gfxdata="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yej81wAAAAk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2205355</wp:posOffset>
                </wp:positionH>
                <wp:positionV relativeFrom="paragraph">
                  <wp:posOffset>31750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3.65pt;margin-top:2.5pt;height:0pt;width:75.5pt;z-index:251674624;mso-width-relative:page;mso-height-relative:page;" filled="f" stroked="t" coordsize="21600,21600" o:gfxdata="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GtjCdQAAAAHAQAADwAAAAAAAAABACAA&#10;AAAiAAAAZHJzL2Rvd25yZXYueG1sUEsBAhQAFAAAAAgAh07iQGwnBjHYAQAAlgMAAA4AAAAAAAAA&#10;AQAgAAAAIwEAAGRycy9lMm9Eb2MueG1sUEsFBgAAAAAGAAYAWQEAAG0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5"/>
        <w:rPr>
          <w:rFonts w:hint="eastAsia"/>
          <w:highlight w:val="none"/>
        </w:rPr>
      </w:pPr>
    </w:p>
    <w:p>
      <w:pPr>
        <w:pStyle w:val="5"/>
        <w:rPr>
          <w:rFonts w:hint="eastAsia"/>
          <w:szCs w:val="44"/>
          <w:highlight w:val="none"/>
        </w:rPr>
      </w:pPr>
      <w:r>
        <w:rPr>
          <w:rFonts w:hint="eastAsia"/>
          <w:szCs w:val="44"/>
          <w:highlight w:val="none"/>
        </w:rPr>
        <w:t>采购需求</w:t>
      </w:r>
    </w:p>
    <w:p>
      <w:pPr>
        <w:pStyle w:val="5"/>
        <w:rPr>
          <w:rFonts w:hint="eastAsia"/>
          <w:szCs w:val="44"/>
          <w:highlight w:val="none"/>
        </w:rPr>
      </w:pPr>
    </w:p>
    <w:p>
      <w:pPr>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rPr>
          <w:rFonts w:hint="eastAsia"/>
          <w:szCs w:val="44"/>
          <w:highlight w:val="none"/>
        </w:rPr>
      </w:pPr>
    </w:p>
    <w:p>
      <w:pPr>
        <w:pStyle w:val="2"/>
        <w:ind w:left="0" w:leftChars="0" w:firstLine="0" w:firstLineChars="0"/>
        <w:rPr>
          <w:rFonts w:hint="eastAsia"/>
          <w:szCs w:val="44"/>
          <w:highlight w:val="none"/>
        </w:rPr>
      </w:pPr>
    </w:p>
    <w:bookmarkEnd w:id="72"/>
    <w:p>
      <w:pPr>
        <w:pStyle w:val="12"/>
        <w:keepNext w:val="0"/>
        <w:keepLines w:val="0"/>
        <w:pageBreakBefore w:val="0"/>
        <w:numPr>
          <w:ilvl w:val="0"/>
          <w:numId w:val="4"/>
        </w:numPr>
        <w:kinsoku/>
        <w:wordWrap/>
        <w:overflowPunct/>
        <w:topLinePunct w:val="0"/>
        <w:bidi w:val="0"/>
        <w:adjustRightInd w:val="0"/>
        <w:snapToGrid w:val="0"/>
        <w:spacing w:line="560" w:lineRule="exact"/>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项目情况介绍</w:t>
      </w:r>
    </w:p>
    <w:p>
      <w:pPr>
        <w:keepNext w:val="0"/>
        <w:keepLines w:val="0"/>
        <w:pageBreakBefore w:val="0"/>
        <w:kinsoku/>
        <w:wordWrap/>
        <w:overflowPunct/>
        <w:topLinePunct w:val="0"/>
        <w:bidi w:val="0"/>
        <w:spacing w:line="560" w:lineRule="exact"/>
        <w:ind w:firstLine="642"/>
        <w:rPr>
          <w:rFonts w:hint="eastAsia" w:ascii="仿宋" w:hAnsi="仿宋" w:eastAsia="仿宋" w:cs="仿宋"/>
          <w:b/>
          <w:sz w:val="28"/>
          <w:szCs w:val="28"/>
          <w:highlight w:val="none"/>
          <w:lang w:val="zh-CN"/>
        </w:rPr>
      </w:pPr>
      <w:r>
        <w:rPr>
          <w:rFonts w:hint="eastAsia" w:ascii="仿宋" w:hAnsi="仿宋" w:eastAsia="仿宋" w:cs="仿宋"/>
          <w:kern w:val="0"/>
          <w:sz w:val="28"/>
          <w:szCs w:val="28"/>
          <w:highlight w:val="none"/>
        </w:rPr>
        <w:t>本次计划采购的固定式气体检测仪2套</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用于安装沥滘分公司三期负二层19号楼梯、2号楼梯</w:t>
      </w:r>
      <w:r>
        <w:rPr>
          <w:rFonts w:hint="eastAsia" w:ascii="仿宋" w:hAnsi="仿宋" w:eastAsia="仿宋" w:cs="仿宋"/>
          <w:kern w:val="0"/>
          <w:sz w:val="28"/>
          <w:szCs w:val="28"/>
          <w:highlight w:val="none"/>
        </w:rPr>
        <w:t>。</w:t>
      </w:r>
    </w:p>
    <w:p>
      <w:pPr>
        <w:pStyle w:val="12"/>
        <w:keepNext w:val="0"/>
        <w:keepLines w:val="0"/>
        <w:pageBreakBefore w:val="0"/>
        <w:numPr>
          <w:ilvl w:val="0"/>
          <w:numId w:val="5"/>
        </w:numPr>
        <w:kinsoku/>
        <w:wordWrap/>
        <w:overflowPunct/>
        <w:topLinePunct w:val="0"/>
        <w:bidi w:val="0"/>
        <w:adjustRightInd w:val="0"/>
        <w:snapToGrid w:val="0"/>
        <w:spacing w:line="560" w:lineRule="exact"/>
        <w:rPr>
          <w:rFonts w:hint="eastAsia" w:ascii="仿宋" w:hAnsi="仿宋" w:eastAsia="仿宋" w:cs="仿宋"/>
          <w:sz w:val="28"/>
          <w:szCs w:val="28"/>
          <w:highlight w:val="none"/>
          <w:lang w:val="zh-CN"/>
        </w:rPr>
      </w:pPr>
      <w:r>
        <w:rPr>
          <w:rFonts w:hint="eastAsia" w:ascii="仿宋" w:hAnsi="仿宋" w:eastAsia="仿宋" w:cs="仿宋"/>
          <w:b/>
          <w:sz w:val="28"/>
          <w:szCs w:val="28"/>
          <w:highlight w:val="none"/>
          <w:lang w:val="zh-CN"/>
        </w:rPr>
        <w:t>项目技术要求</w:t>
      </w:r>
    </w:p>
    <w:p>
      <w:pPr>
        <w:pStyle w:val="12"/>
        <w:keepNext w:val="0"/>
        <w:keepLines w:val="0"/>
        <w:pageBreakBefore w:val="0"/>
        <w:numPr>
          <w:ilvl w:val="0"/>
          <w:numId w:val="0"/>
        </w:numPr>
        <w:kinsoku/>
        <w:wordWrap/>
        <w:overflowPunct/>
        <w:topLinePunct w:val="0"/>
        <w:bidi w:val="0"/>
        <w:adjustRightInd w:val="0"/>
        <w:snapToGrid w:val="0"/>
        <w:spacing w:line="560" w:lineRule="exact"/>
        <w:ind w:firstLine="560" w:firstLineChars="200"/>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（一）采购清单</w:t>
      </w:r>
    </w:p>
    <w:tbl>
      <w:tblPr>
        <w:tblStyle w:val="22"/>
        <w:tblW w:w="7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6"/>
        <w:gridCol w:w="1369"/>
        <w:gridCol w:w="2389"/>
        <w:gridCol w:w="958"/>
        <w:gridCol w:w="2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53" w:hRule="atLeast"/>
          <w:jc w:val="center"/>
        </w:trPr>
        <w:tc>
          <w:tcPr>
            <w:tcW w:w="68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1"/>
                <w:szCs w:val="21"/>
                <w:highlight w:val="none"/>
                <w:u w:val="none"/>
                <w:lang w:val="en-US" w:eastAsia="zh-CN" w:bidi="ar"/>
              </w:rPr>
            </w:pPr>
            <w:r>
              <w:rPr>
                <w:rFonts w:hint="eastAsia" w:ascii="仿宋" w:hAnsi="仿宋" w:eastAsia="仿宋" w:cs="仿宋"/>
                <w:b w:val="0"/>
                <w:bCs/>
                <w:i w:val="0"/>
                <w:color w:val="000000"/>
                <w:kern w:val="0"/>
                <w:sz w:val="21"/>
                <w:szCs w:val="21"/>
                <w:highlight w:val="none"/>
                <w:u w:val="none"/>
                <w:lang w:val="en-US" w:eastAsia="zh-CN" w:bidi="ar"/>
              </w:rPr>
              <w:t>序号</w:t>
            </w:r>
          </w:p>
        </w:tc>
        <w:tc>
          <w:tcPr>
            <w:tcW w:w="1369"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1"/>
                <w:szCs w:val="21"/>
                <w:highlight w:val="none"/>
                <w:u w:val="none"/>
                <w:lang w:val="en-US" w:eastAsia="zh-CN" w:bidi="ar"/>
              </w:rPr>
            </w:pPr>
            <w:r>
              <w:rPr>
                <w:rFonts w:hint="eastAsia" w:ascii="仿宋" w:hAnsi="仿宋" w:eastAsia="仿宋" w:cs="仿宋"/>
                <w:sz w:val="21"/>
                <w:szCs w:val="21"/>
                <w:highlight w:val="none"/>
              </w:rPr>
              <w:t>设备名称</w:t>
            </w:r>
          </w:p>
        </w:tc>
        <w:tc>
          <w:tcPr>
            <w:tcW w:w="23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备件名称</w:t>
            </w:r>
          </w:p>
        </w:tc>
        <w:tc>
          <w:tcPr>
            <w:tcW w:w="9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1"/>
                <w:szCs w:val="21"/>
                <w:highlight w:val="none"/>
                <w:u w:val="none"/>
                <w:lang w:val="en-US" w:eastAsia="zh-CN" w:bidi="ar"/>
              </w:rPr>
            </w:pPr>
            <w:r>
              <w:rPr>
                <w:rFonts w:hint="eastAsia" w:ascii="仿宋" w:hAnsi="仿宋" w:eastAsia="仿宋" w:cs="仿宋"/>
                <w:b w:val="0"/>
                <w:bCs/>
                <w:i w:val="0"/>
                <w:color w:val="000000"/>
                <w:kern w:val="0"/>
                <w:sz w:val="21"/>
                <w:szCs w:val="21"/>
                <w:highlight w:val="none"/>
                <w:u w:val="none"/>
                <w:lang w:val="en-US" w:eastAsia="zh-CN" w:bidi="ar"/>
              </w:rPr>
              <w:t>数量（套）</w:t>
            </w:r>
          </w:p>
        </w:tc>
        <w:tc>
          <w:tcPr>
            <w:tcW w:w="243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1"/>
                <w:szCs w:val="21"/>
                <w:highlight w:val="none"/>
                <w:u w:val="none"/>
                <w:lang w:val="en-US" w:eastAsia="zh-CN" w:bidi="ar"/>
              </w:rPr>
            </w:pPr>
            <w:r>
              <w:rPr>
                <w:rFonts w:hint="eastAsia" w:ascii="仿宋" w:hAnsi="仿宋" w:eastAsia="仿宋" w:cs="仿宋"/>
                <w:b w:val="0"/>
                <w:bCs/>
                <w:i w:val="0"/>
                <w:color w:val="000000"/>
                <w:kern w:val="0"/>
                <w:sz w:val="21"/>
                <w:szCs w:val="21"/>
                <w:highlight w:val="none"/>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19" w:hRule="atLeast"/>
          <w:jc w:val="center"/>
        </w:trPr>
        <w:tc>
          <w:tcPr>
            <w:tcW w:w="68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1"/>
                <w:szCs w:val="21"/>
                <w:highlight w:val="none"/>
                <w:u w:val="none"/>
                <w:lang w:val="en-US" w:eastAsia="zh-CN" w:bidi="ar"/>
              </w:rPr>
            </w:pPr>
            <w:r>
              <w:rPr>
                <w:rFonts w:hint="eastAsia" w:ascii="仿宋" w:hAnsi="仿宋" w:eastAsia="仿宋" w:cs="仿宋"/>
                <w:b w:val="0"/>
                <w:bCs/>
                <w:i w:val="0"/>
                <w:color w:val="000000"/>
                <w:kern w:val="0"/>
                <w:sz w:val="21"/>
                <w:szCs w:val="21"/>
                <w:highlight w:val="none"/>
                <w:u w:val="none"/>
                <w:lang w:val="en-US" w:eastAsia="zh-CN" w:bidi="ar"/>
              </w:rPr>
              <w:t>1</w:t>
            </w:r>
          </w:p>
        </w:tc>
        <w:tc>
          <w:tcPr>
            <w:tcW w:w="1369"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固定式气体检测仪</w:t>
            </w:r>
          </w:p>
        </w:tc>
        <w:tc>
          <w:tcPr>
            <w:tcW w:w="23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固定气体检测仪防爆控制器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型号ASC-100</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氨气气体检测仪，型号GTD-3000-NH3</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硫化氢气体检测仪，型号GTD-3000-H2S</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氧气气体检测仪，型号GTD-3000-O2</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甲烷气体检测仪，型号GTD-3000-CH4</w:t>
            </w:r>
          </w:p>
        </w:tc>
        <w:tc>
          <w:tcPr>
            <w:tcW w:w="9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1"/>
                <w:szCs w:val="21"/>
                <w:highlight w:val="none"/>
                <w:u w:val="none"/>
                <w:lang w:val="en-US" w:eastAsia="zh-CN" w:bidi="ar"/>
              </w:rPr>
            </w:pPr>
            <w:r>
              <w:rPr>
                <w:rFonts w:hint="eastAsia" w:ascii="仿宋" w:hAnsi="仿宋" w:eastAsia="仿宋" w:cs="仿宋"/>
                <w:b w:val="0"/>
                <w:bCs/>
                <w:i w:val="0"/>
                <w:color w:val="000000"/>
                <w:kern w:val="0"/>
                <w:sz w:val="21"/>
                <w:szCs w:val="21"/>
                <w:highlight w:val="none"/>
                <w:u w:val="none"/>
                <w:lang w:val="en-US" w:eastAsia="zh-CN" w:bidi="ar"/>
              </w:rPr>
              <w:t>2</w:t>
            </w:r>
          </w:p>
        </w:tc>
        <w:tc>
          <w:tcPr>
            <w:tcW w:w="243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1"/>
                <w:szCs w:val="21"/>
                <w:highlight w:val="none"/>
                <w:u w:val="none"/>
                <w:lang w:val="en-US" w:eastAsia="zh-CN" w:bidi="ar"/>
              </w:rPr>
            </w:pPr>
            <w:r>
              <w:rPr>
                <w:rFonts w:hint="eastAsia" w:ascii="仿宋" w:hAnsi="仿宋" w:eastAsia="仿宋" w:cs="仿宋"/>
                <w:b w:val="0"/>
                <w:bCs/>
                <w:i w:val="0"/>
                <w:color w:val="000000"/>
                <w:kern w:val="0"/>
                <w:sz w:val="21"/>
                <w:szCs w:val="21"/>
                <w:highlight w:val="none"/>
                <w:u w:val="none"/>
                <w:lang w:val="en-US" w:eastAsia="zh-CN" w:bidi="ar"/>
              </w:rPr>
              <w:t>售后服务包括：设备安装时的拆装指导。以安装指导完成，设备正常运行验收合格，作为本次采购的验收标准</w:t>
            </w:r>
          </w:p>
        </w:tc>
      </w:tr>
    </w:tbl>
    <w:p>
      <w:pPr>
        <w:pStyle w:val="12"/>
        <w:keepNext w:val="0"/>
        <w:keepLines w:val="0"/>
        <w:pageBreakBefore w:val="0"/>
        <w:kinsoku/>
        <w:wordWrap/>
        <w:overflowPunct/>
        <w:topLinePunct w:val="0"/>
        <w:bidi w:val="0"/>
        <w:adjustRightInd w:val="0"/>
        <w:snapToGrid w:val="0"/>
        <w:spacing w:line="560" w:lineRule="exact"/>
        <w:ind w:firstLine="560" w:firstLineChars="200"/>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（二)技术要求</w:t>
      </w:r>
    </w:p>
    <w:p>
      <w:pPr>
        <w:pStyle w:val="12"/>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sz w:val="28"/>
          <w:szCs w:val="28"/>
          <w:highlight w:val="none"/>
          <w:lang w:val="en-US" w:eastAsia="zh-CN"/>
        </w:rPr>
      </w:pPr>
      <w:r>
        <w:rPr>
          <w:rFonts w:hint="eastAsia" w:ascii="微软雅黑" w:hAnsi="微软雅黑" w:eastAsia="微软雅黑" w:cs="微软雅黑"/>
          <w:sz w:val="28"/>
          <w:szCs w:val="28"/>
          <w:highlight w:val="none"/>
          <w:lang w:val="en-US" w:eastAsia="zh-CN"/>
        </w:rPr>
        <w:t>※</w:t>
      </w:r>
      <w:r>
        <w:rPr>
          <w:rFonts w:hint="eastAsia" w:ascii="仿宋" w:hAnsi="仿宋" w:eastAsia="仿宋" w:cs="仿宋"/>
          <w:sz w:val="28"/>
          <w:szCs w:val="28"/>
          <w:highlight w:val="none"/>
          <w:lang w:val="en-US" w:eastAsia="zh-CN"/>
        </w:rPr>
        <w:t>1.以上需求的配件与上述型号的配件尺寸完全一致，满足互换性要求。货物的材质及质量应优于或与原设备厂家生产配件一致。</w:t>
      </w:r>
    </w:p>
    <w:p>
      <w:pPr>
        <w:pStyle w:val="12"/>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sz w:val="28"/>
          <w:szCs w:val="28"/>
          <w:highlight w:val="none"/>
          <w:lang w:val="en-US" w:eastAsia="zh-CN"/>
        </w:rPr>
      </w:pPr>
      <w:r>
        <w:rPr>
          <w:rFonts w:hint="eastAsia" w:ascii="微软雅黑" w:hAnsi="微软雅黑" w:eastAsia="微软雅黑" w:cs="微软雅黑"/>
          <w:sz w:val="28"/>
          <w:szCs w:val="28"/>
          <w:highlight w:val="none"/>
          <w:lang w:val="en-US" w:eastAsia="zh-CN"/>
        </w:rPr>
        <w:t>※</w:t>
      </w:r>
      <w:r>
        <w:rPr>
          <w:rFonts w:hint="eastAsia" w:ascii="仿宋" w:hAnsi="仿宋" w:eastAsia="仿宋" w:cs="仿宋"/>
          <w:sz w:val="28"/>
          <w:szCs w:val="28"/>
          <w:highlight w:val="none"/>
          <w:lang w:val="en-US" w:eastAsia="zh-CN"/>
        </w:rPr>
        <w:t>2.供货时若所提供的货物为原生产厂家生产的设备配件，则报价单位需提供原生产厂家质量证明（如合格证等）；若所提供的货物非原生产厂家生产，则报价单位需提供产品的互换性及材质满足上述第1点要求的第三方认证机构（需有相应资质）的质检报告，及原生产厂家保修承诺书。</w:t>
      </w:r>
    </w:p>
    <w:p>
      <w:pPr>
        <w:pStyle w:val="12"/>
        <w:keepNext w:val="0"/>
        <w:keepLines w:val="0"/>
        <w:pageBreakBefore w:val="0"/>
        <w:kinsoku/>
        <w:wordWrap/>
        <w:overflowPunct/>
        <w:topLinePunct w:val="0"/>
        <w:bidi w:val="0"/>
        <w:adjustRightInd w:val="0"/>
        <w:snapToGrid w:val="0"/>
        <w:spacing w:line="560" w:lineRule="exact"/>
        <w:ind w:firstLine="560" w:firstLineChars="200"/>
        <w:rPr>
          <w:rFonts w:hint="default" w:ascii="仿宋" w:hAnsi="仿宋" w:eastAsia="仿宋" w:cs="仿宋"/>
          <w:sz w:val="28"/>
          <w:szCs w:val="28"/>
          <w:highlight w:val="none"/>
          <w:lang w:val="en-US" w:eastAsia="zh-CN"/>
        </w:rPr>
      </w:pPr>
      <w:r>
        <w:rPr>
          <w:rFonts w:hint="eastAsia" w:ascii="微软雅黑" w:hAnsi="微软雅黑" w:eastAsia="微软雅黑" w:cs="微软雅黑"/>
          <w:sz w:val="28"/>
          <w:szCs w:val="28"/>
          <w:highlight w:val="none"/>
          <w:lang w:val="en-US"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固定气体检测仪</w:t>
      </w:r>
      <w:r>
        <w:rPr>
          <w:rFonts w:hint="eastAsia" w:ascii="仿宋" w:hAnsi="仿宋" w:eastAsia="仿宋" w:cs="仿宋"/>
          <w:sz w:val="28"/>
          <w:szCs w:val="28"/>
          <w:highlight w:val="none"/>
          <w:lang w:val="en-US" w:eastAsia="zh-CN"/>
        </w:rPr>
        <w:t>为防爆系列。</w:t>
      </w:r>
    </w:p>
    <w:p>
      <w:pPr>
        <w:pStyle w:val="12"/>
        <w:keepNext w:val="0"/>
        <w:keepLines w:val="0"/>
        <w:pageBreakBefore w:val="0"/>
        <w:kinsoku/>
        <w:wordWrap/>
        <w:overflowPunct/>
        <w:topLinePunct w:val="0"/>
        <w:bidi w:val="0"/>
        <w:adjustRightInd w:val="0"/>
        <w:snapToGrid w:val="0"/>
        <w:spacing w:line="560" w:lineRule="exact"/>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三、项目商务要求</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1.包装、运输</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及保管、保险：</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（1）报价人所供货物应为制造商原装出厂包装</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包装须符合同等相关标准，因包装不良造成的损失由报价人负责。</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（2）报价人负责将</w:t>
      </w:r>
      <w:r>
        <w:rPr>
          <w:rFonts w:hint="eastAsia" w:ascii="仿宋" w:hAnsi="仿宋" w:eastAsia="仿宋" w:cs="仿宋"/>
          <w:color w:val="000000"/>
          <w:sz w:val="28"/>
          <w:szCs w:val="28"/>
          <w:highlight w:val="none"/>
          <w:lang w:val="en-US" w:eastAsia="zh-CN"/>
        </w:rPr>
        <w:t>产品</w:t>
      </w:r>
      <w:r>
        <w:rPr>
          <w:rFonts w:hint="eastAsia" w:ascii="仿宋" w:hAnsi="仿宋" w:eastAsia="仿宋" w:cs="仿宋"/>
          <w:color w:val="000000"/>
          <w:sz w:val="28"/>
          <w:szCs w:val="28"/>
          <w:highlight w:val="none"/>
        </w:rPr>
        <w:t>送到现场过程中的全部运输，包括装卸车、货物现场的搬运</w:t>
      </w:r>
      <w:r>
        <w:rPr>
          <w:rFonts w:hint="eastAsia" w:ascii="仿宋" w:hAnsi="仿宋" w:eastAsia="仿宋" w:cs="仿宋"/>
          <w:color w:val="000000"/>
          <w:sz w:val="28"/>
          <w:szCs w:val="28"/>
          <w:highlight w:val="none"/>
          <w:lang w:val="en-US" w:eastAsia="zh-CN"/>
        </w:rPr>
        <w:t>等</w:t>
      </w:r>
      <w:r>
        <w:rPr>
          <w:rFonts w:hint="eastAsia" w:ascii="仿宋" w:hAnsi="仿宋" w:eastAsia="仿宋" w:cs="仿宋"/>
          <w:color w:val="000000"/>
          <w:sz w:val="28"/>
          <w:szCs w:val="28"/>
          <w:highlight w:val="none"/>
        </w:rPr>
        <w:t>。</w:t>
      </w:r>
    </w:p>
    <w:p>
      <w:pPr>
        <w:pStyle w:val="12"/>
        <w:keepNext w:val="0"/>
        <w:keepLines w:val="0"/>
        <w:pageBreakBefore w:val="0"/>
        <w:kinsoku/>
        <w:wordWrap/>
        <w:overflowPunct/>
        <w:topLinePunct w:val="0"/>
        <w:bidi w:val="0"/>
        <w:adjustRightInd w:val="0"/>
        <w:snapToGrid w:val="0"/>
        <w:spacing w:line="560" w:lineRule="exact"/>
        <w:ind w:left="558" w:leftChars="266"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供货期</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lang w:val="en-US" w:eastAsia="zh-CN"/>
        </w:rPr>
        <w:t>合同签订后90天内到货</w:t>
      </w:r>
      <w:r>
        <w:rPr>
          <w:rFonts w:hint="eastAsia" w:ascii="仿宋" w:hAnsi="仿宋" w:eastAsia="仿宋" w:cs="仿宋"/>
          <w:sz w:val="28"/>
          <w:szCs w:val="28"/>
          <w:highlight w:val="none"/>
        </w:rPr>
        <w:t>；</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）交货地点：</w:t>
      </w:r>
      <w:r>
        <w:rPr>
          <w:rFonts w:hint="eastAsia" w:ascii="仿宋" w:hAnsi="仿宋" w:eastAsia="仿宋" w:cs="仿宋"/>
          <w:color w:val="000000"/>
          <w:sz w:val="28"/>
          <w:szCs w:val="28"/>
          <w:highlight w:val="none"/>
          <w:lang w:val="en-US" w:eastAsia="zh-CN"/>
        </w:rPr>
        <w:t>广州市净水有限公司沥滘分公司。</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2.质量保证及售后服务：</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）确保</w:t>
      </w:r>
      <w:r>
        <w:rPr>
          <w:rFonts w:hint="eastAsia" w:ascii="仿宋" w:hAnsi="仿宋" w:eastAsia="仿宋" w:cs="仿宋"/>
          <w:color w:val="000000"/>
          <w:sz w:val="28"/>
          <w:szCs w:val="28"/>
          <w:highlight w:val="none"/>
          <w:lang w:val="en-US" w:eastAsia="zh-CN"/>
        </w:rPr>
        <w:t>货物为原装未拆封或未使用的产品</w:t>
      </w:r>
      <w:r>
        <w:rPr>
          <w:rFonts w:hint="eastAsia" w:ascii="仿宋" w:hAnsi="仿宋" w:eastAsia="仿宋" w:cs="仿宋"/>
          <w:color w:val="000000"/>
          <w:sz w:val="28"/>
          <w:szCs w:val="28"/>
          <w:highlight w:val="none"/>
          <w:lang w:eastAsia="zh-CN"/>
        </w:rPr>
        <w:t>；</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）货物在质保期</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为自供货验收合格之日起1年内</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如有质量问题</w:t>
      </w:r>
      <w:r>
        <w:rPr>
          <w:rFonts w:hint="eastAsia" w:ascii="仿宋" w:hAnsi="仿宋" w:eastAsia="仿宋" w:cs="仿宋"/>
          <w:color w:val="000000"/>
          <w:sz w:val="28"/>
          <w:szCs w:val="28"/>
          <w:highlight w:val="none"/>
          <w:lang w:val="en-US" w:eastAsia="zh-CN"/>
        </w:rPr>
        <w:t>或未能适配原有设备</w:t>
      </w:r>
      <w:r>
        <w:rPr>
          <w:rFonts w:hint="eastAsia" w:ascii="仿宋" w:hAnsi="仿宋" w:eastAsia="仿宋" w:cs="仿宋"/>
          <w:color w:val="000000"/>
          <w:sz w:val="28"/>
          <w:szCs w:val="28"/>
          <w:highlight w:val="none"/>
        </w:rPr>
        <w:t>时，报价人必须</w:t>
      </w:r>
      <w:r>
        <w:rPr>
          <w:rFonts w:hint="eastAsia" w:ascii="仿宋" w:hAnsi="仿宋" w:eastAsia="仿宋" w:cs="仿宋"/>
          <w:color w:val="000000"/>
          <w:sz w:val="28"/>
          <w:szCs w:val="28"/>
          <w:highlight w:val="none"/>
          <w:lang w:val="en-US" w:eastAsia="zh-CN"/>
        </w:rPr>
        <w:t>24小时内派技术人员到现场免费进行维修</w:t>
      </w:r>
      <w:r>
        <w:rPr>
          <w:rFonts w:hint="eastAsia" w:ascii="仿宋" w:hAnsi="仿宋" w:eastAsia="仿宋" w:cs="仿宋"/>
          <w:color w:val="000000"/>
          <w:sz w:val="28"/>
          <w:szCs w:val="28"/>
          <w:highlight w:val="none"/>
        </w:rPr>
        <w:t>。</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3.总包及分包规定：</w:t>
      </w:r>
    </w:p>
    <w:p>
      <w:pPr>
        <w:keepNext w:val="0"/>
        <w:keepLines w:val="0"/>
        <w:pageBreakBefore w:val="0"/>
        <w:kinsoku/>
        <w:wordWrap/>
        <w:overflowPunct/>
        <w:topLinePunct w:val="0"/>
        <w:autoSpaceDE w:val="0"/>
        <w:autoSpaceDN w:val="0"/>
        <w:bidi w:val="0"/>
        <w:spacing w:line="560" w:lineRule="exact"/>
        <w:ind w:left="560"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乙方不得转包</w:t>
      </w:r>
      <w:r>
        <w:rPr>
          <w:rFonts w:hint="eastAsia" w:ascii="仿宋" w:hAnsi="仿宋" w:eastAsia="仿宋" w:cs="仿宋"/>
          <w:color w:val="000000"/>
          <w:sz w:val="28"/>
          <w:szCs w:val="28"/>
          <w:highlight w:val="none"/>
          <w:lang w:eastAsia="zh-CN"/>
        </w:rPr>
        <w:t>、分包</w:t>
      </w:r>
      <w:r>
        <w:rPr>
          <w:rFonts w:hint="eastAsia" w:ascii="仿宋" w:hAnsi="仿宋" w:eastAsia="仿宋" w:cs="仿宋"/>
          <w:color w:val="000000"/>
          <w:sz w:val="28"/>
          <w:szCs w:val="28"/>
          <w:highlight w:val="none"/>
        </w:rPr>
        <w:t>。否则，甲方有权单方面终止合同，</w:t>
      </w:r>
      <w:r>
        <w:rPr>
          <w:rFonts w:hint="eastAsia" w:ascii="仿宋" w:hAnsi="仿宋" w:eastAsia="仿宋" w:cs="仿宋"/>
          <w:color w:val="000000"/>
          <w:sz w:val="28"/>
          <w:szCs w:val="28"/>
          <w:highlight w:val="none"/>
          <w:lang w:val="en-US" w:eastAsia="zh-CN"/>
        </w:rPr>
        <w:t>拒收其货物</w:t>
      </w:r>
      <w:r>
        <w:rPr>
          <w:rFonts w:hint="eastAsia" w:ascii="仿宋" w:hAnsi="仿宋" w:eastAsia="仿宋" w:cs="仿宋"/>
          <w:color w:val="000000"/>
          <w:sz w:val="28"/>
          <w:szCs w:val="28"/>
          <w:highlight w:val="none"/>
        </w:rPr>
        <w:t>，由此而造成的经济损失由乙方负责赔偿。</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.询价人将自承包商履行完合同义务之日起15个工作日内组织验收，审定报价人供货的货物合格情况，进行结算审核。</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.付款方式：</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（1）采用</w:t>
      </w:r>
      <w:r>
        <w:rPr>
          <w:rFonts w:hint="eastAsia" w:ascii="仿宋" w:hAnsi="仿宋" w:eastAsia="仿宋" w:cs="仿宋"/>
          <w:color w:val="000000"/>
          <w:sz w:val="28"/>
          <w:szCs w:val="28"/>
          <w:highlight w:val="none"/>
          <w:lang w:val="en-US" w:eastAsia="zh-CN"/>
        </w:rPr>
        <w:t>支票、</w:t>
      </w:r>
      <w:r>
        <w:rPr>
          <w:rFonts w:hint="eastAsia" w:ascii="仿宋" w:hAnsi="仿宋" w:eastAsia="仿宋" w:cs="仿宋"/>
          <w:color w:val="000000"/>
          <w:sz w:val="28"/>
          <w:szCs w:val="28"/>
          <w:highlight w:val="none"/>
        </w:rPr>
        <w:t>银行汇票形式。</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（2）报价人在收款前需提交相应金额增值税专用发票给</w:t>
      </w:r>
      <w:r>
        <w:rPr>
          <w:rFonts w:hint="eastAsia" w:ascii="仿宋" w:hAnsi="仿宋" w:eastAsia="仿宋" w:cs="仿宋"/>
          <w:color w:val="000000"/>
          <w:sz w:val="28"/>
          <w:szCs w:val="28"/>
          <w:highlight w:val="none"/>
          <w:lang w:val="en-US" w:eastAsia="zh-CN"/>
        </w:rPr>
        <w:t>需求单位</w:t>
      </w:r>
      <w:r>
        <w:rPr>
          <w:rFonts w:hint="eastAsia" w:ascii="仿宋" w:hAnsi="仿宋" w:eastAsia="仿宋" w:cs="仿宋"/>
          <w:color w:val="000000"/>
          <w:sz w:val="28"/>
          <w:szCs w:val="28"/>
          <w:highlight w:val="none"/>
        </w:rPr>
        <w:t>。</w:t>
      </w:r>
    </w:p>
    <w:p>
      <w:pPr>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.承包方</w:t>
      </w:r>
      <w:r>
        <w:rPr>
          <w:rFonts w:hint="eastAsia" w:ascii="仿宋" w:hAnsi="仿宋" w:eastAsia="仿宋" w:cs="仿宋"/>
          <w:color w:val="000000"/>
          <w:sz w:val="28"/>
          <w:szCs w:val="28"/>
          <w:highlight w:val="none"/>
          <w:lang w:val="en-US" w:eastAsia="zh-CN"/>
        </w:rPr>
        <w:t>式：</w:t>
      </w:r>
      <w:r>
        <w:rPr>
          <w:rFonts w:hint="eastAsia" w:ascii="仿宋" w:hAnsi="仿宋" w:eastAsia="仿宋" w:cs="仿宋"/>
          <w:color w:val="000000"/>
          <w:sz w:val="28"/>
          <w:szCs w:val="28"/>
          <w:highlight w:val="none"/>
        </w:rPr>
        <w:t>单价包干</w:t>
      </w:r>
      <w:r>
        <w:rPr>
          <w:rFonts w:hint="eastAsia" w:ascii="仿宋" w:hAnsi="仿宋" w:eastAsia="仿宋" w:cs="仿宋"/>
          <w:color w:val="000000"/>
          <w:sz w:val="28"/>
          <w:szCs w:val="28"/>
          <w:highlight w:val="none"/>
          <w:lang w:eastAsia="zh-CN"/>
        </w:rPr>
        <w:t>。</w:t>
      </w: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highlight w:val="none"/>
        </w:rPr>
      </w:pPr>
    </w:p>
    <w:p>
      <w:pPr>
        <w:pStyle w:val="2"/>
        <w:rPr>
          <w:highlight w:val="none"/>
        </w:rPr>
      </w:pPr>
    </w:p>
    <w:p>
      <w:pPr>
        <w:pStyle w:val="2"/>
        <w:rPr>
          <w:highlight w:val="none"/>
        </w:rPr>
      </w:pPr>
    </w:p>
    <w:p>
      <w:pPr>
        <w:pStyle w:val="2"/>
        <w:ind w:left="0" w:leftChars="0" w:firstLine="0" w:firstLineChars="0"/>
        <w:rPr>
          <w:highlight w:val="none"/>
        </w:rPr>
      </w:pPr>
    </w:p>
    <w:p>
      <w:pPr>
        <w:pStyle w:val="2"/>
        <w:rPr>
          <w:highlight w:val="none"/>
        </w:rPr>
      </w:pPr>
    </w:p>
    <w:p>
      <w:pPr>
        <w:pStyle w:val="2"/>
        <w:rPr>
          <w:highlight w:val="none"/>
        </w:rPr>
      </w:pPr>
    </w:p>
    <w:p>
      <w:pPr>
        <w:pStyle w:val="2"/>
        <w:rPr>
          <w:highlight w:val="none"/>
        </w:rPr>
      </w:pPr>
    </w:p>
    <w:p>
      <w:pPr>
        <w:pStyle w:val="4"/>
        <w:rPr>
          <w:highlight w:val="none"/>
        </w:rPr>
      </w:pPr>
      <w:bookmarkStart w:id="73" w:name="_Toc18538"/>
      <w:bookmarkStart w:id="74" w:name="_Toc4680"/>
      <w:bookmarkStart w:id="75" w:name="_Toc25925"/>
      <w:bookmarkStart w:id="76" w:name="_Toc23353"/>
      <w:bookmarkStart w:id="77" w:name="_Toc537"/>
      <w:bookmarkStart w:id="78" w:name="_Toc23330"/>
      <w:bookmarkStart w:id="79" w:name="_Toc12135"/>
      <w:bookmarkStart w:id="80" w:name="_Toc15570"/>
      <w:bookmarkStart w:id="81" w:name="_Toc29835"/>
      <w:bookmarkStart w:id="82" w:name="_Toc1284"/>
      <w:bookmarkStart w:id="83" w:name="_Toc1496"/>
      <w:r>
        <w:rPr>
          <w:highlight w:val="none"/>
        </w:rPr>
        <mc:AlternateContent>
          <mc:Choice Requires="wps">
            <w:drawing>
              <wp:anchor distT="0" distB="0" distL="114300" distR="114300" simplePos="0" relativeHeight="251667456" behindDoc="0" locked="0" layoutInCell="1" allowOverlap="1">
                <wp:simplePos x="0" y="0"/>
                <wp:positionH relativeFrom="column">
                  <wp:posOffset>2230120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5.6pt;margin-top:56.7pt;height:0pt;width:75.5pt;z-index:251667456;mso-width-relative:page;mso-height-relative:page;" filled="f" stroked="t" coordsize="21600,21600" o:gfxdata="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duPD1gAAAAsBAAAPAAAAAAAAAAEA&#10;IAAAACIAAABkcnMvZG93bnJldi54bWxQSwECFAAUAAAACACHTuJAjFBfR9gBAACUAwAADgAAAAAA&#10;AAABACAAAAAlAQAAZHJzL2Uyb0RvYy54bWxQSwUGAAAAAAYABgBZAQAAbw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2211070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1pt;margin-top:21.3pt;height:0pt;width:75.5pt;z-index:251666432;mso-width-relative:page;mso-height-relative:page;" filled="f" stroked="t" coordsize="21600,21600" o:gfxdata="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hV9Bb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第六章</w:t>
      </w:r>
      <w:bookmarkEnd w:id="73"/>
      <w:bookmarkEnd w:id="74"/>
      <w:bookmarkEnd w:id="75"/>
      <w:bookmarkEnd w:id="76"/>
      <w:bookmarkEnd w:id="77"/>
      <w:bookmarkEnd w:id="78"/>
      <w:bookmarkEnd w:id="79"/>
      <w:bookmarkEnd w:id="80"/>
      <w:bookmarkEnd w:id="81"/>
      <w:bookmarkEnd w:id="82"/>
      <w:bookmarkEnd w:id="83"/>
    </w:p>
    <w:p>
      <w:pPr>
        <w:pStyle w:val="35"/>
        <w:rPr>
          <w:highlight w:val="none"/>
        </w:rPr>
      </w:pPr>
    </w:p>
    <w:p>
      <w:pPr>
        <w:pStyle w:val="4"/>
        <w:rPr>
          <w:highlight w:val="none"/>
        </w:rPr>
      </w:pPr>
      <w:bookmarkStart w:id="84" w:name="_Toc22501"/>
      <w:bookmarkStart w:id="85" w:name="_Toc19088"/>
      <w:bookmarkStart w:id="86" w:name="_Toc323"/>
      <w:bookmarkStart w:id="87" w:name="_Toc87616386"/>
      <w:bookmarkStart w:id="88" w:name="_Toc19686"/>
      <w:bookmarkStart w:id="89" w:name="_Toc12980"/>
      <w:bookmarkStart w:id="90" w:name="_Toc8183"/>
      <w:bookmarkStart w:id="91" w:name="_Toc22797"/>
      <w:bookmarkStart w:id="92" w:name="_Toc13309"/>
      <w:bookmarkStart w:id="93" w:name="_Toc12721"/>
      <w:bookmarkStart w:id="94" w:name="_Toc88209949"/>
      <w:bookmarkStart w:id="95" w:name="_Toc1375"/>
      <w:bookmarkStart w:id="96" w:name="_Toc12968"/>
      <w:r>
        <w:rPr>
          <w:rFonts w:hint="eastAsia"/>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jc w:val="center"/>
        <w:rPr>
          <w:b/>
          <w:color w:val="000000"/>
          <w:sz w:val="48"/>
          <w:szCs w:val="48"/>
          <w:highlight w:val="none"/>
        </w:rPr>
      </w:pPr>
      <w:bookmarkStart w:id="97" w:name="_Toc3723"/>
      <w:bookmarkStart w:id="98" w:name="_Toc16552"/>
      <w:bookmarkStart w:id="99" w:name="_Toc28358"/>
      <w:bookmarkStart w:id="100" w:name="_Toc21847"/>
      <w:bookmarkStart w:id="101" w:name="_Toc6230"/>
      <w:bookmarkStart w:id="102" w:name="_Toc23515"/>
      <w:bookmarkStart w:id="103" w:name="_Toc30824"/>
      <w:bookmarkStart w:id="104" w:name="_Toc12169"/>
      <w:bookmarkStart w:id="105" w:name="_Toc1563"/>
      <w:bookmarkStart w:id="106" w:name="_Toc5129"/>
      <w:bookmarkStart w:id="107" w:name="_Toc8147"/>
      <w:r>
        <w:rPr>
          <w:rFonts w:hint="eastAsia"/>
          <w:b/>
          <w:color w:val="000000"/>
          <w:sz w:val="48"/>
          <w:szCs w:val="48"/>
          <w:highlight w:val="none"/>
        </w:rPr>
        <w:t>广州市净水有限公司</w:t>
      </w:r>
    </w:p>
    <w:p>
      <w:pPr>
        <w:jc w:val="center"/>
        <w:rPr>
          <w:b/>
          <w:color w:val="000000"/>
          <w:sz w:val="48"/>
          <w:szCs w:val="48"/>
          <w:highlight w:val="none"/>
        </w:rPr>
      </w:pPr>
      <w:r>
        <w:rPr>
          <w:rFonts w:hint="eastAsia"/>
          <w:b/>
          <w:color w:val="000000"/>
          <w:sz w:val="48"/>
          <w:szCs w:val="48"/>
          <w:highlight w:val="none"/>
        </w:rPr>
        <w:t>设备采购合同</w:t>
      </w:r>
    </w:p>
    <w:p>
      <w:pPr>
        <w:jc w:val="center"/>
        <w:rPr>
          <w:color w:val="000000"/>
          <w:sz w:val="30"/>
          <w:highlight w:val="none"/>
        </w:rPr>
      </w:pPr>
    </w:p>
    <w:p>
      <w:pPr>
        <w:pStyle w:val="2"/>
        <w:rPr>
          <w:highlight w:val="none"/>
        </w:rPr>
      </w:pPr>
    </w:p>
    <w:p>
      <w:pPr>
        <w:jc w:val="center"/>
        <w:rPr>
          <w:color w:val="000000"/>
          <w:sz w:val="30"/>
          <w:highlight w:val="none"/>
        </w:rPr>
      </w:pPr>
    </w:p>
    <w:p>
      <w:pPr>
        <w:ind w:left="1500" w:hanging="1500" w:hangingChars="500"/>
        <w:rPr>
          <w:rFonts w:hint="eastAsia"/>
          <w:color w:val="000000"/>
          <w:sz w:val="30"/>
          <w:highlight w:val="none"/>
        </w:rPr>
      </w:pPr>
      <w:r>
        <w:rPr>
          <w:rFonts w:hint="eastAsia"/>
          <w:color w:val="auto"/>
          <w:sz w:val="30"/>
          <w:highlight w:val="none"/>
        </w:rPr>
        <w:t>项目名称：</w:t>
      </w:r>
      <w:r>
        <w:rPr>
          <w:rFonts w:hint="eastAsia"/>
          <w:color w:val="000000"/>
          <w:sz w:val="30"/>
          <w:highlight w:val="none"/>
        </w:rPr>
        <w:t>广州市净水有限公司沥滘分公司2022年固定式气体</w:t>
      </w:r>
    </w:p>
    <w:p>
      <w:pPr>
        <w:ind w:left="1491" w:leftChars="710" w:firstLine="0" w:firstLineChars="0"/>
        <w:rPr>
          <w:rFonts w:hint="eastAsia"/>
          <w:color w:val="auto"/>
          <w:sz w:val="30"/>
          <w:highlight w:val="none"/>
        </w:rPr>
      </w:pPr>
      <w:r>
        <w:rPr>
          <w:rFonts w:hint="eastAsia"/>
          <w:color w:val="000000"/>
          <w:sz w:val="30"/>
          <w:highlight w:val="none"/>
        </w:rPr>
        <w:t xml:space="preserve">测仪项目  </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000000"/>
          <w:sz w:val="30"/>
          <w:highlight w:val="none"/>
        </w:rPr>
      </w:pPr>
    </w:p>
    <w:p>
      <w:pPr>
        <w:rPr>
          <w:rFonts w:hint="default" w:ascii="宋体" w:hAnsi="宋体" w:cs="宋体"/>
          <w:b/>
          <w:bCs/>
          <w:color w:val="000000"/>
          <w:sz w:val="30"/>
          <w:szCs w:val="30"/>
          <w:highlight w:val="none"/>
          <w:lang w:val="en-US" w:eastAsia="zh-CN"/>
        </w:rPr>
      </w:pPr>
      <w:r>
        <w:rPr>
          <w:rFonts w:hint="eastAsia"/>
          <w:color w:val="000000"/>
          <w:sz w:val="30"/>
          <w:highlight w:val="none"/>
        </w:rPr>
        <w:t>合同编号：</w:t>
      </w:r>
      <w:r>
        <w:rPr>
          <w:rFonts w:hint="eastAsia" w:ascii="宋体" w:hAnsi="宋体" w:cs="宋体"/>
          <w:b/>
          <w:bCs/>
          <w:color w:val="000000"/>
          <w:sz w:val="30"/>
          <w:szCs w:val="30"/>
          <w:highlight w:val="none"/>
        </w:rPr>
        <w:t>穗净水合</w:t>
      </w:r>
      <w:r>
        <w:rPr>
          <w:rFonts w:ascii="宋体" w:hAnsi="宋体" w:cs="宋体"/>
          <w:b/>
          <w:bCs/>
          <w:color w:val="000000"/>
          <w:sz w:val="30"/>
          <w:szCs w:val="30"/>
          <w:highlight w:val="none"/>
        </w:rPr>
        <w:t xml:space="preserve">[     ]    </w:t>
      </w:r>
      <w:r>
        <w:rPr>
          <w:rFonts w:hint="eastAsia" w:ascii="宋体" w:hAnsi="宋体" w:cs="宋体"/>
          <w:b/>
          <w:bCs/>
          <w:color w:val="000000"/>
          <w:sz w:val="30"/>
          <w:szCs w:val="30"/>
          <w:highlight w:val="none"/>
        </w:rPr>
        <w:t>号</w:t>
      </w:r>
    </w:p>
    <w:p>
      <w:pPr>
        <w:rPr>
          <w:color w:val="000000"/>
          <w:sz w:val="30"/>
          <w:szCs w:val="30"/>
          <w:highlight w:val="none"/>
        </w:rPr>
      </w:pPr>
    </w:p>
    <w:p>
      <w:pPr>
        <w:rPr>
          <w:rFonts w:hint="eastAsia"/>
          <w:color w:val="000000"/>
          <w:sz w:val="30"/>
          <w:highlight w:val="none"/>
        </w:rPr>
      </w:pPr>
    </w:p>
    <w:p>
      <w:pPr>
        <w:rPr>
          <w:rFonts w:hint="eastAsia"/>
          <w:color w:val="000000"/>
          <w:sz w:val="30"/>
          <w:highlight w:val="none"/>
        </w:rPr>
      </w:pPr>
    </w:p>
    <w:p>
      <w:pPr>
        <w:rPr>
          <w:color w:val="000000"/>
          <w:sz w:val="30"/>
          <w:highlight w:val="none"/>
          <w:u w:val="single"/>
        </w:rPr>
      </w:pPr>
      <w:r>
        <w:rPr>
          <w:rFonts w:hint="eastAsia"/>
          <w:color w:val="000000"/>
          <w:sz w:val="30"/>
          <w:highlight w:val="none"/>
        </w:rPr>
        <w:t>甲方（买方）：</w:t>
      </w:r>
      <w:r>
        <w:rPr>
          <w:rFonts w:hint="eastAsia"/>
          <w:color w:val="000000"/>
          <w:sz w:val="30"/>
          <w:highlight w:val="none"/>
          <w:u w:val="single"/>
        </w:rPr>
        <w:t>广州市净水有限公司</w:t>
      </w:r>
    </w:p>
    <w:p>
      <w:pPr>
        <w:rPr>
          <w:color w:val="000000"/>
          <w:sz w:val="30"/>
          <w:highlight w:val="none"/>
        </w:rPr>
      </w:pPr>
      <w:r>
        <w:rPr>
          <w:rFonts w:hint="eastAsia"/>
          <w:color w:val="000000"/>
          <w:sz w:val="30"/>
          <w:highlight w:val="none"/>
        </w:rPr>
        <w:t>乙方（卖方）：</w:t>
      </w:r>
      <w:r>
        <w:rPr>
          <w:color w:val="000000"/>
          <w:sz w:val="30"/>
          <w:highlight w:val="none"/>
          <w:u w:val="single"/>
        </w:rPr>
        <w:t xml:space="preserve">                  </w:t>
      </w:r>
    </w:p>
    <w:p>
      <w:pPr>
        <w:rPr>
          <w:rFonts w:hint="eastAsia"/>
          <w:color w:val="000000"/>
          <w:sz w:val="30"/>
          <w:highlight w:val="none"/>
        </w:rPr>
      </w:pPr>
    </w:p>
    <w:p>
      <w:pPr>
        <w:rPr>
          <w:rFonts w:hint="eastAsia"/>
          <w:color w:val="000000"/>
          <w:sz w:val="30"/>
          <w:highlight w:val="none"/>
        </w:rPr>
      </w:pPr>
    </w:p>
    <w:p>
      <w:pPr>
        <w:rPr>
          <w:rFonts w:hint="eastAsia"/>
          <w:color w:val="000000"/>
          <w:sz w:val="30"/>
          <w:highlight w:val="none"/>
        </w:rPr>
      </w:pPr>
    </w:p>
    <w:p>
      <w:pPr>
        <w:rPr>
          <w:rFonts w:hint="eastAsia"/>
          <w:color w:val="000000"/>
          <w:sz w:val="30"/>
          <w:highlight w:val="none"/>
        </w:rPr>
      </w:pPr>
      <w:r>
        <w:rPr>
          <w:rFonts w:hint="eastAsia"/>
          <w:color w:val="000000"/>
          <w:sz w:val="30"/>
          <w:highlight w:val="none"/>
        </w:rPr>
        <w:t>签订日期：</w:t>
      </w:r>
      <w:r>
        <w:rPr>
          <w:color w:val="000000"/>
          <w:sz w:val="30"/>
          <w:highlight w:val="none"/>
        </w:rPr>
        <w:t xml:space="preserve">   </w:t>
      </w:r>
      <w:r>
        <w:rPr>
          <w:rFonts w:hint="eastAsia"/>
          <w:color w:val="000000"/>
          <w:sz w:val="30"/>
          <w:highlight w:val="none"/>
          <w:lang w:val="en-US" w:eastAsia="zh-CN"/>
        </w:rPr>
        <w:t xml:space="preserve">     </w:t>
      </w:r>
      <w:r>
        <w:rPr>
          <w:color w:val="000000"/>
          <w:sz w:val="30"/>
          <w:highlight w:val="none"/>
        </w:rPr>
        <w:t xml:space="preserve"> </w:t>
      </w:r>
      <w:r>
        <w:rPr>
          <w:rFonts w:hint="eastAsia"/>
          <w:color w:val="000000"/>
          <w:sz w:val="30"/>
          <w:highlight w:val="none"/>
        </w:rPr>
        <w:t>年</w:t>
      </w:r>
      <w:r>
        <w:rPr>
          <w:rFonts w:hint="eastAsia"/>
          <w:color w:val="000000"/>
          <w:sz w:val="30"/>
          <w:highlight w:val="none"/>
          <w:lang w:val="en-US" w:eastAsia="zh-CN"/>
        </w:rPr>
        <w:t xml:space="preserve">   </w:t>
      </w:r>
      <w:r>
        <w:rPr>
          <w:color w:val="000000"/>
          <w:sz w:val="30"/>
          <w:highlight w:val="none"/>
        </w:rPr>
        <w:t xml:space="preserve">   </w:t>
      </w:r>
      <w:r>
        <w:rPr>
          <w:rFonts w:hint="eastAsia"/>
          <w:color w:val="000000"/>
          <w:sz w:val="30"/>
          <w:highlight w:val="none"/>
        </w:rPr>
        <w:t>月</w:t>
      </w:r>
      <w:r>
        <w:rPr>
          <w:color w:val="000000"/>
          <w:sz w:val="30"/>
          <w:highlight w:val="none"/>
        </w:rPr>
        <w:t xml:space="preserve">  </w:t>
      </w:r>
      <w:r>
        <w:rPr>
          <w:rFonts w:hint="eastAsia"/>
          <w:color w:val="000000"/>
          <w:sz w:val="30"/>
          <w:highlight w:val="none"/>
          <w:lang w:val="en-US" w:eastAsia="zh-CN"/>
        </w:rPr>
        <w:t xml:space="preserve"> </w:t>
      </w:r>
      <w:r>
        <w:rPr>
          <w:color w:val="000000"/>
          <w:sz w:val="30"/>
          <w:highlight w:val="none"/>
        </w:rPr>
        <w:t xml:space="preserve">   </w:t>
      </w:r>
      <w:r>
        <w:rPr>
          <w:rFonts w:hint="eastAsia"/>
          <w:color w:val="000000"/>
          <w:sz w:val="30"/>
          <w:highlight w:val="none"/>
        </w:rPr>
        <w:t>日</w:t>
      </w:r>
    </w:p>
    <w:p>
      <w:pPr>
        <w:rPr>
          <w:color w:val="000000"/>
          <w:sz w:val="30"/>
          <w:highlight w:val="none"/>
        </w:rPr>
      </w:pPr>
      <w:r>
        <w:rPr>
          <w:rFonts w:hint="eastAsia"/>
          <w:color w:val="000000"/>
          <w:sz w:val="30"/>
          <w:highlight w:val="none"/>
        </w:rPr>
        <w:t>签约地点：广州市</w:t>
      </w:r>
    </w:p>
    <w:p>
      <w:pPr>
        <w:rPr>
          <w:color w:val="000000"/>
          <w:highlight w:val="none"/>
        </w:rPr>
        <w:sectPr>
          <w:footerReference r:id="rId4" w:type="default"/>
          <w:headerReference r:id="rId3" w:type="even"/>
          <w:footerReference r:id="rId5" w:type="even"/>
          <w:pgSz w:w="11907" w:h="16840"/>
          <w:pgMar w:top="1587" w:right="1701" w:bottom="1531" w:left="1701" w:header="851" w:footer="992" w:gutter="0"/>
          <w:pgBorders>
            <w:top w:val="none" w:sz="0" w:space="0"/>
            <w:left w:val="none" w:sz="0" w:space="0"/>
            <w:bottom w:val="none" w:sz="0" w:space="0"/>
            <w:right w:val="none" w:sz="0" w:space="0"/>
          </w:pgBorders>
          <w:pgNumType w:fmt="decimal"/>
          <w:cols w:space="720" w:num="1"/>
          <w:docGrid w:type="linesAndChars" w:linePitch="381"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根据《中华人民共和国合同法》及其他有关法律、行政法规，</w:t>
      </w:r>
      <w:r>
        <w:rPr>
          <w:rFonts w:hint="eastAsia" w:ascii="宋体" w:hAnsi="宋体" w:cs="宋体"/>
          <w:color w:val="000000"/>
          <w:sz w:val="24"/>
          <w:szCs w:val="24"/>
          <w:highlight w:val="none"/>
          <w:u w:val="single"/>
        </w:rPr>
        <w:t>广州市净水有限公司</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（以下简称“甲方”）与</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（以下简称“乙方”）就</w:t>
      </w:r>
      <w:r>
        <w:rPr>
          <w:rFonts w:ascii="宋体" w:hAnsi="宋体" w:cs="宋体"/>
          <w:color w:val="000000"/>
          <w:sz w:val="24"/>
          <w:szCs w:val="24"/>
          <w:highlight w:val="none"/>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rPr>
        <w:t>广州市净水有限公司</w:t>
      </w:r>
      <w:r>
        <w:rPr>
          <w:rFonts w:hint="eastAsia" w:ascii="宋体" w:hAnsi="宋体" w:cs="宋体"/>
          <w:color w:val="000000"/>
          <w:sz w:val="24"/>
          <w:szCs w:val="24"/>
          <w:highlight w:val="none"/>
          <w:u w:val="single"/>
          <w:lang w:eastAsia="zh-CN"/>
        </w:rPr>
        <w:t>沥滘分公司2022年固定式气体检测仪采购项目（第二次）</w:t>
      </w:r>
      <w:r>
        <w:rPr>
          <w:rFonts w:hint="eastAsia" w:ascii="宋体" w:hAnsi="宋体" w:cs="宋体"/>
          <w:color w:val="000000"/>
          <w:sz w:val="24"/>
          <w:szCs w:val="24"/>
          <w:highlight w:val="none"/>
          <w:u w:val="single"/>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采购和相应技术服务事宜，遵循平等、自愿、公平和诚实信用的原则，双方协商一致，订立本合同。</w:t>
      </w:r>
      <w:bookmarkStart w:id="108" w:name="_Toc518992986"/>
      <w:bookmarkStart w:id="109" w:name="_Toc183666513"/>
      <w:bookmarkStart w:id="110" w:name="_Toc520190026"/>
      <w:bookmarkStart w:id="111" w:name="_Toc1018"/>
      <w:bookmarkStart w:id="112" w:name="_Toc474245210"/>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ascii="宋体" w:hAnsi="宋体" w:cs="宋体"/>
          <w:b/>
          <w:bCs/>
          <w:color w:val="000000"/>
          <w:sz w:val="24"/>
          <w:szCs w:val="24"/>
          <w:highlight w:val="none"/>
        </w:rPr>
      </w:pPr>
      <w:r>
        <w:rPr>
          <w:rFonts w:ascii="宋体" w:hAnsi="宋体" w:cs="宋体"/>
          <w:b/>
          <w:bCs/>
          <w:color w:val="000000"/>
          <w:sz w:val="24"/>
          <w:szCs w:val="24"/>
          <w:highlight w:val="none"/>
        </w:rPr>
        <w:t>第一条 组成合同的文件及优先顺序</w:t>
      </w:r>
    </w:p>
    <w:bookmarkEnd w:id="108"/>
    <w:bookmarkEnd w:id="109"/>
    <w:bookmarkEnd w:id="110"/>
    <w:bookmarkEnd w:id="111"/>
    <w:bookmarkEnd w:id="112"/>
    <w:p>
      <w:pPr>
        <w:spacing w:line="384"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发包通知书；</w:t>
      </w:r>
    </w:p>
    <w:p>
      <w:pPr>
        <w:spacing w:line="384" w:lineRule="auto"/>
        <w:ind w:firstLine="482"/>
        <w:rPr>
          <w:rFonts w:ascii="宋体" w:hAnsi="宋体" w:cs="宋体"/>
          <w:bCs/>
          <w:sz w:val="24"/>
          <w:highlight w:val="none"/>
        </w:rPr>
      </w:pPr>
      <w:r>
        <w:rPr>
          <w:rFonts w:hint="eastAsia" w:ascii="宋体" w:hAnsi="宋体" w:cs="宋体"/>
          <w:bCs/>
          <w:sz w:val="24"/>
          <w:highlight w:val="none"/>
        </w:rPr>
        <w:t>⑷ 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84"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84" w:lineRule="auto"/>
        <w:ind w:firstLine="482"/>
        <w:rPr>
          <w:rFonts w:ascii="宋体" w:hAnsi="宋体" w:cs="宋体"/>
          <w:bCs/>
          <w:color w:val="000000"/>
          <w:sz w:val="24"/>
          <w:highlight w:val="none"/>
        </w:rPr>
      </w:pPr>
      <w:r>
        <w:rPr>
          <w:rFonts w:hint="eastAsia" w:ascii="宋体" w:hAnsi="宋体" w:cs="宋体"/>
          <w:bCs/>
          <w:sz w:val="24"/>
          <w:highlight w:val="none"/>
        </w:rPr>
        <w:t>⑼ 本合同其他附件；</w:t>
      </w:r>
    </w:p>
    <w:p>
      <w:pPr>
        <w:spacing w:line="360" w:lineRule="auto"/>
        <w:rPr>
          <w:rFonts w:hint="eastAsia" w:ascii="宋体" w:hAnsi="宋体" w:cs="宋体"/>
          <w:b/>
          <w:sz w:val="24"/>
          <w:highlight w:val="none"/>
        </w:rPr>
      </w:pPr>
      <w:r>
        <w:rPr>
          <w:rFonts w:hint="eastAsia" w:ascii="宋体" w:hAnsi="宋体" w:cs="宋体"/>
          <w:b/>
          <w:bCs/>
          <w:sz w:val="24"/>
          <w:highlight w:val="none"/>
        </w:rPr>
        <w:t>第二条</w:t>
      </w:r>
      <w:r>
        <w:rPr>
          <w:rFonts w:hint="eastAsia" w:ascii="宋体" w:hAnsi="宋体" w:cs="宋体"/>
          <w:b/>
          <w:sz w:val="24"/>
          <w:highlight w:val="none"/>
        </w:rPr>
        <w:t>合同标的</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rPr>
        <w:t>本合同所指设备为全新的原装产品，其名称、型号、规格、数量、金额详见下表：</w:t>
      </w:r>
    </w:p>
    <w:tbl>
      <w:tblPr>
        <w:tblStyle w:val="22"/>
        <w:tblW w:w="10185" w:type="dxa"/>
        <w:jc w:val="center"/>
        <w:tblLayout w:type="fixed"/>
        <w:tblCellMar>
          <w:top w:w="0" w:type="dxa"/>
          <w:left w:w="0" w:type="dxa"/>
          <w:bottom w:w="0" w:type="dxa"/>
          <w:right w:w="0" w:type="dxa"/>
        </w:tblCellMar>
      </w:tblPr>
      <w:tblGrid>
        <w:gridCol w:w="710"/>
        <w:gridCol w:w="1417"/>
        <w:gridCol w:w="2386"/>
        <w:gridCol w:w="2135"/>
        <w:gridCol w:w="851"/>
        <w:gridCol w:w="850"/>
        <w:gridCol w:w="799"/>
        <w:gridCol w:w="1037"/>
      </w:tblGrid>
      <w:tr>
        <w:tblPrEx>
          <w:tblCellMar>
            <w:top w:w="0" w:type="dxa"/>
            <w:left w:w="0" w:type="dxa"/>
            <w:bottom w:w="0" w:type="dxa"/>
            <w:right w:w="0" w:type="dxa"/>
          </w:tblCellMar>
        </w:tblPrEx>
        <w:trPr>
          <w:trHeight w:val="650" w:hRule="atLeast"/>
          <w:jc w:val="center"/>
        </w:trPr>
        <w:tc>
          <w:tcPr>
            <w:tcW w:w="710"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序号</w:t>
            </w:r>
          </w:p>
        </w:tc>
        <w:tc>
          <w:tcPr>
            <w:tcW w:w="141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设备名称</w:t>
            </w:r>
          </w:p>
        </w:tc>
        <w:tc>
          <w:tcPr>
            <w:tcW w:w="2386"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拟采购品牌、型号</w:t>
            </w:r>
          </w:p>
        </w:tc>
        <w:tc>
          <w:tcPr>
            <w:tcW w:w="213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备件名称</w:t>
            </w:r>
          </w:p>
        </w:tc>
        <w:tc>
          <w:tcPr>
            <w:tcW w:w="85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r>
              <w:rPr>
                <w:rFonts w:hint="eastAsia" w:ascii="宋体" w:hAnsi="宋体" w:eastAsia="宋体" w:cs="宋体"/>
                <w:b/>
                <w:bCs/>
                <w:sz w:val="21"/>
                <w:szCs w:val="21"/>
                <w:highlight w:val="none"/>
                <w:lang w:val="en-US" w:eastAsia="zh-CN"/>
              </w:rPr>
              <w:t>套</w:t>
            </w:r>
            <w:r>
              <w:rPr>
                <w:rFonts w:hint="eastAsia" w:ascii="宋体" w:hAnsi="宋体" w:eastAsia="宋体" w:cs="宋体"/>
                <w:b/>
                <w:bCs/>
                <w:sz w:val="21"/>
                <w:szCs w:val="21"/>
                <w:highlight w:val="none"/>
              </w:rPr>
              <w:t>）</w:t>
            </w:r>
          </w:p>
        </w:tc>
        <w:tc>
          <w:tcPr>
            <w:tcW w:w="8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highlight w:val="none"/>
                <w:lang w:bidi="ar"/>
              </w:rPr>
            </w:pPr>
            <w:r>
              <w:rPr>
                <w:rFonts w:hint="eastAsia" w:ascii="宋体" w:hAnsi="宋体" w:eastAsia="宋体" w:cs="宋体"/>
                <w:b/>
                <w:color w:val="000000"/>
                <w:kern w:val="0"/>
                <w:sz w:val="21"/>
                <w:szCs w:val="21"/>
                <w:highlight w:val="none"/>
                <w:lang w:bidi="ar"/>
              </w:rPr>
              <w:t>单价（元）</w:t>
            </w:r>
          </w:p>
        </w:tc>
        <w:tc>
          <w:tcPr>
            <w:tcW w:w="799"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000000"/>
                <w:kern w:val="0"/>
                <w:sz w:val="21"/>
                <w:szCs w:val="21"/>
                <w:highlight w:val="none"/>
                <w:lang w:bidi="ar"/>
              </w:rPr>
            </w:pPr>
            <w:r>
              <w:rPr>
                <w:rFonts w:hint="eastAsia" w:ascii="宋体" w:hAnsi="宋体" w:eastAsia="宋体" w:cs="宋体"/>
                <w:b/>
                <w:bCs w:val="0"/>
                <w:color w:val="000000"/>
                <w:kern w:val="0"/>
                <w:sz w:val="21"/>
                <w:szCs w:val="21"/>
                <w:highlight w:val="none"/>
                <w:lang w:bidi="ar"/>
              </w:rPr>
              <w:t>总价（元）</w:t>
            </w:r>
          </w:p>
        </w:tc>
        <w:tc>
          <w:tcPr>
            <w:tcW w:w="103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000000"/>
                <w:kern w:val="0"/>
                <w:sz w:val="21"/>
                <w:szCs w:val="21"/>
                <w:highlight w:val="none"/>
                <w:lang w:bidi="ar"/>
              </w:rPr>
            </w:pPr>
            <w:r>
              <w:rPr>
                <w:rFonts w:hint="eastAsia" w:ascii="宋体" w:hAnsi="宋体" w:eastAsia="宋体" w:cs="宋体"/>
                <w:b/>
                <w:bCs w:val="0"/>
                <w:sz w:val="21"/>
                <w:szCs w:val="21"/>
                <w:highlight w:val="none"/>
              </w:rPr>
              <w:t>备注</w:t>
            </w:r>
          </w:p>
        </w:tc>
      </w:tr>
      <w:tr>
        <w:tblPrEx>
          <w:tblCellMar>
            <w:top w:w="0" w:type="dxa"/>
            <w:left w:w="0" w:type="dxa"/>
            <w:bottom w:w="0" w:type="dxa"/>
            <w:right w:w="0" w:type="dxa"/>
          </w:tblCellMar>
        </w:tblPrEx>
        <w:trPr>
          <w:trHeight w:val="678" w:hRule="atLeast"/>
          <w:jc w:val="center"/>
        </w:trPr>
        <w:tc>
          <w:tcPr>
            <w:tcW w:w="710"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固定式气体检测仪</w:t>
            </w:r>
          </w:p>
        </w:tc>
        <w:tc>
          <w:tcPr>
            <w:tcW w:w="2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GTD-3000</w:t>
            </w:r>
          </w:p>
        </w:tc>
        <w:tc>
          <w:tcPr>
            <w:tcW w:w="2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固定气体检测仪防爆控制器，型号ASC-100</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氨气气体检测仪，型号GTD-3000-NH3</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硫化氢气体检测仪，型号GTD-3000-H2S</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氧气气体检测仪，型号GTD-3000-O2</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甲烷气体检测仪，型号GTD-3000-CH4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21"/>
                <w:szCs w:val="21"/>
                <w:highlight w:val="none"/>
                <w:lang w:bidi="ar"/>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21"/>
                <w:szCs w:val="21"/>
                <w:highlight w:val="none"/>
                <w:lang w:bidi="ar"/>
              </w:rPr>
            </w:pP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整套设备包含氧气检测仪，可燃气检测仪,硫化氢检测仪,氨气检测仪和控制器</w:t>
            </w:r>
          </w:p>
          <w:p>
            <w:pPr>
              <w:widowControl/>
              <w:jc w:val="center"/>
              <w:textAlignment w:val="center"/>
              <w:rPr>
                <w:rFonts w:hint="eastAsia" w:ascii="宋体" w:hAnsi="宋体" w:eastAsia="宋体" w:cs="宋体"/>
                <w:color w:val="FF0000"/>
                <w:kern w:val="0"/>
                <w:sz w:val="21"/>
                <w:szCs w:val="21"/>
                <w:highlight w:val="none"/>
                <w:lang w:bidi="ar"/>
              </w:rPr>
            </w:pPr>
          </w:p>
        </w:tc>
      </w:tr>
      <w:tr>
        <w:tblPrEx>
          <w:tblCellMar>
            <w:top w:w="0" w:type="dxa"/>
            <w:left w:w="0" w:type="dxa"/>
            <w:bottom w:w="0" w:type="dxa"/>
            <w:right w:w="0" w:type="dxa"/>
          </w:tblCellMar>
        </w:tblPrEx>
        <w:trPr>
          <w:trHeight w:val="693" w:hRule="atLeast"/>
          <w:jc w:val="center"/>
        </w:trPr>
        <w:tc>
          <w:tcPr>
            <w:tcW w:w="71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合计</w:t>
            </w:r>
          </w:p>
        </w:tc>
        <w:tc>
          <w:tcPr>
            <w:tcW w:w="9475" w:type="dxa"/>
            <w:gridSpan w:val="7"/>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合计含税价（元）：         ；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  </w:t>
            </w:r>
          </w:p>
        </w:tc>
      </w:tr>
    </w:tbl>
    <w:p>
      <w:pPr>
        <w:pStyle w:val="45"/>
        <w:rPr>
          <w:kern w:val="2"/>
          <w:highlight w:val="none"/>
          <w:lang w:val="zh-CN"/>
        </w:rPr>
      </w:pPr>
    </w:p>
    <w:p>
      <w:pPr>
        <w:spacing w:after="156" w:afterLines="50" w:line="360" w:lineRule="auto"/>
        <w:ind w:firstLine="480" w:firstLineChars="200"/>
        <w:rPr>
          <w:rFonts w:ascii="宋体" w:hAnsi="宋体" w:cs="宋体"/>
          <w:kern w:val="0"/>
          <w:sz w:val="24"/>
          <w:highlight w:val="none"/>
          <w:lang w:val="zh-CN"/>
        </w:rPr>
      </w:pPr>
      <w:bookmarkStart w:id="113" w:name="_Toc17140"/>
      <w:r>
        <w:rPr>
          <w:rFonts w:hint="eastAsia" w:ascii="宋体" w:hAnsi="宋体" w:cs="宋体"/>
          <w:kern w:val="0"/>
          <w:sz w:val="24"/>
          <w:highlight w:val="none"/>
          <w:lang w:val="zh-CN"/>
        </w:rPr>
        <w:t>其他技术需求见附件（如需）。</w:t>
      </w:r>
      <w:bookmarkEnd w:id="113"/>
    </w:p>
    <w:p>
      <w:pPr>
        <w:spacing w:after="156" w:afterLines="50" w:line="360" w:lineRule="auto"/>
        <w:ind w:firstLine="482" w:firstLineChars="200"/>
        <w:rPr>
          <w:rFonts w:ascii="宋体" w:hAnsi="宋体" w:cs="宋体"/>
          <w:sz w:val="24"/>
          <w:highlight w:val="none"/>
        </w:rPr>
      </w:pPr>
      <w:r>
        <w:rPr>
          <w:rFonts w:hint="eastAsia" w:ascii="宋体" w:hAnsi="宋体" w:cs="宋体"/>
          <w:b/>
          <w:sz w:val="24"/>
          <w:highlight w:val="none"/>
        </w:rPr>
        <w:t>第三条交货日期及地点</w:t>
      </w:r>
    </w:p>
    <w:p>
      <w:pPr>
        <w:spacing w:after="156" w:afterLines="50" w:line="360" w:lineRule="auto"/>
        <w:ind w:firstLine="480" w:firstLineChars="200"/>
        <w:rPr>
          <w:rFonts w:ascii="宋体" w:hAnsi="宋体" w:cs="宋体"/>
          <w:sz w:val="24"/>
          <w:highlight w:val="none"/>
        </w:rPr>
      </w:pPr>
      <w:r>
        <w:rPr>
          <w:rFonts w:ascii="宋体" w:hAnsi="宋体" w:cs="宋体"/>
          <w:sz w:val="24"/>
          <w:highlight w:val="none"/>
        </w:rPr>
        <w:t xml:space="preserve">3.1 </w:t>
      </w:r>
      <w:r>
        <w:rPr>
          <w:rFonts w:hint="eastAsia" w:ascii="宋体" w:hAnsi="宋体" w:cs="宋体"/>
          <w:sz w:val="24"/>
          <w:highlight w:val="none"/>
        </w:rPr>
        <w:t>交货日期：合同签订后日内，即</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日前完成供货（如需有不同交货时间注明）</w:t>
      </w:r>
      <w:r>
        <w:rPr>
          <w:rFonts w:ascii="宋体" w:hAnsi="宋体" w:cs="宋体"/>
          <w:sz w:val="24"/>
          <w:highlight w:val="none"/>
        </w:rPr>
        <w:t>,</w:t>
      </w:r>
      <w:r>
        <w:rPr>
          <w:rFonts w:hint="eastAsia" w:ascii="宋体" w:hAnsi="宋体" w:cs="宋体"/>
          <w:sz w:val="24"/>
          <w:highlight w:val="none"/>
        </w:rPr>
        <w:t>具体交货时间以甲方书面通知为准。</w:t>
      </w:r>
    </w:p>
    <w:p>
      <w:pPr>
        <w:spacing w:line="360" w:lineRule="auto"/>
        <w:ind w:firstLine="480" w:firstLineChars="200"/>
        <w:rPr>
          <w:rFonts w:ascii="宋体" w:hAnsi="宋体" w:cs="宋体"/>
          <w:bCs/>
          <w:sz w:val="24"/>
          <w:highlight w:val="none"/>
        </w:rPr>
      </w:pPr>
      <w:r>
        <w:rPr>
          <w:rFonts w:ascii="宋体" w:hAnsi="宋体" w:cs="宋体"/>
          <w:bCs/>
          <w:sz w:val="24"/>
          <w:highlight w:val="none"/>
        </w:rPr>
        <w:t>3.2</w:t>
      </w:r>
      <w:r>
        <w:rPr>
          <w:rFonts w:hint="eastAsia" w:ascii="宋体" w:hAnsi="宋体" w:cs="宋体"/>
          <w:bCs/>
          <w:sz w:val="24"/>
          <w:highlight w:val="none"/>
        </w:rPr>
        <w:t>交货地点：</w:t>
      </w:r>
      <w:r>
        <w:rPr>
          <w:rFonts w:hint="eastAsia" w:ascii="宋体" w:hAnsi="宋体" w:cs="宋体"/>
          <w:bCs/>
          <w:sz w:val="24"/>
          <w:highlight w:val="none"/>
          <w:u w:val="single"/>
          <w:lang w:eastAsia="zh-CN"/>
        </w:rPr>
        <w:t>广州市海珠区南洲路1375号</w:t>
      </w:r>
      <w:r>
        <w:rPr>
          <w:rFonts w:hint="eastAsia" w:ascii="宋体" w:hAnsi="宋体" w:cs="宋体"/>
          <w:bCs/>
          <w:sz w:val="24"/>
          <w:highlight w:val="none"/>
          <w:u w:val="single"/>
        </w:rPr>
        <w:t xml:space="preserve"> </w:t>
      </w:r>
      <w:r>
        <w:rPr>
          <w:rFonts w:ascii="宋体" w:hAnsi="宋体" w:cs="宋体"/>
          <w:bCs/>
          <w:sz w:val="24"/>
          <w:highlight w:val="none"/>
        </w:rPr>
        <w:t>,</w:t>
      </w:r>
      <w:r>
        <w:rPr>
          <w:rFonts w:hint="eastAsia" w:ascii="宋体" w:hAnsi="宋体" w:cs="宋体"/>
          <w:bCs/>
          <w:sz w:val="24"/>
          <w:highlight w:val="none"/>
        </w:rPr>
        <w:t>最终具体交货地点以甲方书面通知为准。</w:t>
      </w:r>
    </w:p>
    <w:p>
      <w:pPr>
        <w:spacing w:line="360" w:lineRule="auto"/>
        <w:ind w:firstLine="480" w:firstLineChars="200"/>
        <w:rPr>
          <w:rFonts w:ascii="宋体" w:hAnsi="宋体" w:cs="宋体"/>
          <w:bCs/>
          <w:sz w:val="24"/>
          <w:highlight w:val="none"/>
        </w:rPr>
      </w:pPr>
      <w:r>
        <w:rPr>
          <w:rFonts w:ascii="宋体" w:hAnsi="宋体" w:cs="宋体"/>
          <w:bCs/>
          <w:sz w:val="24"/>
          <w:highlight w:val="none"/>
        </w:rPr>
        <w:t xml:space="preserve">3.3 </w:t>
      </w:r>
      <w:r>
        <w:rPr>
          <w:rFonts w:hint="eastAsia" w:ascii="宋体" w:hAnsi="宋体" w:cs="宋体"/>
          <w:bCs/>
          <w:sz w:val="24"/>
          <w:highlight w:val="none"/>
        </w:rPr>
        <w:t>交货方式：乙方在设备运至交货地7个工作日前通知甲方。</w:t>
      </w:r>
    </w:p>
    <w:p>
      <w:pPr>
        <w:spacing w:line="360" w:lineRule="auto"/>
        <w:ind w:firstLine="480" w:firstLineChars="200"/>
        <w:rPr>
          <w:rFonts w:ascii="宋体" w:hAnsi="宋体" w:cs="宋体"/>
          <w:b/>
          <w:sz w:val="24"/>
          <w:highlight w:val="none"/>
        </w:rPr>
      </w:pPr>
      <w:r>
        <w:rPr>
          <w:rFonts w:ascii="宋体" w:hAnsi="宋体" w:cs="宋体"/>
          <w:bCs/>
          <w:sz w:val="24"/>
          <w:highlight w:val="none"/>
        </w:rPr>
        <w:t>3.4</w:t>
      </w:r>
      <w:r>
        <w:rPr>
          <w:rFonts w:hint="eastAsia" w:ascii="宋体" w:hAnsi="宋体" w:cs="宋体"/>
          <w:bCs/>
          <w:sz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line="360" w:lineRule="auto"/>
        <w:ind w:firstLine="482" w:firstLineChars="200"/>
        <w:rPr>
          <w:rFonts w:ascii="宋体" w:hAnsi="宋体" w:cs="宋体"/>
          <w:kern w:val="0"/>
          <w:sz w:val="24"/>
          <w:highlight w:val="none"/>
          <w:lang w:val="zh-CN"/>
        </w:rPr>
      </w:pPr>
      <w:r>
        <w:rPr>
          <w:rFonts w:hint="eastAsia" w:ascii="宋体" w:hAnsi="宋体" w:cs="宋体"/>
          <w:b/>
          <w:sz w:val="24"/>
          <w:highlight w:val="none"/>
        </w:rPr>
        <w:t>第四条合同价格</w:t>
      </w:r>
    </w:p>
    <w:p>
      <w:pPr>
        <w:tabs>
          <w:tab w:val="left" w:pos="851"/>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 本合同暂定总价为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sz w:val="24"/>
          <w:highlight w:val="none"/>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sz w:val="24"/>
          <w:highlight w:val="none"/>
        </w:rPr>
        <w:t xml:space="preserve">元。 </w:t>
      </w:r>
    </w:p>
    <w:p>
      <w:pPr>
        <w:tabs>
          <w:tab w:val="left" w:pos="851"/>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 设备价格包括工艺设计、设备及随机附件的制造、包装、运输（设备运输过程中所需的相关手续及费用）、装卸、指导安装调试、验收、培训（如需）、技术服务（包括技术资料、图纸的提供）、质保期保修、税费、保险费等全部费用。</w:t>
      </w:r>
    </w:p>
    <w:p>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4.3 本合同约定的价格为含税价价格（税率 … %），合同履行期间国家税率调整或乙方开票的实际税率与前述税率不一致的，不含税价不变，价税合计按实际税率相应调整，以开具发票时间为准。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第五条支付方式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color w:val="auto"/>
          <w:szCs w:val="21"/>
          <w:highlight w:val="none"/>
          <w:lang w:val="en-US" w:eastAsia="zh-CN"/>
        </w:rPr>
        <w:t>，</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hint="eastAsia" w:ascii="宋体" w:hAnsi="宋体" w:cs="宋体"/>
          <w:b w:val="0"/>
          <w:bCs w:val="0"/>
          <w:color w:val="000000"/>
          <w:sz w:val="24"/>
          <w:szCs w:val="24"/>
          <w:highlight w:val="none"/>
        </w:rPr>
      </w:pPr>
      <w:r>
        <w:rPr>
          <w:rFonts w:hint="eastAsia" w:ascii="宋体" w:hAnsi="宋体" w:cs="宋体"/>
          <w:color w:val="000000"/>
          <w:sz w:val="24"/>
          <w:szCs w:val="24"/>
          <w:highlight w:val="none"/>
        </w:rPr>
        <w:t>5.2.1</w:t>
      </w:r>
      <w:r>
        <w:rPr>
          <w:rFonts w:hint="eastAsia" w:ascii="宋体" w:hAnsi="宋体" w:cs="宋体"/>
          <w:color w:val="000000"/>
          <w:sz w:val="24"/>
          <w:szCs w:val="24"/>
          <w:highlight w:val="none"/>
          <w:lang w:val="en-US" w:eastAsia="zh-CN"/>
        </w:rPr>
        <w:t>各</w:t>
      </w:r>
      <w:r>
        <w:rPr>
          <w:rFonts w:hint="eastAsia" w:ascii="宋体" w:hAnsi="宋体" w:cs="宋体"/>
          <w:color w:val="000000"/>
          <w:sz w:val="24"/>
          <w:szCs w:val="24"/>
          <w:highlight w:val="none"/>
        </w:rPr>
        <w:t>设备到达现场，经</w:t>
      </w:r>
      <w:r>
        <w:rPr>
          <w:rFonts w:hint="eastAsia" w:ascii="宋体" w:hAnsi="宋体" w:cs="宋体"/>
          <w:color w:val="000000"/>
          <w:sz w:val="24"/>
          <w:szCs w:val="24"/>
          <w:highlight w:val="none"/>
          <w:lang w:val="en-US" w:eastAsia="zh-CN"/>
        </w:rPr>
        <w:t>试运行</w:t>
      </w:r>
      <w:r>
        <w:rPr>
          <w:rFonts w:hint="eastAsia" w:ascii="宋体" w:hAnsi="宋体" w:cs="宋体"/>
          <w:color w:val="000000"/>
          <w:sz w:val="24"/>
          <w:szCs w:val="24"/>
          <w:highlight w:val="none"/>
        </w:rPr>
        <w:t>验收合格后，乙方提交请款资料及</w:t>
      </w:r>
      <w:r>
        <w:rPr>
          <w:rFonts w:hint="eastAsia" w:ascii="宋体" w:hAnsi="宋体" w:cs="宋体"/>
          <w:color w:val="000000"/>
          <w:sz w:val="24"/>
          <w:szCs w:val="24"/>
          <w:highlight w:val="none"/>
          <w:lang w:val="en-US" w:eastAsia="zh-CN"/>
        </w:rPr>
        <w:t>已交货货物</w:t>
      </w:r>
      <w:r>
        <w:rPr>
          <w:rFonts w:hint="eastAsia" w:ascii="宋体" w:hAnsi="宋体" w:cs="宋体"/>
          <w:color w:val="000000"/>
          <w:sz w:val="24"/>
          <w:szCs w:val="24"/>
          <w:highlight w:val="none"/>
        </w:rPr>
        <w:t>等额增值税专用发票</w:t>
      </w:r>
      <w:r>
        <w:rPr>
          <w:rFonts w:hint="eastAsia" w:ascii="宋体" w:hAnsi="宋体" w:cs="宋体"/>
          <w:color w:val="000000"/>
          <w:sz w:val="24"/>
          <w:szCs w:val="24"/>
          <w:highlight w:val="none"/>
          <w:lang w:val="en-US" w:eastAsia="zh-CN"/>
        </w:rPr>
        <w:t>给到甲方相应分公司</w:t>
      </w:r>
      <w:r>
        <w:rPr>
          <w:rFonts w:hint="eastAsia" w:ascii="宋体" w:hAnsi="宋体" w:cs="宋体"/>
          <w:b w:val="0"/>
          <w:bCs w:val="0"/>
          <w:color w:val="000000"/>
          <w:sz w:val="24"/>
          <w:szCs w:val="24"/>
          <w:highlight w:val="none"/>
        </w:rPr>
        <w:t>，甲方</w:t>
      </w:r>
      <w:r>
        <w:rPr>
          <w:rFonts w:hint="eastAsia" w:ascii="宋体" w:hAnsi="宋体" w:cs="宋体"/>
          <w:b w:val="0"/>
          <w:bCs w:val="0"/>
          <w:color w:val="000000"/>
          <w:sz w:val="24"/>
          <w:szCs w:val="24"/>
          <w:highlight w:val="none"/>
          <w:lang w:val="en-US" w:eastAsia="zh-CN"/>
        </w:rPr>
        <w:t>下属各分公司分别</w:t>
      </w:r>
      <w:r>
        <w:rPr>
          <w:rFonts w:hint="eastAsia" w:ascii="宋体" w:hAnsi="宋体" w:cs="宋体"/>
          <w:b w:val="0"/>
          <w:bCs w:val="0"/>
          <w:color w:val="000000"/>
          <w:sz w:val="24"/>
          <w:szCs w:val="24"/>
          <w:highlight w:val="none"/>
        </w:rPr>
        <w:t>支付</w:t>
      </w:r>
      <w:r>
        <w:rPr>
          <w:rFonts w:hint="eastAsia" w:ascii="宋体" w:hAnsi="宋体" w:cs="宋体"/>
          <w:b w:val="0"/>
          <w:bCs w:val="0"/>
          <w:color w:val="000000"/>
          <w:sz w:val="24"/>
          <w:szCs w:val="24"/>
          <w:highlight w:val="none"/>
          <w:lang w:val="en-US" w:eastAsia="zh-CN"/>
        </w:rPr>
        <w:t>至该货物</w:t>
      </w:r>
      <w:r>
        <w:rPr>
          <w:rFonts w:hint="eastAsia" w:ascii="宋体" w:hAnsi="宋体" w:cs="宋体"/>
          <w:b w:val="0"/>
          <w:bCs w:val="0"/>
          <w:color w:val="000000"/>
          <w:sz w:val="24"/>
          <w:szCs w:val="24"/>
          <w:highlight w:val="none"/>
        </w:rPr>
        <w:t xml:space="preserve">合同暂定价的 </w:t>
      </w:r>
      <w:r>
        <w:rPr>
          <w:rFonts w:hint="eastAsia" w:ascii="宋体" w:hAnsi="宋体" w:cs="宋体"/>
          <w:b w:val="0"/>
          <w:bCs w:val="0"/>
          <w:color w:val="000000"/>
          <w:sz w:val="24"/>
          <w:szCs w:val="24"/>
          <w:highlight w:val="none"/>
          <w:lang w:val="en-US" w:eastAsia="zh-CN"/>
        </w:rPr>
        <w:t>80</w:t>
      </w:r>
      <w:r>
        <w:rPr>
          <w:rFonts w:hint="eastAsia"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lang w:val="en-US" w:eastAsia="zh-CN"/>
        </w:rPr>
        <w:t>即￥</w:t>
      </w:r>
      <w:r>
        <w:rPr>
          <w:rFonts w:hint="eastAsia" w:ascii="宋体" w:hAnsi="宋体" w:cs="宋体"/>
          <w:b w:val="0"/>
          <w:bCs w:val="0"/>
          <w:color w:val="000000"/>
          <w:sz w:val="24"/>
          <w:szCs w:val="24"/>
          <w:highlight w:val="none"/>
          <w:u w:val="single"/>
          <w:lang w:val="en-US" w:eastAsia="zh-CN"/>
        </w:rPr>
        <w:t xml:space="preserve">      万元</w:t>
      </w:r>
      <w:r>
        <w:rPr>
          <w:rFonts w:hint="eastAsia" w:ascii="宋体" w:hAnsi="宋体" w:cs="宋体"/>
          <w:b w:val="0"/>
          <w:bCs w:val="0"/>
          <w:color w:val="000000"/>
          <w:sz w:val="24"/>
          <w:szCs w:val="24"/>
          <w:highlight w:val="none"/>
        </w:rPr>
        <w:t>给乙方。</w:t>
      </w:r>
    </w:p>
    <w:p>
      <w:pPr>
        <w:autoSpaceDE w:val="0"/>
        <w:autoSpaceDN w:val="0"/>
        <w:adjustRightInd w:val="0"/>
        <w:spacing w:after="0" w:line="360" w:lineRule="auto"/>
        <w:ind w:firstLine="480" w:firstLineChars="200"/>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val="en-US" w:eastAsia="zh-CN"/>
        </w:rPr>
        <w:t>5.2.2</w:t>
      </w:r>
      <w:r>
        <w:rPr>
          <w:rFonts w:hint="eastAsia" w:ascii="宋体" w:hAnsi="宋体" w:cs="宋体"/>
          <w:color w:val="000000"/>
          <w:sz w:val="24"/>
          <w:szCs w:val="24"/>
          <w:highlight w:val="none"/>
        </w:rPr>
        <w:t>甲方委托有资质第三方机构审核后，由乙方提交申请支付资料 15 个工作日内，甲方</w:t>
      </w:r>
      <w:r>
        <w:rPr>
          <w:rFonts w:hint="eastAsia" w:ascii="宋体" w:hAnsi="宋体" w:cs="宋体"/>
          <w:color w:val="000000"/>
          <w:sz w:val="24"/>
          <w:szCs w:val="24"/>
          <w:highlight w:val="none"/>
          <w:lang w:val="en-US" w:eastAsia="zh-CN"/>
        </w:rPr>
        <w:t>下属各分公司分别</w:t>
      </w:r>
      <w:r>
        <w:rPr>
          <w:rFonts w:hint="eastAsia" w:ascii="宋体" w:hAnsi="宋体" w:cs="宋体"/>
          <w:color w:val="000000"/>
          <w:sz w:val="24"/>
          <w:szCs w:val="24"/>
          <w:highlight w:val="none"/>
        </w:rPr>
        <w:t>支付至</w:t>
      </w:r>
      <w:r>
        <w:rPr>
          <w:rFonts w:hint="eastAsia" w:ascii="宋体" w:hAnsi="宋体" w:cs="宋体"/>
          <w:color w:val="000000"/>
          <w:sz w:val="24"/>
          <w:szCs w:val="24"/>
          <w:highlight w:val="none"/>
          <w:lang w:val="en-US" w:eastAsia="zh-CN"/>
        </w:rPr>
        <w:t>该货物</w:t>
      </w:r>
      <w:r>
        <w:rPr>
          <w:rFonts w:hint="eastAsia" w:ascii="宋体" w:hAnsi="宋体" w:cs="宋体"/>
          <w:color w:val="000000"/>
          <w:sz w:val="24"/>
          <w:szCs w:val="24"/>
          <w:highlight w:val="none"/>
        </w:rPr>
        <w:t>合同结算价的</w:t>
      </w:r>
      <w:r>
        <w:rPr>
          <w:rFonts w:hint="eastAsia" w:ascii="宋体" w:hAnsi="宋体" w:cs="宋体"/>
          <w:color w:val="000000"/>
          <w:sz w:val="24"/>
          <w:szCs w:val="24"/>
          <w:highlight w:val="none"/>
          <w:lang w:val="en-US" w:eastAsia="zh-CN"/>
        </w:rPr>
        <w:t>95%</w:t>
      </w:r>
      <w:r>
        <w:rPr>
          <w:rFonts w:hint="eastAsia" w:ascii="宋体" w:hAnsi="宋体" w:cs="宋体"/>
          <w:color w:val="000000"/>
          <w:sz w:val="24"/>
          <w:szCs w:val="24"/>
          <w:highlight w:val="none"/>
        </w:rPr>
        <w:t>。（若审核价低于合同暂定总价，则以审核价作为合同结算价，否则以合同暂定总价为合同结算价），合同结算价的</w:t>
      </w:r>
      <w:r>
        <w:rPr>
          <w:rFonts w:ascii="宋体" w:hAnsi="宋体" w:cs="宋体"/>
          <w:color w:val="000000"/>
          <w:sz w:val="24"/>
          <w:szCs w:val="24"/>
          <w:highlight w:val="none"/>
        </w:rPr>
        <w:t>5%</w:t>
      </w:r>
      <w:r>
        <w:rPr>
          <w:rFonts w:hint="eastAsia" w:ascii="宋体" w:hAnsi="宋体" w:cs="宋体"/>
          <w:color w:val="000000"/>
          <w:sz w:val="24"/>
          <w:szCs w:val="24"/>
          <w:highlight w:val="none"/>
        </w:rPr>
        <w:t>作为质保金留存。</w:t>
      </w:r>
      <w:r>
        <w:rPr>
          <w:rFonts w:hint="eastAsia" w:hAnsi="宋体" w:cs="宋体"/>
          <w:color w:val="000000"/>
          <w:sz w:val="24"/>
          <w:szCs w:val="24"/>
          <w:highlight w:val="none"/>
        </w:rPr>
        <w:t>质保期按合同第</w:t>
      </w:r>
      <w:r>
        <w:rPr>
          <w:rFonts w:hint="eastAsia" w:hAnsi="宋体" w:cs="宋体"/>
          <w:color w:val="000000"/>
          <w:sz w:val="24"/>
          <w:szCs w:val="24"/>
          <w:highlight w:val="none"/>
          <w:lang w:val="en-US" w:eastAsia="zh-CN"/>
        </w:rPr>
        <w:t>十</w:t>
      </w:r>
      <w:r>
        <w:rPr>
          <w:rFonts w:hint="eastAsia" w:hAnsi="宋体" w:cs="宋体"/>
          <w:color w:val="000000"/>
          <w:sz w:val="24"/>
          <w:szCs w:val="24"/>
          <w:highlight w:val="none"/>
        </w:rPr>
        <w:t>条规定执行，质保期满且乙方不存在违约情形，乙方提交请款资料及等额增值税专用发票，甲方审核无误后在</w:t>
      </w:r>
      <w:r>
        <w:rPr>
          <w:rFonts w:hAnsi="宋体" w:cs="宋体"/>
          <w:color w:val="000000"/>
          <w:sz w:val="24"/>
          <w:szCs w:val="24"/>
          <w:highlight w:val="none"/>
          <w:u w:val="single"/>
        </w:rPr>
        <w:t xml:space="preserve"> 15 </w:t>
      </w:r>
      <w:r>
        <w:rPr>
          <w:rFonts w:hint="eastAsia" w:hAnsi="宋体" w:cs="宋体"/>
          <w:color w:val="000000"/>
          <w:sz w:val="24"/>
          <w:szCs w:val="24"/>
          <w:highlight w:val="none"/>
        </w:rPr>
        <w:t>个工作日内支付</w:t>
      </w:r>
      <w:r>
        <w:rPr>
          <w:rFonts w:hint="eastAsia" w:ascii="宋体" w:hAnsi="宋体" w:cs="宋体"/>
          <w:color w:val="000000"/>
          <w:sz w:val="24"/>
          <w:szCs w:val="24"/>
          <w:highlight w:val="none"/>
          <w:lang w:val="en-US" w:eastAsia="zh-CN"/>
        </w:rPr>
        <w:t>该货物</w:t>
      </w:r>
      <w:r>
        <w:rPr>
          <w:rFonts w:hint="eastAsia" w:hAnsi="宋体" w:cs="宋体"/>
          <w:color w:val="000000"/>
          <w:sz w:val="24"/>
          <w:szCs w:val="24"/>
          <w:highlight w:val="none"/>
        </w:rPr>
        <w:t>合同结算价的</w:t>
      </w:r>
      <w:r>
        <w:rPr>
          <w:rFonts w:hAnsi="宋体" w:cs="宋体"/>
          <w:color w:val="000000"/>
          <w:sz w:val="24"/>
          <w:szCs w:val="24"/>
          <w:highlight w:val="none"/>
        </w:rPr>
        <w:t>5</w:t>
      </w:r>
      <w:r>
        <w:rPr>
          <w:rFonts w:hint="eastAsia" w:hAnsi="宋体" w:cs="宋体"/>
          <w:color w:val="000000"/>
          <w:sz w:val="24"/>
          <w:szCs w:val="24"/>
          <w:highlight w:val="none"/>
        </w:rPr>
        <w:t>％（质保金）给乙方</w:t>
      </w:r>
      <w:r>
        <w:rPr>
          <w:rFonts w:hAnsi="宋体" w:cs="宋体"/>
          <w:color w:val="000000"/>
          <w:sz w:val="24"/>
          <w:szCs w:val="24"/>
          <w:highlight w:val="none"/>
        </w:rPr>
        <w:t>(</w:t>
      </w:r>
      <w:r>
        <w:rPr>
          <w:rFonts w:hint="eastAsia" w:hAnsi="宋体" w:cs="宋体"/>
          <w:color w:val="000000"/>
          <w:sz w:val="24"/>
          <w:szCs w:val="24"/>
          <w:highlight w:val="none"/>
        </w:rPr>
        <w:t>无息</w:t>
      </w:r>
      <w:r>
        <w:rPr>
          <w:rFonts w:hAnsi="宋体" w:cs="宋体"/>
          <w:color w:val="000000"/>
          <w:sz w:val="24"/>
          <w:szCs w:val="24"/>
          <w:highlight w:val="none"/>
        </w:rPr>
        <w:t>)</w:t>
      </w:r>
      <w:r>
        <w:rPr>
          <w:rFonts w:hint="eastAsia" w:hAnsi="宋体" w:cs="宋体"/>
          <w:color w:val="000000"/>
          <w:sz w:val="24"/>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2"/>
        <w:spacing w:line="360" w:lineRule="auto"/>
        <w:ind w:firstLine="735" w:firstLineChars="350"/>
        <w:outlineLvl w:val="1"/>
        <w:rPr>
          <w:rFonts w:hAnsi="宋体" w:cs="宋体"/>
          <w:szCs w:val="24"/>
          <w:highlight w:val="none"/>
        </w:rPr>
      </w:pPr>
      <w:r>
        <w:rPr>
          <w:rFonts w:hint="eastAsia" w:hAnsi="宋体" w:cs="宋体"/>
          <w:szCs w:val="24"/>
          <w:highlight w:val="none"/>
        </w:rPr>
        <w:t>（建议采用网银支付、支票两种形式中之一）。</w:t>
      </w:r>
    </w:p>
    <w:p>
      <w:pPr>
        <w:autoSpaceDE w:val="0"/>
        <w:autoSpaceDN w:val="0"/>
        <w:adjustRightInd w:val="0"/>
        <w:spacing w:line="360" w:lineRule="auto"/>
        <w:ind w:firstLine="480" w:firstLineChars="200"/>
        <w:rPr>
          <w:rFonts w:ascii="宋体" w:hAnsi="宋体" w:cs="宋体"/>
          <w:color w:val="000000"/>
          <w:sz w:val="24"/>
          <w:szCs w:val="24"/>
          <w:highlight w:val="none"/>
        </w:rPr>
      </w:pPr>
      <w:r>
        <w:rPr>
          <w:rFonts w:ascii="宋体" w:hAnsi="宋体" w:cs="宋体"/>
          <w:color w:val="000000"/>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000000"/>
          <w:sz w:val="24"/>
          <w:szCs w:val="24"/>
          <w:highlight w:val="none"/>
        </w:rPr>
      </w:pPr>
      <w:r>
        <w:rPr>
          <w:rFonts w:hint="eastAsia" w:ascii="宋体" w:hAnsi="宋体" w:cs="宋体"/>
          <w:b/>
          <w:color w:val="000000"/>
          <w:sz w:val="24"/>
          <w:szCs w:val="24"/>
          <w:highlight w:val="none"/>
        </w:rPr>
        <w:t>第六条</w:t>
      </w:r>
      <w:r>
        <w:rPr>
          <w:rFonts w:ascii="宋体" w:hAnsi="宋体" w:cs="宋体"/>
          <w:b/>
          <w:color w:val="000000"/>
          <w:sz w:val="24"/>
          <w:szCs w:val="24"/>
          <w:highlight w:val="none"/>
        </w:rPr>
        <w:t xml:space="preserve"> </w:t>
      </w:r>
      <w:r>
        <w:rPr>
          <w:rFonts w:hint="eastAsia" w:ascii="宋体" w:hAnsi="宋体" w:cs="宋体"/>
          <w:b/>
          <w:color w:val="000000"/>
          <w:sz w:val="24"/>
          <w:szCs w:val="24"/>
          <w:highlight w:val="none"/>
        </w:rPr>
        <w:t>履约担保</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6.1履约担保：</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000000"/>
          <w:sz w:val="24"/>
          <w:szCs w:val="24"/>
          <w:highlight w:val="none"/>
        </w:rPr>
        <w:t>，本合同签订后10日内以合同暂定总价的10%作为履约保证金，金额为：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（大写人民币：</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6.2履约担保按以下任一种形式提供：</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1、符合甲方要求（详见附件6保函格式）的银行独立保函，</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2、现金转账至甲方以下指定账户：</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户名：广州市净水有限公司</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账号：82010154900000342</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开户行：浦发银行广州分行</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6.3履约担保的担保期限和返还</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6.3.1履约银行保函（或现金履约保证金）的担保期限：从提供履约担保（或转账成功）之日起至合同履行完成。</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6.3.2履约银行保函在合同履行完成后，由乙方提出申请，甲方在28日内返还，不支付利息； </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6.3.3延长担保期限。履约银行保函形式提交履约保证金的，在银行保函到期前，乙方应提前 7 天向甲方提交新的保函以替换即将到期的保函。如乙方未及时提交的，甲方有权直接要求担保银行支付其担保的全部金额并解除合同。</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6.3.4现金履约保证金的退还：合同履行完成后，由乙方提出申请，甲方在28天内将剩余履约保证金（无息）返还。</w:t>
      </w:r>
    </w:p>
    <w:p>
      <w:pPr>
        <w:spacing w:after="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6.3.5甲方按合同约定提取履约担保金额后，乙方应在收到甲方通知后 7 天内补足数额，逾期未补足，则甲方有权提取履约担保的全部余额并解除合同。</w:t>
      </w:r>
    </w:p>
    <w:p>
      <w:pPr>
        <w:spacing w:after="0" w:line="360" w:lineRule="auto"/>
        <w:ind w:firstLine="482" w:firstLineChars="200"/>
        <w:rPr>
          <w:rFonts w:ascii="宋体" w:hAnsi="宋体" w:cs="宋体"/>
          <w:b/>
          <w:color w:val="000000"/>
          <w:sz w:val="24"/>
          <w:szCs w:val="24"/>
          <w:highlight w:val="none"/>
        </w:rPr>
      </w:pPr>
      <w:r>
        <w:rPr>
          <w:rFonts w:hint="eastAsia" w:ascii="宋体" w:hAnsi="宋体" w:cs="宋体"/>
          <w:b/>
          <w:bCs/>
          <w:color w:val="000000"/>
          <w:kern w:val="0"/>
          <w:sz w:val="24"/>
          <w:szCs w:val="24"/>
          <w:highlight w:val="none"/>
        </w:rPr>
        <w:t>第七条</w:t>
      </w:r>
      <w:r>
        <w:rPr>
          <w:rFonts w:ascii="宋体" w:hAnsi="宋体" w:cs="宋体"/>
          <w:b/>
          <w:bCs/>
          <w:color w:val="000000"/>
          <w:kern w:val="0"/>
          <w:sz w:val="24"/>
          <w:szCs w:val="24"/>
          <w:highlight w:val="none"/>
        </w:rPr>
        <w:t xml:space="preserve"> </w:t>
      </w:r>
      <w:r>
        <w:rPr>
          <w:rFonts w:hint="eastAsia" w:ascii="宋体" w:hAnsi="宋体" w:cs="宋体"/>
          <w:b/>
          <w:color w:val="000000"/>
          <w:sz w:val="24"/>
          <w:szCs w:val="24"/>
          <w:highlight w:val="none"/>
        </w:rPr>
        <w:t>交货及检验要求</w:t>
      </w:r>
    </w:p>
    <w:p>
      <w:pPr>
        <w:spacing w:before="120" w:after="120" w:line="360" w:lineRule="auto"/>
        <w:ind w:firstLine="480" w:firstLineChars="200"/>
        <w:rPr>
          <w:rFonts w:hint="eastAsia" w:ascii="宋体" w:hAnsi="宋体" w:cs="宋体"/>
          <w:bCs/>
          <w:color w:val="000000"/>
          <w:sz w:val="24"/>
          <w:szCs w:val="24"/>
          <w:highlight w:val="none"/>
        </w:rPr>
      </w:pPr>
      <w:bookmarkStart w:id="114" w:name="_Toc518992990"/>
      <w:bookmarkStart w:id="115" w:name="_Toc474245215"/>
      <w:bookmarkStart w:id="116" w:name="_Toc520190030"/>
      <w:bookmarkStart w:id="117" w:name="_Toc257"/>
      <w:bookmarkStart w:id="118" w:name="_Toc183666534"/>
      <w:r>
        <w:rPr>
          <w:rFonts w:hint="eastAsia" w:ascii="宋体" w:hAnsi="宋体" w:cs="宋体"/>
          <w:bCs/>
          <w:color w:val="000000"/>
          <w:sz w:val="24"/>
          <w:szCs w:val="24"/>
          <w:highlight w:val="none"/>
        </w:rPr>
        <w:t>7.1 交货要求：乙方应在交货时向甲方提供出厂合格证、产品质量证明文件、操作维修手册等（手册应包含设备情况、系统和主要部件常见故障、保养要求、紧急维修电话等内容）。</w:t>
      </w:r>
    </w:p>
    <w:p>
      <w:pPr>
        <w:spacing w:before="120" w:after="12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7.2外观验收：设备运抵交货地点后，甲乙双方根据合同约定对合同设备的包装、外观与件数进行清点检查，并共同签署合同设备外观检查记录。</w:t>
      </w:r>
    </w:p>
    <w:p>
      <w:pPr>
        <w:spacing w:before="120" w:after="12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7.3 开箱验收：开箱检验在合同设备交付地点进行，包括但不限于对合同设备数量、规格、外观完好性进行检验。经验收合格后，甲方签发开箱检验合格证明。开箱验收合格前，设备的损坏风险由乙方承担。</w:t>
      </w:r>
    </w:p>
    <w:p>
      <w:pPr>
        <w:spacing w:before="120" w:after="12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before="120" w:after="12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before="120" w:after="12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    7.6 甲方有权对合同设备进行原厂正品验证，若合同设备无法获原厂验证，甲方有权退回设备，要求乙方在 5 个工作日内退回已支付款项并按设备价格的 10 %支付违约金。</w:t>
      </w:r>
    </w:p>
    <w:p>
      <w:pPr>
        <w:spacing w:before="120" w:after="120"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第八条</w:t>
      </w:r>
      <w:r>
        <w:rPr>
          <w:rFonts w:ascii="宋体" w:hAnsi="宋体" w:cs="宋体"/>
          <w:b/>
          <w:color w:val="000000"/>
          <w:sz w:val="24"/>
          <w:szCs w:val="24"/>
          <w:highlight w:val="none"/>
        </w:rPr>
        <w:t xml:space="preserve"> </w:t>
      </w:r>
      <w:r>
        <w:rPr>
          <w:rFonts w:hint="eastAsia" w:ascii="宋体" w:hAnsi="宋体" w:cs="宋体"/>
          <w:b/>
          <w:color w:val="000000"/>
          <w:sz w:val="24"/>
          <w:szCs w:val="24"/>
          <w:highlight w:val="none"/>
        </w:rPr>
        <w:t>包装</w:t>
      </w:r>
      <w:bookmarkEnd w:id="114"/>
      <w:bookmarkEnd w:id="115"/>
      <w:bookmarkEnd w:id="116"/>
      <w:r>
        <w:rPr>
          <w:rFonts w:hint="eastAsia" w:ascii="宋体" w:hAnsi="宋体" w:cs="宋体"/>
          <w:b/>
          <w:color w:val="000000"/>
          <w:sz w:val="24"/>
          <w:szCs w:val="24"/>
          <w:highlight w:val="none"/>
        </w:rPr>
        <w:t>、标示及运输要求</w:t>
      </w:r>
    </w:p>
    <w:bookmarkEnd w:id="117"/>
    <w:bookmarkEnd w:id="118"/>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bookmarkStart w:id="119" w:name="_Toc183666522"/>
      <w:bookmarkStart w:id="120" w:name="_Toc18496"/>
      <w:bookmarkStart w:id="121" w:name="_Toc306350458"/>
      <w:r>
        <w:rPr>
          <w:rFonts w:hint="eastAsia" w:ascii="宋体" w:hAnsi="宋体" w:cs="宋体"/>
          <w:bCs/>
          <w:color w:val="000000"/>
          <w:sz w:val="24"/>
          <w:szCs w:val="24"/>
          <w:highlight w:val="none"/>
        </w:rPr>
        <w:t>8.1 包装</w:t>
      </w:r>
    </w:p>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8.1.2超限设备的包装要求：</w:t>
      </w:r>
      <w:r>
        <w:rPr>
          <w:rFonts w:hint="eastAsia" w:ascii="宋体" w:hAnsi="宋体" w:cs="宋体"/>
          <w:bCs/>
          <w:color w:val="000000"/>
          <w:sz w:val="24"/>
          <w:szCs w:val="24"/>
          <w:highlight w:val="none"/>
          <w:u w:val="single"/>
        </w:rPr>
        <w:t xml:space="preserve">  / </w:t>
      </w:r>
      <w:r>
        <w:rPr>
          <w:rFonts w:hint="eastAsia" w:ascii="宋体" w:hAnsi="宋体" w:cs="宋体"/>
          <w:bCs/>
          <w:color w:val="000000"/>
          <w:sz w:val="24"/>
          <w:szCs w:val="24"/>
          <w:highlight w:val="none"/>
        </w:rPr>
        <w:t xml:space="preserve"> 。</w:t>
      </w:r>
    </w:p>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8.2 标志</w:t>
      </w:r>
    </w:p>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8.2.1乙方应按照国家标准对设备的外包装进行标志。</w:t>
      </w:r>
    </w:p>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8.2.3  如由于包装不当或包装箱内部保护措施不符合要求而导致在装车或运输中发生设备或其任何部件的损坏或遗失，乙方应自费对缺损的设备、部件进行修理、更换或补供。</w:t>
      </w:r>
    </w:p>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8.3运输</w:t>
      </w:r>
    </w:p>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8.3.1乙方应自行选择适宜的运输工具及线路安排合同设备运输。</w:t>
      </w:r>
    </w:p>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8.3.2 除合同条款另有约定外，每件设备的备品备件应整套装运。</w:t>
      </w:r>
    </w:p>
    <w:p>
      <w:pPr>
        <w:adjustRightInd w:val="0"/>
        <w:snapToGrid w:val="0"/>
        <w:spacing w:before="156" w:beforeLines="50" w:after="156" w:afterLines="50"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p>
      <w:pPr>
        <w:adjustRightInd w:val="0"/>
        <w:snapToGrid w:val="0"/>
        <w:spacing w:before="156" w:beforeLines="50" w:after="156"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bookmarkEnd w:id="119"/>
    <w:bookmarkEnd w:id="120"/>
    <w:bookmarkEnd w:id="121"/>
    <w:p>
      <w:pPr>
        <w:autoSpaceDE w:val="0"/>
        <w:autoSpaceDN w:val="0"/>
        <w:adjustRightInd w:val="0"/>
        <w:spacing w:line="360" w:lineRule="auto"/>
        <w:ind w:firstLine="480" w:firstLineChars="200"/>
        <w:rPr>
          <w:rFonts w:hint="eastAsia" w:ascii="宋体" w:hAnsi="宋体" w:cs="宋体"/>
          <w:color w:val="auto"/>
          <w:sz w:val="24"/>
          <w:szCs w:val="24"/>
          <w:highlight w:val="none"/>
        </w:rPr>
      </w:pPr>
      <w:bookmarkStart w:id="122" w:name="_Toc518992994"/>
      <w:bookmarkStart w:id="123" w:name="_Toc520190034"/>
      <w:bookmarkStart w:id="124" w:name="_Toc474245220"/>
      <w:bookmarkStart w:id="125" w:name="_Toc306350459"/>
      <w:bookmarkStart w:id="126" w:name="_Toc183666523"/>
      <w:bookmarkStart w:id="127" w:name="_Toc4682"/>
      <w:r>
        <w:rPr>
          <w:rFonts w:hint="eastAsia" w:ascii="宋体" w:hAnsi="宋体" w:cs="宋体"/>
          <w:color w:val="auto"/>
          <w:sz w:val="24"/>
          <w:szCs w:val="24"/>
          <w:highlight w:val="none"/>
        </w:rPr>
        <w:t>第九条 技术服务</w:t>
      </w:r>
    </w:p>
    <w:p>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  乙方应按甲方需求，派遣技术熟练、称职的技术人员到现场为甲方提供设备调试运行等技术服务。</w:t>
      </w:r>
    </w:p>
    <w:p>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  甲方为乙方技术人员提供工作条件及便利，包括但不限于必要的办公场所、技术资料及出入许可等。除合同另有约定外，乙方技术人员的交通、食宿费用由乙方承担。</w:t>
      </w:r>
    </w:p>
    <w:p>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9.3  乙方技术人员应遵守甲方施工现场的各项规章制度和安全操作规程，并服从甲方的现场管理。</w:t>
      </w:r>
    </w:p>
    <w:p>
      <w:pPr>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22"/>
      <w:bookmarkEnd w:id="123"/>
      <w:bookmarkEnd w:id="124"/>
      <w:r>
        <w:rPr>
          <w:rFonts w:hint="eastAsia" w:ascii="宋体" w:hAnsi="宋体" w:cs="宋体"/>
          <w:b/>
          <w:color w:val="auto"/>
          <w:sz w:val="24"/>
          <w:szCs w:val="24"/>
          <w:highlight w:val="none"/>
        </w:rPr>
        <w:t>修</w:t>
      </w:r>
    </w:p>
    <w:bookmarkEnd w:id="125"/>
    <w:bookmarkEnd w:id="126"/>
    <w:bookmarkEnd w:id="127"/>
    <w:p>
      <w:pPr>
        <w:spacing w:line="360" w:lineRule="auto"/>
        <w:ind w:firstLine="482"/>
        <w:rPr>
          <w:rFonts w:hint="eastAsia" w:ascii="宋体" w:hAnsi="宋体" w:cs="宋体"/>
          <w:color w:val="auto"/>
          <w:sz w:val="24"/>
          <w:szCs w:val="24"/>
          <w:highlight w:val="none"/>
        </w:rPr>
      </w:pPr>
      <w:bookmarkStart w:id="128" w:name="_Toc107446857"/>
      <w:bookmarkStart w:id="129" w:name="_Toc520190037"/>
      <w:bookmarkStart w:id="130" w:name="_Toc27734"/>
      <w:bookmarkStart w:id="131" w:name="_Toc474245223"/>
      <w:bookmarkStart w:id="132" w:name="_Toc107447250"/>
      <w:bookmarkStart w:id="133" w:name="_Toc306350464"/>
      <w:bookmarkStart w:id="134" w:name="_Toc518992997"/>
      <w:bookmarkStart w:id="135" w:name="_Toc183666528"/>
      <w:r>
        <w:rPr>
          <w:rFonts w:hint="eastAsia" w:ascii="宋体" w:hAnsi="宋体" w:cs="宋体"/>
          <w:color w:val="auto"/>
          <w:sz w:val="24"/>
          <w:szCs w:val="24"/>
          <w:highlight w:val="none"/>
        </w:rPr>
        <w:t xml:space="preserve">10.1保修期：自设备开箱验收合格之日起 1  年。保修期内乙方应免费对设备进行日常维护保养及质量缺陷修复。                                          </w:t>
      </w:r>
    </w:p>
    <w:p>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10.2保修期内，乙方应对设备质量问题负责。如设备质量问题导致处理水量、出水水质达不到合同要求的，乙方需无条件免费更换设备并支付合同暂定总价的10%作为违约金，由此产生的费用由乙方承担。对涉及运营费用，乙方应保证在开箱验收合格后三年内，设备运行费用不高于投标文件/响应文件的承诺指标，否则，乙方需无条件免费更换设备并支付违约金10000元（如有）。</w:t>
      </w:r>
    </w:p>
    <w:p>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10.3 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hint="eastAsia" w:ascii="宋体" w:hAnsi="宋体" w:cs="宋体"/>
          <w:color w:val="auto"/>
          <w:sz w:val="24"/>
          <w:szCs w:val="24"/>
          <w:highlight w:val="none"/>
        </w:rPr>
        <w:t>10.4 质量保修期间，如合同设备出现故障，乙方应在接到甲方通知后 12  小时内通过电话、网络等提供远程技术指导，如甲方需要乙方到场的，乙方应在收到甲方通知后 24 小时内派专业技术人员到场负责解决及维修故障。如果乙方不按时到场维修或到场后不能修复的，甲方有权委托他人予以维修，乙方承担由此发生的费用并支付合同暂定总价10%/次作为违约金。</w:t>
      </w: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28"/>
      <w:bookmarkEnd w:id="129"/>
      <w:bookmarkEnd w:id="130"/>
      <w:bookmarkEnd w:id="131"/>
      <w:bookmarkEnd w:id="132"/>
      <w:bookmarkEnd w:id="133"/>
      <w:bookmarkEnd w:id="134"/>
      <w:bookmarkEnd w:id="135"/>
    </w:p>
    <w:p>
      <w:pPr>
        <w:spacing w:line="360" w:lineRule="auto"/>
        <w:ind w:firstLine="480" w:firstLineChars="200"/>
        <w:rPr>
          <w:rFonts w:hint="eastAsia" w:ascii="宋体" w:hAnsi="宋体" w:cs="宋体"/>
          <w:bCs/>
          <w:color w:val="auto"/>
          <w:sz w:val="24"/>
          <w:szCs w:val="24"/>
          <w:highlight w:val="none"/>
        </w:rPr>
      </w:pPr>
      <w:bookmarkStart w:id="136" w:name="_Toc107446860"/>
      <w:bookmarkStart w:id="137" w:name="_Toc107446861"/>
      <w:bookmarkStart w:id="138" w:name="_Toc520190038"/>
      <w:bookmarkStart w:id="139" w:name="_Toc107447254"/>
      <w:bookmarkStart w:id="140" w:name="_Toc518992998"/>
      <w:bookmarkStart w:id="141" w:name="_Toc183666529"/>
      <w:bookmarkStart w:id="142" w:name="_Toc5166"/>
      <w:bookmarkStart w:id="143" w:name="_Toc306350465"/>
      <w:bookmarkStart w:id="144" w:name="_Toc474245224"/>
      <w:bookmarkStart w:id="145" w:name="_Toc107447253"/>
      <w:bookmarkStart w:id="146" w:name="_Toc118086592"/>
      <w:r>
        <w:rPr>
          <w:rFonts w:hint="eastAsia" w:ascii="宋体" w:hAnsi="宋体" w:cs="宋体"/>
          <w:bCs/>
          <w:color w:val="auto"/>
          <w:sz w:val="24"/>
          <w:szCs w:val="24"/>
          <w:highlight w:val="none"/>
        </w:rPr>
        <w:t>11.1 延期交货的违约责任</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11.1.1 乙方应按照本合同约定的时间交货。如乙方因客观情况导致无法按时交货，乙方应在交货期前 15  日，以书面形式将原因及预计拖延的时间通知甲方。经甲方同意后，交货期顺延。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11.1.2乙方未能在合同规定期限内交货并交付完整技术资料的，每逾期一天，甲方有权按迟交货设备价格的1%/天要求乙方支付违约金。逾期超过 15 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 质量问题的违约责任</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（1）乙方承担费用，用合格的新设备更换有缺陷的设备或修补缺陷部分；</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（3）按不合格设备价格的50%支付违约金。</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（4）赔偿甲方因设备质量问题导致的一切损失。</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11.2.2 如果乙方提供的技术资料有错误，或者由于乙方技术人员原因造成设备安装、调试不成功和（或）造成合同设备损坏的情况，乙方应在  24 小时内采取修理、更换、退货等补救措施并负担因此发生的费用，同时需向甲方支付不合格设备价格的 50 %作为违约金。</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合同暂定总价的 100 %支付违约金。</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11.3 如乙方未按合同六条约定递交履约保证金，甲方有权解除合同并要求乙方支付合同暂定总价的20%作为违约金。 </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11.4 如双方对质量责任认定有争议，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11.5乙方不履行合同义务、或履行合同义务不符合合同约定、或违反国家、省、市行业标准的，甲方有权要求乙方限期整改。乙方逾期未完成整改的，每项每超过1日支付违约金人民币1万元，超过_15 _日，甲方有权解除合同并要求乙方支付合同暂定总价的20%作为违约金（如合同另行约定违约责任，从其约定）。 </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12.1 甲方解除合同</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12.1.1 乙方未能在本合同约定或甲方另行指定的期限内提供部分或全部设备或提供技术服务，并经甲方催告后仍未提供； </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12.1.2乙方交付的设备存在严重的质量问题，导致本合同目的不能实现；</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12.1.3 乙方存在违反合同义务的其他情形，经甲方催告后仍未作出补救或完成整改；</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12.1.4 乙方投标时提交的资料不真实，或任何时候发现乙方有违反投标时的承诺和（或）声明的情况；</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12.2 乙方解除合同</w:t>
      </w:r>
    </w:p>
    <w:p>
      <w:pPr>
        <w:spacing w:line="360" w:lineRule="auto"/>
        <w:ind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hint="eastAsia" w:ascii="宋体" w:hAnsi="宋体" w:cs="宋体"/>
          <w:bCs/>
          <w:color w:val="auto"/>
          <w:sz w:val="24"/>
          <w:szCs w:val="24"/>
          <w:highlight w:val="cyan"/>
          <w:u w:val="single"/>
        </w:rPr>
        <w:t xml:space="preserve">   </w:t>
      </w:r>
      <w:r>
        <w:rPr>
          <w:rFonts w:hint="eastAsia" w:ascii="宋体" w:hAnsi="宋体" w:cs="宋体"/>
          <w:bCs/>
          <w:color w:val="auto"/>
          <w:sz w:val="24"/>
          <w:szCs w:val="24"/>
          <w:highlight w:val="none"/>
        </w:rPr>
        <w:t>天仍未支付，乙方有权以书面通知解除本合同。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12.3甲乙双方经协商一致后解除合同。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（1）地震、火山爆发、滑坡、暴雨（橙色预警及以上）、台风（黄色预警及以上）、海啸、龙卷风、大面积流行病(如：非典型性肺炎等)或瘟疫；</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（2）战争行为、入侵、武装冲突或外敌行为、封锁、暴乱、恐怖行为或军事演习；</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贰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36"/>
    <w:bookmarkEnd w:id="137"/>
    <w:bookmarkEnd w:id="138"/>
    <w:bookmarkEnd w:id="139"/>
    <w:bookmarkEnd w:id="140"/>
    <w:bookmarkEnd w:id="141"/>
    <w:bookmarkEnd w:id="142"/>
    <w:bookmarkEnd w:id="143"/>
    <w:bookmarkEnd w:id="144"/>
    <w:bookmarkEnd w:id="145"/>
    <w:bookmarkEnd w:id="146"/>
    <w:p>
      <w:pPr>
        <w:spacing w:line="360" w:lineRule="auto"/>
        <w:ind w:firstLine="480"/>
        <w:rPr>
          <w:rFonts w:ascii="宋体" w:hAnsi="宋体" w:cs="宋体"/>
          <w:color w:val="auto"/>
          <w:sz w:val="24"/>
          <w:szCs w:val="24"/>
          <w:highlight w:val="none"/>
        </w:rPr>
      </w:pP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200" w:firstLineChars="500"/>
        <w:rPr>
          <w:rFonts w:ascii="宋体" w:hAnsi="宋体"/>
          <w:sz w:val="24"/>
          <w:szCs w:val="24"/>
          <w:highlight w:val="none"/>
        </w:rPr>
      </w:pPr>
    </w:p>
    <w:tbl>
      <w:tblPr>
        <w:tblStyle w:val="22"/>
        <w:tblpPr w:leftFromText="180" w:rightFromText="180" w:vertAnchor="text" w:horzAnchor="page" w:tblpX="1304" w:tblpY="94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电话：020-38890411</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rPr>
          <w:rFonts w:hint="eastAsia" w:ascii="仿宋_GB2312" w:hAnsi="仿宋_GB2312" w:eastAsia="仿宋_GB2312" w:cs="仿宋_GB2312"/>
          <w:b/>
          <w:bCs/>
          <w:color w:val="000000"/>
          <w:sz w:val="32"/>
          <w:szCs w:val="32"/>
          <w:highlight w:val="none"/>
          <w:lang w:val="en-US" w:eastAsia="zh-CN"/>
        </w:rPr>
      </w:pPr>
    </w:p>
    <w:p>
      <w:pPr>
        <w:pStyle w:val="2"/>
        <w:rPr>
          <w:rFonts w:hint="eastAsia"/>
          <w:highlight w:val="none"/>
          <w:lang w:val="en-US" w:eastAsia="zh-CN"/>
        </w:rPr>
      </w:pPr>
    </w:p>
    <w:p>
      <w:pPr>
        <w:rPr>
          <w:rFonts w:hint="default"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eastAsia="zh-CN"/>
        </w:rPr>
        <w:t>附件</w:t>
      </w:r>
      <w:r>
        <w:rPr>
          <w:rFonts w:hint="eastAsia" w:ascii="仿宋_GB2312" w:hAnsi="仿宋_GB2312" w:eastAsia="仿宋_GB2312" w:cs="仿宋_GB2312"/>
          <w:b/>
          <w:bCs/>
          <w:color w:val="000000"/>
          <w:sz w:val="32"/>
          <w:szCs w:val="32"/>
          <w:highlight w:val="none"/>
          <w:lang w:val="en-US" w:eastAsia="zh-CN"/>
        </w:rPr>
        <w:t>1   发包通知书</w:t>
      </w:r>
    </w:p>
    <w:p>
      <w:pPr>
        <w:tabs>
          <w:tab w:val="left" w:pos="5740"/>
        </w:tabs>
        <w:autoSpaceDE w:val="0"/>
        <w:autoSpaceDN w:val="0"/>
        <w:adjustRightInd w:val="0"/>
        <w:jc w:val="center"/>
        <w:rPr>
          <w:rFonts w:hint="eastAsia" w:ascii="方正小标宋简体" w:hAnsi="宋体" w:eastAsia="方正小标宋简体" w:cs="宋体"/>
          <w:bCs/>
          <w:color w:val="000000"/>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olor w:val="000000"/>
          <w:sz w:val="44"/>
          <w:szCs w:val="44"/>
          <w:highlight w:val="none"/>
        </w:rPr>
      </w:pPr>
      <w:r>
        <w:rPr>
          <w:rFonts w:hint="eastAsia" w:ascii="方正小标宋简体" w:hAnsi="宋体" w:eastAsia="方正小标宋简体" w:cs="宋体"/>
          <w:bCs/>
          <w:color w:val="000000"/>
          <w:kern w:val="0"/>
          <w:sz w:val="44"/>
          <w:szCs w:val="44"/>
          <w:highlight w:val="none"/>
        </w:rPr>
        <w:t>广州市净水有限公司</w:t>
      </w:r>
      <w:r>
        <w:rPr>
          <w:rFonts w:hint="eastAsia" w:ascii="方正小标宋简体" w:hAnsi="宋体" w:eastAsia="方正小标宋简体"/>
          <w:color w:val="000000"/>
          <w:sz w:val="44"/>
          <w:szCs w:val="44"/>
          <w:highlight w:val="none"/>
        </w:rPr>
        <w:t>非公开招标项目</w:t>
      </w:r>
    </w:p>
    <w:p>
      <w:pPr>
        <w:tabs>
          <w:tab w:val="left" w:pos="5740"/>
        </w:tabs>
        <w:autoSpaceDE w:val="0"/>
        <w:autoSpaceDN w:val="0"/>
        <w:adjustRightInd w:val="0"/>
        <w:jc w:val="center"/>
        <w:rPr>
          <w:rFonts w:hint="eastAsia" w:ascii="方正小标宋简体" w:hAnsi="宋体" w:eastAsia="方正小标宋简体" w:cs="宋体"/>
          <w:bCs/>
          <w:color w:val="000000"/>
          <w:kern w:val="0"/>
          <w:sz w:val="44"/>
          <w:szCs w:val="44"/>
          <w:highlight w:val="none"/>
        </w:rPr>
      </w:pPr>
      <w:r>
        <w:rPr>
          <w:rFonts w:hint="eastAsia" w:ascii="方正小标宋简体" w:hAnsi="宋体" w:eastAsia="方正小标宋简体" w:cs="宋体"/>
          <w:bCs/>
          <w:color w:val="000000"/>
          <w:kern w:val="0"/>
          <w:sz w:val="44"/>
          <w:szCs w:val="44"/>
          <w:highlight w:val="none"/>
        </w:rPr>
        <w:t>发包通知书</w:t>
      </w:r>
    </w:p>
    <w:p>
      <w:pPr>
        <w:autoSpaceDE w:val="0"/>
        <w:autoSpaceDN w:val="0"/>
        <w:adjustRightInd w:val="0"/>
        <w:spacing w:after="400"/>
        <w:jc w:val="center"/>
        <w:rPr>
          <w:rFonts w:hint="eastAsia" w:ascii="仿宋_GB2312" w:hAnsi="STSong-Light" w:eastAsia="仿宋_GB2312" w:cs="STSong-Light"/>
          <w:color w:val="000000"/>
          <w:kern w:val="0"/>
          <w:sz w:val="32"/>
          <w:szCs w:val="32"/>
          <w:highlight w:val="none"/>
        </w:rPr>
      </w:pPr>
    </w:p>
    <w:p>
      <w:pPr>
        <w:tabs>
          <w:tab w:val="left" w:pos="709"/>
        </w:tabs>
        <w:autoSpaceDE w:val="0"/>
        <w:autoSpaceDN w:val="0"/>
        <w:adjustRightInd w:val="0"/>
        <w:spacing w:after="400"/>
        <w:jc w:val="center"/>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广净（非公招）字 [</w:t>
      </w:r>
      <w:r>
        <w:rPr>
          <w:rFonts w:hint="eastAsia" w:ascii="仿宋_GB2312" w:hAnsi="STSong-Light" w:eastAsia="仿宋_GB2312" w:cs="STSong-Light"/>
          <w:color w:val="000000"/>
          <w:kern w:val="0"/>
          <w:sz w:val="32"/>
          <w:szCs w:val="32"/>
          <w:highlight w:val="none"/>
          <w:lang w:val="en-US" w:eastAsia="zh-CN"/>
        </w:rPr>
        <w:t xml:space="preserve">    </w:t>
      </w:r>
      <w:r>
        <w:rPr>
          <w:rFonts w:hint="eastAsia" w:ascii="仿宋_GB2312" w:hAnsi="STSong-Light" w:eastAsia="仿宋_GB2312" w:cs="STSong-Light"/>
          <w:color w:val="000000"/>
          <w:kern w:val="0"/>
          <w:sz w:val="32"/>
          <w:szCs w:val="32"/>
          <w:highlight w:val="none"/>
        </w:rPr>
        <w:t>] 第 [</w:t>
      </w:r>
      <w:r>
        <w:rPr>
          <w:rFonts w:hint="eastAsia" w:ascii="仿宋_GB2312" w:hAnsi="宋体" w:eastAsia="仿宋_GB2312" w:cs="STSong-Light"/>
          <w:color w:val="000000"/>
          <w:kern w:val="0"/>
          <w:sz w:val="32"/>
          <w:szCs w:val="32"/>
          <w:highlight w:val="none"/>
        </w:rPr>
        <w:t xml:space="preserve">  </w:t>
      </w:r>
      <w:r>
        <w:rPr>
          <w:rFonts w:hint="eastAsia" w:ascii="仿宋_GB2312" w:hAnsi="STSong-Light" w:eastAsia="仿宋_GB2312" w:cs="STSong-Light"/>
          <w:color w:val="000000"/>
          <w:kern w:val="0"/>
          <w:sz w:val="32"/>
          <w:szCs w:val="32"/>
          <w:highlight w:val="none"/>
        </w:rPr>
        <w:t>] 号</w:t>
      </w:r>
    </w:p>
    <w:p>
      <w:pPr>
        <w:autoSpaceDE w:val="0"/>
        <w:autoSpaceDN w:val="0"/>
        <w:adjustRightInd w:val="0"/>
        <w:spacing w:after="300"/>
        <w:jc w:val="left"/>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承包单位（全称）:</w:t>
      </w:r>
    </w:p>
    <w:p>
      <w:pPr>
        <w:autoSpaceDE w:val="0"/>
        <w:autoSpaceDN w:val="0"/>
        <w:adjustRightInd w:val="0"/>
        <w:spacing w:after="300" w:line="500" w:lineRule="atLeast"/>
        <w:jc w:val="left"/>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经询价小组评审推荐，确定你单位为</w:t>
      </w:r>
      <w:r>
        <w:rPr>
          <w:rFonts w:hint="eastAsia" w:ascii="仿宋_GB2312" w:hAnsi="STSong-Light" w:eastAsia="仿宋_GB2312" w:cs="STSong-Light"/>
          <w:b/>
          <w:color w:val="000000"/>
          <w:kern w:val="0"/>
          <w:sz w:val="32"/>
          <w:szCs w:val="32"/>
          <w:highlight w:val="none"/>
        </w:rPr>
        <w:t>广州市净水有限公司</w:t>
      </w:r>
      <w:r>
        <w:rPr>
          <w:rFonts w:hint="eastAsia" w:ascii="仿宋_GB2312" w:hAnsi="STSong-Light" w:eastAsia="仿宋_GB2312" w:cs="STSong-Light"/>
          <w:b/>
          <w:color w:val="000000"/>
          <w:kern w:val="0"/>
          <w:sz w:val="32"/>
          <w:szCs w:val="32"/>
          <w:highlight w:val="none"/>
          <w:lang w:eastAsia="zh-CN"/>
        </w:rPr>
        <w:t>沥滘分公司2022年固定式气体检测仪采购项目（第二次）</w:t>
      </w:r>
      <w:r>
        <w:rPr>
          <w:rFonts w:hint="eastAsia" w:ascii="仿宋_GB2312" w:hAnsi="宋体" w:eastAsia="仿宋_GB2312" w:cs="STSong-Light"/>
          <w:color w:val="000000"/>
          <w:kern w:val="0"/>
          <w:sz w:val="32"/>
          <w:szCs w:val="32"/>
          <w:highlight w:val="none"/>
        </w:rPr>
        <w:t>的</w:t>
      </w:r>
      <w:r>
        <w:rPr>
          <w:rFonts w:hint="eastAsia" w:ascii="仿宋_GB2312" w:hAnsi="STSong-Light" w:eastAsia="仿宋_GB2312" w:cs="STSong-Light"/>
          <w:color w:val="000000"/>
          <w:kern w:val="0"/>
          <w:sz w:val="32"/>
          <w:szCs w:val="32"/>
          <w:highlight w:val="none"/>
        </w:rPr>
        <w:t>承包单位，承包内容为询价文件所规定的发包内容，报价为 人民币</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拾</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万</w:t>
      </w:r>
      <w:r>
        <w:rPr>
          <w:rFonts w:hint="eastAsia" w:ascii="仿宋_GB2312" w:hAnsi="宋体" w:eastAsia="仿宋_GB2312" w:cs="STSong-Light"/>
          <w:color w:val="000000"/>
          <w:kern w:val="0"/>
          <w:sz w:val="32"/>
          <w:szCs w:val="32"/>
          <w:highlight w:val="none"/>
        </w:rPr>
        <w:t>×仟×</w:t>
      </w:r>
      <w:r>
        <w:rPr>
          <w:rFonts w:hint="eastAsia" w:ascii="仿宋_GB2312" w:hAnsi="STSong-Light" w:eastAsia="仿宋_GB2312" w:cs="STSong-Light"/>
          <w:color w:val="000000"/>
          <w:kern w:val="0"/>
          <w:sz w:val="32"/>
          <w:szCs w:val="32"/>
          <w:highlight w:val="none"/>
        </w:rPr>
        <w:t>佰元（￥ 元）。</w:t>
      </w:r>
    </w:p>
    <w:p>
      <w:pPr>
        <w:autoSpaceDE w:val="0"/>
        <w:autoSpaceDN w:val="0"/>
        <w:adjustRightInd w:val="0"/>
        <w:spacing w:after="200"/>
        <w:jc w:val="left"/>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其中：</w:t>
      </w:r>
    </w:p>
    <w:p>
      <w:pPr>
        <w:autoSpaceDE w:val="0"/>
        <w:autoSpaceDN w:val="0"/>
        <w:adjustRightInd w:val="0"/>
        <w:spacing w:after="500"/>
        <w:jc w:val="left"/>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项目负责人姓名： </w:t>
      </w:r>
    </w:p>
    <w:p>
      <w:pPr>
        <w:autoSpaceDE w:val="0"/>
        <w:autoSpaceDN w:val="0"/>
        <w:adjustRightInd w:val="0"/>
        <w:spacing w:before="600" w:after="200"/>
        <w:ind w:left="0" w:firstLine="6080" w:firstLineChars="1900"/>
        <w:jc w:val="left"/>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广州市净水有限公司</w:t>
      </w:r>
    </w:p>
    <w:p>
      <w:pPr>
        <w:spacing w:line="360" w:lineRule="auto"/>
        <w:rPr>
          <w:rFonts w:hint="default" w:ascii="仿宋_GB2312" w:hAnsi="仿宋_GB2312" w:eastAsia="仿宋_GB2312" w:cs="仿宋_GB2312"/>
          <w:b/>
          <w:bCs/>
          <w:color w:val="000000"/>
          <w:sz w:val="32"/>
          <w:szCs w:val="32"/>
          <w:highlight w:val="none"/>
          <w:lang w:val="en-US" w:eastAsia="zh-CN"/>
        </w:rPr>
        <w:sectPr>
          <w:pgSz w:w="11906" w:h="16838"/>
          <w:pgMar w:top="1587" w:right="1020" w:bottom="777"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STSong-Light" w:eastAsia="仿宋_GB2312" w:cs="STSong-Light"/>
          <w:color w:val="000000"/>
          <w:kern w:val="0"/>
          <w:sz w:val="32"/>
          <w:szCs w:val="32"/>
          <w:highlight w:val="none"/>
        </w:rPr>
        <w:t xml:space="preserve">                                        年  月  日</w:t>
      </w:r>
    </w:p>
    <w:p>
      <w:pPr>
        <w:spacing w:line="360" w:lineRule="auto"/>
        <w:jc w:val="left"/>
        <w:rPr>
          <w:rFonts w:hint="eastAsia" w:ascii="宋体" w:hAnsi="宋体" w:eastAsia="宋体" w:cs="Times New Roman"/>
          <w:b/>
          <w:color w:val="000000"/>
          <w:sz w:val="28"/>
          <w:szCs w:val="28"/>
          <w:highlight w:val="none"/>
          <w:lang w:eastAsia="zh-CN"/>
        </w:rPr>
      </w:pPr>
      <w:r>
        <w:rPr>
          <w:rFonts w:hint="eastAsia" w:ascii="宋体" w:hAnsi="宋体" w:eastAsia="宋体" w:cs="Times New Roman"/>
          <w:b/>
          <w:color w:val="000000"/>
          <w:sz w:val="28"/>
          <w:szCs w:val="28"/>
          <w:highlight w:val="none"/>
        </w:rPr>
        <w:t>附件</w:t>
      </w:r>
      <w:r>
        <w:rPr>
          <w:rFonts w:hint="eastAsia" w:ascii="宋体" w:hAnsi="宋体" w:eastAsia="宋体" w:cs="Times New Roman"/>
          <w:b/>
          <w:color w:val="000000"/>
          <w:sz w:val="28"/>
          <w:szCs w:val="28"/>
          <w:highlight w:val="none"/>
          <w:lang w:val="en-US" w:eastAsia="zh-CN"/>
        </w:rPr>
        <w:t>2</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lang w:val="en-US" w:eastAsia="zh-CN"/>
        </w:rPr>
        <w:t>8</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lang w:val="en-US" w:eastAsia="zh-CN"/>
        </w:rPr>
        <w:t>6</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lang w:val="en-US" w:eastAsia="zh-CN"/>
        </w:rPr>
        <w:t>2</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tabs>
          <w:tab w:val="left" w:pos="4170"/>
        </w:tabs>
        <w:spacing w:line="360" w:lineRule="auto"/>
        <w:rPr>
          <w:rFonts w:hint="eastAsia" w:ascii="黑体" w:hAnsi="黑体" w:eastAsia="黑体"/>
          <w:color w:val="000000"/>
          <w:sz w:val="32"/>
          <w:szCs w:val="32"/>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adjustRightInd w:val="0"/>
        <w:snapToGrid w:val="0"/>
        <w:spacing w:line="360" w:lineRule="auto"/>
        <w:jc w:val="left"/>
        <w:rPr>
          <w:rFonts w:hint="eastAsia" w:ascii="仿宋_GB2312" w:hAnsi="仿宋_GB2312" w:eastAsia="仿宋_GB2312" w:cs="仿宋_GB2312"/>
          <w:sz w:val="24"/>
          <w:highlight w:val="none"/>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lang w:val="en-US" w:eastAsia="zh-CN"/>
        </w:rPr>
      </w:pPr>
    </w:p>
    <w:p>
      <w:pPr>
        <w:adjustRightInd w:val="0"/>
        <w:snapToGrid w:val="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附件3</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spacing w:line="360" w:lineRule="auto"/>
        <w:rPr>
          <w:rFonts w:ascii="宋体" w:hAnsi="宋体"/>
          <w:b/>
          <w:sz w:val="24"/>
          <w:highlight w:val="none"/>
        </w:rPr>
      </w:pPr>
    </w:p>
    <w:p>
      <w:pPr>
        <w:rPr>
          <w:rFonts w:hint="eastAsia" w:ascii="黑体" w:hAnsi="黑体" w:eastAsia="黑体"/>
          <w:color w:val="000000"/>
          <w:sz w:val="32"/>
          <w:szCs w:val="32"/>
          <w:highlight w:val="none"/>
        </w:rPr>
      </w:pPr>
    </w:p>
    <w:p>
      <w:pPr>
        <w:rPr>
          <w:rFonts w:hint="eastAsia" w:ascii="黑体" w:hAnsi="黑体" w:eastAsia="黑体"/>
          <w:color w:val="000000"/>
          <w:sz w:val="32"/>
          <w:szCs w:val="32"/>
          <w:highlight w:val="none"/>
        </w:rPr>
      </w:pPr>
    </w:p>
    <w:p>
      <w:pPr>
        <w:rPr>
          <w:rFonts w:hint="eastAsia" w:ascii="黑体" w:hAnsi="黑体" w:eastAsia="黑体"/>
          <w:color w:val="000000"/>
          <w:sz w:val="32"/>
          <w:szCs w:val="32"/>
          <w:highlight w:val="none"/>
        </w:rPr>
      </w:pPr>
    </w:p>
    <w:p>
      <w:pPr>
        <w:rPr>
          <w:rFonts w:hint="eastAsia" w:ascii="黑体" w:hAnsi="黑体" w:eastAsia="黑体"/>
          <w:color w:val="000000"/>
          <w:sz w:val="32"/>
          <w:szCs w:val="32"/>
          <w:highlight w:val="none"/>
        </w:rPr>
      </w:pPr>
    </w:p>
    <w:p>
      <w:pPr>
        <w:rPr>
          <w:rFonts w:hint="eastAsia" w:ascii="黑体" w:hAnsi="黑体" w:eastAsia="黑体"/>
          <w:color w:val="000000"/>
          <w:sz w:val="32"/>
          <w:szCs w:val="32"/>
          <w:highlight w:val="none"/>
        </w:rPr>
      </w:pPr>
    </w:p>
    <w:p>
      <w:pPr>
        <w:rPr>
          <w:rFonts w:hint="eastAsia" w:ascii="黑体" w:hAnsi="黑体" w:eastAsia="黑体"/>
          <w:color w:val="000000"/>
          <w:sz w:val="32"/>
          <w:szCs w:val="32"/>
          <w:highlight w:val="none"/>
        </w:rPr>
      </w:pPr>
    </w:p>
    <w:p>
      <w:pPr>
        <w:rPr>
          <w:rFonts w:hint="eastAsia" w:ascii="黑体" w:hAnsi="黑体" w:eastAsia="黑体"/>
          <w:color w:val="000000"/>
          <w:sz w:val="32"/>
          <w:szCs w:val="32"/>
          <w:highlight w:val="none"/>
        </w:rPr>
      </w:pPr>
    </w:p>
    <w:p>
      <w:pPr>
        <w:rPr>
          <w:rFonts w:hint="eastAsia" w:ascii="黑体" w:hAnsi="黑体" w:eastAsia="黑体"/>
          <w:color w:val="000000"/>
          <w:sz w:val="32"/>
          <w:szCs w:val="32"/>
          <w:highlight w:val="none"/>
        </w:rPr>
      </w:pPr>
    </w:p>
    <w:p>
      <w:pPr>
        <w:rPr>
          <w:rFonts w:hint="eastAsia" w:ascii="黑体" w:hAnsi="黑体" w:eastAsia="黑体"/>
          <w:color w:val="000000"/>
          <w:sz w:val="32"/>
          <w:szCs w:val="32"/>
          <w:highlight w:val="none"/>
          <w:lang w:val="en-US" w:eastAsia="zh-CN"/>
        </w:rPr>
      </w:pPr>
      <w:r>
        <w:rPr>
          <w:rFonts w:hint="eastAsia" w:ascii="黑体" w:hAnsi="黑体" w:eastAsia="黑体"/>
          <w:color w:val="000000"/>
          <w:sz w:val="32"/>
          <w:szCs w:val="32"/>
          <w:highlight w:val="none"/>
        </w:rPr>
        <w:t>附件</w:t>
      </w:r>
      <w:r>
        <w:rPr>
          <w:rFonts w:hint="eastAsia" w:ascii="黑体" w:hAnsi="黑体" w:eastAsia="黑体"/>
          <w:color w:val="000000"/>
          <w:sz w:val="32"/>
          <w:szCs w:val="32"/>
          <w:highlight w:val="none"/>
          <w:lang w:val="en-US" w:eastAsia="zh-CN"/>
        </w:rPr>
        <w:t>3</w:t>
      </w:r>
    </w:p>
    <w:p>
      <w:pPr>
        <w:jc w:val="center"/>
        <w:rPr>
          <w:rFonts w:ascii="黑体" w:hAnsi="宋体" w:eastAsia="黑体" w:cs="宋体"/>
          <w:bCs/>
          <w:color w:val="000000"/>
          <w:kern w:val="0"/>
          <w:sz w:val="32"/>
          <w:szCs w:val="32"/>
          <w:highlight w:val="none"/>
        </w:rPr>
      </w:pPr>
      <w:r>
        <w:rPr>
          <w:rFonts w:hint="eastAsia" w:ascii="黑体" w:hAnsi="宋体" w:eastAsia="黑体" w:cs="宋体"/>
          <w:bCs/>
          <w:color w:val="000000"/>
          <w:kern w:val="0"/>
          <w:sz w:val="32"/>
          <w:szCs w:val="32"/>
          <w:highlight w:val="none"/>
        </w:rPr>
        <w:t>物品采购</w:t>
      </w:r>
      <w:r>
        <w:rPr>
          <w:rFonts w:hint="eastAsia" w:ascii="黑体" w:hAnsi="Batang" w:eastAsia="黑体" w:cs="Batang"/>
          <w:bCs/>
          <w:color w:val="000000"/>
          <w:kern w:val="0"/>
          <w:sz w:val="32"/>
          <w:szCs w:val="32"/>
          <w:highlight w:val="none"/>
        </w:rPr>
        <w:t>安全协议</w:t>
      </w:r>
      <w:r>
        <w:rPr>
          <w:rFonts w:hint="eastAsia" w:ascii="黑体" w:hAnsi="宋体" w:eastAsia="黑体" w:cs="宋体"/>
          <w:bCs/>
          <w:color w:val="000000"/>
          <w:kern w:val="0"/>
          <w:sz w:val="32"/>
          <w:szCs w:val="32"/>
          <w:highlight w:val="none"/>
        </w:rPr>
        <w:t>书</w:t>
      </w:r>
    </w:p>
    <w:p>
      <w:pPr>
        <w:spacing w:line="360" w:lineRule="auto"/>
        <w:rPr>
          <w:rFonts w:ascii="宋体" w:hAnsi="宋体" w:cs="Arial"/>
          <w:color w:val="000000"/>
          <w:kern w:val="0"/>
          <w:sz w:val="24"/>
          <w:highlight w:val="none"/>
        </w:rPr>
      </w:pPr>
    </w:p>
    <w:p>
      <w:pPr>
        <w:spacing w:line="360" w:lineRule="auto"/>
        <w:rPr>
          <w:rFonts w:ascii="宋体" w:hAnsi="宋体" w:cs="Arial"/>
          <w:color w:val="000000"/>
          <w:kern w:val="0"/>
          <w:sz w:val="24"/>
          <w:highlight w:val="none"/>
        </w:rPr>
      </w:pPr>
      <w:r>
        <w:rPr>
          <w:rFonts w:hint="eastAsia" w:ascii="宋体" w:hAnsi="宋体" w:cs="Arial"/>
          <w:color w:val="000000"/>
          <w:kern w:val="0"/>
          <w:sz w:val="24"/>
          <w:highlight w:val="none"/>
        </w:rPr>
        <w:t>甲方：</w:t>
      </w:r>
      <w:r>
        <w:rPr>
          <w:rFonts w:hint="eastAsia"/>
          <w:color w:val="000000"/>
          <w:sz w:val="24"/>
          <w:highlight w:val="none"/>
        </w:rPr>
        <w:t>广州市净水有限公司</w:t>
      </w:r>
    </w:p>
    <w:p>
      <w:pPr>
        <w:spacing w:line="360" w:lineRule="auto"/>
        <w:rPr>
          <w:rFonts w:ascii="宋体" w:hAnsi="宋体" w:cs="Arial"/>
          <w:color w:val="000000"/>
          <w:kern w:val="0"/>
          <w:sz w:val="24"/>
          <w:highlight w:val="none"/>
        </w:rPr>
      </w:pPr>
      <w:r>
        <w:rPr>
          <w:rFonts w:hint="eastAsia" w:ascii="宋体" w:hAnsi="宋体" w:cs="Arial"/>
          <w:color w:val="000000"/>
          <w:kern w:val="0"/>
          <w:sz w:val="24"/>
          <w:highlight w:val="none"/>
        </w:rPr>
        <w:t xml:space="preserve">乙方： </w:t>
      </w:r>
    </w:p>
    <w:p>
      <w:pPr>
        <w:spacing w:line="360" w:lineRule="auto"/>
        <w:rPr>
          <w:rFonts w:ascii="宋体" w:hAnsi="宋体" w:cs="Arial"/>
          <w:color w:val="000000"/>
          <w:kern w:val="0"/>
          <w:sz w:val="24"/>
          <w:highlight w:val="none"/>
        </w:rPr>
      </w:pPr>
    </w:p>
    <w:p>
      <w:pPr>
        <w:spacing w:line="360" w:lineRule="auto"/>
        <w:ind w:firstLine="480" w:firstLineChars="200"/>
        <w:rPr>
          <w:rFonts w:ascii="宋体" w:hAnsi="宋体" w:cs="Arial"/>
          <w:color w:val="000000"/>
          <w:kern w:val="0"/>
          <w:sz w:val="24"/>
          <w:highlight w:val="none"/>
        </w:rPr>
      </w:pPr>
      <w:r>
        <w:rPr>
          <w:rFonts w:hint="eastAsia" w:ascii="宋体" w:hAnsi="宋体" w:cs="Arial"/>
          <w:color w:val="000000"/>
          <w:kern w:val="0"/>
          <w:sz w:val="24"/>
          <w:highlight w:val="none"/>
        </w:rPr>
        <w:t>为加强物品采购过程安全管理，根据《中华人民共和国安全生产法》、《生产安全事故报告和调查处理条例》和《广州市安全生产管理规定（试行）》等国家及地方有关安全生产法律法规</w:t>
      </w:r>
      <w:r>
        <w:rPr>
          <w:rFonts w:ascii="宋体" w:hAnsi="宋体" w:cs="Arial"/>
          <w:color w:val="000000"/>
          <w:kern w:val="0"/>
          <w:sz w:val="24"/>
          <w:highlight w:val="none"/>
        </w:rPr>
        <w:t>，甲乙双方就</w:t>
      </w:r>
      <w:r>
        <w:rPr>
          <w:rFonts w:hint="eastAsia" w:ascii="宋体" w:hAnsi="宋体" w:cs="Arial"/>
          <w:color w:val="000000"/>
          <w:kern w:val="0"/>
          <w:sz w:val="24"/>
          <w:highlight w:val="none"/>
        </w:rPr>
        <w:t>物品采购的安全</w:t>
      </w:r>
      <w:r>
        <w:rPr>
          <w:rFonts w:ascii="宋体" w:hAnsi="宋体" w:cs="Arial"/>
          <w:color w:val="000000"/>
          <w:kern w:val="0"/>
          <w:sz w:val="24"/>
          <w:highlight w:val="none"/>
        </w:rPr>
        <w:t>事宜，</w:t>
      </w:r>
      <w:r>
        <w:rPr>
          <w:rFonts w:ascii="宋体" w:hAnsi="宋体" w:cs="Arial"/>
          <w:color w:val="000000"/>
          <w:sz w:val="24"/>
          <w:highlight w:val="none"/>
        </w:rPr>
        <w:t>经双方友好协商，达成如下协议</w:t>
      </w:r>
      <w:r>
        <w:rPr>
          <w:rFonts w:ascii="宋体" w:hAnsi="宋体" w:cs="Arial"/>
          <w:color w:val="000000"/>
          <w:kern w:val="0"/>
          <w:sz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ascii="宋体" w:hAnsi="宋体" w:eastAsia="宋体"/>
          <w:b/>
          <w:color w:val="000000"/>
          <w:sz w:val="24"/>
          <w:highlight w:val="none"/>
        </w:rPr>
      </w:pPr>
      <w:r>
        <w:rPr>
          <w:rFonts w:hint="eastAsia" w:ascii="宋体" w:hAnsi="宋体" w:eastAsia="宋体"/>
          <w:b/>
          <w:color w:val="000000"/>
          <w:sz w:val="24"/>
          <w:highlight w:val="none"/>
        </w:rPr>
        <w:t>一、本协议与主合同的关系</w:t>
      </w:r>
    </w:p>
    <w:p>
      <w:pPr>
        <w:keepNext w:val="0"/>
        <w:keepLines w:val="0"/>
        <w:pageBreakBefore w:val="0"/>
        <w:widowControl/>
        <w:kinsoku/>
        <w:wordWrap/>
        <w:overflowPunct/>
        <w:topLinePunct w:val="0"/>
        <w:autoSpaceDE/>
        <w:autoSpaceDN/>
        <w:bidi w:val="0"/>
        <w:adjustRightInd w:val="0"/>
        <w:snapToGrid w:val="0"/>
        <w:spacing w:after="0" w:line="360" w:lineRule="auto"/>
        <w:ind w:left="105" w:firstLine="480" w:firstLineChars="200"/>
        <w:jc w:val="left"/>
        <w:textAlignment w:val="auto"/>
        <w:rPr>
          <w:rFonts w:ascii="宋体" w:hAnsi="宋体" w:eastAsia="宋体"/>
          <w:color w:val="000000"/>
          <w:sz w:val="24"/>
          <w:highlight w:val="none"/>
        </w:rPr>
      </w:pPr>
      <w:r>
        <w:rPr>
          <w:rFonts w:hint="eastAsia" w:ascii="宋体" w:hAnsi="宋体" w:eastAsia="宋体"/>
          <w:color w:val="000000"/>
          <w:sz w:val="24"/>
          <w:highlight w:val="none"/>
        </w:rPr>
        <w:t>本协议作为</w:t>
      </w:r>
      <w:r>
        <w:rPr>
          <w:rFonts w:hint="eastAsia" w:ascii="宋体" w:hAnsi="宋体" w:eastAsia="宋体"/>
          <w:color w:val="000000"/>
          <w:sz w:val="24"/>
          <w:highlight w:val="none"/>
          <w:u w:val="single"/>
        </w:rPr>
        <w:t xml:space="preserve">  </w:t>
      </w:r>
      <w:r>
        <w:rPr>
          <w:rFonts w:hint="eastAsia" w:ascii="宋体" w:hAnsi="宋体"/>
          <w:color w:val="000000"/>
          <w:sz w:val="24"/>
          <w:highlight w:val="none"/>
          <w:u w:val="single"/>
          <w:lang w:eastAsia="zh-CN"/>
        </w:rPr>
        <w:t>广州市净水有限公司沥滘分公司2022年固定式气体检测仪采购项目（第二次）</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u w:val="none"/>
          <w:lang w:eastAsia="zh-CN"/>
        </w:rPr>
        <w:t>合同</w:t>
      </w:r>
      <w:r>
        <w:rPr>
          <w:rFonts w:hint="eastAsia" w:ascii="宋体" w:hAnsi="宋体" w:eastAsia="宋体"/>
          <w:color w:val="000000"/>
          <w:sz w:val="24"/>
          <w:highlight w:val="none"/>
          <w:u w:val="none"/>
        </w:rPr>
        <w:t xml:space="preserve"> </w:t>
      </w:r>
      <w:r>
        <w:rPr>
          <w:rFonts w:hint="eastAsia" w:ascii="宋体" w:hAnsi="宋体" w:eastAsia="宋体"/>
          <w:color w:val="000000"/>
          <w:sz w:val="24"/>
          <w:highlight w:val="none"/>
        </w:rPr>
        <w:t>的组成部分，与主合同具有同等法律。</w:t>
      </w:r>
    </w:p>
    <w:p>
      <w:pPr>
        <w:keepNext w:val="0"/>
        <w:keepLines w:val="0"/>
        <w:pageBreakBefore w:val="0"/>
        <w:widowControl/>
        <w:kinsoku/>
        <w:wordWrap/>
        <w:overflowPunct/>
        <w:topLinePunct w:val="0"/>
        <w:autoSpaceDE/>
        <w:autoSpaceDN/>
        <w:bidi w:val="0"/>
        <w:spacing w:after="0" w:line="360" w:lineRule="auto"/>
        <w:ind w:firstLine="482" w:firstLineChars="200"/>
        <w:textAlignment w:val="auto"/>
        <w:rPr>
          <w:rFonts w:ascii="宋体" w:hAnsi="宋体" w:cs="Arial"/>
          <w:b/>
          <w:color w:val="000000"/>
          <w:kern w:val="0"/>
          <w:sz w:val="24"/>
          <w:highlight w:val="none"/>
        </w:rPr>
      </w:pPr>
      <w:r>
        <w:rPr>
          <w:rFonts w:hint="eastAsia" w:ascii="宋体" w:hAnsi="宋体" w:cs="Arial"/>
          <w:b/>
          <w:color w:val="000000"/>
          <w:kern w:val="0"/>
          <w:sz w:val="24"/>
          <w:highlight w:val="none"/>
        </w:rPr>
        <w:t>二、甲方权责</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color w:val="000000"/>
          <w:kern w:val="0"/>
          <w:sz w:val="24"/>
          <w:highlight w:val="none"/>
        </w:rPr>
      </w:pPr>
      <w:r>
        <w:rPr>
          <w:rFonts w:hint="eastAsia" w:ascii="宋体" w:hAnsi="宋体" w:cs="Arial"/>
          <w:color w:val="000000"/>
          <w:kern w:val="0"/>
          <w:sz w:val="24"/>
          <w:highlight w:val="none"/>
        </w:rPr>
        <w:t>（一）甲方进行物品采购时，应贯彻落实国家、地方有关安全管理的法律法规和规章制度。</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color w:val="000000"/>
          <w:kern w:val="0"/>
          <w:sz w:val="24"/>
          <w:highlight w:val="none"/>
        </w:rPr>
      </w:pPr>
      <w:r>
        <w:rPr>
          <w:rFonts w:hint="eastAsia" w:ascii="宋体" w:hAnsi="宋体" w:cs="Arial"/>
          <w:color w:val="000000"/>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color w:val="000000"/>
          <w:kern w:val="0"/>
          <w:sz w:val="24"/>
          <w:highlight w:val="none"/>
        </w:rPr>
      </w:pPr>
      <w:r>
        <w:rPr>
          <w:rFonts w:hint="eastAsia" w:ascii="宋体" w:hAnsi="宋体" w:cs="Arial"/>
          <w:color w:val="000000"/>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color w:val="000000"/>
          <w:kern w:val="0"/>
          <w:sz w:val="24"/>
          <w:highlight w:val="none"/>
        </w:rPr>
      </w:pPr>
      <w:r>
        <w:rPr>
          <w:rFonts w:hint="eastAsia" w:ascii="宋体" w:hAnsi="宋体" w:cs="Arial"/>
          <w:color w:val="000000"/>
          <w:kern w:val="0"/>
          <w:sz w:val="24"/>
          <w:highlight w:val="none"/>
        </w:rPr>
        <w:t>（四）乙方对存在问题拒不整改的，视为违约，甲方有权对乙方按主合同相关条款进行违约金扣罚。如乙方拒不缴纳违约金的，甲方有权在履约保证金中扣除。</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color w:val="000000"/>
          <w:kern w:val="0"/>
          <w:sz w:val="24"/>
          <w:highlight w:val="none"/>
        </w:rPr>
      </w:pPr>
      <w:r>
        <w:rPr>
          <w:rFonts w:hint="eastAsia" w:ascii="宋体" w:hAnsi="宋体" w:cs="Arial"/>
          <w:color w:val="000000"/>
          <w:kern w:val="0"/>
          <w:sz w:val="24"/>
          <w:highlight w:val="none"/>
        </w:rPr>
        <w:t>（五）告知乙方在甲方应当遵守的安全管理要求。</w:t>
      </w:r>
    </w:p>
    <w:p>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ascii="宋体" w:hAnsi="宋体" w:cs="Arial"/>
          <w:b/>
          <w:color w:val="000000"/>
          <w:kern w:val="0"/>
          <w:sz w:val="24"/>
          <w:highlight w:val="none"/>
        </w:rPr>
      </w:pPr>
      <w:r>
        <w:rPr>
          <w:rFonts w:hint="eastAsia" w:ascii="宋体" w:hAnsi="宋体" w:cs="Arial"/>
          <w:b/>
          <w:color w:val="000000"/>
          <w:kern w:val="0"/>
          <w:sz w:val="24"/>
          <w:highlight w:val="none"/>
        </w:rPr>
        <w:t>三、乙方权责</w:t>
      </w:r>
    </w:p>
    <w:p>
      <w:pPr>
        <w:spacing w:line="360" w:lineRule="auto"/>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360" w:lineRule="auto"/>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360" w:lineRule="auto"/>
        <w:ind w:left="479" w:leftChars="228" w:firstLine="0" w:firstLineChars="0"/>
        <w:rPr>
          <w:rFonts w:ascii="宋体" w:hAnsi="宋体" w:eastAsia="宋体"/>
          <w:color w:val="000000"/>
          <w:sz w:val="24"/>
          <w:highlight w:val="none"/>
        </w:rPr>
      </w:pPr>
      <w:r>
        <w:rPr>
          <w:rFonts w:hint="eastAsia" w:ascii="宋体" w:hAnsi="宋体" w:cs="宋体"/>
          <w:kern w:val="0"/>
          <w:sz w:val="24"/>
          <w:highlight w:val="none"/>
        </w:rPr>
        <w:t>（十）乙方委托的第三方运输单位或个人，违反本协议的，全部责任均由乙方承担。</w:t>
      </w:r>
      <w:r>
        <w:rPr>
          <w:rFonts w:hint="eastAsia" w:ascii="宋体" w:hAnsi="宋体" w:eastAsia="宋体"/>
          <w:b/>
          <w:color w:val="000000"/>
          <w:sz w:val="24"/>
          <w:highlight w:val="none"/>
        </w:rPr>
        <w:t>四、补充条款：</w:t>
      </w:r>
      <w:r>
        <w:rPr>
          <w:rFonts w:hint="eastAsia" w:ascii="宋体" w:hAnsi="宋体" w:eastAsia="宋体"/>
          <w:color w:val="000000"/>
          <w:sz w:val="24"/>
          <w:highlight w:val="none"/>
          <w:u w:val="single"/>
        </w:rPr>
        <w:t xml:space="preserve">         </w:t>
      </w:r>
      <w:r>
        <w:rPr>
          <w:rFonts w:ascii="宋体" w:hAnsi="宋体" w:eastAsia="宋体"/>
          <w:color w:val="000000"/>
          <w:sz w:val="24"/>
          <w:highlight w:val="none"/>
          <w:u w:val="single"/>
        </w:rPr>
        <w:t xml:space="preserve"> </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rPr>
        <w:t>。</w:t>
      </w:r>
    </w:p>
    <w:p>
      <w:pPr>
        <w:adjustRightInd w:val="0"/>
        <w:snapToGrid w:val="0"/>
        <w:spacing w:line="360" w:lineRule="auto"/>
        <w:ind w:firstLine="482" w:firstLineChars="200"/>
        <w:jc w:val="left"/>
        <w:rPr>
          <w:rFonts w:ascii="宋体" w:hAnsi="宋体" w:eastAsia="宋体"/>
          <w:b/>
          <w:color w:val="000000"/>
          <w:sz w:val="24"/>
          <w:highlight w:val="none"/>
        </w:rPr>
      </w:pPr>
      <w:r>
        <w:rPr>
          <w:rFonts w:hint="eastAsia" w:ascii="宋体" w:hAnsi="宋体" w:eastAsia="宋体"/>
          <w:b/>
          <w:color w:val="000000"/>
          <w:sz w:val="24"/>
          <w:highlight w:val="none"/>
        </w:rPr>
        <w:t>五、附则</w:t>
      </w:r>
    </w:p>
    <w:p>
      <w:pPr>
        <w:spacing w:line="360" w:lineRule="auto"/>
        <w:ind w:left="359" w:leftChars="171" w:firstLine="288" w:firstLineChars="120"/>
        <w:rPr>
          <w:rFonts w:hint="eastAsia" w:ascii="宋体" w:hAnsi="宋体" w:eastAsia="宋体"/>
          <w:color w:val="000000"/>
          <w:sz w:val="24"/>
          <w:highlight w:val="none"/>
        </w:rPr>
      </w:pPr>
      <w:r>
        <w:rPr>
          <w:rFonts w:hint="eastAsia" w:ascii="宋体" w:hAnsi="宋体" w:eastAsia="宋体"/>
          <w:color w:val="000000"/>
          <w:sz w:val="24"/>
          <w:highlight w:val="none"/>
        </w:rPr>
        <w:t>（一）本协议未尽事宜，依据有关法律、法规、规章处理。法律、法规、规章没有明确规定的，经双方协商处理解决。</w:t>
      </w:r>
    </w:p>
    <w:p>
      <w:pPr>
        <w:spacing w:line="360" w:lineRule="auto"/>
        <w:ind w:left="359" w:leftChars="171" w:firstLine="288" w:firstLineChars="120"/>
        <w:rPr>
          <w:rFonts w:hint="eastAsia" w:ascii="宋体" w:hAnsi="宋体" w:eastAsia="宋体"/>
          <w:color w:val="000000"/>
          <w:sz w:val="24"/>
          <w:highlight w:val="none"/>
        </w:rPr>
      </w:pPr>
      <w:r>
        <w:rPr>
          <w:rFonts w:hint="eastAsia" w:ascii="宋体" w:hAnsi="宋体" w:eastAsia="宋体"/>
          <w:color w:val="000000"/>
          <w:sz w:val="24"/>
          <w:highlight w:val="none"/>
        </w:rPr>
        <w:t>（二）本协议与主合同同时签订、同时终止、同时生效，具有相同的法律效力，自甲方、乙方双方签字、盖章生效，甲方、乙方双方执持数量与主合同一致。</w:t>
      </w:r>
    </w:p>
    <w:p>
      <w:pPr>
        <w:pStyle w:val="2"/>
        <w:spacing w:line="360" w:lineRule="auto"/>
        <w:rPr>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360" w:lineRule="auto"/>
              <w:jc w:val="both"/>
              <w:textAlignment w:val="baseline"/>
              <w:rPr>
                <w:rFonts w:ascii="宋体" w:hAnsi="宋体" w:eastAsia="宋体"/>
                <w:sz w:val="24"/>
                <w:highlight w:val="none"/>
              </w:rPr>
            </w:pPr>
            <w:r>
              <w:rPr>
                <w:rFonts w:hint="eastAsia" w:ascii="宋体" w:hAnsi="宋体" w:eastAsia="宋体"/>
                <w:sz w:val="24"/>
                <w:highlight w:val="none"/>
              </w:rPr>
              <w:t>甲方：</w:t>
            </w:r>
          </w:p>
          <w:p>
            <w:pPr>
              <w:widowControl w:val="0"/>
              <w:adjustRightInd w:val="0"/>
              <w:snapToGrid w:val="0"/>
              <w:spacing w:line="360" w:lineRule="auto"/>
              <w:jc w:val="both"/>
              <w:textAlignment w:val="baseline"/>
              <w:rPr>
                <w:rFonts w:ascii="宋体" w:hAnsi="宋体" w:eastAsia="宋体"/>
                <w:sz w:val="24"/>
                <w:highlight w:val="none"/>
              </w:rPr>
            </w:pPr>
            <w:r>
              <w:rPr>
                <w:rFonts w:hint="eastAsia" w:ascii="宋体" w:hAnsi="宋体" w:eastAsia="宋体"/>
                <w:sz w:val="24"/>
                <w:highlight w:val="none"/>
              </w:rPr>
              <w:t>签约代表：</w:t>
            </w:r>
          </w:p>
          <w:p>
            <w:pPr>
              <w:widowControl w:val="0"/>
              <w:adjustRightInd w:val="0"/>
              <w:snapToGrid w:val="0"/>
              <w:spacing w:line="360" w:lineRule="auto"/>
              <w:jc w:val="both"/>
              <w:textAlignment w:val="baseline"/>
              <w:rPr>
                <w:rFonts w:ascii="宋体" w:hAnsi="宋体" w:eastAsia="宋体"/>
                <w:sz w:val="24"/>
                <w:highlight w:val="none"/>
              </w:rPr>
            </w:pPr>
            <w:r>
              <w:rPr>
                <w:rFonts w:hint="eastAsia" w:ascii="宋体" w:hAnsi="宋体" w:eastAsia="宋体"/>
                <w:sz w:val="24"/>
                <w:highlight w:val="none"/>
              </w:rPr>
              <w:t>联系电话：</w:t>
            </w:r>
          </w:p>
          <w:p>
            <w:pPr>
              <w:widowControl w:val="0"/>
              <w:adjustRightInd w:val="0"/>
              <w:snapToGrid w:val="0"/>
              <w:spacing w:line="360" w:lineRule="auto"/>
              <w:ind w:firstLine="240" w:firstLineChars="100"/>
              <w:jc w:val="right"/>
              <w:textAlignment w:val="baseline"/>
              <w:rPr>
                <w:rFonts w:ascii="宋体" w:hAnsi="宋体" w:eastAsia="宋体"/>
                <w:sz w:val="24"/>
                <w:highlight w:val="none"/>
              </w:rPr>
            </w:pP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日</w:t>
            </w:r>
          </w:p>
        </w:tc>
        <w:tc>
          <w:tcPr>
            <w:tcW w:w="4474" w:type="dxa"/>
            <w:noWrap w:val="0"/>
            <w:vAlign w:val="top"/>
          </w:tcPr>
          <w:p>
            <w:pPr>
              <w:widowControl w:val="0"/>
              <w:adjustRightInd w:val="0"/>
              <w:snapToGrid w:val="0"/>
              <w:spacing w:line="360" w:lineRule="auto"/>
              <w:jc w:val="both"/>
              <w:textAlignment w:val="baseline"/>
              <w:rPr>
                <w:rFonts w:ascii="宋体" w:hAnsi="宋体" w:eastAsia="宋体"/>
                <w:sz w:val="24"/>
                <w:highlight w:val="none"/>
              </w:rPr>
            </w:pPr>
            <w:r>
              <w:rPr>
                <w:rFonts w:hint="eastAsia" w:ascii="宋体" w:hAnsi="宋体" w:eastAsia="宋体"/>
                <w:sz w:val="24"/>
                <w:highlight w:val="none"/>
              </w:rPr>
              <w:t>乙方：</w:t>
            </w:r>
          </w:p>
          <w:p>
            <w:pPr>
              <w:widowControl w:val="0"/>
              <w:adjustRightInd w:val="0"/>
              <w:snapToGrid w:val="0"/>
              <w:spacing w:line="360" w:lineRule="auto"/>
              <w:jc w:val="both"/>
              <w:textAlignment w:val="baseline"/>
              <w:rPr>
                <w:rFonts w:ascii="宋体" w:hAnsi="宋体" w:eastAsia="宋体"/>
                <w:sz w:val="24"/>
                <w:highlight w:val="none"/>
              </w:rPr>
            </w:pPr>
            <w:r>
              <w:rPr>
                <w:rFonts w:hint="eastAsia" w:ascii="宋体" w:hAnsi="宋体" w:eastAsia="宋体"/>
                <w:sz w:val="24"/>
                <w:highlight w:val="none"/>
              </w:rPr>
              <w:t>签约代表：</w:t>
            </w:r>
          </w:p>
          <w:p>
            <w:pPr>
              <w:widowControl w:val="0"/>
              <w:adjustRightInd w:val="0"/>
              <w:snapToGrid w:val="0"/>
              <w:spacing w:line="360" w:lineRule="auto"/>
              <w:jc w:val="both"/>
              <w:textAlignment w:val="baseline"/>
              <w:rPr>
                <w:rFonts w:ascii="宋体" w:hAnsi="宋体" w:eastAsia="宋体"/>
                <w:sz w:val="24"/>
                <w:highlight w:val="none"/>
              </w:rPr>
            </w:pPr>
            <w:r>
              <w:rPr>
                <w:rFonts w:hint="eastAsia" w:ascii="宋体" w:hAnsi="宋体" w:eastAsia="宋体"/>
                <w:sz w:val="24"/>
                <w:highlight w:val="none"/>
              </w:rPr>
              <w:t>联系电话：</w:t>
            </w:r>
          </w:p>
          <w:p>
            <w:pPr>
              <w:widowControl w:val="0"/>
              <w:adjustRightInd w:val="0"/>
              <w:snapToGrid w:val="0"/>
              <w:spacing w:line="360" w:lineRule="auto"/>
              <w:jc w:val="right"/>
              <w:textAlignment w:val="baseline"/>
              <w:rPr>
                <w:rFonts w:ascii="宋体" w:hAnsi="宋体" w:eastAsia="宋体"/>
                <w:sz w:val="24"/>
                <w:highlight w:val="none"/>
              </w:rPr>
            </w:pP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日</w:t>
            </w:r>
          </w:p>
        </w:tc>
      </w:tr>
    </w:tbl>
    <w:p>
      <w:pPr>
        <w:pStyle w:val="45"/>
        <w:jc w:val="center"/>
        <w:rPr>
          <w:rFonts w:ascii="仿宋_GB2312" w:hAnsi="仿宋_GB2312" w:cs="仿宋_GB2312"/>
          <w:b/>
          <w:sz w:val="28"/>
          <w:szCs w:val="28"/>
          <w:highlight w:val="none"/>
        </w:rPr>
      </w:pPr>
    </w:p>
    <w:p>
      <w:pPr>
        <w:pStyle w:val="4"/>
        <w:rPr>
          <w:rFonts w:hint="eastAsia"/>
          <w:highlight w:val="none"/>
        </w:rPr>
      </w:pPr>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bookmarkEnd w:id="97"/>
    <w:bookmarkEnd w:id="98"/>
    <w:bookmarkEnd w:id="99"/>
    <w:bookmarkEnd w:id="100"/>
    <w:bookmarkEnd w:id="101"/>
    <w:bookmarkEnd w:id="102"/>
    <w:bookmarkEnd w:id="103"/>
    <w:bookmarkEnd w:id="104"/>
    <w:bookmarkEnd w:id="105"/>
    <w:bookmarkEnd w:id="106"/>
    <w:bookmarkEnd w:id="107"/>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2287270</wp:posOffset>
                </wp:positionH>
                <wp:positionV relativeFrom="paragraph">
                  <wp:posOffset>3810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0.1pt;margin-top:0.3pt;height:0pt;width:75.5pt;z-index:251676672;mso-width-relative:page;mso-height-relative:page;" filled="f" stroked="t" coordsize="21600,21600" o:gfxdata="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QkEJM0gAAAAUBAAAPAAAAAAAAAAEAIAAAACIA&#10;AABkcnMvZG93bnJldi54bWxQSwECFAAUAAAACACHTuJA1RYqQdYBAACVAwAADgAAAAAAAAABACAA&#10;AAAhAQAAZHJzL2Uyb0RvYy54bWxQSwUGAAAAAAYABgBZAQAAa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7769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第七章</w:t>
      </w:r>
    </w:p>
    <w:p>
      <w:pPr>
        <w:pStyle w:val="35"/>
        <w:rPr>
          <w:color w:val="auto"/>
          <w:highlight w:val="none"/>
        </w:rPr>
      </w:pPr>
    </w:p>
    <w:p>
      <w:pPr>
        <w:pStyle w:val="4"/>
        <w:rPr>
          <w:color w:val="auto"/>
          <w:highlight w:val="none"/>
        </w:rPr>
      </w:pPr>
      <w:bookmarkStart w:id="147" w:name="_Toc22764"/>
      <w:bookmarkStart w:id="148" w:name="_Toc24815"/>
      <w:bookmarkStart w:id="149" w:name="_Toc87616388"/>
      <w:bookmarkStart w:id="150" w:name="_Toc31564"/>
      <w:bookmarkStart w:id="151" w:name="_Toc10840"/>
      <w:bookmarkStart w:id="152" w:name="_Toc5342"/>
      <w:bookmarkStart w:id="153" w:name="_Toc12769"/>
      <w:bookmarkStart w:id="154" w:name="_Toc24490"/>
      <w:bookmarkStart w:id="155" w:name="_Toc21675"/>
      <w:bookmarkStart w:id="156" w:name="_Toc88209951"/>
      <w:bookmarkStart w:id="157" w:name="_Toc30157"/>
      <w:bookmarkStart w:id="158" w:name="_Toc17119"/>
      <w:bookmarkStart w:id="159" w:name="_Toc12610"/>
      <w:r>
        <w:rPr>
          <w:rFonts w:hint="eastAsia"/>
          <w:color w:val="auto"/>
          <w:highlight w:val="none"/>
        </w:rPr>
        <w:t>响应文件</w:t>
      </w:r>
      <w:r>
        <w:rPr>
          <w:rFonts w:hint="eastAsia"/>
          <w:color w:val="auto"/>
          <w:highlight w:val="none"/>
          <w:lang w:val="en-US" w:eastAsia="zh-CN"/>
        </w:rPr>
        <w:t>格式要求</w:t>
      </w:r>
      <w:bookmarkEnd w:id="147"/>
      <w:bookmarkEnd w:id="148"/>
      <w:bookmarkEnd w:id="149"/>
      <w:bookmarkEnd w:id="150"/>
      <w:bookmarkEnd w:id="151"/>
      <w:bookmarkEnd w:id="152"/>
      <w:bookmarkEnd w:id="153"/>
      <w:bookmarkEnd w:id="154"/>
      <w:bookmarkEnd w:id="155"/>
      <w:bookmarkEnd w:id="156"/>
      <w:bookmarkEnd w:id="157"/>
      <w:bookmarkEnd w:id="158"/>
      <w:bookmarkEnd w:id="159"/>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广州市净水有限公司</w:t>
      </w:r>
      <w:r>
        <w:rPr>
          <w:rFonts w:hint="eastAsia" w:ascii="方正小标宋简体" w:eastAsia="方正小标宋简体"/>
          <w:sz w:val="44"/>
          <w:szCs w:val="44"/>
          <w:highlight w:val="none"/>
          <w:u w:val="single"/>
          <w:lang w:eastAsia="zh-CN"/>
        </w:rPr>
        <w:t>沥滘分公司2022年固定式气体检测仪采购项目（第二次）</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60" w:name="_Toc87616389"/>
      <w:bookmarkStart w:id="161" w:name="_Toc88209952"/>
      <w:r>
        <w:rPr>
          <w:rFonts w:hint="eastAsia" w:ascii="仿宋_GB2312" w:eastAsia="仿宋_GB2312"/>
          <w:sz w:val="28"/>
          <w:szCs w:val="28"/>
          <w:highlight w:val="none"/>
        </w:rPr>
        <w:t>1.响应函</w:t>
      </w:r>
      <w:bookmarkEnd w:id="160"/>
      <w:bookmarkEnd w:id="161"/>
    </w:p>
    <w:p>
      <w:pPr>
        <w:spacing w:line="600" w:lineRule="exact"/>
        <w:rPr>
          <w:rFonts w:hint="eastAsia" w:ascii="仿宋_GB2312" w:eastAsia="仿宋_GB2312"/>
          <w:sz w:val="28"/>
          <w:szCs w:val="28"/>
          <w:highlight w:val="none"/>
        </w:rPr>
      </w:pPr>
      <w:bookmarkStart w:id="162" w:name="_Toc87616390"/>
      <w:bookmarkStart w:id="163" w:name="_Toc88209953"/>
      <w:r>
        <w:rPr>
          <w:rFonts w:hint="eastAsia" w:ascii="仿宋_GB2312" w:eastAsia="仿宋_GB2312"/>
          <w:sz w:val="28"/>
          <w:szCs w:val="28"/>
          <w:highlight w:val="none"/>
        </w:rPr>
        <w:t>2.法定代表人证明或授权委托书</w:t>
      </w:r>
      <w:bookmarkEnd w:id="162"/>
      <w:bookmarkEnd w:id="163"/>
      <w:bookmarkStart w:id="164" w:name="_Toc88209956"/>
      <w:bookmarkStart w:id="165" w:name="_Toc87616393"/>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64"/>
      <w:bookmarkEnd w:id="165"/>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pStyle w:val="6"/>
        <w:rPr>
          <w:rFonts w:asciiTheme="minorEastAsia" w:hAnsiTheme="minorEastAsia" w:eastAsiaTheme="minorEastAsia"/>
          <w:sz w:val="28"/>
          <w:szCs w:val="28"/>
          <w:highlight w:val="none"/>
        </w:rPr>
      </w:pPr>
      <w:bookmarkStart w:id="166" w:name="_Toc87616394"/>
      <w:bookmarkStart w:id="167" w:name="_Toc6313"/>
      <w:bookmarkStart w:id="168" w:name="_Toc28619645"/>
      <w:bookmarkStart w:id="169" w:name="_Toc88209957"/>
      <w:bookmarkStart w:id="170" w:name="_Toc12665"/>
      <w:r>
        <w:rPr>
          <w:rFonts w:hint="eastAsia" w:asciiTheme="minorEastAsia" w:hAnsiTheme="minorEastAsia" w:eastAsiaTheme="minorEastAsia"/>
          <w:sz w:val="28"/>
          <w:szCs w:val="28"/>
          <w:highlight w:val="none"/>
        </w:rPr>
        <w:t>1.响应函</w:t>
      </w:r>
      <w:bookmarkEnd w:id="166"/>
      <w:bookmarkEnd w:id="167"/>
      <w:bookmarkEnd w:id="168"/>
      <w:bookmarkEnd w:id="169"/>
      <w:bookmarkEnd w:id="170"/>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highlight w:val="none"/>
        </w:rPr>
      </w:pPr>
      <w:bookmarkStart w:id="171" w:name="_Toc87616395"/>
      <w:bookmarkStart w:id="172" w:name="_Toc29833"/>
      <w:bookmarkStart w:id="173" w:name="_Toc22527"/>
      <w:bookmarkStart w:id="174" w:name="_Toc88209958"/>
    </w:p>
    <w:p>
      <w:pPr>
        <w:pStyle w:val="6"/>
        <w:rPr>
          <w:rFonts w:hint="eastAsia" w:asciiTheme="minorEastAsia" w:hAnsiTheme="minorEastAsia" w:eastAsiaTheme="minorEastAsia"/>
          <w:sz w:val="28"/>
          <w:szCs w:val="28"/>
          <w:highlight w:val="none"/>
        </w:rPr>
      </w:pPr>
    </w:p>
    <w:p>
      <w:pPr>
        <w:pStyle w:val="6"/>
        <w:rPr>
          <w:rFonts w:hint="eastAsia" w:asciiTheme="minorEastAsia" w:hAnsiTheme="minorEastAsia" w:eastAsiaTheme="minorEastAsia"/>
          <w:sz w:val="28"/>
          <w:szCs w:val="28"/>
          <w:highlight w:val="none"/>
        </w:rPr>
      </w:pPr>
    </w:p>
    <w:p>
      <w:pPr>
        <w:pStyle w:val="6"/>
        <w:rPr>
          <w:rFonts w:hint="eastAsia" w:asciiTheme="minorEastAsia" w:hAnsiTheme="minorEastAsia" w:eastAsiaTheme="minorEastAsia"/>
          <w:sz w:val="28"/>
          <w:szCs w:val="28"/>
          <w:highlight w:val="none"/>
        </w:rPr>
      </w:pP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71"/>
      <w:bookmarkEnd w:id="172"/>
      <w:bookmarkEnd w:id="173"/>
      <w:bookmarkEnd w:id="174"/>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hint="eastAsia" w:ascii="方正小标宋简体" w:hAnsi="Times New Roman" w:eastAsia="方正小标宋简体" w:cs="Tahoma"/>
          <w:kern w:val="0"/>
          <w:sz w:val="44"/>
          <w:szCs w:val="44"/>
          <w:highlight w:val="none"/>
        </w:rPr>
      </w:pPr>
    </w:p>
    <w:p>
      <w:pPr>
        <w:widowControl/>
        <w:adjustRightInd w:val="0"/>
        <w:snapToGrid w:val="0"/>
        <w:spacing w:beforeLines="50" w:afterLines="50" w:line="600" w:lineRule="exact"/>
        <w:jc w:val="center"/>
        <w:rPr>
          <w:rFonts w:hint="eastAsia" w:ascii="方正小标宋简体" w:hAnsi="Times New Roman" w:eastAsia="方正小标宋简体" w:cs="Tahoma"/>
          <w:kern w:val="0"/>
          <w:sz w:val="44"/>
          <w:szCs w:val="44"/>
          <w:highlight w:val="none"/>
        </w:rPr>
      </w:pP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highlight w:val="none"/>
        </w:rPr>
      </w:pPr>
    </w:p>
    <w:p>
      <w:pPr>
        <w:pStyle w:val="13"/>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p>
    <w:p>
      <w:pPr>
        <w:pStyle w:val="35"/>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75" w:name="_Toc88209963"/>
      <w:bookmarkStart w:id="176" w:name="_Toc8086"/>
      <w:bookmarkStart w:id="177" w:name="_Toc87616400"/>
      <w:bookmarkStart w:id="178" w:name="_Toc19830"/>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75"/>
      <w:bookmarkEnd w:id="176"/>
      <w:bookmarkEnd w:id="177"/>
      <w:bookmarkEnd w:id="178"/>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广州市净水有限公司沥滘分公司2022年固定式气体检测仪采购项目（第二次）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highlight w:val="none"/>
          <w:lang w:eastAsia="zh-CN"/>
        </w:rPr>
      </w:pPr>
    </w:p>
    <w:p>
      <w:pPr>
        <w:pStyle w:val="2"/>
        <w:ind w:firstLine="0"/>
        <w:rPr>
          <w:rFonts w:hint="eastAsia"/>
          <w:highlight w:val="none"/>
          <w:lang w:eastAsia="zh-CN"/>
        </w:rPr>
      </w:pPr>
    </w:p>
    <w:p>
      <w:pPr>
        <w:jc w:val="left"/>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6"/>
        <w:rPr>
          <w:rFonts w:asciiTheme="minorEastAsia" w:hAnsiTheme="minorEastAsia" w:eastAsiaTheme="minorEastAsia"/>
          <w:sz w:val="28"/>
          <w:szCs w:val="28"/>
          <w:highlight w:val="none"/>
        </w:rPr>
      </w:pPr>
      <w:bookmarkStart w:id="180" w:name="_Toc19423"/>
      <w:bookmarkStart w:id="181" w:name="_Toc32430"/>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80"/>
      <w:bookmarkEnd w:id="181"/>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□施工类</w:t>
      </w:r>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采购人根据国家</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行业</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地方发布的计价办法</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施工图纸等设计文件</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施工现场实际情况</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项目报价要求等</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编制适合采购项目的报价表</w:t>
      </w:r>
    </w:p>
    <w:p>
      <w:pPr>
        <w:adjustRightInd w:val="0"/>
        <w:snapToGrid w:val="0"/>
        <w:spacing w:line="600" w:lineRule="exact"/>
        <w:ind w:firstLine="570"/>
        <w:rPr>
          <w:rFonts w:ascii="仿宋_GB2312" w:eastAsia="仿宋_GB2312" w:hAnsiTheme="minorEastAsia"/>
          <w:sz w:val="28"/>
          <w:szCs w:val="28"/>
          <w:highlight w:val="none"/>
        </w:rPr>
      </w:pP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sym w:font="Wingdings 2" w:char="0052"/>
      </w:r>
      <w:r>
        <w:rPr>
          <w:rFonts w:hint="eastAsia" w:ascii="仿宋_GB2312" w:eastAsia="仿宋_GB2312" w:hAnsiTheme="minorEastAsia"/>
          <w:sz w:val="28"/>
          <w:szCs w:val="28"/>
          <w:highlight w:val="none"/>
        </w:rPr>
        <w:t>货物类</w:t>
      </w: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（1）报价表说明</w:t>
      </w:r>
    </w:p>
    <w:p>
      <w:pPr>
        <w:adjustRightInd w:val="0"/>
        <w:snapToGrid w:val="0"/>
        <w:spacing w:line="600" w:lineRule="exact"/>
        <w:ind w:firstLine="570"/>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（2）报价表</w:t>
      </w:r>
    </w:p>
    <w:tbl>
      <w:tblPr>
        <w:tblStyle w:val="22"/>
        <w:tblW w:w="10185" w:type="dxa"/>
        <w:jc w:val="center"/>
        <w:tblLayout w:type="fixed"/>
        <w:tblCellMar>
          <w:top w:w="0" w:type="dxa"/>
          <w:left w:w="0" w:type="dxa"/>
          <w:bottom w:w="0" w:type="dxa"/>
          <w:right w:w="0" w:type="dxa"/>
        </w:tblCellMar>
      </w:tblPr>
      <w:tblGrid>
        <w:gridCol w:w="710"/>
        <w:gridCol w:w="1417"/>
        <w:gridCol w:w="2386"/>
        <w:gridCol w:w="2135"/>
        <w:gridCol w:w="851"/>
        <w:gridCol w:w="850"/>
        <w:gridCol w:w="799"/>
        <w:gridCol w:w="1037"/>
      </w:tblGrid>
      <w:tr>
        <w:tblPrEx>
          <w:tblCellMar>
            <w:top w:w="0" w:type="dxa"/>
            <w:left w:w="0" w:type="dxa"/>
            <w:bottom w:w="0" w:type="dxa"/>
            <w:right w:w="0" w:type="dxa"/>
          </w:tblCellMar>
        </w:tblPrEx>
        <w:trPr>
          <w:trHeight w:val="650" w:hRule="atLeast"/>
          <w:jc w:val="center"/>
        </w:trPr>
        <w:tc>
          <w:tcPr>
            <w:tcW w:w="710"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序号</w:t>
            </w:r>
          </w:p>
        </w:tc>
        <w:tc>
          <w:tcPr>
            <w:tcW w:w="141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设备名称</w:t>
            </w:r>
          </w:p>
        </w:tc>
        <w:tc>
          <w:tcPr>
            <w:tcW w:w="2386"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拟采购品牌、型号</w:t>
            </w:r>
          </w:p>
        </w:tc>
        <w:tc>
          <w:tcPr>
            <w:tcW w:w="213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备件名称</w:t>
            </w:r>
          </w:p>
        </w:tc>
        <w:tc>
          <w:tcPr>
            <w:tcW w:w="85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r>
              <w:rPr>
                <w:rFonts w:hint="eastAsia" w:ascii="宋体" w:hAnsi="宋体" w:eastAsia="宋体" w:cs="宋体"/>
                <w:b/>
                <w:bCs/>
                <w:sz w:val="21"/>
                <w:szCs w:val="21"/>
                <w:highlight w:val="none"/>
                <w:lang w:val="en-US" w:eastAsia="zh-CN"/>
              </w:rPr>
              <w:t>套</w:t>
            </w:r>
            <w:r>
              <w:rPr>
                <w:rFonts w:hint="eastAsia" w:ascii="宋体" w:hAnsi="宋体" w:eastAsia="宋体" w:cs="宋体"/>
                <w:b/>
                <w:bCs/>
                <w:sz w:val="21"/>
                <w:szCs w:val="21"/>
                <w:highlight w:val="none"/>
              </w:rPr>
              <w:t>）</w:t>
            </w:r>
          </w:p>
        </w:tc>
        <w:tc>
          <w:tcPr>
            <w:tcW w:w="8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highlight w:val="none"/>
                <w:lang w:bidi="ar"/>
              </w:rPr>
            </w:pPr>
            <w:r>
              <w:rPr>
                <w:rFonts w:hint="eastAsia" w:ascii="宋体" w:hAnsi="宋体" w:eastAsia="宋体" w:cs="宋体"/>
                <w:b/>
                <w:color w:val="000000"/>
                <w:kern w:val="0"/>
                <w:sz w:val="21"/>
                <w:szCs w:val="21"/>
                <w:highlight w:val="none"/>
                <w:lang w:bidi="ar"/>
              </w:rPr>
              <w:t>单价（元）</w:t>
            </w:r>
          </w:p>
        </w:tc>
        <w:tc>
          <w:tcPr>
            <w:tcW w:w="799"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000000"/>
                <w:kern w:val="0"/>
                <w:sz w:val="21"/>
                <w:szCs w:val="21"/>
                <w:highlight w:val="none"/>
                <w:lang w:bidi="ar"/>
              </w:rPr>
            </w:pPr>
            <w:r>
              <w:rPr>
                <w:rFonts w:hint="eastAsia" w:ascii="宋体" w:hAnsi="宋体" w:eastAsia="宋体" w:cs="宋体"/>
                <w:b/>
                <w:bCs w:val="0"/>
                <w:color w:val="000000"/>
                <w:kern w:val="0"/>
                <w:sz w:val="21"/>
                <w:szCs w:val="21"/>
                <w:highlight w:val="none"/>
                <w:lang w:bidi="ar"/>
              </w:rPr>
              <w:t>总价（元）</w:t>
            </w:r>
          </w:p>
        </w:tc>
        <w:tc>
          <w:tcPr>
            <w:tcW w:w="103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000000"/>
                <w:kern w:val="0"/>
                <w:sz w:val="21"/>
                <w:szCs w:val="21"/>
                <w:highlight w:val="none"/>
                <w:lang w:bidi="ar"/>
              </w:rPr>
            </w:pPr>
            <w:r>
              <w:rPr>
                <w:rFonts w:hint="eastAsia" w:ascii="宋体" w:hAnsi="宋体" w:eastAsia="宋体" w:cs="宋体"/>
                <w:b/>
                <w:bCs w:val="0"/>
                <w:sz w:val="21"/>
                <w:szCs w:val="21"/>
                <w:highlight w:val="none"/>
              </w:rPr>
              <w:t>备注</w:t>
            </w:r>
          </w:p>
        </w:tc>
      </w:tr>
      <w:tr>
        <w:tblPrEx>
          <w:tblCellMar>
            <w:top w:w="0" w:type="dxa"/>
            <w:left w:w="0" w:type="dxa"/>
            <w:bottom w:w="0" w:type="dxa"/>
            <w:right w:w="0" w:type="dxa"/>
          </w:tblCellMar>
        </w:tblPrEx>
        <w:trPr>
          <w:trHeight w:val="678" w:hRule="atLeast"/>
          <w:jc w:val="center"/>
        </w:trPr>
        <w:tc>
          <w:tcPr>
            <w:tcW w:w="710"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cyan"/>
                <w:lang w:val="en-US" w:eastAsia="zh-CN"/>
              </w:rPr>
              <w:t>固定式气体检测仪</w:t>
            </w:r>
          </w:p>
        </w:tc>
        <w:tc>
          <w:tcPr>
            <w:tcW w:w="2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GTD-3000</w:t>
            </w:r>
          </w:p>
        </w:tc>
        <w:tc>
          <w:tcPr>
            <w:tcW w:w="2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cyan"/>
              </w:rPr>
            </w:pPr>
            <w:r>
              <w:rPr>
                <w:rFonts w:hint="eastAsia" w:ascii="宋体" w:hAnsi="宋体" w:eastAsia="宋体" w:cs="宋体"/>
                <w:sz w:val="21"/>
                <w:szCs w:val="21"/>
                <w:highlight w:val="cyan"/>
              </w:rPr>
              <w:t>固定气体检测仪防爆控制器，型号ASC-100</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cyan"/>
              </w:rPr>
            </w:pPr>
            <w:r>
              <w:rPr>
                <w:rFonts w:hint="eastAsia" w:ascii="宋体" w:hAnsi="宋体" w:eastAsia="宋体" w:cs="宋体"/>
                <w:sz w:val="21"/>
                <w:szCs w:val="21"/>
                <w:highlight w:val="cyan"/>
              </w:rPr>
              <w:t>氨气气体检测仪，型号GTD-3000-NH3</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cyan"/>
              </w:rPr>
            </w:pPr>
            <w:r>
              <w:rPr>
                <w:rFonts w:hint="eastAsia" w:ascii="宋体" w:hAnsi="宋体" w:eastAsia="宋体" w:cs="宋体"/>
                <w:sz w:val="21"/>
                <w:szCs w:val="21"/>
                <w:highlight w:val="cyan"/>
              </w:rPr>
              <w:t>硫化氢气体检测仪，型号GTD-3000-H2S</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cyan"/>
              </w:rPr>
            </w:pPr>
            <w:r>
              <w:rPr>
                <w:rFonts w:hint="eastAsia" w:ascii="宋体" w:hAnsi="宋体" w:eastAsia="宋体" w:cs="宋体"/>
                <w:sz w:val="21"/>
                <w:szCs w:val="21"/>
                <w:highlight w:val="cyan"/>
              </w:rPr>
              <w:t>氧气气体检测仪，型号GTD-3000-O2</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cyan"/>
              </w:rPr>
              <w:t>甲烷气体检测仪，型号GTD-3000-CH4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cyan"/>
              </w:rPr>
              <w:t>2</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21"/>
                <w:szCs w:val="21"/>
                <w:highlight w:val="none"/>
                <w:lang w:bidi="ar"/>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21"/>
                <w:szCs w:val="21"/>
                <w:highlight w:val="none"/>
                <w:lang w:bidi="ar"/>
              </w:rPr>
            </w:pP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整套设备包含氧气检测仪，可燃气检测仪,硫化氢检测仪,氨气检测仪和控制器</w:t>
            </w:r>
          </w:p>
          <w:p>
            <w:pPr>
              <w:widowControl/>
              <w:jc w:val="center"/>
              <w:textAlignment w:val="center"/>
              <w:rPr>
                <w:rFonts w:hint="eastAsia" w:ascii="宋体" w:hAnsi="宋体" w:eastAsia="宋体" w:cs="宋体"/>
                <w:color w:val="FF0000"/>
                <w:kern w:val="0"/>
                <w:sz w:val="21"/>
                <w:szCs w:val="21"/>
                <w:highlight w:val="none"/>
                <w:lang w:bidi="ar"/>
              </w:rPr>
            </w:pPr>
          </w:p>
        </w:tc>
      </w:tr>
      <w:tr>
        <w:tblPrEx>
          <w:tblCellMar>
            <w:top w:w="0" w:type="dxa"/>
            <w:left w:w="0" w:type="dxa"/>
            <w:bottom w:w="0" w:type="dxa"/>
            <w:right w:w="0" w:type="dxa"/>
          </w:tblCellMar>
        </w:tblPrEx>
        <w:trPr>
          <w:trHeight w:val="693" w:hRule="atLeast"/>
          <w:jc w:val="center"/>
        </w:trPr>
        <w:tc>
          <w:tcPr>
            <w:tcW w:w="71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合计</w:t>
            </w:r>
          </w:p>
        </w:tc>
        <w:tc>
          <w:tcPr>
            <w:tcW w:w="9475" w:type="dxa"/>
            <w:gridSpan w:val="7"/>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合计含税价（元）：         ；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  </w:t>
            </w:r>
          </w:p>
        </w:tc>
      </w:tr>
    </w:tbl>
    <w:p>
      <w:pPr>
        <w:pStyle w:val="2"/>
        <w:ind w:firstLine="0"/>
      </w:pPr>
    </w:p>
    <w:p>
      <w:pPr>
        <w:adjustRightInd w:val="0"/>
        <w:snapToGrid w:val="0"/>
        <w:spacing w:line="600" w:lineRule="exact"/>
        <w:rPr>
          <w:rFonts w:ascii="仿宋_GB2312" w:eastAsia="仿宋_GB2312" w:hAnsiTheme="minorEastAsia"/>
          <w:sz w:val="28"/>
          <w:szCs w:val="28"/>
          <w:highlight w:val="none"/>
        </w:rPr>
      </w:pPr>
    </w:p>
    <w:p>
      <w:pPr>
        <w:adjustRightInd w:val="0"/>
        <w:snapToGrid w:val="0"/>
        <w:spacing w:line="600" w:lineRule="exact"/>
        <w:ind w:firstLine="570"/>
        <w:rPr>
          <w:rFonts w:hint="eastAsia" w:ascii="仿宋_GB2312" w:eastAsia="仿宋_GB2312" w:hAnsiTheme="minorEastAsia"/>
          <w:sz w:val="28"/>
          <w:szCs w:val="28"/>
          <w:highlight w:val="none"/>
        </w:rPr>
      </w:pPr>
    </w:p>
    <w:p>
      <w:pPr>
        <w:adjustRightInd w:val="0"/>
        <w:snapToGrid w:val="0"/>
        <w:spacing w:line="600" w:lineRule="exact"/>
        <w:ind w:firstLine="570"/>
        <w:rPr>
          <w:rFonts w:hint="eastAsia" w:ascii="仿宋_GB2312" w:eastAsia="仿宋_GB2312" w:hAnsiTheme="minorEastAsia"/>
          <w:sz w:val="28"/>
          <w:szCs w:val="28"/>
          <w:highlight w:val="none"/>
        </w:rPr>
      </w:pPr>
    </w:p>
    <w:p>
      <w:pPr>
        <w:adjustRightInd w:val="0"/>
        <w:snapToGrid w:val="0"/>
        <w:spacing w:line="600" w:lineRule="exact"/>
        <w:ind w:firstLine="570"/>
        <w:rPr>
          <w:rFonts w:hint="eastAsia" w:ascii="仿宋_GB2312" w:eastAsia="仿宋_GB2312" w:hAnsiTheme="minorEastAsia"/>
          <w:sz w:val="28"/>
          <w:szCs w:val="28"/>
          <w:highlight w:val="none"/>
        </w:rPr>
      </w:pPr>
    </w:p>
    <w:p>
      <w:pPr>
        <w:adjustRightInd w:val="0"/>
        <w:snapToGrid w:val="0"/>
        <w:spacing w:line="600" w:lineRule="exact"/>
        <w:ind w:firstLine="570"/>
        <w:rPr>
          <w:rFonts w:hint="eastAsia" w:ascii="仿宋_GB2312" w:eastAsia="仿宋_GB2312" w:hAnsiTheme="minorEastAsia"/>
          <w:sz w:val="28"/>
          <w:szCs w:val="28"/>
          <w:highlight w:val="none"/>
        </w:rPr>
      </w:pPr>
    </w:p>
    <w:p>
      <w:pPr>
        <w:adjustRightInd w:val="0"/>
        <w:snapToGrid w:val="0"/>
        <w:spacing w:line="600" w:lineRule="exact"/>
        <w:ind w:firstLine="570"/>
        <w:rPr>
          <w:rFonts w:hint="eastAsia" w:ascii="仿宋_GB2312" w:eastAsia="仿宋_GB2312" w:hAnsiTheme="minorEastAsia"/>
          <w:sz w:val="28"/>
          <w:szCs w:val="28"/>
          <w:highlight w:val="none"/>
        </w:rPr>
      </w:pP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□服务类</w:t>
      </w: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（1）报价表说明</w:t>
      </w: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（2）报价表</w:t>
      </w:r>
    </w:p>
    <w:tbl>
      <w:tblPr>
        <w:tblStyle w:val="23"/>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850"/>
        <w:gridCol w:w="567"/>
        <w:gridCol w:w="851"/>
        <w:gridCol w:w="850"/>
        <w:gridCol w:w="851"/>
        <w:gridCol w:w="1134"/>
        <w:gridCol w:w="850"/>
        <w:gridCol w:w="992"/>
        <w:gridCol w:w="935"/>
        <w:gridCol w:w="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restart"/>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序号</w:t>
            </w:r>
          </w:p>
        </w:tc>
        <w:tc>
          <w:tcPr>
            <w:tcW w:w="850" w:type="dxa"/>
            <w:vMerge w:val="restart"/>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服务费用分项名称</w:t>
            </w:r>
          </w:p>
        </w:tc>
        <w:tc>
          <w:tcPr>
            <w:tcW w:w="567" w:type="dxa"/>
            <w:vMerge w:val="restart"/>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数量</w:t>
            </w:r>
          </w:p>
        </w:tc>
        <w:tc>
          <w:tcPr>
            <w:tcW w:w="2552"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单价</w:t>
            </w:r>
          </w:p>
        </w:tc>
        <w:tc>
          <w:tcPr>
            <w:tcW w:w="1134" w:type="dxa"/>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计算依据、过程和公式</w:t>
            </w:r>
          </w:p>
        </w:tc>
        <w:tc>
          <w:tcPr>
            <w:tcW w:w="2777"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总价</w:t>
            </w:r>
          </w:p>
        </w:tc>
        <w:tc>
          <w:tcPr>
            <w:tcW w:w="602" w:type="dxa"/>
            <w:tcBorders>
              <w:lef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continue"/>
          </w:tcPr>
          <w:p>
            <w:pPr>
              <w:adjustRightInd w:val="0"/>
              <w:snapToGrid w:val="0"/>
              <w:rPr>
                <w:rFonts w:ascii="仿宋_GB2312" w:eastAsia="仿宋_GB2312" w:hAnsiTheme="minorEastAsia"/>
                <w:sz w:val="28"/>
                <w:szCs w:val="28"/>
                <w:highlight w:val="none"/>
              </w:rPr>
            </w:pPr>
          </w:p>
        </w:tc>
        <w:tc>
          <w:tcPr>
            <w:tcW w:w="850" w:type="dxa"/>
            <w:vMerge w:val="continue"/>
          </w:tcPr>
          <w:p>
            <w:pPr>
              <w:adjustRightInd w:val="0"/>
              <w:snapToGrid w:val="0"/>
              <w:rPr>
                <w:rFonts w:ascii="仿宋_GB2312" w:eastAsia="仿宋_GB2312" w:hAnsiTheme="minorEastAsia"/>
                <w:sz w:val="28"/>
                <w:szCs w:val="28"/>
                <w:highlight w:val="none"/>
              </w:rPr>
            </w:pPr>
          </w:p>
        </w:tc>
        <w:tc>
          <w:tcPr>
            <w:tcW w:w="567" w:type="dxa"/>
            <w:vMerge w:val="continue"/>
          </w:tcPr>
          <w:p>
            <w:pPr>
              <w:adjustRightInd w:val="0"/>
              <w:snapToGrid w:val="0"/>
              <w:rPr>
                <w:rFonts w:ascii="仿宋_GB2312" w:eastAsia="仿宋_GB2312" w:hAnsiTheme="minorEastAsia"/>
                <w:sz w:val="28"/>
                <w:szCs w:val="28"/>
                <w:highlight w:val="none"/>
              </w:rPr>
            </w:pPr>
          </w:p>
        </w:tc>
        <w:tc>
          <w:tcPr>
            <w:tcW w:w="851" w:type="dxa"/>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不含税金额</w:t>
            </w:r>
          </w:p>
        </w:tc>
        <w:tc>
          <w:tcPr>
            <w:tcW w:w="850" w:type="dxa"/>
            <w:tcBorders>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税额</w:t>
            </w:r>
          </w:p>
        </w:tc>
        <w:tc>
          <w:tcPr>
            <w:tcW w:w="851" w:type="dxa"/>
            <w:tcBorders>
              <w:left w:val="single" w:color="auto" w:sz="4" w:space="0"/>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价税合计</w:t>
            </w:r>
          </w:p>
        </w:tc>
        <w:tc>
          <w:tcPr>
            <w:tcW w:w="1134" w:type="dxa"/>
            <w:tcBorders>
              <w:left w:val="single" w:color="auto" w:sz="4" w:space="0"/>
              <w:right w:val="single" w:color="auto" w:sz="4" w:space="0"/>
            </w:tcBorders>
          </w:tcPr>
          <w:p>
            <w:pPr>
              <w:adjustRightInd w:val="0"/>
              <w:snapToGrid w:val="0"/>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不含税金额</w:t>
            </w:r>
          </w:p>
        </w:tc>
        <w:tc>
          <w:tcPr>
            <w:tcW w:w="992" w:type="dxa"/>
            <w:tcBorders>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税额</w:t>
            </w:r>
          </w:p>
        </w:tc>
        <w:tc>
          <w:tcPr>
            <w:tcW w:w="935" w:type="dxa"/>
            <w:tcBorders>
              <w:left w:val="single" w:color="auto" w:sz="4" w:space="0"/>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价税合计</w:t>
            </w:r>
          </w:p>
        </w:tc>
        <w:tc>
          <w:tcPr>
            <w:tcW w:w="602" w:type="dxa"/>
            <w:tcBorders>
              <w:left w:val="single" w:color="auto" w:sz="4" w:space="0"/>
            </w:tcBorders>
          </w:tcPr>
          <w:p>
            <w:pPr>
              <w:adjustRightInd w:val="0"/>
              <w:snapToGrid w:val="0"/>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w:t>
            </w: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注：若分项费用的计算依据、过程和公式不便在表中表述，可单独另附表格或描述进行说明。</w:t>
      </w:r>
    </w:p>
    <w:p>
      <w:pPr>
        <w:adjustRightInd w:val="0"/>
        <w:snapToGrid w:val="0"/>
        <w:spacing w:line="600" w:lineRule="exact"/>
        <w:ind w:firstLine="570"/>
        <w:rPr>
          <w:rFonts w:ascii="仿宋_GB2312" w:eastAsia="仿宋_GB2312" w:hAnsiTheme="minorEastAsia"/>
          <w:sz w:val="28"/>
          <w:szCs w:val="28"/>
          <w:highlight w:val="none"/>
        </w:rPr>
      </w:pPr>
    </w:p>
    <w:p>
      <w:pPr>
        <w:pStyle w:val="6"/>
        <w:rPr>
          <w:rFonts w:hint="eastAsia" w:eastAsiaTheme="majorEastAsia"/>
          <w:highlight w:val="none"/>
          <w:lang w:val="en-US" w:eastAsia="zh-CN"/>
        </w:rPr>
      </w:pPr>
      <w:bookmarkStart w:id="182" w:name="_Toc6058"/>
      <w:bookmarkStart w:id="183" w:name="_Toc88209965"/>
      <w:bookmarkStart w:id="184" w:name="_Toc87616402"/>
      <w:bookmarkStart w:id="185" w:name="_Toc16386"/>
    </w:p>
    <w:p>
      <w:pPr>
        <w:rPr>
          <w:rFonts w:hint="eastAsia" w:eastAsiaTheme="majorEastAsia"/>
          <w:highlight w:val="none"/>
          <w:lang w:val="en-US" w:eastAsia="zh-CN"/>
        </w:rPr>
      </w:pPr>
    </w:p>
    <w:p>
      <w:pPr>
        <w:pStyle w:val="2"/>
        <w:rPr>
          <w:rFonts w:hint="eastAsia" w:eastAsiaTheme="majorEastAsia"/>
          <w:highlight w:val="none"/>
          <w:lang w:val="en-US" w:eastAsia="zh-CN"/>
        </w:rPr>
      </w:pPr>
    </w:p>
    <w:p>
      <w:pPr>
        <w:pStyle w:val="2"/>
        <w:rPr>
          <w:rFonts w:hint="eastAsia" w:eastAsiaTheme="majorEastAsia"/>
          <w:highlight w:val="none"/>
          <w:lang w:val="en-US" w:eastAsia="zh-CN"/>
        </w:rPr>
      </w:pPr>
    </w:p>
    <w:p>
      <w:pPr>
        <w:pStyle w:val="6"/>
        <w:rPr>
          <w:rFonts w:asciiTheme="majorEastAsia" w:hAnsiTheme="majorEastAsia" w:eastAsiaTheme="majorEastAsia"/>
          <w:sz w:val="28"/>
          <w:szCs w:val="28"/>
          <w:highlight w:val="none"/>
        </w:rPr>
      </w:pPr>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.其他资料</w:t>
      </w:r>
      <w:bookmarkEnd w:id="182"/>
      <w:bookmarkEnd w:id="183"/>
      <w:bookmarkEnd w:id="184"/>
      <w:bookmarkEnd w:id="185"/>
    </w:p>
    <w:p>
      <w:pPr>
        <w:jc w:val="center"/>
        <w:rPr>
          <w:rFonts w:hint="default" w:ascii="仿宋_GB2312" w:hAnsi="仿宋_GB2312" w:eastAsia="仿宋_GB2312" w:cs="仿宋_GB2312"/>
          <w:b/>
          <w:color w:val="000000"/>
          <w:sz w:val="28"/>
          <w:szCs w:val="28"/>
          <w:highlight w:val="none"/>
          <w:lang w:val="en-US" w:eastAsia="zh-CN"/>
        </w:rPr>
      </w:pPr>
      <w:r>
        <w:rPr>
          <w:rFonts w:hint="eastAsia" w:ascii="仿宋_GB2312" w:hAnsi="仿宋_GB2312" w:eastAsia="仿宋_GB2312" w:cs="仿宋_GB2312"/>
          <w:b/>
          <w:color w:val="000000"/>
          <w:sz w:val="28"/>
          <w:szCs w:val="28"/>
          <w:highlight w:val="none"/>
          <w:lang w:val="en-US" w:eastAsia="zh-CN"/>
        </w:rPr>
        <w:t>承诺函</w:t>
      </w:r>
    </w:p>
    <w:p>
      <w:pPr>
        <w:jc w:val="center"/>
        <w:rPr>
          <w:rFonts w:hint="eastAsia" w:ascii="仿宋_GB2312" w:hAnsi="仿宋_GB2312" w:eastAsia="仿宋_GB2312" w:cs="仿宋_GB2312"/>
          <w:b/>
          <w:color w:val="000000"/>
          <w:sz w:val="28"/>
          <w:szCs w:val="28"/>
          <w:highlight w:val="none"/>
          <w:lang w:val="en-US" w:eastAsia="zh-CN"/>
        </w:rPr>
      </w:pPr>
    </w:p>
    <w:p>
      <w:pPr>
        <w:pStyle w:val="45"/>
        <w:rPr>
          <w:rFonts w:hint="eastAsia" w:hAnsi="宋体" w:cs="宋体"/>
          <w:bCs/>
          <w:sz w:val="28"/>
          <w:szCs w:val="28"/>
          <w:highlight w:val="none"/>
          <w:lang w:val="en-US" w:eastAsia="zh-CN"/>
        </w:rPr>
      </w:pPr>
      <w:r>
        <w:rPr>
          <w:rFonts w:hint="eastAsia" w:hAnsi="宋体" w:cs="宋体"/>
          <w:bCs/>
          <w:sz w:val="28"/>
          <w:szCs w:val="28"/>
          <w:highlight w:val="none"/>
          <w:lang w:val="en-US" w:eastAsia="zh-CN"/>
        </w:rPr>
        <w:t>广州市净水有限公司：</w:t>
      </w:r>
    </w:p>
    <w:p>
      <w:pPr>
        <w:autoSpaceDE w:val="0"/>
        <w:autoSpaceDN w:val="0"/>
        <w:ind w:firstLine="560" w:firstLineChars="200"/>
        <w:rPr>
          <w:rFonts w:hint="eastAsia" w:ascii="仿宋_GB2312" w:hAnsi="仿宋_GB2312" w:eastAsia="仿宋_GB2312" w:cs="仿宋_GB2312"/>
          <w:color w:val="000000"/>
          <w:sz w:val="28"/>
          <w:szCs w:val="28"/>
          <w:highlight w:val="none"/>
          <w:u w:val="none"/>
          <w:lang w:val="en-US" w:eastAsia="zh-CN"/>
        </w:rPr>
      </w:pPr>
      <w:r>
        <w:rPr>
          <w:rFonts w:hint="eastAsia" w:ascii="仿宋_GB2312" w:hAnsi="仿宋_GB2312" w:eastAsia="仿宋_GB2312" w:cs="仿宋_GB2312"/>
          <w:color w:val="000000"/>
          <w:sz w:val="28"/>
          <w:szCs w:val="28"/>
          <w:highlight w:val="none"/>
          <w:u w:val="none"/>
          <w:lang w:val="en-US" w:eastAsia="zh-CN"/>
        </w:rPr>
        <w:t>我方承诺，所提供报价货物/设备均为制造商全新原装产品。货物在质保期（为自供货验收合格之日起1年内）免费提供维保服务。质保期如有质量问题，我司24小时内派技术人员免费到现场进行维修。</w:t>
      </w:r>
    </w:p>
    <w:p>
      <w:pPr>
        <w:pStyle w:val="45"/>
        <w:ind w:firstLine="0" w:firstLineChars="0"/>
        <w:rPr>
          <w:rFonts w:hint="eastAsia" w:ascii="仿宋_GB2312" w:hAnsi="仿宋_GB2312" w:eastAsia="仿宋_GB2312" w:cs="仿宋_GB2312"/>
          <w:color w:val="000000"/>
          <w:sz w:val="28"/>
          <w:szCs w:val="28"/>
          <w:highlight w:val="none"/>
          <w:u w:val="none"/>
          <w:lang w:val="en-US" w:eastAsia="zh-CN"/>
        </w:rPr>
      </w:pPr>
    </w:p>
    <w:p>
      <w:pPr>
        <w:pStyle w:val="45"/>
        <w:ind w:firstLine="280" w:firstLineChars="100"/>
        <w:rPr>
          <w:rFonts w:hint="eastAsia" w:hAnsi="宋体" w:cs="宋体"/>
          <w:bCs/>
          <w:sz w:val="28"/>
          <w:szCs w:val="28"/>
          <w:highlight w:val="none"/>
          <w:lang w:val="en-US" w:eastAsia="zh-CN"/>
        </w:rPr>
      </w:pPr>
      <w:r>
        <w:rPr>
          <w:rFonts w:hint="eastAsia" w:hAnsi="宋体" w:cs="宋体"/>
          <w:bCs/>
          <w:sz w:val="28"/>
          <w:szCs w:val="28"/>
          <w:highlight w:val="none"/>
          <w:lang w:val="en-US" w:eastAsia="zh-CN"/>
        </w:rPr>
        <w:t xml:space="preserve">                                        ******公司（报价单位）</w:t>
      </w:r>
    </w:p>
    <w:p>
      <w:pPr>
        <w:pStyle w:val="45"/>
        <w:ind w:firstLine="280" w:firstLineChars="100"/>
        <w:rPr>
          <w:rFonts w:hint="eastAsia" w:hAnsi="宋体" w:cs="宋体"/>
          <w:bCs/>
          <w:sz w:val="28"/>
          <w:szCs w:val="28"/>
          <w:highlight w:val="none"/>
          <w:lang w:val="en-US" w:eastAsia="zh-CN"/>
        </w:rPr>
      </w:pPr>
      <w:r>
        <w:rPr>
          <w:rFonts w:hint="eastAsia" w:hAnsi="宋体" w:cs="宋体"/>
          <w:bCs/>
          <w:sz w:val="28"/>
          <w:szCs w:val="28"/>
          <w:highlight w:val="none"/>
          <w:lang w:val="en-US" w:eastAsia="zh-CN"/>
        </w:rPr>
        <w:t xml:space="preserve">                                                  </w:t>
      </w:r>
      <w:r>
        <w:rPr>
          <w:rFonts w:hint="eastAsia" w:hAnsi="宋体" w:cs="宋体"/>
          <w:bCs/>
          <w:sz w:val="24"/>
          <w:szCs w:val="24"/>
          <w:highlight w:val="none"/>
          <w:lang w:val="en-US" w:eastAsia="zh-CN"/>
        </w:rPr>
        <w:t>（盖单位公章）</w:t>
      </w:r>
    </w:p>
    <w:p>
      <w:pPr>
        <w:jc w:val="center"/>
        <w:rPr>
          <w:rFonts w:hint="eastAsia" w:ascii="仿宋_GB2312" w:hAnsi="仿宋_GB2312" w:eastAsia="仿宋_GB2312" w:cs="仿宋_GB2312"/>
          <w:b/>
          <w:color w:val="000000"/>
          <w:sz w:val="28"/>
          <w:szCs w:val="28"/>
          <w:highlight w:val="none"/>
          <w:lang w:val="en-US" w:eastAsia="zh-CN"/>
        </w:rPr>
      </w:pPr>
      <w:r>
        <w:rPr>
          <w:rFonts w:hint="eastAsia" w:hAnsi="宋体" w:cs="宋体"/>
          <w:bCs/>
          <w:sz w:val="28"/>
          <w:szCs w:val="28"/>
          <w:highlight w:val="none"/>
          <w:lang w:val="en-US" w:eastAsia="zh-CN"/>
        </w:rPr>
        <w:t xml:space="preserve">                                              年  月  日</w:t>
      </w:r>
    </w:p>
    <w:p/>
    <w:sectPr>
      <w:headerReference r:id="rId6" w:type="first"/>
      <w:footerReference r:id="rId9" w:type="first"/>
      <w:footerReference r:id="rId7" w:type="default"/>
      <w:footerReference r:id="rId8" w:type="even"/>
      <w:pgSz w:w="11906" w:h="16838"/>
      <w:pgMar w:top="1440" w:right="1587" w:bottom="1440" w:left="1587" w:header="851" w:footer="992" w:gutter="0"/>
      <w:pgNumType w:fmt="decimal" w:start="4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2090C75"/>
    <w:rsid w:val="02A23A3C"/>
    <w:rsid w:val="03AC246A"/>
    <w:rsid w:val="03B23056"/>
    <w:rsid w:val="03DC3EBA"/>
    <w:rsid w:val="03F9794D"/>
    <w:rsid w:val="046A2461"/>
    <w:rsid w:val="059E46C5"/>
    <w:rsid w:val="06C64829"/>
    <w:rsid w:val="077D16D2"/>
    <w:rsid w:val="08345236"/>
    <w:rsid w:val="08675FC8"/>
    <w:rsid w:val="09B713FD"/>
    <w:rsid w:val="09EF6ACC"/>
    <w:rsid w:val="0A315056"/>
    <w:rsid w:val="0AFB45AD"/>
    <w:rsid w:val="0B351E9B"/>
    <w:rsid w:val="0B4C50D3"/>
    <w:rsid w:val="0B806B92"/>
    <w:rsid w:val="0B827E94"/>
    <w:rsid w:val="0C247926"/>
    <w:rsid w:val="0D794204"/>
    <w:rsid w:val="0E2125D1"/>
    <w:rsid w:val="0E214211"/>
    <w:rsid w:val="0E5F2769"/>
    <w:rsid w:val="0F4D75A3"/>
    <w:rsid w:val="0F5B2DCA"/>
    <w:rsid w:val="0FED051E"/>
    <w:rsid w:val="0FEE4C29"/>
    <w:rsid w:val="10046082"/>
    <w:rsid w:val="110A300A"/>
    <w:rsid w:val="112B101A"/>
    <w:rsid w:val="119B53FC"/>
    <w:rsid w:val="12424CDC"/>
    <w:rsid w:val="129A2738"/>
    <w:rsid w:val="12B56BF1"/>
    <w:rsid w:val="12CB1A89"/>
    <w:rsid w:val="131840FB"/>
    <w:rsid w:val="13467417"/>
    <w:rsid w:val="136E76CF"/>
    <w:rsid w:val="138E1434"/>
    <w:rsid w:val="15B72806"/>
    <w:rsid w:val="15BC6B3C"/>
    <w:rsid w:val="1694429A"/>
    <w:rsid w:val="17635326"/>
    <w:rsid w:val="18236EFD"/>
    <w:rsid w:val="189D5B1F"/>
    <w:rsid w:val="18A34CD0"/>
    <w:rsid w:val="19B64DBC"/>
    <w:rsid w:val="1A373ACF"/>
    <w:rsid w:val="1A895341"/>
    <w:rsid w:val="1B0D071F"/>
    <w:rsid w:val="1B28449B"/>
    <w:rsid w:val="1B4568CE"/>
    <w:rsid w:val="1B9015B7"/>
    <w:rsid w:val="1D5A79EE"/>
    <w:rsid w:val="1E0E2CD0"/>
    <w:rsid w:val="1E831280"/>
    <w:rsid w:val="1EBC4704"/>
    <w:rsid w:val="1F172EB5"/>
    <w:rsid w:val="1F94592D"/>
    <w:rsid w:val="1FB860DE"/>
    <w:rsid w:val="203C5A02"/>
    <w:rsid w:val="209D4C94"/>
    <w:rsid w:val="218400BA"/>
    <w:rsid w:val="21AB1E2F"/>
    <w:rsid w:val="21D40498"/>
    <w:rsid w:val="22767047"/>
    <w:rsid w:val="23A05588"/>
    <w:rsid w:val="25431AEB"/>
    <w:rsid w:val="25BF43FD"/>
    <w:rsid w:val="25F86BCD"/>
    <w:rsid w:val="269E416A"/>
    <w:rsid w:val="272100D3"/>
    <w:rsid w:val="272C72FC"/>
    <w:rsid w:val="2734382B"/>
    <w:rsid w:val="27EB149D"/>
    <w:rsid w:val="28E11370"/>
    <w:rsid w:val="294A756A"/>
    <w:rsid w:val="29D5322D"/>
    <w:rsid w:val="2A025DD9"/>
    <w:rsid w:val="2A7C2231"/>
    <w:rsid w:val="2ABB753D"/>
    <w:rsid w:val="2B7A49FA"/>
    <w:rsid w:val="2B954E11"/>
    <w:rsid w:val="2C615D26"/>
    <w:rsid w:val="2CB679ED"/>
    <w:rsid w:val="2D173C07"/>
    <w:rsid w:val="2D424A86"/>
    <w:rsid w:val="2E7B52DB"/>
    <w:rsid w:val="2F217A60"/>
    <w:rsid w:val="2F324CFE"/>
    <w:rsid w:val="2FBA09F1"/>
    <w:rsid w:val="2FBB5315"/>
    <w:rsid w:val="2FEF2ACF"/>
    <w:rsid w:val="30540211"/>
    <w:rsid w:val="312D7741"/>
    <w:rsid w:val="312F5AE8"/>
    <w:rsid w:val="316F137F"/>
    <w:rsid w:val="31761915"/>
    <w:rsid w:val="31DF525F"/>
    <w:rsid w:val="327171DF"/>
    <w:rsid w:val="341E3434"/>
    <w:rsid w:val="358104A7"/>
    <w:rsid w:val="360B7EBA"/>
    <w:rsid w:val="369C32FD"/>
    <w:rsid w:val="36A775B5"/>
    <w:rsid w:val="37666E72"/>
    <w:rsid w:val="38167A04"/>
    <w:rsid w:val="394B167A"/>
    <w:rsid w:val="3A4E4336"/>
    <w:rsid w:val="3A6007FE"/>
    <w:rsid w:val="3B7C2CE4"/>
    <w:rsid w:val="3C0B5355"/>
    <w:rsid w:val="3CCA4467"/>
    <w:rsid w:val="3CD4176B"/>
    <w:rsid w:val="3D1F44D9"/>
    <w:rsid w:val="3D5C38CD"/>
    <w:rsid w:val="3E5070F1"/>
    <w:rsid w:val="3F6C3589"/>
    <w:rsid w:val="3F850180"/>
    <w:rsid w:val="3F9004D6"/>
    <w:rsid w:val="400E4D5E"/>
    <w:rsid w:val="40E1138C"/>
    <w:rsid w:val="413814BA"/>
    <w:rsid w:val="41872511"/>
    <w:rsid w:val="418D1151"/>
    <w:rsid w:val="42466655"/>
    <w:rsid w:val="42C82F57"/>
    <w:rsid w:val="43C76AF7"/>
    <w:rsid w:val="446828F0"/>
    <w:rsid w:val="45C13B4D"/>
    <w:rsid w:val="46054BCA"/>
    <w:rsid w:val="464C6AFC"/>
    <w:rsid w:val="46A107C3"/>
    <w:rsid w:val="46B15CE2"/>
    <w:rsid w:val="46BE113D"/>
    <w:rsid w:val="46E44B13"/>
    <w:rsid w:val="4703508A"/>
    <w:rsid w:val="475023F8"/>
    <w:rsid w:val="47646802"/>
    <w:rsid w:val="47673286"/>
    <w:rsid w:val="479D361E"/>
    <w:rsid w:val="47B74789"/>
    <w:rsid w:val="480F2B9D"/>
    <w:rsid w:val="48282920"/>
    <w:rsid w:val="485321E0"/>
    <w:rsid w:val="48546AD3"/>
    <w:rsid w:val="48CA4868"/>
    <w:rsid w:val="48F005D3"/>
    <w:rsid w:val="49C05787"/>
    <w:rsid w:val="49CF518D"/>
    <w:rsid w:val="4ADA1F63"/>
    <w:rsid w:val="4AE23D89"/>
    <w:rsid w:val="4B2038D0"/>
    <w:rsid w:val="4B296E7D"/>
    <w:rsid w:val="4B877F28"/>
    <w:rsid w:val="4BAC6A11"/>
    <w:rsid w:val="4CFB0FE7"/>
    <w:rsid w:val="4D916BA6"/>
    <w:rsid w:val="4DC44169"/>
    <w:rsid w:val="4EF0709E"/>
    <w:rsid w:val="4F693369"/>
    <w:rsid w:val="513C6A7B"/>
    <w:rsid w:val="5333545B"/>
    <w:rsid w:val="5450213C"/>
    <w:rsid w:val="54D24048"/>
    <w:rsid w:val="54D64CD5"/>
    <w:rsid w:val="557E4517"/>
    <w:rsid w:val="55887D69"/>
    <w:rsid w:val="561A0928"/>
    <w:rsid w:val="56423872"/>
    <w:rsid w:val="56B279F0"/>
    <w:rsid w:val="57DA683D"/>
    <w:rsid w:val="581F22F6"/>
    <w:rsid w:val="586E1E17"/>
    <w:rsid w:val="58862C35"/>
    <w:rsid w:val="58C14957"/>
    <w:rsid w:val="599F6E27"/>
    <w:rsid w:val="5A427EC2"/>
    <w:rsid w:val="5AE83A50"/>
    <w:rsid w:val="5BAB2917"/>
    <w:rsid w:val="5BFC33FA"/>
    <w:rsid w:val="5C201E3C"/>
    <w:rsid w:val="5C3107A4"/>
    <w:rsid w:val="5C3B1B93"/>
    <w:rsid w:val="5C9220DF"/>
    <w:rsid w:val="5D4A15F3"/>
    <w:rsid w:val="5D69542A"/>
    <w:rsid w:val="5E0930EF"/>
    <w:rsid w:val="5E3D4D53"/>
    <w:rsid w:val="5E4717E6"/>
    <w:rsid w:val="5E55774C"/>
    <w:rsid w:val="60104DDC"/>
    <w:rsid w:val="605C0804"/>
    <w:rsid w:val="60B23420"/>
    <w:rsid w:val="60EB051F"/>
    <w:rsid w:val="6189617B"/>
    <w:rsid w:val="61B52BB6"/>
    <w:rsid w:val="61B749C2"/>
    <w:rsid w:val="62280D20"/>
    <w:rsid w:val="62CA2457"/>
    <w:rsid w:val="638240A1"/>
    <w:rsid w:val="63A5257B"/>
    <w:rsid w:val="63BD3DCC"/>
    <w:rsid w:val="63C61741"/>
    <w:rsid w:val="64560967"/>
    <w:rsid w:val="656B1D10"/>
    <w:rsid w:val="66022B28"/>
    <w:rsid w:val="66581E87"/>
    <w:rsid w:val="66CB1719"/>
    <w:rsid w:val="66FA11D5"/>
    <w:rsid w:val="674302C7"/>
    <w:rsid w:val="680A5986"/>
    <w:rsid w:val="680D5F4B"/>
    <w:rsid w:val="68113F51"/>
    <w:rsid w:val="686779F3"/>
    <w:rsid w:val="68E94770"/>
    <w:rsid w:val="68F949C9"/>
    <w:rsid w:val="695A4290"/>
    <w:rsid w:val="6A334932"/>
    <w:rsid w:val="6A3353FF"/>
    <w:rsid w:val="6A5D63E6"/>
    <w:rsid w:val="6A5F24D1"/>
    <w:rsid w:val="6AE347EB"/>
    <w:rsid w:val="6B434AF0"/>
    <w:rsid w:val="6B57675A"/>
    <w:rsid w:val="6BDD7B4D"/>
    <w:rsid w:val="6E0A0BA7"/>
    <w:rsid w:val="6EBC0B3A"/>
    <w:rsid w:val="6EF51C7D"/>
    <w:rsid w:val="6F8363E5"/>
    <w:rsid w:val="6FC746F5"/>
    <w:rsid w:val="70317AC6"/>
    <w:rsid w:val="70863262"/>
    <w:rsid w:val="70A76ED3"/>
    <w:rsid w:val="71860B17"/>
    <w:rsid w:val="723B27CC"/>
    <w:rsid w:val="72687227"/>
    <w:rsid w:val="72A03FD9"/>
    <w:rsid w:val="73406CFF"/>
    <w:rsid w:val="7383028C"/>
    <w:rsid w:val="73A25E44"/>
    <w:rsid w:val="73C93117"/>
    <w:rsid w:val="741F68CF"/>
    <w:rsid w:val="75252DF3"/>
    <w:rsid w:val="75621536"/>
    <w:rsid w:val="75BF3154"/>
    <w:rsid w:val="764A07CF"/>
    <w:rsid w:val="764F6B3D"/>
    <w:rsid w:val="76CD2B7B"/>
    <w:rsid w:val="76D80645"/>
    <w:rsid w:val="76E03371"/>
    <w:rsid w:val="780E5898"/>
    <w:rsid w:val="78153D7E"/>
    <w:rsid w:val="782642CC"/>
    <w:rsid w:val="7894095E"/>
    <w:rsid w:val="79000679"/>
    <w:rsid w:val="79A416F0"/>
    <w:rsid w:val="79B03EB6"/>
    <w:rsid w:val="7AF37579"/>
    <w:rsid w:val="7AF87F64"/>
    <w:rsid w:val="7B1C0C84"/>
    <w:rsid w:val="7B5A62DF"/>
    <w:rsid w:val="7B7A04A8"/>
    <w:rsid w:val="7C22163C"/>
    <w:rsid w:val="7C595075"/>
    <w:rsid w:val="7C6B07B2"/>
    <w:rsid w:val="7D133243"/>
    <w:rsid w:val="7D48635C"/>
    <w:rsid w:val="7E394207"/>
    <w:rsid w:val="7E4007A2"/>
    <w:rsid w:val="7E791CAD"/>
    <w:rsid w:val="7EA50DFB"/>
    <w:rsid w:val="7EC86878"/>
    <w:rsid w:val="7F16390D"/>
    <w:rsid w:val="7F752917"/>
    <w:rsid w:val="7FE37961"/>
    <w:rsid w:val="7FF633F9"/>
    <w:rsid w:val="7FFA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99"/>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5</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2022-06-20T08:51:00Z</cp:lastPrinted>
  <dcterms:modified xsi:type="dcterms:W3CDTF">2022-08-05T08:43:49Z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