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员工食堂约餐管理系统采购项目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二二年</w:t>
      </w:r>
      <w:r>
        <w:rPr>
          <w:rFonts w:hint="eastAsia" w:ascii="黑体" w:hAnsi="黑体" w:eastAsia="黑体" w:cs="仿宋_GB2312"/>
          <w:sz w:val="32"/>
          <w:szCs w:val="32"/>
          <w:highlight w:val="none"/>
          <w:lang w:val="en-US" w:eastAsia="zh-CN"/>
        </w:rPr>
        <w:t>七</w:t>
      </w:r>
      <w:r>
        <w:rPr>
          <w:rFonts w:hint="eastAsia" w:ascii="黑体" w:hAnsi="黑体" w:eastAsia="黑体" w:cs="仿宋_GB2312"/>
          <w:sz w:val="32"/>
          <w:szCs w:val="32"/>
          <w:highlight w:val="none"/>
        </w:rPr>
        <w:t>月</w:t>
      </w:r>
    </w:p>
    <w:p>
      <w:pPr>
        <w:rPr>
          <w:highlight w:val="none"/>
        </w:rPr>
        <w:sectPr>
          <w:headerReference r:id="rId3" w:type="first"/>
          <w:footerReference r:id="rId5" w:type="first"/>
          <w:footerReference r:id="rId4" w:type="default"/>
          <w:pgSz w:w="11906" w:h="16838"/>
          <w:pgMar w:top="2098" w:right="1474" w:bottom="1985" w:left="1588" w:header="851" w:footer="992" w:gutter="0"/>
          <w:pgNumType w:fmt="decimal"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20"/>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20"/>
        <w:numPr>
          <w:ilvl w:val="0"/>
          <w:numId w:val="1"/>
        </w:numPr>
        <w:tabs>
          <w:tab w:val="right" w:pos="8844"/>
        </w:tabs>
        <w:rPr>
          <w:highlight w:val="none"/>
        </w:rPr>
      </w:pPr>
      <w:r>
        <w:rPr>
          <w:rFonts w:hint="eastAsia"/>
          <w:highlight w:val="none"/>
          <w:lang w:val="en-US" w:eastAsia="zh-CN"/>
        </w:rPr>
        <w:t>供应商须知</w:t>
      </w:r>
    </w:p>
    <w:p>
      <w:pPr>
        <w:pStyle w:val="20"/>
        <w:numPr>
          <w:ilvl w:val="0"/>
          <w:numId w:val="1"/>
        </w:numPr>
        <w:tabs>
          <w:tab w:val="right" w:pos="8844"/>
        </w:tabs>
        <w:rPr>
          <w:highlight w:val="none"/>
        </w:rPr>
      </w:pPr>
      <w:r>
        <w:rPr>
          <w:rFonts w:hint="eastAsia"/>
          <w:highlight w:val="none"/>
          <w:lang w:val="en-US" w:eastAsia="zh-CN"/>
        </w:rPr>
        <w:t>采购方法</w:t>
      </w:r>
    </w:p>
    <w:p>
      <w:pPr>
        <w:pStyle w:val="20"/>
        <w:numPr>
          <w:ilvl w:val="0"/>
          <w:numId w:val="1"/>
        </w:numPr>
        <w:tabs>
          <w:tab w:val="right" w:pos="8844"/>
        </w:tabs>
        <w:rPr>
          <w:highlight w:val="none"/>
        </w:rPr>
      </w:pPr>
      <w:r>
        <w:rPr>
          <w:rFonts w:hint="eastAsia"/>
          <w:highlight w:val="none"/>
          <w:lang w:val="en-US" w:eastAsia="zh-CN"/>
        </w:rPr>
        <w:t>评审方法</w:t>
      </w:r>
    </w:p>
    <w:p>
      <w:pPr>
        <w:pStyle w:val="20"/>
        <w:numPr>
          <w:ilvl w:val="0"/>
          <w:numId w:val="1"/>
        </w:numPr>
        <w:tabs>
          <w:tab w:val="right" w:pos="8844"/>
        </w:tabs>
        <w:rPr>
          <w:highlight w:val="none"/>
        </w:rPr>
      </w:pPr>
      <w:r>
        <w:rPr>
          <w:rFonts w:hint="eastAsia"/>
          <w:highlight w:val="none"/>
          <w:lang w:val="en-US" w:eastAsia="zh-CN"/>
        </w:rPr>
        <w:t>采购需求</w:t>
      </w:r>
    </w:p>
    <w:p>
      <w:pPr>
        <w:pStyle w:val="20"/>
        <w:numPr>
          <w:ilvl w:val="0"/>
          <w:numId w:val="1"/>
        </w:numPr>
        <w:tabs>
          <w:tab w:val="right" w:pos="8844"/>
        </w:tabs>
        <w:rPr>
          <w:highlight w:val="none"/>
        </w:rPr>
      </w:pPr>
      <w:r>
        <w:rPr>
          <w:rFonts w:hint="eastAsia"/>
          <w:highlight w:val="none"/>
        </w:rPr>
        <w:t>合同草案</w:t>
      </w:r>
    </w:p>
    <w:p>
      <w:pPr>
        <w:pStyle w:val="20"/>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20"/>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highlight w:val="none"/>
        </w:rPr>
      </w:pPr>
      <w:r>
        <w:rPr>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4"/>
        <w:rPr>
          <w:rFonts w:hint="eastAsia"/>
          <w:highlight w:val="none"/>
        </w:rPr>
      </w:pPr>
      <w:bookmarkStart w:id="0" w:name="_Toc26148"/>
      <w:bookmarkStart w:id="1" w:name="_Toc18145"/>
    </w:p>
    <w:p>
      <w:pPr>
        <w:rPr>
          <w:rFonts w:hint="eastAsia"/>
          <w:highlight w:val="none"/>
        </w:rPr>
      </w:pPr>
    </w:p>
    <w:p>
      <w:pPr>
        <w:pStyle w:val="4"/>
        <w:rPr>
          <w:rFonts w:hint="eastAsia"/>
          <w:highlight w:val="none"/>
        </w:rPr>
      </w:pPr>
      <w:bookmarkStart w:id="2" w:name="_Toc1711"/>
      <w:bookmarkStart w:id="3" w:name="_Toc17696"/>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rPr>
          <w:rFonts w:hint="eastAsia"/>
          <w:highlight w:val="none"/>
        </w:rPr>
      </w:pPr>
      <w:bookmarkStart w:id="4" w:name="_Toc17801"/>
      <w:bookmarkStart w:id="5" w:name="_Toc11322"/>
      <w:bookmarkStart w:id="6" w:name="_Toc1669"/>
      <w:bookmarkStart w:id="7" w:name="_Toc4275"/>
      <w:bookmarkStart w:id="8" w:name="_Toc31938"/>
      <w:bookmarkStart w:id="9" w:name="_Toc7519"/>
      <w:bookmarkStart w:id="10" w:name="_Toc19609"/>
    </w:p>
    <w:p>
      <w:pPr>
        <w:pStyle w:val="4"/>
        <w:rPr>
          <w:rFonts w:hint="eastAsia"/>
          <w:highlight w:val="none"/>
        </w:rPr>
      </w:pPr>
    </w:p>
    <w:p>
      <w:pPr>
        <w:pStyle w:val="4"/>
        <w:rPr>
          <w:rFonts w:hint="eastAsia"/>
          <w:highlight w:val="none"/>
        </w:rPr>
      </w:pPr>
    </w:p>
    <w:p>
      <w:pPr>
        <w:pStyle w:val="4"/>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4"/>
        <w:rPr>
          <w:highlight w:val="none"/>
        </w:rPr>
      </w:pPr>
      <w:bookmarkStart w:id="11" w:name="_Toc2659"/>
      <w:bookmarkStart w:id="12" w:name="_Toc26363"/>
      <w:bookmarkStart w:id="13" w:name="_Toc8201"/>
      <w:bookmarkStart w:id="14" w:name="_Toc15709"/>
      <w:bookmarkStart w:id="15" w:name="_Toc30989"/>
      <w:bookmarkStart w:id="16" w:name="_Toc14238"/>
      <w:bookmarkStart w:id="17" w:name="_Toc999"/>
      <w:bookmarkStart w:id="18" w:name="_Toc5230"/>
      <w:bookmarkStart w:id="19" w:name="_Toc10122"/>
      <w:bookmarkStart w:id="20" w:name="_Toc28995"/>
      <w:bookmarkStart w:id="21" w:name="_Toc30131"/>
      <w:bookmarkStart w:id="22" w:name="_Toc88209924"/>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仿宋_GB2312" w:eastAsia="仿宋_GB2312"/>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rPr>
        <w:t>（采购项目名称）</w:t>
      </w:r>
      <w:r>
        <w:rPr>
          <w:color w:val="auto"/>
          <w:highlight w:val="none"/>
          <w:u w:val="single"/>
        </w:rPr>
        <w:t xml:space="preserve">  </w:t>
      </w:r>
      <w:r>
        <w:rPr>
          <w:rFonts w:hint="eastAsia"/>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员工</w:t>
      </w:r>
      <w:r>
        <w:rPr>
          <w:rFonts w:hint="eastAsia" w:ascii="仿宋_GB2312" w:eastAsia="仿宋_GB2312"/>
          <w:color w:val="auto"/>
          <w:sz w:val="28"/>
          <w:szCs w:val="28"/>
          <w:highlight w:val="none"/>
          <w:u w:val="single"/>
        </w:rPr>
        <w:t xml:space="preserve">食堂约餐管理系统采购项目  </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w:t>
      </w:r>
      <w:r>
        <w:rPr>
          <w:rFonts w:hint="eastAsia" w:ascii="仿宋_GB2312" w:eastAsia="仿宋_GB2312"/>
          <w:w w:val="90"/>
          <w:sz w:val="28"/>
          <w:szCs w:val="28"/>
          <w:highlight w:val="none"/>
          <w:u w:val="single"/>
        </w:rPr>
        <w:t>广州市净水有限公司</w:t>
      </w:r>
      <w:r>
        <w:rPr>
          <w:rFonts w:hint="eastAsia" w:ascii="仿宋_GB2312" w:eastAsia="仿宋_GB2312"/>
          <w:w w:val="90"/>
          <w:sz w:val="28"/>
          <w:szCs w:val="28"/>
          <w:highlight w:val="none"/>
          <w:u w:val="single"/>
          <w:lang w:val="en-US" w:eastAsia="zh-CN"/>
        </w:rPr>
        <w:t>2022年度员工食堂</w:t>
      </w:r>
      <w:r>
        <w:rPr>
          <w:rFonts w:hint="eastAsia" w:ascii="仿宋_GB2312" w:eastAsia="仿宋_GB2312"/>
          <w:w w:val="90"/>
          <w:sz w:val="28"/>
          <w:szCs w:val="28"/>
          <w:highlight w:val="none"/>
          <w:u w:val="single"/>
        </w:rPr>
        <w:t>约餐系统项目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lang w:val="en-US" w:eastAsia="zh-CN"/>
        </w:rPr>
        <w:t>XJ-20220803-2</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rPr>
        <w:t xml:space="preserve"> 632,325.00元                                                 </w:t>
      </w: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color w:val="7030A0"/>
          <w:sz w:val="28"/>
          <w:szCs w:val="28"/>
          <w:highlight w:val="none"/>
          <w:u w:val="single"/>
        </w:rPr>
      </w:pPr>
      <w:r>
        <w:rPr>
          <w:rFonts w:hint="eastAsia" w:ascii="仿宋_GB2312" w:eastAsia="仿宋_GB2312"/>
          <w:color w:val="7030A0"/>
          <w:sz w:val="28"/>
          <w:szCs w:val="28"/>
          <w:highlight w:val="none"/>
        </w:rPr>
        <w:t>2.1采购内容和范围：</w:t>
      </w:r>
      <w:r>
        <w:rPr>
          <w:rFonts w:hint="eastAsia" w:ascii="仿宋_GB2312" w:eastAsia="仿宋_GB2312"/>
          <w:color w:val="7030A0"/>
          <w:sz w:val="28"/>
          <w:szCs w:val="28"/>
          <w:highlight w:val="none"/>
          <w:u w:val="single"/>
        </w:rPr>
        <w:t xml:space="preserve"> </w:t>
      </w:r>
      <w:r>
        <w:rPr>
          <w:rFonts w:hint="eastAsia" w:ascii="仿宋_GB2312" w:eastAsia="仿宋_GB2312"/>
          <w:color w:val="7030A0"/>
          <w:sz w:val="28"/>
          <w:szCs w:val="28"/>
          <w:highlight w:val="none"/>
          <w:u w:val="single"/>
          <w:lang w:val="en-US" w:eastAsia="zh-CN"/>
        </w:rPr>
        <w:t>拟采购我公司</w:t>
      </w:r>
      <w:bookmarkStart w:id="25" w:name="OLE_LINK1"/>
      <w:r>
        <w:rPr>
          <w:rFonts w:hint="eastAsia" w:ascii="仿宋_GB2312" w:eastAsia="仿宋_GB2312"/>
          <w:color w:val="7030A0"/>
          <w:sz w:val="28"/>
          <w:szCs w:val="28"/>
          <w:highlight w:val="none"/>
          <w:u w:val="single"/>
          <w:lang w:val="en-US" w:eastAsia="zh-CN"/>
        </w:rPr>
        <w:t>约餐系统。</w:t>
      </w:r>
      <w:bookmarkEnd w:id="25"/>
      <w:r>
        <w:rPr>
          <w:rFonts w:hint="eastAsia" w:ascii="仿宋_GB2312" w:eastAsia="仿宋_GB2312"/>
          <w:color w:val="7030A0"/>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lang w:val="en-US" w:eastAsia="zh-CN"/>
        </w:rPr>
        <w:t>120日历天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2.3地点：□建设地点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_GB2312" w:eastAsia="仿宋_GB2312"/>
          <w:sz w:val="28"/>
          <w:szCs w:val="28"/>
          <w:highlight w:val="none"/>
          <w:u w:val="single"/>
        </w:rPr>
        <w:t xml:space="preserve"> 我公司下属12家净水厂</w:t>
      </w:r>
      <w:r>
        <w:rPr>
          <w:rFonts w:hint="eastAsia" w:ascii="仿宋_GB2312" w:eastAsia="仿宋_GB2312"/>
          <w:sz w:val="28"/>
          <w:szCs w:val="28"/>
          <w:highlight w:val="none"/>
          <w:u w:val="single"/>
          <w:lang w:val="en-US" w:eastAsia="zh-CN"/>
        </w:rPr>
        <w:t>员工食堂</w:t>
      </w:r>
      <w:r>
        <w:rPr>
          <w:rFonts w:hint="eastAsia" w:ascii="仿宋_GB2312" w:eastAsia="仿宋_GB2312"/>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 xml:space="preserve">2.4质量要求：□施工质量要求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货物质量标准或主要技术性能指标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供应商应当具备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资质。</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单项合同金额不少于40万元类似食堂约餐系统供货</w:t>
      </w:r>
      <w:r>
        <w:rPr>
          <w:rFonts w:hint="eastAsia" w:ascii="仿宋_GB2312" w:eastAsia="仿宋_GB2312"/>
          <w:color w:val="auto"/>
          <w:sz w:val="28"/>
          <w:szCs w:val="28"/>
          <w:highlight w:val="none"/>
        </w:rPr>
        <w:t>业绩。（提供合同复印件证明，包括但不限于项目名称、金额</w:t>
      </w:r>
      <w:r>
        <w:rPr>
          <w:rFonts w:hint="eastAsia" w:ascii="仿宋_GB2312" w:eastAsia="仿宋_GB2312"/>
          <w:sz w:val="28"/>
          <w:szCs w:val="28"/>
          <w:highlight w:val="none"/>
        </w:rPr>
        <w:t>及实施内容、合同签字盖章、签订日期，加盖单位公章）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）其他要求：</w:t>
      </w:r>
      <w:r>
        <w:rPr>
          <w:rFonts w:hint="eastAsia" w:ascii="仿宋_GB2312" w:eastAsia="仿宋_GB2312"/>
          <w:sz w:val="28"/>
          <w:szCs w:val="28"/>
          <w:highlight w:val="none"/>
          <w:u w:val="none"/>
          <w:lang w:val="en-US" w:eastAsia="zh-CN"/>
        </w:rPr>
        <w:t>提交响应文件时须出具食堂约餐管理系统软件开发著作权，或制造商（厂商）针对本系统软件授权书（加盖单位公章）。</w:t>
      </w:r>
      <w:r>
        <w:rPr>
          <w:rFonts w:hint="eastAsia" w:ascii="仿宋_GB2312" w:eastAsia="仿宋_GB2312"/>
          <w:sz w:val="28"/>
          <w:szCs w:val="28"/>
          <w:highlight w:val="none"/>
          <w:u w:val="none"/>
        </w:rPr>
        <w:t xml:space="preserve">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（8）被最高人民法院在</w:t>
      </w:r>
      <w:r>
        <w:rPr>
          <w:rFonts w:ascii="仿宋_GB2312" w:eastAsia="仿宋_GB2312"/>
          <w:sz w:val="28"/>
          <w:szCs w:val="28"/>
          <w:highlight w:val="none"/>
        </w:rPr>
        <w:t>“</w:t>
      </w:r>
      <w:r>
        <w:rPr>
          <w:rFonts w:hint="eastAsia" w:ascii="仿宋_GB2312" w:eastAsia="仿宋_GB2312"/>
          <w:sz w:val="28"/>
          <w:szCs w:val="28"/>
          <w:highlight w:val="none"/>
        </w:rPr>
        <w:t>信用中国</w:t>
      </w:r>
      <w:r>
        <w:rPr>
          <w:rFonts w:ascii="仿宋_GB2312" w:eastAsia="仿宋_GB2312"/>
          <w:sz w:val="28"/>
          <w:szCs w:val="28"/>
          <w:highlight w:val="none"/>
        </w:rPr>
        <w:t>”</w:t>
      </w:r>
      <w:r>
        <w:rPr>
          <w:rFonts w:hint="eastAsia" w:ascii="仿宋_GB2312" w:eastAsia="仿宋_GB2312"/>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（12）其他禁止情形：</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rPr>
        <w:t>日至</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lang w:eastAsia="zh-CN"/>
        </w:rPr>
      </w:pP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.1递交响应文件截止时间：</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15</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（北京时间）。</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.2递交</w:t>
      </w:r>
      <w:r>
        <w:rPr>
          <w:rFonts w:hint="eastAsia" w:ascii="仿宋_GB2312" w:eastAsia="仿宋_GB2312"/>
          <w:sz w:val="28"/>
          <w:szCs w:val="28"/>
          <w:highlight w:val="none"/>
          <w:lang w:val="en-US" w:eastAsia="zh-CN"/>
        </w:rPr>
        <w:t>及快递</w:t>
      </w:r>
      <w:r>
        <w:rPr>
          <w:rFonts w:hint="eastAsia" w:ascii="仿宋_GB2312" w:eastAsia="仿宋_GB2312"/>
          <w:sz w:val="28"/>
          <w:szCs w:val="28"/>
          <w:highlight w:val="none"/>
        </w:rPr>
        <w:t>地址：</w:t>
      </w:r>
      <w:r>
        <w:rPr>
          <w:rFonts w:hint="eastAsia" w:ascii="仿宋_GB2312" w:eastAsia="仿宋_GB2312"/>
          <w:sz w:val="28"/>
          <w:szCs w:val="28"/>
          <w:highlight w:val="none"/>
          <w:lang w:val="en-US" w:eastAsia="zh-CN"/>
        </w:rPr>
        <w:t>广州市天河区临江大道501号</w:t>
      </w:r>
      <w:r>
        <w:rPr>
          <w:rFonts w:hint="eastAsia" w:ascii="仿宋_GB2312" w:eastAsia="仿宋_GB2312"/>
          <w:sz w:val="28"/>
          <w:szCs w:val="28"/>
          <w:highlight w:val="none"/>
          <w:u w:val="single"/>
          <w:lang w:val="en-US" w:eastAsia="zh-CN"/>
        </w:rPr>
        <w:t>广州市净水有限公司6楼招标部</w:t>
      </w:r>
      <w:r>
        <w:rPr>
          <w:rFonts w:hint="eastAsia" w:ascii="仿宋_GB2312" w:eastAsia="仿宋_GB2312"/>
          <w:sz w:val="28"/>
          <w:szCs w:val="28"/>
          <w:highlight w:val="none"/>
        </w:rPr>
        <w:t>。</w:t>
      </w:r>
    </w:p>
    <w:p>
      <w:pPr>
        <w:pStyle w:val="2"/>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补充及修改</w:t>
      </w:r>
      <w:r>
        <w:rPr>
          <w:rFonts w:hint="eastAsia" w:ascii="仿宋_GB2312" w:eastAsia="仿宋_GB2312"/>
          <w:sz w:val="28"/>
          <w:szCs w:val="28"/>
          <w:highlight w:val="none"/>
        </w:rPr>
        <w:t>同时在广州市净水有限公司门户网</w:t>
      </w:r>
      <w:r>
        <w:rPr>
          <w:rFonts w:hint="eastAsia" w:ascii="仿宋_GB2312" w:eastAsia="仿宋_GB2312"/>
          <w:sz w:val="28"/>
          <w:szCs w:val="28"/>
          <w:highlight w:val="none"/>
          <w:lang w:val="en-US" w:eastAsia="zh-CN"/>
        </w:rPr>
        <w:t>站和阳光平台</w:t>
      </w:r>
      <w:r>
        <w:rPr>
          <w:rFonts w:hint="eastAsia" w:ascii="仿宋_GB2312" w:eastAsia="仿宋_GB2312"/>
          <w:sz w:val="28"/>
          <w:szCs w:val="28"/>
          <w:highlight w:val="none"/>
        </w:rPr>
        <w:t>上发布。</w:t>
      </w:r>
      <w:r>
        <w:rPr>
          <w:rFonts w:hint="eastAsia" w:ascii="仿宋_GB2312" w:hAnsi="Calibri" w:eastAsia="仿宋_GB2312" w:cs="Times New Roman"/>
          <w:sz w:val="28"/>
          <w:szCs w:val="28"/>
          <w:highlight w:val="none"/>
        </w:rPr>
        <w:t>本公告在各媒体发布的文本如有不同之处，以</w:t>
      </w:r>
      <w:r>
        <w:rPr>
          <w:rFonts w:hint="eastAsia" w:ascii="仿宋_GB2312" w:hAnsi="Calibri" w:eastAsia="仿宋_GB2312" w:cs="Times New Roman"/>
          <w:sz w:val="28"/>
          <w:szCs w:val="28"/>
          <w:highlight w:val="none"/>
          <w:lang w:val="en-US" w:eastAsia="zh-CN"/>
        </w:rPr>
        <w:t>净水公司门户网站</w:t>
      </w:r>
      <w:r>
        <w:rPr>
          <w:rFonts w:hint="eastAsia" w:ascii="仿宋_GB2312" w:hAnsi="Calibri" w:eastAsia="仿宋_GB2312" w:cs="Times New Roman"/>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38890841/62315524</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402"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单位名称</w:t>
            </w:r>
          </w:p>
        </w:tc>
        <w:tc>
          <w:tcPr>
            <w:tcW w:w="4557" w:type="dxa"/>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10</w:t>
      </w:r>
      <w:r>
        <w:rPr>
          <w:rFonts w:hint="eastAsia" w:asciiTheme="minorEastAsia" w:hAnsiTheme="minorEastAsia"/>
          <w:b/>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3</w:t>
            </w:r>
            <w:bookmarkStart w:id="177" w:name="_GoBack"/>
            <w:bookmarkEnd w:id="177"/>
            <w:r>
              <w:rPr>
                <w:rFonts w:hint="eastAsia" w:ascii="仿宋_GB2312" w:eastAsia="仿宋_GB2312"/>
                <w:sz w:val="28"/>
                <w:szCs w:val="28"/>
                <w:highlight w:val="none"/>
              </w:rPr>
              <w:t>日</w:t>
            </w:r>
          </w:p>
        </w:tc>
      </w:tr>
    </w:tbl>
    <w:p>
      <w:pPr>
        <w:pStyle w:val="2"/>
        <w:ind w:firstLine="0"/>
        <w:rPr>
          <w:rFonts w:hint="eastAsia" w:ascii="仿宋_GB2312" w:eastAsia="仿宋_GB2312" w:hAnsiTheme="majorEastAsia"/>
          <w:sz w:val="28"/>
          <w:szCs w:val="28"/>
          <w:highlight w:val="none"/>
        </w:rPr>
      </w:pPr>
    </w:p>
    <w:p>
      <w:pPr>
        <w:pStyle w:val="2"/>
        <w:ind w:firstLine="0"/>
        <w:rPr>
          <w:rFonts w:hint="eastAsia" w:ascii="仿宋_GB2312" w:eastAsia="仿宋_GB2312" w:hAnsiTheme="majorEastAsia"/>
          <w:sz w:val="28"/>
          <w:szCs w:val="28"/>
          <w:highlight w:val="none"/>
        </w:rPr>
      </w:pPr>
    </w:p>
    <w:p>
      <w:pPr>
        <w:adjustRightInd w:val="0"/>
        <w:snapToGrid w:val="0"/>
        <w:spacing w:beforeLines="50"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4"/>
        <w:rPr>
          <w:rFonts w:hint="eastAsia"/>
          <w:highlight w:val="none"/>
        </w:rPr>
      </w:pPr>
      <w:bookmarkStart w:id="26" w:name="_Toc10891"/>
    </w:p>
    <w:p>
      <w:pPr>
        <w:pStyle w:val="4"/>
        <w:rPr>
          <w:highlight w:val="none"/>
        </w:rPr>
      </w:pPr>
      <w:bookmarkStart w:id="27" w:name="_Toc7340"/>
      <w:bookmarkStart w:id="28" w:name="_Toc19295"/>
      <w:bookmarkStart w:id="29" w:name="_Toc23749"/>
      <w:bookmarkStart w:id="30" w:name="_Toc16705"/>
      <w:bookmarkStart w:id="31" w:name="_Toc25603"/>
      <w:bookmarkStart w:id="32" w:name="_Toc16557"/>
      <w:bookmarkStart w:id="33" w:name="_Toc32588"/>
      <w:bookmarkStart w:id="34" w:name="_Toc2324"/>
      <w:bookmarkStart w:id="35" w:name="_Toc2331"/>
      <w:bookmarkStart w:id="36" w:name="_Toc9448"/>
      <w:r>
        <w:rPr>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highlight w:val="none"/>
        </w:rPr>
      </w:pPr>
    </w:p>
    <w:p>
      <w:pPr>
        <w:pStyle w:val="5"/>
        <w:rPr>
          <w:highlight w:val="none"/>
        </w:rPr>
      </w:pPr>
      <w:bookmarkStart w:id="37" w:name="_Toc3416"/>
      <w:bookmarkStart w:id="38" w:name="_Toc2339"/>
      <w:r>
        <w:rPr>
          <w:rFonts w:hint="eastAsia"/>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pStyle w:val="2"/>
        <w:rPr>
          <w:rFonts w:hint="eastAsia" w:asciiTheme="minorEastAsia" w:hAnsiTheme="minorEastAsia"/>
          <w:b/>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rPr>
          <w:rFonts w:hint="eastAsia"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br w:type="page"/>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5"/>
        <w:rPr>
          <w:rFonts w:hint="eastAsia" w:asciiTheme="minorHAnsi" w:hAnsiTheme="minorHAnsi" w:cstheme="minorBidi"/>
          <w:kern w:val="44"/>
          <w:sz w:val="44"/>
          <w:szCs w:val="44"/>
          <w:highlight w:val="none"/>
        </w:rPr>
      </w:pPr>
      <w:bookmarkStart w:id="39" w:name="_Toc2867"/>
      <w:bookmarkStart w:id="40" w:name="_Toc21455"/>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9"/>
      <w:bookmarkEnd w:id="40"/>
    </w:p>
    <w:p>
      <w:pPr>
        <w:pStyle w:val="37"/>
        <w:rPr>
          <w:highlight w:val="none"/>
        </w:rPr>
      </w:pPr>
    </w:p>
    <w:p>
      <w:pPr>
        <w:pStyle w:val="5"/>
        <w:rPr>
          <w:highlight w:val="none"/>
        </w:rPr>
      </w:pPr>
      <w:bookmarkStart w:id="41" w:name="_Toc88209934"/>
      <w:bookmarkStart w:id="42" w:name="_Toc7040"/>
      <w:bookmarkStart w:id="43" w:name="_Toc87616371"/>
      <w:bookmarkStart w:id="44" w:name="_Toc7303"/>
      <w:r>
        <w:rPr>
          <w:rFonts w:hint="eastAsia"/>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5"/>
        <w:rPr>
          <w:highlight w:val="none"/>
        </w:rPr>
      </w:pPr>
      <w:bookmarkStart w:id="45" w:name="_Toc24895"/>
      <w:bookmarkStart w:id="46" w:name="_Toc3789"/>
      <w:r>
        <w:rPr>
          <w:rFonts w:hint="eastAsia"/>
          <w:highlight w:val="none"/>
        </w:rPr>
        <w:t>询比采购</w:t>
      </w:r>
      <w:bookmarkEnd w:id="45"/>
      <w:bookmarkEnd w:id="46"/>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4"/>
        <w:rPr>
          <w:highlight w:val="none"/>
        </w:rPr>
      </w:pPr>
      <w:bookmarkStart w:id="47" w:name="_Toc19050"/>
      <w:bookmarkStart w:id="48" w:name="_Toc4952"/>
      <w:bookmarkStart w:id="49" w:name="_Toc10930"/>
      <w:bookmarkStart w:id="50" w:name="_Toc19759"/>
      <w:bookmarkStart w:id="51" w:name="_Toc7437"/>
      <w:bookmarkStart w:id="52" w:name="_Toc14552"/>
      <w:bookmarkStart w:id="53" w:name="_Toc23581"/>
      <w:bookmarkStart w:id="54" w:name="_Toc20594"/>
      <w:bookmarkStart w:id="55" w:name="_Toc14870"/>
      <w:bookmarkStart w:id="56" w:name="_Toc7118"/>
      <w:bookmarkStart w:id="57" w:name="_Toc3156"/>
      <w:r>
        <w:rPr>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7"/>
      <w:bookmarkEnd w:id="48"/>
      <w:bookmarkEnd w:id="49"/>
      <w:bookmarkEnd w:id="50"/>
      <w:bookmarkEnd w:id="51"/>
      <w:bookmarkEnd w:id="52"/>
      <w:bookmarkEnd w:id="53"/>
      <w:bookmarkEnd w:id="54"/>
      <w:bookmarkEnd w:id="55"/>
      <w:bookmarkEnd w:id="56"/>
      <w:bookmarkEnd w:id="57"/>
    </w:p>
    <w:p>
      <w:pPr>
        <w:pStyle w:val="37"/>
        <w:rPr>
          <w:highlight w:val="none"/>
        </w:rPr>
      </w:pPr>
    </w:p>
    <w:p>
      <w:pPr>
        <w:pStyle w:val="4"/>
        <w:rPr>
          <w:highlight w:val="none"/>
        </w:rPr>
      </w:pPr>
      <w:bookmarkStart w:id="58" w:name="_Toc21079"/>
      <w:bookmarkStart w:id="59" w:name="_Toc87616378"/>
      <w:bookmarkStart w:id="60" w:name="_Toc29484"/>
      <w:bookmarkStart w:id="61" w:name="_Toc88209941"/>
      <w:bookmarkStart w:id="62" w:name="_Toc29345"/>
      <w:bookmarkStart w:id="63" w:name="_Toc13898"/>
      <w:bookmarkStart w:id="64" w:name="_Toc30530"/>
      <w:bookmarkStart w:id="65" w:name="_Toc21840"/>
      <w:bookmarkStart w:id="66" w:name="_Toc32607"/>
      <w:bookmarkStart w:id="67" w:name="_Toc6308"/>
      <w:bookmarkStart w:id="68" w:name="_Toc12177"/>
      <w:bookmarkStart w:id="69" w:name="_Toc7831"/>
      <w:bookmarkStart w:id="70" w:name="_Toc22212"/>
      <w:r>
        <w:rPr>
          <w:rFonts w:hint="eastAsia"/>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ind w:firstLine="0"/>
        <w:rPr>
          <w:rFonts w:ascii="方正小标宋简体" w:eastAsia="方正小标宋简体"/>
          <w:sz w:val="44"/>
          <w:szCs w:val="44"/>
          <w:highlight w:val="none"/>
        </w:rPr>
      </w:pPr>
    </w:p>
    <w:p>
      <w:pPr>
        <w:pStyle w:val="5"/>
        <w:rPr>
          <w:highlight w:val="none"/>
        </w:rPr>
      </w:pPr>
      <w:bookmarkStart w:id="71" w:name="_Toc23033"/>
      <w:bookmarkStart w:id="72" w:name="_Toc26826"/>
      <w:r>
        <w:rPr>
          <w:rFonts w:hint="eastAsia"/>
          <w:highlight w:val="none"/>
        </w:rPr>
        <w:t>经评审的最低价法</w:t>
      </w:r>
      <w:bookmarkEnd w:id="71"/>
      <w:bookmarkEnd w:id="72"/>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有响应函</w:t>
            </w:r>
            <w:r>
              <w:rPr>
                <w:rFonts w:hint="eastAsia" w:ascii="仿宋_GB2312" w:eastAsia="仿宋_GB2312"/>
                <w:sz w:val="24"/>
                <w:szCs w:val="24"/>
                <w:highlight w:val="none"/>
              </w:rPr>
              <w:t>，</w:t>
            </w:r>
            <w:r>
              <w:rPr>
                <w:rFonts w:ascii="仿宋_GB2312" w:eastAsia="仿宋_GB2312"/>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pStyle w:val="2"/>
        <w:rPr>
          <w:rFonts w:ascii="仿宋_GB2312" w:eastAsia="仿宋_GB2312" w:hAnsiTheme="minorEastAsia"/>
          <w:szCs w:val="21"/>
          <w:highlight w:val="none"/>
        </w:rPr>
      </w:pPr>
    </w:p>
    <w:p>
      <w:pPr>
        <w:adjustRightInd w:val="0"/>
        <w:snapToGrid w:val="0"/>
        <w:spacing w:line="600" w:lineRule="exact"/>
        <w:ind w:firstLine="560" w:firstLineChars="200"/>
        <w:jc w:val="left"/>
        <w:rPr>
          <w:rFonts w:ascii="仿宋_GB2312" w:eastAsia="仿宋_GB2312"/>
          <w:sz w:val="28"/>
          <w:szCs w:val="28"/>
          <w:highlight w:val="none"/>
        </w:rPr>
      </w:pPr>
      <w:bookmarkStart w:id="73" w:name="_Toc88209947"/>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br w:type="page"/>
      </w:r>
    </w:p>
    <w:p>
      <w:pPr>
        <w:pStyle w:val="5"/>
        <w:rPr>
          <w:color w:val="auto"/>
          <w:highlight w:val="none"/>
        </w:rPr>
      </w:pPr>
      <w:r>
        <w:rPr>
          <w:rFonts w:hint="eastAsia"/>
          <w:color w:val="auto"/>
          <w:highlight w:val="none"/>
          <w:lang w:val="en-US" w:eastAsia="zh-CN"/>
        </w:rPr>
        <w:t>采购需求</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（一）项目概述</w:t>
      </w:r>
    </w:p>
    <w:p>
      <w:pPr>
        <w:adjustRightInd w:val="0"/>
        <w:snapToGrid w:val="0"/>
        <w:spacing w:line="600" w:lineRule="exact"/>
        <w:ind w:firstLine="555"/>
        <w:jc w:val="left"/>
        <w:rPr>
          <w:rFonts w:hint="eastAsia" w:ascii="仿宋_GB2312" w:eastAsia="仿宋_GB2312" w:hAnsiTheme="minorEastAsia"/>
          <w:b/>
          <w:bCs/>
          <w:color w:val="7030A0"/>
          <w:sz w:val="28"/>
          <w:szCs w:val="28"/>
          <w:highlight w:val="none"/>
        </w:rPr>
      </w:pPr>
      <w:r>
        <w:rPr>
          <w:rFonts w:hint="eastAsia" w:ascii="仿宋_GB2312" w:eastAsia="仿宋_GB2312"/>
          <w:color w:val="7030A0"/>
          <w:sz w:val="28"/>
          <w:szCs w:val="28"/>
          <w:highlight w:val="none"/>
          <w:u w:val="single"/>
          <w:lang w:val="en-US" w:eastAsia="zh-CN"/>
        </w:rPr>
        <w:t>拟采购我公司约餐系统</w:t>
      </w:r>
      <w:r>
        <w:rPr>
          <w:rFonts w:hint="eastAsia" w:ascii="仿宋_GB2312" w:eastAsia="仿宋_GB2312" w:hAnsiTheme="minorEastAsia"/>
          <w:color w:val="7030A0"/>
          <w:sz w:val="28"/>
          <w:szCs w:val="28"/>
          <w:highlight w:val="none"/>
        </w:rPr>
        <w:t>。</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（二）项目具体内容</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项目名称：广州市净水有限公司</w:t>
      </w:r>
      <w:r>
        <w:rPr>
          <w:rFonts w:hint="eastAsia" w:ascii="仿宋_GB2312" w:eastAsia="仿宋_GB2312" w:hAnsiTheme="minorEastAsia"/>
          <w:color w:val="auto"/>
          <w:sz w:val="28"/>
          <w:szCs w:val="28"/>
          <w:highlight w:val="none"/>
          <w:lang w:val="en-US" w:eastAsia="zh-CN"/>
        </w:rPr>
        <w:t>2022年度员工</w:t>
      </w:r>
      <w:r>
        <w:rPr>
          <w:rFonts w:hint="eastAsia" w:ascii="仿宋_GB2312" w:eastAsia="仿宋_GB2312" w:hAnsiTheme="minorEastAsia"/>
          <w:color w:val="auto"/>
          <w:sz w:val="28"/>
          <w:szCs w:val="28"/>
          <w:highlight w:val="none"/>
        </w:rPr>
        <w:t>食堂系统项目</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项目部署地点：广州市净水有限公司</w:t>
      </w:r>
      <w:r>
        <w:rPr>
          <w:rFonts w:hint="eastAsia" w:ascii="仿宋_GB2312" w:eastAsia="仿宋_GB2312" w:hAnsiTheme="minorEastAsia"/>
          <w:color w:val="7030A0"/>
          <w:sz w:val="28"/>
          <w:szCs w:val="28"/>
          <w:highlight w:val="none"/>
          <w:lang w:val="en-US" w:eastAsia="zh-CN"/>
        </w:rPr>
        <w:t>各员工</w:t>
      </w:r>
      <w:r>
        <w:rPr>
          <w:rFonts w:hint="eastAsia" w:ascii="仿宋_GB2312" w:eastAsia="仿宋_GB2312" w:hAnsiTheme="minorEastAsia"/>
          <w:color w:val="auto"/>
          <w:sz w:val="28"/>
          <w:szCs w:val="28"/>
          <w:highlight w:val="none"/>
        </w:rPr>
        <w:t>食堂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3.采购内容</w:t>
      </w:r>
      <w:r>
        <w:rPr>
          <w:rFonts w:hint="eastAsia" w:ascii="仿宋_GB2312" w:eastAsia="仿宋_GB2312" w:hAnsiTheme="minorEastAsia"/>
          <w:color w:val="auto"/>
          <w:sz w:val="28"/>
          <w:szCs w:val="28"/>
          <w:highlight w:val="none"/>
        </w:rPr>
        <w:t>：包括但不限于智慧食堂管理系统（含食堂管理端）使用权、系统上线部署服务、人脸识别+刷卡+刷码消费机、发卡机、饭卡</w:t>
      </w:r>
      <w:r>
        <w:rPr>
          <w:rFonts w:hint="eastAsia" w:ascii="仿宋_GB2312" w:eastAsia="仿宋_GB2312" w:hAnsiTheme="minorEastAsia"/>
          <w:color w:val="auto"/>
          <w:sz w:val="28"/>
          <w:szCs w:val="28"/>
          <w:highlight w:val="none"/>
          <w:lang w:val="en-US" w:eastAsia="zh-CN"/>
        </w:rPr>
        <w:t>等，以及项目3年运维服务</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b/>
          <w:bCs/>
          <w:color w:val="auto"/>
          <w:sz w:val="28"/>
          <w:szCs w:val="28"/>
          <w:highlight w:val="none"/>
        </w:rPr>
      </w:pPr>
      <w:r>
        <w:rPr>
          <w:rFonts w:hint="eastAsia" w:ascii="仿宋_GB2312" w:eastAsia="仿宋_GB2312" w:hAnsiTheme="minorEastAsia"/>
          <w:b/>
          <w:bCs/>
          <w:color w:val="auto"/>
          <w:sz w:val="28"/>
          <w:szCs w:val="28"/>
          <w:highlight w:val="none"/>
        </w:rPr>
        <w:t>（三）项目清单：（包含但不限于以下内容）</w:t>
      </w:r>
    </w:p>
    <w:tbl>
      <w:tblPr>
        <w:tblStyle w:val="24"/>
        <w:tblpPr w:leftFromText="180" w:rightFromText="180" w:vertAnchor="text" w:horzAnchor="page" w:tblpXSpec="center" w:tblpY="116"/>
        <w:tblW w:w="8591"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5644"/>
        <w:gridCol w:w="91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trPr>
        <w:tc>
          <w:tcPr>
            <w:tcW w:w="1081"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644"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名称</w:t>
            </w:r>
          </w:p>
        </w:tc>
        <w:tc>
          <w:tcPr>
            <w:tcW w:w="919"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947" w:type="dxa"/>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订餐消费一卡通平台</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饭堂授权</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64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人脸识别引擎模块</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正版数据库mssql server2017等</w:t>
            </w:r>
          </w:p>
        </w:tc>
        <w:tc>
          <w:tcPr>
            <w:tcW w:w="919"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47"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报表中心</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szCs w:val="24"/>
                <w:highlight w:val="none"/>
              </w:rPr>
              <w:t>一卡通消费子系统</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手机端订餐系统</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手机端在线自助充值通道</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多功能智能售饭机（卡+码+脸）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含支架、布线</w:t>
            </w:r>
            <w:r>
              <w:rPr>
                <w:rFonts w:hint="eastAsia" w:ascii="宋体" w:hAnsi="宋体" w:eastAsia="宋体" w:cs="宋体"/>
                <w:sz w:val="24"/>
                <w:szCs w:val="24"/>
                <w:highlight w:val="none"/>
                <w:lang w:eastAsia="zh-CN"/>
              </w:rPr>
              <w:t>）</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51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IC读写器</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IC卡片</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4500</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实施集成费</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维护技术费</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color w:val="0000FF"/>
                <w:sz w:val="24"/>
                <w:highlight w:val="none"/>
                <w:lang w:val="en-US" w:eastAsia="zh-CN"/>
              </w:rPr>
              <w:t>云</w:t>
            </w:r>
            <w:r>
              <w:rPr>
                <w:rFonts w:hint="eastAsia" w:ascii="宋体" w:hAnsi="宋体" w:eastAsia="宋体" w:cs="宋体"/>
                <w:sz w:val="24"/>
                <w:highlight w:val="none"/>
              </w:rPr>
              <w:t>服务器</w:t>
            </w:r>
            <w:r>
              <w:rPr>
                <w:rFonts w:hint="eastAsia" w:ascii="宋体" w:hAnsi="宋体" w:eastAsia="宋体" w:cs="宋体"/>
                <w:sz w:val="24"/>
                <w:highlight w:val="none"/>
                <w:lang w:val="en-US" w:eastAsia="zh-CN"/>
              </w:rPr>
              <w:t>2套</w:t>
            </w:r>
            <w:r>
              <w:rPr>
                <w:rFonts w:hint="eastAsia" w:ascii="宋体" w:hAnsi="宋体" w:eastAsia="宋体" w:cs="宋体"/>
                <w:sz w:val="24"/>
                <w:highlight w:val="none"/>
              </w:rPr>
              <w:t>（8v16G 1T含公网IP）</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36 </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共享带宽40M</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36</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081"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564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宋体"/>
                <w:lang w:val="en-US" w:eastAsia="zh-CN"/>
              </w:rPr>
            </w:pPr>
            <w:r>
              <w:rPr>
                <w:rFonts w:hint="eastAsia" w:ascii="宋体" w:hAnsi="宋体" w:eastAsia="宋体" w:cs="宋体"/>
                <w:color w:val="0000FF"/>
                <w:lang w:val="en-US" w:eastAsia="zh-CN"/>
              </w:rPr>
              <w:t>安全</w:t>
            </w:r>
            <w:r>
              <w:rPr>
                <w:rFonts w:hint="eastAsia" w:ascii="宋体" w:hAnsi="宋体" w:eastAsia="宋体" w:cs="宋体"/>
              </w:rPr>
              <w:t>配置（云下一代防火墙+云综合日志审计+云堡垒机+服务器安全卫士+ Anti-DDoS 流量清洗）</w:t>
            </w:r>
          </w:p>
        </w:tc>
        <w:tc>
          <w:tcPr>
            <w:tcW w:w="919"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36</w:t>
            </w:r>
          </w:p>
        </w:tc>
        <w:tc>
          <w:tcPr>
            <w:tcW w:w="947"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月</w:t>
            </w:r>
          </w:p>
        </w:tc>
      </w:tr>
    </w:tbl>
    <w:p>
      <w:pPr>
        <w:adjustRightInd w:val="0"/>
        <w:snapToGrid w:val="0"/>
        <w:spacing w:line="600" w:lineRule="exact"/>
        <w:ind w:firstLine="562" w:firstLineChars="200"/>
        <w:jc w:val="left"/>
        <w:rPr>
          <w:rFonts w:hint="eastAsia" w:ascii="仿宋_GB2312" w:eastAsia="仿宋_GB2312" w:hAnsiTheme="minorEastAsia"/>
          <w:b/>
          <w:bCs/>
          <w:sz w:val="28"/>
          <w:szCs w:val="28"/>
          <w:highlight w:val="none"/>
        </w:rPr>
      </w:pPr>
    </w:p>
    <w:p>
      <w:pPr>
        <w:adjustRightInd w:val="0"/>
        <w:snapToGrid w:val="0"/>
        <w:spacing w:line="600" w:lineRule="exact"/>
        <w:ind w:firstLine="0" w:firstLineChars="0"/>
        <w:jc w:val="left"/>
        <w:rPr>
          <w:rFonts w:hint="eastAsia" w:ascii="仿宋_GB2312" w:eastAsia="仿宋_GB2312" w:hAnsiTheme="minorEastAsia"/>
          <w:b/>
          <w:bCs/>
          <w:sz w:val="28"/>
          <w:szCs w:val="28"/>
          <w:highlight w:val="none"/>
        </w:rPr>
      </w:pPr>
      <w:r>
        <w:rPr>
          <w:rFonts w:hint="eastAsia" w:ascii="仿宋_GB2312" w:eastAsia="仿宋_GB2312" w:hAnsiTheme="minorEastAsia"/>
          <w:b/>
          <w:bCs/>
          <w:sz w:val="28"/>
          <w:szCs w:val="28"/>
          <w:highlight w:val="none"/>
        </w:rPr>
        <w:t>（四）项目具体要求</w:t>
      </w:r>
    </w:p>
    <w:p>
      <w:pPr>
        <w:pStyle w:val="2"/>
        <w:rPr>
          <w:rFonts w:hint="eastAsia"/>
        </w:rPr>
      </w:pPr>
      <w:r>
        <w:rPr>
          <w:rFonts w:hint="eastAsia" w:ascii="仿宋_GB2312" w:eastAsia="仿宋_GB2312" w:hAnsiTheme="minorEastAsia"/>
          <w:sz w:val="28"/>
          <w:szCs w:val="28"/>
          <w:highlight w:val="none"/>
        </w:rPr>
        <w:t>▲</w:t>
      </w:r>
      <w:r>
        <w:rPr>
          <w:rFonts w:hint="eastAsia" w:ascii="仿宋_GB2312" w:eastAsia="仿宋_GB2312" w:hAnsiTheme="minorEastAsia"/>
          <w:sz w:val="28"/>
          <w:szCs w:val="28"/>
          <w:highlight w:val="none"/>
          <w:lang w:val="en-US" w:eastAsia="zh-CN"/>
        </w:rPr>
        <w:t>1.</w:t>
      </w:r>
      <w:r>
        <w:rPr>
          <w:rFonts w:hint="eastAsia" w:ascii="仿宋_GB2312" w:eastAsia="仿宋_GB2312" w:hAnsiTheme="minorEastAsia"/>
          <w:sz w:val="28"/>
          <w:szCs w:val="28"/>
          <w:highlight w:val="none"/>
        </w:rPr>
        <w:t>功能要求</w:t>
      </w:r>
    </w:p>
    <w:tbl>
      <w:tblPr>
        <w:tblStyle w:val="25"/>
        <w:tblW w:w="8909"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2"/>
        <w:gridCol w:w="59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tblHeader/>
        </w:trPr>
        <w:tc>
          <w:tcPr>
            <w:tcW w:w="2942"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职工手机端（用户端）</w:t>
            </w:r>
          </w:p>
        </w:tc>
        <w:tc>
          <w:tcPr>
            <w:tcW w:w="5967"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食堂菜品展示</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需要提供本周内所供应的菜品图片、内容、价格等信息展示。能查询半年内的历史供应菜谱。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食堂服务时间限定</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可根据食堂可供餐服务时间，并在显要位置做文字轮播提示。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职工登录页</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提供职工登录页面，在微信公众号中能自动登录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职工订餐</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手机端一个界面中一次性批量预订至少一个星期的餐次，要求有早、中、晚、夜等餐次，可批量进行预订、退订。应有早餐全选、午餐全选、全不选、全选等快捷按钮。如需要在其他餐厅订餐就餐，可进行餐厅切换到相应餐厅操作。</w:t>
            </w:r>
          </w:p>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 xml:space="preserve">每个饭堂可各自设置各自的截至订退餐时间，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职工支付</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每个饭堂可设置订餐时扣款还是领餐时扣款，职工根据规则进行扣款支付。如单位有补贴，优先扣补贴钱包。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职工消费记录</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职工可查询饭卡消费记录、订单状况，能区别是订餐还是自由消费。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资金流量记录</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职工可查看个人的资金变化情况，含充值、订餐扣款、消费、超市收银、退款等明细情况。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领餐消费二维码</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10分钟内有效，过期自动刷新。可绑定职工卡片上条形码，用于扫码消费。可代替实体卡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职工在线充值</w:t>
            </w:r>
          </w:p>
        </w:tc>
        <w:tc>
          <w:tcPr>
            <w:tcW w:w="5967" w:type="dxa"/>
            <w:vAlign w:val="center"/>
          </w:tcPr>
          <w:p>
            <w:pPr>
              <w:widowControl/>
              <w:jc w:val="left"/>
              <w:rPr>
                <w:rFonts w:ascii="宋体" w:hAnsi="宋体" w:cs="宋体"/>
                <w:sz w:val="24"/>
                <w:highlight w:val="none"/>
              </w:rPr>
            </w:pPr>
            <w:r>
              <w:rPr>
                <w:rFonts w:hint="eastAsia" w:ascii="宋体" w:hAnsi="宋体" w:cs="宋体"/>
                <w:sz w:val="24"/>
                <w:highlight w:val="none"/>
              </w:rPr>
              <w:t>提供30、50、100、200、500等不同金额的充值额度，职工直接选择金额，输入账号密码，即可充值完成，显示原金额，充值金额、充值后金额显示。如果有赠送金额，自动赠送到赠送钱包。</w:t>
            </w:r>
          </w:p>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职工可自助完成账户充值，并能查看历史充值记录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widowControl/>
              <w:jc w:val="left"/>
              <w:rPr>
                <w:rFonts w:hint="eastAsia" w:ascii="宋体" w:hAnsi="宋体" w:cs="宋体"/>
                <w:sz w:val="24"/>
                <w:highlight w:val="none"/>
              </w:rPr>
            </w:pPr>
            <w:r>
              <w:rPr>
                <w:rFonts w:hint="eastAsia" w:ascii="宋体" w:hAnsi="宋体" w:cs="宋体"/>
                <w:sz w:val="24"/>
                <w:highlight w:val="none"/>
              </w:rPr>
              <w:t>通知公告</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提供操作说明、单位饭堂重要通知。可设置必读。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菜品投票</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职工在手机端进行菜品投票</w:t>
            </w:r>
            <w:r>
              <w:rPr>
                <w:rFonts w:hint="eastAsia" w:ascii="宋体" w:hAnsi="宋体" w:cs="宋体"/>
                <w:sz w:val="24"/>
                <w:highlight w:val="none"/>
                <w:lang w:eastAsia="zh-CN"/>
              </w:rPr>
              <w:t>，</w:t>
            </w:r>
            <w:r>
              <w:rPr>
                <w:rFonts w:hint="eastAsia" w:ascii="宋体" w:hAnsi="宋体" w:cs="宋体"/>
                <w:sz w:val="24"/>
                <w:highlight w:val="none"/>
              </w:rPr>
              <w:t>并能看本期投票排名情况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服务评价</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职工对已就餐的餐次进行评价。要求五星评价系统，能对菜品口味、餐厅环境、服务态度等进行评价，能填写文字点评。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2"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意见反馈</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对单位饭堂的环境、服务、菜品口味等写意见建议。管理员在后台可回复，可重复回复。类型聊天工具。可看做客服功能。只能自己和管理员看。任何第三人看不到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卡务管理</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可在线挂失或锁定卡片、并能自行解锁。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人脸采集</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手机端自助人脸采集功能。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职工个人中心</w:t>
            </w:r>
          </w:p>
        </w:tc>
        <w:tc>
          <w:tcPr>
            <w:tcW w:w="596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个人信息（头像、姓名、所属组织、账户余额）展示；修改个人信息的功能。可解绑微信、密码修改、密保管理；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饭堂统计查询</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指定人员才具有的饭堂订餐统计信息，当日就餐统计信息实时查看。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客餐预订</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部门负责人可在网页端对本部门所属的客餐卡进行预订，可预订多份，可预订早餐、午餐、晚餐、夜宵等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信息通知</w:t>
            </w:r>
          </w:p>
        </w:tc>
        <w:tc>
          <w:tcPr>
            <w:tcW w:w="5967" w:type="dxa"/>
            <w:vAlign w:val="center"/>
          </w:tcPr>
          <w:p>
            <w:pPr>
              <w:widowControl/>
              <w:jc w:val="left"/>
              <w:rPr>
                <w:rFonts w:hint="eastAsia" w:ascii="宋体" w:hAnsi="宋体" w:cs="宋体"/>
                <w:sz w:val="24"/>
                <w:highlight w:val="none"/>
              </w:rPr>
            </w:pPr>
            <w:r>
              <w:rPr>
                <w:rFonts w:hint="eastAsia" w:ascii="宋体" w:hAnsi="宋体" w:cs="宋体"/>
                <w:sz w:val="24"/>
                <w:highlight w:val="none"/>
              </w:rPr>
              <w:t>前一天9:00</w:t>
            </w:r>
            <w:r>
              <w:rPr>
                <w:rFonts w:hint="eastAsia" w:ascii="宋体" w:hAnsi="宋体" w:cs="宋体"/>
                <w:sz w:val="24"/>
                <w:highlight w:val="none"/>
                <w:lang w:eastAsia="zh-CN"/>
              </w:rPr>
              <w:t>、</w:t>
            </w: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:00，系统自动判断应该预定的职工是否有预定，如果没有预定，系统将自动发微信信息给职工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42"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其他功能</w:t>
            </w:r>
          </w:p>
        </w:tc>
        <w:tc>
          <w:tcPr>
            <w:tcW w:w="5967"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具备商品预订等扩展功能要求。</w:t>
            </w:r>
          </w:p>
        </w:tc>
      </w:tr>
    </w:tbl>
    <w:p>
      <w:pPr>
        <w:spacing w:line="360" w:lineRule="auto"/>
        <w:rPr>
          <w:rFonts w:ascii="宋体" w:hAnsi="宋体" w:cs="宋体"/>
          <w:b/>
          <w:bCs/>
          <w:sz w:val="24"/>
          <w:szCs w:val="24"/>
          <w:highlight w:val="none"/>
        </w:rPr>
      </w:pPr>
    </w:p>
    <w:tbl>
      <w:tblPr>
        <w:tblStyle w:val="25"/>
        <w:tblW w:w="8969" w:type="dxa"/>
        <w:tblInd w:w="6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8"/>
        <w:gridCol w:w="59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2988"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食堂管理系统（管理端）</w:t>
            </w:r>
          </w:p>
        </w:tc>
        <w:tc>
          <w:tcPr>
            <w:tcW w:w="5981"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食堂系统平台基础设置</w:t>
            </w:r>
          </w:p>
        </w:tc>
        <w:tc>
          <w:tcPr>
            <w:tcW w:w="5981"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系统公告管理、节假日管理、预订时间控制、就餐领餐时间控制</w:t>
            </w:r>
            <w:r>
              <w:rPr>
                <w:rFonts w:hint="eastAsia" w:ascii="宋体" w:hAnsi="宋体" w:cs="宋体"/>
                <w:sz w:val="24"/>
                <w:highlight w:val="none"/>
                <w:lang w:eastAsia="zh-CN"/>
              </w:rPr>
              <w:t>、</w:t>
            </w:r>
            <w:r>
              <w:rPr>
                <w:rFonts w:hint="eastAsia" w:ascii="宋体" w:hAnsi="宋体" w:cs="宋体"/>
                <w:sz w:val="24"/>
                <w:highlight w:val="none"/>
              </w:rPr>
              <w:t>默认</w:t>
            </w:r>
            <w:r>
              <w:rPr>
                <w:rFonts w:hint="eastAsia" w:ascii="宋体" w:hAnsi="宋体" w:cs="宋体"/>
                <w:sz w:val="24"/>
                <w:highlight w:val="none"/>
                <w:lang w:val="en-US" w:eastAsia="zh-CN"/>
              </w:rPr>
              <w:t>订</w:t>
            </w:r>
            <w:r>
              <w:rPr>
                <w:rFonts w:hint="eastAsia" w:ascii="宋体" w:hAnsi="宋体" w:cs="宋体"/>
                <w:sz w:val="24"/>
                <w:highlight w:val="none"/>
              </w:rPr>
              <w:t>餐设置（不同类型职工价格设置，要求至少5种职工类型）</w:t>
            </w:r>
            <w:r>
              <w:rPr>
                <w:rFonts w:hint="eastAsia" w:ascii="宋体" w:hAnsi="宋体" w:cs="宋体"/>
                <w:sz w:val="24"/>
                <w:highlight w:val="none"/>
                <w:lang w:eastAsia="zh-CN"/>
              </w:rPr>
              <w:t>、</w:t>
            </w:r>
            <w:r>
              <w:rPr>
                <w:rFonts w:hint="eastAsia" w:ascii="宋体" w:hAnsi="宋体" w:cs="宋体"/>
                <w:sz w:val="24"/>
                <w:highlight w:val="none"/>
              </w:rPr>
              <w:t>卡成本费管理</w:t>
            </w:r>
            <w:r>
              <w:rPr>
                <w:rFonts w:hint="eastAsia" w:ascii="宋体" w:hAnsi="宋体" w:cs="宋体"/>
                <w:sz w:val="24"/>
                <w:highlight w:val="none"/>
                <w:lang w:eastAsia="zh-CN"/>
              </w:rPr>
              <w:t>、</w:t>
            </w:r>
            <w:r>
              <w:rPr>
                <w:rFonts w:hint="eastAsia" w:ascii="宋体" w:hAnsi="宋体" w:cs="宋体"/>
                <w:sz w:val="24"/>
                <w:highlight w:val="none"/>
              </w:rPr>
              <w:t>供应餐次管理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食堂组织架构和信息管理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食堂单位信息设置，食堂、部门、负责人等管理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8"/>
              <w:ind w:firstLine="0" w:firstLineChars="0"/>
              <w:jc w:val="left"/>
              <w:rPr>
                <w:rFonts w:hint="eastAsia" w:ascii="宋体" w:hAnsi="宋体" w:eastAsia="宋体" w:cs="宋体"/>
                <w:sz w:val="24"/>
                <w:highlight w:val="none"/>
              </w:rPr>
            </w:pPr>
            <w:r>
              <w:rPr>
                <w:rFonts w:hint="eastAsia" w:ascii="宋体" w:hAnsi="宋体" w:eastAsia="宋体" w:cs="宋体"/>
                <w:sz w:val="24"/>
                <w:highlight w:val="none"/>
              </w:rPr>
              <w:t>人员管理及卡务管理</w:t>
            </w:r>
          </w:p>
        </w:tc>
        <w:tc>
          <w:tcPr>
            <w:tcW w:w="5981" w:type="dxa"/>
            <w:vAlign w:val="center"/>
          </w:tcPr>
          <w:p>
            <w:pPr>
              <w:widowControl/>
              <w:jc w:val="left"/>
              <w:rPr>
                <w:rFonts w:hint="eastAsia" w:ascii="宋体" w:hAnsi="宋体" w:cs="宋体"/>
                <w:sz w:val="24"/>
                <w:highlight w:val="none"/>
              </w:rPr>
            </w:pPr>
            <w:r>
              <w:rPr>
                <w:rFonts w:hint="eastAsia" w:ascii="宋体" w:hAnsi="宋体" w:cs="宋体"/>
                <w:sz w:val="24"/>
                <w:highlight w:val="none"/>
              </w:rPr>
              <w:t>人员信息查询，提供姓名、账号、身份证号、卡号、所属餐厅、班级、用户类型手机号码等多维度查询；人员信息的增加、修改、删除、设置就餐餐厅、锁定员工状态、锁定某餐次不能预定，批量锁定某餐次不能预定，无卡批量充值、无卡批量补贴；后台帮助订退餐、密码重置、批量导出列表等。发卡、挂失、解挂、补卡、退卡、销户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职工资金管理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系统后台可为职工资金进行充值、扣款、退款、餐补发放、餐补清零等操作。分为现金钱包和补贴钱包双钱包，在线自助充值，后台单独充值，后台批量充值、后台批量导入等。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菜谱管理</w:t>
            </w:r>
          </w:p>
        </w:tc>
        <w:tc>
          <w:tcPr>
            <w:tcW w:w="5981" w:type="dxa"/>
            <w:vAlign w:val="center"/>
          </w:tcPr>
          <w:p>
            <w:pPr>
              <w:widowControl/>
              <w:jc w:val="left"/>
              <w:rPr>
                <w:rFonts w:ascii="宋体" w:hAnsi="宋体" w:cs="宋体"/>
                <w:sz w:val="24"/>
                <w:highlight w:val="none"/>
              </w:rPr>
            </w:pPr>
            <w:r>
              <w:rPr>
                <w:rFonts w:hint="eastAsia" w:ascii="宋体" w:hAnsi="宋体" w:cs="宋体"/>
                <w:sz w:val="24"/>
                <w:highlight w:val="none"/>
              </w:rPr>
              <w:t>针对特定菜谱，设计每日菜谱内容日期，餐次，菜品，价格，每人最大预订数量，最大供应份数，首份折扣、是否必选，是否是套餐等设置。可对特定餐次发布，可每天发布，也可以一个星期一次发布</w:t>
            </w:r>
          </w:p>
          <w:p>
            <w:pPr>
              <w:widowControl/>
              <w:jc w:val="left"/>
              <w:rPr>
                <w:rFonts w:ascii="宋体" w:hAnsi="宋体" w:cs="宋体"/>
                <w:sz w:val="24"/>
                <w:highlight w:val="none"/>
              </w:rPr>
            </w:pPr>
            <w:r>
              <w:rPr>
                <w:rFonts w:hint="eastAsia" w:ascii="宋体" w:hAnsi="宋体" w:cs="宋体"/>
                <w:sz w:val="24"/>
                <w:highlight w:val="none"/>
              </w:rPr>
              <w:t>可以管理多个菜品，菜品的增加/修改/删除；可设置图片，菜品名称，价格，简称，介绍、厨师等。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机器设备管理</w:t>
            </w:r>
          </w:p>
        </w:tc>
        <w:tc>
          <w:tcPr>
            <w:tcW w:w="5981" w:type="dxa"/>
            <w:vAlign w:val="center"/>
          </w:tcPr>
          <w:p>
            <w:pPr>
              <w:widowControl/>
              <w:jc w:val="left"/>
              <w:rPr>
                <w:rFonts w:hint="eastAsia" w:ascii="等线" w:hAnsi="等线" w:eastAsia="等线"/>
                <w:color w:val="000000"/>
                <w:kern w:val="0"/>
                <w:sz w:val="22"/>
                <w:highlight w:val="none"/>
              </w:rPr>
            </w:pPr>
            <w:r>
              <w:rPr>
                <w:rFonts w:hint="eastAsia" w:ascii="宋体" w:hAnsi="宋体" w:cs="宋体"/>
                <w:sz w:val="24"/>
                <w:highlight w:val="none"/>
              </w:rPr>
              <w:t>联网机器管理，增加/修改/删除。可设置消费机、订餐机、查询机、可设置不同的就餐规则等，白名单、人脸数据下发等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商户经营统计报表</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不同商户绑定相应的消费设备，不同商户的经营数据明细及报表导出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系统管理员和档口管理员管理</w:t>
            </w:r>
          </w:p>
        </w:tc>
        <w:tc>
          <w:tcPr>
            <w:tcW w:w="5981"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提供管理员子账号的管理功能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88" w:type="dxa"/>
            <w:vAlign w:val="center"/>
          </w:tcPr>
          <w:p>
            <w:pPr>
              <w:pStyle w:val="47"/>
              <w:tabs>
                <w:tab w:val="center" w:pos="4422"/>
                <w:tab w:val="right" w:pos="8844"/>
              </w:tabs>
              <w:spacing w:line="276" w:lineRule="auto"/>
              <w:ind w:firstLine="0" w:firstLineChars="0"/>
              <w:jc w:val="left"/>
              <w:rPr>
                <w:rFonts w:hint="eastAsia" w:ascii="宋体" w:hAnsi="宋体" w:cs="宋体"/>
                <w:sz w:val="24"/>
                <w:highlight w:val="none"/>
              </w:rPr>
            </w:pPr>
            <w:r>
              <w:rPr>
                <w:rFonts w:hint="eastAsia" w:ascii="宋体" w:hAnsi="宋体" w:cs="宋体"/>
                <w:sz w:val="24"/>
                <w:highlight w:val="none"/>
              </w:rPr>
              <w:t>报表管理</w:t>
            </w:r>
          </w:p>
        </w:tc>
        <w:tc>
          <w:tcPr>
            <w:tcW w:w="5981" w:type="dxa"/>
            <w:vAlign w:val="center"/>
          </w:tcPr>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充值报表：</w:t>
            </w:r>
            <w:r>
              <w:rPr>
                <w:rFonts w:hint="eastAsia" w:ascii="宋体" w:hAnsi="宋体" w:cs="宋体"/>
                <w:sz w:val="24"/>
                <w:highlight w:val="none"/>
                <w:lang w:val="en-US" w:eastAsia="zh-CN"/>
              </w:rPr>
              <w:t>当日</w:t>
            </w:r>
            <w:r>
              <w:rPr>
                <w:rFonts w:hint="eastAsia" w:ascii="宋体" w:hAnsi="宋体" w:cs="宋体"/>
                <w:sz w:val="24"/>
                <w:highlight w:val="none"/>
              </w:rPr>
              <w:t>充值、本月充值、充值查询缴纳、</w:t>
            </w:r>
            <w:r>
              <w:rPr>
                <w:rFonts w:hint="eastAsia" w:ascii="宋体" w:hAnsi="宋体" w:cs="宋体"/>
                <w:sz w:val="24"/>
                <w:highlight w:val="none"/>
                <w:lang w:val="en-US" w:eastAsia="zh-CN"/>
              </w:rPr>
              <w:t>当日</w:t>
            </w:r>
            <w:r>
              <w:rPr>
                <w:rFonts w:hint="eastAsia" w:ascii="宋体" w:hAnsi="宋体" w:cs="宋体"/>
                <w:sz w:val="24"/>
                <w:highlight w:val="none"/>
              </w:rPr>
              <w:t>卡成本费、本月卡成本费、卡成本费查询、收纳查询、退还款记录；</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消费报表: 订餐统计、分类订餐查询、订餐查询、订餐未领餐人员、现场订餐人员、工作餐人员、客餐查询；</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3.收</w:t>
            </w:r>
            <w:r>
              <w:rPr>
                <w:rFonts w:hint="eastAsia" w:ascii="宋体" w:hAnsi="宋体" w:cs="宋体"/>
                <w:sz w:val="24"/>
                <w:highlight w:val="none"/>
              </w:rPr>
              <w:t>费报表汇总：</w:t>
            </w:r>
            <w:r>
              <w:rPr>
                <w:rFonts w:hint="eastAsia" w:ascii="宋体" w:hAnsi="宋体" w:cs="宋体"/>
                <w:sz w:val="24"/>
                <w:highlight w:val="none"/>
                <w:lang w:val="en-US" w:eastAsia="zh-CN"/>
              </w:rPr>
              <w:t>当日</w:t>
            </w:r>
            <w:r>
              <w:rPr>
                <w:rFonts w:hint="eastAsia" w:ascii="宋体" w:hAnsi="宋体" w:cs="宋体"/>
                <w:sz w:val="24"/>
                <w:highlight w:val="none"/>
              </w:rPr>
              <w:t>明细报表、本月明细报表、本月统计报表、</w:t>
            </w:r>
            <w:r>
              <w:rPr>
                <w:rFonts w:hint="eastAsia" w:ascii="宋体" w:hAnsi="宋体" w:cs="宋体"/>
                <w:sz w:val="24"/>
                <w:highlight w:val="none"/>
                <w:lang w:val="en-US" w:eastAsia="zh-CN"/>
              </w:rPr>
              <w:t>当日</w:t>
            </w:r>
            <w:r>
              <w:rPr>
                <w:rFonts w:hint="eastAsia" w:ascii="宋体" w:hAnsi="宋体" w:cs="宋体"/>
                <w:sz w:val="24"/>
                <w:highlight w:val="none"/>
              </w:rPr>
              <w:t>消费、本月明细消费、本月统计消费、消费查询、消费流水查询</w:t>
            </w:r>
          </w:p>
          <w:p>
            <w:pPr>
              <w:pStyle w:val="47"/>
              <w:numPr>
                <w:ilvl w:val="0"/>
                <w:numId w:val="0"/>
              </w:numPr>
              <w:tabs>
                <w:tab w:val="center" w:pos="5880"/>
                <w:tab w:val="right" w:pos="8844"/>
              </w:tabs>
              <w:spacing w:line="276" w:lineRule="auto"/>
              <w:ind w:leftChars="0"/>
              <w:jc w:val="left"/>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业务管理：客餐审核、菜品投票、意见反馈、综合评价、后台批量订餐、退餐审核</w:t>
            </w:r>
          </w:p>
          <w:p>
            <w:pPr>
              <w:pStyle w:val="47"/>
              <w:numPr>
                <w:ilvl w:val="0"/>
                <w:numId w:val="0"/>
              </w:numPr>
              <w:tabs>
                <w:tab w:val="center" w:pos="5880"/>
                <w:tab w:val="right" w:pos="8844"/>
              </w:tabs>
              <w:spacing w:line="276" w:lineRule="auto"/>
              <w:ind w:leftChars="0"/>
              <w:jc w:val="left"/>
              <w:rPr>
                <w:rFonts w:hint="eastAsia"/>
                <w:b/>
                <w:bCs/>
                <w:highlight w:val="none"/>
              </w:rPr>
            </w:pPr>
            <w:r>
              <w:rPr>
                <w:rFonts w:hint="eastAsia" w:ascii="宋体" w:hAnsi="宋体" w:cs="宋体"/>
                <w:sz w:val="24"/>
                <w:highlight w:val="none"/>
                <w:lang w:val="en-US" w:eastAsia="zh-CN"/>
              </w:rPr>
              <w:t>5.</w:t>
            </w:r>
            <w:r>
              <w:rPr>
                <w:rFonts w:hint="eastAsia" w:ascii="宋体" w:hAnsi="宋体" w:cs="宋体"/>
                <w:sz w:val="24"/>
                <w:highlight w:val="none"/>
              </w:rPr>
              <w:t>商品预订管理：商品类别管理、商品信息管理、商品模版管理、商品发布、商品审核、审核提醒、商品预订报表</w:t>
            </w:r>
          </w:p>
        </w:tc>
      </w:tr>
    </w:tbl>
    <w:p>
      <w:pPr>
        <w:spacing w:line="360" w:lineRule="auto"/>
        <w:rPr>
          <w:rFonts w:ascii="宋体" w:hAnsi="宋体" w:cs="宋体"/>
          <w:b/>
          <w:bCs/>
          <w:sz w:val="24"/>
          <w:highlight w:val="none"/>
        </w:rPr>
      </w:pPr>
    </w:p>
    <w:tbl>
      <w:tblPr>
        <w:tblStyle w:val="25"/>
        <w:tblW w:w="9027" w:type="dxa"/>
        <w:tblInd w:w="6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0"/>
        <w:gridCol w:w="6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0"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人脸识别消费机</w:t>
            </w:r>
          </w:p>
        </w:tc>
        <w:tc>
          <w:tcPr>
            <w:tcW w:w="6057" w:type="dxa"/>
          </w:tcPr>
          <w:p>
            <w:pPr>
              <w:pStyle w:val="47"/>
              <w:tabs>
                <w:tab w:val="center" w:pos="4422"/>
                <w:tab w:val="right" w:pos="8844"/>
              </w:tabs>
              <w:spacing w:line="276"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对应功能说明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语音播报功能</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需要具备语音播报功能，包括但不仅限于报金额、余额不足提醒、非法识别等；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多功能消费模式</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需要允许多种消费模式，包括但不仅限于定额、任意、领餐、限额等；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8"/>
              <w:ind w:firstLine="0" w:firstLineChars="0"/>
              <w:jc w:val="left"/>
              <w:rPr>
                <w:rFonts w:ascii="宋体" w:hAnsi="宋体" w:eastAsia="宋体" w:cs="宋体"/>
                <w:sz w:val="24"/>
                <w:highlight w:val="none"/>
              </w:rPr>
            </w:pPr>
            <w:r>
              <w:rPr>
                <w:rFonts w:hint="eastAsia" w:ascii="宋体" w:hAnsi="宋体" w:eastAsia="宋体" w:cs="宋体"/>
                <w:sz w:val="24"/>
                <w:highlight w:val="none"/>
              </w:rPr>
              <w:t>权限设置</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要求可区分单位不同性质的人员，或不同档口的消费时段、消费补贴金额，超市收银模式等；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通讯设置</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sz w:val="24"/>
                <w:highlight w:val="none"/>
              </w:rPr>
              <w:t>要求采用T</w:t>
            </w:r>
            <w:r>
              <w:rPr>
                <w:rFonts w:ascii="宋体" w:hAnsi="宋体" w:cs="宋体"/>
                <w:sz w:val="24"/>
                <w:highlight w:val="none"/>
              </w:rPr>
              <w:t>CP</w:t>
            </w:r>
            <w:r>
              <w:rPr>
                <w:rFonts w:hint="eastAsia" w:ascii="宋体" w:hAnsi="宋体" w:cs="宋体"/>
                <w:sz w:val="24"/>
                <w:highlight w:val="none"/>
              </w:rPr>
              <w:t>/</w:t>
            </w:r>
            <w:r>
              <w:rPr>
                <w:rFonts w:ascii="宋体" w:hAnsi="宋体" w:cs="宋体"/>
                <w:sz w:val="24"/>
                <w:highlight w:val="none"/>
              </w:rPr>
              <w:t>IP</w:t>
            </w:r>
            <w:r>
              <w:rPr>
                <w:rFonts w:hint="eastAsia" w:ascii="宋体" w:hAnsi="宋体" w:cs="宋体"/>
                <w:sz w:val="24"/>
                <w:highlight w:val="none"/>
              </w:rPr>
              <w:t>实时通讯，保证数据能实时在数据库中存入和读取；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eastAsia="宋体" w:cs="宋体"/>
                <w:color w:val="000000" w:themeColor="text1"/>
                <w:sz w:val="24"/>
                <w:highlight w:val="none"/>
                <w14:textFill>
                  <w14:solidFill>
                    <w14:schemeClr w14:val="tx1"/>
                  </w14:solidFill>
                </w14:textFill>
              </w:rPr>
              <w:t>数据打通</w:t>
            </w:r>
          </w:p>
        </w:tc>
        <w:tc>
          <w:tcPr>
            <w:tcW w:w="6057" w:type="dxa"/>
            <w:vAlign w:val="center"/>
          </w:tcPr>
          <w:p>
            <w:pPr>
              <w:pStyle w:val="47"/>
              <w:tabs>
                <w:tab w:val="center" w:pos="4422"/>
                <w:tab w:val="right" w:pos="8844"/>
              </w:tabs>
              <w:spacing w:line="276" w:lineRule="auto"/>
              <w:ind w:firstLine="0" w:firstLineChars="0"/>
              <w:jc w:val="left"/>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要求必须与食堂管理系统打通，线上线下数据同步处理，如支持人脸采集，白名单、人脸库、脱机消费记录自动上传下载。清晰是否在线联网状态指示。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970" w:type="dxa"/>
            <w:vAlign w:val="center"/>
          </w:tcPr>
          <w:p>
            <w:pPr>
              <w:pStyle w:val="47"/>
              <w:tabs>
                <w:tab w:val="center" w:pos="4422"/>
                <w:tab w:val="right" w:pos="8844"/>
              </w:tabs>
              <w:spacing w:line="276" w:lineRule="auto"/>
              <w:ind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原生码消费能力</w:t>
            </w:r>
          </w:p>
        </w:tc>
        <w:tc>
          <w:tcPr>
            <w:tcW w:w="6057" w:type="dxa"/>
            <w:vAlign w:val="center"/>
          </w:tcPr>
          <w:p>
            <w:pPr>
              <w:pStyle w:val="47"/>
              <w:tabs>
                <w:tab w:val="center" w:pos="4422"/>
                <w:tab w:val="right" w:pos="8844"/>
              </w:tabs>
              <w:spacing w:line="276" w:lineRule="auto"/>
              <w:ind w:firstLine="0"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支持自动识别微信支付原生付款码消费</w:t>
            </w:r>
          </w:p>
        </w:tc>
      </w:tr>
    </w:tbl>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val="en-US" w:eastAsia="zh-CN"/>
        </w:rPr>
        <w:t>2.</w:t>
      </w:r>
      <w:r>
        <w:rPr>
          <w:rFonts w:hint="eastAsia" w:ascii="仿宋_GB2312" w:eastAsia="仿宋_GB2312" w:hAnsiTheme="minorEastAsia"/>
          <w:sz w:val="28"/>
          <w:szCs w:val="28"/>
          <w:highlight w:val="none"/>
        </w:rPr>
        <w:t>系统平台技术参数（指标）</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val="en-US" w:eastAsia="zh-CN"/>
        </w:rPr>
        <w:t>2.1</w:t>
      </w:r>
      <w:r>
        <w:rPr>
          <w:rFonts w:hint="eastAsia" w:ascii="仿宋_GB2312" w:eastAsia="仿宋_GB2312" w:hAnsiTheme="minorEastAsia"/>
          <w:sz w:val="28"/>
          <w:szCs w:val="28"/>
          <w:highlight w:val="none"/>
        </w:rPr>
        <w:t>软件技术参数</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lang w:eastAsia="zh-CN"/>
        </w:rPr>
        <w:t>（</w:t>
      </w:r>
      <w:r>
        <w:rPr>
          <w:rFonts w:hint="eastAsia" w:ascii="仿宋_GB2312" w:eastAsia="仿宋_GB2312" w:hAnsiTheme="minorEastAsia"/>
          <w:sz w:val="28"/>
          <w:szCs w:val="28"/>
          <w:highlight w:val="none"/>
          <w:lang w:val="en-US" w:eastAsia="zh-CN"/>
        </w:rPr>
        <w:t>1</w:t>
      </w:r>
      <w:r>
        <w:rPr>
          <w:rFonts w:hint="eastAsia" w:ascii="仿宋_GB2312" w:eastAsia="仿宋_GB2312" w:hAnsiTheme="minorEastAsia"/>
          <w:sz w:val="28"/>
          <w:szCs w:val="28"/>
          <w:highlight w:val="none"/>
          <w:lang w:eastAsia="zh-CN"/>
        </w:rPr>
        <w:t>）</w:t>
      </w:r>
      <w:r>
        <w:rPr>
          <w:rFonts w:hint="eastAsia" w:ascii="仿宋_GB2312" w:eastAsia="仿宋_GB2312" w:hAnsiTheme="minorEastAsia"/>
          <w:sz w:val="28"/>
          <w:szCs w:val="28"/>
          <w:highlight w:val="none"/>
        </w:rPr>
        <w:t>操作语言：软件操作界面需要使用中文操作，并且同步支持安装系统所需的硬件设备；</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（2）系统架构：关键性操作应提供C/S架构客户端，报表查询等应提供B/S架构和C/S架构版本，通过互联网即可进行相关系统的操作和管理；</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（3）系统兼容性：保证软件系统的兼容性，需要支持多种不同内核浏览器正常访问和操作；</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（4）系统响应速度：在正常的网络环境下，系统平均响应时间要在300ms以内；</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（5）系统容量：系统需要采用SaaS云服务模式，采购服务器容量至少为8C</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16G，数据库容量至少为8C</w:t>
      </w:r>
      <w:r>
        <w:rPr>
          <w:rFonts w:hint="eastAsia" w:ascii="仿宋_GB2312" w:eastAsia="仿宋_GB2312" w:hAnsiTheme="minorEastAsia"/>
          <w:sz w:val="28"/>
          <w:szCs w:val="28"/>
          <w:highlight w:val="none"/>
          <w:lang w:val="en-US" w:eastAsia="zh-CN"/>
        </w:rPr>
        <w:t>/</w:t>
      </w:r>
      <w:r>
        <w:rPr>
          <w:rFonts w:hint="eastAsia" w:ascii="仿宋_GB2312" w:eastAsia="仿宋_GB2312" w:hAnsiTheme="minorEastAsia"/>
          <w:sz w:val="28"/>
          <w:szCs w:val="28"/>
          <w:highlight w:val="none"/>
        </w:rPr>
        <w:t>16G，硬盘储存容量至少为1TB，并使用SSD硬盘；系统需要根据访问情况支持上述容量扩容；</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（6）系统处理能力：订单峰值处理能力至少在5000单/分钟以上，峰值需支持至少5万并发量；</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（7）系统实时可靠性：系统实时可靠性应不低于99%；</w:t>
      </w:r>
    </w:p>
    <w:p>
      <w:pPr>
        <w:adjustRightInd w:val="0"/>
        <w:snapToGrid w:val="0"/>
        <w:spacing w:line="600" w:lineRule="exact"/>
        <w:ind w:firstLine="555"/>
        <w:jc w:val="left"/>
        <w:rPr>
          <w:rFonts w:hint="eastAsia" w:ascii="仿宋_GB2312" w:eastAsia="仿宋_GB2312" w:hAnsiTheme="minorEastAsia"/>
          <w:color w:val="0000FF"/>
          <w:sz w:val="28"/>
          <w:szCs w:val="28"/>
          <w:highlight w:val="none"/>
          <w:lang w:eastAsia="zh-CN"/>
        </w:rPr>
      </w:pPr>
      <w:r>
        <w:rPr>
          <w:rFonts w:hint="eastAsia" w:ascii="仿宋_GB2312" w:eastAsia="仿宋_GB2312" w:hAnsiTheme="minorEastAsia"/>
          <w:sz w:val="28"/>
          <w:szCs w:val="28"/>
          <w:highlight w:val="none"/>
        </w:rPr>
        <w:t>（8）系统安全性：</w:t>
      </w:r>
      <w:r>
        <w:rPr>
          <w:rFonts w:hint="eastAsia" w:ascii="仿宋_GB2312" w:eastAsia="仿宋_GB2312" w:hAnsiTheme="minorEastAsia"/>
          <w:color w:val="0000FF"/>
          <w:sz w:val="28"/>
          <w:szCs w:val="28"/>
          <w:highlight w:val="none"/>
        </w:rPr>
        <w:t>采用国内知名领先服务商提供的安全保障系统，包括但不仅限于：</w:t>
      </w:r>
      <w:r>
        <w:rPr>
          <w:rFonts w:hint="eastAsia" w:ascii="仿宋_GB2312" w:eastAsia="仿宋_GB2312" w:hAnsiTheme="minorEastAsia"/>
          <w:color w:val="7030A0"/>
          <w:sz w:val="28"/>
          <w:szCs w:val="28"/>
          <w:highlight w:val="none"/>
        </w:rPr>
        <w:t>电信、移动或联通三大通讯运营商的云服务器资源</w:t>
      </w:r>
      <w:r>
        <w:rPr>
          <w:rFonts w:hint="eastAsia" w:ascii="仿宋_GB2312" w:eastAsia="仿宋_GB2312" w:hAnsiTheme="minorEastAsia"/>
          <w:color w:val="7030A0"/>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9）应用识别、监控统计、入侵防御（IPS）、应用层访问控制、用户认证、带宽管理（QoS）、防病毒（AV）、URL过滤等功能；实时不间断地采集用户网络中各种不同厂商的安全设备、网络设备、主机、操作系统、以及各种应用系统产生的海量日志信息，并将这些信息汇集到审计中心，进行集中化存储（可根据日志规模大小进行分布式存储，支持水平弹性扩展和数据高可靠性存储）、索引、备份、全文检索、实时搜索、审计、告警、响应，并出具丰富的报表报告，获悉全网的整体安全运行态势，实现全生命周期的日志管理</w:t>
      </w:r>
      <w:r>
        <w:rPr>
          <w:rFonts w:hint="eastAsia" w:ascii="仿宋_GB2312" w:eastAsia="仿宋_GB2312" w:hAnsiTheme="minorEastAsia"/>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（10）通过对主机信息和行为进行持续监控和分析，快速精准地发现安全威胁和入侵事件，并提供灵活高效的问题解决能力，将自适应安全理念真正落地，提供下一代安全检测和响应能力</w:t>
      </w:r>
      <w:r>
        <w:rPr>
          <w:rFonts w:hint="eastAsia" w:ascii="仿宋_GB2312" w:eastAsia="仿宋_GB2312" w:hAnsiTheme="minorEastAsia"/>
          <w:sz w:val="28"/>
          <w:szCs w:val="28"/>
          <w:highlight w:val="none"/>
          <w:lang w:eastAsia="zh-CN"/>
        </w:rPr>
        <w:t>；</w:t>
      </w:r>
    </w:p>
    <w:p>
      <w:pPr>
        <w:adjustRightInd w:val="0"/>
        <w:snapToGrid w:val="0"/>
        <w:spacing w:line="600" w:lineRule="exact"/>
        <w:ind w:firstLine="555"/>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（11）</w:t>
      </w:r>
      <w:r>
        <w:rPr>
          <w:rFonts w:hint="eastAsia" w:ascii="仿宋_GB2312" w:eastAsia="仿宋_GB2312" w:hAnsiTheme="minorEastAsia"/>
          <w:color w:val="0000FF"/>
          <w:sz w:val="28"/>
          <w:szCs w:val="28"/>
          <w:highlight w:val="none"/>
        </w:rPr>
        <w:t>通过专业的DDoS防护设备提供</w:t>
      </w:r>
      <w:r>
        <w:rPr>
          <w:rFonts w:hint="eastAsia" w:ascii="仿宋_GB2312" w:eastAsia="仿宋_GB2312" w:hAnsiTheme="minorEastAsia"/>
          <w:color w:val="0000FF"/>
          <w:sz w:val="28"/>
          <w:szCs w:val="28"/>
          <w:highlight w:val="none"/>
          <w:lang w:val="en-US" w:eastAsia="zh-CN"/>
        </w:rPr>
        <w:t>可</w:t>
      </w:r>
      <w:r>
        <w:rPr>
          <w:rFonts w:hint="eastAsia" w:ascii="仿宋_GB2312" w:eastAsia="仿宋_GB2312" w:hAnsiTheme="minorEastAsia"/>
          <w:color w:val="0000FF"/>
          <w:sz w:val="28"/>
          <w:szCs w:val="28"/>
          <w:highlight w:val="none"/>
        </w:rPr>
        <w:t>抵御DDOS攻击能力，</w:t>
      </w:r>
      <w:r>
        <w:rPr>
          <w:rFonts w:hint="eastAsia" w:ascii="仿宋_GB2312" w:eastAsia="仿宋_GB2312" w:hAnsiTheme="minorEastAsia"/>
          <w:sz w:val="28"/>
          <w:szCs w:val="28"/>
          <w:highlight w:val="none"/>
        </w:rPr>
        <w:t>如UDP Flood攻击、SYN Flood攻击和CC攻击等</w:t>
      </w:r>
      <w:r>
        <w:rPr>
          <w:rFonts w:hint="eastAsia" w:ascii="仿宋_GB2312" w:eastAsia="仿宋_GB2312" w:hAnsiTheme="minorEastAsia"/>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2.2人脸识别消费机参数</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（1）屏幕尺寸：IPS全面屏7.0英寸+5.0英寸；</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（2）分辨率：1280*720+1024*600</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（3）触摸屏：要求双面触摸，电容式触摸屏，支持5点触摸</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（4）双目摄像头200W+200W，200万宽动态</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（5）支持RJ45（RTL8201F 10M/100M）</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（6）WiFi（Ap6236 Module</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Broadcom IEEE 802.11 a/b/g/n</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内置无线网络（2.4G)+蓝牙4.0模块）</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（7）板载4G卡槽，支持4G无线网络</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（8）内置音箱，支持语音播报领餐或消费结果信息</w:t>
      </w:r>
      <w:r>
        <w:rPr>
          <w:rFonts w:hint="eastAsia" w:ascii="仿宋_GB2312" w:hAnsi="仿宋_GB2312" w:eastAsia="仿宋_GB2312" w:cs="仿宋_GB2312"/>
          <w:sz w:val="28"/>
          <w:szCs w:val="28"/>
          <w:highlight w:val="none"/>
          <w:lang w:eastAsia="zh-CN"/>
        </w:rPr>
        <w:t>；</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（9）识别速度：≤0.8s；</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（10）流水容量：10万条；</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（11）人脸容量：10000张。</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（12）支持M1，二维码读取，人脸识别，自动补光灯。</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（13）支持自动识别微信支付原生付款码消费</w:t>
      </w:r>
    </w:p>
    <w:p>
      <w:pPr>
        <w:adjustRightInd w:val="0"/>
        <w:snapToGrid w:val="0"/>
        <w:spacing w:line="600" w:lineRule="exact"/>
        <w:ind w:firstLine="555"/>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（14）支持人脸采集，白名单、人脸库、脱机消费记录自动上传下载。</w:t>
      </w:r>
    </w:p>
    <w:p>
      <w:pPr>
        <w:adjustRightInd w:val="0"/>
        <w:snapToGrid w:val="0"/>
        <w:spacing w:line="600" w:lineRule="exact"/>
        <w:ind w:firstLine="555"/>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2.3 </w:t>
      </w:r>
      <w:r>
        <w:rPr>
          <w:rFonts w:hint="eastAsia" w:ascii="仿宋_GB2312" w:hAnsi="仿宋_GB2312" w:eastAsia="仿宋_GB2312" w:cs="仿宋_GB2312"/>
          <w:sz w:val="28"/>
          <w:szCs w:val="28"/>
          <w:highlight w:val="none"/>
        </w:rPr>
        <w:t>IC</w:t>
      </w:r>
      <w:r>
        <w:rPr>
          <w:rFonts w:hint="eastAsia" w:ascii="仿宋_GB2312" w:hAnsi="仿宋_GB2312" w:eastAsia="仿宋_GB2312" w:cs="仿宋_GB2312"/>
          <w:sz w:val="28"/>
          <w:szCs w:val="28"/>
          <w:highlight w:val="none"/>
          <w:lang w:val="en-US" w:eastAsia="zh-CN"/>
        </w:rPr>
        <w:t>卡</w:t>
      </w:r>
      <w:r>
        <w:rPr>
          <w:rFonts w:hint="eastAsia" w:ascii="仿宋_GB2312" w:hAnsi="仿宋_GB2312" w:eastAsia="仿宋_GB2312" w:cs="仿宋_GB2312"/>
          <w:sz w:val="28"/>
          <w:szCs w:val="28"/>
          <w:highlight w:val="none"/>
        </w:rPr>
        <w:t>读写器</w:t>
      </w:r>
      <w:r>
        <w:rPr>
          <w:rFonts w:hint="eastAsia" w:ascii="仿宋_GB2312" w:hAnsi="仿宋_GB2312" w:eastAsia="仿宋_GB2312" w:cs="仿宋_GB2312"/>
          <w:sz w:val="28"/>
          <w:szCs w:val="28"/>
          <w:highlight w:val="none"/>
          <w:lang w:val="en-US" w:eastAsia="zh-CN"/>
        </w:rPr>
        <w:t>参数</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（1）频率：13.56MHz,支持ISO14443 TYPE A/B</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（2）支持卡型</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支持符合 ISO14443 Type A,Type B 的非接触智能卡，如： FM1702，FM1702M01，Mifare</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S50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S70,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MF1ICL10,</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Pro, Mifare desfire</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Mifare ultralight 等</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（3）电 源：由PC机PS/2键盘口取电或外接专用5V电源适配器</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（4）读写距离： &lt;100mm</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5）功耗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&lt;0.5W</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6）通信速率： 19200 bps(缺省),9600 bps</w:t>
      </w:r>
    </w:p>
    <w:p>
      <w:pPr>
        <w:adjustRightInd w:val="0"/>
        <w:snapToGrid w:val="0"/>
        <w:spacing w:line="600" w:lineRule="exact"/>
        <w:ind w:left="0" w:leftChars="0" w:firstLine="638" w:firstLineChars="228"/>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（7）工作温度： 0</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-40</w:t>
      </w:r>
      <w:r>
        <w:rPr>
          <w:rFonts w:hint="eastAsia" w:ascii="仿宋_GB2312" w:hAnsi="仿宋_GB2312" w:eastAsia="仿宋_GB2312" w:cs="仿宋_GB2312"/>
          <w:sz w:val="28"/>
          <w:szCs w:val="28"/>
          <w:highlight w:val="none"/>
          <w:lang w:val="en-US" w:eastAsia="zh-CN"/>
        </w:rPr>
        <w:t>℃</w:t>
      </w:r>
    </w:p>
    <w:p>
      <w:pPr>
        <w:adjustRightInd w:val="0"/>
        <w:snapToGrid w:val="0"/>
        <w:spacing w:line="360" w:lineRule="auto"/>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通讯接口： USB/RS232/RS485</w:t>
      </w:r>
    </w:p>
    <w:p>
      <w:pPr>
        <w:adjustRightInd w:val="0"/>
        <w:snapToGrid w:val="0"/>
        <w:spacing w:line="360" w:lineRule="auto"/>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（9）工作湿度： 相对湿度40%-90%</w:t>
      </w:r>
    </w:p>
    <w:p>
      <w:pPr>
        <w:adjustRightInd w:val="0"/>
        <w:snapToGrid w:val="0"/>
        <w:spacing w:line="360" w:lineRule="auto"/>
        <w:ind w:left="0" w:leftChars="0" w:firstLine="638" w:firstLineChars="228"/>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（10）规格：140mm*100mm*28mm</w:t>
      </w:r>
    </w:p>
    <w:p>
      <w:pPr>
        <w:pStyle w:val="2"/>
        <w:ind w:left="0" w:leftChars="0" w:firstLine="560" w:firstLineChars="200"/>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2.4云服务器要求</w:t>
      </w:r>
    </w:p>
    <w:p>
      <w:pPr>
        <w:pStyle w:val="2"/>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（1）每台云服务器要求CPU≥8核，内存≥16GB，数据盘≥1TB，带宽≥10Mbit/s，平均响应时间(秒)≤1.0。</w:t>
      </w:r>
    </w:p>
    <w:p>
      <w:pPr>
        <w:pStyle w:val="2"/>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FF0000"/>
          <w:sz w:val="28"/>
          <w:szCs w:val="28"/>
          <w:highlight w:val="none"/>
          <w:lang w:val="en-US" w:eastAsia="zh-CN"/>
        </w:rPr>
        <w:t>（2）报价人必须充分考虑数据存储、系统运行所需的资源配置，选用合理的服务器资源及数量且确保系统运行后留有30%的存储余量，若资源不满足要求需及时扩容，本项目合同费用不予以增加。</w:t>
      </w:r>
    </w:p>
    <w:p>
      <w:pPr>
        <w:pStyle w:val="2"/>
        <w:rPr>
          <w:rFonts w:hint="default" w:eastAsia="仿宋_GB2312"/>
          <w:color w:val="FF0000"/>
          <w:lang w:val="en-US" w:eastAsia="zh-CN"/>
        </w:rPr>
      </w:pPr>
      <w:r>
        <w:rPr>
          <w:rFonts w:hint="eastAsia" w:ascii="仿宋_GB2312" w:hAnsi="仿宋_GB2312" w:eastAsia="仿宋_GB2312" w:cs="仿宋_GB2312"/>
          <w:color w:val="FF0000"/>
          <w:sz w:val="28"/>
          <w:szCs w:val="28"/>
          <w:highlight w:val="none"/>
          <w:lang w:val="en-US" w:eastAsia="zh-CN"/>
        </w:rPr>
        <w:t>（3）云服务器相关的安全防护措施应按照采购人实际情况进行租赁，充分考虑运行所需的资源配置，选用合理的安全防护资源且确保系统安全运行。</w:t>
      </w:r>
    </w:p>
    <w:p>
      <w:pPr>
        <w:spacing w:line="240" w:lineRule="auto"/>
        <w:ind w:firstLine="560" w:firstLineChars="200"/>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（4）相关配置要求</w:t>
      </w:r>
    </w:p>
    <w:p>
      <w:pPr>
        <w:spacing w:line="240" w:lineRule="auto"/>
        <w:ind w:firstLine="480" w:firstLineChars="200"/>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ascii="宋体" w:hAnsi="宋体" w:eastAsia="宋体" w:cs="宋体"/>
          <w:kern w:val="0"/>
          <w:sz w:val="24"/>
          <w:szCs w:val="24"/>
          <w:lang w:val="en-US" w:eastAsia="zh-CN" w:bidi="ar"/>
        </w:rPr>
        <w:drawing>
          <wp:inline distT="0" distB="0" distL="114300" distR="114300">
            <wp:extent cx="4860925" cy="6201410"/>
            <wp:effectExtent l="0" t="0" r="15875" b="8890"/>
            <wp:docPr id="20" name="图片 1" descr="F:\Desktop\111.png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F:\Desktop\111.png111"/>
                    <pic:cNvPicPr>
                      <a:picLocks noChangeAspect="1"/>
                    </pic:cNvPicPr>
                  </pic:nvPicPr>
                  <pic:blipFill>
                    <a:blip r:embed="rId11"/>
                    <a:srcRect/>
                    <a:stretch>
                      <a:fillRect/>
                    </a:stretch>
                  </pic:blipFill>
                  <pic:spPr>
                    <a:xfrm>
                      <a:off x="0" y="0"/>
                      <a:ext cx="4860925" cy="6201410"/>
                    </a:xfrm>
                    <a:prstGeom prst="rect">
                      <a:avLst/>
                    </a:prstGeom>
                    <a:noFill/>
                    <a:ln w="9525">
                      <a:noFill/>
                    </a:ln>
                  </pic:spPr>
                </pic:pic>
              </a:graphicData>
            </a:graphic>
          </wp:inline>
        </w:drawing>
      </w:r>
    </w:p>
    <w:p>
      <w:pPr>
        <w:spacing w:line="240" w:lineRule="auto"/>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技术服务要求</w:t>
      </w:r>
    </w:p>
    <w:p>
      <w:pPr>
        <w:spacing w:line="24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1.本项目</w:t>
      </w:r>
      <w:r>
        <w:rPr>
          <w:rFonts w:hint="eastAsia" w:ascii="仿宋_GB2312" w:hAnsi="仿宋_GB2312" w:eastAsia="仿宋_GB2312" w:cs="仿宋_GB2312"/>
          <w:sz w:val="28"/>
          <w:szCs w:val="28"/>
          <w:highlight w:val="none"/>
          <w:lang w:val="zh-CN"/>
        </w:rPr>
        <w:t>所提供报价</w:t>
      </w:r>
      <w:r>
        <w:rPr>
          <w:rFonts w:hint="eastAsia" w:ascii="仿宋_GB2312" w:hAnsi="仿宋_GB2312" w:eastAsia="仿宋_GB2312" w:cs="仿宋_GB2312"/>
          <w:sz w:val="28"/>
          <w:szCs w:val="28"/>
          <w:highlight w:val="none"/>
          <w:lang w:val="en-US" w:eastAsia="zh-CN"/>
        </w:rPr>
        <w:t>软件</w:t>
      </w:r>
      <w:r>
        <w:rPr>
          <w:rFonts w:hint="eastAsia" w:ascii="仿宋_GB2312" w:hAnsi="仿宋_GB2312" w:eastAsia="仿宋_GB2312" w:cs="仿宋_GB2312"/>
          <w:sz w:val="28"/>
          <w:szCs w:val="28"/>
          <w:highlight w:val="none"/>
          <w:lang w:val="zh-CN"/>
        </w:rPr>
        <w:t>产品</w:t>
      </w:r>
      <w:r>
        <w:rPr>
          <w:rFonts w:hint="eastAsia" w:ascii="仿宋_GB2312" w:hAnsi="仿宋_GB2312" w:eastAsia="仿宋_GB2312" w:cs="仿宋_GB2312"/>
          <w:sz w:val="28"/>
          <w:szCs w:val="28"/>
          <w:highlight w:val="none"/>
          <w:lang w:val="en-US" w:eastAsia="zh-CN"/>
        </w:rPr>
        <w:t>均为正版</w:t>
      </w:r>
      <w:r>
        <w:rPr>
          <w:rFonts w:hint="eastAsia" w:ascii="仿宋_GB2312" w:hAnsi="仿宋_GB2312" w:eastAsia="仿宋_GB2312" w:cs="仿宋_GB2312"/>
          <w:sz w:val="28"/>
          <w:szCs w:val="28"/>
          <w:highlight w:val="none"/>
          <w:lang w:val="zh-CN"/>
        </w:rPr>
        <w:t>。</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技术要求：</w:t>
      </w:r>
    </w:p>
    <w:p>
      <w:pPr>
        <w:numPr>
          <w:ilvl w:val="-1"/>
          <w:numId w:val="0"/>
        </w:numPr>
        <w:spacing w:line="240" w:lineRule="auto"/>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2.1</w:t>
      </w:r>
      <w:r>
        <w:rPr>
          <w:rFonts w:hint="eastAsia" w:ascii="仿宋_GB2312" w:hAnsi="仿宋_GB2312" w:eastAsia="仿宋_GB2312" w:cs="仿宋_GB2312"/>
          <w:sz w:val="28"/>
          <w:szCs w:val="28"/>
          <w:highlight w:val="none"/>
        </w:rPr>
        <w:t>系统应用架构要求</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z w:val="28"/>
          <w:szCs w:val="28"/>
          <w:highlight w:val="none"/>
        </w:rPr>
        <w:t>系统必须采用基于B/S模式的SOA架构，保证系统开放性、可重用性和松耦合；</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使用开放性的、符合广州市净水有限公司IT规范的应用架构实现系统应用；</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应用架构应保证安全性、可用性、可扩展性和易用性原则；</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应用架构设计应保证实现非功能性需求；</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应用架构设计应保证采用已验证的方法；</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应用架构设计应保证采用已验证的技术实施方案；</w:t>
      </w:r>
    </w:p>
    <w:p>
      <w:pPr>
        <w:numPr>
          <w:ilvl w:val="-1"/>
          <w:numId w:val="0"/>
        </w:numPr>
        <w:adjustRightInd w:val="0"/>
        <w:snapToGrid w:val="0"/>
        <w:spacing w:line="600" w:lineRule="exact"/>
        <w:ind w:left="0" w:leftChars="0" w:firstLine="555"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应用架构设计应保证系统与广州市净水有限公司其它系统对接能力。</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系统性能要求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用户操作响应需求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响应时间的达成必须满足下列前提条件：</w:t>
      </w:r>
    </w:p>
    <w:tbl>
      <w:tblPr>
        <w:tblStyle w:val="25"/>
        <w:tblW w:w="93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659"/>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类别</w:t>
            </w:r>
          </w:p>
        </w:tc>
        <w:tc>
          <w:tcPr>
            <w:tcW w:w="2659" w:type="dxa"/>
            <w:shd w:val="pct10" w:color="auto" w:fill="auto"/>
          </w:tcPr>
          <w:p>
            <w:pPr>
              <w:spacing w:line="240" w:lineRule="auto"/>
              <w:ind w:left="0" w:leftChars="0" w:firstLine="142" w:firstLineChars="51"/>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平时响应时间（秒）</w:t>
            </w:r>
          </w:p>
        </w:tc>
        <w:tc>
          <w:tcPr>
            <w:tcW w:w="2659" w:type="dxa"/>
            <w:shd w:val="pct10" w:color="auto" w:fill="auto"/>
          </w:tcPr>
          <w:p>
            <w:pPr>
              <w:spacing w:line="240" w:lineRule="auto"/>
              <w:ind w:left="0" w:leftChars="0" w:firstLine="142" w:firstLineChars="51"/>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高峰响应时间（秒）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普通操作浏览</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登陆</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非报表类统计查询</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一般报表实时统计</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复杂报表实时统计</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≤10秒</w:t>
            </w:r>
          </w:p>
        </w:tc>
        <w:tc>
          <w:tcPr>
            <w:tcW w:w="2659"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≤15秒</w:t>
            </w:r>
          </w:p>
        </w:tc>
      </w:tr>
    </w:tbl>
    <w:p>
      <w:pPr>
        <w:ind w:left="420" w:leftChars="200" w:firstLine="145" w:firstLineChars="5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说明：以上时间指标不包括用户端由于网络瓶颈造成的延迟时间。</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4" w:name="_Toc493692994"/>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可用性要求</w:t>
      </w:r>
      <w:bookmarkEnd w:id="74"/>
    </w:p>
    <w:tbl>
      <w:tblPr>
        <w:tblStyle w:val="25"/>
        <w:tblW w:w="957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系统可用性分类</w:t>
            </w:r>
          </w:p>
        </w:tc>
        <w:tc>
          <w:tcPr>
            <w:tcW w:w="3374" w:type="dxa"/>
            <w:shd w:val="pct10" w:color="auto" w:fill="auto"/>
          </w:tcPr>
          <w:p>
            <w:pPr>
              <w:spacing w:line="240" w:lineRule="auto"/>
              <w:ind w:left="420" w:leftChars="200" w:firstLine="145" w:firstLineChars="52"/>
              <w:jc w:val="left"/>
              <w:rPr>
                <w:rFonts w:hint="eastAsia" w:ascii="仿宋" w:hAnsi="仿宋" w:eastAsia="仿宋" w:cs="仿宋"/>
                <w:b w:val="0"/>
                <w:color w:val="000000" w:themeColor="text1"/>
                <w:kern w:val="2"/>
                <w:sz w:val="28"/>
                <w:szCs w:val="28"/>
                <w:highlight w:val="none"/>
                <w14:textFill>
                  <w14:solidFill>
                    <w14:schemeClr w14:val="tx1"/>
                  </w14:solidFill>
                </w14:textFill>
              </w:rPr>
            </w:pPr>
            <w:r>
              <w:rPr>
                <w:rFonts w:hint="eastAsia" w:ascii="仿宋" w:hAnsi="仿宋" w:eastAsia="仿宋" w:cs="仿宋"/>
                <w:b w:val="0"/>
                <w:color w:val="000000" w:themeColor="text1"/>
                <w:kern w:val="2"/>
                <w:sz w:val="28"/>
                <w:szCs w:val="28"/>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系统用户使用时间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8：00-</w:t>
            </w:r>
            <w:r>
              <w:rPr>
                <w:rFonts w:hint="eastAsia" w:ascii="仿宋" w:hAnsi="仿宋" w:eastAsia="仿宋" w:cs="仿宋"/>
                <w:color w:val="000000" w:themeColor="text1"/>
                <w:kern w:val="2"/>
                <w:sz w:val="28"/>
                <w:szCs w:val="28"/>
                <w:highlight w:val="none"/>
                <w:lang w:val="en-US" w:eastAsia="zh-CN"/>
                <w14:textFill>
                  <w14:solidFill>
                    <w14:schemeClr w14:val="tx1"/>
                  </w14:solidFill>
                </w14:textFill>
              </w:rPr>
              <w:t>21</w:t>
            </w:r>
            <w:r>
              <w:rPr>
                <w:rFonts w:hint="eastAsia" w:ascii="仿宋" w:hAnsi="仿宋" w:eastAsia="仿宋" w:cs="仿宋"/>
                <w:color w:val="000000" w:themeColor="text1"/>
                <w:kern w:val="2"/>
                <w:sz w:val="28"/>
                <w:szCs w:val="28"/>
                <w:highlight w:val="none"/>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系统服务时间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系统批量数据导入/导出使用时间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系统最大可接受非正常连续停机时间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系统运行可用性</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最大可接受不可用频率</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全年不超过2次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 xml:space="preserve">日常系统维护时间窗口 </w:t>
            </w:r>
          </w:p>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(系统软硬件升级，数据库优化)</w:t>
            </w:r>
          </w:p>
        </w:tc>
        <w:tc>
          <w:tcPr>
            <w:tcW w:w="3374" w:type="dxa"/>
            <w:vAlign w:val="center"/>
          </w:tcPr>
          <w:p>
            <w:pPr>
              <w:spacing w:line="240" w:lineRule="auto"/>
              <w:ind w:left="0" w:leftChars="0" w:firstLine="0" w:firstLineChars="0"/>
              <w:jc w:val="center"/>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21：00-24：00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数据备份窗口</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一般放在节假日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spacing w:line="240" w:lineRule="auto"/>
              <w:ind w:left="420" w:leftChars="200" w:firstLine="145" w:firstLineChars="52"/>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平均修复时间</w:t>
            </w:r>
          </w:p>
        </w:tc>
        <w:tc>
          <w:tcPr>
            <w:tcW w:w="3374" w:type="dxa"/>
          </w:tcPr>
          <w:p>
            <w:pPr>
              <w:spacing w:line="240" w:lineRule="auto"/>
              <w:ind w:left="420" w:leftChars="200" w:firstLine="145" w:firstLineChars="52"/>
              <w:jc w:val="left"/>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0.5小时</w:t>
            </w:r>
          </w:p>
        </w:tc>
      </w:tr>
    </w:tbl>
    <w:p>
      <w:pPr>
        <w:numPr>
          <w:ilvl w:val="0"/>
          <w:numId w:val="0"/>
        </w:num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安全要求</w:t>
      </w:r>
    </w:p>
    <w:p>
      <w:pPr>
        <w:numPr>
          <w:ilvl w:val="-1"/>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5" w:name="_Toc493693011"/>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用户访问安全要求</w:t>
      </w:r>
      <w:bookmarkEnd w:id="75"/>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w:t>
      </w:r>
      <w:r>
        <w:rPr>
          <w:rFonts w:hint="eastAsia" w:ascii="仿宋_GB2312" w:hAnsi="仿宋_GB2312" w:eastAsia="仿宋_GB2312" w:cs="仿宋_GB2312"/>
          <w:color w:val="auto"/>
          <w:sz w:val="28"/>
          <w:szCs w:val="28"/>
          <w:highlight w:val="none"/>
        </w:rPr>
        <w:t>用户认证安全级别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对于公司内部用户，支持VPN，内网访问，系统采用用户名/密码机制验证当前用户。如果验证成功，用户能够登录到系统，否则将不能正常登录系统；用户超过一定时间不使用，该用户对系统的访问将超时失效，默认为30分钟（时间可配置）</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用户授权安全级别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对于系统用户，根据其角色，部门组织架构进行授权；</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6" w:name="_Toc493693012"/>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系统安全设计要求</w:t>
      </w:r>
      <w:bookmarkEnd w:id="76"/>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系统数据具有较高的保密性和重要性，因此系统的安全性特别是数据的安全性对广州市净水有限公司2022年度员工食堂系统项目至关重要。</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bookmarkStart w:id="77" w:name="_Toc493693013"/>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数据安全要求</w:t>
      </w:r>
      <w:bookmarkEnd w:id="77"/>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w:t>
      </w:r>
      <w:r>
        <w:rPr>
          <w:rFonts w:hint="eastAsia" w:ascii="仿宋_GB2312" w:hAnsi="仿宋_GB2312" w:eastAsia="仿宋_GB2312" w:cs="仿宋_GB2312"/>
          <w:color w:val="auto"/>
          <w:sz w:val="28"/>
          <w:szCs w:val="28"/>
          <w:highlight w:val="none"/>
        </w:rPr>
        <w:t>数据安全级别</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数据库：仅允许授权用户访问数据信息</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文档服务：仅允许用户通过应用操作文档。</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数据库加密需求</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数据库中用户密码等关键信息应提供加密</w:t>
      </w:r>
      <w:r>
        <w:rPr>
          <w:rFonts w:hint="eastAsia" w:ascii="仿宋_GB2312" w:hAnsi="仿宋_GB2312" w:eastAsia="仿宋_GB2312" w:cs="仿宋_GB2312"/>
          <w:color w:val="auto"/>
          <w:sz w:val="28"/>
          <w:szCs w:val="28"/>
          <w:highlight w:val="none"/>
          <w:lang w:eastAsia="zh-CN"/>
        </w:rPr>
        <w:t>。</w:t>
      </w:r>
    </w:p>
    <w:p>
      <w:pPr>
        <w:numPr>
          <w:ilvl w:val="0"/>
          <w:numId w:val="0"/>
        </w:numPr>
        <w:spacing w:line="240" w:lineRule="auto"/>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w:t>
      </w:r>
      <w:r>
        <w:rPr>
          <w:rFonts w:hint="eastAsia" w:ascii="仿宋_GB2312" w:hAnsi="仿宋_GB2312" w:eastAsia="仿宋_GB2312" w:cs="仿宋_GB2312"/>
          <w:color w:val="auto"/>
          <w:sz w:val="28"/>
          <w:szCs w:val="28"/>
          <w:highlight w:val="none"/>
        </w:rPr>
        <w:t>对外数据授权使用策略</w:t>
      </w:r>
    </w:p>
    <w:p>
      <w:pPr>
        <w:numPr>
          <w:ilvl w:val="0"/>
          <w:numId w:val="0"/>
        </w:numPr>
        <w:spacing w:line="240" w:lineRule="auto"/>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数据库最高管理权限账号（如sa）必须禁用，系统可使用新建数据库用户账号。</w:t>
      </w:r>
    </w:p>
    <w:p>
      <w:pPr>
        <w:numPr>
          <w:ilvl w:val="0"/>
          <w:numId w:val="0"/>
        </w:num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2.4.对接要求</w:t>
      </w:r>
    </w:p>
    <w:p>
      <w:pPr>
        <w:numPr>
          <w:ilvl w:val="0"/>
          <w:numId w:val="0"/>
        </w:numPr>
        <w:ind w:left="0" w:leftChars="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系统为实现职工餐费补贴的全面管理，须做好与公司人力资源管理系统、业财一体化平台等相关系统的对接工作，实现相关数据信息统一管理。</w:t>
      </w:r>
    </w:p>
    <w:p>
      <w:pPr>
        <w:numPr>
          <w:ilvl w:val="0"/>
          <w:numId w:val="0"/>
        </w:numPr>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服务要求：</w:t>
      </w:r>
    </w:p>
    <w:p>
      <w:pPr>
        <w:numPr>
          <w:ilvl w:val="0"/>
          <w:numId w:val="0"/>
        </w:num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项目必须提供的具体服务内容如下：</w:t>
      </w:r>
    </w:p>
    <w:p>
      <w:pPr>
        <w:numPr>
          <w:ilvl w:val="0"/>
          <w:numId w:val="0"/>
        </w:numPr>
        <w:ind w:firstLine="560" w:firstLineChars="200"/>
        <w:rPr>
          <w:rFonts w:hint="eastAsia" w:ascii="仿宋_GB2312" w:hAnsi="仿宋_GB2312" w:eastAsia="仿宋_GB2312" w:cs="仿宋_GB2312"/>
          <w:b w:val="0"/>
          <w:color w:val="FF0000"/>
          <w:sz w:val="28"/>
          <w:szCs w:val="28"/>
          <w:highlight w:val="none"/>
          <w:lang w:val="en-US" w:eastAsia="zh-CN"/>
        </w:rPr>
      </w:pPr>
      <w:r>
        <w:rPr>
          <w:rFonts w:hint="eastAsia" w:ascii="仿宋_GB2312" w:hAnsi="仿宋_GB2312" w:eastAsia="仿宋_GB2312" w:cs="仿宋_GB2312"/>
          <w:b w:val="0"/>
          <w:color w:val="FF0000"/>
          <w:sz w:val="28"/>
          <w:szCs w:val="28"/>
          <w:highlight w:val="none"/>
          <w:lang w:val="en-US" w:eastAsia="zh-CN"/>
        </w:rPr>
        <w:t>3.1运维服务总体要求</w:t>
      </w:r>
    </w:p>
    <w:p>
      <w:pPr>
        <w:numPr>
          <w:ilvl w:val="0"/>
          <w:numId w:val="0"/>
        </w:numPr>
        <w:ind w:firstLine="560" w:firstLineChars="200"/>
      </w:pPr>
      <w:r>
        <w:rPr>
          <w:rFonts w:hint="eastAsia" w:ascii="仿宋_GB2312" w:hAnsi="仿宋_GB2312" w:eastAsia="仿宋_GB2312" w:cs="仿宋_GB2312"/>
          <w:b w:val="0"/>
          <w:color w:val="FF0000"/>
          <w:sz w:val="28"/>
          <w:szCs w:val="28"/>
          <w:highlight w:val="none"/>
          <w:lang w:val="en-US" w:eastAsia="zh-CN"/>
        </w:rPr>
        <w:t>（1）系统试运行且验收合格后，报价人提供三年运维服务。</w:t>
      </w:r>
    </w:p>
    <w:p>
      <w:pPr>
        <w:numPr>
          <w:ilvl w:val="0"/>
          <w:numId w:val="0"/>
        </w:numPr>
        <w:ind w:firstLine="560" w:firstLineChars="200"/>
        <w:rPr>
          <w:rFonts w:hint="eastAsia" w:ascii="仿宋_GB2312" w:hAnsi="仿宋_GB2312" w:eastAsia="仿宋_GB2312" w:cs="仿宋_GB2312"/>
          <w:b w:val="0"/>
          <w:color w:val="FF0000"/>
          <w:sz w:val="28"/>
          <w:szCs w:val="28"/>
          <w:highlight w:val="none"/>
          <w:lang w:val="en-US" w:eastAsia="zh-CN"/>
        </w:rPr>
      </w:pPr>
      <w:r>
        <w:rPr>
          <w:rFonts w:hint="eastAsia" w:ascii="仿宋_GB2312" w:hAnsi="仿宋_GB2312" w:eastAsia="仿宋_GB2312" w:cs="仿宋_GB2312"/>
          <w:b w:val="0"/>
          <w:color w:val="FF0000"/>
          <w:sz w:val="28"/>
          <w:szCs w:val="28"/>
          <w:highlight w:val="none"/>
          <w:lang w:val="en-US" w:eastAsia="zh-CN"/>
        </w:rPr>
        <w:t>（2）运维工作包含但不限于系统每日巡检、服务器定期巡检、应用系统与操作系统定期安全检查、系统打补丁、系统数据定期备份、系统安全口令定期更换、防火墙病毒库定期更新、系统适应性升级、系统故障处置及现场故障处理等内容。</w:t>
      </w:r>
    </w:p>
    <w:p>
      <w:pPr>
        <w:numPr>
          <w:ilvl w:val="0"/>
          <w:numId w:val="0"/>
        </w:numPr>
        <w:ind w:firstLine="560" w:firstLineChars="200"/>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b w:val="0"/>
          <w:color w:val="auto"/>
          <w:sz w:val="28"/>
          <w:szCs w:val="28"/>
          <w:highlight w:val="none"/>
          <w:lang w:val="en-US" w:eastAsia="zh-CN"/>
        </w:rPr>
        <w:t>3.2运维</w:t>
      </w:r>
      <w:r>
        <w:rPr>
          <w:rFonts w:hint="eastAsia" w:ascii="仿宋_GB2312" w:hAnsi="仿宋_GB2312" w:eastAsia="仿宋_GB2312" w:cs="仿宋_GB2312"/>
          <w:b w:val="0"/>
          <w:color w:val="auto"/>
          <w:sz w:val="28"/>
          <w:szCs w:val="28"/>
          <w:highlight w:val="none"/>
        </w:rPr>
        <w:t>服务内容</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1.承包人明确承诺:</w:t>
      </w:r>
      <w:r>
        <w:rPr>
          <w:rFonts w:hint="eastAsia" w:ascii="仿宋_GB2312" w:hAnsi="仿宋_GB2312" w:eastAsia="仿宋_GB2312" w:cs="仿宋_GB2312"/>
          <w:sz w:val="28"/>
          <w:szCs w:val="28"/>
          <w:highlight w:val="none"/>
        </w:rPr>
        <w:t>本项目</w:t>
      </w:r>
      <w:r>
        <w:rPr>
          <w:rFonts w:hint="eastAsia" w:ascii="仿宋_GB2312" w:hAnsi="仿宋_GB2312" w:eastAsia="仿宋_GB2312" w:cs="仿宋_GB2312"/>
          <w:sz w:val="28"/>
          <w:szCs w:val="28"/>
          <w:highlight w:val="none"/>
          <w:lang w:val="en-US" w:eastAsia="zh-CN"/>
        </w:rPr>
        <w:t>所提供的系统及配套软件</w:t>
      </w:r>
      <w:r>
        <w:rPr>
          <w:rFonts w:hint="eastAsia" w:ascii="仿宋_GB2312" w:hAnsi="仿宋_GB2312" w:eastAsia="仿宋_GB2312" w:cs="仿宋_GB2312"/>
          <w:sz w:val="28"/>
          <w:szCs w:val="28"/>
          <w:highlight w:val="none"/>
        </w:rPr>
        <w:t>提供</w:t>
      </w:r>
      <w:r>
        <w:rPr>
          <w:rFonts w:hint="eastAsia" w:ascii="仿宋_GB2312" w:hAnsi="仿宋_GB2312" w:eastAsia="仿宋_GB2312" w:cs="仿宋_GB2312"/>
          <w:color w:val="0000FF"/>
          <w:sz w:val="28"/>
          <w:szCs w:val="28"/>
          <w:highlight w:val="none"/>
          <w:lang w:val="en-US" w:eastAsia="zh-CN"/>
        </w:rPr>
        <w:t>三年</w:t>
      </w:r>
      <w:r>
        <w:rPr>
          <w:rFonts w:hint="eastAsia" w:ascii="仿宋_GB2312" w:hAnsi="仿宋_GB2312" w:eastAsia="仿宋_GB2312" w:cs="仿宋_GB2312"/>
          <w:sz w:val="28"/>
          <w:szCs w:val="28"/>
          <w:highlight w:val="none"/>
          <w:lang w:val="en-US" w:eastAsia="zh-CN"/>
        </w:rPr>
        <w:t>运维</w:t>
      </w:r>
      <w:r>
        <w:rPr>
          <w:rFonts w:hint="eastAsia" w:ascii="仿宋_GB2312" w:hAnsi="仿宋_GB2312" w:eastAsia="仿宋_GB2312" w:cs="仿宋_GB2312"/>
          <w:sz w:val="28"/>
          <w:szCs w:val="28"/>
          <w:highlight w:val="none"/>
        </w:rPr>
        <w:t>服务。</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2.承包人</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产品属于国家规定“三包”范围的，其产品质量不得低于“三包”</w:t>
      </w:r>
      <w:r>
        <w:rPr>
          <w:rFonts w:hint="eastAsia" w:ascii="仿宋_GB2312" w:hAnsi="仿宋_GB2312" w:eastAsia="仿宋_GB2312" w:cs="仿宋_GB2312"/>
          <w:color w:val="auto"/>
          <w:sz w:val="28"/>
          <w:szCs w:val="28"/>
          <w:highlight w:val="none"/>
          <w:lang w:val="en-US" w:eastAsia="zh-CN"/>
        </w:rPr>
        <w:t>政策的</w:t>
      </w:r>
      <w:r>
        <w:rPr>
          <w:rFonts w:hint="eastAsia" w:ascii="仿宋_GB2312" w:hAnsi="仿宋_GB2312" w:eastAsia="仿宋_GB2312" w:cs="仿宋_GB2312"/>
          <w:color w:val="auto"/>
          <w:sz w:val="28"/>
          <w:szCs w:val="28"/>
          <w:highlight w:val="none"/>
        </w:rPr>
        <w:t>规定。</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承诺优于国家“三包”规定的，按承包人实际承诺执行。</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u w:val="single"/>
        </w:rPr>
        <w:t>承包人</w:t>
      </w:r>
      <w:r>
        <w:rPr>
          <w:rFonts w:hint="eastAsia" w:ascii="仿宋_GB2312" w:hAnsi="仿宋_GB2312" w:eastAsia="仿宋_GB2312" w:cs="仿宋_GB2312"/>
          <w:color w:val="auto"/>
          <w:sz w:val="28"/>
          <w:szCs w:val="28"/>
          <w:highlight w:val="none"/>
          <w:u w:val="single"/>
          <w:lang w:val="en-US" w:eastAsia="zh-CN"/>
        </w:rPr>
        <w:t>报价</w:t>
      </w:r>
      <w:r>
        <w:rPr>
          <w:rFonts w:hint="eastAsia" w:ascii="仿宋_GB2312" w:hAnsi="仿宋_GB2312" w:eastAsia="仿宋_GB2312" w:cs="仿宋_GB2312"/>
          <w:color w:val="auto"/>
          <w:sz w:val="28"/>
          <w:szCs w:val="28"/>
          <w:highlight w:val="none"/>
          <w:u w:val="single"/>
        </w:rPr>
        <w:t>产品由原厂负责标准售后服务的，应当在</w:t>
      </w:r>
      <w:r>
        <w:rPr>
          <w:rFonts w:hint="eastAsia" w:ascii="仿宋_GB2312" w:hAnsi="仿宋_GB2312" w:eastAsia="仿宋_GB2312" w:cs="仿宋_GB2312"/>
          <w:color w:val="auto"/>
          <w:sz w:val="28"/>
          <w:szCs w:val="28"/>
          <w:highlight w:val="none"/>
          <w:u w:val="single"/>
          <w:lang w:val="en-US" w:eastAsia="zh-CN"/>
        </w:rPr>
        <w:t>响应</w:t>
      </w:r>
      <w:r>
        <w:rPr>
          <w:rFonts w:hint="eastAsia" w:ascii="仿宋_GB2312" w:hAnsi="仿宋_GB2312" w:eastAsia="仿宋_GB2312" w:cs="仿宋_GB2312"/>
          <w:color w:val="auto"/>
          <w:sz w:val="28"/>
          <w:szCs w:val="28"/>
          <w:highlight w:val="none"/>
          <w:u w:val="single"/>
        </w:rPr>
        <w:t>文件中予以明确说明,并附厂家售后服务承诺内容。</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承包人在</w:t>
      </w:r>
      <w:r>
        <w:rPr>
          <w:rFonts w:hint="eastAsia" w:ascii="仿宋_GB2312" w:hAnsi="仿宋_GB2312" w:eastAsia="仿宋_GB2312" w:cs="仿宋_GB2312"/>
          <w:color w:val="auto"/>
          <w:sz w:val="28"/>
          <w:szCs w:val="28"/>
          <w:highlight w:val="none"/>
          <w:lang w:val="en-US" w:eastAsia="zh-CN"/>
        </w:rPr>
        <w:t>运维期</w:t>
      </w:r>
      <w:r>
        <w:rPr>
          <w:rFonts w:hint="eastAsia" w:ascii="仿宋_GB2312" w:hAnsi="仿宋_GB2312" w:eastAsia="仿宋_GB2312" w:cs="仿宋_GB2312"/>
          <w:color w:val="auto"/>
          <w:sz w:val="28"/>
          <w:szCs w:val="28"/>
          <w:highlight w:val="none"/>
        </w:rPr>
        <w:t>内应当为询价人提供以下技术支持和服务:</w:t>
      </w:r>
    </w:p>
    <w:p>
      <w:pPr>
        <w:numPr>
          <w:ilvl w:val="0"/>
          <w:numId w:val="0"/>
        </w:num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A、咨询</w:t>
      </w:r>
      <w:r>
        <w:rPr>
          <w:rFonts w:hint="eastAsia" w:ascii="仿宋_GB2312" w:hAnsi="仿宋_GB2312" w:eastAsia="仿宋_GB2312" w:cs="仿宋_GB2312"/>
          <w:color w:val="auto"/>
          <w:sz w:val="28"/>
          <w:szCs w:val="28"/>
          <w:highlight w:val="none"/>
          <w:lang w:val="en-US" w:eastAsia="zh-CN"/>
        </w:rPr>
        <w:t>服务</w:t>
      </w:r>
    </w:p>
    <w:p>
      <w:pPr>
        <w:numPr>
          <w:ilvl w:val="0"/>
          <w:numId w:val="0"/>
        </w:num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承包人应当为询价人提供7×24小时热线响应和专家在线远程技术支持，解答询价人在使用中遇到的问题，及时为询价人提出解决问题的建议。</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B、现场响应</w:t>
      </w:r>
    </w:p>
    <w:p>
      <w:pPr>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询价人遇到使用及技术问题，电话咨询不能解决的，承包人应在1小时内到达现场进行处理，确保产品正常工作﹔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w:t>
      </w:r>
      <w:r>
        <w:rPr>
          <w:rFonts w:hint="eastAsia" w:ascii="仿宋_GB2312" w:hAnsi="仿宋_GB2312" w:eastAsia="仿宋_GB2312" w:cs="仿宋_GB2312"/>
          <w:color w:val="000000" w:themeColor="text1"/>
          <w:sz w:val="28"/>
          <w:szCs w:val="28"/>
          <w:highlight w:val="none"/>
          <w14:textFill>
            <w14:solidFill>
              <w14:schemeClr w14:val="tx1"/>
            </w14:solidFill>
          </w14:textFill>
        </w:rPr>
        <w:t>无法在2小时内解决的，应在2小时内提供备用产品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并</w:t>
      </w:r>
      <w:r>
        <w:rPr>
          <w:rFonts w:hint="eastAsia" w:ascii="仿宋_GB2312" w:hAnsi="仿宋_GB2312" w:eastAsia="仿宋_GB2312" w:cs="仿宋_GB2312"/>
          <w:color w:val="000000"/>
          <w:sz w:val="28"/>
          <w:szCs w:val="28"/>
          <w:highlight w:val="none"/>
        </w:rPr>
        <w:t>提供解决方案</w:t>
      </w:r>
      <w:r>
        <w:rPr>
          <w:rFonts w:hint="eastAsia" w:ascii="仿宋_GB2312" w:hAnsi="仿宋_GB2312" w:eastAsia="仿宋_GB2312" w:cs="仿宋_GB2312"/>
          <w:color w:val="000000" w:themeColor="text1"/>
          <w:sz w:val="28"/>
          <w:szCs w:val="28"/>
          <w:highlight w:val="none"/>
          <w14:textFill>
            <w14:solidFill>
              <w14:schemeClr w14:val="tx1"/>
            </w14:solidFill>
          </w14:textFill>
        </w:rPr>
        <w:t>，使询价人能够正常使用。</w:t>
      </w:r>
      <w:r>
        <w:rPr>
          <w:rFonts w:hint="eastAsia" w:ascii="仿宋_GB2312" w:hAnsi="仿宋_GB2312" w:eastAsia="仿宋_GB2312" w:cs="仿宋_GB2312"/>
          <w:color w:val="000000"/>
          <w:sz w:val="28"/>
          <w:szCs w:val="28"/>
          <w:highlight w:val="none"/>
        </w:rPr>
        <w:t>在解决问题后，</w:t>
      </w:r>
      <w:r>
        <w:rPr>
          <w:rFonts w:hint="eastAsia" w:ascii="仿宋_GB2312" w:hAnsi="仿宋_GB2312" w:eastAsia="仿宋_GB2312" w:cs="仿宋_GB2312"/>
          <w:color w:val="000000"/>
          <w:sz w:val="28"/>
          <w:szCs w:val="28"/>
          <w:highlight w:val="none"/>
          <w:lang w:val="en-US" w:eastAsia="zh-CN"/>
        </w:rPr>
        <w:t>承包</w:t>
      </w:r>
      <w:r>
        <w:rPr>
          <w:rFonts w:hint="eastAsia" w:ascii="仿宋_GB2312" w:hAnsi="仿宋_GB2312" w:eastAsia="仿宋_GB2312" w:cs="仿宋_GB2312"/>
          <w:color w:val="000000"/>
          <w:sz w:val="28"/>
          <w:szCs w:val="28"/>
          <w:highlight w:val="none"/>
        </w:rPr>
        <w:t>人应以书面方式详细说明导致故障的原由及解决问题时所要采取的措施，以及后续改进方案。</w:t>
      </w:r>
    </w:p>
    <w:p>
      <w:pPr>
        <w:pStyle w:val="49"/>
        <w:numPr>
          <w:ilvl w:val="0"/>
          <w:numId w:val="4"/>
        </w:numPr>
        <w:ind w:left="56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定期维护</w:t>
      </w:r>
    </w:p>
    <w:p>
      <w:pPr>
        <w:pStyle w:val="49"/>
        <w:numPr>
          <w:ilvl w:val="-1"/>
          <w:numId w:val="0"/>
        </w:numPr>
        <w:ind w:left="0"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承包人应当定期开展</w:t>
      </w:r>
      <w:r>
        <w:rPr>
          <w:rFonts w:hint="eastAsia" w:ascii="仿宋_GB2312" w:hAnsi="仿宋_GB2312" w:eastAsia="仿宋_GB2312" w:cs="仿宋_GB2312"/>
          <w:color w:val="000000"/>
          <w:sz w:val="28"/>
          <w:szCs w:val="28"/>
          <w:highlight w:val="none"/>
        </w:rPr>
        <w:t>系统性能检测和调优服务</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并根据询价人安全管理要求，定期提供</w:t>
      </w:r>
      <w:r>
        <w:rPr>
          <w:rFonts w:hint="eastAsia" w:ascii="仿宋_GB2312" w:hAnsi="仿宋_GB2312" w:eastAsia="仿宋_GB2312" w:cs="仿宋_GB2312"/>
          <w:color w:val="000000"/>
          <w:sz w:val="28"/>
          <w:szCs w:val="28"/>
          <w:highlight w:val="none"/>
        </w:rPr>
        <w:t>系统安全性检测和修复服务</w:t>
      </w:r>
      <w:r>
        <w:rPr>
          <w:rFonts w:hint="eastAsia" w:ascii="仿宋_GB2312" w:hAnsi="仿宋_GB2312" w:eastAsia="仿宋_GB2312" w:cs="仿宋_GB2312"/>
          <w:color w:val="000000"/>
          <w:sz w:val="28"/>
          <w:szCs w:val="28"/>
          <w:highlight w:val="none"/>
          <w:lang w:eastAsia="zh-CN"/>
        </w:rPr>
        <w:t>。</w:t>
      </w:r>
    </w:p>
    <w:p>
      <w:pPr>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D</w:t>
      </w:r>
      <w:r>
        <w:rPr>
          <w:rFonts w:hint="eastAsia" w:ascii="仿宋_GB2312" w:hAnsi="仿宋_GB2312" w:eastAsia="仿宋_GB2312" w:cs="仿宋_GB2312"/>
          <w:color w:val="000000" w:themeColor="text1"/>
          <w:sz w:val="28"/>
          <w:szCs w:val="28"/>
          <w:highlight w:val="none"/>
          <w14:textFill>
            <w14:solidFill>
              <w14:schemeClr w14:val="tx1"/>
            </w14:solidFill>
          </w14:textFill>
        </w:rPr>
        <w:t>、技术升级</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运维期</w:t>
      </w:r>
      <w:r>
        <w:rPr>
          <w:rFonts w:hint="eastAsia" w:ascii="仿宋_GB2312" w:hAnsi="仿宋_GB2312" w:eastAsia="仿宋_GB2312" w:cs="仿宋_GB2312"/>
          <w:color w:val="000000" w:themeColor="text1"/>
          <w:sz w:val="28"/>
          <w:szCs w:val="28"/>
          <w:highlight w:val="none"/>
          <w14:textFill>
            <w14:solidFill>
              <w14:schemeClr w14:val="tx1"/>
            </w14:solidFill>
          </w14:textFill>
        </w:rPr>
        <w:t>内，如果承包人的销售的产品发现漏洞或能够技术升级，承包人应及时通知询价人，如询价人有相应要求，承包人应对询价人购买的产品进行升级服务。</w:t>
      </w:r>
      <w:r>
        <w:rPr>
          <w:rFonts w:hint="eastAsia" w:ascii="仿宋_GB2312" w:hAnsi="仿宋_GB2312" w:eastAsia="仿宋_GB2312" w:cs="仿宋_GB2312"/>
          <w:color w:val="000000"/>
          <w:sz w:val="28"/>
          <w:szCs w:val="28"/>
          <w:highlight w:val="none"/>
        </w:rPr>
        <w:t>软件升级不得影响系统正常运行，同时免费提供由于升级带来的迁移和适配工作。</w:t>
      </w:r>
    </w:p>
    <w:p>
      <w:pPr>
        <w:ind w:firstLine="562" w:firstLineChars="200"/>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4.其他要求：</w:t>
      </w:r>
    </w:p>
    <w:p>
      <w:pPr>
        <w:ind w:firstLine="560" w:firstLineChars="200"/>
        <w:rPr>
          <w:rFonts w:hint="eastAsia" w:ascii="仿宋_GB2312" w:hAnsi="仿宋_GB2312" w:eastAsia="仿宋_GB2312" w:cs="仿宋_GB2312"/>
          <w:color w:val="7030A0"/>
          <w:sz w:val="28"/>
          <w:szCs w:val="28"/>
          <w:highlight w:val="none"/>
          <w:lang w:val="en-US" w:eastAsia="zh-CN"/>
        </w:rPr>
      </w:pPr>
      <w:r>
        <w:rPr>
          <w:rFonts w:hint="eastAsia" w:ascii="仿宋_GB2312" w:hAnsi="仿宋_GB2312" w:eastAsia="仿宋_GB2312" w:cs="仿宋_GB2312"/>
          <w:color w:val="7030A0"/>
          <w:sz w:val="28"/>
          <w:szCs w:val="28"/>
          <w:highlight w:val="none"/>
          <w:lang w:val="en-US" w:eastAsia="zh-CN"/>
        </w:rPr>
        <w:t>4.1承包单位须</w:t>
      </w:r>
      <w:r>
        <w:rPr>
          <w:rFonts w:hint="eastAsia" w:ascii="仿宋_GB2312" w:hAnsi="仿宋_GB2312" w:eastAsia="仿宋_GB2312" w:cs="仿宋_GB2312"/>
          <w:color w:val="7030A0"/>
          <w:sz w:val="28"/>
          <w:szCs w:val="28"/>
          <w:highlight w:val="none"/>
          <w:u w:val="none"/>
          <w:lang w:val="en-US" w:eastAsia="zh-CN"/>
        </w:rPr>
        <w:t>具备ISO9001质量认证</w:t>
      </w:r>
      <w:r>
        <w:rPr>
          <w:rFonts w:hint="eastAsia" w:ascii="仿宋_GB2312" w:hAnsi="仿宋_GB2312" w:eastAsia="仿宋_GB2312" w:cs="仿宋_GB2312"/>
          <w:color w:val="7030A0"/>
          <w:sz w:val="28"/>
          <w:szCs w:val="28"/>
          <w:highlight w:val="none"/>
        </w:rPr>
        <w:t>资质</w:t>
      </w:r>
      <w:r>
        <w:rPr>
          <w:rFonts w:hint="eastAsia" w:ascii="仿宋_GB2312" w:hAnsi="仿宋_GB2312" w:eastAsia="仿宋_GB2312" w:cs="仿宋_GB2312"/>
          <w:color w:val="7030A0"/>
          <w:sz w:val="28"/>
          <w:szCs w:val="28"/>
          <w:highlight w:val="none"/>
          <w:lang w:eastAsia="zh-CN"/>
        </w:rPr>
        <w:t>；</w:t>
      </w:r>
    </w:p>
    <w:p>
      <w:pPr>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4.2云服务器须提供：①本项目所投云平台的云存储通过国际ISO/IEC 27040:2015存储安全标准，需提供证书复印件；②本项目所投云平台产品组件需满足可信云认证，组件包括：云主机安全（增强版）、块存储安全、负载均衡安全；③本项目所投云平台须通过中华人民共和国国家互联网信息办公室审查（增强级），需提供中华人民共和国国家互联网信息办公室官网网址及截图；④ 本项目所投云平台通过CSA STAR国际安全认证和ISO27018管理体系认证，需提供认证证书复印件；⑤本项目所投云平台的云主机服务须达到可信云五星+级别，需提供可信云认证证书复印件。</w:t>
      </w:r>
    </w:p>
    <w:p>
      <w:pPr>
        <w:pStyle w:val="5"/>
        <w:jc w:val="left"/>
        <w:rPr>
          <w:rFonts w:hint="eastAsia" w:ascii="仿宋_GB2312" w:hAnsi="仿宋_GB2312" w:eastAsia="仿宋_GB2312" w:cs="仿宋_GB2312"/>
          <w:b/>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六</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color w:val="000000" w:themeColor="text1"/>
          <w:sz w:val="28"/>
          <w:szCs w:val="28"/>
          <w:highlight w:val="none"/>
          <w14:textFill>
            <w14:solidFill>
              <w14:schemeClr w14:val="tx1"/>
            </w14:solidFill>
          </w14:textFill>
        </w:rPr>
        <w:t>培训要求</w:t>
      </w:r>
    </w:p>
    <w:p>
      <w:pPr>
        <w:pStyle w:val="50"/>
        <w:autoSpaceDE w:val="0"/>
        <w:autoSpaceDN w:val="0"/>
        <w:adjustRightInd w:val="0"/>
        <w:spacing w:line="360" w:lineRule="auto"/>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承包单位应根据项目实施的计划、进度和需要与询价人的合理要求，</w:t>
      </w:r>
      <w:r>
        <w:rPr>
          <w:rFonts w:hint="eastAsia" w:ascii="仿宋_GB2312" w:hAnsi="仿宋_GB2312" w:eastAsia="仿宋_GB2312" w:cs="仿宋_GB2312"/>
          <w:color w:val="auto"/>
          <w:sz w:val="28"/>
          <w:szCs w:val="28"/>
          <w:highlight w:val="none"/>
        </w:rPr>
        <w:t>及时安排对询价人的相关人员进行培训。</w:t>
      </w:r>
    </w:p>
    <w:p>
      <w:pPr>
        <w:pStyle w:val="50"/>
        <w:autoSpaceDE w:val="0"/>
        <w:autoSpaceDN w:val="0"/>
        <w:adjustRightInd w:val="0"/>
        <w:spacing w:line="360" w:lineRule="auto"/>
        <w:ind w:left="-134" w:leftChars="-64" w:firstLine="56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培训目标为使受训者能够独立、熟练地完成操作，实现本项目</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rPr>
        <w:t>基本操作。具体如下：</w:t>
      </w:r>
    </w:p>
    <w:p>
      <w:pPr>
        <w:pStyle w:val="50"/>
        <w:autoSpaceDE w:val="0"/>
        <w:autoSpaceDN w:val="0"/>
        <w:adjustRightInd w:val="0"/>
        <w:spacing w:line="360" w:lineRule="auto"/>
        <w:ind w:left="-142" w:firstLine="56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由承包单位组织正式培训，采用准备好的注释、讲义、讨论会、视听演示以及在现场进行实际操作示范，培训人员应做好操作、管理、维护的充分准备，承包单位应提交一份培训计划给询价人以获批准。</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培训范围：</w:t>
      </w:r>
      <w:r>
        <w:rPr>
          <w:rFonts w:hint="eastAsia" w:ascii="仿宋_GB2312" w:hAnsi="仿宋_GB2312" w:eastAsia="仿宋_GB2312" w:cs="仿宋_GB2312"/>
          <w:color w:val="auto"/>
          <w:sz w:val="28"/>
          <w:szCs w:val="28"/>
          <w:highlight w:val="none"/>
          <w:lang w:val="en-US" w:eastAsia="zh-CN"/>
        </w:rPr>
        <w:t>员工食堂约餐系统应用</w:t>
      </w:r>
      <w:r>
        <w:rPr>
          <w:rFonts w:hint="eastAsia" w:ascii="仿宋_GB2312" w:hAnsi="仿宋_GB2312" w:eastAsia="仿宋_GB2312" w:cs="仿宋_GB2312"/>
          <w:color w:val="auto"/>
          <w:sz w:val="28"/>
          <w:szCs w:val="28"/>
          <w:highlight w:val="none"/>
        </w:rPr>
        <w:t>操作</w:t>
      </w:r>
      <w:r>
        <w:rPr>
          <w:rFonts w:hint="eastAsia" w:ascii="仿宋_GB2312" w:hAnsi="仿宋_GB2312" w:eastAsia="仿宋_GB2312" w:cs="仿宋_GB2312"/>
          <w:color w:val="auto"/>
          <w:sz w:val="28"/>
          <w:szCs w:val="28"/>
          <w:highlight w:val="none"/>
          <w:lang w:val="en-US" w:eastAsia="zh-CN"/>
        </w:rPr>
        <w:t>及日常维护</w:t>
      </w:r>
    </w:p>
    <w:p>
      <w:pPr>
        <w:pStyle w:val="50"/>
        <w:numPr>
          <w:ilvl w:val="-1"/>
          <w:numId w:val="0"/>
        </w:numPr>
        <w:autoSpaceDE w:val="0"/>
        <w:autoSpaceDN w:val="0"/>
        <w:adjustRightInd w:val="0"/>
        <w:spacing w:line="360" w:lineRule="auto"/>
        <w:ind w:left="420" w:firstLine="0" w:firstLineChars="0"/>
        <w:textAlignment w:val="baseline"/>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培训地点：广州市净水有限公司</w:t>
      </w:r>
      <w:r>
        <w:rPr>
          <w:rFonts w:hint="eastAsia" w:ascii="仿宋_GB2312" w:hAnsi="仿宋_GB2312" w:eastAsia="仿宋_GB2312" w:cs="仿宋_GB2312"/>
          <w:color w:val="auto"/>
          <w:sz w:val="28"/>
          <w:szCs w:val="28"/>
          <w:highlight w:val="none"/>
          <w:lang w:val="en-US" w:eastAsia="zh-CN"/>
        </w:rPr>
        <w:t>各分公司</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培训时间：在项目</w:t>
      </w:r>
      <w:r>
        <w:rPr>
          <w:rFonts w:hint="eastAsia" w:ascii="仿宋_GB2312" w:hAnsi="仿宋_GB2312" w:eastAsia="仿宋_GB2312" w:cs="仿宋_GB2312"/>
          <w:color w:val="auto"/>
          <w:sz w:val="28"/>
          <w:szCs w:val="28"/>
          <w:highlight w:val="none"/>
          <w:lang w:val="en-US" w:eastAsia="zh-CN"/>
        </w:rPr>
        <w:t>实施</w:t>
      </w:r>
      <w:r>
        <w:rPr>
          <w:rFonts w:hint="eastAsia" w:ascii="仿宋_GB2312" w:hAnsi="仿宋_GB2312" w:eastAsia="仿宋_GB2312" w:cs="仿宋_GB2312"/>
          <w:color w:val="auto"/>
          <w:sz w:val="28"/>
          <w:szCs w:val="28"/>
          <w:highlight w:val="none"/>
        </w:rPr>
        <w:t>完成后进行培训</w:t>
      </w:r>
    </w:p>
    <w:p>
      <w:pPr>
        <w:pStyle w:val="50"/>
        <w:numPr>
          <w:ilvl w:val="-1"/>
          <w:numId w:val="0"/>
        </w:numPr>
        <w:autoSpaceDE w:val="0"/>
        <w:autoSpaceDN w:val="0"/>
        <w:adjustRightInd w:val="0"/>
        <w:spacing w:line="360" w:lineRule="auto"/>
        <w:ind w:left="420" w:firstLine="0" w:firstLineChars="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培训内容：</w:t>
      </w:r>
    </w:p>
    <w:p>
      <w:pPr>
        <w:pStyle w:val="50"/>
        <w:autoSpaceDE w:val="0"/>
        <w:autoSpaceDN w:val="0"/>
        <w:adjustRightInd w:val="0"/>
        <w:spacing w:line="360" w:lineRule="auto"/>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根据用户对</w:t>
      </w:r>
      <w:r>
        <w:rPr>
          <w:rFonts w:hint="eastAsia" w:ascii="仿宋_GB2312" w:hAnsi="仿宋_GB2312" w:eastAsia="仿宋_GB2312" w:cs="仿宋_GB2312"/>
          <w:color w:val="auto"/>
          <w:sz w:val="28"/>
          <w:szCs w:val="28"/>
          <w:highlight w:val="none"/>
          <w:lang w:val="en-US" w:eastAsia="zh-CN"/>
        </w:rPr>
        <w:t>系统应用操作、</w:t>
      </w:r>
      <w:r>
        <w:rPr>
          <w:rFonts w:hint="eastAsia" w:ascii="仿宋_GB2312" w:hAnsi="仿宋_GB2312" w:eastAsia="仿宋_GB2312" w:cs="仿宋_GB2312"/>
          <w:color w:val="auto"/>
          <w:sz w:val="28"/>
          <w:szCs w:val="28"/>
          <w:highlight w:val="none"/>
        </w:rPr>
        <w:t>日常维护需求提供相关的知识进行培训及答疑，次数不少于</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次。</w:t>
      </w:r>
    </w:p>
    <w:p>
      <w:pPr>
        <w:pStyle w:val="50"/>
        <w:autoSpaceDE w:val="0"/>
        <w:autoSpaceDN w:val="0"/>
        <w:adjustRightInd w:val="0"/>
        <w:spacing w:line="360" w:lineRule="auto"/>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若用户对系统</w:t>
      </w:r>
      <w:r>
        <w:rPr>
          <w:rFonts w:hint="eastAsia" w:ascii="仿宋_GB2312" w:hAnsi="仿宋_GB2312" w:eastAsia="仿宋_GB2312" w:cs="仿宋_GB2312"/>
          <w:color w:val="auto"/>
          <w:sz w:val="28"/>
          <w:szCs w:val="28"/>
          <w:highlight w:val="none"/>
          <w:lang w:val="en-US" w:eastAsia="zh-CN"/>
        </w:rPr>
        <w:t>应用操作、</w:t>
      </w:r>
      <w:r>
        <w:rPr>
          <w:rFonts w:hint="eastAsia" w:ascii="仿宋_GB2312" w:hAnsi="仿宋_GB2312" w:eastAsia="仿宋_GB2312" w:cs="仿宋_GB2312"/>
          <w:color w:val="auto"/>
          <w:sz w:val="28"/>
          <w:szCs w:val="28"/>
          <w:highlight w:val="none"/>
        </w:rPr>
        <w:t>日常维护管理及使用仍存在疑问，在</w:t>
      </w:r>
      <w:r>
        <w:rPr>
          <w:rFonts w:hint="eastAsia" w:ascii="仿宋_GB2312" w:hAnsi="仿宋_GB2312" w:eastAsia="仿宋_GB2312" w:cs="仿宋_GB2312"/>
          <w:color w:val="auto"/>
          <w:sz w:val="28"/>
          <w:szCs w:val="28"/>
          <w:highlight w:val="none"/>
          <w:lang w:val="en-US" w:eastAsia="zh-CN"/>
        </w:rPr>
        <w:t>运维期内</w:t>
      </w:r>
      <w:r>
        <w:rPr>
          <w:rFonts w:hint="eastAsia" w:ascii="仿宋_GB2312" w:hAnsi="仿宋_GB2312" w:eastAsia="仿宋_GB2312" w:cs="仿宋_GB2312"/>
          <w:color w:val="auto"/>
          <w:sz w:val="28"/>
          <w:szCs w:val="28"/>
          <w:highlight w:val="none"/>
        </w:rPr>
        <w:t>乙方必须持续提供咨询服务。</w:t>
      </w:r>
    </w:p>
    <w:p>
      <w:pPr>
        <w:pStyle w:val="5"/>
        <w:spacing w:line="240" w:lineRule="auto"/>
        <w:jc w:val="left"/>
        <w:rPr>
          <w:rFonts w:hint="eastAsia" w:ascii="仿宋_GB2312" w:hAnsi="仿宋_GB2312" w:eastAsia="仿宋_GB2312" w:cs="仿宋_GB2312"/>
          <w:b/>
          <w:bCs w:val="0"/>
          <w:color w:val="auto"/>
          <w:sz w:val="28"/>
          <w:szCs w:val="28"/>
          <w:highlight w:val="none"/>
          <w:lang w:val="en"/>
        </w:rPr>
      </w:pP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lang w:val="en-US" w:eastAsia="zh-CN"/>
        </w:rPr>
        <w:t>七</w:t>
      </w:r>
      <w:r>
        <w:rPr>
          <w:rFonts w:hint="eastAsia" w:ascii="仿宋_GB2312" w:hAnsi="仿宋_GB2312" w:eastAsia="仿宋_GB2312" w:cs="仿宋_GB2312"/>
          <w:b/>
          <w:bCs w:val="0"/>
          <w:color w:val="auto"/>
          <w:sz w:val="28"/>
          <w:szCs w:val="28"/>
          <w:highlight w:val="none"/>
          <w:lang w:eastAsia="zh-CN"/>
        </w:rPr>
        <w:t>）</w:t>
      </w:r>
      <w:r>
        <w:rPr>
          <w:rFonts w:hint="eastAsia" w:ascii="仿宋_GB2312" w:hAnsi="仿宋_GB2312" w:eastAsia="仿宋_GB2312" w:cs="仿宋_GB2312"/>
          <w:b/>
          <w:bCs w:val="0"/>
          <w:color w:val="auto"/>
          <w:sz w:val="28"/>
          <w:szCs w:val="28"/>
          <w:highlight w:val="none"/>
        </w:rPr>
        <w:t>商务要求</w:t>
      </w:r>
    </w:p>
    <w:p>
      <w:pPr>
        <w:pStyle w:val="49"/>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服务期</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lang w:val="zh-CN"/>
        </w:rPr>
        <w:t>签订合同之日起</w:t>
      </w:r>
      <w:r>
        <w:rPr>
          <w:rFonts w:hint="eastAsia" w:ascii="仿宋_GB2312" w:hAnsi="仿宋_GB2312" w:cs="仿宋_GB2312"/>
          <w:bCs/>
          <w:color w:val="0000FF"/>
          <w:sz w:val="28"/>
          <w:szCs w:val="28"/>
          <w:highlight w:val="none"/>
          <w:lang w:val="en-US" w:eastAsia="zh-CN"/>
        </w:rPr>
        <w:t>4</w:t>
      </w:r>
      <w:r>
        <w:rPr>
          <w:rFonts w:hint="eastAsia" w:ascii="仿宋_GB2312" w:hAnsi="仿宋_GB2312" w:eastAsia="仿宋_GB2312" w:cs="仿宋_GB2312"/>
          <w:bCs/>
          <w:color w:val="auto"/>
          <w:sz w:val="28"/>
          <w:szCs w:val="28"/>
          <w:highlight w:val="none"/>
          <w:lang w:val="zh-CN"/>
        </w:rPr>
        <w:t>个月内完工，</w:t>
      </w:r>
      <w:r>
        <w:rPr>
          <w:rFonts w:hint="eastAsia" w:ascii="仿宋_GB2312" w:hAnsi="仿宋_GB2312" w:eastAsia="仿宋_GB2312" w:cs="仿宋_GB2312"/>
          <w:bCs/>
          <w:color w:val="auto"/>
          <w:sz w:val="28"/>
          <w:szCs w:val="28"/>
          <w:highlight w:val="none"/>
          <w:lang w:val="en-US" w:eastAsia="zh-CN"/>
        </w:rPr>
        <w:t>其中</w:t>
      </w:r>
      <w:r>
        <w:rPr>
          <w:rFonts w:hint="eastAsia" w:ascii="仿宋_GB2312" w:hAnsi="仿宋_GB2312" w:eastAsia="仿宋_GB2312" w:cs="仿宋_GB2312"/>
          <w:bCs/>
          <w:color w:val="auto"/>
          <w:sz w:val="28"/>
          <w:szCs w:val="28"/>
          <w:highlight w:val="none"/>
          <w:lang w:val="zh-CN"/>
        </w:rPr>
        <w:t>包括1个月试运行。</w:t>
      </w:r>
      <w:r>
        <w:rPr>
          <w:rFonts w:hint="eastAsia" w:ascii="仿宋_GB2312" w:hAnsi="仿宋_GB2312" w:eastAsia="仿宋_GB2312" w:cs="仿宋_GB2312"/>
          <w:color w:val="auto"/>
          <w:sz w:val="28"/>
          <w:szCs w:val="28"/>
          <w:highlight w:val="none"/>
          <w:lang w:val="zh-CN"/>
        </w:rPr>
        <w:t>项目完成后提供</w:t>
      </w:r>
      <w:r>
        <w:rPr>
          <w:rFonts w:hint="eastAsia" w:ascii="仿宋_GB2312" w:hAnsi="仿宋_GB2312" w:cs="仿宋_GB2312"/>
          <w:color w:val="0000FF"/>
          <w:sz w:val="28"/>
          <w:szCs w:val="28"/>
          <w:highlight w:val="none"/>
          <w:lang w:val="en-US" w:eastAsia="zh-CN"/>
        </w:rPr>
        <w:t>3年</w:t>
      </w:r>
      <w:r>
        <w:rPr>
          <w:rFonts w:hint="eastAsia" w:ascii="仿宋_GB2312" w:hAnsi="仿宋_GB2312" w:eastAsia="仿宋_GB2312" w:cs="仿宋_GB2312"/>
          <w:color w:val="auto"/>
          <w:sz w:val="28"/>
          <w:szCs w:val="28"/>
          <w:highlight w:val="none"/>
          <w:lang w:val="zh-CN"/>
        </w:rPr>
        <w:t>的</w:t>
      </w:r>
      <w:r>
        <w:rPr>
          <w:rFonts w:hint="eastAsia" w:ascii="仿宋_GB2312" w:hAnsi="仿宋_GB2312" w:cs="仿宋_GB2312"/>
          <w:color w:val="auto"/>
          <w:sz w:val="28"/>
          <w:szCs w:val="28"/>
          <w:highlight w:val="none"/>
          <w:lang w:val="en-US" w:eastAsia="zh-CN"/>
        </w:rPr>
        <w:t>运维</w:t>
      </w:r>
      <w:r>
        <w:rPr>
          <w:rFonts w:hint="eastAsia" w:ascii="仿宋_GB2312" w:hAnsi="仿宋_GB2312" w:eastAsia="仿宋_GB2312" w:cs="仿宋_GB2312"/>
          <w:color w:val="auto"/>
          <w:sz w:val="28"/>
          <w:szCs w:val="28"/>
          <w:highlight w:val="none"/>
          <w:lang w:val="zh-CN"/>
        </w:rPr>
        <w:t>服务。</w:t>
      </w:r>
    </w:p>
    <w:p>
      <w:pPr>
        <w:spacing w:line="24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2.质量要求：</w:t>
      </w:r>
      <w:r>
        <w:rPr>
          <w:rFonts w:hint="eastAsia" w:ascii="仿宋_GB2312" w:hAnsi="仿宋_GB2312" w:eastAsia="仿宋_GB2312" w:cs="仿宋_GB2312"/>
          <w:bCs/>
          <w:color w:val="auto"/>
          <w:sz w:val="28"/>
          <w:szCs w:val="28"/>
          <w:highlight w:val="none"/>
          <w:lang w:val="en-US" w:eastAsia="zh-CN"/>
        </w:rPr>
        <w:t>报价人所提供的软件服务符合国家及询价人提出的有关采购指标要求和质量标准。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lang w:val="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val="zh-CN"/>
        </w:rPr>
        <w:t>询价人将自承包商履行完合同义务</w:t>
      </w:r>
      <w:r>
        <w:rPr>
          <w:rFonts w:hint="eastAsia" w:ascii="仿宋_GB2312" w:hAnsi="仿宋_GB2312" w:eastAsia="仿宋_GB2312" w:cs="仿宋_GB2312"/>
          <w:bCs/>
          <w:color w:val="auto"/>
          <w:sz w:val="28"/>
          <w:szCs w:val="28"/>
          <w:highlight w:val="none"/>
          <w:lang w:val="en-US" w:eastAsia="zh-CN"/>
        </w:rPr>
        <w:t>后</w:t>
      </w:r>
      <w:r>
        <w:rPr>
          <w:rFonts w:hint="eastAsia" w:ascii="仿宋_GB2312" w:hAnsi="仿宋_GB2312" w:eastAsia="仿宋_GB2312" w:cs="仿宋_GB2312"/>
          <w:bCs/>
          <w:color w:val="auto"/>
          <w:sz w:val="28"/>
          <w:szCs w:val="28"/>
          <w:highlight w:val="none"/>
          <w:lang w:val="zh-CN"/>
        </w:rPr>
        <w:t>组织验收，验收要求、验收标准及方法如下：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（1）项目采购实施部署安装整体完成起30天内并无任何由于项目引起的故障，包括但不限于软件运行故障、项目提供的软件问题等。</w:t>
      </w:r>
    </w:p>
    <w:p>
      <w:pPr>
        <w:pStyle w:val="49"/>
        <w:ind w:firstLine="560" w:firstLineChars="20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bCs/>
          <w:color w:val="auto"/>
          <w:sz w:val="28"/>
          <w:szCs w:val="28"/>
          <w:highlight w:val="none"/>
          <w:lang w:val="en-US" w:eastAsia="zh-CN"/>
        </w:rPr>
        <w:t>（2）完整提供项目的竣工验收报告，包括但不限于软件服务正版证明以及相关资料文件（如系统设计、数据库详细设计、测试报告、操作手册等）、实施中涉及的账号密码、拓扑图、系统效果图等。</w:t>
      </w:r>
    </w:p>
    <w:p>
      <w:pPr>
        <w:spacing w:line="240" w:lineRule="auto"/>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.安全文明施工要求：详见合同附件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34"/>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总包及分包规定：本项目不接受分包。</w:t>
      </w:r>
    </w:p>
    <w:p>
      <w:pPr>
        <w:pStyle w:val="13"/>
        <w:spacing w:line="240" w:lineRule="auto"/>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.付款方式：采用网银支付形式。</w:t>
      </w:r>
    </w:p>
    <w:p>
      <w:pPr>
        <w:tabs>
          <w:tab w:val="center" w:pos="5156"/>
        </w:tabs>
        <w:autoSpaceDE w:val="0"/>
        <w:autoSpaceDN w:val="0"/>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.承包方式：包工、包料、</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包系统安装、包软件部署、</w:t>
      </w:r>
      <w:r>
        <w:rPr>
          <w:rFonts w:hint="eastAsia" w:ascii="仿宋_GB2312" w:hAnsi="仿宋_GB2312" w:eastAsia="仿宋_GB2312" w:cs="仿宋_GB2312"/>
          <w:color w:val="000000" w:themeColor="text1"/>
          <w:sz w:val="28"/>
          <w:szCs w:val="28"/>
          <w:highlight w:val="none"/>
          <w14:textFill>
            <w14:solidFill>
              <w14:schemeClr w14:val="tx1"/>
            </w14:solidFill>
          </w14:textFill>
        </w:rPr>
        <w:t>包开发、包调试、包培训、包运维（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年）、包验收的总价包干方式。</w:t>
      </w:r>
    </w:p>
    <w:p>
      <w:pPr>
        <w:autoSpaceDE w:val="0"/>
        <w:autoSpaceDN w:val="0"/>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.项目结算：</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以合同约定为准，详见第六章合同。</w:t>
      </w:r>
    </w:p>
    <w:bookmarkEnd w:id="73"/>
    <w:p>
      <w:pPr>
        <w:adjustRightInd w:val="0"/>
        <w:snapToGrid w:val="0"/>
        <w:spacing w:line="600" w:lineRule="exact"/>
        <w:ind w:firstLine="560" w:firstLineChars="200"/>
        <w:jc w:val="left"/>
        <w:rPr>
          <w:rFonts w:ascii="仿宋_GB2312" w:eastAsia="仿宋_GB2312"/>
          <w:sz w:val="28"/>
          <w:szCs w:val="28"/>
          <w:highlight w:val="none"/>
        </w:rPr>
      </w:pPr>
    </w:p>
    <w:p>
      <w:pPr>
        <w:rPr>
          <w:highlight w:val="none"/>
        </w:rPr>
      </w:pPr>
      <w:r>
        <w:rPr>
          <w:highlight w:val="none"/>
        </w:rPr>
        <w:br w:type="page"/>
      </w:r>
    </w:p>
    <w:p>
      <w:pPr>
        <w:pStyle w:val="2"/>
        <w:rPr>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highlight w:val="none"/>
        </w:rPr>
      </w:pPr>
    </w:p>
    <w:p>
      <w:pPr>
        <w:pStyle w:val="4"/>
        <w:rPr>
          <w:highlight w:val="none"/>
        </w:rPr>
      </w:pPr>
      <w:bookmarkStart w:id="78" w:name="_Toc537"/>
      <w:bookmarkStart w:id="79" w:name="_Toc4680"/>
      <w:bookmarkStart w:id="80" w:name="_Toc1496"/>
      <w:bookmarkStart w:id="81" w:name="_Toc18538"/>
      <w:bookmarkStart w:id="82" w:name="_Toc23330"/>
      <w:bookmarkStart w:id="83" w:name="_Toc15570"/>
      <w:bookmarkStart w:id="84" w:name="_Toc23353"/>
      <w:bookmarkStart w:id="85" w:name="_Toc29835"/>
      <w:bookmarkStart w:id="86" w:name="_Toc25925"/>
      <w:bookmarkStart w:id="87" w:name="_Toc1284"/>
      <w:bookmarkStart w:id="88" w:name="_Toc12135"/>
      <w:r>
        <w:rPr>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第六章</w:t>
      </w:r>
      <w:bookmarkEnd w:id="78"/>
      <w:bookmarkEnd w:id="79"/>
      <w:bookmarkEnd w:id="80"/>
      <w:bookmarkEnd w:id="81"/>
      <w:bookmarkEnd w:id="82"/>
      <w:bookmarkEnd w:id="83"/>
      <w:bookmarkEnd w:id="84"/>
      <w:bookmarkEnd w:id="85"/>
      <w:bookmarkEnd w:id="86"/>
      <w:bookmarkEnd w:id="87"/>
      <w:bookmarkEnd w:id="88"/>
    </w:p>
    <w:p>
      <w:pPr>
        <w:pStyle w:val="37"/>
        <w:rPr>
          <w:highlight w:val="none"/>
        </w:rPr>
      </w:pPr>
    </w:p>
    <w:p>
      <w:pPr>
        <w:pStyle w:val="4"/>
        <w:rPr>
          <w:highlight w:val="none"/>
        </w:rPr>
      </w:pPr>
      <w:bookmarkStart w:id="89" w:name="_Toc8183"/>
      <w:bookmarkStart w:id="90" w:name="_Toc12721"/>
      <w:bookmarkStart w:id="91" w:name="_Toc13309"/>
      <w:bookmarkStart w:id="92" w:name="_Toc22797"/>
      <w:bookmarkStart w:id="93" w:name="_Toc19686"/>
      <w:bookmarkStart w:id="94" w:name="_Toc1375"/>
      <w:bookmarkStart w:id="95" w:name="_Toc22501"/>
      <w:bookmarkStart w:id="96" w:name="_Toc12980"/>
      <w:bookmarkStart w:id="97" w:name="_Toc88209949"/>
      <w:bookmarkStart w:id="98" w:name="_Toc323"/>
      <w:bookmarkStart w:id="99" w:name="_Toc87616386"/>
      <w:bookmarkStart w:id="100" w:name="_Toc12968"/>
      <w:bookmarkStart w:id="101" w:name="_Toc19088"/>
      <w:r>
        <w:rPr>
          <w:rFonts w:hint="eastAsia"/>
          <w:highlight w:val="none"/>
        </w:rPr>
        <w:t>合同</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方正小标宋简体" w:eastAsia="方正小标宋简体"/>
          <w:sz w:val="28"/>
          <w:szCs w:val="28"/>
          <w:highlight w:val="none"/>
        </w:rPr>
      </w:pPr>
    </w:p>
    <w:p>
      <w:pPr>
        <w:pStyle w:val="2"/>
        <w:rPr>
          <w:rFonts w:hint="eastAsia"/>
        </w:rPr>
        <w:sectPr>
          <w:footerReference r:id="rId7" w:type="first"/>
          <w:footerReference r:id="rId6" w:type="default"/>
          <w:pgSz w:w="11906" w:h="16838"/>
          <w:pgMar w:top="2098" w:right="1474" w:bottom="1985" w:left="1588" w:header="851" w:footer="992" w:gutter="0"/>
          <w:pgNumType w:fmt="decimal" w:start="1"/>
          <w:cols w:space="425" w:num="1"/>
          <w:docGrid w:type="lines" w:linePitch="312" w:charSpace="0"/>
        </w:sectPr>
      </w:pP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w:t>
      </w:r>
      <w:r>
        <w:rPr>
          <w:rFonts w:hint="eastAsia" w:ascii="宋体" w:hAnsi="宋体" w:cs="宋体"/>
          <w:b/>
          <w:bCs/>
          <w:color w:val="000000" w:themeColor="text1"/>
          <w:sz w:val="48"/>
          <w:szCs w:val="48"/>
          <w:highlight w:val="none"/>
          <w:lang w:val="en-US" w:eastAsia="zh-CN"/>
          <w14:textFill>
            <w14:solidFill>
              <w14:schemeClr w14:val="tx1"/>
            </w14:solidFill>
          </w14:textFill>
        </w:rPr>
        <w:t>采购及运维服务</w:t>
      </w:r>
      <w:r>
        <w:rPr>
          <w:rFonts w:hint="eastAsia" w:ascii="宋体" w:hAnsi="宋体" w:cs="宋体"/>
          <w:b/>
          <w:bCs/>
          <w:color w:val="000000" w:themeColor="text1"/>
          <w:sz w:val="48"/>
          <w:szCs w:val="48"/>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仿宋_GB2312" w:eastAsia="仿宋_GB2312"/>
          <w:bCs/>
          <w:color w:val="000000" w:themeColor="text1"/>
          <w:sz w:val="28"/>
          <w:szCs w:val="28"/>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pStyle w:val="7"/>
      </w:pPr>
    </w:p>
    <w:p>
      <w:pPr>
        <w:rPr>
          <w:rFonts w:hint="eastAsia" w:ascii="宋体" w:hAnsi="宋体" w:cs="宋体"/>
          <w:color w:val="000000" w:themeColor="text1"/>
          <w:sz w:val="24"/>
          <w:szCs w:val="24"/>
          <w:highlight w:val="none"/>
          <w:u w:val="singl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智慧食堂约餐管理系统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hint="eastAsia" w:ascii="宋体" w:hAnsi="宋体" w:cs="宋体" w:eastAsiaTheme="minorEastAsia"/>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⑺ </w:t>
      </w:r>
      <w:r>
        <w:rPr>
          <w:rFonts w:hint="eastAsia" w:ascii="宋体" w:hAnsi="宋体" w:cs="宋体"/>
          <w:bCs/>
          <w:color w:val="000000" w:themeColor="text1"/>
          <w:sz w:val="24"/>
          <w:szCs w:val="24"/>
          <w:highlight w:val="none"/>
          <w:lang w:val="en-US" w:eastAsia="zh-CN"/>
          <w14:textFill>
            <w14:solidFill>
              <w14:schemeClr w14:val="tx1"/>
            </w14:solidFill>
          </w14:textFill>
        </w:rPr>
        <w:t>采购</w:t>
      </w:r>
      <w:r>
        <w:rPr>
          <w:rFonts w:hint="eastAsia" w:ascii="宋体" w:hAnsi="宋体" w:cs="宋体"/>
          <w:bCs/>
          <w:color w:val="000000" w:themeColor="text1"/>
          <w:sz w:val="24"/>
          <w:szCs w:val="24"/>
          <w:highlight w:val="none"/>
          <w14:textFill>
            <w14:solidFill>
              <w14:schemeClr w14:val="tx1"/>
            </w14:solidFill>
          </w14:textFill>
        </w:rPr>
        <w:t>需求书</w:t>
      </w:r>
      <w:r>
        <w:rPr>
          <w:rFonts w:hint="eastAsia" w:ascii="宋体" w:hAnsi="宋体" w:cs="宋体"/>
          <w:bCs/>
          <w:color w:val="000000" w:themeColor="text1"/>
          <w:sz w:val="24"/>
          <w:szCs w:val="24"/>
          <w:highlight w:val="none"/>
          <w:lang w:eastAsia="zh-CN"/>
          <w14:textFill>
            <w14:solidFill>
              <w14:schemeClr w14:val="tx1"/>
            </w14:solidFill>
          </w14:textFill>
        </w:rPr>
        <w:t>；</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二、服务内容及目标：</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2.1服务内容：</w:t>
      </w:r>
      <w:r>
        <w:rPr>
          <w:rFonts w:hint="eastAsia" w:ascii="宋体" w:hAnsi="宋体" w:cs="宋体"/>
          <w:color w:val="000000" w:themeColor="text1"/>
          <w:sz w:val="24"/>
          <w:szCs w:val="24"/>
          <w:highlight w:val="none"/>
          <w:u w:val="single"/>
          <w14:textFill>
            <w14:solidFill>
              <w14:schemeClr w14:val="tx1"/>
            </w14:solidFill>
          </w14:textFill>
        </w:rPr>
        <w:t xml:space="preserve"> 广州市净水有限公司智慧食堂管理系统采购项目，包括但不限于智慧食堂管理系统（含食堂管理端）使用权、系统上线部署服务、人脸识别+刷卡+刷码消费机、发卡机、饭卡等，以及项目3年运维</w:t>
      </w:r>
      <w:r>
        <w:rPr>
          <w:rFonts w:hint="eastAsia" w:ascii="宋体" w:hAnsi="宋体" w:cs="宋体"/>
          <w:color w:val="000000" w:themeColor="text1"/>
          <w:sz w:val="24"/>
          <w:szCs w:val="24"/>
          <w:highlight w:val="none"/>
          <w:u w:val="single"/>
          <w:lang w:val="en-US" w:eastAsia="zh-CN"/>
          <w14:textFill>
            <w14:solidFill>
              <w14:schemeClr w14:val="tx1"/>
            </w14:solidFill>
          </w14:textFill>
        </w:rPr>
        <w:t>服务，具体详见附件5采购需求书</w:t>
      </w:r>
      <w:r>
        <w:rPr>
          <w:rFonts w:hint="eastAsia" w:ascii="宋体" w:hAnsi="宋体" w:cs="宋体"/>
          <w:color w:val="000000" w:themeColor="text1"/>
          <w:sz w:val="24"/>
          <w:szCs w:val="24"/>
          <w:highlight w:val="none"/>
          <w:u w:val="single"/>
          <w14:textFill>
            <w14:solidFill>
              <w14:schemeClr w14:val="tx1"/>
            </w14:solidFill>
          </w14:textFill>
        </w:rPr>
        <w:t>。</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2.2目标：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通过系统安装部署，</w:t>
      </w:r>
      <w:r>
        <w:rPr>
          <w:rFonts w:hint="eastAsia" w:ascii="宋体" w:hAnsi="宋体" w:cs="宋体"/>
          <w:color w:val="000000" w:themeColor="text1"/>
          <w:sz w:val="24"/>
          <w:szCs w:val="24"/>
          <w:highlight w:val="none"/>
          <w:u w:val="single"/>
          <w14:textFill>
            <w14:solidFill>
              <w14:schemeClr w14:val="tx1"/>
            </w14:solidFill>
          </w14:textFill>
        </w:rPr>
        <w:t>简化现有订餐、就餐的操作流程、加强现金管理和订餐、制作过程控制管理，全面解决餐饮数据采集及汇总、分单制作、订餐核对、餐后统计等问题，为食堂管理人员提供科学数据分析</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提高食堂管理效率</w:t>
      </w:r>
      <w:r>
        <w:rPr>
          <w:rFonts w:hint="eastAsia" w:ascii="宋体" w:hAnsi="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（详见</w:t>
      </w:r>
      <w:r>
        <w:rPr>
          <w:rFonts w:hint="eastAsia" w:ascii="宋体" w:hAnsi="宋体" w:cs="宋体"/>
          <w:color w:val="000000" w:themeColor="text1"/>
          <w:sz w:val="24"/>
          <w:szCs w:val="24"/>
          <w:highlight w:val="none"/>
          <w:u w:val="singl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14:textFill>
            <w14:solidFill>
              <w14:schemeClr w14:val="tx1"/>
            </w14:solidFill>
          </w14:textFill>
        </w:rPr>
        <w:t>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w:t>
      </w:r>
      <w:r>
        <w:rPr>
          <w:rFonts w:hint="eastAsia" w:ascii="宋体" w:hAnsi="宋体" w:cs="宋体"/>
          <w:b/>
          <w:color w:val="000000" w:themeColor="text1"/>
          <w:sz w:val="24"/>
          <w:szCs w:val="24"/>
          <w:highlight w:val="none"/>
          <w:lang w:val="en-US" w:eastAsia="zh-CN"/>
          <w14:textFill>
            <w14:solidFill>
              <w14:schemeClr w14:val="tx1"/>
            </w14:solidFill>
          </w14:textFill>
        </w:rPr>
        <w:t>合同周期</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w:t>
      </w:r>
      <w:r>
        <w:rPr>
          <w:rFonts w:hint="eastAsia" w:ascii="宋体" w:hAnsi="宋体" w:cs="宋体"/>
          <w:color w:val="000000" w:themeColor="text1"/>
          <w:sz w:val="24"/>
          <w:szCs w:val="24"/>
          <w:highlight w:val="none"/>
          <w:lang w:val="en-US" w:eastAsia="zh-CN"/>
          <w14:textFill>
            <w14:solidFill>
              <w14:schemeClr w14:val="tx1"/>
            </w14:solidFill>
          </w14:textFill>
        </w:rPr>
        <w:t>合同</w:t>
      </w:r>
      <w:r>
        <w:rPr>
          <w:rFonts w:hint="eastAsia" w:ascii="宋体" w:hAnsi="宋体" w:cs="宋体"/>
          <w:color w:val="000000" w:themeColor="text1"/>
          <w:sz w:val="24"/>
          <w:szCs w:val="24"/>
          <w:highlight w:val="none"/>
          <w14:textFill>
            <w14:solidFill>
              <w14:schemeClr w14:val="tx1"/>
            </w14:solidFill>
          </w14:textFill>
        </w:rPr>
        <w:t>周期</w:t>
      </w:r>
    </w:p>
    <w:p>
      <w:pPr>
        <w:spacing w:line="480" w:lineRule="exact"/>
        <w:ind w:firstLine="480" w:firstLineChars="200"/>
        <w:outlineLvl w:val="0"/>
        <w:rPr>
          <w:rFonts w:hint="eastAsia"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cs="宋体"/>
          <w:color w:val="000000" w:themeColor="text1"/>
          <w:sz w:val="24"/>
          <w:szCs w:val="24"/>
          <w:highlight w:val="none"/>
          <w:u w:val="single"/>
          <w14:textFill>
            <w14:solidFill>
              <w14:schemeClr w14:val="tx1"/>
            </w14:solidFill>
          </w14:textFill>
        </w:rPr>
        <w:t>进度要求：合同生效后</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14:textFill>
            <w14:solidFill>
              <w14:schemeClr w14:val="tx1"/>
            </w14:solidFill>
          </w14:textFill>
        </w:rPr>
        <w:t>个月内完成系统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安装且</w:t>
      </w:r>
      <w:r>
        <w:rPr>
          <w:rFonts w:hint="eastAsia" w:ascii="宋体" w:hAnsi="宋体" w:cs="宋体"/>
          <w:color w:val="000000" w:themeColor="text1"/>
          <w:sz w:val="24"/>
          <w:szCs w:val="24"/>
          <w:highlight w:val="none"/>
          <w:u w:val="single"/>
          <w14:textFill>
            <w14:solidFill>
              <w14:schemeClr w14:val="tx1"/>
            </w14:solidFill>
          </w14:textFill>
        </w:rPr>
        <w:t>上线试运行，</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个月内完成系统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测试及</w:t>
      </w:r>
      <w:r>
        <w:rPr>
          <w:rFonts w:hint="eastAsia" w:ascii="宋体" w:hAnsi="宋体" w:cs="宋体"/>
          <w:color w:val="000000" w:themeColor="text1"/>
          <w:sz w:val="24"/>
          <w:szCs w:val="24"/>
          <w:highlight w:val="none"/>
          <w:u w:val="single"/>
          <w14:textFill>
            <w14:solidFill>
              <w14:schemeClr w14:val="tx1"/>
            </w14:solidFill>
          </w14:textFill>
        </w:rPr>
        <w:t>基本调优工作。</w:t>
      </w:r>
    </w:p>
    <w:p>
      <w:pPr>
        <w:pStyle w:val="7"/>
        <w:spacing w:line="480" w:lineRule="exact"/>
        <w:ind w:firstLine="480" w:firstLineChars="200"/>
        <w:outlineLvl w:val="0"/>
        <w:rPr>
          <w:rFonts w:hint="eastAsia" w:ascii="宋体" w:hAnsi="宋体" w:cs="宋体" w:eastAsiaTheme="minorEastAsia"/>
          <w:color w:val="000000" w:themeColor="text1"/>
          <w:kern w:val="2"/>
          <w:sz w:val="24"/>
          <w:szCs w:val="24"/>
          <w:highlight w:val="none"/>
          <w:u w:val="single"/>
          <w14:textFill>
            <w14:solidFill>
              <w14:schemeClr w14:val="tx1"/>
            </w14:solidFill>
          </w14:textFill>
        </w:rPr>
      </w:pPr>
      <w:r>
        <w:rPr>
          <w:rFonts w:hint="eastAsia" w:ascii="宋体" w:hAnsi="宋体" w:cs="宋体" w:eastAsiaTheme="minorEastAsia"/>
          <w:color w:val="000000" w:themeColor="text1"/>
          <w:kern w:val="2"/>
          <w:sz w:val="24"/>
          <w:szCs w:val="24"/>
          <w:highlight w:val="none"/>
          <w:u w:val="single"/>
          <w:lang w:val="en-US" w:eastAsia="zh-CN"/>
          <w14:textFill>
            <w14:solidFill>
              <w14:schemeClr w14:val="tx1"/>
            </w14:solidFill>
          </w14:textFill>
        </w:rPr>
        <w:t>3.1.2运维期限：自系统试运行且验收合格之日起3年。</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4.1本合同为总价包干形式，暂定总价为：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合同价包括但不限于：</w:t>
      </w:r>
      <w:r>
        <w:rPr>
          <w:rFonts w:hint="eastAsia" w:ascii="宋体" w:hAnsi="宋体" w:cs="宋体"/>
          <w:color w:val="000000" w:themeColor="text1"/>
          <w:sz w:val="24"/>
          <w:szCs w:val="24"/>
          <w:highlight w:val="none"/>
          <w:u w:val="single"/>
          <w14:textFill>
            <w14:solidFill>
              <w14:schemeClr w14:val="tx1"/>
            </w14:solidFill>
          </w14:textFill>
        </w:rPr>
        <w:t>系统</w:t>
      </w:r>
      <w:r>
        <w:rPr>
          <w:rFonts w:hint="eastAsia" w:ascii="宋体" w:hAnsi="宋体" w:cs="宋体"/>
          <w:color w:val="000000" w:themeColor="text1"/>
          <w:sz w:val="24"/>
          <w:szCs w:val="24"/>
          <w:highlight w:val="none"/>
          <w:u w:val="single"/>
          <w:lang w:val="en-US" w:eastAsia="zh-CN"/>
          <w14:textFill>
            <w14:solidFill>
              <w14:schemeClr w14:val="tx1"/>
            </w14:solidFill>
          </w14:textFill>
        </w:rPr>
        <w:t>安装</w:t>
      </w:r>
      <w:r>
        <w:rPr>
          <w:rFonts w:hint="eastAsia" w:ascii="宋体" w:hAnsi="宋体" w:cs="宋体"/>
          <w:color w:val="000000" w:themeColor="text1"/>
          <w:sz w:val="24"/>
          <w:szCs w:val="24"/>
          <w:highlight w:val="none"/>
          <w:u w:val="single"/>
          <w14:textFill>
            <w14:solidFill>
              <w14:schemeClr w14:val="tx1"/>
            </w14:solidFill>
          </w14:textFill>
        </w:rPr>
        <w:t>、软件</w:t>
      </w:r>
      <w:r>
        <w:rPr>
          <w:rFonts w:hint="eastAsia" w:ascii="宋体" w:hAnsi="宋体" w:cs="宋体"/>
          <w:color w:val="000000" w:themeColor="text1"/>
          <w:sz w:val="24"/>
          <w:szCs w:val="24"/>
          <w:highlight w:val="none"/>
          <w:u w:val="single"/>
          <w:lang w:val="en-US" w:eastAsia="zh-CN"/>
          <w14:textFill>
            <w14:solidFill>
              <w14:schemeClr w14:val="tx1"/>
            </w14:solidFill>
          </w14:textFill>
        </w:rPr>
        <w:t>部署</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硬件</w:t>
      </w:r>
      <w:r>
        <w:rPr>
          <w:rFonts w:hint="eastAsia" w:ascii="宋体" w:hAnsi="宋体" w:cs="宋体"/>
          <w:color w:val="000000" w:themeColor="text1"/>
          <w:sz w:val="24"/>
          <w:szCs w:val="24"/>
          <w:highlight w:val="none"/>
          <w:u w:val="single"/>
          <w14:textFill>
            <w14:solidFill>
              <w14:schemeClr w14:val="tx1"/>
            </w14:solidFill>
          </w14:textFill>
        </w:rPr>
        <w:t>安装实施、维修维护、培训、税费、售后服务、运维服务、人工费及因项目产生的一切可预见及不可预见的相关费用。</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 xml:space="preserve"> </w:t>
      </w:r>
    </w:p>
    <w:p>
      <w:pPr>
        <w:pStyle w:val="2"/>
        <w:rPr>
          <w:rFonts w:hint="eastAsia" w:ascii="宋体" w:hAnsi="宋体" w:eastAsia="宋体" w:cs="宋体"/>
          <w:color w:val="0000FF"/>
        </w:rPr>
      </w:pPr>
      <w:r>
        <w:rPr>
          <w:rFonts w:hint="eastAsia" w:ascii="宋体" w:hAnsi="宋体" w:eastAsia="宋体" w:cs="宋体"/>
          <w:color w:val="0000FF"/>
        </w:rPr>
        <w:t>5.2乙方</w:t>
      </w:r>
      <w:r>
        <w:rPr>
          <w:rFonts w:hint="eastAsia" w:eastAsia="宋体" w:cs="宋体"/>
          <w:strike w:val="0"/>
          <w:color w:val="0000FF"/>
          <w:lang w:val="en-US" w:eastAsia="zh-CN"/>
        </w:rPr>
        <w:t>按照采购需求清单供货完成</w:t>
      </w:r>
      <w:r>
        <w:rPr>
          <w:rFonts w:hint="eastAsia" w:ascii="宋体" w:hAnsi="宋体" w:eastAsia="宋体" w:cs="宋体"/>
          <w:color w:val="0000FF"/>
        </w:rPr>
        <w:t>且经甲方</w:t>
      </w:r>
      <w:r>
        <w:rPr>
          <w:rFonts w:hint="eastAsia" w:eastAsia="宋体" w:cs="宋体"/>
          <w:color w:val="0000FF"/>
          <w:lang w:val="en-US" w:eastAsia="zh-CN"/>
        </w:rPr>
        <w:t>各分公司</w:t>
      </w:r>
      <w:r>
        <w:rPr>
          <w:rFonts w:hint="eastAsia" w:ascii="宋体" w:hAnsi="宋体" w:eastAsia="宋体" w:cs="宋体"/>
          <w:color w:val="0000FF"/>
        </w:rPr>
        <w:t>验收合格</w:t>
      </w:r>
      <w:r>
        <w:rPr>
          <w:rFonts w:hint="eastAsia" w:eastAsia="宋体" w:cs="宋体"/>
          <w:color w:val="0000FF"/>
          <w:lang w:val="en-US" w:eastAsia="zh-CN"/>
        </w:rPr>
        <w:t>后</w:t>
      </w:r>
      <w:r>
        <w:rPr>
          <w:rFonts w:hint="eastAsia" w:ascii="宋体" w:hAnsi="宋体" w:eastAsia="宋体" w:cs="宋体"/>
          <w:color w:val="0000FF"/>
        </w:rPr>
        <w:t xml:space="preserve"> ，由乙方提交完整的设备验收合格到货清单、项目计划书</w:t>
      </w:r>
      <w:r>
        <w:rPr>
          <w:rFonts w:hint="eastAsia" w:eastAsia="宋体" w:cs="宋体"/>
          <w:color w:val="0000FF"/>
          <w:lang w:val="en-US" w:eastAsia="zh-CN"/>
        </w:rPr>
        <w:t>等请款资料</w:t>
      </w:r>
      <w:r>
        <w:rPr>
          <w:rFonts w:hint="eastAsia" w:ascii="宋体" w:hAnsi="宋体" w:eastAsia="宋体" w:cs="宋体"/>
          <w:color w:val="0000FF"/>
        </w:rPr>
        <w:t xml:space="preserve">后 15 个工作日内，甲方支付至合同暂定总价的 </w:t>
      </w:r>
      <w:r>
        <w:rPr>
          <w:rFonts w:hint="eastAsia" w:eastAsia="宋体" w:cs="宋体"/>
          <w:color w:val="0000FF"/>
          <w:lang w:val="en-US" w:eastAsia="zh-CN"/>
        </w:rPr>
        <w:t>50%</w:t>
      </w:r>
      <w:r>
        <w:rPr>
          <w:rFonts w:hint="eastAsia" w:ascii="宋体" w:hAnsi="宋体" w:eastAsia="宋体" w:cs="宋体"/>
          <w:color w:val="0000FF"/>
        </w:rPr>
        <w:t>，即</w:t>
      </w:r>
      <w:r>
        <w:rPr>
          <w:rFonts w:hint="eastAsia" w:ascii="宋体" w:hAnsi="宋体" w:eastAsia="宋体" w:cs="宋体"/>
          <w:color w:val="0000FF"/>
          <w:u w:val="single"/>
        </w:rPr>
        <w:t xml:space="preserve"> …</w:t>
      </w:r>
      <w:r>
        <w:rPr>
          <w:rFonts w:hint="eastAsia" w:ascii="宋体" w:hAnsi="宋体" w:eastAsia="宋体" w:cs="宋体"/>
          <w:color w:val="0000FF"/>
        </w:rPr>
        <w:t>元，（大写：</w:t>
      </w:r>
      <w:r>
        <w:rPr>
          <w:rFonts w:hint="eastAsia" w:ascii="宋体" w:hAnsi="宋体" w:eastAsia="宋体" w:cs="宋体"/>
          <w:color w:val="0000FF"/>
          <w:u w:val="single"/>
        </w:rPr>
        <w:t>…</w:t>
      </w:r>
      <w:r>
        <w:rPr>
          <w:rFonts w:hint="eastAsia" w:ascii="宋体" w:hAnsi="宋体" w:eastAsia="宋体" w:cs="宋体"/>
          <w:color w:val="0000FF"/>
        </w:rPr>
        <w:t>）。</w:t>
      </w:r>
    </w:p>
    <w:p>
      <w:pPr>
        <w:pStyle w:val="2"/>
        <w:rPr>
          <w:rFonts w:hint="eastAsia" w:ascii="宋体" w:hAnsi="宋体" w:eastAsia="宋体" w:cs="宋体"/>
        </w:rPr>
      </w:pPr>
      <w:r>
        <w:rPr>
          <w:rFonts w:hint="eastAsia" w:ascii="宋体" w:hAnsi="宋体" w:eastAsia="宋体" w:cs="宋体"/>
        </w:rPr>
        <w:t>5.</w:t>
      </w:r>
      <w:r>
        <w:rPr>
          <w:rFonts w:hint="eastAsia" w:eastAsia="宋体" w:cs="宋体"/>
          <w:lang w:val="en-US" w:eastAsia="zh-CN"/>
        </w:rPr>
        <w:t>3</w:t>
      </w:r>
      <w:r>
        <w:rPr>
          <w:rFonts w:hint="eastAsia" w:ascii="宋体" w:hAnsi="宋体" w:eastAsia="宋体" w:cs="宋体"/>
        </w:rPr>
        <w:t>乙方完成</w:t>
      </w:r>
      <w:r>
        <w:rPr>
          <w:rFonts w:hint="eastAsia" w:eastAsia="宋体" w:cs="宋体"/>
        </w:rPr>
        <w:t>系统试运行</w:t>
      </w:r>
      <w:r>
        <w:rPr>
          <w:rFonts w:hint="eastAsia" w:ascii="宋体" w:hAnsi="宋体" w:eastAsia="宋体" w:cs="宋体"/>
        </w:rPr>
        <w:t>且经甲方验收合格后 15日内，</w:t>
      </w:r>
      <w:r>
        <w:rPr>
          <w:rFonts w:hint="eastAsia" w:eastAsia="宋体" w:cs="宋体"/>
          <w:lang w:val="en-US" w:eastAsia="zh-CN"/>
        </w:rPr>
        <w:t>由</w:t>
      </w:r>
      <w:r>
        <w:rPr>
          <w:rFonts w:hint="eastAsia" w:ascii="宋体" w:hAnsi="宋体" w:eastAsia="宋体" w:cs="宋体"/>
        </w:rPr>
        <w:t>乙方提交工作总结报告</w:t>
      </w:r>
      <w:r>
        <w:rPr>
          <w:rFonts w:hint="eastAsia" w:eastAsia="宋体" w:cs="宋体"/>
          <w:lang w:val="en-US" w:eastAsia="zh-CN"/>
        </w:rPr>
        <w:t>及相关结算材料</w:t>
      </w:r>
      <w:r>
        <w:rPr>
          <w:rFonts w:hint="eastAsia" w:ascii="宋体" w:hAnsi="宋体" w:eastAsia="宋体" w:cs="宋体"/>
        </w:rPr>
        <w:t>，经甲方或甲方委托有资质第三方机构结算审核后，由乙方提交申请支付资料15个工作日内，甲方支付至合同结算价的</w:t>
      </w:r>
      <w:r>
        <w:rPr>
          <w:rFonts w:hint="eastAsia" w:eastAsia="宋体" w:cs="宋体"/>
          <w:lang w:val="en-US" w:eastAsia="zh-CN"/>
        </w:rPr>
        <w:t>85</w:t>
      </w:r>
      <w:r>
        <w:rPr>
          <w:rFonts w:hint="eastAsia" w:ascii="宋体" w:hAnsi="宋体" w:eastAsia="宋体" w:cs="宋体"/>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乙方</w:t>
      </w:r>
      <w:r>
        <w:rPr>
          <w:rFonts w:hint="eastAsia" w:ascii="宋体" w:hAnsi="宋体" w:cs="宋体"/>
          <w:color w:val="000000" w:themeColor="text1"/>
          <w:sz w:val="24"/>
          <w:szCs w:val="24"/>
          <w:highlight w:val="none"/>
          <w14:textFill>
            <w14:solidFill>
              <w14:schemeClr w14:val="tx1"/>
            </w14:solidFill>
          </w14:textFill>
        </w:rPr>
        <w:t>按合同约定</w:t>
      </w:r>
      <w:r>
        <w:rPr>
          <w:rFonts w:hint="eastAsia" w:ascii="宋体" w:hAnsi="宋体" w:cs="宋体"/>
          <w:color w:val="000000" w:themeColor="text1"/>
          <w:sz w:val="24"/>
          <w:szCs w:val="24"/>
          <w:highlight w:val="none"/>
          <w:lang w:val="en-US" w:eastAsia="zh-CN"/>
          <w14:textFill>
            <w14:solidFill>
              <w14:schemeClr w14:val="tx1"/>
            </w14:solidFill>
          </w14:textFill>
        </w:rPr>
        <w:t>提供运维服务，甲方每年支付结算价的5%作为运维服务费。</w:t>
      </w:r>
      <w:r>
        <w:rPr>
          <w:rFonts w:hint="eastAsia" w:ascii="宋体" w:hAnsi="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val="en-US" w:eastAsia="zh-CN"/>
          <w14:textFill>
            <w14:solidFill>
              <w14:schemeClr w14:val="tx1"/>
            </w14:solidFill>
          </w14:textFill>
        </w:rPr>
        <w:t>于一年运维服务期到期后一个月内</w:t>
      </w:r>
      <w:r>
        <w:rPr>
          <w:rFonts w:hint="eastAsia" w:ascii="宋体" w:hAnsi="宋体" w:cs="宋体"/>
          <w:color w:val="000000" w:themeColor="text1"/>
          <w:sz w:val="24"/>
          <w:szCs w:val="24"/>
          <w:highlight w:val="none"/>
          <w14:textFill>
            <w14:solidFill>
              <w14:schemeClr w14:val="tx1"/>
            </w14:solidFill>
          </w14:textFill>
        </w:rPr>
        <w:t>向甲方提供书面</w:t>
      </w:r>
      <w:r>
        <w:rPr>
          <w:rFonts w:hint="eastAsia" w:ascii="宋体" w:hAnsi="宋体" w:cs="宋体"/>
          <w:color w:val="000000" w:themeColor="text1"/>
          <w:sz w:val="24"/>
          <w:szCs w:val="24"/>
          <w:highlight w:val="none"/>
          <w:lang w:val="en-US" w:eastAsia="zh-CN"/>
          <w14:textFill>
            <w14:solidFill>
              <w14:schemeClr w14:val="tx1"/>
            </w14:solidFill>
          </w14:textFill>
        </w:rPr>
        <w:t>请款资料</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甲方收到后</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w:t>
      </w:r>
      <w:r>
        <w:rPr>
          <w:rFonts w:hint="eastAsia" w:ascii="宋体" w:hAnsi="宋体" w:cs="宋体"/>
          <w:color w:val="000000" w:themeColor="text1"/>
          <w:sz w:val="24"/>
          <w:szCs w:val="24"/>
          <w:highlight w:val="none"/>
          <w:lang w:val="en-US" w:eastAsia="zh-CN"/>
          <w14:textFill>
            <w14:solidFill>
              <w14:schemeClr w14:val="tx1"/>
            </w14:solidFill>
          </w14:textFill>
        </w:rPr>
        <w:t>向乙方</w:t>
      </w:r>
      <w:r>
        <w:rPr>
          <w:rFonts w:hint="eastAsia" w:ascii="宋体" w:hAnsi="宋体" w:cs="宋体"/>
          <w:color w:val="000000" w:themeColor="text1"/>
          <w:sz w:val="24"/>
          <w:szCs w:val="24"/>
          <w:highlight w:val="none"/>
          <w14:textFill>
            <w14:solidFill>
              <w14:schemeClr w14:val="tx1"/>
            </w14:solidFill>
          </w14:textFill>
        </w:rPr>
        <w:t>支付合同结算价的5％（无息）。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w:t>
      </w:r>
      <w:r>
        <w:rPr>
          <w:rFonts w:hint="eastAsia" w:ascii="宋体" w:hAnsi="宋体" w:cs="宋体"/>
          <w:color w:val="000000" w:themeColor="text1"/>
          <w:sz w:val="24"/>
          <w:szCs w:val="24"/>
          <w:highlight w:val="none"/>
          <w:lang w:val="en-US" w:eastAsia="zh-CN"/>
          <w14:textFill>
            <w14:solidFill>
              <w14:schemeClr w14:val="tx1"/>
            </w14:solidFill>
          </w14:textFill>
        </w:rPr>
        <w:t>在服务期内存在违约行为</w:t>
      </w:r>
      <w:r>
        <w:rPr>
          <w:rFonts w:hint="eastAsia" w:ascii="宋体" w:hAnsi="宋体" w:cs="宋体"/>
          <w:color w:val="000000" w:themeColor="text1"/>
          <w:sz w:val="24"/>
          <w:szCs w:val="24"/>
          <w:highlight w:val="none"/>
          <w14:textFill>
            <w14:solidFill>
              <w14:schemeClr w14:val="tx1"/>
            </w14:solidFill>
          </w14:textFill>
        </w:rPr>
        <w:t>应向甲方支付违约金、赔偿款或者其他款项，甲方有权直接从应付款项中扣</w:t>
      </w:r>
      <w:r>
        <w:rPr>
          <w:rFonts w:hint="eastAsia" w:ascii="宋体" w:hAnsi="宋体" w:cs="宋体"/>
          <w:color w:val="000000" w:themeColor="text1"/>
          <w:sz w:val="24"/>
          <w:szCs w:val="24"/>
          <w:highlight w:val="none"/>
          <w:lang w:val="en-US" w:eastAsia="zh-CN"/>
          <w14:textFill>
            <w14:solidFill>
              <w14:schemeClr w14:val="tx1"/>
            </w14:solidFill>
          </w14:textFill>
        </w:rPr>
        <w:t>除</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无；</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结算价超过合同暂定总价时，暂停合同款支付程序，</w:t>
      </w:r>
      <w:r>
        <w:rPr>
          <w:rFonts w:hint="eastAsia" w:ascii="宋体" w:hAnsi="宋体" w:cs="宋体"/>
          <w:color w:val="000000" w:themeColor="text1"/>
          <w:sz w:val="24"/>
          <w:szCs w:val="24"/>
          <w:highlight w:val="none"/>
          <w:u w:val="none"/>
          <w:lang w:val="en-US" w:eastAsia="zh-CN"/>
          <w14:textFill>
            <w14:solidFill>
              <w14:schemeClr w14:val="tx1"/>
            </w14:solidFill>
          </w14:textFill>
        </w:rPr>
        <w:t>待</w:t>
      </w:r>
      <w:r>
        <w:rPr>
          <w:rFonts w:hint="eastAsia" w:ascii="宋体" w:hAnsi="宋体" w:cs="宋体"/>
          <w:color w:val="000000" w:themeColor="text1"/>
          <w:sz w:val="24"/>
          <w:szCs w:val="24"/>
          <w:highlight w:val="none"/>
          <w:u w:val="none"/>
          <w14:textFill>
            <w14:solidFill>
              <w14:schemeClr w14:val="tx1"/>
            </w14:solidFill>
          </w14:textFill>
        </w:rPr>
        <w:t>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需求书》</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附件5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p>
    <w:p>
      <w:pPr>
        <w:tabs>
          <w:tab w:val="left" w:pos="2670"/>
        </w:tabs>
        <w:spacing w:line="48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6.2项目实施部署安装整体完成起30天内并无任何由于项目引起的故障，包括但不限于软件运行故障、项目提供的软件问题等。</w:t>
      </w:r>
    </w:p>
    <w:p>
      <w:pPr>
        <w:tabs>
          <w:tab w:val="left" w:pos="2670"/>
        </w:tabs>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6.3完整提供项目的竣工验收报告，包括但不限于软件服务正版证明以及相关资料文件（如系统设计、数据库详细设计、测试报告、操作手册等）、实施中涉及的账号密码、拓扑图、系统效果图等。</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项目验收合格后，乙方提供 </w:t>
      </w:r>
      <w:r>
        <w:rPr>
          <w:rFonts w:hint="eastAsia" w:ascii="宋体" w:hAnsi="宋体" w:cs="宋体"/>
          <w:color w:val="000000" w:themeColor="text1"/>
          <w:sz w:val="24"/>
          <w:szCs w:val="24"/>
          <w:highlight w:val="none"/>
          <w:lang w:val="en-US" w:eastAsia="zh-CN"/>
          <w14:textFill>
            <w14:solidFill>
              <w14:schemeClr w14:val="tx1"/>
            </w14:solidFill>
          </w14:textFill>
        </w:rPr>
        <w:t>3年运维期</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运维</w:t>
      </w:r>
      <w:r>
        <w:rPr>
          <w:rFonts w:hint="eastAsia" w:ascii="宋体" w:hAnsi="宋体" w:cs="宋体"/>
          <w:color w:val="000000" w:themeColor="text1"/>
          <w:sz w:val="24"/>
          <w:szCs w:val="24"/>
          <w:highlight w:val="none"/>
          <w14:textFill>
            <w14:solidFill>
              <w14:schemeClr w14:val="tx1"/>
            </w14:solidFill>
          </w14:textFill>
        </w:rPr>
        <w:t>服务内容</w:t>
      </w:r>
      <w:r>
        <w:rPr>
          <w:rFonts w:hint="eastAsia" w:ascii="宋体" w:hAnsi="宋体" w:cs="宋体"/>
          <w:color w:val="000000" w:themeColor="text1"/>
          <w:sz w:val="24"/>
          <w:szCs w:val="24"/>
          <w:highlight w:val="none"/>
          <w:lang w:val="en-US" w:eastAsia="zh-CN"/>
          <w14:textFill>
            <w14:solidFill>
              <w14:schemeClr w14:val="tx1"/>
            </w14:solidFill>
          </w14:textFill>
        </w:rPr>
        <w:t>包括但不限于</w:t>
      </w:r>
      <w:r>
        <w:rPr>
          <w:rFonts w:hint="eastAsia" w:ascii="宋体" w:hAnsi="宋体" w:cs="宋体"/>
          <w:color w:val="000000" w:themeColor="text1"/>
          <w:sz w:val="24"/>
          <w:szCs w:val="24"/>
          <w:highlight w:val="none"/>
          <w:u w:val="single"/>
          <w14:textFill>
            <w14:solidFill>
              <w14:schemeClr w14:val="tx1"/>
            </w14:solidFill>
          </w14:textFill>
        </w:rPr>
        <w:t>提供7×24小时热线响应和专家在线远程技术支持，及时上报系统软件设计上的缺陷，</w:t>
      </w:r>
      <w:r>
        <w:rPr>
          <w:rFonts w:hint="eastAsia" w:ascii="宋体" w:hAnsi="宋体" w:cs="宋体"/>
          <w:color w:val="000000" w:themeColor="text1"/>
          <w:sz w:val="24"/>
          <w:szCs w:val="24"/>
          <w:highlight w:val="none"/>
          <w:u w:val="single"/>
          <w:lang w:val="en-US" w:eastAsia="zh-CN"/>
          <w14:textFill>
            <w14:solidFill>
              <w14:schemeClr w14:val="tx1"/>
            </w14:solidFill>
          </w14:textFill>
        </w:rPr>
        <w:t>并提供软件、硬件保修更换服务。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w:t>
      </w:r>
      <w:r>
        <w:rPr>
          <w:rFonts w:hint="eastAsia" w:ascii="宋体" w:hAnsi="宋体" w:cs="宋体"/>
          <w:color w:val="000000" w:themeColor="text1"/>
          <w:sz w:val="24"/>
          <w:szCs w:val="24"/>
          <w:highlight w:val="none"/>
          <w:u w:val="single"/>
          <w:lang w:val="en-US" w:eastAsia="zh-CN"/>
          <w14:textFill>
            <w14:solidFill>
              <w14:schemeClr w14:val="tx1"/>
            </w14:solidFill>
          </w14:textFill>
        </w:rPr>
        <w:t>使用</w:t>
      </w:r>
      <w:r>
        <w:rPr>
          <w:rFonts w:hint="eastAsia" w:ascii="宋体" w:hAnsi="宋体" w:cs="宋体"/>
          <w:color w:val="000000" w:themeColor="text1"/>
          <w:sz w:val="24"/>
          <w:szCs w:val="24"/>
          <w:highlight w:val="none"/>
          <w:u w:val="single"/>
          <w14:textFill>
            <w14:solidFill>
              <w14:schemeClr w14:val="tx1"/>
            </w14:solidFill>
          </w14:textFill>
        </w:rPr>
        <w:t>的培训服务</w:t>
      </w:r>
      <w:r>
        <w:rPr>
          <w:rFonts w:hint="eastAsia" w:ascii="宋体" w:hAnsi="宋体" w:cs="宋体"/>
          <w:color w:val="000000" w:themeColor="text1"/>
          <w:sz w:val="24"/>
          <w:szCs w:val="24"/>
          <w:highlight w:val="none"/>
          <w14:textFill>
            <w14:solidFill>
              <w14:schemeClr w14:val="tx1"/>
            </w14:solidFill>
          </w14:textFill>
        </w:rPr>
        <w:t>。</w:t>
      </w:r>
    </w:p>
    <w:p>
      <w:pPr>
        <w:pStyle w:val="52"/>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w:t>
      </w:r>
      <w:r>
        <w:rPr>
          <w:rFonts w:hint="eastAsia" w:ascii="宋体" w:hAnsi="宋体" w:cs="宋体"/>
          <w:color w:val="0000FF"/>
          <w:sz w:val="24"/>
          <w:szCs w:val="24"/>
          <w:highlight w:val="none"/>
          <w:u w:val="single"/>
          <w:lang w:val="en-US" w:eastAsia="zh-CN"/>
        </w:rPr>
        <w:t>视甲方需求</w:t>
      </w:r>
      <w:r>
        <w:rPr>
          <w:rFonts w:hint="eastAsia" w:ascii="宋体" w:hAnsi="宋体" w:cs="宋体"/>
          <w:color w:val="000000" w:themeColor="text1"/>
          <w:sz w:val="24"/>
          <w:szCs w:val="24"/>
          <w:highlight w:val="none"/>
          <w:u w:val="single"/>
          <w14:textFill>
            <w14:solidFill>
              <w14:schemeClr w14:val="tx1"/>
            </w14:solidFill>
          </w14:textFill>
        </w:rPr>
        <w:t xml:space="preserve">派人提供驻场服务，且驻场人员不得少于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名。</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乙方应及时做好软件、数据备份，防止数据丢失。</w:t>
      </w:r>
    </w:p>
    <w:p>
      <w:pPr>
        <w:adjustRightInd w:val="0"/>
        <w:spacing w:line="480" w:lineRule="exact"/>
        <w:ind w:firstLine="560"/>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乙方应按甲方要求提供专项培训。</w:t>
      </w:r>
    </w:p>
    <w:p>
      <w:pPr>
        <w:adjustRightInd w:val="0"/>
        <w:spacing w:line="480" w:lineRule="exact"/>
        <w:ind w:firstLine="560"/>
        <w:textAlignment w:val="baseline"/>
        <w:rPr>
          <w:rFonts w:hint="eastAsia" w:ascii="宋体" w:hAnsi="宋体" w:cs="宋体"/>
          <w:color w:val="0000FF"/>
          <w:sz w:val="24"/>
          <w:szCs w:val="24"/>
          <w:highlight w:val="none"/>
        </w:rPr>
      </w:pPr>
      <w:r>
        <w:rPr>
          <w:rFonts w:hint="eastAsia" w:ascii="宋体" w:hAnsi="宋体" w:cs="宋体"/>
          <w:color w:val="0000FF"/>
          <w:sz w:val="24"/>
          <w:szCs w:val="24"/>
          <w:highlight w:val="none"/>
        </w:rPr>
        <w:t>6.1</w:t>
      </w:r>
      <w:r>
        <w:rPr>
          <w:rFonts w:hint="eastAsia" w:ascii="宋体" w:hAnsi="宋体" w:cs="宋体"/>
          <w:color w:val="0000FF"/>
          <w:sz w:val="24"/>
          <w:szCs w:val="24"/>
          <w:highlight w:val="none"/>
          <w:lang w:val="en-US" w:eastAsia="zh-CN"/>
        </w:rPr>
        <w:t>5</w:t>
      </w:r>
      <w:r>
        <w:rPr>
          <w:rFonts w:hint="eastAsia" w:ascii="宋体" w:hAnsi="宋体" w:cs="宋体"/>
          <w:color w:val="0000FF"/>
          <w:sz w:val="24"/>
          <w:szCs w:val="24"/>
          <w:highlight w:val="none"/>
        </w:rPr>
        <w:t>乙方应做好系统的日常运维工作，工作内容包含但不限于数据系统每日巡检、服务器定期巡检、应用系统与操作系统定期安全检查、系统打补丁。系统微据定期备份、系统安全口令定期更换、防火墙病毒库定期更新、系统造应性升级、系统故障处置及现场故障处理等。</w:t>
      </w:r>
      <w:r>
        <w:rPr>
          <w:rFonts w:hint="eastAsia" w:ascii="宋体" w:hAnsi="宋体" w:cs="宋体"/>
          <w:color w:val="000000" w:themeColor="text1"/>
          <w:sz w:val="24"/>
          <w:szCs w:val="24"/>
          <w:highlight w:val="none"/>
          <w:u w:val="single"/>
          <w14:textFill>
            <w14:solidFill>
              <w14:schemeClr w14:val="tx1"/>
            </w14:solidFill>
          </w14:textFill>
        </w:rPr>
        <w:t>如系统发现故障时，乙方在收到通知</w:t>
      </w:r>
      <w:r>
        <w:rPr>
          <w:rFonts w:hint="eastAsia" w:ascii="宋体" w:hAnsi="宋体" w:cs="宋体"/>
          <w:color w:val="0000FF"/>
          <w:sz w:val="24"/>
          <w:szCs w:val="24"/>
          <w:highlight w:val="none"/>
          <w:u w:val="single"/>
        </w:rPr>
        <w:t xml:space="preserve"> </w:t>
      </w:r>
      <w:r>
        <w:rPr>
          <w:rFonts w:hint="eastAsia" w:ascii="宋体" w:hAnsi="宋体" w:cs="宋体"/>
          <w:color w:val="0000FF"/>
          <w:sz w:val="24"/>
          <w:szCs w:val="24"/>
          <w:highlight w:val="none"/>
          <w:u w:val="single"/>
          <w:lang w:val="en-US" w:eastAsia="zh-CN"/>
        </w:rPr>
        <w:t>0.5</w:t>
      </w:r>
      <w:r>
        <w:rPr>
          <w:rFonts w:hint="eastAsia" w:ascii="宋体" w:hAnsi="宋体" w:cs="宋体"/>
          <w:color w:val="0000FF"/>
          <w:sz w:val="24"/>
          <w:szCs w:val="24"/>
          <w:highlight w:val="none"/>
          <w:u w:val="single"/>
        </w:rPr>
        <w:t xml:space="preserve"> </w:t>
      </w:r>
      <w:r>
        <w:rPr>
          <w:rFonts w:hint="eastAsia" w:ascii="宋体" w:hAnsi="宋体" w:cs="宋体"/>
          <w:color w:val="000000" w:themeColor="text1"/>
          <w:sz w:val="24"/>
          <w:szCs w:val="24"/>
          <w:highlight w:val="none"/>
          <w:u w:val="single"/>
          <w14:textFill>
            <w14:solidFill>
              <w14:schemeClr w14:val="tx1"/>
            </w14:solidFill>
          </w14:textFill>
        </w:rPr>
        <w:t>小时内提供维护，并排除故障。如现场无法解决的，应同步出具应急方案，并配合甲方启动应急方案，确保甲方信息系统正常运行。</w:t>
      </w:r>
    </w:p>
    <w:p>
      <w:pPr>
        <w:adjustRightInd w:val="0"/>
        <w:spacing w:line="500" w:lineRule="exact"/>
        <w:ind w:firstLine="560"/>
        <w:textAlignment w:val="baseline"/>
        <w:rPr>
          <w:rFonts w:hint="eastAsia"/>
          <w:color w:val="0000FF"/>
        </w:rPr>
      </w:pPr>
      <w:r>
        <w:rPr>
          <w:rFonts w:hint="eastAsia" w:ascii="宋体" w:hAnsi="宋体" w:cs="宋体"/>
          <w:color w:val="0000FF"/>
          <w:sz w:val="24"/>
          <w:szCs w:val="24"/>
          <w:highlight w:val="none"/>
          <w:lang w:val="en-US" w:eastAsia="zh-CN"/>
        </w:rPr>
        <w:t>6.16</w:t>
      </w:r>
      <w:r>
        <w:rPr>
          <w:rFonts w:hint="eastAsia" w:ascii="宋体" w:hAnsi="宋体" w:cs="宋体"/>
          <w:color w:val="0000FF"/>
          <w:sz w:val="24"/>
          <w:szCs w:val="24"/>
          <w:highlight w:val="none"/>
        </w:rPr>
        <w:t>乙方的安全防护措施应按照实际情况进行租责，充分考虑运行所需的资源配置，选用合理的安全防护资源且确保系统安全运行。</w:t>
      </w:r>
    </w:p>
    <w:p>
      <w:pPr>
        <w:pStyle w:val="2"/>
      </w:pPr>
      <w:r>
        <w:rPr>
          <w:rFonts w:hint="eastAsia"/>
        </w:rPr>
        <w:t xml:space="preserve"> </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项目实施方案</w:t>
      </w:r>
      <w:r>
        <w:rPr>
          <w:rFonts w:hint="eastAsia" w:ascii="宋体" w:hAnsi="宋体" w:cs="宋体"/>
          <w:bCs/>
          <w:color w:val="000000" w:themeColor="text1"/>
          <w:kern w:val="0"/>
          <w:sz w:val="24"/>
          <w:szCs w:val="24"/>
          <w:highlight w:val="none"/>
          <w:u w:val="single"/>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w:t>
      </w:r>
      <w:r>
        <w:rPr>
          <w:rFonts w:hint="eastAsia" w:ascii="宋体" w:hAnsi="宋体" w:cs="宋体"/>
          <w:color w:val="000000" w:themeColor="text1"/>
          <w:sz w:val="24"/>
          <w:szCs w:val="24"/>
          <w:highlight w:val="none"/>
          <w:lang w:val="en-US" w:eastAsia="zh-CN"/>
          <w14:textFill>
            <w14:solidFill>
              <w14:schemeClr w14:val="tx1"/>
            </w14:solidFill>
          </w14:textFill>
        </w:rPr>
        <w:t>采购需求书</w:t>
      </w:r>
      <w:r>
        <w:rPr>
          <w:rFonts w:hint="eastAsia" w:ascii="宋体" w:hAnsi="宋体" w:cs="宋体"/>
          <w:bCs/>
          <w:color w:val="000000" w:themeColor="text1"/>
          <w:kern w:val="0"/>
          <w:sz w:val="24"/>
          <w:szCs w:val="24"/>
          <w:highlight w:val="none"/>
          <w14:textFill>
            <w14:solidFill>
              <w14:schemeClr w14:val="tx1"/>
            </w14:solidFill>
          </w14:textFill>
        </w:rPr>
        <w:t>》</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lang w:val="en-US" w:eastAsia="zh-CN"/>
          <w14:textFill>
            <w14:solidFill>
              <w14:schemeClr w14:val="tx1"/>
            </w14:solidFill>
          </w14:textFill>
        </w:rPr>
        <w:t>附件5</w:t>
      </w:r>
      <w:r>
        <w:rPr>
          <w:rFonts w:hint="eastAsia" w:ascii="宋体" w:hAnsi="宋体" w:cs="宋体"/>
          <w:bCs/>
          <w:color w:val="000000" w:themeColor="text1"/>
          <w:kern w:val="0"/>
          <w:sz w:val="24"/>
          <w:szCs w:val="24"/>
          <w:highlight w:val="none"/>
          <w:lang w:eastAsia="zh-CN"/>
          <w14:textFill>
            <w14:solidFill>
              <w14:schemeClr w14:val="tx1"/>
            </w14:solidFill>
          </w14:textFill>
        </w:rPr>
        <w:t>）</w:t>
      </w:r>
      <w:r>
        <w:rPr>
          <w:rFonts w:hint="eastAsia" w:ascii="宋体" w:hAnsi="宋体" w:cs="宋体"/>
          <w:bCs/>
          <w:color w:val="000000" w:themeColor="text1"/>
          <w:kern w:val="0"/>
          <w:sz w:val="24"/>
          <w:szCs w:val="24"/>
          <w:highlight w:val="none"/>
          <w14:textFill>
            <w14:solidFill>
              <w14:schemeClr w14:val="tx1"/>
            </w14:solidFill>
          </w14:textFill>
        </w:rPr>
        <w:t>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w:t>
      </w:r>
      <w:r>
        <w:rPr>
          <w:rFonts w:hint="eastAsia" w:ascii="宋体" w:hAnsi="宋体" w:cs="宋体"/>
          <w:bCs/>
          <w:color w:val="000000" w:themeColor="text1"/>
          <w:kern w:val="0"/>
          <w:sz w:val="24"/>
          <w:szCs w:val="24"/>
          <w:highlight w:val="none"/>
          <w:lang w:val="en-US" w:eastAsia="zh-CN"/>
          <w14:textFill>
            <w14:solidFill>
              <w14:schemeClr w14:val="tx1"/>
            </w14:solidFill>
          </w14:textFill>
        </w:rPr>
        <w:t>10</w:t>
      </w:r>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20</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102" w:name="_Toc520190040"/>
      <w:bookmarkStart w:id="103" w:name="_Toc107446862"/>
      <w:bookmarkStart w:id="104" w:name="_Toc306350467"/>
      <w:bookmarkStart w:id="105" w:name="_Toc474245226"/>
      <w:bookmarkStart w:id="106" w:name="_Toc107447255"/>
      <w:bookmarkStart w:id="107" w:name="_Toc19692"/>
      <w:bookmarkStart w:id="108" w:name="_Toc518993000"/>
      <w:bookmarkStart w:id="109" w:name="_Toc183666531"/>
      <w:r>
        <w:rPr>
          <w:rFonts w:hint="eastAsia" w:ascii="宋体" w:hAnsi="宋体" w:cs="宋体"/>
          <w:b/>
          <w:bCs/>
          <w:color w:val="000000" w:themeColor="text1"/>
          <w:sz w:val="24"/>
          <w:szCs w:val="24"/>
          <w:highlight w:val="none"/>
          <w14:textFill>
            <w14:solidFill>
              <w14:schemeClr w14:val="tx1"/>
            </w14:solidFill>
          </w14:textFill>
        </w:rPr>
        <w:t>十、不可抗力</w:t>
      </w:r>
      <w:bookmarkEnd w:id="102"/>
      <w:bookmarkEnd w:id="103"/>
      <w:bookmarkEnd w:id="104"/>
      <w:bookmarkEnd w:id="105"/>
      <w:bookmarkEnd w:id="106"/>
      <w:bookmarkEnd w:id="107"/>
      <w:bookmarkEnd w:id="108"/>
      <w:bookmarkEnd w:id="109"/>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10" w:name="_Toc183666532"/>
      <w:bookmarkStart w:id="111" w:name="_Toc12010"/>
      <w:bookmarkStart w:id="112" w:name="_Toc306350468"/>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107446864"/>
      <w:bookmarkStart w:id="114" w:name="_Toc520190041"/>
      <w:bookmarkStart w:id="115" w:name="_Toc518993001"/>
      <w:bookmarkStart w:id="116" w:name="_Toc474245227"/>
      <w:bookmarkStart w:id="117" w:name="_Toc107447257"/>
      <w:bookmarkStart w:id="118" w:name="_Toc11817229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10"/>
      <w:bookmarkEnd w:id="111"/>
      <w:bookmarkEnd w:id="112"/>
      <w:bookmarkEnd w:id="113"/>
      <w:bookmarkEnd w:id="114"/>
      <w:bookmarkEnd w:id="115"/>
      <w:bookmarkEnd w:id="116"/>
      <w:bookmarkEnd w:id="117"/>
      <w:bookmarkEnd w:id="118"/>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119" w:name="_Toc183666533"/>
      <w:bookmarkStart w:id="120" w:name="_Toc306350469"/>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19"/>
      <w:bookmarkEnd w:id="120"/>
      <w:bookmarkStart w:id="121" w:name="_Toc474245229"/>
      <w:bookmarkStart w:id="122" w:name="_Toc518993003"/>
      <w:bookmarkStart w:id="123"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124" w:name="_Toc107447264"/>
      <w:bookmarkStart w:id="125"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21"/>
      <w:bookmarkEnd w:id="122"/>
      <w:bookmarkEnd w:id="123"/>
      <w:bookmarkEnd w:id="124"/>
      <w:bookmarkEnd w:id="125"/>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480" w:lineRule="exact"/>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 廉洁协议</w:t>
      </w:r>
    </w:p>
    <w:p>
      <w:pPr>
        <w:spacing w:line="48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3. 保密协议</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安全管理协议书</w:t>
      </w:r>
    </w:p>
    <w:p>
      <w:pPr>
        <w:spacing w:line="480" w:lineRule="exact"/>
        <w:ind w:firstLine="1320" w:firstLineChars="550"/>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 </w:t>
      </w:r>
      <w:r>
        <w:rPr>
          <w:rFonts w:hint="eastAsia" w:ascii="宋体" w:hAnsi="宋体" w:cs="宋体"/>
          <w:color w:val="000000" w:themeColor="text1"/>
          <w:sz w:val="24"/>
          <w:szCs w:val="24"/>
          <w:highlight w:val="none"/>
          <w:lang w:val="en-US" w:eastAsia="zh-CN"/>
          <w14:textFill>
            <w14:solidFill>
              <w14:schemeClr w14:val="tx1"/>
            </w14:solidFill>
          </w14:textFill>
        </w:rPr>
        <w:t>采购需求书</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项目投入人员架构表</w:t>
      </w:r>
    </w:p>
    <w:p>
      <w:pPr>
        <w:spacing w:line="480" w:lineRule="exact"/>
        <w:ind w:firstLine="1320" w:firstLineChars="55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spacing w:line="480" w:lineRule="exact"/>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防疫管理协议书</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r>
        <w:rPr>
          <w:rFonts w:hint="eastAsia" w:ascii="仿宋_GB2312" w:eastAsia="仿宋_GB2312"/>
          <w:color w:val="000000" w:themeColor="text1"/>
          <w:w w:val="90"/>
          <w:kern w:val="10"/>
          <w:sz w:val="24"/>
          <w:highlight w:val="none"/>
          <w:lang w:val="en-US" w:eastAsia="zh-CN"/>
          <w14:textFill>
            <w14:solidFill>
              <w14:schemeClr w14:val="tx1"/>
            </w14:solidFill>
          </w14:textFill>
        </w:rPr>
        <w:t>附件1</w:t>
      </w: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rPr>
          <w:rFonts w:ascii="仿宋_GB2312" w:eastAsia="仿宋_GB2312"/>
          <w:color w:val="000000" w:themeColor="text1"/>
          <w:sz w:val="28"/>
          <w:szCs w:val="28"/>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widowControl/>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
        <w:rPr>
          <w:rFonts w:hint="eastAsia"/>
          <w:lang w:eastAsia="zh-CN"/>
        </w:rPr>
      </w:pPr>
    </w:p>
    <w:p>
      <w:pPr>
        <w:pStyle w:val="2"/>
        <w:rPr>
          <w:rFonts w:hint="eastAsia"/>
          <w:lang w:eastAsia="zh-CN"/>
        </w:rPr>
      </w:pPr>
    </w:p>
    <w:p>
      <w:pPr>
        <w:pStyle w:val="7"/>
        <w:rPr>
          <w:rFonts w:hint="eastAsia"/>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4"/>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4"/>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w:t>
      </w:r>
      <w:r>
        <w:rPr>
          <w:rFonts w:hint="eastAsia" w:ascii="宋体" w:hAnsi="宋体" w:cs="宋体"/>
          <w:color w:val="000000" w:themeColor="text1"/>
          <w:szCs w:val="21"/>
          <w:highlight w:val="none"/>
          <w:u w:val="single"/>
          <w14:textFill>
            <w14:solidFill>
              <w14:schemeClr w14:val="tx1"/>
            </w14:solidFill>
          </w14:textFill>
        </w:rPr>
        <w:t>（合同名称）+（合同编号）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105" w:firstLineChars="5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26" w:name="_Toc21391"/>
      <w:r>
        <w:rPr>
          <w:rFonts w:hint="eastAsia" w:ascii="宋体" w:hAnsi="宋体" w:cs="宋体"/>
          <w:color w:val="000000" w:themeColor="text1"/>
          <w:szCs w:val="21"/>
          <w:highlight w:val="none"/>
          <w14:textFill>
            <w14:solidFill>
              <w14:schemeClr w14:val="tx1"/>
            </w14:solidFill>
          </w14:textFill>
        </w:rPr>
        <w:t xml:space="preserve">: </w:t>
      </w:r>
    </w:p>
    <w:bookmarkEnd w:id="126"/>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37"/>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widowControl/>
        <w:jc w:val="left"/>
        <w:rPr>
          <w:rFonts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tabs>
          <w:tab w:val="left" w:pos="4170"/>
        </w:tabs>
        <w:spacing w:line="360" w:lineRule="auto"/>
        <w:rPr>
          <w:rFonts w:hint="eastAsia" w:ascii="宋体" w:hAnsi="宋体" w:eastAsia="仿宋_GB2312" w:cs="宋体"/>
          <w:b w:val="0"/>
          <w:bCs w:val="0"/>
          <w:color w:val="000000" w:themeColor="text1"/>
          <w:kern w:val="0"/>
          <w:sz w:val="24"/>
          <w:szCs w:val="21"/>
          <w:highlight w:val="none"/>
          <w:lang w:val="en-US" w:eastAsia="zh-CN"/>
          <w14:textFill>
            <w14:solidFill>
              <w14:schemeClr w14:val="tx1"/>
            </w14:solidFill>
          </w14:textFill>
        </w:rPr>
      </w:pPr>
      <w:r>
        <w:rPr>
          <w:rFonts w:hint="eastAsia" w:ascii="宋体" w:hAnsi="宋体" w:eastAsia="仿宋_GB2312" w:cs="宋体"/>
          <w:b w:val="0"/>
          <w:bCs w:val="0"/>
          <w:color w:val="000000" w:themeColor="text1"/>
          <w:kern w:val="0"/>
          <w:sz w:val="24"/>
          <w:szCs w:val="21"/>
          <w:highlight w:val="none"/>
          <w:lang w:val="en-US" w:eastAsia="zh-CN"/>
          <w14:textFill>
            <w14:solidFill>
              <w14:schemeClr w14:val="tx1"/>
            </w14:solidFill>
          </w14:textFill>
        </w:rPr>
        <w:t>附件6</w:t>
      </w:r>
    </w:p>
    <w:p>
      <w:pPr>
        <w:jc w:val="center"/>
        <w:rPr>
          <w:rFonts w:hint="default" w:ascii="Times New Roman" w:hAnsi="Times New Roman" w:eastAsia="仿宋"/>
          <w:b/>
          <w:bCs/>
          <w:color w:val="7030A0"/>
          <w:sz w:val="36"/>
          <w:szCs w:val="22"/>
          <w:highlight w:val="none"/>
          <w:lang w:val="en-US" w:eastAsia="zh-CN"/>
        </w:rPr>
      </w:pPr>
      <w:r>
        <w:rPr>
          <w:rFonts w:hint="eastAsia" w:ascii="Times New Roman" w:hAnsi="Times New Roman" w:eastAsia="仿宋"/>
          <w:b/>
          <w:bCs/>
          <w:color w:val="7030A0"/>
          <w:sz w:val="36"/>
          <w:szCs w:val="22"/>
          <w:highlight w:val="none"/>
          <w:lang w:val="en-US" w:eastAsia="zh-CN"/>
        </w:rPr>
        <w:t>项目投入人员架构表</w:t>
      </w:r>
    </w:p>
    <w:tbl>
      <w:tblPr>
        <w:tblStyle w:val="2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4"/>
        <w:gridCol w:w="1064"/>
        <w:gridCol w:w="1064"/>
        <w:gridCol w:w="1064"/>
        <w:gridCol w:w="1064"/>
        <w:gridCol w:w="1065"/>
        <w:gridCol w:w="1065"/>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序号</w:t>
            </w:r>
          </w:p>
        </w:tc>
        <w:tc>
          <w:tcPr>
            <w:tcW w:w="1064" w:type="dxa"/>
            <w:noWrap w:val="0"/>
            <w:vAlign w:val="top"/>
          </w:tcPr>
          <w:p>
            <w:pPr>
              <w:tabs>
                <w:tab w:val="left" w:pos="4170"/>
              </w:tabs>
              <w:spacing w:line="360" w:lineRule="auto"/>
              <w:rPr>
                <w:rFonts w:hint="default"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姓名</w:t>
            </w: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性别</w:t>
            </w: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年龄</w:t>
            </w: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职称</w:t>
            </w: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专业</w:t>
            </w:r>
          </w:p>
        </w:tc>
        <w:tc>
          <w:tcPr>
            <w:tcW w:w="1065" w:type="dxa"/>
            <w:noWrap w:val="0"/>
            <w:vAlign w:val="top"/>
          </w:tcPr>
          <w:p>
            <w:pPr>
              <w:tabs>
                <w:tab w:val="left" w:pos="4170"/>
              </w:tabs>
              <w:spacing w:line="360" w:lineRule="auto"/>
              <w:rPr>
                <w:rFonts w:hint="default"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最高学历</w:t>
            </w:r>
          </w:p>
        </w:tc>
        <w:tc>
          <w:tcPr>
            <w:tcW w:w="1065" w:type="dxa"/>
            <w:noWrap w:val="0"/>
            <w:vAlign w:val="top"/>
          </w:tcPr>
          <w:p>
            <w:pPr>
              <w:tabs>
                <w:tab w:val="left" w:pos="4170"/>
              </w:tabs>
              <w:spacing w:line="360" w:lineRule="auto"/>
              <w:rPr>
                <w:rFonts w:hint="default"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相关证书</w:t>
            </w:r>
          </w:p>
        </w:tc>
        <w:tc>
          <w:tcPr>
            <w:tcW w:w="1353" w:type="dxa"/>
            <w:noWrap w:val="0"/>
            <w:vAlign w:val="top"/>
          </w:tcPr>
          <w:p>
            <w:pPr>
              <w:tabs>
                <w:tab w:val="left" w:pos="4170"/>
              </w:tabs>
              <w:spacing w:line="360" w:lineRule="auto"/>
              <w:rPr>
                <w:rFonts w:hint="default" w:ascii="宋体" w:hAnsi="宋体" w:eastAsia="宋体" w:cs="宋体"/>
                <w:b/>
                <w:bCs/>
                <w:color w:val="7030A0"/>
                <w:sz w:val="21"/>
                <w:szCs w:val="21"/>
                <w:highlight w:val="none"/>
                <w:vertAlign w:val="baseline"/>
                <w:lang w:val="en-US" w:eastAsia="zh-CN"/>
              </w:rPr>
            </w:pPr>
            <w:r>
              <w:rPr>
                <w:rFonts w:hint="eastAsia" w:ascii="宋体" w:hAnsi="宋体" w:cs="宋体"/>
                <w:b/>
                <w:bCs/>
                <w:color w:val="7030A0"/>
                <w:sz w:val="21"/>
                <w:szCs w:val="21"/>
                <w:highlight w:val="none"/>
                <w:vertAlign w:val="baseline"/>
                <w:lang w:val="en-US" w:eastAsia="zh-CN"/>
              </w:rPr>
              <w:t>拟承担工作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4"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065"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c>
          <w:tcPr>
            <w:tcW w:w="1353" w:type="dxa"/>
            <w:noWrap w:val="0"/>
            <w:vAlign w:val="top"/>
          </w:tcPr>
          <w:p>
            <w:pPr>
              <w:tabs>
                <w:tab w:val="left" w:pos="4170"/>
              </w:tabs>
              <w:spacing w:line="360" w:lineRule="auto"/>
              <w:rPr>
                <w:rFonts w:hint="eastAsia" w:ascii="宋体" w:hAnsi="宋体" w:eastAsia="宋体" w:cs="宋体"/>
                <w:b/>
                <w:bCs/>
                <w:color w:val="7030A0"/>
                <w:sz w:val="21"/>
                <w:szCs w:val="21"/>
                <w:highlight w:val="none"/>
                <w:vertAlign w:val="baseline"/>
              </w:rPr>
            </w:pPr>
          </w:p>
        </w:tc>
      </w:tr>
    </w:tbl>
    <w:p>
      <w:pPr>
        <w:pStyle w:val="10"/>
        <w:tabs>
          <w:tab w:val="left" w:pos="720"/>
        </w:tabs>
        <w:ind w:firstLine="421"/>
        <w:rPr>
          <w:rFonts w:hint="default" w:ascii="宋体" w:hAnsi="宋体" w:eastAsia="宋体" w:cs="宋体"/>
          <w:b/>
          <w:bCs/>
          <w:color w:val="7030A0"/>
          <w:sz w:val="21"/>
          <w:szCs w:val="21"/>
          <w:highlight w:val="none"/>
          <w:lang w:val="en-US" w:eastAsia="zh-CN"/>
        </w:rPr>
      </w:pPr>
      <w:r>
        <w:rPr>
          <w:rFonts w:hint="eastAsia" w:ascii="宋体" w:hAnsi="宋体" w:eastAsia="宋体" w:cs="宋体"/>
          <w:b/>
          <w:bCs/>
          <w:color w:val="7030A0"/>
          <w:sz w:val="21"/>
          <w:szCs w:val="21"/>
          <w:highlight w:val="none"/>
          <w:lang w:val="en-US" w:eastAsia="zh-CN"/>
        </w:rPr>
        <w:t>注：本表后附有关材料</w:t>
      </w:r>
    </w:p>
    <w:p>
      <w:pPr>
        <w:pStyle w:val="10"/>
        <w:tabs>
          <w:tab w:val="left" w:pos="720"/>
        </w:tabs>
        <w:ind w:firstLine="421"/>
        <w:rPr>
          <w:rFonts w:hint="eastAsia" w:ascii="宋体" w:hAnsi="宋体" w:eastAsia="宋体" w:cs="宋体"/>
          <w:b/>
          <w:bCs/>
          <w:color w:val="7030A0"/>
          <w:sz w:val="21"/>
          <w:szCs w:val="21"/>
          <w:highlight w:val="none"/>
          <w:lang w:val="en-US" w:eastAsia="zh-CN"/>
        </w:rPr>
      </w:pPr>
    </w:p>
    <w:p>
      <w:pPr>
        <w:pStyle w:val="10"/>
        <w:tabs>
          <w:tab w:val="left" w:pos="720"/>
        </w:tabs>
        <w:ind w:firstLine="421"/>
        <w:rPr>
          <w:rFonts w:hint="eastAsia" w:ascii="宋体" w:hAnsi="宋体" w:eastAsia="宋体" w:cs="宋体"/>
          <w:b/>
          <w:bCs/>
          <w:color w:val="7030A0"/>
          <w:sz w:val="21"/>
          <w:szCs w:val="21"/>
          <w:highlight w:val="none"/>
          <w:lang w:val="en-US" w:eastAsia="zh-CN"/>
        </w:rPr>
      </w:pPr>
      <w:r>
        <w:rPr>
          <w:rFonts w:hint="eastAsia" w:ascii="宋体" w:hAnsi="宋体" w:eastAsia="宋体" w:cs="宋体"/>
          <w:b/>
          <w:bCs/>
          <w:color w:val="7030A0"/>
          <w:sz w:val="21"/>
          <w:szCs w:val="21"/>
          <w:highlight w:val="none"/>
          <w:lang w:val="en-US" w:eastAsia="zh-CN"/>
        </w:rPr>
        <w:t>投标人名称</w:t>
      </w:r>
    </w:p>
    <w:p>
      <w:pPr>
        <w:pStyle w:val="10"/>
        <w:tabs>
          <w:tab w:val="left" w:pos="720"/>
        </w:tabs>
        <w:ind w:firstLine="421"/>
        <w:rPr>
          <w:rFonts w:hint="eastAsia" w:ascii="宋体" w:hAnsi="宋体" w:eastAsia="宋体" w:cs="宋体"/>
          <w:b/>
          <w:bCs/>
          <w:color w:val="7030A0"/>
          <w:sz w:val="21"/>
          <w:szCs w:val="21"/>
          <w:highlight w:val="none"/>
          <w:lang w:val="en-US" w:eastAsia="zh-CN"/>
        </w:rPr>
      </w:pPr>
      <w:r>
        <w:rPr>
          <w:rFonts w:hint="eastAsia" w:ascii="宋体" w:hAnsi="宋体" w:eastAsia="宋体" w:cs="宋体"/>
          <w:b/>
          <w:bCs/>
          <w:color w:val="7030A0"/>
          <w:sz w:val="21"/>
          <w:szCs w:val="21"/>
          <w:highlight w:val="none"/>
          <w:lang w:val="en-US" w:eastAsia="zh-CN"/>
        </w:rPr>
        <w:t>授权代表(签名）：</w:t>
      </w:r>
    </w:p>
    <w:p>
      <w:pPr>
        <w:pStyle w:val="10"/>
        <w:tabs>
          <w:tab w:val="left" w:pos="720"/>
        </w:tabs>
        <w:ind w:firstLine="421"/>
        <w:rPr>
          <w:rFonts w:hint="eastAsia" w:ascii="宋体" w:hAnsi="宋体" w:eastAsia="宋体" w:cs="宋体"/>
          <w:b/>
          <w:bCs/>
          <w:color w:val="7030A0"/>
          <w:sz w:val="21"/>
          <w:szCs w:val="21"/>
          <w:highlight w:val="none"/>
          <w:lang w:val="en-US" w:eastAsia="zh-CN"/>
        </w:rPr>
      </w:pPr>
      <w:r>
        <w:rPr>
          <w:rFonts w:hint="eastAsia" w:ascii="宋体" w:hAnsi="宋体" w:eastAsia="宋体" w:cs="宋体"/>
          <w:b/>
          <w:bCs/>
          <w:color w:val="7030A0"/>
          <w:sz w:val="21"/>
          <w:szCs w:val="21"/>
          <w:highlight w:val="none"/>
          <w:lang w:val="en-US" w:eastAsia="zh-CN"/>
        </w:rPr>
        <w:t>职务：</w:t>
      </w:r>
    </w:p>
    <w:p>
      <w:pPr>
        <w:pStyle w:val="10"/>
        <w:tabs>
          <w:tab w:val="left" w:pos="720"/>
        </w:tabs>
        <w:ind w:firstLine="421"/>
        <w:rPr>
          <w:rFonts w:hint="eastAsia" w:ascii="宋体" w:hAnsi="宋体" w:eastAsia="宋体" w:cs="宋体"/>
          <w:b/>
          <w:bCs/>
          <w:color w:val="7030A0"/>
          <w:sz w:val="21"/>
          <w:szCs w:val="21"/>
          <w:highlight w:val="none"/>
          <w:lang w:val="en-US" w:eastAsia="zh-CN"/>
        </w:rPr>
      </w:pPr>
      <w:r>
        <w:rPr>
          <w:rFonts w:hint="eastAsia" w:ascii="宋体" w:hAnsi="宋体" w:eastAsia="宋体" w:cs="宋体"/>
          <w:b/>
          <w:bCs/>
          <w:color w:val="7030A0"/>
          <w:sz w:val="21"/>
          <w:szCs w:val="21"/>
          <w:highlight w:val="none"/>
          <w:lang w:val="en-US" w:eastAsia="zh-CN"/>
        </w:rPr>
        <w:t>日期：     年     月    日</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4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附件7：</w:t>
      </w:r>
    </w:p>
    <w:p>
      <w:pPr>
        <w:pStyle w:val="49"/>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widowControl/>
        <w:jc w:val="left"/>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eastAsiaTheme="minorEastAsia"/>
          <w:color w:val="000000" w:themeColor="text1"/>
          <w:szCs w:val="21"/>
          <w:highlight w:val="none"/>
          <w:lang w:eastAsia="zh-CN"/>
          <w14:textFill>
            <w14:solidFill>
              <w14:schemeClr w14:val="tx1"/>
            </w14:solidFill>
          </w14:textFill>
        </w:rPr>
      </w:pPr>
    </w:p>
    <w:p>
      <w:pPr>
        <w:pStyle w:val="2"/>
        <w:rPr>
          <w:rFonts w:hint="eastAsia"/>
          <w:lang w:eastAsia="zh-CN"/>
        </w:rPr>
      </w:pPr>
    </w:p>
    <w:p>
      <w:pPr>
        <w:spacing w:line="440" w:lineRule="exact"/>
        <w:jc w:val="both"/>
        <w:rPr>
          <w:rFonts w:hint="eastAsia" w:ascii="仿宋_GB2312" w:eastAsia="仿宋_GB2312"/>
          <w:b/>
          <w:bCs/>
          <w:sz w:val="28"/>
          <w:szCs w:val="28"/>
        </w:rPr>
      </w:pPr>
      <w:r>
        <w:rPr>
          <w:rFonts w:hint="eastAsia" w:hAnsi="宋体"/>
          <w:color w:val="000000" w:themeColor="text1"/>
          <w:szCs w:val="21"/>
          <w14:textFill>
            <w14:solidFill>
              <w14:schemeClr w14:val="tx1"/>
            </w14:solidFill>
          </w14:textFill>
        </w:rPr>
        <w:t>附件</w:t>
      </w:r>
      <w:r>
        <w:rPr>
          <w:rFonts w:hint="eastAsia" w:hAnsi="宋体"/>
          <w:color w:val="000000" w:themeColor="text1"/>
          <w:szCs w:val="21"/>
          <w:lang w:val="en-US" w:eastAsia="zh-CN"/>
          <w14:textFill>
            <w14:solidFill>
              <w14:schemeClr w14:val="tx1"/>
            </w14:solidFill>
          </w14:textFill>
        </w:rPr>
        <w:t>8</w:t>
      </w:r>
      <w:r>
        <w:rPr>
          <w:rFonts w:hint="eastAsia" w:hAnsi="宋体"/>
          <w:color w:val="000000" w:themeColor="text1"/>
          <w:szCs w:val="21"/>
          <w14:textFill>
            <w14:solidFill>
              <w14:schemeClr w14:val="tx1"/>
            </w14:solidFill>
          </w14:textFill>
        </w:rPr>
        <w:t>：</w:t>
      </w:r>
    </w:p>
    <w:p>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防疫管理协议书</w:t>
      </w:r>
    </w:p>
    <w:p>
      <w:pPr>
        <w:spacing w:line="440" w:lineRule="exact"/>
        <w:rPr>
          <w:rFonts w:ascii="仿宋_GB2312" w:hAnsi="宋体" w:eastAsia="仿宋_GB2312"/>
          <w:sz w:val="24"/>
        </w:rPr>
      </w:pPr>
    </w:p>
    <w:p>
      <w:pPr>
        <w:adjustRightInd w:val="0"/>
        <w:snapToGri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甲方：</w:t>
      </w:r>
      <w:r>
        <w:rPr>
          <w:rFonts w:hint="eastAsia" w:ascii="宋体" w:hAnsi="宋体" w:eastAsia="宋体" w:cs="宋体"/>
          <w:sz w:val="22"/>
          <w:szCs w:val="21"/>
          <w:u w:val="single"/>
        </w:rPr>
        <w:t>广州市净水有限公司</w:t>
      </w:r>
    </w:p>
    <w:p>
      <w:pPr>
        <w:adjustRightInd w:val="0"/>
        <w:snapToGrid w:val="0"/>
        <w:spacing w:line="360" w:lineRule="auto"/>
        <w:ind w:firstLine="440" w:firstLineChars="200"/>
        <w:rPr>
          <w:rStyle w:val="27"/>
          <w:rFonts w:hint="eastAsia" w:ascii="宋体" w:hAnsi="宋体" w:eastAsia="宋体" w:cs="宋体"/>
          <w:b w:val="0"/>
          <w:sz w:val="22"/>
          <w:szCs w:val="22"/>
          <w:u w:val="single"/>
          <w:lang w:val="en-US" w:eastAsia="zh-CN"/>
        </w:rPr>
      </w:pPr>
      <w:r>
        <w:rPr>
          <w:rFonts w:hint="eastAsia" w:ascii="宋体" w:hAnsi="宋体" w:eastAsia="宋体" w:cs="宋体"/>
          <w:sz w:val="22"/>
          <w:szCs w:val="21"/>
        </w:rPr>
        <w:t xml:space="preserve">乙方: </w:t>
      </w:r>
      <w:r>
        <w:rPr>
          <w:rFonts w:hint="eastAsia" w:ascii="宋体" w:hAnsi="宋体" w:eastAsia="宋体" w:cs="宋体"/>
          <w:sz w:val="22"/>
          <w:szCs w:val="21"/>
          <w:u w:val="single"/>
          <w:lang w:val="en-US" w:eastAsia="zh-CN"/>
        </w:rPr>
        <w:t xml:space="preserve">                      </w:t>
      </w:r>
    </w:p>
    <w:p>
      <w:pPr>
        <w:widowControl w:val="0"/>
        <w:spacing w:line="360" w:lineRule="auto"/>
        <w:ind w:firstLine="495" w:firstLineChars="225"/>
        <w:rPr>
          <w:rFonts w:hint="eastAsia" w:ascii="宋体" w:hAnsi="宋体" w:eastAsia="宋体" w:cs="宋体"/>
          <w:sz w:val="22"/>
          <w:szCs w:val="21"/>
        </w:rPr>
      </w:pPr>
      <w:r>
        <w:rPr>
          <w:rFonts w:hint="eastAsia" w:ascii="宋体" w:hAnsi="宋体" w:eastAsia="宋体" w:cs="宋体"/>
          <w:sz w:val="22"/>
          <w:szCs w:val="21"/>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一、本协议与主协议的关系</w:t>
      </w:r>
    </w:p>
    <w:p>
      <w:pPr>
        <w:adjustRightInd w:val="0"/>
        <w:snapToGrid w:val="0"/>
        <w:spacing w:line="360" w:lineRule="auto"/>
        <w:ind w:left="105" w:firstLine="440" w:firstLineChars="200"/>
        <w:rPr>
          <w:rFonts w:hint="eastAsia" w:ascii="宋体" w:hAnsi="宋体" w:eastAsia="宋体" w:cs="宋体"/>
          <w:sz w:val="22"/>
          <w:szCs w:val="21"/>
          <w:lang w:val="en-US" w:eastAsia="zh-CN"/>
        </w:rPr>
      </w:pPr>
      <w:r>
        <w:rPr>
          <w:rFonts w:hint="eastAsia" w:ascii="宋体" w:hAnsi="宋体" w:eastAsia="宋体" w:cs="宋体"/>
          <w:sz w:val="22"/>
          <w:szCs w:val="21"/>
        </w:rPr>
        <w:t>本协议作为</w:t>
      </w:r>
      <w:r>
        <w:rPr>
          <w:rFonts w:hint="eastAsia" w:ascii="宋体" w:hAnsi="宋体" w:eastAsia="宋体" w:cs="宋体"/>
          <w:color w:val="auto"/>
          <w:sz w:val="22"/>
          <w:szCs w:val="18"/>
        </w:rPr>
        <w:t>合同</w:t>
      </w:r>
      <w:r>
        <w:rPr>
          <w:rFonts w:hint="eastAsia" w:ascii="宋体" w:hAnsi="宋体" w:eastAsia="宋体" w:cs="宋体"/>
          <w:sz w:val="22"/>
          <w:szCs w:val="21"/>
          <w:u w:val="single"/>
        </w:rPr>
        <w:t>（穗净水合[     ]     号）</w:t>
      </w:r>
      <w:r>
        <w:rPr>
          <w:rFonts w:hint="eastAsia" w:ascii="宋体" w:hAnsi="宋体" w:eastAsia="宋体" w:cs="宋体"/>
          <w:sz w:val="22"/>
          <w:szCs w:val="21"/>
        </w:rPr>
        <w:t>的组成部分，与主合同具有同等法律</w:t>
      </w:r>
      <w:r>
        <w:rPr>
          <w:rFonts w:hint="eastAsia" w:ascii="宋体" w:hAnsi="宋体" w:eastAsia="宋体" w:cs="宋体"/>
          <w:sz w:val="22"/>
          <w:szCs w:val="21"/>
          <w:lang w:val="en-US" w:eastAsia="zh-CN"/>
        </w:rPr>
        <w:t>效力。</w:t>
      </w:r>
    </w:p>
    <w:p>
      <w:pPr>
        <w:widowControl w:val="0"/>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二、甲方的义务</w:t>
      </w:r>
    </w:p>
    <w:p>
      <w:pPr>
        <w:widowControl w:val="0"/>
        <w:adjustRightInd w:val="0"/>
        <w:snapToGrid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（一）</w:t>
      </w:r>
      <w:r>
        <w:rPr>
          <w:rFonts w:hint="eastAsia" w:ascii="宋体" w:hAnsi="宋体" w:eastAsia="宋体" w:cs="宋体"/>
          <w:sz w:val="22"/>
          <w:szCs w:val="21"/>
        </w:rPr>
        <w:t>与建设主管部门和属地疫情防控指挥部门形成联防联控机制，建立快速有效的处置工作流程。</w:t>
      </w:r>
    </w:p>
    <w:p>
      <w:pPr>
        <w:pStyle w:val="7"/>
        <w:widowControl w:val="0"/>
        <w:spacing w:line="360" w:lineRule="auto"/>
        <w:ind w:firstLine="480" w:firstLineChars="0"/>
        <w:rPr>
          <w:rFonts w:hint="eastAsia" w:ascii="宋体" w:hAnsi="宋体" w:eastAsia="宋体" w:cs="宋体"/>
          <w:kern w:val="2"/>
          <w:sz w:val="22"/>
          <w:szCs w:val="22"/>
        </w:rPr>
      </w:pPr>
      <w:r>
        <w:rPr>
          <w:rFonts w:hint="eastAsia" w:ascii="宋体" w:hAnsi="宋体" w:eastAsia="宋体" w:cs="宋体"/>
          <w:kern w:val="2"/>
          <w:sz w:val="22"/>
          <w:szCs w:val="22"/>
        </w:rPr>
        <w:t>（二）对乙方防控工作的落实情况进行监督。</w:t>
      </w:r>
    </w:p>
    <w:p>
      <w:pPr>
        <w:widowControl w:val="0"/>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三、乙方的义务</w:t>
      </w:r>
    </w:p>
    <w:p>
      <w:pPr>
        <w:pStyle w:val="7"/>
        <w:widowControl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（一）开展疫情防控宣传教育，提高</w:t>
      </w:r>
      <w:r>
        <w:rPr>
          <w:rFonts w:hint="eastAsia" w:ascii="宋体" w:hAnsi="宋体" w:eastAsia="宋体" w:cs="宋体"/>
          <w:sz w:val="22"/>
          <w:szCs w:val="18"/>
        </w:rPr>
        <w:t>乙方</w:t>
      </w:r>
      <w:r>
        <w:rPr>
          <w:rFonts w:hint="eastAsia" w:ascii="宋体" w:hAnsi="宋体" w:eastAsia="宋体" w:cs="宋体"/>
          <w:kern w:val="2"/>
          <w:sz w:val="22"/>
          <w:szCs w:val="22"/>
        </w:rPr>
        <w:t>人员自我防护意识，最大限度减少人员暴露和感染的风险。</w:t>
      </w:r>
    </w:p>
    <w:p>
      <w:pPr>
        <w:pStyle w:val="7"/>
        <w:widowControl w:val="0"/>
        <w:spacing w:line="360" w:lineRule="auto"/>
        <w:ind w:firstLine="480"/>
        <w:rPr>
          <w:rFonts w:hint="eastAsia" w:ascii="宋体" w:hAnsi="宋体" w:eastAsia="宋体" w:cs="宋体"/>
          <w:sz w:val="22"/>
          <w:szCs w:val="18"/>
        </w:rPr>
      </w:pPr>
      <w:r>
        <w:rPr>
          <w:rFonts w:hint="eastAsia" w:ascii="宋体" w:hAnsi="宋体" w:eastAsia="宋体" w:cs="宋体"/>
          <w:kern w:val="2"/>
          <w:sz w:val="22"/>
          <w:szCs w:val="22"/>
        </w:rPr>
        <w:t>（二）</w:t>
      </w:r>
      <w:r>
        <w:rPr>
          <w:rFonts w:hint="eastAsia" w:ascii="宋体" w:hAnsi="宋体" w:eastAsia="宋体" w:cs="宋体"/>
          <w:sz w:val="22"/>
          <w:szCs w:val="18"/>
        </w:rPr>
        <w:t>做好乙方人员防控工作管理，及时提交防疫资料，落实疫情防控备案，必要时需</w:t>
      </w:r>
      <w:r>
        <w:rPr>
          <w:rFonts w:hint="eastAsia" w:ascii="宋体" w:hAnsi="宋体" w:eastAsia="宋体" w:cs="宋体"/>
          <w:kern w:val="2"/>
          <w:sz w:val="22"/>
          <w:szCs w:val="22"/>
        </w:rPr>
        <w:t>编制防控管理工作方案。</w:t>
      </w:r>
    </w:p>
    <w:p>
      <w:pPr>
        <w:widowControl w:val="0"/>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 xml:space="preserve">    （三）乙方人员须按照</w:t>
      </w:r>
      <w:r>
        <w:rPr>
          <w:rFonts w:hint="eastAsia" w:ascii="宋体" w:hAnsi="宋体" w:eastAsia="宋体" w:cs="宋体"/>
          <w:kern w:val="2"/>
          <w:sz w:val="22"/>
          <w:szCs w:val="22"/>
        </w:rPr>
        <w:t>甲方各厂区进厂门岗防控要求</w:t>
      </w:r>
      <w:r>
        <w:rPr>
          <w:rFonts w:hint="eastAsia" w:ascii="宋体" w:hAnsi="宋体" w:eastAsia="宋体" w:cs="宋体"/>
          <w:sz w:val="22"/>
          <w:szCs w:val="21"/>
        </w:rPr>
        <w:t>进行疫苗接种及核酸检测，未满足相关要求的人员甲方有权限制进入厂区。</w:t>
      </w:r>
    </w:p>
    <w:p>
      <w:pPr>
        <w:pStyle w:val="7"/>
        <w:widowControl w:val="0"/>
        <w:spacing w:line="360" w:lineRule="auto"/>
        <w:ind w:firstLine="480"/>
        <w:rPr>
          <w:rFonts w:hint="eastAsia" w:ascii="宋体" w:hAnsi="宋体" w:eastAsia="宋体" w:cs="宋体"/>
          <w:kern w:val="2"/>
          <w:sz w:val="22"/>
          <w:szCs w:val="22"/>
        </w:rPr>
      </w:pPr>
      <w:r>
        <w:rPr>
          <w:rFonts w:hint="eastAsia" w:ascii="宋体" w:hAnsi="宋体" w:eastAsia="宋体" w:cs="宋体"/>
          <w:kern w:val="2"/>
          <w:sz w:val="22"/>
          <w:szCs w:val="22"/>
        </w:rPr>
        <w:t>（四）建立畅通的信息传输渠道和严格的信息上报机制，出现问题及时采取应急响应措施，迅速妥善处置项目施工场所普通发热病例、可疑病例和突发新冠肺炎疫情，并第一时间报送甲方。</w:t>
      </w:r>
    </w:p>
    <w:p>
      <w:pPr>
        <w:widowControl w:val="0"/>
        <w:adjustRightInd w:val="0"/>
        <w:snapToGrid w:val="0"/>
        <w:spacing w:line="360" w:lineRule="auto"/>
        <w:ind w:firstLine="440" w:firstLineChars="200"/>
        <w:rPr>
          <w:rFonts w:hint="eastAsia" w:ascii="宋体" w:hAnsi="宋体" w:eastAsia="宋体" w:cs="宋体"/>
          <w:sz w:val="20"/>
          <w:szCs w:val="21"/>
        </w:rPr>
      </w:pPr>
      <w:r>
        <w:rPr>
          <w:rFonts w:hint="eastAsia" w:ascii="宋体" w:hAnsi="宋体" w:eastAsia="宋体" w:cs="宋体"/>
          <w:kern w:val="2"/>
          <w:sz w:val="22"/>
          <w:szCs w:val="22"/>
        </w:rPr>
        <w:t>（五）各级政府、有关部门及甲方的其他</w:t>
      </w:r>
      <w:r>
        <w:rPr>
          <w:rFonts w:hint="eastAsia" w:ascii="宋体" w:hAnsi="宋体" w:eastAsia="宋体" w:cs="宋体"/>
          <w:sz w:val="22"/>
          <w:szCs w:val="21"/>
        </w:rPr>
        <w:t>防控要求</w:t>
      </w:r>
      <w:r>
        <w:rPr>
          <w:rFonts w:hint="eastAsia" w:ascii="宋体" w:hAnsi="宋体" w:eastAsia="宋体" w:cs="宋体"/>
          <w:kern w:val="2"/>
          <w:sz w:val="22"/>
          <w:szCs w:val="22"/>
        </w:rPr>
        <w:t>。</w:t>
      </w:r>
    </w:p>
    <w:p>
      <w:pPr>
        <w:adjustRightInd w:val="0"/>
        <w:snapToGrid w:val="0"/>
        <w:spacing w:line="360" w:lineRule="auto"/>
        <w:rPr>
          <w:rFonts w:hint="eastAsia" w:ascii="宋体" w:hAnsi="宋体" w:eastAsia="宋体" w:cs="宋体"/>
          <w:kern w:val="2"/>
          <w:sz w:val="22"/>
          <w:szCs w:val="22"/>
        </w:rPr>
      </w:pPr>
      <w:r>
        <w:rPr>
          <w:rFonts w:hint="eastAsia" w:ascii="宋体" w:hAnsi="宋体" w:eastAsia="宋体" w:cs="宋体"/>
          <w:kern w:val="2"/>
          <w:sz w:val="22"/>
          <w:szCs w:val="22"/>
        </w:rPr>
        <w:t>四、违约责任</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乙方需按照甲方服务要求执行，未达到疫情防控要求的，需按下列条款执行：</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（一）乙方人员及其密接亲属有重点区域、重点场所旅居史未报备的，每发现一人，从乙方当月服务费中扣500元；</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（二）乙方人员未按照甲方要求进行核酸检测的或有瞒报、虚报的，每发现一人，从乙方当月服务费中扣50元；</w:t>
      </w:r>
    </w:p>
    <w:p>
      <w:pPr>
        <w:adjustRightInd w:val="0"/>
        <w:snapToGrid w:val="0"/>
        <w:spacing w:line="360" w:lineRule="auto"/>
        <w:ind w:left="105" w:firstLine="440" w:firstLineChars="200"/>
        <w:rPr>
          <w:rFonts w:hint="eastAsia" w:ascii="宋体" w:hAnsi="宋体" w:eastAsia="宋体" w:cs="宋体"/>
          <w:sz w:val="22"/>
          <w:szCs w:val="21"/>
        </w:rPr>
      </w:pPr>
      <w:r>
        <w:rPr>
          <w:rFonts w:hint="eastAsia" w:ascii="宋体" w:hAnsi="宋体" w:eastAsia="宋体" w:cs="宋体"/>
          <w:sz w:val="22"/>
          <w:szCs w:val="21"/>
        </w:rPr>
        <w:t>（三）乙方项目维修施工人员拒不配合甲方疫情防控要求或不满足甲方防疫工作要求的，甲方有权要求乙方3天内更换服务人员。</w:t>
      </w:r>
    </w:p>
    <w:p>
      <w:pPr>
        <w:pStyle w:val="37"/>
        <w:spacing w:line="360" w:lineRule="auto"/>
        <w:rPr>
          <w:rFonts w:hint="eastAsia" w:ascii="宋体" w:hAnsi="宋体" w:eastAsia="宋体" w:cs="宋体"/>
          <w:sz w:val="22"/>
          <w:szCs w:val="21"/>
        </w:rPr>
      </w:pPr>
      <w:r>
        <w:rPr>
          <w:rFonts w:hint="eastAsia" w:ascii="宋体" w:hAnsi="宋体" w:eastAsia="宋体" w:cs="宋体"/>
          <w:sz w:val="22"/>
          <w:szCs w:val="21"/>
        </w:rPr>
        <w:t>五、补充条款：</w:t>
      </w:r>
      <w:r>
        <w:rPr>
          <w:rFonts w:hint="eastAsia" w:ascii="宋体" w:hAnsi="宋体" w:eastAsia="宋体" w:cs="宋体"/>
          <w:sz w:val="22"/>
          <w:szCs w:val="21"/>
          <w:u w:val="single"/>
        </w:rPr>
        <w:t xml:space="preserve">         /       </w:t>
      </w:r>
      <w:r>
        <w:rPr>
          <w:rFonts w:hint="eastAsia" w:ascii="宋体" w:hAnsi="宋体" w:eastAsia="宋体" w:cs="宋体"/>
          <w:sz w:val="22"/>
          <w:szCs w:val="21"/>
        </w:rPr>
        <w:t>。</w:t>
      </w:r>
    </w:p>
    <w:p>
      <w:pPr>
        <w:adjustRightInd w:val="0"/>
        <w:snapToGrid w:val="0"/>
        <w:spacing w:line="360" w:lineRule="auto"/>
        <w:rPr>
          <w:rFonts w:hint="eastAsia" w:ascii="宋体" w:hAnsi="宋体" w:eastAsia="宋体" w:cs="宋体"/>
          <w:sz w:val="22"/>
          <w:szCs w:val="21"/>
        </w:rPr>
      </w:pPr>
      <w:r>
        <w:rPr>
          <w:rFonts w:hint="eastAsia" w:ascii="宋体" w:hAnsi="宋体" w:eastAsia="宋体" w:cs="宋体"/>
          <w:sz w:val="22"/>
          <w:szCs w:val="21"/>
        </w:rPr>
        <w:t>六、附则</w:t>
      </w:r>
    </w:p>
    <w:p>
      <w:pPr>
        <w:adjustRightInd w:val="0"/>
        <w:snapToGrid w:val="0"/>
        <w:spacing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本协议与合同同时签订、同时终止、同时生效，具有相同的法律效力。合同由甲乙双方签字、盖章生效，甲乙双方各</w:t>
      </w:r>
      <w:r>
        <w:rPr>
          <w:rFonts w:hint="eastAsia" w:ascii="宋体" w:hAnsi="宋体" w:eastAsia="宋体" w:cs="宋体"/>
          <w:sz w:val="22"/>
          <w:szCs w:val="21"/>
          <w:u w:val="single"/>
          <w:lang w:eastAsia="zh-CN"/>
        </w:rPr>
        <w:t>…</w:t>
      </w:r>
      <w:r>
        <w:rPr>
          <w:rFonts w:hint="eastAsia" w:ascii="宋体" w:hAnsi="宋体" w:eastAsia="宋体" w:cs="宋体"/>
          <w:sz w:val="22"/>
          <w:szCs w:val="21"/>
        </w:rPr>
        <w:t>份。</w:t>
      </w:r>
    </w:p>
    <w:p>
      <w:pPr>
        <w:adjustRightInd w:val="0"/>
        <w:snapToGrid w:val="0"/>
        <w:spacing w:line="440" w:lineRule="exact"/>
        <w:rPr>
          <w:rFonts w:hint="eastAsia" w:ascii="宋体" w:hAnsi="宋体" w:eastAsia="宋体" w:cs="宋体"/>
          <w:sz w:val="22"/>
          <w:szCs w:val="21"/>
        </w:rPr>
      </w:pPr>
    </w:p>
    <w:p>
      <w:pPr>
        <w:adjustRightInd w:val="0"/>
        <w:snapToGrid w:val="0"/>
        <w:spacing w:line="440" w:lineRule="exact"/>
        <w:ind w:left="1220" w:leftChars="5" w:hanging="1210" w:hangingChars="550"/>
        <w:rPr>
          <w:rFonts w:hint="eastAsia" w:ascii="宋体" w:hAnsi="宋体" w:eastAsia="宋体" w:cs="宋体"/>
          <w:sz w:val="22"/>
          <w:szCs w:val="21"/>
        </w:rPr>
      </w:pPr>
      <w:r>
        <w:rPr>
          <w:rFonts w:hint="eastAsia" w:ascii="宋体" w:hAnsi="宋体" w:eastAsia="宋体" w:cs="宋体"/>
          <w:sz w:val="22"/>
          <w:szCs w:val="21"/>
        </w:rPr>
        <w:t xml:space="preserve">   甲方代表 （章）：                             乙方代表（章）：                                                           　　              　　　　　　　</w:t>
      </w:r>
    </w:p>
    <w:p>
      <w:pPr>
        <w:adjustRightInd w:val="0"/>
        <w:snapToGrid w:val="0"/>
        <w:spacing w:line="440" w:lineRule="exact"/>
        <w:rPr>
          <w:rFonts w:hint="eastAsia" w:ascii="宋体" w:hAnsi="宋体" w:eastAsia="宋体" w:cs="宋体"/>
          <w:sz w:val="22"/>
          <w:szCs w:val="21"/>
        </w:rPr>
      </w:pPr>
      <w:r>
        <w:rPr>
          <w:rFonts w:hint="eastAsia" w:ascii="宋体" w:hAnsi="宋体" w:eastAsia="宋体" w:cs="宋体"/>
          <w:sz w:val="22"/>
          <w:szCs w:val="21"/>
        </w:rPr>
        <w:t xml:space="preserve">      年 　月　  日　　　　　                 年   月  　日</w:t>
      </w:r>
    </w:p>
    <w:p/>
    <w:p>
      <w:pPr>
        <w:pStyle w:val="2"/>
      </w:pPr>
    </w:p>
    <w:p>
      <w:pPr>
        <w:pStyle w:val="23"/>
      </w:pPr>
    </w:p>
    <w:p>
      <w:pPr>
        <w:pStyle w:val="7"/>
      </w:pPr>
    </w:p>
    <w:p>
      <w:pPr>
        <w:rPr>
          <w:rFonts w:ascii="宋体" w:hAnsi="宋体" w:cs="宋体"/>
          <w:color w:val="000000" w:themeColor="text1"/>
          <w:szCs w:val="21"/>
          <w:highlight w:val="none"/>
          <w14:textFill>
            <w14:solidFill>
              <w14:schemeClr w14:val="tx1"/>
            </w14:solidFill>
          </w14:textFill>
        </w:rPr>
      </w:pPr>
    </w:p>
    <w:p>
      <w:pPr>
        <w:rPr>
          <w:rFonts w:ascii="仿宋_GB2312" w:eastAsia="仿宋_GB2312"/>
          <w:sz w:val="28"/>
          <w:szCs w:val="28"/>
          <w:highlight w:val="none"/>
        </w:rPr>
      </w:pPr>
      <w:r>
        <w:rPr>
          <w:rFonts w:ascii="仿宋_GB2312" w:eastAsia="仿宋_GB2312"/>
          <w:sz w:val="28"/>
          <w:szCs w:val="28"/>
          <w:highlight w:val="none"/>
        </w:rPr>
        <w:br w:type="page"/>
      </w:r>
    </w:p>
    <w:p>
      <w:pPr>
        <w:pStyle w:val="2"/>
        <w:rPr>
          <w:rFonts w:ascii="仿宋_GB2312" w:eastAsia="仿宋_GB2312"/>
          <w:sz w:val="28"/>
          <w:szCs w:val="28"/>
          <w:highlight w:val="none"/>
        </w:rPr>
      </w:pPr>
    </w:p>
    <w:p>
      <w:pPr>
        <w:pStyle w:val="4"/>
        <w:rPr>
          <w:highlight w:val="none"/>
        </w:rPr>
      </w:pPr>
      <w:bookmarkStart w:id="127" w:name="_Toc8147"/>
      <w:bookmarkStart w:id="128" w:name="_Toc23515"/>
      <w:bookmarkStart w:id="129" w:name="_Toc16552"/>
      <w:bookmarkStart w:id="130" w:name="_Toc12169"/>
      <w:bookmarkStart w:id="131" w:name="_Toc5129"/>
      <w:bookmarkStart w:id="132" w:name="_Toc30824"/>
      <w:bookmarkStart w:id="133" w:name="_Toc21847"/>
      <w:bookmarkStart w:id="134" w:name="_Toc1563"/>
      <w:bookmarkStart w:id="135" w:name="_Toc28358"/>
      <w:bookmarkStart w:id="136" w:name="_Toc3723"/>
      <w:bookmarkStart w:id="137" w:name="_Toc6230"/>
      <w:r>
        <w:rPr>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highlight w:val="none"/>
        </w:rPr>
        <w:t>第七章</w:t>
      </w:r>
      <w:bookmarkEnd w:id="127"/>
      <w:bookmarkEnd w:id="128"/>
      <w:bookmarkEnd w:id="129"/>
      <w:bookmarkEnd w:id="130"/>
      <w:bookmarkEnd w:id="131"/>
      <w:bookmarkEnd w:id="132"/>
      <w:bookmarkEnd w:id="133"/>
      <w:bookmarkEnd w:id="134"/>
      <w:bookmarkEnd w:id="135"/>
      <w:bookmarkEnd w:id="136"/>
      <w:bookmarkEnd w:id="137"/>
    </w:p>
    <w:p>
      <w:pPr>
        <w:pStyle w:val="37"/>
        <w:rPr>
          <w:highlight w:val="none"/>
        </w:rPr>
      </w:pPr>
    </w:p>
    <w:p>
      <w:pPr>
        <w:pStyle w:val="4"/>
        <w:rPr>
          <w:highlight w:val="none"/>
        </w:rPr>
      </w:pPr>
      <w:bookmarkStart w:id="138" w:name="_Toc10840"/>
      <w:bookmarkStart w:id="139" w:name="_Toc12610"/>
      <w:bookmarkStart w:id="140" w:name="_Toc21675"/>
      <w:bookmarkStart w:id="141" w:name="_Toc12769"/>
      <w:bookmarkStart w:id="142" w:name="_Toc88209951"/>
      <w:bookmarkStart w:id="143" w:name="_Toc87616388"/>
      <w:bookmarkStart w:id="144" w:name="_Toc17119"/>
      <w:bookmarkStart w:id="145" w:name="_Toc5342"/>
      <w:bookmarkStart w:id="146" w:name="_Toc22764"/>
      <w:bookmarkStart w:id="147" w:name="_Toc31564"/>
      <w:bookmarkStart w:id="148" w:name="_Toc30157"/>
      <w:bookmarkStart w:id="149" w:name="_Toc24490"/>
      <w:bookmarkStart w:id="150" w:name="_Toc24815"/>
      <w:r>
        <w:rPr>
          <w:rFonts w:hint="eastAsia"/>
          <w:highlight w:val="none"/>
        </w:rPr>
        <w:t>响应文件</w:t>
      </w:r>
      <w:r>
        <w:rPr>
          <w:rFonts w:hint="eastAsia"/>
          <w:highlight w:val="none"/>
          <w:lang w:val="en-US" w:eastAsia="zh-CN"/>
        </w:rPr>
        <w:t>格式要求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both"/>
        <w:rPr>
          <w:rFonts w:ascii="方正小标宋简体" w:eastAsia="方正小标宋简体"/>
          <w:sz w:val="30"/>
          <w:szCs w:val="30"/>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51" w:name="_Toc87616389"/>
      <w:bookmarkStart w:id="152" w:name="_Toc88209952"/>
      <w:r>
        <w:rPr>
          <w:rFonts w:hint="eastAsia" w:ascii="仿宋_GB2312" w:eastAsia="仿宋_GB2312"/>
          <w:sz w:val="28"/>
          <w:szCs w:val="28"/>
          <w:highlight w:val="none"/>
        </w:rPr>
        <w:t>1.响应函</w:t>
      </w:r>
      <w:bookmarkEnd w:id="151"/>
      <w:bookmarkEnd w:id="152"/>
    </w:p>
    <w:p>
      <w:pPr>
        <w:spacing w:line="600" w:lineRule="exact"/>
        <w:rPr>
          <w:rFonts w:hint="eastAsia" w:ascii="仿宋_GB2312" w:eastAsia="仿宋_GB2312"/>
          <w:sz w:val="28"/>
          <w:szCs w:val="28"/>
          <w:highlight w:val="none"/>
        </w:rPr>
      </w:pPr>
      <w:bookmarkStart w:id="153" w:name="_Toc87616390"/>
      <w:bookmarkStart w:id="154" w:name="_Toc88209953"/>
      <w:r>
        <w:rPr>
          <w:rFonts w:hint="eastAsia" w:ascii="仿宋_GB2312" w:eastAsia="仿宋_GB2312"/>
          <w:sz w:val="28"/>
          <w:szCs w:val="28"/>
          <w:highlight w:val="none"/>
        </w:rPr>
        <w:t>2.法定代表人证明或授权委托书</w:t>
      </w:r>
      <w:bookmarkEnd w:id="153"/>
      <w:bookmarkEnd w:id="154"/>
      <w:bookmarkStart w:id="155" w:name="_Toc87616393"/>
      <w:bookmarkStart w:id="156"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55"/>
      <w:bookmarkEnd w:id="156"/>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sz w:val="44"/>
          <w:szCs w:val="44"/>
          <w:highlight w:val="none"/>
        </w:rPr>
      </w:pPr>
    </w:p>
    <w:p>
      <w:pPr>
        <w:pStyle w:val="6"/>
        <w:rPr>
          <w:rFonts w:hint="eastAsia" w:asciiTheme="minorEastAsia" w:hAnsiTheme="minorEastAsia" w:eastAsiaTheme="minorEastAsia"/>
          <w:sz w:val="24"/>
          <w:szCs w:val="24"/>
          <w:highlight w:val="none"/>
        </w:rPr>
      </w:pPr>
      <w:bookmarkStart w:id="157" w:name="_Toc88209957"/>
      <w:bookmarkStart w:id="158" w:name="_Toc87616394"/>
      <w:bookmarkStart w:id="159" w:name="_Toc6313"/>
      <w:bookmarkStart w:id="160" w:name="_Toc12665"/>
      <w:bookmarkStart w:id="161" w:name="_Toc28619645"/>
    </w:p>
    <w:p>
      <w:pPr>
        <w:rPr>
          <w:rFonts w:hint="default" w:asciiTheme="minorHAnsi" w:hAnsiTheme="minorHAnsi" w:eastAsiaTheme="minorEastAsia"/>
          <w:sz w:val="21"/>
          <w:szCs w:val="22"/>
          <w:highlight w:val="none"/>
        </w:rPr>
      </w:pPr>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1.响应函</w:t>
      </w:r>
      <w:bookmarkEnd w:id="157"/>
      <w:bookmarkEnd w:id="158"/>
      <w:bookmarkEnd w:id="159"/>
      <w:bookmarkEnd w:id="160"/>
      <w:bookmarkEnd w:id="16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采购文件的全部内容，愿意以含税价人民币（大写）</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w:t>
      </w:r>
      <w:r>
        <w:rPr>
          <w:rFonts w:hint="eastAsia" w:ascii="宋体" w:hAnsi="宋体" w:eastAsia="仿宋_GB2312"/>
          <w:sz w:val="28"/>
          <w:szCs w:val="28"/>
          <w:highlight w:val="none"/>
        </w:rPr>
        <w:t>¥</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u w:val="single"/>
        </w:rPr>
        <w:tab/>
      </w:r>
      <w:r>
        <w:rPr>
          <w:rFonts w:hint="eastAsia" w:ascii="仿宋_GB2312" w:hAnsi="黑体" w:eastAsia="仿宋_GB2312"/>
          <w:sz w:val="28"/>
          <w:szCs w:val="28"/>
          <w:highlight w:val="none"/>
        </w:rPr>
        <w:t>）的报价（其中，不含税价为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；增值税为</w:t>
      </w:r>
      <w:r>
        <w:rPr>
          <w:rFonts w:hint="eastAsia" w:ascii="仿宋_GB2312" w:hAnsi="黑体" w:eastAsia="仿宋_GB2312"/>
          <w:sz w:val="28"/>
          <w:szCs w:val="28"/>
          <w:highlight w:val="none"/>
          <w:u w:val="single"/>
        </w:rPr>
        <w:t xml:space="preserve">       </w:t>
      </w:r>
      <w:r>
        <w:rPr>
          <w:rFonts w:hint="eastAsia" w:ascii="仿宋_GB2312" w:hAnsi="黑体" w:eastAsia="仿宋_GB2312"/>
          <w:sz w:val="28"/>
          <w:szCs w:val="28"/>
          <w:highlight w:val="none"/>
        </w:rPr>
        <w:t>）完成/提供本项目</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 xml:space="preserve">工程 </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货物</w:t>
      </w:r>
      <w:r>
        <w:rPr>
          <w:rFonts w:hint="eastAsia" w:ascii="仿宋_GB2312" w:eastAsia="仿宋_GB2312" w:hAnsiTheme="minorEastAsia"/>
          <w:sz w:val="28"/>
          <w:szCs w:val="28"/>
          <w:highlight w:val="none"/>
        </w:rPr>
        <w:t>□</w:t>
      </w:r>
      <w:r>
        <w:rPr>
          <w:rFonts w:hint="eastAsia" w:ascii="仿宋_GB2312" w:hAnsi="黑体" w:eastAsia="仿宋_GB2312"/>
          <w:sz w:val="28"/>
          <w:szCs w:val="28"/>
          <w:highlight w:val="none"/>
        </w:rPr>
        <w:t>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highlight w:val="none"/>
        </w:rPr>
      </w:pPr>
      <w:bookmarkStart w:id="162" w:name="_Toc22527"/>
      <w:bookmarkStart w:id="163" w:name="_Toc29833"/>
      <w:bookmarkStart w:id="164" w:name="_Toc87616395"/>
      <w:bookmarkStart w:id="165" w:name="_Toc88209958"/>
    </w:p>
    <w:p>
      <w:pPr>
        <w:pStyle w:val="6"/>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62"/>
      <w:bookmarkEnd w:id="163"/>
      <w:bookmarkEnd w:id="164"/>
      <w:bookmarkEnd w:id="165"/>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highlight w:val="none"/>
        </w:rPr>
      </w:pPr>
    </w:p>
    <w:p>
      <w:pPr>
        <w:pStyle w:val="14"/>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2"/>
        <w:rPr>
          <w:rFonts w:hint="eastAsia" w:ascii="仿宋_GB2312" w:hAnsi="宋体" w:eastAsia="仿宋_GB2312"/>
          <w:color w:val="000000"/>
          <w:sz w:val="30"/>
          <w:szCs w:val="30"/>
          <w:highlight w:val="none"/>
        </w:rPr>
      </w:pPr>
    </w:p>
    <w:p>
      <w:pPr>
        <w:pStyle w:val="7"/>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highlight w:val="none"/>
        </w:rPr>
      </w:pPr>
    </w:p>
    <w:p>
      <w:pPr>
        <w:pStyle w:val="7"/>
        <w:spacing w:after="0" w:line="600" w:lineRule="exact"/>
        <w:rPr>
          <w:rFonts w:ascii="仿宋_GB2312" w:eastAsia="仿宋_GB2312"/>
          <w:highlight w:val="none"/>
        </w:rPr>
      </w:pPr>
    </w:p>
    <w:p>
      <w:pPr>
        <w:pStyle w:val="7"/>
        <w:spacing w:after="0" w:line="600" w:lineRule="exact"/>
        <w:ind w:firstLine="0"/>
        <w:rPr>
          <w:rFonts w:ascii="仿宋_GB2312" w:eastAsia="仿宋_GB2312"/>
          <w:highlight w:val="none"/>
        </w:rPr>
      </w:pPr>
    </w:p>
    <w:p>
      <w:pPr>
        <w:pStyle w:val="7"/>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66" w:name="_Toc8086"/>
      <w:bookmarkStart w:id="167" w:name="_Toc19830"/>
      <w:bookmarkStart w:id="168" w:name="_Toc87616400"/>
      <w:bookmarkStart w:id="169" w:name="_Toc88209963"/>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66"/>
      <w:bookmarkEnd w:id="167"/>
      <w:bookmarkEnd w:id="168"/>
      <w:bookmarkEnd w:id="169"/>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u w:val="single"/>
          <w:lang w:val="en-GB" w:eastAsia="zh-CN"/>
        </w:rPr>
        <w:t>广州市净水有限公司</w:t>
      </w:r>
      <w:r>
        <w:rPr>
          <w:rFonts w:hint="eastAsia" w:ascii="宋体" w:hAnsi="宋体" w:cs="宋体"/>
          <w:color w:val="auto"/>
          <w:kern w:val="2"/>
          <w:sz w:val="24"/>
          <w:szCs w:val="24"/>
          <w:highlight w:val="none"/>
          <w:u w:val="single"/>
          <w:lang w:val="en-US" w:eastAsia="zh-CN"/>
        </w:rPr>
        <w:t>2022年度员工</w:t>
      </w:r>
      <w:r>
        <w:rPr>
          <w:rFonts w:hint="eastAsia" w:ascii="宋体" w:hAnsi="宋体" w:cs="宋体"/>
          <w:color w:val="auto"/>
          <w:kern w:val="2"/>
          <w:sz w:val="24"/>
          <w:szCs w:val="24"/>
          <w:highlight w:val="none"/>
          <w:u w:val="single"/>
          <w:lang w:val="en-GB" w:eastAsia="zh-CN"/>
        </w:rPr>
        <w:t>食堂约餐系统项目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sz w:val="28"/>
          <w:szCs w:val="28"/>
          <w:highlight w:val="none"/>
          <w:lang w:val="en-US" w:eastAsia="zh-CN"/>
        </w:rPr>
      </w:pPr>
      <w:bookmarkStart w:id="171" w:name="_Toc19423"/>
      <w:bookmarkStart w:id="172" w:name="_Toc32430"/>
    </w:p>
    <w:p>
      <w:pPr>
        <w:pStyle w:val="6"/>
        <w:rPr>
          <w:rFonts w:hint="eastAsia" w:asciiTheme="minorEastAsia" w:hAnsiTheme="minorEastAsia" w:eastAsiaTheme="minorEastAsia"/>
          <w:sz w:val="28"/>
          <w:szCs w:val="28"/>
          <w:highlight w:val="none"/>
          <w:lang w:eastAsia="zh-CN"/>
        </w:rPr>
      </w:pPr>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71"/>
      <w:bookmarkEnd w:id="172"/>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如有</w:t>
      </w:r>
      <w:r>
        <w:rPr>
          <w:rFonts w:hint="eastAsia" w:asciiTheme="minorEastAsia" w:hAnsiTheme="minorEastAsia" w:eastAsiaTheme="minorEastAsia"/>
          <w:sz w:val="28"/>
          <w:szCs w:val="28"/>
          <w:highlight w:val="none"/>
          <w:lang w:eastAsia="zh-CN"/>
        </w:rPr>
        <w:t>）</w:t>
      </w:r>
    </w:p>
    <w:p>
      <w:pPr>
        <w:adjustRightInd w:val="0"/>
        <w:snapToGrid w:val="0"/>
        <w:rPr>
          <w:rFonts w:ascii="仿宋_GB2312" w:eastAsia="仿宋_GB2312" w:hAnsiTheme="minorEastAsia"/>
          <w:sz w:val="28"/>
          <w:szCs w:val="28"/>
          <w:highlight w:val="none"/>
        </w:rPr>
      </w:pPr>
    </w:p>
    <w:p>
      <w:pPr>
        <w:pStyle w:val="6"/>
        <w:rPr>
          <w:rFonts w:asciiTheme="majorEastAsia" w:hAnsiTheme="majorEastAsia" w:eastAsiaTheme="majorEastAsia"/>
          <w:color w:val="7030A0"/>
          <w:sz w:val="28"/>
          <w:szCs w:val="28"/>
          <w:highlight w:val="none"/>
        </w:rPr>
      </w:pPr>
      <w:bookmarkStart w:id="173" w:name="_Toc88209965"/>
      <w:bookmarkStart w:id="174" w:name="_Toc87616402"/>
      <w:bookmarkStart w:id="175" w:name="_Toc16386"/>
      <w:bookmarkStart w:id="176" w:name="_Toc6058"/>
      <w:r>
        <w:rPr>
          <w:rFonts w:hint="eastAsia" w:eastAsiaTheme="majorEastAsia"/>
          <w:color w:val="7030A0"/>
          <w:highlight w:val="none"/>
          <w:lang w:val="en-US" w:eastAsia="zh-CN"/>
        </w:rPr>
        <w:t>6</w:t>
      </w:r>
      <w:r>
        <w:rPr>
          <w:rFonts w:hint="eastAsia" w:asciiTheme="majorEastAsia" w:hAnsiTheme="majorEastAsia" w:eastAsiaTheme="majorEastAsia"/>
          <w:color w:val="7030A0"/>
          <w:sz w:val="28"/>
          <w:szCs w:val="28"/>
          <w:highlight w:val="none"/>
        </w:rPr>
        <w:t>.其他资料</w:t>
      </w:r>
      <w:bookmarkEnd w:id="173"/>
      <w:bookmarkEnd w:id="174"/>
      <w:bookmarkEnd w:id="175"/>
      <w:bookmarkEnd w:id="176"/>
    </w:p>
    <w:p>
      <w:pPr>
        <w:jc w:val="both"/>
        <w:rPr>
          <w:rFonts w:hint="eastAsia" w:ascii="Times New Roman" w:hAnsi="Times New Roman" w:eastAsia="仿宋"/>
          <w:b/>
          <w:color w:val="7030A0"/>
          <w:sz w:val="28"/>
          <w:szCs w:val="28"/>
        </w:rPr>
      </w:pPr>
      <w:r>
        <w:rPr>
          <w:rFonts w:hint="eastAsia" w:ascii="Times New Roman" w:hAnsi="Times New Roman" w:eastAsia="仿宋"/>
          <w:b/>
          <w:color w:val="7030A0"/>
          <w:sz w:val="28"/>
          <w:szCs w:val="28"/>
          <w:lang w:val="en-US" w:eastAsia="zh-CN"/>
        </w:rPr>
        <w:t>6.1实施</w:t>
      </w:r>
      <w:r>
        <w:rPr>
          <w:rFonts w:hint="eastAsia" w:ascii="Times New Roman" w:hAnsi="Times New Roman" w:eastAsia="仿宋"/>
          <w:b/>
          <w:color w:val="7030A0"/>
          <w:sz w:val="28"/>
          <w:szCs w:val="28"/>
        </w:rPr>
        <w:t>清单</w:t>
      </w:r>
    </w:p>
    <w:tbl>
      <w:tblPr>
        <w:tblStyle w:val="24"/>
        <w:tblW w:w="9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937"/>
        <w:gridCol w:w="2734"/>
        <w:gridCol w:w="741"/>
        <w:gridCol w:w="663"/>
        <w:gridCol w:w="3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7030A0"/>
                <w:kern w:val="0"/>
                <w:sz w:val="22"/>
                <w:szCs w:val="22"/>
                <w:u w:val="none"/>
                <w:lang w:bidi="ar"/>
              </w:rPr>
            </w:pPr>
            <w:r>
              <w:rPr>
                <w:rFonts w:hint="eastAsia" w:ascii="宋体" w:hAnsi="宋体" w:eastAsia="宋体" w:cs="宋体"/>
                <w:b/>
                <w:bCs/>
                <w:i w:val="0"/>
                <w:iCs w:val="0"/>
                <w:color w:val="7030A0"/>
                <w:kern w:val="0"/>
                <w:sz w:val="22"/>
                <w:szCs w:val="22"/>
                <w:u w:val="none"/>
                <w:lang w:val="en-US" w:eastAsia="zh-CN" w:bidi="ar"/>
              </w:rPr>
              <w:t>建设内容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7030A0"/>
                <w:kern w:val="0"/>
                <w:sz w:val="22"/>
                <w:szCs w:val="22"/>
                <w:u w:val="none"/>
                <w:lang w:bidi="ar"/>
              </w:rPr>
            </w:pPr>
            <w:r>
              <w:rPr>
                <w:rFonts w:hint="eastAsia" w:ascii="宋体" w:hAnsi="宋体" w:eastAsia="宋体" w:cs="宋体"/>
                <w:b/>
                <w:bCs/>
                <w:i w:val="0"/>
                <w:iCs w:val="0"/>
                <w:color w:val="7030A0"/>
                <w:kern w:val="0"/>
                <w:sz w:val="22"/>
                <w:szCs w:val="22"/>
                <w:u w:val="none"/>
                <w:lang w:val="en-US" w:eastAsia="zh-CN" w:bidi="ar"/>
              </w:rPr>
              <w:t>序号</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7030A0"/>
                <w:sz w:val="22"/>
                <w:szCs w:val="22"/>
                <w:u w:val="none"/>
              </w:rPr>
            </w:pPr>
            <w:r>
              <w:rPr>
                <w:rFonts w:hint="eastAsia" w:ascii="宋体" w:hAnsi="宋体" w:eastAsia="宋体" w:cs="宋体"/>
                <w:b/>
                <w:bCs/>
                <w:i w:val="0"/>
                <w:iCs w:val="0"/>
                <w:color w:val="7030A0"/>
                <w:kern w:val="0"/>
                <w:sz w:val="22"/>
                <w:szCs w:val="22"/>
                <w:u w:val="none"/>
                <w:lang w:val="en-US" w:eastAsia="zh-CN" w:bidi="ar"/>
              </w:rPr>
              <w:t>名称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7030A0"/>
                <w:sz w:val="22"/>
                <w:szCs w:val="22"/>
                <w:u w:val="none"/>
              </w:rPr>
            </w:pPr>
            <w:r>
              <w:rPr>
                <w:rFonts w:hint="eastAsia" w:ascii="宋体" w:hAnsi="宋体" w:eastAsia="宋体" w:cs="宋体"/>
                <w:b/>
                <w:bCs/>
                <w:i w:val="0"/>
                <w:iCs w:val="0"/>
                <w:color w:val="7030A0"/>
                <w:kern w:val="0"/>
                <w:sz w:val="22"/>
                <w:szCs w:val="22"/>
                <w:u w:val="none"/>
                <w:lang w:val="en-US" w:eastAsia="zh-CN" w:bidi="ar"/>
              </w:rPr>
              <w:t>数量</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7030A0"/>
                <w:sz w:val="22"/>
                <w:szCs w:val="22"/>
                <w:u w:val="none"/>
              </w:rPr>
            </w:pPr>
            <w:r>
              <w:rPr>
                <w:rFonts w:hint="eastAsia" w:ascii="宋体" w:hAnsi="宋体" w:eastAsia="宋体" w:cs="宋体"/>
                <w:b/>
                <w:bCs/>
                <w:i w:val="0"/>
                <w:iCs w:val="0"/>
                <w:color w:val="7030A0"/>
                <w:kern w:val="0"/>
                <w:sz w:val="22"/>
                <w:szCs w:val="22"/>
                <w:u w:val="none"/>
                <w:lang w:val="en-US" w:eastAsia="zh-CN" w:bidi="ar"/>
              </w:rPr>
              <w:t>单位</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7030A0"/>
                <w:sz w:val="22"/>
                <w:szCs w:val="22"/>
                <w:u w:val="none"/>
              </w:rPr>
            </w:pPr>
            <w:r>
              <w:rPr>
                <w:rFonts w:hint="eastAsia" w:ascii="宋体" w:hAnsi="宋体" w:eastAsia="宋体" w:cs="宋体"/>
                <w:b/>
                <w:bCs/>
                <w:i w:val="0"/>
                <w:iCs w:val="0"/>
                <w:color w:val="7030A0"/>
                <w:kern w:val="0"/>
                <w:sz w:val="22"/>
                <w:szCs w:val="22"/>
                <w:u w:val="none"/>
                <w:lang w:val="en-US" w:eastAsia="zh-CN" w:bidi="ar"/>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系统配置清单</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订餐消费一卡通平台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包含人事管理、卡片管理、充值管理、菜品管理、原料管理、供应商管理、机器设备管理、补助管理、零售商品管理、各种类型人员价格管理、供应餐次管理、开饭时间管理等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饭堂授权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项</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按饭堂数设置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人脸识别引擎模块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人脸采集认证、识别验证、人脸数据管理（含统一管理、分发）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报表中心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各种报表查询，含消费、订餐、报表、数据分析、可视化信息等。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一卡通消费子系统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赠送。账户金额扣减验证及管理，机器数据监控管理、商户消费管理。消费数据自动对账管理。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手机端订餐系统</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订餐中心、订餐及消费记录、商品预订、商品记录查询、综合评价、意见反馈、订餐消费统计管理。客餐预订、工作餐预订等。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手机端在线自助充值通道</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7030A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硬件设备</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多功能智能售饭机（卡+码+脸）（含支架、布线）</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51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台</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刷卡+扫码+刷脸领餐，双屏（可选人脸识别领餐，支持万人级别的人脸认证体系）。触摸双屏5"+7" 1280*720+1024*600，挂机，含支架。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IC读写器</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套</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发卡或充值.可使用旧发卡机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IC卡片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4500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张</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s50.含印刷、加密授权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实施集成费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项</w:t>
            </w:r>
          </w:p>
        </w:tc>
        <w:tc>
          <w:tcPr>
            <w:tcW w:w="3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7030A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系统运维   服务</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eastAsia="zh-CN"/>
              </w:rPr>
            </w:pPr>
            <w:r>
              <w:rPr>
                <w:rFonts w:hint="eastAsia" w:ascii="宋体" w:hAnsi="宋体" w:eastAsia="宋体" w:cs="宋体"/>
                <w:i w:val="0"/>
                <w:iCs w:val="0"/>
                <w:color w:val="7030A0"/>
                <w:sz w:val="22"/>
                <w:szCs w:val="22"/>
                <w:u w:val="none"/>
                <w:lang w:val="en-US" w:eastAsia="zh-CN"/>
              </w:rPr>
              <w:t>12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1"/>
                <w:szCs w:val="21"/>
                <w:u w:val="none"/>
              </w:rPr>
            </w:pPr>
            <w:r>
              <w:rPr>
                <w:rFonts w:hint="eastAsia" w:ascii="宋体" w:hAnsi="宋体" w:eastAsia="宋体" w:cs="宋体"/>
                <w:i w:val="0"/>
                <w:iCs w:val="0"/>
                <w:color w:val="7030A0"/>
                <w:kern w:val="0"/>
                <w:sz w:val="21"/>
                <w:szCs w:val="21"/>
                <w:u w:val="none"/>
                <w:lang w:val="en-US" w:eastAsia="zh-CN" w:bidi="ar"/>
              </w:rPr>
              <w:t>运维日志管理</w:t>
            </w: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36</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月</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包含但不限于系统每日巡检、服务器定期巡检、应用系统与操作系统定期安全检查、系统打补丁、系统数据定期备份、防火墙病毒库定期更新、系统安全口令定期更换、系统适应性升级、系统故障处置及现场故障处理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eastAsia="zh-CN"/>
              </w:rPr>
            </w:pPr>
            <w:r>
              <w:rPr>
                <w:rFonts w:hint="eastAsia" w:ascii="宋体" w:hAnsi="宋体" w:eastAsia="宋体" w:cs="宋体"/>
                <w:i w:val="0"/>
                <w:iCs w:val="0"/>
                <w:color w:val="7030A0"/>
                <w:sz w:val="22"/>
                <w:szCs w:val="22"/>
                <w:u w:val="none"/>
                <w:lang w:val="en-US" w:eastAsia="zh-CN"/>
              </w:rPr>
              <w:t>13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1"/>
                <w:szCs w:val="21"/>
                <w:u w:val="none"/>
              </w:rPr>
            </w:pPr>
            <w:r>
              <w:rPr>
                <w:rFonts w:hint="eastAsia" w:ascii="宋体" w:hAnsi="宋体" w:eastAsia="宋体" w:cs="宋体"/>
                <w:i w:val="0"/>
                <w:iCs w:val="0"/>
                <w:color w:val="7030A0"/>
                <w:kern w:val="0"/>
                <w:sz w:val="21"/>
                <w:szCs w:val="21"/>
                <w:u w:val="none"/>
                <w:lang w:val="en-US" w:eastAsia="zh-CN" w:bidi="ar"/>
              </w:rPr>
              <w:t>统计分析</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7030A0"/>
                <w:kern w:val="0"/>
                <w:sz w:val="22"/>
                <w:szCs w:val="22"/>
                <w:u w:val="none"/>
                <w:lang w:bidi="ar"/>
              </w:rPr>
            </w:pPr>
            <w:r>
              <w:rPr>
                <w:rFonts w:hint="eastAsia" w:ascii="宋体" w:hAnsi="宋体" w:eastAsia="宋体" w:cs="宋体"/>
                <w:i w:val="0"/>
                <w:iCs w:val="0"/>
                <w:color w:val="7030A0"/>
                <w:kern w:val="0"/>
                <w:sz w:val="22"/>
                <w:szCs w:val="22"/>
                <w:u w:val="none"/>
                <w:lang w:val="en-US" w:eastAsia="zh-CN" w:bidi="ar"/>
              </w:rPr>
              <w:t>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rPr>
            </w:pPr>
            <w:r>
              <w:rPr>
                <w:rFonts w:hint="eastAsia" w:ascii="宋体" w:hAnsi="宋体" w:eastAsia="宋体" w:cs="宋体"/>
                <w:i w:val="0"/>
                <w:iCs w:val="0"/>
                <w:color w:val="7030A0"/>
                <w:kern w:val="0"/>
                <w:sz w:val="22"/>
                <w:szCs w:val="22"/>
                <w:u w:val="none"/>
                <w:lang w:val="en-US" w:eastAsia="zh-CN" w:bidi="ar"/>
              </w:rPr>
              <w:t>14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1"/>
                <w:szCs w:val="21"/>
                <w:u w:val="none"/>
              </w:rPr>
            </w:pPr>
            <w:r>
              <w:rPr>
                <w:rFonts w:hint="eastAsia" w:ascii="宋体" w:hAnsi="宋体" w:eastAsia="宋体" w:cs="宋体"/>
                <w:i w:val="0"/>
                <w:iCs w:val="0"/>
                <w:color w:val="7030A0"/>
                <w:kern w:val="0"/>
                <w:sz w:val="21"/>
                <w:szCs w:val="21"/>
                <w:u w:val="none"/>
                <w:lang w:val="en-US" w:eastAsia="zh-CN" w:bidi="ar"/>
              </w:rPr>
              <w:t>系统培训</w:t>
            </w: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00" w:lineRule="exact"/>
              <w:jc w:val="left"/>
              <w:textAlignment w:val="center"/>
              <w:rPr>
                <w:rFonts w:hint="eastAsia" w:ascii="宋体" w:hAnsi="宋体" w:eastAsia="宋体" w:cs="宋体"/>
                <w:i w:val="0"/>
                <w:iCs w:val="0"/>
                <w:color w:val="7030A0"/>
                <w:kern w:val="0"/>
                <w:sz w:val="22"/>
                <w:szCs w:val="22"/>
                <w:u w:val="none"/>
                <w:lang w:bidi="ar"/>
              </w:rPr>
            </w:pPr>
            <w:r>
              <w:rPr>
                <w:rFonts w:hint="eastAsia" w:ascii="宋体" w:hAnsi="宋体" w:eastAsia="宋体" w:cs="宋体"/>
                <w:i w:val="0"/>
                <w:iCs w:val="0"/>
                <w:color w:val="7030A0"/>
                <w:kern w:val="0"/>
                <w:sz w:val="22"/>
                <w:szCs w:val="22"/>
                <w:u w:val="none"/>
                <w:lang w:val="en-US" w:eastAsia="zh-CN" w:bidi="ar"/>
              </w:rPr>
              <w:t>系统维护及使用培训、运行调试、维保3年</w:t>
            </w:r>
          </w:p>
        </w:tc>
      </w:tr>
    </w:tbl>
    <w:p>
      <w:pPr>
        <w:pStyle w:val="10"/>
        <w:rPr>
          <w:rFonts w:hint="eastAsia"/>
          <w:color w:val="7030A0"/>
        </w:rPr>
      </w:pPr>
    </w:p>
    <w:tbl>
      <w:tblPr>
        <w:tblStyle w:val="24"/>
        <w:tblW w:w="9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950"/>
        <w:gridCol w:w="2750"/>
        <w:gridCol w:w="700"/>
        <w:gridCol w:w="700"/>
        <w:gridCol w:w="3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10" w:hRule="atLeast"/>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配套服务器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eastAsia="zh-CN"/>
              </w:rPr>
            </w:pPr>
            <w:r>
              <w:rPr>
                <w:rFonts w:hint="eastAsia" w:ascii="宋体" w:hAnsi="宋体" w:eastAsia="宋体" w:cs="宋体"/>
                <w:i w:val="0"/>
                <w:iCs w:val="0"/>
                <w:color w:val="7030A0"/>
                <w:sz w:val="22"/>
                <w:szCs w:val="22"/>
                <w:u w:val="none"/>
                <w:lang w:val="en-US" w:eastAsia="zh-CN"/>
              </w:rPr>
              <w:t>15</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云</w:t>
            </w:r>
            <w:r>
              <w:rPr>
                <w:rStyle w:val="53"/>
                <w:color w:val="7030A0"/>
                <w:lang w:val="en-US" w:eastAsia="zh-CN" w:bidi="ar"/>
              </w:rPr>
              <w:t>服务器2套（8v16G 1T含公网IP）</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36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both"/>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正版操作系统或开源系统；</w:t>
            </w:r>
          </w:p>
          <w:p>
            <w:pPr>
              <w:keepNext w:val="0"/>
              <w:keepLines w:val="0"/>
              <w:widowControl/>
              <w:suppressLineNumbers w:val="0"/>
              <w:spacing w:line="240" w:lineRule="exact"/>
              <w:jc w:val="both"/>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正版数据库mssql server2017；</w:t>
            </w:r>
          </w:p>
          <w:p>
            <w:pPr>
              <w:keepNext w:val="0"/>
              <w:keepLines w:val="0"/>
              <w:widowControl/>
              <w:suppressLineNumbers w:val="0"/>
              <w:spacing w:line="240" w:lineRule="exact"/>
              <w:jc w:val="both"/>
              <w:textAlignment w:val="center"/>
              <w:rPr>
                <w:rFonts w:hint="eastAsia" w:ascii="宋体" w:hAnsi="宋体" w:eastAsia="宋体" w:cs="宋体"/>
                <w:i w:val="0"/>
                <w:iCs w:val="0"/>
                <w:color w:val="7030A0"/>
                <w:kern w:val="0"/>
                <w:sz w:val="22"/>
                <w:szCs w:val="22"/>
                <w:u w:val="none"/>
                <w:lang w:val="en-US" w:eastAsia="zh-CN" w:bidi="ar"/>
              </w:rPr>
            </w:pPr>
            <w:r>
              <w:rPr>
                <w:rFonts w:hint="eastAsia" w:ascii="宋体" w:hAnsi="宋体" w:eastAsia="宋体" w:cs="宋体"/>
                <w:i w:val="0"/>
                <w:iCs w:val="0"/>
                <w:color w:val="7030A0"/>
                <w:kern w:val="0"/>
                <w:sz w:val="22"/>
                <w:szCs w:val="22"/>
                <w:u w:val="none"/>
                <w:lang w:val="en-US" w:eastAsia="zh-CN" w:bidi="ar"/>
              </w:rPr>
              <w:t>选用电信、移动或联通三大通讯运营商的云服务器资源；</w:t>
            </w:r>
          </w:p>
          <w:p>
            <w:pPr>
              <w:keepNext w:val="0"/>
              <w:keepLines w:val="0"/>
              <w:widowControl/>
              <w:suppressLineNumbers w:val="0"/>
              <w:spacing w:line="240" w:lineRule="exact"/>
              <w:jc w:val="both"/>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每台服务器要求：CPU≥8核，内存≥16GB，系统盘≥100GB，数据盘≥500GB，带宽≥10Mbit/s，平 均 响 应 时 间（秒）≤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eastAsia="zh-CN"/>
              </w:rPr>
            </w:pPr>
            <w:r>
              <w:rPr>
                <w:rFonts w:hint="eastAsia" w:ascii="宋体" w:hAnsi="宋体" w:eastAsia="宋体" w:cs="宋体"/>
                <w:i w:val="0"/>
                <w:iCs w:val="0"/>
                <w:color w:val="7030A0"/>
                <w:sz w:val="22"/>
                <w:szCs w:val="22"/>
                <w:u w:val="none"/>
                <w:lang w:val="en-US" w:eastAsia="zh-CN"/>
              </w:rPr>
              <w:t>16</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共享带宽40M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36</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both"/>
              <w:rPr>
                <w:rFonts w:hint="eastAsia" w:ascii="宋体" w:hAnsi="宋体" w:eastAsia="宋体" w:cs="宋体"/>
                <w:i w:val="0"/>
                <w:iCs w:val="0"/>
                <w:color w:val="7030A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7030A0"/>
                <w:sz w:val="22"/>
                <w:szCs w:val="22"/>
                <w:u w:val="none"/>
                <w:lang w:val="en-US" w:eastAsia="zh-CN"/>
              </w:rPr>
            </w:pPr>
            <w:r>
              <w:rPr>
                <w:rFonts w:hint="eastAsia" w:ascii="宋体" w:hAnsi="宋体" w:eastAsia="宋体" w:cs="宋体"/>
                <w:i w:val="0"/>
                <w:iCs w:val="0"/>
                <w:color w:val="7030A0"/>
                <w:sz w:val="22"/>
                <w:szCs w:val="22"/>
                <w:u w:val="none"/>
                <w:lang w:val="en-US" w:eastAsia="zh-CN"/>
              </w:rPr>
              <w:t>17</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安全</w:t>
            </w:r>
            <w:r>
              <w:rPr>
                <w:rStyle w:val="53"/>
                <w:color w:val="7030A0"/>
                <w:lang w:val="en-US" w:eastAsia="zh-CN" w:bidi="ar"/>
              </w:rPr>
              <w:t>配置（云下一代防火墙+云综合日志审计+云堡垒机+服务器安全卫士+ Anti-DDoS 流量清洗）</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36</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月</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应用识别、监控统计、入侵防御（IPS）、应用层访问控制、用户认证、带宽管理（QoS）、防病毒（AV）、URL过滤等功能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实时不间断地采集用户网络中各种不同厂商的安全设备、网络设备、主机、操作系统、以及各种应用系统产生的海量日志信息，并将这些信息汇集到审计中心，进行集中化存储（可根据日志规模大小进行分布式存储，支持水平弹性扩展和数据高可靠性存储）、索引、备份、全文检索、实时搜索、审计、告警、响应，并出具丰富的报表报告，获悉全网的整体安全运行态势，实现全生命周期的日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通过对主机信息和行为进行持续监控和分析，快速精准地发现安全威胁和入侵事件，并提供灵活高效的问题解决能力，将自适应安全理念真正落地，为用户提供下一代安全检测和响应能力。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7030A0"/>
                <w:sz w:val="22"/>
                <w:szCs w:val="22"/>
                <w:u w:val="none"/>
              </w:rPr>
            </w:pP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left"/>
              <w:textAlignment w:val="center"/>
              <w:rPr>
                <w:rFonts w:hint="eastAsia" w:ascii="宋体" w:hAnsi="宋体" w:eastAsia="宋体" w:cs="宋体"/>
                <w:i w:val="0"/>
                <w:iCs w:val="0"/>
                <w:color w:val="7030A0"/>
                <w:sz w:val="22"/>
                <w:szCs w:val="22"/>
                <w:u w:val="none"/>
              </w:rPr>
            </w:pPr>
            <w:r>
              <w:rPr>
                <w:rFonts w:hint="eastAsia" w:ascii="宋体" w:hAnsi="宋体" w:eastAsia="宋体" w:cs="宋体"/>
                <w:i w:val="0"/>
                <w:iCs w:val="0"/>
                <w:color w:val="7030A0"/>
                <w:kern w:val="0"/>
                <w:sz w:val="22"/>
                <w:szCs w:val="22"/>
                <w:u w:val="none"/>
                <w:lang w:val="en-US" w:eastAsia="zh-CN" w:bidi="ar"/>
              </w:rPr>
              <w:t>通过专业的DDoS防护设备来为用户互联网应用提供精细化的抵御DDOS攻击能力，如UDP Flood攻击、SYN Flood攻击和CC攻击等</w:t>
            </w:r>
          </w:p>
        </w:tc>
      </w:tr>
    </w:tbl>
    <w:p>
      <w:pPr>
        <w:jc w:val="both"/>
        <w:rPr>
          <w:rFonts w:hint="default" w:ascii="Times New Roman" w:hAnsi="Times New Roman" w:eastAsia="仿宋"/>
          <w:b/>
          <w:color w:val="7030A0"/>
          <w:sz w:val="28"/>
          <w:szCs w:val="28"/>
          <w:lang w:val="en-US" w:eastAsia="zh-CN"/>
        </w:rPr>
      </w:pPr>
      <w:r>
        <w:rPr>
          <w:rFonts w:hint="eastAsia" w:ascii="Times New Roman" w:hAnsi="Times New Roman" w:eastAsia="仿宋"/>
          <w:b/>
          <w:color w:val="7030A0"/>
          <w:sz w:val="28"/>
          <w:szCs w:val="28"/>
          <w:lang w:val="en-US" w:eastAsia="zh-CN"/>
        </w:rPr>
        <w:t>6.2.后续费用清单</w:t>
      </w:r>
    </w:p>
    <w:tbl>
      <w:tblPr>
        <w:tblStyle w:val="24"/>
        <w:tblW w:w="92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74"/>
        <w:gridCol w:w="1620"/>
        <w:gridCol w:w="3135"/>
        <w:gridCol w:w="31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费用类别</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内容</w:t>
            </w: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lang w:val="en-US" w:eastAsia="zh-CN"/>
              </w:rPr>
            </w:pPr>
            <w:r>
              <w:rPr>
                <w:rFonts w:hint="eastAsia" w:ascii="宋体" w:hAnsi="宋体" w:cs="宋体"/>
                <w:b/>
                <w:color w:val="auto"/>
                <w:szCs w:val="21"/>
                <w:lang w:val="en-US" w:eastAsia="zh-CN"/>
              </w:rPr>
              <w:t>价格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平台运维费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服务器租赁费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安全防护费</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13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7</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cs="宋体"/>
                <w:b/>
                <w:color w:val="auto"/>
                <w:szCs w:val="21"/>
                <w:lang w:val="en-US" w:eastAsia="zh-CN"/>
              </w:rPr>
            </w:pPr>
            <w:r>
              <w:rPr>
                <w:rFonts w:hint="eastAsia" w:ascii="宋体" w:hAnsi="宋体" w:cs="宋体"/>
                <w:b/>
                <w:color w:val="auto"/>
                <w:szCs w:val="21"/>
                <w:lang w:val="en-US" w:eastAsia="zh-CN"/>
              </w:rPr>
              <w:t>...</w:t>
            </w:r>
          </w:p>
        </w:tc>
        <w:tc>
          <w:tcPr>
            <w:tcW w:w="3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c>
          <w:tcPr>
            <w:tcW w:w="31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szCs w:val="21"/>
              </w:rPr>
            </w:pPr>
          </w:p>
        </w:tc>
      </w:tr>
    </w:tbl>
    <w:p>
      <w:pPr>
        <w:adjustRightInd w:val="0"/>
        <w:snapToGrid w:val="0"/>
        <w:spacing w:line="300" w:lineRule="auto"/>
        <w:rPr>
          <w:rFonts w:ascii="Times New Roman" w:eastAsia="仿宋" w:cs="Times New Roman"/>
          <w:color w:val="auto"/>
        </w:rPr>
      </w:pPr>
    </w:p>
    <w:p>
      <w:pPr>
        <w:adjustRightInd w:val="0"/>
        <w:snapToGrid w:val="0"/>
        <w:spacing w:line="300" w:lineRule="auto"/>
        <w:rPr>
          <w:rFonts w:ascii="Times New Roman" w:hAnsi="Times New Roman" w:eastAsia="仿宋" w:cs="Times New Roman"/>
          <w:color w:val="auto"/>
          <w:sz w:val="28"/>
          <w:szCs w:val="28"/>
        </w:rPr>
      </w:pPr>
      <w:r>
        <w:rPr>
          <w:rFonts w:ascii="Times New Roman" w:eastAsia="仿宋" w:cs="Times New Roman"/>
          <w:color w:val="auto"/>
        </w:rPr>
        <w:t>说明：本设备清单仅指主要供货范围，是系统的必要组成部分，并非详细完整配置。</w:t>
      </w:r>
      <w:r>
        <w:rPr>
          <w:rFonts w:hint="eastAsia" w:ascii="Times New Roman" w:eastAsia="仿宋" w:cs="Times New Roman"/>
          <w:color w:val="auto"/>
          <w:lang w:val="en-US" w:eastAsia="zh-CN"/>
        </w:rPr>
        <w:t>报价</w:t>
      </w:r>
      <w:r>
        <w:rPr>
          <w:rFonts w:ascii="Times New Roman" w:eastAsia="仿宋" w:cs="Times New Roman"/>
          <w:color w:val="auto"/>
        </w:rPr>
        <w:t>人应根据系统整体要求对清单中未列出但为使整套系统能够按本</w:t>
      </w:r>
      <w:r>
        <w:rPr>
          <w:rFonts w:hint="eastAsia" w:ascii="Times New Roman" w:eastAsia="仿宋" w:cs="Times New Roman"/>
          <w:color w:val="auto"/>
        </w:rPr>
        <w:t>询价</w:t>
      </w:r>
      <w:r>
        <w:rPr>
          <w:rFonts w:ascii="Times New Roman" w:eastAsia="仿宋" w:cs="Times New Roman"/>
          <w:color w:val="auto"/>
        </w:rPr>
        <w:t>文件要求长期正常有效运行所需的货物和附件（包括但不限于：硬件、软件、支架、附件、线缆、专用检测设备和工具、材料等）进行补充，并应包含在</w:t>
      </w:r>
      <w:r>
        <w:rPr>
          <w:rFonts w:hint="eastAsia" w:ascii="Times New Roman" w:eastAsia="仿宋" w:cs="Times New Roman"/>
          <w:color w:val="auto"/>
          <w:lang w:val="en-US" w:eastAsia="zh-CN"/>
        </w:rPr>
        <w:t>项目</w:t>
      </w:r>
      <w:r>
        <w:rPr>
          <w:rFonts w:ascii="Times New Roman" w:eastAsia="仿宋" w:cs="Times New Roman"/>
          <w:color w:val="auto"/>
        </w:rPr>
        <w:t xml:space="preserve">总价内。 </w:t>
      </w:r>
    </w:p>
    <w:p>
      <w:pPr>
        <w:adjustRightInd w:val="0"/>
        <w:snapToGrid w:val="0"/>
        <w:spacing w:line="300" w:lineRule="auto"/>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报价单位代表（签名或盖私章）：</w:t>
      </w:r>
      <w:r>
        <w:rPr>
          <w:rFonts w:ascii="Times New Roman" w:hAnsi="Times New Roman" w:eastAsia="仿宋" w:cs="Times New Roman"/>
          <w:color w:val="auto"/>
          <w:sz w:val="28"/>
          <w:szCs w:val="28"/>
          <w:u w:val="single"/>
        </w:rPr>
        <w:t xml:space="preserve">                   </w:t>
      </w:r>
    </w:p>
    <w:p>
      <w:pPr>
        <w:adjustRightInd w:val="0"/>
        <w:snapToGrid w:val="0"/>
        <w:spacing w:line="300" w:lineRule="auto"/>
        <w:rPr>
          <w:rFonts w:ascii="Times New Roman" w:hAnsi="Times New Roman" w:eastAsia="仿宋" w:cs="Times New Roman"/>
          <w:color w:val="auto"/>
          <w:sz w:val="28"/>
          <w:szCs w:val="28"/>
          <w:u w:val="single"/>
        </w:rPr>
      </w:pPr>
      <w:r>
        <w:rPr>
          <w:rFonts w:ascii="Times New Roman" w:hAnsi="Times New Roman" w:eastAsia="仿宋" w:cs="Times New Roman"/>
          <w:color w:val="auto"/>
          <w:sz w:val="28"/>
          <w:szCs w:val="28"/>
        </w:rPr>
        <w:t>报价单位名称（盖单位公章）：</w:t>
      </w:r>
      <w:r>
        <w:rPr>
          <w:rFonts w:ascii="Times New Roman" w:hAnsi="Times New Roman" w:eastAsia="仿宋" w:cs="Times New Roman"/>
          <w:color w:val="auto"/>
          <w:sz w:val="28"/>
          <w:szCs w:val="28"/>
          <w:u w:val="single"/>
        </w:rPr>
        <w:t xml:space="preserve">                        </w:t>
      </w:r>
    </w:p>
    <w:p>
      <w:pPr>
        <w:rPr>
          <w:rFonts w:ascii="Times New Roman" w:hAnsi="Times New Roman" w:eastAsia="仿宋_GB2312" w:cs="Times New Roman"/>
          <w:snapToGrid w:val="0"/>
          <w:color w:val="auto"/>
          <w:spacing w:val="4"/>
          <w:kern w:val="0"/>
          <w:sz w:val="24"/>
        </w:rPr>
      </w:pPr>
      <w:r>
        <w:rPr>
          <w:rFonts w:ascii="Times New Roman" w:hAnsi="Times New Roman" w:eastAsia="仿宋" w:cs="Times New Roman"/>
          <w:color w:val="auto"/>
          <w:sz w:val="28"/>
          <w:szCs w:val="28"/>
        </w:rPr>
        <w:t>日期：</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年</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月</w:t>
      </w:r>
      <w:r>
        <w:rPr>
          <w:rFonts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rPr>
        <w:t xml:space="preserve"> 日</w:t>
      </w:r>
      <w:r>
        <w:rPr>
          <w:rFonts w:ascii="Times New Roman" w:hAnsi="Times New Roman" w:eastAsia="仿宋_GB2312" w:cs="Times New Roman"/>
          <w:snapToGrid w:val="0"/>
          <w:color w:val="auto"/>
          <w:spacing w:val="4"/>
          <w:kern w:val="0"/>
          <w:sz w:val="24"/>
        </w:rPr>
        <w:t xml:space="preserve"> </w:t>
      </w:r>
    </w:p>
    <w:p>
      <w:pPr>
        <w:pStyle w:val="11"/>
      </w:pPr>
    </w:p>
    <w:p>
      <w:pPr>
        <w:rPr>
          <w:highlight w:val="none"/>
        </w:rPr>
      </w:pPr>
    </w:p>
    <w:sectPr>
      <w:footerReference r:id="rId9" w:type="first"/>
      <w:footerReference r:id="rId8" w:type="default"/>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jc w:val="both"/>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default" w:eastAsiaTheme="minorEastAsia"/>
                        <w:lang w:val="en-US" w:eastAsia="zh-CN"/>
                      </w:rPr>
                    </w:pPr>
                    <w:r>
                      <w:rPr>
                        <w:rFonts w:hint="eastAsia"/>
                        <w:lang w:val="en-US" w:eastAsia="zh-CN"/>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default"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R5q68BAABMAwAADgAAAGRycy9lMm9Eb2MueG1srVPNThsxEL5X4h0s&#10;34mXC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dtR5q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aDik68BAABMAwAADgAAAGRycy9lMm9Eb2MueG1srVPNahsxEL4H8g5C&#10;91hrE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DZlBLHLc5o//PH/tfr/uU7uc7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BaDik6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6D2AE6"/>
    <w:multiLevelType w:val="singleLevel"/>
    <w:tmpl w:val="B96D2AE6"/>
    <w:lvl w:ilvl="0" w:tentative="0">
      <w:start w:val="3"/>
      <w:numFmt w:val="upperLetter"/>
      <w:suff w:val="nothing"/>
      <w:lvlText w:val="%1、"/>
      <w:lvlJc w:val="left"/>
      <w:pPr>
        <w:ind w:left="56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jRkMmY2YWQ2ZjU5M2E4ZGI5NTFjNDI5MTQ4MTgifQ=="/>
  </w:docVars>
  <w:rsids>
    <w:rsidRoot w:val="005D618A"/>
    <w:rsid w:val="003D60BA"/>
    <w:rsid w:val="00411689"/>
    <w:rsid w:val="005D618A"/>
    <w:rsid w:val="00911ECD"/>
    <w:rsid w:val="00A042E0"/>
    <w:rsid w:val="00B26BB1"/>
    <w:rsid w:val="00B26E21"/>
    <w:rsid w:val="00F83B64"/>
    <w:rsid w:val="01550C49"/>
    <w:rsid w:val="02090C75"/>
    <w:rsid w:val="02A23A3C"/>
    <w:rsid w:val="03AC246A"/>
    <w:rsid w:val="03B23056"/>
    <w:rsid w:val="03DC3EBA"/>
    <w:rsid w:val="03F9794D"/>
    <w:rsid w:val="046A2461"/>
    <w:rsid w:val="06C64829"/>
    <w:rsid w:val="06E050DF"/>
    <w:rsid w:val="077D16D2"/>
    <w:rsid w:val="07CF5EA7"/>
    <w:rsid w:val="082E4460"/>
    <w:rsid w:val="08675FC8"/>
    <w:rsid w:val="08E87854"/>
    <w:rsid w:val="09B713FD"/>
    <w:rsid w:val="09EE2261"/>
    <w:rsid w:val="09EF6ACC"/>
    <w:rsid w:val="0A315056"/>
    <w:rsid w:val="0AFB45AD"/>
    <w:rsid w:val="0B351E9B"/>
    <w:rsid w:val="0B4C50D3"/>
    <w:rsid w:val="0B806B92"/>
    <w:rsid w:val="0B827E94"/>
    <w:rsid w:val="0BD070E1"/>
    <w:rsid w:val="0C247926"/>
    <w:rsid w:val="0D794204"/>
    <w:rsid w:val="0E2125D1"/>
    <w:rsid w:val="0E214211"/>
    <w:rsid w:val="0E5F2769"/>
    <w:rsid w:val="0EDB05AB"/>
    <w:rsid w:val="0F4D75A3"/>
    <w:rsid w:val="0F5B2DCA"/>
    <w:rsid w:val="0FED051E"/>
    <w:rsid w:val="0FEE4C29"/>
    <w:rsid w:val="10046082"/>
    <w:rsid w:val="106A6794"/>
    <w:rsid w:val="112B101A"/>
    <w:rsid w:val="119B53FC"/>
    <w:rsid w:val="12424CDC"/>
    <w:rsid w:val="129A2738"/>
    <w:rsid w:val="12B0242E"/>
    <w:rsid w:val="12B56BF1"/>
    <w:rsid w:val="12CB1A89"/>
    <w:rsid w:val="131840FB"/>
    <w:rsid w:val="13467417"/>
    <w:rsid w:val="136E76CF"/>
    <w:rsid w:val="148A3DB1"/>
    <w:rsid w:val="14F3626F"/>
    <w:rsid w:val="15BC6B3C"/>
    <w:rsid w:val="1694429A"/>
    <w:rsid w:val="17635326"/>
    <w:rsid w:val="18236EFD"/>
    <w:rsid w:val="189D5B1F"/>
    <w:rsid w:val="18A34CD0"/>
    <w:rsid w:val="19B64DBC"/>
    <w:rsid w:val="1A373ACF"/>
    <w:rsid w:val="1A895341"/>
    <w:rsid w:val="1B0D071F"/>
    <w:rsid w:val="1B4568CE"/>
    <w:rsid w:val="1B9015B7"/>
    <w:rsid w:val="1C5C0266"/>
    <w:rsid w:val="1CAD266B"/>
    <w:rsid w:val="1D5A79EE"/>
    <w:rsid w:val="1E0E2CD0"/>
    <w:rsid w:val="1E451128"/>
    <w:rsid w:val="1E7C7418"/>
    <w:rsid w:val="1E831280"/>
    <w:rsid w:val="1EA10F5D"/>
    <w:rsid w:val="1EBC36D6"/>
    <w:rsid w:val="1EBC4704"/>
    <w:rsid w:val="1F172EB5"/>
    <w:rsid w:val="1F94592D"/>
    <w:rsid w:val="1FB860DE"/>
    <w:rsid w:val="1FEC3098"/>
    <w:rsid w:val="203C5A02"/>
    <w:rsid w:val="209D4C94"/>
    <w:rsid w:val="20E84705"/>
    <w:rsid w:val="218400BA"/>
    <w:rsid w:val="21AB1E2F"/>
    <w:rsid w:val="21D40498"/>
    <w:rsid w:val="22767047"/>
    <w:rsid w:val="239F6EC1"/>
    <w:rsid w:val="23A05588"/>
    <w:rsid w:val="25431AEB"/>
    <w:rsid w:val="25BF43FD"/>
    <w:rsid w:val="25F86BCD"/>
    <w:rsid w:val="2605748B"/>
    <w:rsid w:val="26236AC9"/>
    <w:rsid w:val="269E416A"/>
    <w:rsid w:val="272100D3"/>
    <w:rsid w:val="272C72FC"/>
    <w:rsid w:val="27EB149D"/>
    <w:rsid w:val="27FD3E52"/>
    <w:rsid w:val="285F7E89"/>
    <w:rsid w:val="28BB7666"/>
    <w:rsid w:val="28E11370"/>
    <w:rsid w:val="28FE1B9B"/>
    <w:rsid w:val="294A756A"/>
    <w:rsid w:val="29D5322D"/>
    <w:rsid w:val="2A025DD9"/>
    <w:rsid w:val="2A7C2231"/>
    <w:rsid w:val="2ABB753D"/>
    <w:rsid w:val="2B7A49FA"/>
    <w:rsid w:val="2BF44073"/>
    <w:rsid w:val="2C615D26"/>
    <w:rsid w:val="2CB679ED"/>
    <w:rsid w:val="2D173C07"/>
    <w:rsid w:val="2D424A86"/>
    <w:rsid w:val="2DEC1750"/>
    <w:rsid w:val="2E7B52DB"/>
    <w:rsid w:val="2EDD3772"/>
    <w:rsid w:val="2F324CFE"/>
    <w:rsid w:val="2FBA09F1"/>
    <w:rsid w:val="2FEF2ACF"/>
    <w:rsid w:val="30540211"/>
    <w:rsid w:val="30AB7C09"/>
    <w:rsid w:val="30B835CD"/>
    <w:rsid w:val="312D7741"/>
    <w:rsid w:val="316F137F"/>
    <w:rsid w:val="31DF525F"/>
    <w:rsid w:val="32324C2E"/>
    <w:rsid w:val="327171DF"/>
    <w:rsid w:val="328B0E33"/>
    <w:rsid w:val="32FD0B07"/>
    <w:rsid w:val="341E3434"/>
    <w:rsid w:val="360B7EBA"/>
    <w:rsid w:val="369C32FD"/>
    <w:rsid w:val="37666E72"/>
    <w:rsid w:val="38167A04"/>
    <w:rsid w:val="394B167A"/>
    <w:rsid w:val="3A1356A9"/>
    <w:rsid w:val="3A4E4336"/>
    <w:rsid w:val="3A6007FE"/>
    <w:rsid w:val="3B4F5DB4"/>
    <w:rsid w:val="3B7C2CE4"/>
    <w:rsid w:val="3C0B5355"/>
    <w:rsid w:val="3C851B1E"/>
    <w:rsid w:val="3CD4176B"/>
    <w:rsid w:val="3D1F44D9"/>
    <w:rsid w:val="3D5C38CD"/>
    <w:rsid w:val="3D6C201A"/>
    <w:rsid w:val="3DBD22F2"/>
    <w:rsid w:val="3DEB55BC"/>
    <w:rsid w:val="3E3A4F1F"/>
    <w:rsid w:val="3E5070F1"/>
    <w:rsid w:val="3EC65956"/>
    <w:rsid w:val="3F6C3589"/>
    <w:rsid w:val="3F850180"/>
    <w:rsid w:val="3F8B5DA0"/>
    <w:rsid w:val="3F9004D6"/>
    <w:rsid w:val="400E4D5E"/>
    <w:rsid w:val="4056629F"/>
    <w:rsid w:val="406F6BB7"/>
    <w:rsid w:val="408F1CC9"/>
    <w:rsid w:val="40E1138C"/>
    <w:rsid w:val="413814BA"/>
    <w:rsid w:val="41872511"/>
    <w:rsid w:val="42466655"/>
    <w:rsid w:val="42C82F57"/>
    <w:rsid w:val="42F03B5E"/>
    <w:rsid w:val="43C76AF7"/>
    <w:rsid w:val="446828F0"/>
    <w:rsid w:val="45575BF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2A0431"/>
    <w:rsid w:val="485321E0"/>
    <w:rsid w:val="48546AD3"/>
    <w:rsid w:val="48CA4868"/>
    <w:rsid w:val="48F005D3"/>
    <w:rsid w:val="498F4AF1"/>
    <w:rsid w:val="49C05787"/>
    <w:rsid w:val="49CF518D"/>
    <w:rsid w:val="4ADA1F63"/>
    <w:rsid w:val="4AE23D89"/>
    <w:rsid w:val="4B093CCB"/>
    <w:rsid w:val="4B16347A"/>
    <w:rsid w:val="4B2038D0"/>
    <w:rsid w:val="4B296E7D"/>
    <w:rsid w:val="4B877F28"/>
    <w:rsid w:val="4D640882"/>
    <w:rsid w:val="4D916BA6"/>
    <w:rsid w:val="4DC44169"/>
    <w:rsid w:val="4DE67569"/>
    <w:rsid w:val="4EF0709E"/>
    <w:rsid w:val="4FB0482D"/>
    <w:rsid w:val="513C6A7B"/>
    <w:rsid w:val="5333545B"/>
    <w:rsid w:val="533F08F9"/>
    <w:rsid w:val="53647905"/>
    <w:rsid w:val="53BE4944"/>
    <w:rsid w:val="5450213C"/>
    <w:rsid w:val="54D24048"/>
    <w:rsid w:val="54D64CD5"/>
    <w:rsid w:val="55887D69"/>
    <w:rsid w:val="56120E58"/>
    <w:rsid w:val="561A0928"/>
    <w:rsid w:val="56423872"/>
    <w:rsid w:val="565816BB"/>
    <w:rsid w:val="56B279F0"/>
    <w:rsid w:val="56CB0F80"/>
    <w:rsid w:val="579D710E"/>
    <w:rsid w:val="581F22F6"/>
    <w:rsid w:val="586E1E17"/>
    <w:rsid w:val="58862C35"/>
    <w:rsid w:val="58C14957"/>
    <w:rsid w:val="597F0D98"/>
    <w:rsid w:val="5990525E"/>
    <w:rsid w:val="5AE83A50"/>
    <w:rsid w:val="5B625EA2"/>
    <w:rsid w:val="5BAB2917"/>
    <w:rsid w:val="5BFC33FA"/>
    <w:rsid w:val="5C3107A4"/>
    <w:rsid w:val="5C3B1B93"/>
    <w:rsid w:val="5C460FDB"/>
    <w:rsid w:val="5C9220DF"/>
    <w:rsid w:val="5D4A15F3"/>
    <w:rsid w:val="5D69542A"/>
    <w:rsid w:val="5DA56CFC"/>
    <w:rsid w:val="5E0930EF"/>
    <w:rsid w:val="5E3D4D53"/>
    <w:rsid w:val="5E4717E6"/>
    <w:rsid w:val="5E55774C"/>
    <w:rsid w:val="60104DDC"/>
    <w:rsid w:val="60312FD6"/>
    <w:rsid w:val="605C0804"/>
    <w:rsid w:val="6189617B"/>
    <w:rsid w:val="61B52BB6"/>
    <w:rsid w:val="61B749C2"/>
    <w:rsid w:val="6227086B"/>
    <w:rsid w:val="62280D20"/>
    <w:rsid w:val="62CA2457"/>
    <w:rsid w:val="63453503"/>
    <w:rsid w:val="638240A1"/>
    <w:rsid w:val="63A5257B"/>
    <w:rsid w:val="63BD3DCC"/>
    <w:rsid w:val="63C61741"/>
    <w:rsid w:val="64560967"/>
    <w:rsid w:val="648E0B79"/>
    <w:rsid w:val="65546878"/>
    <w:rsid w:val="656B1D10"/>
    <w:rsid w:val="66022B28"/>
    <w:rsid w:val="66581E87"/>
    <w:rsid w:val="66FA11D5"/>
    <w:rsid w:val="674302C7"/>
    <w:rsid w:val="675C3F2C"/>
    <w:rsid w:val="680A5986"/>
    <w:rsid w:val="680D5F4B"/>
    <w:rsid w:val="68113F51"/>
    <w:rsid w:val="68A81DE1"/>
    <w:rsid w:val="68E94770"/>
    <w:rsid w:val="68F949C9"/>
    <w:rsid w:val="695A4290"/>
    <w:rsid w:val="69D2212B"/>
    <w:rsid w:val="6A334932"/>
    <w:rsid w:val="6A3353FF"/>
    <w:rsid w:val="6A5D63E6"/>
    <w:rsid w:val="6A5F24D1"/>
    <w:rsid w:val="6AE347EB"/>
    <w:rsid w:val="6B434AF0"/>
    <w:rsid w:val="6B57675A"/>
    <w:rsid w:val="6B752B8A"/>
    <w:rsid w:val="6BDD7B4D"/>
    <w:rsid w:val="6C5A367A"/>
    <w:rsid w:val="6E07205E"/>
    <w:rsid w:val="6E411D77"/>
    <w:rsid w:val="6EBC0B3A"/>
    <w:rsid w:val="6EF51C7D"/>
    <w:rsid w:val="6F05633C"/>
    <w:rsid w:val="6F8363E5"/>
    <w:rsid w:val="6F8A4D6D"/>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5231AF"/>
    <w:rsid w:val="76CD2B7B"/>
    <w:rsid w:val="76D80645"/>
    <w:rsid w:val="76E03371"/>
    <w:rsid w:val="77A20C20"/>
    <w:rsid w:val="780E5898"/>
    <w:rsid w:val="782642CC"/>
    <w:rsid w:val="7894095E"/>
    <w:rsid w:val="79000679"/>
    <w:rsid w:val="79A416F0"/>
    <w:rsid w:val="79B03EB6"/>
    <w:rsid w:val="7A915298"/>
    <w:rsid w:val="7AF37579"/>
    <w:rsid w:val="7AF87F64"/>
    <w:rsid w:val="7B1C0C84"/>
    <w:rsid w:val="7B5A62DF"/>
    <w:rsid w:val="7B7A04A8"/>
    <w:rsid w:val="7C0C3F6D"/>
    <w:rsid w:val="7C22163C"/>
    <w:rsid w:val="7C595075"/>
    <w:rsid w:val="7C6B07B2"/>
    <w:rsid w:val="7D133243"/>
    <w:rsid w:val="7D25012B"/>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semiHidden/>
    <w:unhideWhenUsed/>
    <w:qFormat/>
    <w:uiPriority w:val="99"/>
    <w:pPr>
      <w:spacing w:after="120" w:line="480" w:lineRule="auto"/>
      <w:ind w:left="420" w:leftChars="200"/>
    </w:p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23">
    <w:name w:val="Body Text First Indent"/>
    <w:basedOn w:val="10"/>
    <w:qFormat/>
    <w:uiPriority w:val="0"/>
    <w:pPr>
      <w:spacing w:afterLines="50" w:line="360" w:lineRule="auto"/>
      <w:ind w:firstLine="200" w:firstLineChars="200"/>
    </w:pPr>
    <w:rPr>
      <w:rFonts w:ascii="Calibri" w:hAnsi="Calibri"/>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列表段落1"/>
    <w:basedOn w:val="1"/>
    <w:qFormat/>
    <w:uiPriority w:val="34"/>
    <w:pPr>
      <w:ind w:firstLine="420" w:firstLineChars="200"/>
    </w:pPr>
  </w:style>
  <w:style w:type="paragraph" w:customStyle="1" w:styleId="48">
    <w:name w:val="公文正文"/>
    <w:basedOn w:val="1"/>
    <w:qFormat/>
    <w:uiPriority w:val="0"/>
    <w:pPr>
      <w:spacing w:line="520" w:lineRule="exact"/>
      <w:ind w:firstLine="200" w:firstLineChars="200"/>
    </w:pPr>
    <w:rPr>
      <w:rFonts w:eastAsia="仿宋"/>
      <w:sz w:val="28"/>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z-窗体顶端1"/>
    <w:basedOn w:val="1"/>
    <w:qFormat/>
    <w:uiPriority w:val="34"/>
    <w:pPr>
      <w:ind w:firstLine="420" w:firstLineChars="200"/>
    </w:pPr>
    <w:rPr>
      <w:rFonts w:ascii="Calibri" w:hAnsi="Calibri"/>
      <w:szCs w:val="22"/>
    </w:r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sz w:val="44"/>
      <w:lang w:eastAsia="en-US"/>
    </w:rPr>
  </w:style>
  <w:style w:type="paragraph" w:customStyle="1" w:styleId="52">
    <w:name w:val="列出段落3"/>
    <w:basedOn w:val="1"/>
    <w:qFormat/>
    <w:uiPriority w:val="0"/>
    <w:pPr>
      <w:ind w:firstLine="420" w:firstLineChars="200"/>
    </w:pPr>
    <w:rPr>
      <w:rFonts w:ascii="Calibri" w:hAnsi="Calibri"/>
      <w:szCs w:val="22"/>
    </w:rPr>
  </w:style>
  <w:style w:type="character" w:customStyle="1" w:styleId="53">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31614</Words>
  <Characters>33129</Characters>
  <Lines>300</Lines>
  <Paragraphs>84</Paragraphs>
  <TotalTime>61</TotalTime>
  <ScaleCrop>false</ScaleCrop>
  <LinksUpToDate>false</LinksUpToDate>
  <CharactersWithSpaces>36353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2022-08-01T06:41:00Z</cp:lastPrinted>
  <dcterms:modified xsi:type="dcterms:W3CDTF">2022-08-03T09:13:15Z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6C1966CDC44B4D8EAC4396767D33DB2C</vt:lpwstr>
  </property>
</Properties>
</file>