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170" w:name="_GoBack"/>
      <w:bookmarkEnd w:id="170"/>
    </w:p>
    <w:p/>
    <w:p/>
    <w:p/>
    <w:p/>
    <w:p/>
    <w:p>
      <w:pPr>
        <w:jc w:val="center"/>
        <w:rPr>
          <w:rFonts w:hint="eastAsia" w:ascii="方正小标宋简体" w:eastAsia="方正小标宋简体"/>
          <w:sz w:val="52"/>
          <w:szCs w:val="52"/>
        </w:rPr>
      </w:pPr>
      <w:r>
        <w:rPr>
          <w:rFonts w:hint="eastAsia" w:ascii="方正小标宋简体" w:eastAsia="方正小标宋简体"/>
          <w:sz w:val="52"/>
          <w:szCs w:val="52"/>
        </w:rPr>
        <w:t>广州市净水有限公司</w:t>
      </w:r>
      <w:r>
        <w:rPr>
          <w:rFonts w:hint="eastAsia" w:ascii="方正小标宋简体" w:eastAsia="方正小标宋简体"/>
          <w:sz w:val="52"/>
          <w:szCs w:val="52"/>
          <w:lang w:val="en-US" w:eastAsia="zh-CN"/>
        </w:rPr>
        <w:t>水质中心</w:t>
      </w:r>
      <w:r>
        <w:rPr>
          <w:rFonts w:hint="eastAsia" w:ascii="方正小标宋简体" w:eastAsia="方正小标宋简体"/>
          <w:sz w:val="52"/>
          <w:szCs w:val="52"/>
        </w:rPr>
        <w:t>2022年实验室化验仪器及辅助设备采购项目</w:t>
      </w: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cs="仿宋_GB2312"/>
          <w:sz w:val="32"/>
          <w:szCs w:val="32"/>
        </w:rPr>
        <w:t>广州市净水有限公司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七</w:t>
      </w:r>
      <w:r>
        <w:rPr>
          <w:rFonts w:hint="eastAsia" w:ascii="黑体" w:hAnsi="黑体" w:eastAsia="黑体" w:cs="仿宋_GB2312"/>
          <w:sz w:val="32"/>
          <w:szCs w:val="32"/>
        </w:rPr>
        <w:t>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35"/>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17"/>
        <w:numPr>
          <w:ilvl w:val="0"/>
          <w:numId w:val="1"/>
        </w:numPr>
        <w:tabs>
          <w:tab w:val="right" w:pos="8844"/>
        </w:tabs>
      </w:pPr>
      <w:r>
        <w:rPr>
          <w:rFonts w:hint="eastAsia"/>
        </w:rPr>
        <w:t>采购公告（采购邀请书）</w:t>
      </w:r>
    </w:p>
    <w:p>
      <w:pPr>
        <w:pStyle w:val="17"/>
        <w:numPr>
          <w:ilvl w:val="0"/>
          <w:numId w:val="1"/>
        </w:numPr>
        <w:tabs>
          <w:tab w:val="right" w:pos="8844"/>
        </w:tabs>
      </w:pPr>
      <w:r>
        <w:rPr>
          <w:rFonts w:hint="eastAsia"/>
        </w:rPr>
        <w:t>供应商须知</w:t>
      </w:r>
    </w:p>
    <w:p>
      <w:pPr>
        <w:pStyle w:val="17"/>
        <w:numPr>
          <w:ilvl w:val="0"/>
          <w:numId w:val="1"/>
        </w:numPr>
        <w:tabs>
          <w:tab w:val="right" w:pos="8844"/>
        </w:tabs>
      </w:pPr>
      <w:r>
        <w:rPr>
          <w:rFonts w:hint="eastAsia"/>
        </w:rPr>
        <w:t>采购方法</w:t>
      </w:r>
    </w:p>
    <w:p>
      <w:pPr>
        <w:pStyle w:val="17"/>
        <w:numPr>
          <w:ilvl w:val="0"/>
          <w:numId w:val="1"/>
        </w:numPr>
        <w:tabs>
          <w:tab w:val="right" w:pos="8844"/>
        </w:tabs>
      </w:pPr>
      <w:r>
        <w:rPr>
          <w:rFonts w:hint="eastAsia"/>
        </w:rPr>
        <w:t>评审方法</w:t>
      </w:r>
    </w:p>
    <w:p>
      <w:pPr>
        <w:pStyle w:val="17"/>
        <w:numPr>
          <w:ilvl w:val="0"/>
          <w:numId w:val="1"/>
        </w:numPr>
        <w:tabs>
          <w:tab w:val="right" w:pos="8844"/>
        </w:tabs>
      </w:pPr>
      <w:r>
        <w:rPr>
          <w:rFonts w:hint="eastAsia"/>
        </w:rPr>
        <w:t>采购需求</w:t>
      </w:r>
    </w:p>
    <w:p>
      <w:pPr>
        <w:pStyle w:val="17"/>
        <w:numPr>
          <w:ilvl w:val="0"/>
          <w:numId w:val="1"/>
        </w:numPr>
        <w:tabs>
          <w:tab w:val="right" w:pos="8844"/>
        </w:tabs>
      </w:pPr>
      <w:r>
        <w:rPr>
          <w:rFonts w:hint="eastAsia"/>
        </w:rPr>
        <w:t>合同草案</w:t>
      </w:r>
    </w:p>
    <w:p>
      <w:pPr>
        <w:pStyle w:val="17"/>
        <w:numPr>
          <w:ilvl w:val="0"/>
          <w:numId w:val="1"/>
        </w:numPr>
        <w:tabs>
          <w:tab w:val="right" w:pos="8844"/>
        </w:tabs>
      </w:pPr>
      <w:r>
        <w:rPr>
          <w:rFonts w:hint="eastAsia"/>
        </w:rPr>
        <w:t>响应文件格式要求</w:t>
      </w:r>
    </w:p>
    <w:p>
      <w:pPr>
        <w:pStyle w:val="21"/>
        <w:rPr>
          <w:color w:val="auto"/>
        </w:rPr>
      </w:pPr>
    </w:p>
    <w:p>
      <w:pPr>
        <w:adjustRightInd w:val="0"/>
        <w:snapToGrid w:val="0"/>
        <w:spacing w:line="600" w:lineRule="exact"/>
        <w:ind w:firstLine="560" w:firstLineChars="200"/>
        <w:jc w:val="left"/>
        <w:rPr>
          <w:rFonts w:ascii="仿宋_GB2312" w:eastAsia="仿宋_GB2312"/>
          <w:sz w:val="28"/>
          <w:szCs w:val="28"/>
        </w:rPr>
      </w:pPr>
    </w:p>
    <w:p>
      <w:pPr>
        <w:pStyle w:val="3"/>
      </w:pPr>
      <w:bookmarkStart w:id="0" w:name="_Toc18145"/>
      <w:bookmarkStart w:id="1" w:name="_Toc26148"/>
    </w:p>
    <w:p/>
    <w:p>
      <w:pPr>
        <w:pStyle w:val="3"/>
      </w:pPr>
      <w:bookmarkStart w:id="2" w:name="_Toc17696"/>
      <w:bookmarkStart w:id="3" w:name="_Toc1711"/>
    </w:p>
    <w:p/>
    <w:p>
      <w:pPr>
        <w:pStyle w:val="21"/>
        <w:rPr>
          <w:color w:val="auto"/>
        </w:rPr>
      </w:pPr>
    </w:p>
    <w:p>
      <w:pPr>
        <w:pStyle w:val="21"/>
        <w:rPr>
          <w:color w:val="auto"/>
        </w:rPr>
      </w:pPr>
    </w:p>
    <w:p>
      <w:pPr>
        <w:pStyle w:val="21"/>
        <w:rPr>
          <w:color w:val="auto"/>
        </w:rPr>
      </w:pPr>
    </w:p>
    <w:p>
      <w:pPr>
        <w:pStyle w:val="21"/>
        <w:rPr>
          <w:color w:val="auto"/>
        </w:rPr>
      </w:pPr>
    </w:p>
    <w:p>
      <w:pPr>
        <w:pStyle w:val="3"/>
      </w:pPr>
      <w:bookmarkStart w:id="4" w:name="_Toc1669"/>
      <w:bookmarkStart w:id="5" w:name="_Toc19609"/>
      <w:bookmarkStart w:id="6" w:name="_Toc7519"/>
      <w:bookmarkStart w:id="7" w:name="_Toc31938"/>
      <w:bookmarkStart w:id="8" w:name="_Toc4275"/>
      <w:bookmarkStart w:id="9" w:name="_Toc17801"/>
      <w:bookmarkStart w:id="10" w:name="_Toc11322"/>
    </w:p>
    <w:p>
      <w:pPr>
        <w:pStyle w:val="3"/>
      </w:pPr>
    </w:p>
    <w:p>
      <w:pPr>
        <w:pStyle w:val="3"/>
      </w:pPr>
    </w:p>
    <w:p>
      <w:pPr>
        <w:pStyle w:val="3"/>
      </w:pPr>
      <w: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7"/>
      </w:pPr>
    </w:p>
    <w:p>
      <w:pPr>
        <w:pStyle w:val="3"/>
      </w:pPr>
      <w:r>
        <w:rPr>
          <w:rFonts w:hint="eastAsia"/>
        </w:rPr>
        <w:t>采购公告（采购邀请书）</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1"/>
        <w:rPr>
          <w:rFonts w:ascii="方正小标宋简体" w:eastAsia="方正小标宋简体"/>
          <w:color w:val="auto"/>
          <w:sz w:val="44"/>
          <w:szCs w:val="44"/>
        </w:rPr>
      </w:pPr>
    </w:p>
    <w:p>
      <w:pPr>
        <w:pStyle w:val="21"/>
        <w:rPr>
          <w:rFonts w:ascii="方正小标宋简体" w:eastAsia="方正小标宋简体"/>
          <w:color w:val="auto"/>
          <w:sz w:val="44"/>
          <w:szCs w:val="44"/>
        </w:rPr>
      </w:pPr>
    </w:p>
    <w:p>
      <w:pPr>
        <w:pStyle w:val="21"/>
        <w:rPr>
          <w:rFonts w:ascii="方正小标宋简体" w:eastAsia="方正小标宋简体"/>
          <w:color w:val="auto"/>
          <w:sz w:val="44"/>
          <w:szCs w:val="44"/>
        </w:rPr>
      </w:pPr>
    </w:p>
    <w:p>
      <w:pPr>
        <w:pStyle w:val="21"/>
        <w:rPr>
          <w:rFonts w:ascii="方正小标宋简体" w:eastAsia="方正小标宋简体"/>
          <w:color w:val="auto"/>
          <w:sz w:val="44"/>
          <w:szCs w:val="44"/>
        </w:rPr>
      </w:pPr>
    </w:p>
    <w:p>
      <w:pPr>
        <w:pStyle w:val="21"/>
        <w:rPr>
          <w:rFonts w:ascii="仿宋_GB2312" w:eastAsia="仿宋_GB2312"/>
          <w:color w:val="auto"/>
          <w:sz w:val="28"/>
          <w:szCs w:val="28"/>
        </w:rPr>
      </w:pPr>
    </w:p>
    <w:p>
      <w:pPr>
        <w:adjustRightInd w:val="0"/>
        <w:snapToGrid w:val="0"/>
        <w:spacing w:before="156" w:beforeLines="50" w:after="156" w:afterLines="50" w:line="600" w:lineRule="exact"/>
        <w:jc w:val="left"/>
      </w:pPr>
      <w:r>
        <w:rPr>
          <w:rFonts w:hint="eastAsia" w:asciiTheme="minorEastAsia" w:hAnsiTheme="minorEastAsia"/>
          <w:sz w:val="24"/>
          <w:szCs w:val="24"/>
        </w:rPr>
        <w:t>适用于纸质评审的公开采购方式</w:t>
      </w:r>
    </w:p>
    <w:p>
      <w:pPr>
        <w:pStyle w:val="3"/>
      </w:pPr>
      <w:bookmarkStart w:id="11" w:name="_Toc9680"/>
      <w:bookmarkStart w:id="12" w:name="_Toc21373"/>
      <w:r>
        <w:rPr>
          <w:rFonts w:hint="eastAsia"/>
        </w:rPr>
        <w:t>采购公告（采购邀请书）</w:t>
      </w:r>
    </w:p>
    <w:bookmarkEnd w:id="11"/>
    <w:bookmarkEnd w:id="12"/>
    <w:p>
      <w:pPr>
        <w:adjustRightInd w:val="0"/>
        <w:snapToGrid w:val="0"/>
        <w:spacing w:line="600" w:lineRule="exact"/>
        <w:ind w:firstLine="560" w:firstLineChars="200"/>
        <w:jc w:val="left"/>
        <w:rPr>
          <w:rFonts w:ascii="仿宋_GB2312" w:eastAsia="仿宋_GB2312"/>
          <w:sz w:val="28"/>
          <w:szCs w:val="28"/>
          <w:u w:val="single"/>
        </w:rPr>
      </w:pPr>
      <w:bookmarkStart w:id="13" w:name="_Hlk108013665"/>
      <w:r>
        <w:rPr>
          <w:rFonts w:hint="eastAsia" w:ascii="仿宋_GB2312" w:eastAsia="仿宋_GB2312"/>
          <w:sz w:val="28"/>
          <w:szCs w:val="28"/>
          <w:u w:val="single"/>
        </w:rPr>
        <w:t>广州市净水有限公司</w:t>
      </w:r>
      <w:r>
        <w:rPr>
          <w:rFonts w:hint="eastAsia" w:ascii="仿宋_GB2312" w:eastAsia="仿宋_GB2312"/>
          <w:sz w:val="28"/>
          <w:szCs w:val="28"/>
          <w:u w:val="single"/>
          <w:lang w:val="en-US" w:eastAsia="zh-CN"/>
        </w:rPr>
        <w:t>水质中心</w:t>
      </w:r>
      <w:r>
        <w:rPr>
          <w:rFonts w:hint="eastAsia" w:ascii="仿宋_GB2312" w:eastAsia="仿宋_GB2312"/>
          <w:sz w:val="28"/>
          <w:szCs w:val="28"/>
          <w:u w:val="single"/>
        </w:rPr>
        <w:t>2022年实验室化验仪器及辅助设备</w:t>
      </w:r>
      <w:bookmarkEnd w:id="13"/>
      <w:r>
        <w:rPr>
          <w:rFonts w:hint="eastAsia" w:ascii="仿宋_GB2312" w:eastAsia="仿宋_GB2312"/>
          <w:sz w:val="28"/>
          <w:szCs w:val="28"/>
          <w:u w:val="single"/>
        </w:rPr>
        <w:t>采购项目</w:t>
      </w:r>
      <w:r>
        <w:rPr>
          <w:rFonts w:hint="eastAsia" w:ascii="仿宋_GB2312" w:eastAsia="仿宋_GB2312"/>
          <w:sz w:val="28"/>
          <w:szCs w:val="28"/>
        </w:rPr>
        <w:t xml:space="preserve">已具备采购条件，现邀请合格单位参加本□施工  </w:t>
      </w:r>
      <w:r>
        <w:rPr>
          <w:rFonts w:hint="eastAsia" w:ascii="仿宋_GB2312" w:eastAsia="仿宋_GB2312"/>
          <w:sz w:val="28"/>
          <w:szCs w:val="28"/>
        </w:rPr>
        <w:sym w:font="Wingdings 2" w:char="0052"/>
      </w:r>
      <w:r>
        <w:rPr>
          <w:rFonts w:hint="eastAsia" w:ascii="仿宋_GB2312" w:eastAsia="仿宋_GB2312"/>
          <w:sz w:val="28"/>
          <w:szCs w:val="28"/>
        </w:rPr>
        <w:t>货物 □服务项目采购活动，采用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rPr>
        <w:t xml:space="preserve">邀请询比 </w:t>
      </w:r>
      <w:r>
        <w:rPr>
          <w:rFonts w:hint="eastAsia" w:ascii="仿宋_GB2312" w:eastAsia="仿宋_GB2312"/>
          <w:sz w:val="28"/>
          <w:szCs w:val="28"/>
          <w:u w:val="single"/>
        </w:rPr>
        <w:sym w:font="Wingdings 2" w:char="0052"/>
      </w:r>
      <w:r>
        <w:rPr>
          <w:rFonts w:hint="eastAsia" w:ascii="仿宋_GB2312" w:eastAsia="仿宋_GB2312"/>
          <w:sz w:val="28"/>
          <w:szCs w:val="28"/>
          <w:u w:val="single"/>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广州市净水有限公司</w:t>
      </w:r>
      <w:r>
        <w:rPr>
          <w:rFonts w:hint="eastAsia" w:ascii="仿宋_GB2312" w:eastAsia="仿宋_GB2312"/>
          <w:sz w:val="28"/>
          <w:szCs w:val="28"/>
          <w:u w:val="single"/>
          <w:lang w:val="en-US" w:eastAsia="zh-CN"/>
        </w:rPr>
        <w:t>水质中心</w:t>
      </w:r>
      <w:r>
        <w:rPr>
          <w:rFonts w:hint="eastAsia" w:ascii="仿宋_GB2312" w:eastAsia="仿宋_GB2312"/>
          <w:sz w:val="28"/>
          <w:szCs w:val="28"/>
          <w:u w:val="single"/>
        </w:rPr>
        <w:t xml:space="preserve">2022年实验室化验仪器及辅助设备采购项目 </w:t>
      </w:r>
      <w:r>
        <w:rPr>
          <w:rFonts w:hint="eastAsia" w:ascii="仿宋_GB2312" w:eastAsia="仿宋_GB2312"/>
          <w:sz w:val="28"/>
          <w:szCs w:val="28"/>
        </w:rPr>
        <w:t xml:space="preserve">  </w:t>
      </w:r>
    </w:p>
    <w:p>
      <w:pPr>
        <w:adjustRightInd w:val="0"/>
        <w:snapToGrid w:val="0"/>
        <w:spacing w:line="600" w:lineRule="exact"/>
        <w:jc w:val="left"/>
        <w:rPr>
          <w:rFonts w:hint="default" w:ascii="仿宋_GB2312" w:eastAsia="仿宋_GB2312"/>
          <w:sz w:val="28"/>
          <w:szCs w:val="28"/>
          <w:u w:val="single"/>
          <w:lang w:val="en-US" w:eastAsia="zh-CN"/>
        </w:rPr>
      </w:pPr>
      <w:r>
        <w:rPr>
          <w:rFonts w:hint="eastAsia" w:ascii="仿宋_GB2312" w:eastAsia="仿宋_GB2312"/>
          <w:sz w:val="28"/>
          <w:szCs w:val="28"/>
        </w:rPr>
        <w:t>1.2项目编号：</w:t>
      </w:r>
      <w:r>
        <w:rPr>
          <w:rFonts w:hint="eastAsia" w:ascii="仿宋_GB2312" w:eastAsia="仿宋_GB2312"/>
          <w:sz w:val="28"/>
          <w:szCs w:val="28"/>
          <w:lang w:val="en-US" w:eastAsia="zh-CN"/>
        </w:rPr>
        <w:t>XJ-20220723-1</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1.3资金来源：</w:t>
      </w:r>
      <w:r>
        <w:rPr>
          <w:rFonts w:hint="eastAsia" w:ascii="仿宋_GB2312" w:eastAsia="仿宋_GB2312"/>
          <w:sz w:val="28"/>
          <w:szCs w:val="28"/>
          <w:u w:val="single"/>
        </w:rPr>
        <w:t xml:space="preserve">自有资金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1.4最高限价（元）：</w:t>
      </w:r>
      <w:r>
        <w:rPr>
          <w:rFonts w:hint="eastAsia" w:ascii="仿宋_GB2312" w:eastAsia="仿宋_GB2312"/>
          <w:sz w:val="28"/>
          <w:szCs w:val="28"/>
          <w:u w:val="single"/>
          <w:lang w:val="en-US" w:eastAsia="zh-CN"/>
        </w:rPr>
        <w:t>891078.00</w:t>
      </w:r>
      <w:r>
        <w:rPr>
          <w:rFonts w:hint="eastAsia" w:ascii="仿宋_GB2312" w:eastAsia="仿宋_GB2312"/>
          <w:sz w:val="28"/>
          <w:szCs w:val="28"/>
          <w:u w:val="single"/>
        </w:rPr>
        <w:t>元（人民币）</w:t>
      </w: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rPr>
        <w:t>1.5标段划分：</w:t>
      </w:r>
      <w:r>
        <w:rPr>
          <w:rFonts w:hint="eastAsia" w:ascii="仿宋_GB2312" w:eastAsia="仿宋_GB2312"/>
          <w:sz w:val="28"/>
          <w:szCs w:val="28"/>
          <w:u w:val="single"/>
        </w:rPr>
        <w:t xml:space="preserve"> 无</w:t>
      </w: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2.1采购内容和范围：</w:t>
      </w:r>
      <w:r>
        <w:rPr>
          <w:rFonts w:hint="eastAsia" w:ascii="仿宋_GB2312" w:eastAsia="仿宋_GB2312"/>
          <w:sz w:val="28"/>
          <w:szCs w:val="28"/>
          <w:u w:val="single"/>
        </w:rPr>
        <w:t>项目拟定采购电子分析天平、酸度计、离心机、COD消解装置、便携式水质分析仪、紫外可见分光光度计、超纯水机等化验仪器及辅助设备。</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2.2项目工期：□计划工期   </w:t>
      </w:r>
      <w:r>
        <w:rPr>
          <w:rFonts w:hint="eastAsia" w:ascii="仿宋_GB2312" w:eastAsia="仿宋_GB2312"/>
          <w:sz w:val="28"/>
          <w:szCs w:val="28"/>
        </w:rPr>
        <w:sym w:font="Wingdings 2" w:char="0052"/>
      </w:r>
      <w:r>
        <w:rPr>
          <w:rFonts w:hint="eastAsia" w:ascii="仿宋_GB2312" w:eastAsia="仿宋_GB2312"/>
          <w:sz w:val="28"/>
          <w:szCs w:val="28"/>
        </w:rPr>
        <w:t>交货期  □服务期为</w:t>
      </w:r>
      <w:r>
        <w:rPr>
          <w:rFonts w:hint="eastAsia" w:ascii="仿宋_GB2312" w:eastAsia="仿宋_GB2312"/>
          <w:sz w:val="28"/>
          <w:szCs w:val="28"/>
          <w:u w:val="single"/>
        </w:rPr>
        <w:t xml:space="preserve">   国产仪器45 个工作日，进口仪器60 个工作日。</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2.3地点：□建设地点  </w:t>
      </w:r>
      <w:r>
        <w:rPr>
          <w:rFonts w:hint="eastAsia" w:ascii="仿宋_GB2312" w:eastAsia="仿宋_GB2312"/>
          <w:sz w:val="28"/>
          <w:szCs w:val="28"/>
        </w:rPr>
        <w:sym w:font="Wingdings 2" w:char="0052"/>
      </w:r>
      <w:r>
        <w:rPr>
          <w:rFonts w:hint="eastAsia" w:ascii="仿宋_GB2312" w:eastAsia="仿宋_GB2312"/>
          <w:sz w:val="28"/>
          <w:szCs w:val="28"/>
        </w:rPr>
        <w:t>交货地点  □服务地点位于</w:t>
      </w:r>
      <w:r>
        <w:rPr>
          <w:rFonts w:hint="eastAsia" w:ascii="仿宋_GB2312" w:eastAsia="仿宋_GB2312"/>
          <w:sz w:val="28"/>
          <w:szCs w:val="28"/>
          <w:u w:val="single"/>
        </w:rPr>
        <w:t>广州市净水有限公司水质检测中心。</w:t>
      </w:r>
    </w:p>
    <w:p>
      <w:pPr>
        <w:adjustRightInd w:val="0"/>
        <w:snapToGrid w:val="0"/>
        <w:spacing w:line="600" w:lineRule="exact"/>
        <w:ind w:left="420" w:right="-370" w:rightChars="-176" w:hanging="420" w:hangingChars="150"/>
        <w:jc w:val="left"/>
        <w:rPr>
          <w:rFonts w:ascii="仿宋_GB2312" w:eastAsia="仿宋_GB2312"/>
          <w:sz w:val="28"/>
          <w:szCs w:val="28"/>
          <w:u w:val="single"/>
        </w:rPr>
      </w:pPr>
      <w:r>
        <w:rPr>
          <w:rFonts w:hint="eastAsia" w:ascii="仿宋_GB2312" w:eastAsia="仿宋_GB2312"/>
          <w:sz w:val="28"/>
          <w:szCs w:val="28"/>
        </w:rPr>
        <w:t xml:space="preserve">2.4质量要求：□施工质量要求   </w:t>
      </w:r>
      <w:r>
        <w:rPr>
          <w:rFonts w:hint="eastAsia" w:ascii="仿宋_GB2312" w:eastAsia="仿宋_GB2312"/>
          <w:sz w:val="28"/>
          <w:szCs w:val="28"/>
        </w:rPr>
        <w:sym w:font="Wingdings 2" w:char="0052"/>
      </w:r>
      <w:r>
        <w:rPr>
          <w:rFonts w:hint="eastAsia" w:ascii="仿宋_GB2312" w:eastAsia="仿宋_GB2312"/>
          <w:sz w:val="28"/>
          <w:szCs w:val="28"/>
        </w:rPr>
        <w:t>货物质量标准或主要技术性能指标  □服务质量要求或服务标准如下：</w:t>
      </w:r>
      <w:r>
        <w:rPr>
          <w:rFonts w:hint="eastAsia" w:ascii="仿宋_GB2312" w:eastAsia="仿宋_GB2312"/>
          <w:sz w:val="28"/>
          <w:szCs w:val="28"/>
          <w:u w:val="single"/>
        </w:rPr>
        <w:t xml:space="preserve"> 所提供报价仪器/设备均为制造商全新原装产品，且符合本项目仪器设备的技术参数及功能要求。</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3.供应商资格要求（须提供复印件并加盖单位公章）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（2）供应商应当具备</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w:t>
      </w:r>
      <w:r>
        <w:rPr>
          <w:rFonts w:hint="eastAsia" w:ascii="仿宋_GB2312" w:eastAsia="仿宋_GB2312"/>
          <w:sz w:val="28"/>
          <w:szCs w:val="28"/>
          <w:u w:val="single"/>
        </w:rPr>
        <w:t xml:space="preserve">                    </w:t>
      </w:r>
      <w:r>
        <w:rPr>
          <w:rFonts w:hint="eastAsia" w:ascii="仿宋_GB2312" w:eastAsia="仿宋_GB2312"/>
          <w:sz w:val="28"/>
          <w:szCs w:val="28"/>
        </w:rPr>
        <w:t>资质。</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（3）</w:t>
      </w:r>
      <w:r>
        <w:rPr>
          <w:rFonts w:hint="eastAsia" w:ascii="仿宋_GB2312" w:eastAsia="仿宋_GB2312"/>
          <w:sz w:val="28"/>
          <w:szCs w:val="28"/>
          <w:u w:val="single"/>
        </w:rPr>
        <w:t>2019</w:t>
      </w:r>
      <w:r>
        <w:rPr>
          <w:rFonts w:hint="eastAsia" w:ascii="仿宋_GB2312" w:eastAsia="仿宋_GB2312"/>
          <w:sz w:val="28"/>
          <w:szCs w:val="28"/>
        </w:rPr>
        <w:t>年1月1日至今，供应商最少具有一项</w:t>
      </w:r>
      <w:r>
        <w:rPr>
          <w:rFonts w:hint="eastAsia" w:ascii="仿宋_GB2312" w:eastAsia="仿宋_GB2312"/>
          <w:sz w:val="28"/>
          <w:szCs w:val="28"/>
          <w:lang w:val="en-US" w:eastAsia="zh-CN"/>
        </w:rPr>
        <w:t>单项</w:t>
      </w:r>
      <w:r>
        <w:rPr>
          <w:rFonts w:hint="eastAsia" w:ascii="仿宋_GB2312" w:eastAsia="仿宋_GB2312"/>
          <w:sz w:val="28"/>
          <w:szCs w:val="28"/>
        </w:rPr>
        <w:t>合同金额不少于</w:t>
      </w:r>
      <w:r>
        <w:rPr>
          <w:rFonts w:hint="eastAsia" w:ascii="仿宋_GB2312" w:eastAsia="仿宋_GB2312"/>
          <w:sz w:val="28"/>
          <w:szCs w:val="28"/>
          <w:lang w:val="en-US" w:eastAsia="zh-CN"/>
        </w:rPr>
        <w:t>55</w:t>
      </w:r>
      <w:r>
        <w:rPr>
          <w:rFonts w:hint="eastAsia" w:ascii="仿宋_GB2312" w:eastAsia="仿宋_GB2312"/>
          <w:sz w:val="28"/>
          <w:szCs w:val="28"/>
        </w:rPr>
        <w:t>万元的</w:t>
      </w:r>
      <w:r>
        <w:rPr>
          <w:rFonts w:hint="eastAsia" w:ascii="仿宋_GB2312" w:eastAsia="仿宋_GB2312"/>
          <w:sz w:val="28"/>
          <w:szCs w:val="28"/>
          <w:u w:val="single"/>
        </w:rPr>
        <w:t>化验仪器设备供货</w:t>
      </w:r>
      <w:r>
        <w:rPr>
          <w:rFonts w:hint="eastAsia" w:ascii="仿宋_GB2312" w:eastAsia="仿宋_GB2312"/>
          <w:sz w:val="28"/>
          <w:szCs w:val="28"/>
        </w:rPr>
        <w:t>的业绩。（提供合同复印件证明，包括但不限于项目名称、金额及实施内容、合同签字盖章、签订日期，加盖单位公章）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（4）项目负责人应当具备</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w:t>
      </w:r>
      <w:r>
        <w:rPr>
          <w:rFonts w:hint="eastAsia" w:ascii="仿宋_GB2312" w:eastAsia="仿宋_GB2312"/>
          <w:sz w:val="28"/>
          <w:szCs w:val="28"/>
          <w:u w:val="single"/>
        </w:rPr>
        <w:t xml:space="preserve">            </w:t>
      </w:r>
      <w:r>
        <w:rPr>
          <w:rFonts w:hint="eastAsia" w:ascii="仿宋_GB2312" w:eastAsia="仿宋_GB2312"/>
          <w:sz w:val="28"/>
          <w:szCs w:val="28"/>
        </w:rPr>
        <w:t>资格条件。</w:t>
      </w:r>
    </w:p>
    <w:p>
      <w:pPr>
        <w:pStyle w:val="21"/>
        <w:spacing w:line="600" w:lineRule="exact"/>
        <w:ind w:firstLine="0"/>
        <w:jc w:val="left"/>
        <w:rPr>
          <w:rFonts w:ascii="仿宋_GB2312" w:eastAsia="仿宋_GB2312"/>
          <w:color w:val="auto"/>
          <w:sz w:val="28"/>
          <w:szCs w:val="28"/>
          <w:u w:val="single"/>
        </w:rPr>
      </w:pPr>
      <w:r>
        <w:rPr>
          <w:rFonts w:hint="eastAsia" w:ascii="仿宋_GB2312" w:eastAsia="仿宋_GB2312"/>
          <w:color w:val="auto"/>
          <w:sz w:val="28"/>
          <w:szCs w:val="28"/>
        </w:rPr>
        <w:sym w:font="Wingdings 2" w:char="0052"/>
      </w:r>
      <w:r>
        <w:rPr>
          <w:rFonts w:hint="eastAsia" w:ascii="仿宋_GB2312" w:eastAsia="仿宋_GB2312"/>
          <w:color w:val="auto"/>
          <w:sz w:val="28"/>
          <w:szCs w:val="28"/>
        </w:rPr>
        <w:t>（5）</w:t>
      </w:r>
      <w:r>
        <w:rPr>
          <w:rFonts w:hint="eastAsia" w:ascii="仿宋" w:hAnsi="仿宋" w:eastAsia="仿宋" w:cs="仿宋"/>
          <w:color w:val="auto"/>
          <w:sz w:val="28"/>
          <w:szCs w:val="28"/>
        </w:rPr>
        <w:t>其他要求：</w:t>
      </w:r>
      <w:r>
        <w:rPr>
          <w:rFonts w:hint="eastAsia" w:ascii="仿宋" w:hAnsi="仿宋" w:eastAsia="仿宋" w:cs="仿宋"/>
          <w:color w:val="auto"/>
          <w:sz w:val="28"/>
          <w:szCs w:val="28"/>
          <w:u w:val="single"/>
        </w:rPr>
        <w:t>供应商须出具承诺函，承诺所提供报价货物/设备均为制造商全新原装产品。</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3.2供应商在响应文件提交截止日期止不得存在下列情形之一（须出具承诺函）：</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lang w:val="en-US" w:eastAsia="zh-CN"/>
        </w:rPr>
        <w:t>2022</w:t>
      </w:r>
      <w:r>
        <w:rPr>
          <w:rFonts w:hint="eastAsia" w:ascii="仿宋_GB2312" w:eastAsia="仿宋_GB2312"/>
          <w:sz w:val="28"/>
          <w:szCs w:val="28"/>
        </w:rPr>
        <w:t>年</w:t>
      </w:r>
      <w:r>
        <w:rPr>
          <w:rFonts w:hint="eastAsia" w:ascii="仿宋_GB2312" w:eastAsia="仿宋_GB2312"/>
          <w:sz w:val="28"/>
          <w:szCs w:val="28"/>
          <w:u w:val="single"/>
          <w:lang w:val="en-US" w:eastAsia="zh-CN"/>
        </w:rPr>
        <w:t>7</w:t>
      </w:r>
      <w:r>
        <w:rPr>
          <w:rFonts w:hint="eastAsia" w:ascii="仿宋_GB2312" w:eastAsia="仿宋_GB2312"/>
          <w:sz w:val="28"/>
          <w:szCs w:val="28"/>
        </w:rPr>
        <w:t>月</w:t>
      </w:r>
      <w:r>
        <w:rPr>
          <w:rFonts w:hint="eastAsia" w:ascii="仿宋_GB2312" w:eastAsia="仿宋_GB2312"/>
          <w:sz w:val="28"/>
          <w:szCs w:val="28"/>
          <w:u w:val="single"/>
          <w:lang w:val="en-US" w:eastAsia="zh-CN"/>
        </w:rPr>
        <w:t>27</w:t>
      </w:r>
      <w:r>
        <w:rPr>
          <w:rFonts w:hint="eastAsia" w:ascii="仿宋_GB2312" w:eastAsia="仿宋_GB2312"/>
          <w:sz w:val="28"/>
          <w:szCs w:val="28"/>
        </w:rPr>
        <w:t>日至</w:t>
      </w:r>
      <w:r>
        <w:rPr>
          <w:rFonts w:hint="eastAsia" w:ascii="仿宋_GB2312" w:eastAsia="仿宋_GB2312"/>
          <w:sz w:val="28"/>
          <w:szCs w:val="28"/>
          <w:u w:val="single"/>
          <w:lang w:val="en-US" w:eastAsia="zh-CN"/>
        </w:rPr>
        <w:t>2022</w:t>
      </w:r>
      <w:r>
        <w:rPr>
          <w:rFonts w:hint="eastAsia" w:ascii="仿宋_GB2312" w:eastAsia="仿宋_GB2312"/>
          <w:sz w:val="28"/>
          <w:szCs w:val="28"/>
        </w:rPr>
        <w:t>年</w:t>
      </w:r>
      <w:r>
        <w:rPr>
          <w:rFonts w:hint="eastAsia" w:ascii="仿宋_GB2312" w:eastAsia="仿宋_GB2312"/>
          <w:sz w:val="28"/>
          <w:szCs w:val="28"/>
          <w:u w:val="single"/>
          <w:lang w:val="en-US" w:eastAsia="zh-CN"/>
        </w:rPr>
        <w:t>7</w:t>
      </w:r>
      <w:r>
        <w:rPr>
          <w:rFonts w:hint="eastAsia" w:ascii="仿宋_GB2312" w:eastAsia="仿宋_GB2312"/>
          <w:sz w:val="28"/>
          <w:szCs w:val="28"/>
        </w:rPr>
        <w:t>月</w:t>
      </w:r>
      <w:r>
        <w:rPr>
          <w:rFonts w:hint="eastAsia" w:ascii="仿宋_GB2312" w:eastAsia="仿宋_GB2312"/>
          <w:sz w:val="28"/>
          <w:szCs w:val="28"/>
          <w:u w:val="single"/>
          <w:lang w:val="en-US" w:eastAsia="zh-CN"/>
        </w:rPr>
        <w:t>31</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踏勘现场</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不组织</w:t>
      </w:r>
    </w:p>
    <w:p>
      <w:pPr>
        <w:adjustRightInd w:val="0"/>
        <w:snapToGrid w:val="0"/>
        <w:spacing w:line="360" w:lineRule="auto"/>
        <w:jc w:val="left"/>
        <w:rPr>
          <w:rFonts w:asciiTheme="minorEastAsia" w:hAnsiTheme="minorEastAsia"/>
          <w:b/>
          <w:sz w:val="32"/>
          <w:szCs w:val="32"/>
        </w:rPr>
      </w:pPr>
      <w:r>
        <w:rPr>
          <w:rFonts w:hint="eastAsia" w:ascii="仿宋_GB2312" w:eastAsia="仿宋_GB2312"/>
          <w:sz w:val="28"/>
          <w:szCs w:val="28"/>
        </w:rPr>
        <w:t>□组织：</w:t>
      </w:r>
      <w:r>
        <w:rPr>
          <w:rFonts w:hint="eastAsia" w:ascii="仿宋_GB2312" w:hAnsi="仿宋" w:eastAsia="仿宋_GB2312" w:cs="仿宋_GB2312"/>
          <w:color w:val="000000" w:themeColor="text1"/>
          <w:sz w:val="28"/>
          <w:szCs w:val="28"/>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eastAsia="仿宋_GB2312"/>
          <w:sz w:val="28"/>
          <w:szCs w:val="28"/>
        </w:rPr>
        <w:t xml:space="preserve">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6.1递交响应文件截止时间：</w:t>
      </w:r>
      <w:r>
        <w:rPr>
          <w:rFonts w:hint="eastAsia" w:ascii="仿宋_GB2312" w:eastAsia="仿宋_GB2312"/>
          <w:sz w:val="28"/>
          <w:szCs w:val="28"/>
          <w:u w:val="single"/>
          <w:lang w:val="en-US" w:eastAsia="zh-CN"/>
        </w:rPr>
        <w:t>2022</w:t>
      </w:r>
      <w:r>
        <w:rPr>
          <w:rFonts w:hint="eastAsia" w:ascii="仿宋_GB2312" w:eastAsia="仿宋_GB2312"/>
          <w:sz w:val="28"/>
          <w:szCs w:val="28"/>
        </w:rPr>
        <w:t>年</w:t>
      </w:r>
      <w:r>
        <w:rPr>
          <w:rFonts w:hint="eastAsia" w:ascii="仿宋_GB2312" w:eastAsia="仿宋_GB2312"/>
          <w:sz w:val="28"/>
          <w:szCs w:val="28"/>
          <w:u w:val="single"/>
          <w:lang w:val="en-US" w:eastAsia="zh-CN"/>
        </w:rPr>
        <w:t>8</w:t>
      </w:r>
      <w:r>
        <w:rPr>
          <w:rFonts w:hint="eastAsia" w:ascii="仿宋_GB2312" w:eastAsia="仿宋_GB2312"/>
          <w:sz w:val="28"/>
          <w:szCs w:val="28"/>
        </w:rPr>
        <w:t>月</w:t>
      </w:r>
      <w:r>
        <w:rPr>
          <w:rFonts w:hint="eastAsia" w:ascii="仿宋_GB2312" w:eastAsia="仿宋_GB2312"/>
          <w:sz w:val="28"/>
          <w:szCs w:val="28"/>
          <w:u w:val="single"/>
          <w:lang w:val="en-US" w:eastAsia="zh-CN"/>
        </w:rPr>
        <w:t>1</w:t>
      </w:r>
      <w:r>
        <w:rPr>
          <w:rFonts w:hint="eastAsia" w:ascii="仿宋_GB2312" w:eastAsia="仿宋_GB2312"/>
          <w:sz w:val="28"/>
          <w:szCs w:val="28"/>
        </w:rPr>
        <w:t>日</w:t>
      </w:r>
      <w:r>
        <w:rPr>
          <w:rFonts w:hint="eastAsia" w:ascii="仿宋_GB2312" w:eastAsia="仿宋_GB2312"/>
          <w:sz w:val="28"/>
          <w:szCs w:val="28"/>
          <w:u w:val="single"/>
          <w:lang w:val="en-US" w:eastAsia="zh-CN"/>
        </w:rPr>
        <w:t>15</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分前（北京时间）。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6.2递交及快递地址：广州市天河区临江大道501号</w:t>
      </w:r>
      <w:r>
        <w:rPr>
          <w:rFonts w:hint="eastAsia" w:ascii="仿宋_GB2312" w:eastAsia="仿宋_GB2312"/>
          <w:sz w:val="28"/>
          <w:szCs w:val="28"/>
          <w:u w:val="single"/>
        </w:rPr>
        <w:t>广州市净水有限公司6楼招标部</w:t>
      </w:r>
      <w:r>
        <w:rPr>
          <w:rFonts w:hint="eastAsia" w:ascii="仿宋_GB2312" w:eastAsia="仿宋_GB2312"/>
          <w:sz w:val="28"/>
          <w:szCs w:val="28"/>
        </w:rPr>
        <w:t>。</w:t>
      </w:r>
    </w:p>
    <w:p>
      <w:pPr>
        <w:pStyle w:val="21"/>
        <w:ind w:firstLine="560" w:firstLineChars="200"/>
        <w:rPr>
          <w:rFonts w:ascii="仿宋_GB2312" w:eastAsia="仿宋_GB2312"/>
          <w:color w:val="auto"/>
          <w:sz w:val="28"/>
          <w:szCs w:val="28"/>
        </w:rPr>
      </w:pPr>
      <w:r>
        <w:rPr>
          <w:rFonts w:hint="eastAsia" w:ascii="仿宋_GB2312" w:eastAsia="仿宋_GB2312"/>
          <w:color w:val="auto"/>
          <w:sz w:val="28"/>
          <w:szCs w:val="28"/>
        </w:rPr>
        <w:t>防疫要求：基于目前疫情防控形势，我公司仅接受快递或自行送达形式递交响应文件，响应文件须于递交截止时间前送达，并放置于公司正门保安处。基于疫情防控形势，授权委托人须通过“广州净水公司”微信公众号当天（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48小时内的核酸检测证明）。待被访部室审核员审批通过后，凭访客手机生成的“通行访客码”通行。于门岗处测温并扫码填写调查问卷，手机显示问卷“提交成功”后方可进入厂区。</w:t>
      </w:r>
    </w:p>
    <w:p>
      <w:pPr>
        <w:pStyle w:val="21"/>
        <w:ind w:firstLine="560" w:firstLineChars="200"/>
        <w:rPr>
          <w:rFonts w:ascii="仿宋_GB2312" w:eastAsia="仿宋_GB2312"/>
          <w:color w:val="auto"/>
          <w:sz w:val="28"/>
          <w:szCs w:val="28"/>
        </w:rPr>
      </w:pPr>
      <w:r>
        <w:rPr>
          <w:rFonts w:hint="eastAsia" w:ascii="仿宋_GB2312" w:eastAsia="仿宋_GB2312"/>
          <w:color w:val="auto"/>
          <w:sz w:val="28"/>
          <w:szCs w:val="28"/>
        </w:rPr>
        <w:t>响应文件递交预约信息填写（踏勘现场除外）：</w:t>
      </w:r>
    </w:p>
    <w:p>
      <w:pPr>
        <w:pStyle w:val="21"/>
        <w:ind w:firstLine="560" w:firstLineChars="200"/>
        <w:rPr>
          <w:rFonts w:ascii="仿宋_GB2312" w:eastAsia="仿宋_GB2312"/>
          <w:color w:val="auto"/>
          <w:sz w:val="28"/>
          <w:szCs w:val="28"/>
        </w:rPr>
      </w:pPr>
      <w:r>
        <w:rPr>
          <w:rFonts w:hint="eastAsia" w:ascii="仿宋_GB2312" w:eastAsia="仿宋_GB2312"/>
          <w:color w:val="auto"/>
          <w:sz w:val="28"/>
          <w:szCs w:val="28"/>
        </w:rPr>
        <w:t>（1）通过“广州净水公司”微信公众号或来访时候，扫码进行访客预约登记。</w:t>
      </w:r>
    </w:p>
    <w:p>
      <w:pPr>
        <w:pStyle w:val="21"/>
        <w:ind w:firstLine="560" w:firstLineChars="200"/>
        <w:rPr>
          <w:rFonts w:ascii="仿宋_GB2312" w:eastAsia="仿宋_GB2312"/>
          <w:color w:val="auto"/>
          <w:sz w:val="28"/>
          <w:szCs w:val="28"/>
        </w:rPr>
      </w:pPr>
      <w:r>
        <w:rPr>
          <w:rFonts w:hint="eastAsia" w:ascii="仿宋_GB2312" w:eastAsia="仿宋_GB2312"/>
          <w:color w:val="auto"/>
          <w:sz w:val="28"/>
          <w:szCs w:val="28"/>
        </w:rPr>
        <w:t>（2）“组织”选择“公司本部”，“部门”选择“招投标合同管理部”。</w:t>
      </w:r>
    </w:p>
    <w:p>
      <w:pPr>
        <w:pStyle w:val="21"/>
        <w:ind w:firstLine="560" w:firstLineChars="200"/>
        <w:rPr>
          <w:rFonts w:ascii="仿宋_GB2312" w:eastAsia="仿宋_GB2312"/>
          <w:color w:val="auto"/>
          <w:sz w:val="28"/>
          <w:szCs w:val="28"/>
        </w:rPr>
      </w:pPr>
      <w:r>
        <w:rPr>
          <w:rFonts w:hint="eastAsia" w:ascii="仿宋_GB2312" w:eastAsia="仿宋_GB2312"/>
          <w:color w:val="auto"/>
          <w:sz w:val="28"/>
          <w:szCs w:val="28"/>
        </w:rPr>
        <w:t>（3）“被访人员”写“招标部”，“手机号”写“62315524”。</w:t>
      </w:r>
    </w:p>
    <w:p>
      <w:pPr>
        <w:pStyle w:val="21"/>
        <w:ind w:firstLine="560" w:firstLineChars="200"/>
        <w:rPr>
          <w:rFonts w:ascii="仿宋_GB2312" w:eastAsia="仿宋_GB2312"/>
          <w:color w:val="auto"/>
          <w:sz w:val="28"/>
          <w:szCs w:val="28"/>
        </w:rPr>
      </w:pPr>
      <w:r>
        <w:rPr>
          <w:rFonts w:hint="eastAsia" w:ascii="仿宋_GB2312" w:eastAsia="仿宋_GB2312"/>
          <w:color w:val="auto"/>
          <w:sz w:val="28"/>
          <w:szCs w:val="28"/>
        </w:rPr>
        <w:t>（4）“详细描述”一定要写清楚找哪位同事，例如：找李XX，开会。    或：找黄XX，进行“某某某某项目询价”。</w:t>
      </w:r>
    </w:p>
    <w:p>
      <w:pPr>
        <w:pStyle w:val="21"/>
        <w:ind w:firstLine="560" w:firstLineChars="200"/>
        <w:rPr>
          <w:rFonts w:eastAsia="仿宋_GB2312"/>
          <w:color w:val="auto"/>
        </w:rPr>
      </w:pPr>
      <w:r>
        <w:rPr>
          <w:rFonts w:hint="eastAsia" w:ascii="仿宋_GB2312" w:eastAsia="仿宋_GB2312"/>
          <w:color w:val="auto"/>
          <w:sz w:val="28"/>
          <w:szCs w:val="28"/>
        </w:rPr>
        <w:t>如以快递形式递交响应文件，须在递交截止时间前送达，不参加见证报价开启程序的报价单位视其认可所有报价。</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本项目采购公告（采购邀请书）、公告补充及修改同步在广州净水公司门户网站及阳光平台上发布。</w:t>
      </w:r>
      <w:r>
        <w:rPr>
          <w:rFonts w:hint="eastAsia" w:ascii="仿宋_GB2312" w:hAnsi="Calibri" w:eastAsia="仿宋_GB2312" w:cs="Times New Roman"/>
          <w:sz w:val="28"/>
          <w:szCs w:val="28"/>
        </w:rPr>
        <w:t>本公告在各媒体发布的文本如有不同之处，以广州净水公司门户网站为准。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sz w:val="28"/>
          <w:szCs w:val="28"/>
        </w:rPr>
      </w:pPr>
      <w:r>
        <w:rPr>
          <w:rFonts w:ascii="仿宋_GB2312" w:hAnsi="仿宋" w:eastAsia="仿宋_GB2312"/>
          <w:sz w:val="28"/>
          <w:szCs w:val="28"/>
        </w:rPr>
        <w:t>潜在供应商或利害关系人对本</w:t>
      </w:r>
      <w:r>
        <w:rPr>
          <w:rFonts w:hint="eastAsia" w:ascii="仿宋_GB2312" w:hAnsi="仿宋" w:eastAsia="仿宋_GB2312"/>
          <w:sz w:val="28"/>
          <w:szCs w:val="28"/>
        </w:rPr>
        <w:t>采购</w:t>
      </w:r>
      <w:r>
        <w:rPr>
          <w:rFonts w:ascii="仿宋_GB2312" w:hAnsi="仿宋" w:eastAsia="仿宋_GB2312"/>
          <w:sz w:val="28"/>
          <w:szCs w:val="28"/>
        </w:rPr>
        <w:t>公告及采购文件中任何违法及不公平内容有异议的，可以在提交</w:t>
      </w:r>
      <w:r>
        <w:rPr>
          <w:rFonts w:hint="eastAsia" w:ascii="仿宋_GB2312" w:hAnsi="仿宋" w:eastAsia="仿宋_GB2312"/>
          <w:sz w:val="28"/>
          <w:szCs w:val="28"/>
        </w:rPr>
        <w:t>响应文件截止之日</w:t>
      </w:r>
      <w:r>
        <w:rPr>
          <w:rFonts w:hint="eastAsia" w:ascii="仿宋_GB2312" w:hAnsi="仿宋" w:eastAsia="仿宋_GB2312"/>
          <w:sz w:val="28"/>
          <w:szCs w:val="28"/>
          <w:u w:val="single"/>
        </w:rPr>
        <w:t>2</w:t>
      </w:r>
      <w:r>
        <w:rPr>
          <w:rFonts w:hint="eastAsia" w:ascii="仿宋_GB2312" w:hAnsi="仿宋" w:eastAsia="仿宋_GB2312"/>
          <w:sz w:val="28"/>
          <w:szCs w:val="28"/>
        </w:rPr>
        <w:t>个工作日前</w:t>
      </w:r>
      <w:r>
        <w:rPr>
          <w:rFonts w:ascii="仿宋_GB2312" w:hAnsi="仿宋" w:eastAsia="仿宋_GB2312"/>
          <w:sz w:val="28"/>
          <w:szCs w:val="28"/>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sz w:val="28"/>
          <w:szCs w:val="28"/>
        </w:rPr>
      </w:pPr>
      <w:r>
        <w:rPr>
          <w:rFonts w:ascii="仿宋_GB2312" w:hAnsi="仿宋" w:eastAsia="仿宋_GB2312"/>
          <w:sz w:val="28"/>
          <w:szCs w:val="28"/>
        </w:rPr>
        <w:t>异议受理部门：</w:t>
      </w:r>
      <w:r>
        <w:rPr>
          <w:rFonts w:hint="eastAsia" w:ascii="仿宋_GB2312" w:hAnsi="仿宋" w:eastAsia="仿宋_GB2312"/>
          <w:sz w:val="28"/>
          <w:szCs w:val="28"/>
          <w:u w:val="single"/>
        </w:rPr>
        <w:t>广州市净水有限公司</w:t>
      </w:r>
      <w:r>
        <w:rPr>
          <w:rFonts w:ascii="仿宋_GB2312" w:hAnsi="仿宋" w:eastAsia="仿宋_GB2312"/>
          <w:sz w:val="28"/>
          <w:szCs w:val="28"/>
        </w:rPr>
        <w:t>，电话：</w:t>
      </w:r>
      <w:r>
        <w:rPr>
          <w:rFonts w:hint="eastAsia" w:ascii="仿宋_GB2312" w:hAnsi="仿宋" w:eastAsia="仿宋_GB2312"/>
          <w:sz w:val="28"/>
          <w:szCs w:val="28"/>
          <w:u w:val="single"/>
        </w:rPr>
        <w:t>38890841/62315524</w:t>
      </w:r>
      <w:r>
        <w:rPr>
          <w:rFonts w:ascii="仿宋_GB2312" w:hAnsi="仿宋" w:eastAsia="仿宋_GB2312"/>
          <w:sz w:val="28"/>
          <w:szCs w:val="28"/>
        </w:rPr>
        <w:t>。</w:t>
      </w:r>
    </w:p>
    <w:p>
      <w:pPr>
        <w:widowControl/>
        <w:shd w:val="clear" w:color="auto" w:fill="FFFFFF"/>
        <w:adjustRightInd w:val="0"/>
        <w:snapToGrid w:val="0"/>
        <w:spacing w:line="600" w:lineRule="exact"/>
        <w:ind w:left="1" w:firstLine="480"/>
        <w:rPr>
          <w:rFonts w:ascii="仿宋_GB2312" w:hAnsi="仿宋" w:eastAsia="仿宋_GB2312"/>
          <w:sz w:val="28"/>
          <w:szCs w:val="28"/>
        </w:rPr>
      </w:pPr>
      <w:r>
        <w:rPr>
          <w:rFonts w:ascii="仿宋_GB2312" w:hAnsi="仿宋" w:eastAsia="仿宋_GB2312"/>
          <w:sz w:val="28"/>
          <w:szCs w:val="28"/>
        </w:rPr>
        <w:t>地址：</w:t>
      </w:r>
      <w:r>
        <w:rPr>
          <w:rFonts w:hint="eastAsia" w:ascii="仿宋_GB2312" w:hAnsi="仿宋" w:eastAsia="仿宋_GB2312"/>
          <w:sz w:val="28"/>
          <w:szCs w:val="28"/>
          <w:u w:val="single"/>
        </w:rPr>
        <w:t>广州市天河区临江大道501号广州市净水有限公司</w:t>
      </w:r>
      <w:r>
        <w:rPr>
          <w:rFonts w:hint="eastAsia" w:ascii="仿宋_GB2312" w:hAnsi="仿宋" w:eastAsia="仿宋_GB2312"/>
          <w:sz w:val="28"/>
          <w:szCs w:val="28"/>
        </w:rPr>
        <w:t xml:space="preserve"> </w:t>
      </w:r>
      <w:r>
        <w:rPr>
          <w:rFonts w:ascii="仿宋_GB2312" w:hAnsi="仿宋" w:eastAsia="仿宋_GB2312"/>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9.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序号</w:t>
            </w:r>
          </w:p>
        </w:tc>
        <w:tc>
          <w:tcPr>
            <w:tcW w:w="3402"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单位名称</w:t>
            </w:r>
          </w:p>
        </w:tc>
        <w:tc>
          <w:tcPr>
            <w:tcW w:w="4557"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sz w:val="24"/>
              </w:rPr>
            </w:pPr>
            <w:r>
              <w:rPr>
                <w:rFonts w:hint="eastAsia" w:ascii="宋体" w:hAnsi="宋体" w:cs="宋体"/>
                <w:sz w:val="24"/>
              </w:rPr>
              <w:t>1</w:t>
            </w:r>
          </w:p>
        </w:tc>
        <w:tc>
          <w:tcPr>
            <w:tcW w:w="3402" w:type="dxa"/>
            <w:vAlign w:val="center"/>
          </w:tcPr>
          <w:p>
            <w:pPr>
              <w:jc w:val="center"/>
              <w:rPr>
                <w:rFonts w:ascii="宋体" w:hAnsi="宋体" w:cs="宋体"/>
                <w:sz w:val="24"/>
              </w:rPr>
            </w:pPr>
            <w:r>
              <w:rPr>
                <w:rFonts w:hint="eastAsia" w:ascii="宋体" w:hAnsi="宋体" w:eastAsia="宋体" w:cs="宋体"/>
                <w:sz w:val="24"/>
              </w:rPr>
              <w:t>广州市水电建设工程有限公司</w:t>
            </w:r>
          </w:p>
        </w:tc>
        <w:tc>
          <w:tcPr>
            <w:tcW w:w="4557" w:type="dxa"/>
            <w:vAlign w:val="center"/>
          </w:tcPr>
          <w:p>
            <w:pPr>
              <w:jc w:val="center"/>
              <w:rPr>
                <w:rFonts w:ascii="宋体" w:hAnsi="宋体" w:cs="宋体"/>
                <w:sz w:val="24"/>
              </w:rPr>
            </w:pPr>
            <w:r>
              <w:rPr>
                <w:rFonts w:hint="eastAsia" w:ascii="宋体" w:hAnsi="宋体" w:eastAsia="宋体" w:cs="宋体"/>
                <w:sz w:val="24"/>
              </w:rPr>
              <w:t>2021年11月18至2023年</w:t>
            </w:r>
            <w:r>
              <w:rPr>
                <w:rFonts w:hint="eastAsia" w:ascii="宋体" w:hAnsi="宋体" w:cs="宋体"/>
                <w:sz w:val="24"/>
              </w:rPr>
              <w:t>5</w:t>
            </w:r>
            <w:r>
              <w:rPr>
                <w:rFonts w:hint="eastAsia" w:ascii="宋体" w:hAnsi="宋体" w:eastAsia="宋体" w:cs="宋体"/>
                <w:sz w:val="24"/>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sz w:val="24"/>
              </w:rPr>
            </w:pPr>
            <w:r>
              <w:rPr>
                <w:rFonts w:hint="eastAsia" w:ascii="宋体" w:hAnsi="宋体" w:cs="宋体"/>
                <w:sz w:val="24"/>
              </w:rPr>
              <w:t>2</w:t>
            </w:r>
          </w:p>
        </w:tc>
        <w:tc>
          <w:tcPr>
            <w:tcW w:w="3402" w:type="dxa"/>
            <w:vAlign w:val="center"/>
          </w:tcPr>
          <w:p>
            <w:pPr>
              <w:jc w:val="center"/>
              <w:rPr>
                <w:rFonts w:ascii="宋体" w:hAnsi="宋体" w:cs="宋体"/>
                <w:sz w:val="24"/>
              </w:rPr>
            </w:pPr>
            <w:r>
              <w:rPr>
                <w:rFonts w:hint="eastAsia" w:ascii="宋体" w:hAnsi="宋体" w:eastAsia="宋体" w:cs="宋体"/>
                <w:sz w:val="24"/>
              </w:rPr>
              <w:t>广州市南粤工程建设监理有限公司</w:t>
            </w:r>
          </w:p>
        </w:tc>
        <w:tc>
          <w:tcPr>
            <w:tcW w:w="4557" w:type="dxa"/>
            <w:vAlign w:val="center"/>
          </w:tcPr>
          <w:p>
            <w:pPr>
              <w:jc w:val="center"/>
              <w:rPr>
                <w:rFonts w:ascii="宋体" w:hAnsi="宋体" w:cs="宋体"/>
                <w:sz w:val="24"/>
              </w:rPr>
            </w:pPr>
            <w:r>
              <w:rPr>
                <w:rFonts w:hint="eastAsia" w:ascii="宋体" w:hAnsi="宋体" w:eastAsia="宋体" w:cs="宋体"/>
                <w:sz w:val="24"/>
              </w:rPr>
              <w:t>2021年11月18至20</w:t>
            </w:r>
            <w:r>
              <w:rPr>
                <w:rFonts w:hint="eastAsia" w:ascii="宋体" w:hAnsi="宋体" w:cs="宋体"/>
                <w:sz w:val="24"/>
              </w:rPr>
              <w:t>23</w:t>
            </w:r>
            <w:r>
              <w:rPr>
                <w:rFonts w:hint="eastAsia" w:ascii="宋体" w:hAnsi="宋体" w:eastAsia="宋体" w:cs="宋体"/>
                <w:sz w:val="24"/>
              </w:rPr>
              <w:t>年</w:t>
            </w:r>
            <w:r>
              <w:rPr>
                <w:rFonts w:hint="eastAsia" w:ascii="宋体" w:hAnsi="宋体" w:cs="宋体"/>
                <w:sz w:val="24"/>
              </w:rPr>
              <w:t>5</w:t>
            </w:r>
            <w:r>
              <w:rPr>
                <w:rFonts w:hint="eastAsia" w:ascii="宋体" w:hAnsi="宋体" w:eastAsia="宋体" w:cs="宋体"/>
                <w:sz w:val="24"/>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sz w:val="24"/>
              </w:rPr>
            </w:pPr>
            <w:r>
              <w:rPr>
                <w:rFonts w:hint="eastAsia" w:ascii="宋体" w:hAnsi="宋体" w:cs="宋体"/>
                <w:sz w:val="24"/>
              </w:rPr>
              <w:t>3</w:t>
            </w:r>
          </w:p>
        </w:tc>
        <w:tc>
          <w:tcPr>
            <w:tcW w:w="3402" w:type="dxa"/>
            <w:vAlign w:val="center"/>
          </w:tcPr>
          <w:p>
            <w:pPr>
              <w:jc w:val="center"/>
              <w:rPr>
                <w:rFonts w:ascii="宋体" w:hAnsi="宋体" w:eastAsia="宋体" w:cs="宋体"/>
                <w:sz w:val="24"/>
              </w:rPr>
            </w:pPr>
            <w:r>
              <w:rPr>
                <w:rFonts w:ascii="宋体" w:hAnsi="宋体" w:eastAsia="宋体" w:cs="宋体"/>
                <w:sz w:val="24"/>
                <w:szCs w:val="24"/>
              </w:rPr>
              <w:t>广州市自来水工程有限公司</w:t>
            </w:r>
          </w:p>
        </w:tc>
        <w:tc>
          <w:tcPr>
            <w:tcW w:w="4557" w:type="dxa"/>
            <w:vAlign w:val="center"/>
          </w:tcPr>
          <w:p>
            <w:pPr>
              <w:jc w:val="center"/>
              <w:rPr>
                <w:rFonts w:ascii="宋体" w:hAnsi="宋体" w:eastAsia="宋体" w:cs="宋体"/>
                <w:sz w:val="24"/>
              </w:rPr>
            </w:pPr>
            <w:r>
              <w:rPr>
                <w:rFonts w:hint="eastAsia" w:ascii="宋体" w:hAnsi="宋体" w:eastAsia="宋体" w:cs="宋体"/>
                <w:sz w:val="24"/>
              </w:rPr>
              <w:t>202</w:t>
            </w:r>
            <w:r>
              <w:rPr>
                <w:rFonts w:hint="eastAsia" w:ascii="宋体" w:hAnsi="宋体" w:cs="宋体"/>
                <w:sz w:val="24"/>
              </w:rPr>
              <w:t>2</w:t>
            </w:r>
            <w:r>
              <w:rPr>
                <w:rFonts w:hint="eastAsia" w:ascii="宋体" w:hAnsi="宋体" w:eastAsia="宋体" w:cs="宋体"/>
                <w:sz w:val="24"/>
              </w:rPr>
              <w:t>年1月</w:t>
            </w:r>
            <w:r>
              <w:rPr>
                <w:rFonts w:hint="eastAsia" w:ascii="宋体" w:hAnsi="宋体" w:cs="宋体"/>
                <w:sz w:val="24"/>
              </w:rPr>
              <w:t>1</w:t>
            </w:r>
            <w:r>
              <w:rPr>
                <w:rFonts w:hint="eastAsia" w:ascii="宋体" w:hAnsi="宋体" w:eastAsia="宋体" w:cs="宋体"/>
                <w:sz w:val="24"/>
              </w:rPr>
              <w:t>至2022年</w:t>
            </w:r>
            <w:r>
              <w:rPr>
                <w:rFonts w:hint="eastAsia" w:ascii="宋体" w:hAnsi="宋体" w:cs="宋体"/>
                <w:sz w:val="24"/>
              </w:rPr>
              <w:t>12</w:t>
            </w:r>
            <w:r>
              <w:rPr>
                <w:rFonts w:hint="eastAsia" w:ascii="宋体" w:hAnsi="宋体" w:eastAsia="宋体" w:cs="宋体"/>
                <w:sz w:val="24"/>
              </w:rPr>
              <w:t>月</w:t>
            </w:r>
            <w:r>
              <w:rPr>
                <w:rFonts w:hint="eastAsia" w:ascii="宋体" w:hAnsi="宋体" w:cs="宋体"/>
                <w:sz w:val="24"/>
              </w:rPr>
              <w:t>31</w:t>
            </w:r>
            <w:r>
              <w:rPr>
                <w:rFonts w:hint="eastAsia" w:ascii="宋体" w:hAnsi="宋体" w:eastAsia="宋体" w:cs="宋体"/>
                <w:sz w:val="24"/>
              </w:rPr>
              <w:t>日</w:t>
            </w:r>
          </w:p>
        </w:tc>
      </w:tr>
    </w:tbl>
    <w:p>
      <w:pPr>
        <w:adjustRightInd w:val="0"/>
        <w:snapToGrid w:val="0"/>
        <w:spacing w:before="156" w:beforeLines="50" w:after="156" w:afterLines="50" w:line="600" w:lineRule="exact"/>
        <w:jc w:val="left"/>
        <w:rPr>
          <w:rFonts w:asciiTheme="minorEastAsia" w:hAnsiTheme="minorEastAsia"/>
          <w:b/>
          <w:sz w:val="32"/>
          <w:szCs w:val="32"/>
        </w:rPr>
      </w:pPr>
      <w:r>
        <w:rPr>
          <w:rFonts w:hint="eastAsia" w:asciiTheme="minorEastAsia" w:hAnsiTheme="minorEastAsia"/>
          <w:b/>
          <w:sz w:val="32"/>
          <w:szCs w:val="32"/>
        </w:rPr>
        <w:t>10.联系方式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0"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0"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0"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联系人</w:t>
            </w:r>
            <w:r>
              <w:rPr>
                <w:rFonts w:hint="eastAsia" w:ascii="仿宋_GB2312" w:eastAsia="仿宋_GB2312"/>
                <w:sz w:val="28"/>
                <w:szCs w:val="28"/>
              </w:rPr>
              <w:t>：</w:t>
            </w:r>
            <w:r>
              <w:rPr>
                <w:rFonts w:hint="eastAsia" w:ascii="仿宋" w:hAnsi="仿宋" w:eastAsia="仿宋" w:cs="仿宋"/>
                <w:sz w:val="28"/>
                <w:szCs w:val="28"/>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0"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 w:hAnsi="仿宋" w:eastAsia="仿宋" w:cs="仿宋"/>
                <w:sz w:val="28"/>
                <w:szCs w:val="28"/>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0" w:type="dxa"/>
          </w:tcPr>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rPr>
              <w:t>年</w:t>
            </w:r>
            <w:r>
              <w:rPr>
                <w:rFonts w:hint="eastAsia" w:ascii="仿宋_GB2312" w:eastAsia="仿宋_GB2312"/>
                <w:sz w:val="28"/>
                <w:szCs w:val="28"/>
                <w:u w:val="single"/>
                <w:lang w:val="en-US" w:eastAsia="zh-CN"/>
              </w:rPr>
              <w:t>7</w:t>
            </w:r>
            <w:r>
              <w:rPr>
                <w:rFonts w:hint="eastAsia" w:ascii="仿宋_GB2312" w:eastAsia="仿宋_GB2312"/>
                <w:sz w:val="28"/>
                <w:szCs w:val="28"/>
              </w:rPr>
              <w:t>月</w:t>
            </w:r>
            <w:r>
              <w:rPr>
                <w:rFonts w:hint="eastAsia" w:ascii="仿宋_GB2312" w:eastAsia="仿宋_GB2312"/>
                <w:sz w:val="28"/>
                <w:szCs w:val="28"/>
                <w:u w:val="single"/>
                <w:lang w:val="en-US" w:eastAsia="zh-CN"/>
              </w:rPr>
              <w:t>26</w:t>
            </w:r>
            <w:r>
              <w:rPr>
                <w:rFonts w:hint="eastAsia" w:ascii="仿宋_GB2312" w:eastAsia="仿宋_GB2312"/>
                <w:sz w:val="28"/>
                <w:szCs w:val="28"/>
              </w:rPr>
              <w:t>日</w:t>
            </w:r>
          </w:p>
        </w:tc>
      </w:tr>
    </w:tbl>
    <w:p>
      <w:pPr>
        <w:pStyle w:val="21"/>
        <w:ind w:left="0" w:leftChars="0" w:firstLine="0" w:firstLineChars="0"/>
      </w:pPr>
    </w:p>
    <w:p>
      <w:pPr>
        <w:adjustRightInd w:val="0"/>
        <w:snapToGrid w:val="0"/>
        <w:spacing w:before="156" w:beforeLines="50" w:after="156"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3"/>
      </w:pPr>
      <w:bookmarkStart w:id="14" w:name="_Toc10891"/>
    </w:p>
    <w:p>
      <w:pPr>
        <w:pStyle w:val="3"/>
      </w:pPr>
      <w:bookmarkStart w:id="15" w:name="_Toc2331"/>
      <w:bookmarkStart w:id="16" w:name="_Toc32588"/>
      <w:bookmarkStart w:id="17" w:name="_Toc25603"/>
      <w:bookmarkStart w:id="18" w:name="_Toc2324"/>
      <w:bookmarkStart w:id="19" w:name="_Toc7340"/>
      <w:bookmarkStart w:id="20" w:name="_Toc16557"/>
      <w:bookmarkStart w:id="21" w:name="_Toc23749"/>
      <w:bookmarkStart w:id="22" w:name="_Toc19295"/>
      <w:bookmarkStart w:id="23" w:name="_Toc9448"/>
      <w:bookmarkStart w:id="24" w:name="_Toc16705"/>
    </w:p>
    <w:p>
      <w:pPr>
        <w:pStyle w:val="3"/>
      </w:pPr>
      <w: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rPr>
        <w:t>第二章</w:t>
      </w:r>
      <w:bookmarkEnd w:id="14"/>
      <w:bookmarkEnd w:id="15"/>
      <w:bookmarkEnd w:id="16"/>
      <w:bookmarkEnd w:id="17"/>
      <w:bookmarkEnd w:id="18"/>
      <w:bookmarkEnd w:id="19"/>
      <w:bookmarkEnd w:id="20"/>
      <w:bookmarkEnd w:id="21"/>
      <w:bookmarkEnd w:id="22"/>
      <w:bookmarkEnd w:id="23"/>
      <w:bookmarkEnd w:id="24"/>
    </w:p>
    <w:p>
      <w:pPr>
        <w:pStyle w:val="4"/>
      </w:pPr>
    </w:p>
    <w:p>
      <w:pPr>
        <w:pStyle w:val="4"/>
      </w:pPr>
      <w:bookmarkStart w:id="25" w:name="_Toc2339"/>
      <w:bookmarkStart w:id="26" w:name="_Toc3416"/>
      <w:r>
        <w:rPr>
          <w:rFonts w:hint="eastAsia"/>
        </w:rPr>
        <w:t>供应商须知</w:t>
      </w:r>
      <w:bookmarkEnd w:id="25"/>
      <w:bookmarkEnd w:id="26"/>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pStyle w:val="21"/>
        <w:rPr>
          <w:rFonts w:asciiTheme="minorEastAsia" w:hAnsiTheme="minorEastAsia"/>
          <w:b/>
          <w:color w:val="auto"/>
          <w:sz w:val="32"/>
          <w:szCs w:val="32"/>
        </w:rPr>
      </w:pPr>
    </w:p>
    <w:p>
      <w:pPr>
        <w:pStyle w:val="21"/>
        <w:rPr>
          <w:rFonts w:asciiTheme="minorEastAsia" w:hAnsiTheme="minorEastAsia"/>
          <w:b/>
          <w:color w:val="auto"/>
          <w:sz w:val="32"/>
          <w:szCs w:val="32"/>
        </w:rPr>
      </w:pPr>
    </w:p>
    <w:p>
      <w:pPr>
        <w:pStyle w:val="21"/>
        <w:rPr>
          <w:rFonts w:asciiTheme="minorEastAsia" w:hAnsiTheme="minorEastAsia"/>
          <w:b/>
          <w:color w:val="auto"/>
          <w:sz w:val="32"/>
          <w:szCs w:val="32"/>
        </w:rPr>
      </w:pPr>
    </w:p>
    <w:p>
      <w:pPr>
        <w:pStyle w:val="21"/>
        <w:rPr>
          <w:rFonts w:asciiTheme="minorEastAsia" w:hAnsiTheme="minorEastAsia"/>
          <w:b/>
          <w:color w:val="auto"/>
          <w:sz w:val="32"/>
          <w:szCs w:val="32"/>
        </w:rPr>
      </w:pPr>
    </w:p>
    <w:p>
      <w:pPr>
        <w:pStyle w:val="21"/>
        <w:rPr>
          <w:rFonts w:asciiTheme="minorEastAsia" w:hAnsiTheme="minorEastAsia"/>
          <w:b/>
          <w:color w:val="auto"/>
          <w:sz w:val="32"/>
          <w:szCs w:val="32"/>
        </w:rPr>
      </w:pPr>
    </w:p>
    <w:p>
      <w:pPr>
        <w:pStyle w:val="21"/>
        <w:rPr>
          <w:rFonts w:asciiTheme="minorEastAsia" w:hAnsiTheme="minorEastAsia"/>
          <w:b/>
          <w:color w:val="auto"/>
          <w:sz w:val="32"/>
          <w:szCs w:val="32"/>
        </w:rPr>
      </w:pPr>
    </w:p>
    <w:p>
      <w:pPr>
        <w:pStyle w:val="21"/>
        <w:ind w:firstLine="0"/>
      </w:pP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1"/>
        <w:numPr>
          <w:ilvl w:val="255"/>
          <w:numId w:val="0"/>
        </w:numPr>
        <w:rPr>
          <w:color w:val="auto"/>
        </w:rPr>
      </w:pPr>
      <w:r>
        <w:rPr>
          <w:rFonts w:hint="eastAsia"/>
          <w:color w:val="auto"/>
        </w:rPr>
        <w:t>详见第一章采购公告（采购邀请书）3.供应商资格要求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（1）采购公告（采购邀请书）</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156" w:beforeLines="50" w:after="156" w:afterLines="50" w:line="560" w:lineRule="exact"/>
        <w:jc w:val="left"/>
        <w:rPr>
          <w:rFonts w:asciiTheme="minorEastAsia" w:hAnsiTheme="minorEastAsia"/>
          <w:b/>
          <w:sz w:val="32"/>
          <w:szCs w:val="32"/>
        </w:rPr>
      </w:pPr>
      <w:r>
        <w:rPr>
          <w:rFonts w:hint="eastAsia" w:asciiTheme="minorEastAsia" w:hAnsiTheme="minorEastAsia"/>
          <w:b/>
          <w:sz w:val="32"/>
          <w:szCs w:val="32"/>
        </w:rPr>
        <w:t>2.若出现以下情况之一的，采购人将拒绝接收响应文件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3.发生下列情况之一者，视为无效响应行为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4.响应保证金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5.响应文件要求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6.异议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7.本章附件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7"/>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r>
              <w:rPr>
                <w:rFonts w:hint="eastAsia" w:ascii="仿宋_GB2312" w:eastAsia="仿宋_GB2312"/>
                <w:sz w:val="24"/>
                <w:szCs w:val="24"/>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pStyle w:val="21"/>
        <w:rPr>
          <w:rFonts w:ascii="仿宋_GB2312" w:eastAsia="仿宋_GB2312" w:hAnsiTheme="majorEastAsia"/>
          <w:color w:val="auto"/>
          <w:sz w:val="28"/>
          <w:szCs w:val="28"/>
        </w:rPr>
      </w:pPr>
    </w:p>
    <w:p>
      <w:pPr>
        <w:pStyle w:val="21"/>
        <w:rPr>
          <w:rFonts w:ascii="仿宋_GB2312" w:eastAsia="仿宋_GB2312" w:hAnsiTheme="majorEastAsia"/>
          <w:color w:val="auto"/>
          <w:sz w:val="28"/>
          <w:szCs w:val="28"/>
        </w:rPr>
      </w:pPr>
    </w:p>
    <w:p>
      <w:pPr>
        <w:pStyle w:val="21"/>
        <w:rPr>
          <w:rFonts w:ascii="仿宋_GB2312" w:eastAsia="仿宋_GB2312" w:hAnsiTheme="majorEastAsia"/>
          <w:color w:val="auto"/>
          <w:sz w:val="28"/>
          <w:szCs w:val="28"/>
        </w:rPr>
      </w:pPr>
    </w:p>
    <w:p>
      <w:pPr>
        <w:pStyle w:val="21"/>
        <w:rPr>
          <w:rFonts w:ascii="仿宋_GB2312" w:eastAsia="仿宋_GB2312" w:hAnsiTheme="majorEastAsia"/>
          <w:color w:val="auto"/>
          <w:sz w:val="28"/>
          <w:szCs w:val="28"/>
        </w:rPr>
      </w:pP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7"/>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1"/>
        <w:rPr>
          <w:color w:val="auto"/>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7"/>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1"/>
        <w:rPr>
          <w:rFonts w:ascii="仿宋_GB2312" w:eastAsia="仿宋_GB2312" w:hAnsiTheme="majorEastAsia"/>
          <w:color w:val="auto"/>
          <w:sz w:val="28"/>
          <w:szCs w:val="28"/>
        </w:rPr>
      </w:pPr>
    </w:p>
    <w:p>
      <w:pPr>
        <w:pStyle w:val="21"/>
        <w:rPr>
          <w:rFonts w:ascii="仿宋_GB2312" w:eastAsia="仿宋_GB2312" w:hAnsiTheme="majorEastAsia"/>
          <w:color w:val="auto"/>
          <w:sz w:val="28"/>
          <w:szCs w:val="28"/>
        </w:rPr>
      </w:pPr>
    </w:p>
    <w:p>
      <w:pPr>
        <w:pStyle w:val="21"/>
        <w:rPr>
          <w:rFonts w:ascii="仿宋_GB2312" w:eastAsia="仿宋_GB2312" w:hAnsiTheme="majorEastAsia"/>
          <w:color w:val="auto"/>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7"/>
      </w:pPr>
    </w:p>
    <w:p>
      <w:pPr>
        <w:pStyle w:val="37"/>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1"/>
        <w:rPr>
          <w:rFonts w:ascii="仿宋_GB2312" w:eastAsia="仿宋_GB2312"/>
          <w:color w:val="auto"/>
          <w:sz w:val="28"/>
          <w:szCs w:val="28"/>
        </w:rPr>
      </w:pPr>
    </w:p>
    <w:p>
      <w:pPr>
        <w:pStyle w:val="21"/>
        <w:rPr>
          <w:rFonts w:ascii="仿宋_GB2312" w:eastAsia="仿宋_GB2312"/>
          <w:color w:val="auto"/>
          <w:sz w:val="28"/>
          <w:szCs w:val="28"/>
        </w:rPr>
      </w:pPr>
    </w:p>
    <w:p>
      <w:pPr>
        <w:pStyle w:val="21"/>
        <w:rPr>
          <w:rFonts w:ascii="仿宋_GB2312" w:eastAsia="仿宋_GB2312"/>
          <w:color w:val="auto"/>
          <w:sz w:val="28"/>
          <w:szCs w:val="28"/>
        </w:rPr>
      </w:pPr>
    </w:p>
    <w:p>
      <w:pPr>
        <w:pStyle w:val="21"/>
        <w:rPr>
          <w:rFonts w:ascii="仿宋_GB2312" w:eastAsia="仿宋_GB2312"/>
          <w:color w:val="auto"/>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rPr>
          <w:rFonts w:asciiTheme="minorHAnsi" w:hAnsiTheme="minorHAnsi" w:cstheme="minorBidi"/>
          <w:kern w:val="44"/>
          <w:sz w:val="44"/>
          <w:szCs w:val="44"/>
        </w:rPr>
      </w:pPr>
      <w:bookmarkStart w:id="27" w:name="_Toc21455"/>
      <w:bookmarkStart w:id="28" w:name="_Toc2867"/>
      <w:r>
        <w:rPr>
          <w:rFonts w:hint="eastAsia" w:asciiTheme="minorHAnsi" w:hAnsiTheme="minorHAnsi" w:cstheme="minorBidi"/>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第三章</w:t>
      </w:r>
      <w:bookmarkEnd w:id="27"/>
      <w:bookmarkEnd w:id="28"/>
    </w:p>
    <w:p>
      <w:pPr>
        <w:pStyle w:val="37"/>
      </w:pPr>
    </w:p>
    <w:p>
      <w:pPr>
        <w:pStyle w:val="4"/>
      </w:pPr>
      <w:bookmarkStart w:id="29" w:name="_Toc7040"/>
      <w:bookmarkStart w:id="30" w:name="_Toc88209934"/>
      <w:bookmarkStart w:id="31" w:name="_Toc7303"/>
      <w:bookmarkStart w:id="32" w:name="_Toc87616371"/>
      <w:r>
        <w:rPr>
          <w:rFonts w:hint="eastAsia"/>
        </w:rPr>
        <w:t>采购方法</w:t>
      </w:r>
      <w:bookmarkEnd w:id="29"/>
      <w:bookmarkEnd w:id="30"/>
      <w:bookmarkEnd w:id="31"/>
      <w:bookmarkEnd w:id="32"/>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8"/>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1"/>
        <w:rPr>
          <w:rFonts w:ascii="方正小标宋简体" w:eastAsia="方正小标宋简体"/>
          <w:color w:val="auto"/>
          <w:sz w:val="44"/>
          <w:szCs w:val="44"/>
        </w:rPr>
      </w:pPr>
    </w:p>
    <w:p>
      <w:pPr>
        <w:pStyle w:val="21"/>
        <w:rPr>
          <w:rFonts w:ascii="方正小标宋简体" w:eastAsia="方正小标宋简体"/>
          <w:color w:val="auto"/>
          <w:sz w:val="44"/>
          <w:szCs w:val="44"/>
        </w:rPr>
      </w:pPr>
    </w:p>
    <w:p>
      <w:pPr>
        <w:pStyle w:val="21"/>
        <w:ind w:firstLine="0"/>
        <w:rPr>
          <w:rFonts w:ascii="方正小标宋简体" w:eastAsia="方正小标宋简体"/>
          <w:color w:val="auto"/>
          <w:sz w:val="44"/>
          <w:szCs w:val="44"/>
        </w:rPr>
      </w:pPr>
    </w:p>
    <w:p>
      <w:pPr>
        <w:pStyle w:val="4"/>
      </w:pPr>
      <w:bookmarkStart w:id="33" w:name="_Toc3789"/>
      <w:bookmarkStart w:id="34" w:name="_Toc24895"/>
      <w:r>
        <w:rPr>
          <w:rFonts w:hint="eastAsia"/>
        </w:rPr>
        <w:t>询比采购</w:t>
      </w:r>
      <w:bookmarkEnd w:id="33"/>
      <w:bookmarkEnd w:id="34"/>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 </w:t>
            </w:r>
            <w:r>
              <w:rPr>
                <w:rFonts w:hint="eastAsia" w:ascii="仿宋_GB2312" w:eastAsia="仿宋_GB2312" w:hAnsiTheme="minorEastAsia"/>
                <w:sz w:val="24"/>
                <w:szCs w:val="24"/>
                <w:u w:val="single"/>
              </w:rPr>
              <w:t xml:space="preserve"> </w:t>
            </w: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r>
              <w:rPr>
                <w:rFonts w:hint="eastAsia" w:ascii="仿宋_GB2312" w:eastAsia="仿宋_GB2312"/>
                <w:sz w:val="24"/>
                <w:szCs w:val="24"/>
              </w:rPr>
              <w:t xml:space="preserve"> </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6" w:leftChars="217"/>
              <w:rPr>
                <w:rFonts w:ascii="仿宋_GB2312" w:eastAsia="仿宋_GB2312"/>
                <w:sz w:val="24"/>
                <w:szCs w:val="24"/>
                <w:u w:val="single"/>
              </w:rPr>
            </w:pPr>
            <w:r>
              <w:rPr>
                <w:rFonts w:hint="eastAsia" w:ascii="仿宋_GB2312" w:eastAsia="仿宋_GB2312" w:hAnsiTheme="minorEastAsia"/>
                <w:sz w:val="24"/>
                <w:szCs w:val="24"/>
                <w:u w:val="single"/>
              </w:rPr>
              <w:t>广州市天河区临江大道501号广州市净水有限公司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sym w:font="Wingdings 2" w:char="0052"/>
            </w:r>
            <w:r>
              <w:rPr>
                <w:rFonts w:hint="eastAsia" w:ascii="仿宋_GB2312" w:eastAsia="仿宋_GB2312" w:hAnsiTheme="minorEastAsia"/>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highlight w:val="none"/>
              </w:rPr>
              <w:sym w:font="Wingdings 2" w:char="00A3"/>
            </w:r>
            <w:r>
              <w:rPr>
                <w:rFonts w:hint="eastAsia" w:ascii="仿宋_GB2312" w:eastAsia="仿宋_GB2312" w:hAnsiTheme="minorEastAsia"/>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3"/>
      </w:pPr>
      <w:bookmarkStart w:id="35" w:name="_Toc23581"/>
      <w:bookmarkStart w:id="36" w:name="_Toc7118"/>
      <w:bookmarkStart w:id="37" w:name="_Toc14552"/>
      <w:bookmarkStart w:id="38" w:name="_Toc19050"/>
      <w:bookmarkStart w:id="39" w:name="_Toc10930"/>
      <w:bookmarkStart w:id="40" w:name="_Toc20594"/>
      <w:bookmarkStart w:id="41" w:name="_Toc14870"/>
      <w:bookmarkStart w:id="42" w:name="_Toc19759"/>
      <w:bookmarkStart w:id="43" w:name="_Toc3156"/>
      <w:bookmarkStart w:id="44" w:name="_Toc4952"/>
      <w:bookmarkStart w:id="45" w:name="_Toc7437"/>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rPr>
        <w:t>第四章</w:t>
      </w:r>
      <w:bookmarkEnd w:id="35"/>
      <w:bookmarkEnd w:id="36"/>
      <w:bookmarkEnd w:id="37"/>
      <w:bookmarkEnd w:id="38"/>
      <w:bookmarkEnd w:id="39"/>
      <w:bookmarkEnd w:id="40"/>
      <w:bookmarkEnd w:id="41"/>
      <w:bookmarkEnd w:id="42"/>
      <w:bookmarkEnd w:id="43"/>
      <w:bookmarkEnd w:id="44"/>
      <w:bookmarkEnd w:id="45"/>
    </w:p>
    <w:p>
      <w:pPr>
        <w:pStyle w:val="37"/>
      </w:pPr>
    </w:p>
    <w:p>
      <w:pPr>
        <w:pStyle w:val="3"/>
      </w:pPr>
      <w:bookmarkStart w:id="46" w:name="_Toc21079"/>
      <w:bookmarkStart w:id="47" w:name="_Toc7831"/>
      <w:bookmarkStart w:id="48" w:name="_Toc12177"/>
      <w:bookmarkStart w:id="49" w:name="_Toc29484"/>
      <w:bookmarkStart w:id="50" w:name="_Toc88209941"/>
      <w:bookmarkStart w:id="51" w:name="_Toc87616378"/>
      <w:bookmarkStart w:id="52" w:name="_Toc22212"/>
      <w:bookmarkStart w:id="53" w:name="_Toc30530"/>
      <w:bookmarkStart w:id="54" w:name="_Toc29345"/>
      <w:bookmarkStart w:id="55" w:name="_Toc32607"/>
      <w:bookmarkStart w:id="56" w:name="_Toc13898"/>
      <w:bookmarkStart w:id="57" w:name="_Toc6308"/>
      <w:bookmarkStart w:id="58" w:name="_Toc21840"/>
      <w:r>
        <w:rPr>
          <w:rFonts w:hint="eastAsia"/>
        </w:rPr>
        <w:t>评审办法</w:t>
      </w:r>
      <w:bookmarkEnd w:id="46"/>
      <w:bookmarkEnd w:id="47"/>
      <w:bookmarkEnd w:id="48"/>
      <w:bookmarkEnd w:id="49"/>
      <w:bookmarkEnd w:id="50"/>
      <w:bookmarkEnd w:id="51"/>
      <w:bookmarkEnd w:id="52"/>
      <w:bookmarkEnd w:id="53"/>
      <w:bookmarkEnd w:id="54"/>
      <w:bookmarkEnd w:id="55"/>
      <w:bookmarkEnd w:id="56"/>
      <w:bookmarkEnd w:id="57"/>
      <w:bookmarkEnd w:id="58"/>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1"/>
        <w:ind w:firstLine="0"/>
        <w:rPr>
          <w:rFonts w:ascii="方正小标宋简体" w:eastAsia="方正小标宋简体"/>
          <w:color w:val="auto"/>
          <w:sz w:val="44"/>
          <w:szCs w:val="44"/>
        </w:rPr>
      </w:pPr>
    </w:p>
    <w:p>
      <w:pPr>
        <w:pStyle w:val="4"/>
        <w:rPr>
          <w:highlight w:val="none"/>
        </w:rPr>
      </w:pPr>
      <w:bookmarkStart w:id="59" w:name="_Toc23033"/>
      <w:bookmarkStart w:id="60" w:name="_Toc26826"/>
      <w:r>
        <w:rPr>
          <w:rFonts w:hint="eastAsia"/>
          <w:highlight w:val="none"/>
        </w:rPr>
        <w:sym w:font="Wingdings 2" w:char="0052"/>
      </w:r>
      <w:r>
        <w:rPr>
          <w:rFonts w:hint="eastAsia"/>
          <w:highlight w:val="none"/>
        </w:rPr>
        <w:t>经评审的最低价法</w:t>
      </w:r>
      <w:bookmarkEnd w:id="59"/>
      <w:bookmarkEnd w:id="60"/>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szCs w:val="21"/>
        </w:rPr>
      </w:pPr>
    </w:p>
    <w:p>
      <w:pPr>
        <w:pStyle w:val="4"/>
        <w:rPr>
          <w:highlight w:val="cyan"/>
        </w:rPr>
      </w:pPr>
    </w:p>
    <w:p>
      <w:pPr>
        <w:adjustRightInd w:val="0"/>
        <w:snapToGrid w:val="0"/>
        <w:spacing w:line="600" w:lineRule="exact"/>
        <w:jc w:val="left"/>
        <w:rPr>
          <w:rFonts w:ascii="仿宋_GB2312" w:eastAsia="仿宋_GB2312" w:hAnsiTheme="minorEastAsia"/>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3"/>
      </w:pPr>
      <w:bookmarkStart w:id="61" w:name="_Toc88209947"/>
      <w: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rPr>
        <w:t>第五章</w:t>
      </w:r>
    </w:p>
    <w:p>
      <w:pPr>
        <w:pStyle w:val="4"/>
      </w:pPr>
    </w:p>
    <w:p>
      <w:pPr>
        <w:pStyle w:val="4"/>
        <w:rPr>
          <w:szCs w:val="44"/>
        </w:rPr>
      </w:pPr>
      <w:r>
        <w:rPr>
          <w:rFonts w:hint="eastAsia"/>
          <w:szCs w:val="44"/>
        </w:rPr>
        <w:t>采购需求</w:t>
      </w:r>
    </w:p>
    <w:p>
      <w:pPr>
        <w:rPr>
          <w:szCs w:val="44"/>
        </w:rPr>
      </w:pPr>
    </w:p>
    <w:p>
      <w:pPr>
        <w:pStyle w:val="28"/>
        <w:rPr>
          <w:color w:val="auto"/>
          <w:szCs w:val="44"/>
        </w:rPr>
      </w:pPr>
    </w:p>
    <w:p>
      <w:pPr>
        <w:pStyle w:val="28"/>
        <w:rPr>
          <w:color w:val="auto"/>
          <w:szCs w:val="44"/>
        </w:rPr>
      </w:pPr>
    </w:p>
    <w:p>
      <w:pPr>
        <w:pStyle w:val="28"/>
        <w:rPr>
          <w:color w:val="auto"/>
          <w:szCs w:val="44"/>
        </w:rPr>
      </w:pPr>
    </w:p>
    <w:p>
      <w:pPr>
        <w:pStyle w:val="28"/>
        <w:rPr>
          <w:color w:val="auto"/>
          <w:szCs w:val="44"/>
        </w:rPr>
      </w:pPr>
    </w:p>
    <w:p>
      <w:pPr>
        <w:pStyle w:val="28"/>
        <w:rPr>
          <w:color w:val="auto"/>
          <w:szCs w:val="44"/>
        </w:rPr>
      </w:pPr>
    </w:p>
    <w:p>
      <w:pPr>
        <w:pStyle w:val="28"/>
        <w:rPr>
          <w:color w:val="auto"/>
          <w:szCs w:val="44"/>
        </w:rPr>
      </w:pPr>
    </w:p>
    <w:p>
      <w:pPr>
        <w:pStyle w:val="28"/>
        <w:rPr>
          <w:color w:val="auto"/>
          <w:szCs w:val="44"/>
        </w:rPr>
      </w:pPr>
    </w:p>
    <w:p>
      <w:pPr>
        <w:pStyle w:val="28"/>
        <w:rPr>
          <w:color w:val="auto"/>
          <w:szCs w:val="44"/>
        </w:rPr>
      </w:pPr>
    </w:p>
    <w:p>
      <w:pPr>
        <w:pStyle w:val="28"/>
        <w:rPr>
          <w:color w:val="auto"/>
          <w:szCs w:val="44"/>
        </w:rPr>
      </w:pPr>
    </w:p>
    <w:p>
      <w:pPr>
        <w:pStyle w:val="28"/>
        <w:rPr>
          <w:color w:val="auto"/>
          <w:szCs w:val="44"/>
        </w:rPr>
      </w:pPr>
    </w:p>
    <w:p>
      <w:pPr>
        <w:pStyle w:val="28"/>
        <w:rPr>
          <w:color w:val="auto"/>
          <w:szCs w:val="44"/>
        </w:rPr>
      </w:pPr>
    </w:p>
    <w:p>
      <w:pPr>
        <w:pStyle w:val="28"/>
        <w:rPr>
          <w:color w:val="auto"/>
          <w:szCs w:val="44"/>
        </w:rPr>
      </w:pPr>
    </w:p>
    <w:p>
      <w:pPr>
        <w:pStyle w:val="28"/>
        <w:rPr>
          <w:color w:val="auto"/>
          <w:szCs w:val="44"/>
        </w:rPr>
      </w:pPr>
    </w:p>
    <w:p>
      <w:pPr>
        <w:pStyle w:val="28"/>
        <w:rPr>
          <w:color w:val="auto"/>
          <w:szCs w:val="44"/>
        </w:rPr>
      </w:pPr>
    </w:p>
    <w:p>
      <w:pPr>
        <w:pStyle w:val="28"/>
        <w:rPr>
          <w:color w:val="auto"/>
          <w:szCs w:val="44"/>
        </w:rPr>
      </w:pPr>
    </w:p>
    <w:p>
      <w:pPr>
        <w:pStyle w:val="28"/>
        <w:rPr>
          <w:color w:val="auto"/>
          <w:szCs w:val="44"/>
        </w:rPr>
      </w:pPr>
    </w:p>
    <w:p>
      <w:pPr>
        <w:pStyle w:val="28"/>
        <w:rPr>
          <w:color w:val="auto"/>
          <w:szCs w:val="44"/>
        </w:rPr>
      </w:pPr>
    </w:p>
    <w:p>
      <w:pPr>
        <w:pStyle w:val="28"/>
        <w:rPr>
          <w:color w:val="auto"/>
          <w:szCs w:val="44"/>
        </w:rPr>
      </w:pPr>
    </w:p>
    <w:p>
      <w:pPr>
        <w:pStyle w:val="28"/>
        <w:rPr>
          <w:color w:val="auto"/>
          <w:szCs w:val="44"/>
        </w:rPr>
      </w:pPr>
    </w:p>
    <w:p>
      <w:pPr>
        <w:pStyle w:val="28"/>
        <w:rPr>
          <w:color w:val="auto"/>
          <w:szCs w:val="44"/>
        </w:rPr>
      </w:pPr>
    </w:p>
    <w:p>
      <w:pPr>
        <w:pStyle w:val="28"/>
        <w:rPr>
          <w:color w:val="auto"/>
          <w:szCs w:val="44"/>
        </w:rPr>
      </w:pPr>
    </w:p>
    <w:p>
      <w:pPr>
        <w:pStyle w:val="10"/>
        <w:adjustRightInd w:val="0"/>
        <w:snapToGrid w:val="0"/>
        <w:spacing w:line="300" w:lineRule="auto"/>
        <w:rPr>
          <w:rFonts w:ascii="仿宋_GB2312" w:hAnsi="仿宋_GB2312" w:eastAsia="仿宋_GB2312" w:cs="仿宋_GB2312"/>
          <w:bCs/>
          <w:color w:val="000000"/>
          <w:sz w:val="30"/>
          <w:szCs w:val="30"/>
        </w:rPr>
      </w:pPr>
      <w:r>
        <w:rPr>
          <w:rFonts w:hint="eastAsia" w:ascii="仿宋_GB2312" w:hAnsi="仿宋_GB2312" w:eastAsia="仿宋_GB2312" w:cs="仿宋_GB2312"/>
          <w:b/>
          <w:color w:val="000000"/>
          <w:sz w:val="28"/>
          <w:szCs w:val="28"/>
          <w:lang w:val="zh-CN"/>
        </w:rPr>
        <w:t>一、项目情况介绍</w:t>
      </w:r>
    </w:p>
    <w:p>
      <w:pPr>
        <w:ind w:firstLine="560" w:firstLineChars="200"/>
        <w:rPr>
          <w:rFonts w:ascii="仿宋" w:hAnsi="仿宋" w:eastAsia="仿宋" w:cs="仿宋"/>
          <w:sz w:val="28"/>
          <w:szCs w:val="28"/>
        </w:rPr>
      </w:pPr>
      <w:r>
        <w:rPr>
          <w:rFonts w:hint="eastAsia" w:ascii="仿宋" w:hAnsi="仿宋" w:eastAsia="仿宋" w:cs="仿宋"/>
          <w:sz w:val="28"/>
          <w:szCs w:val="28"/>
        </w:rPr>
        <w:t xml:space="preserve">本项目为广州市净水有限公司2022年实验室化验仪器及辅助设备采购项目，拟定采购电子分析天平、酸度计、离心机、COD消解装置、便携式水质分析仪、紫外可见分光光度计、超纯水机等化验仪器及辅助设备。       </w:t>
      </w:r>
    </w:p>
    <w:p>
      <w:pPr>
        <w:pStyle w:val="10"/>
        <w:widowControl/>
        <w:numPr>
          <w:ilvl w:val="0"/>
          <w:numId w:val="4"/>
        </w:numPr>
        <w:adjustRightInd w:val="0"/>
        <w:snapToGrid w:val="0"/>
        <w:spacing w:line="300" w:lineRule="auto"/>
        <w:rPr>
          <w:rFonts w:ascii="仿宋_GB2312" w:hAnsi="仿宋_GB2312" w:eastAsia="仿宋_GB2312" w:cs="仿宋_GB2312"/>
          <w:bCs/>
          <w:color w:val="000000"/>
          <w:sz w:val="28"/>
          <w:szCs w:val="28"/>
        </w:rPr>
      </w:pPr>
      <w:r>
        <w:rPr>
          <w:rFonts w:hint="eastAsia" w:ascii="仿宋_GB2312" w:hAnsi="仿宋_GB2312" w:eastAsia="仿宋_GB2312" w:cs="仿宋_GB2312"/>
          <w:b/>
          <w:color w:val="000000"/>
          <w:sz w:val="28"/>
          <w:szCs w:val="28"/>
          <w:lang w:val="zh-CN"/>
        </w:rPr>
        <w:t>项目技术要求</w:t>
      </w:r>
    </w:p>
    <w:p>
      <w:pPr>
        <w:pStyle w:val="11"/>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工程量清单：</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982"/>
        <w:gridCol w:w="1074"/>
        <w:gridCol w:w="4492"/>
        <w:gridCol w:w="867"/>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widowControl/>
              <w:spacing w:line="0" w:lineRule="atLeast"/>
              <w:jc w:val="center"/>
              <w:rPr>
                <w:rFonts w:ascii="仿宋" w:hAnsi="仿宋" w:eastAsia="仿宋" w:cs="仿宋"/>
                <w:b/>
                <w:bCs/>
                <w:sz w:val="24"/>
                <w:szCs w:val="24"/>
              </w:rPr>
            </w:pPr>
            <w:r>
              <w:rPr>
                <w:rFonts w:hint="eastAsia" w:ascii="仿宋" w:hAnsi="仿宋" w:eastAsia="仿宋" w:cs="仿宋"/>
                <w:b/>
                <w:bCs/>
                <w:sz w:val="24"/>
                <w:szCs w:val="24"/>
                <w:lang w:bidi="ar"/>
              </w:rPr>
              <w:t>序号</w:t>
            </w:r>
          </w:p>
        </w:tc>
        <w:tc>
          <w:tcPr>
            <w:tcW w:w="982" w:type="dxa"/>
            <w:vAlign w:val="center"/>
          </w:tcPr>
          <w:p>
            <w:pPr>
              <w:widowControl/>
              <w:spacing w:line="0" w:lineRule="atLeast"/>
              <w:jc w:val="center"/>
              <w:rPr>
                <w:rFonts w:ascii="仿宋" w:hAnsi="仿宋" w:eastAsia="仿宋" w:cs="仿宋"/>
                <w:b/>
                <w:bCs/>
                <w:sz w:val="24"/>
                <w:szCs w:val="24"/>
                <w:lang w:bidi="ar"/>
              </w:rPr>
            </w:pPr>
            <w:r>
              <w:rPr>
                <w:rFonts w:hint="eastAsia" w:ascii="仿宋" w:hAnsi="仿宋" w:eastAsia="仿宋" w:cs="仿宋"/>
                <w:b/>
                <w:bCs/>
                <w:sz w:val="24"/>
                <w:szCs w:val="24"/>
                <w:lang w:bidi="ar"/>
              </w:rPr>
              <w:t>分公司</w:t>
            </w:r>
          </w:p>
        </w:tc>
        <w:tc>
          <w:tcPr>
            <w:tcW w:w="1074" w:type="dxa"/>
            <w:vAlign w:val="center"/>
          </w:tcPr>
          <w:p>
            <w:pPr>
              <w:widowControl/>
              <w:spacing w:line="0" w:lineRule="atLeast"/>
              <w:jc w:val="center"/>
              <w:rPr>
                <w:rFonts w:ascii="仿宋" w:hAnsi="仿宋" w:eastAsia="仿宋" w:cs="仿宋"/>
                <w:b/>
                <w:bCs/>
                <w:sz w:val="24"/>
                <w:szCs w:val="24"/>
              </w:rPr>
            </w:pPr>
            <w:r>
              <w:rPr>
                <w:rFonts w:hint="eastAsia" w:ascii="仿宋" w:hAnsi="仿宋" w:eastAsia="仿宋" w:cs="仿宋"/>
                <w:b/>
                <w:bCs/>
                <w:sz w:val="24"/>
                <w:szCs w:val="24"/>
                <w:lang w:bidi="ar"/>
              </w:rPr>
              <w:t>货物名称</w:t>
            </w:r>
          </w:p>
        </w:tc>
        <w:tc>
          <w:tcPr>
            <w:tcW w:w="4492" w:type="dxa"/>
            <w:vAlign w:val="center"/>
          </w:tcPr>
          <w:p>
            <w:pPr>
              <w:widowControl/>
              <w:spacing w:line="0" w:lineRule="atLeast"/>
              <w:jc w:val="center"/>
              <w:rPr>
                <w:rFonts w:ascii="仿宋" w:hAnsi="仿宋" w:eastAsia="仿宋" w:cs="仿宋"/>
                <w:b/>
                <w:bCs/>
                <w:sz w:val="24"/>
                <w:szCs w:val="24"/>
              </w:rPr>
            </w:pPr>
            <w:r>
              <w:rPr>
                <w:rFonts w:hint="eastAsia" w:ascii="仿宋" w:hAnsi="仿宋" w:eastAsia="仿宋" w:cs="仿宋"/>
                <w:b/>
                <w:bCs/>
                <w:sz w:val="24"/>
                <w:szCs w:val="24"/>
                <w:lang w:bidi="ar"/>
              </w:rPr>
              <w:t>技术参数及功能要求</w:t>
            </w:r>
          </w:p>
        </w:tc>
        <w:tc>
          <w:tcPr>
            <w:tcW w:w="867" w:type="dxa"/>
            <w:vAlign w:val="center"/>
          </w:tcPr>
          <w:p>
            <w:pPr>
              <w:widowControl/>
              <w:spacing w:line="0" w:lineRule="atLeast"/>
              <w:jc w:val="center"/>
              <w:rPr>
                <w:rFonts w:ascii="仿宋" w:hAnsi="仿宋" w:eastAsia="仿宋" w:cs="仿宋"/>
                <w:b/>
                <w:bCs/>
                <w:sz w:val="24"/>
                <w:szCs w:val="24"/>
              </w:rPr>
            </w:pPr>
            <w:r>
              <w:rPr>
                <w:rFonts w:hint="eastAsia" w:ascii="仿宋" w:hAnsi="仿宋" w:eastAsia="仿宋" w:cs="仿宋"/>
                <w:b/>
                <w:bCs/>
                <w:sz w:val="24"/>
                <w:szCs w:val="24"/>
                <w:lang w:bidi="ar"/>
              </w:rPr>
              <w:t>数量（台）</w:t>
            </w:r>
          </w:p>
        </w:tc>
        <w:tc>
          <w:tcPr>
            <w:tcW w:w="975" w:type="dxa"/>
            <w:vAlign w:val="center"/>
          </w:tcPr>
          <w:p>
            <w:pPr>
              <w:widowControl/>
              <w:spacing w:line="0" w:lineRule="atLeast"/>
              <w:jc w:val="center"/>
              <w:rPr>
                <w:rFonts w:ascii="仿宋" w:hAnsi="仿宋" w:eastAsia="仿宋" w:cs="仿宋"/>
                <w:b/>
                <w:bCs/>
                <w:sz w:val="24"/>
                <w:szCs w:val="24"/>
                <w:lang w:bidi="ar"/>
              </w:rPr>
            </w:pPr>
            <w:r>
              <w:rPr>
                <w:rFonts w:hint="eastAsia" w:ascii="仿宋" w:hAnsi="仿宋" w:eastAsia="仿宋" w:cs="仿宋"/>
                <w:b/>
                <w:bCs/>
                <w:sz w:val="24"/>
                <w:szCs w:val="24"/>
                <w:lang w:bidi="ar"/>
              </w:rPr>
              <w:t>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pStyle w:val="11"/>
              <w:jc w:val="center"/>
              <w:rPr>
                <w:rFonts w:ascii="仿宋" w:hAnsi="仿宋" w:eastAsia="仿宋" w:cs="仿宋"/>
                <w:color w:val="auto"/>
                <w:kern w:val="2"/>
              </w:rPr>
            </w:pPr>
            <w:r>
              <w:rPr>
                <w:rFonts w:hint="eastAsia" w:ascii="仿宋" w:hAnsi="仿宋" w:eastAsia="仿宋" w:cs="仿宋"/>
                <w:color w:val="auto"/>
                <w:kern w:val="2"/>
              </w:rPr>
              <w:t>1</w:t>
            </w:r>
          </w:p>
        </w:tc>
        <w:tc>
          <w:tcPr>
            <w:tcW w:w="982" w:type="dxa"/>
            <w:vAlign w:val="center"/>
          </w:tcPr>
          <w:p>
            <w:pPr>
              <w:pStyle w:val="11"/>
              <w:jc w:val="center"/>
              <w:rPr>
                <w:rFonts w:ascii="仿宋" w:hAnsi="仿宋" w:eastAsia="仿宋" w:cs="仿宋"/>
                <w:color w:val="auto"/>
                <w:kern w:val="2"/>
              </w:rPr>
            </w:pPr>
            <w:r>
              <w:rPr>
                <w:rFonts w:hint="eastAsia" w:ascii="仿宋" w:hAnsi="仿宋" w:eastAsia="仿宋" w:cs="仿宋"/>
                <w:color w:val="auto"/>
                <w:kern w:val="2"/>
              </w:rPr>
              <w:t>水质中心</w:t>
            </w:r>
          </w:p>
        </w:tc>
        <w:tc>
          <w:tcPr>
            <w:tcW w:w="1074"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电子分析天平</w:t>
            </w:r>
          </w:p>
        </w:tc>
        <w:tc>
          <w:tcPr>
            <w:tcW w:w="4492" w:type="dxa"/>
          </w:tcPr>
          <w:p>
            <w:pPr>
              <w:spacing w:line="0" w:lineRule="atLeast"/>
              <w:rPr>
                <w:rFonts w:ascii="仿宋" w:hAnsi="仿宋" w:eastAsia="仿宋" w:cs="仿宋"/>
                <w:sz w:val="24"/>
                <w:szCs w:val="24"/>
              </w:rPr>
            </w:pPr>
            <w:r>
              <w:rPr>
                <w:rFonts w:hint="eastAsia" w:ascii="仿宋" w:hAnsi="仿宋" w:eastAsia="仿宋" w:cs="仿宋"/>
                <w:sz w:val="24"/>
                <w:szCs w:val="24"/>
              </w:rPr>
              <w:t>称量范围：220g；</w:t>
            </w:r>
          </w:p>
          <w:p>
            <w:pPr>
              <w:spacing w:line="0" w:lineRule="atLeast"/>
              <w:rPr>
                <w:rFonts w:ascii="仿宋" w:hAnsi="仿宋" w:eastAsia="仿宋" w:cs="仿宋"/>
                <w:sz w:val="24"/>
                <w:szCs w:val="24"/>
              </w:rPr>
            </w:pPr>
            <w:r>
              <w:rPr>
                <w:rFonts w:hint="eastAsia" w:ascii="仿宋" w:hAnsi="仿宋" w:eastAsia="仿宋" w:cs="仿宋"/>
                <w:sz w:val="24"/>
                <w:szCs w:val="24"/>
              </w:rPr>
              <w:t>精度：0.1mg；</w:t>
            </w:r>
          </w:p>
          <w:p>
            <w:pPr>
              <w:spacing w:line="0" w:lineRule="atLeast"/>
              <w:rPr>
                <w:rFonts w:ascii="仿宋" w:hAnsi="仿宋" w:eastAsia="仿宋" w:cs="仿宋"/>
                <w:sz w:val="24"/>
                <w:szCs w:val="24"/>
              </w:rPr>
            </w:pPr>
            <w:r>
              <w:rPr>
                <w:rFonts w:hint="eastAsia" w:ascii="仿宋" w:hAnsi="仿宋" w:eastAsia="仿宋" w:cs="仿宋"/>
                <w:sz w:val="24"/>
                <w:szCs w:val="24"/>
              </w:rPr>
              <w:t>称盘尺寸：ф80mm；</w:t>
            </w:r>
          </w:p>
          <w:p>
            <w:pPr>
              <w:spacing w:line="0" w:lineRule="atLeast"/>
              <w:rPr>
                <w:rFonts w:ascii="仿宋" w:hAnsi="仿宋" w:eastAsia="仿宋" w:cs="仿宋"/>
                <w:sz w:val="24"/>
                <w:szCs w:val="24"/>
              </w:rPr>
            </w:pPr>
            <w:r>
              <w:rPr>
                <w:rFonts w:hint="eastAsia" w:ascii="仿宋" w:hAnsi="仿宋" w:eastAsia="仿宋" w:cs="仿宋"/>
                <w:sz w:val="24"/>
                <w:szCs w:val="24"/>
              </w:rPr>
              <w:t>具备双杠杆单体传感器、内置校准砝码，全自动校准、水平仪、五面防静电涂层玻璃防风罩、防震、动态温度补偿、全自动故障诊断、超载保护等功能</w:t>
            </w:r>
          </w:p>
        </w:tc>
        <w:tc>
          <w:tcPr>
            <w:tcW w:w="867"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2</w:t>
            </w:r>
          </w:p>
        </w:tc>
        <w:tc>
          <w:tcPr>
            <w:tcW w:w="975" w:type="dxa"/>
            <w:vAlign w:val="center"/>
          </w:tcPr>
          <w:p>
            <w:pPr>
              <w:widowControl/>
              <w:jc w:val="center"/>
              <w:textAlignment w:val="center"/>
              <w:rPr>
                <w:rFonts w:ascii="仿宋" w:hAnsi="仿宋" w:eastAsia="仿宋" w:cs="仿宋"/>
                <w:sz w:val="24"/>
                <w:szCs w:val="24"/>
              </w:rPr>
            </w:pPr>
            <w:r>
              <w:rPr>
                <w:rFonts w:hint="eastAsia" w:ascii="仿宋_GB2312" w:hAnsi="宋体" w:eastAsia="仿宋_GB2312" w:cs="仿宋_GB2312"/>
                <w:color w:val="000000"/>
                <w:kern w:val="0"/>
                <w:sz w:val="24"/>
                <w:szCs w:val="24"/>
                <w:lang w:bidi="ar"/>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pStyle w:val="11"/>
              <w:jc w:val="center"/>
              <w:rPr>
                <w:rFonts w:ascii="仿宋" w:hAnsi="仿宋" w:eastAsia="仿宋" w:cs="仿宋"/>
                <w:color w:val="auto"/>
                <w:kern w:val="2"/>
              </w:rPr>
            </w:pPr>
            <w:r>
              <w:rPr>
                <w:rFonts w:hint="eastAsia" w:ascii="仿宋" w:hAnsi="仿宋" w:eastAsia="仿宋" w:cs="仿宋"/>
                <w:color w:val="auto"/>
                <w:kern w:val="2"/>
              </w:rPr>
              <w:t>2</w:t>
            </w:r>
          </w:p>
        </w:tc>
        <w:tc>
          <w:tcPr>
            <w:tcW w:w="982" w:type="dxa"/>
            <w:vAlign w:val="center"/>
          </w:tcPr>
          <w:p>
            <w:pPr>
              <w:pStyle w:val="11"/>
              <w:jc w:val="center"/>
              <w:rPr>
                <w:rFonts w:ascii="仿宋" w:hAnsi="仿宋" w:eastAsia="仿宋" w:cs="仿宋"/>
                <w:color w:val="auto"/>
                <w:kern w:val="2"/>
              </w:rPr>
            </w:pPr>
            <w:r>
              <w:rPr>
                <w:rFonts w:hint="eastAsia" w:ascii="仿宋" w:hAnsi="仿宋" w:eastAsia="仿宋" w:cs="仿宋"/>
                <w:color w:val="auto"/>
                <w:kern w:val="2"/>
              </w:rPr>
              <w:t>水质中心</w:t>
            </w:r>
          </w:p>
        </w:tc>
        <w:tc>
          <w:tcPr>
            <w:tcW w:w="1074"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酸度计</w:t>
            </w:r>
          </w:p>
        </w:tc>
        <w:tc>
          <w:tcPr>
            <w:tcW w:w="4492" w:type="dxa"/>
          </w:tcPr>
          <w:p>
            <w:pPr>
              <w:spacing w:line="0" w:lineRule="atLeast"/>
              <w:jc w:val="left"/>
              <w:rPr>
                <w:rFonts w:ascii="仿宋" w:hAnsi="仿宋" w:eastAsia="仿宋" w:cs="仿宋"/>
                <w:sz w:val="24"/>
                <w:szCs w:val="24"/>
              </w:rPr>
            </w:pPr>
            <w:r>
              <w:rPr>
                <w:rFonts w:hint="eastAsia" w:ascii="仿宋" w:hAnsi="仿宋" w:eastAsia="仿宋" w:cs="仿宋"/>
                <w:sz w:val="24"/>
                <w:szCs w:val="24"/>
              </w:rPr>
              <w:t>pH测量范围：0～14.00；</w:t>
            </w:r>
          </w:p>
          <w:p>
            <w:pPr>
              <w:spacing w:line="0" w:lineRule="atLeast"/>
              <w:jc w:val="left"/>
              <w:rPr>
                <w:rFonts w:ascii="仿宋" w:hAnsi="仿宋" w:eastAsia="仿宋" w:cs="仿宋"/>
                <w:sz w:val="24"/>
                <w:szCs w:val="24"/>
              </w:rPr>
            </w:pPr>
            <w:r>
              <w:rPr>
                <w:rFonts w:hint="eastAsia" w:ascii="仿宋" w:hAnsi="仿宋" w:eastAsia="仿宋" w:cs="仿宋"/>
                <w:sz w:val="24"/>
                <w:szCs w:val="24"/>
              </w:rPr>
              <w:t>pH分辨率：0.01;</w:t>
            </w:r>
          </w:p>
          <w:p>
            <w:pPr>
              <w:spacing w:line="0" w:lineRule="atLeast"/>
              <w:jc w:val="left"/>
              <w:rPr>
                <w:rFonts w:ascii="仿宋" w:hAnsi="仿宋" w:eastAsia="仿宋" w:cs="仿宋"/>
                <w:sz w:val="24"/>
                <w:szCs w:val="24"/>
              </w:rPr>
            </w:pPr>
            <w:r>
              <w:rPr>
                <w:rFonts w:hint="eastAsia" w:ascii="仿宋" w:hAnsi="仿宋" w:eastAsia="仿宋" w:cs="仿宋"/>
                <w:sz w:val="24"/>
                <w:szCs w:val="24"/>
              </w:rPr>
              <w:t>pH精度：±0.01；</w:t>
            </w:r>
          </w:p>
          <w:p>
            <w:pPr>
              <w:spacing w:line="0" w:lineRule="atLeast"/>
              <w:jc w:val="left"/>
              <w:rPr>
                <w:rFonts w:ascii="仿宋" w:hAnsi="仿宋" w:eastAsia="仿宋" w:cs="仿宋"/>
                <w:sz w:val="24"/>
                <w:szCs w:val="24"/>
              </w:rPr>
            </w:pPr>
            <w:r>
              <w:rPr>
                <w:rFonts w:hint="eastAsia" w:ascii="仿宋" w:hAnsi="仿宋" w:eastAsia="仿宋" w:cs="仿宋"/>
                <w:sz w:val="24"/>
                <w:szCs w:val="24"/>
              </w:rPr>
              <w:t>温度分辨率：0.1℃；</w:t>
            </w:r>
          </w:p>
          <w:p>
            <w:pPr>
              <w:spacing w:line="0" w:lineRule="atLeast"/>
              <w:rPr>
                <w:rFonts w:ascii="仿宋" w:hAnsi="仿宋" w:eastAsia="仿宋" w:cs="仿宋"/>
                <w:sz w:val="24"/>
                <w:szCs w:val="24"/>
              </w:rPr>
            </w:pPr>
            <w:r>
              <w:rPr>
                <w:rFonts w:hint="eastAsia" w:ascii="仿宋" w:hAnsi="仿宋" w:eastAsia="仿宋" w:cs="仿宋"/>
                <w:sz w:val="24"/>
                <w:szCs w:val="24"/>
              </w:rPr>
              <w:t>温度精度：±0.2℃</w:t>
            </w:r>
          </w:p>
        </w:tc>
        <w:tc>
          <w:tcPr>
            <w:tcW w:w="867"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2</w:t>
            </w:r>
          </w:p>
        </w:tc>
        <w:tc>
          <w:tcPr>
            <w:tcW w:w="975" w:type="dxa"/>
            <w:vAlign w:val="center"/>
          </w:tcPr>
          <w:p>
            <w:pPr>
              <w:widowControl/>
              <w:jc w:val="center"/>
              <w:textAlignment w:val="center"/>
              <w:rPr>
                <w:rFonts w:ascii="仿宋" w:hAnsi="仿宋" w:eastAsia="仿宋" w:cs="仿宋"/>
                <w:sz w:val="24"/>
                <w:szCs w:val="24"/>
              </w:rPr>
            </w:pPr>
            <w:r>
              <w:rPr>
                <w:rFonts w:hint="eastAsia" w:ascii="仿宋_GB2312" w:hAnsi="宋体" w:eastAsia="仿宋_GB2312" w:cs="仿宋_GB2312"/>
                <w:color w:val="000000"/>
                <w:kern w:val="0"/>
                <w:sz w:val="24"/>
                <w:szCs w:val="24"/>
                <w:lang w:bidi="ar"/>
              </w:rPr>
              <w:t>6502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pStyle w:val="11"/>
              <w:jc w:val="center"/>
              <w:rPr>
                <w:rFonts w:ascii="仿宋" w:hAnsi="仿宋" w:eastAsia="仿宋" w:cs="仿宋"/>
                <w:color w:val="auto"/>
                <w:kern w:val="2"/>
              </w:rPr>
            </w:pPr>
            <w:r>
              <w:rPr>
                <w:rFonts w:hint="eastAsia" w:ascii="仿宋" w:hAnsi="仿宋" w:eastAsia="仿宋" w:cs="仿宋"/>
                <w:color w:val="auto"/>
                <w:kern w:val="2"/>
              </w:rPr>
              <w:t>3</w:t>
            </w:r>
          </w:p>
        </w:tc>
        <w:tc>
          <w:tcPr>
            <w:tcW w:w="982" w:type="dxa"/>
            <w:vAlign w:val="center"/>
          </w:tcPr>
          <w:p>
            <w:pPr>
              <w:pStyle w:val="11"/>
              <w:jc w:val="center"/>
              <w:rPr>
                <w:rFonts w:ascii="仿宋" w:hAnsi="仿宋" w:eastAsia="仿宋" w:cs="仿宋"/>
                <w:color w:val="auto"/>
                <w:kern w:val="2"/>
              </w:rPr>
            </w:pPr>
            <w:r>
              <w:rPr>
                <w:rFonts w:hint="eastAsia" w:ascii="仿宋" w:hAnsi="仿宋" w:eastAsia="仿宋" w:cs="仿宋"/>
                <w:color w:val="auto"/>
                <w:kern w:val="2"/>
              </w:rPr>
              <w:t>水质中心</w:t>
            </w:r>
          </w:p>
        </w:tc>
        <w:tc>
          <w:tcPr>
            <w:tcW w:w="1074"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赶酸板</w:t>
            </w:r>
          </w:p>
        </w:tc>
        <w:tc>
          <w:tcPr>
            <w:tcW w:w="4492" w:type="dxa"/>
          </w:tcPr>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温度可调范围：室温～200℃；</w:t>
            </w:r>
          </w:p>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恒温精度：±0.1℃；（25℃环境温度，180℃时）</w:t>
            </w:r>
          </w:p>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温度稳定性：±0.5℃</w:t>
            </w:r>
          </w:p>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定时时间：连续或1-999分钟(带蜂鸣声提示)；</w:t>
            </w:r>
          </w:p>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加热功耗：1200W；</w:t>
            </w:r>
          </w:p>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加热试管数：24个；</w:t>
            </w:r>
          </w:p>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试管规格：Φ16mm（可按需定制）。</w:t>
            </w:r>
          </w:p>
          <w:p>
            <w:pPr>
              <w:spacing w:line="0" w:lineRule="atLeast"/>
              <w:jc w:val="left"/>
            </w:pPr>
            <w:r>
              <w:rPr>
                <w:rFonts w:hint="eastAsia" w:ascii="仿宋" w:hAnsi="仿宋" w:eastAsia="仿宋" w:cs="仿宋"/>
                <w:sz w:val="24"/>
                <w:szCs w:val="24"/>
              </w:rPr>
              <w:t>此赶酸板需与以下微波消解仪配套使用</w:t>
            </w:r>
          </w:p>
        </w:tc>
        <w:tc>
          <w:tcPr>
            <w:tcW w:w="867"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2</w:t>
            </w:r>
          </w:p>
        </w:tc>
        <w:tc>
          <w:tcPr>
            <w:tcW w:w="975" w:type="dxa"/>
            <w:vAlign w:val="center"/>
          </w:tcPr>
          <w:p>
            <w:pPr>
              <w:widowControl/>
              <w:jc w:val="center"/>
              <w:textAlignment w:val="center"/>
              <w:rPr>
                <w:rFonts w:ascii="仿宋" w:hAnsi="仿宋" w:eastAsia="仿宋" w:cs="仿宋"/>
                <w:sz w:val="24"/>
                <w:szCs w:val="24"/>
              </w:rPr>
            </w:pPr>
            <w:r>
              <w:rPr>
                <w:rFonts w:hint="eastAsia" w:ascii="仿宋_GB2312" w:hAnsi="宋体" w:eastAsia="仿宋_GB2312" w:cs="仿宋_GB2312"/>
                <w:color w:val="000000"/>
                <w:kern w:val="0"/>
                <w:sz w:val="24"/>
                <w:szCs w:val="24"/>
                <w:lang w:bidi="ar"/>
              </w:rPr>
              <w:t>17600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pStyle w:val="11"/>
              <w:jc w:val="center"/>
              <w:rPr>
                <w:rFonts w:ascii="仿宋" w:hAnsi="仿宋" w:eastAsia="仿宋" w:cs="仿宋"/>
                <w:color w:val="auto"/>
                <w:kern w:val="2"/>
              </w:rPr>
            </w:pPr>
            <w:r>
              <w:rPr>
                <w:rFonts w:hint="eastAsia" w:ascii="仿宋" w:hAnsi="仿宋" w:eastAsia="仿宋" w:cs="仿宋"/>
                <w:color w:val="auto"/>
                <w:kern w:val="2"/>
              </w:rPr>
              <w:t>4</w:t>
            </w:r>
          </w:p>
        </w:tc>
        <w:tc>
          <w:tcPr>
            <w:tcW w:w="982" w:type="dxa"/>
            <w:vAlign w:val="center"/>
          </w:tcPr>
          <w:p>
            <w:pPr>
              <w:pStyle w:val="11"/>
              <w:jc w:val="center"/>
              <w:rPr>
                <w:rFonts w:ascii="仿宋" w:hAnsi="仿宋" w:eastAsia="仿宋" w:cs="仿宋"/>
                <w:color w:val="auto"/>
                <w:kern w:val="2"/>
              </w:rPr>
            </w:pPr>
            <w:r>
              <w:rPr>
                <w:rFonts w:hint="eastAsia" w:ascii="仿宋" w:hAnsi="仿宋" w:eastAsia="仿宋" w:cs="仿宋"/>
                <w:color w:val="auto"/>
                <w:kern w:val="2"/>
              </w:rPr>
              <w:t>水质中心</w:t>
            </w:r>
          </w:p>
        </w:tc>
        <w:tc>
          <w:tcPr>
            <w:tcW w:w="1074"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电动低速离心机</w:t>
            </w:r>
          </w:p>
        </w:tc>
        <w:tc>
          <w:tcPr>
            <w:tcW w:w="4492" w:type="dxa"/>
          </w:tcPr>
          <w:p>
            <w:pPr>
              <w:spacing w:line="0" w:lineRule="atLeast"/>
              <w:jc w:val="left"/>
              <w:rPr>
                <w:rFonts w:ascii="仿宋" w:hAnsi="仿宋" w:eastAsia="仿宋" w:cs="仿宋"/>
                <w:sz w:val="24"/>
                <w:szCs w:val="24"/>
              </w:rPr>
            </w:pPr>
            <w:r>
              <w:rPr>
                <w:rFonts w:hint="eastAsia" w:ascii="仿宋" w:hAnsi="仿宋" w:eastAsia="仿宋" w:cs="仿宋"/>
                <w:sz w:val="24"/>
                <w:szCs w:val="24"/>
              </w:rPr>
              <w:t>最高转速：5000rpm；</w:t>
            </w:r>
          </w:p>
          <w:p>
            <w:pPr>
              <w:spacing w:line="0" w:lineRule="atLeast"/>
              <w:jc w:val="left"/>
              <w:rPr>
                <w:rFonts w:ascii="仿宋" w:hAnsi="仿宋" w:eastAsia="仿宋" w:cs="仿宋"/>
                <w:sz w:val="24"/>
                <w:szCs w:val="24"/>
              </w:rPr>
            </w:pPr>
            <w:r>
              <w:rPr>
                <w:rFonts w:hint="eastAsia" w:ascii="仿宋" w:hAnsi="仿宋" w:eastAsia="仿宋" w:cs="仿宋"/>
                <w:sz w:val="24"/>
                <w:szCs w:val="24"/>
              </w:rPr>
              <w:t>最大相对离心力：5010×g；</w:t>
            </w:r>
          </w:p>
          <w:p>
            <w:pPr>
              <w:spacing w:line="0" w:lineRule="atLeast"/>
              <w:jc w:val="left"/>
              <w:rPr>
                <w:rFonts w:ascii="仿宋" w:hAnsi="仿宋" w:eastAsia="仿宋" w:cs="仿宋"/>
                <w:sz w:val="24"/>
                <w:szCs w:val="24"/>
              </w:rPr>
            </w:pPr>
            <w:r>
              <w:rPr>
                <w:rFonts w:hint="eastAsia" w:ascii="仿宋" w:hAnsi="仿宋" w:eastAsia="仿宋" w:cs="仿宋"/>
                <w:sz w:val="24"/>
                <w:szCs w:val="24"/>
              </w:rPr>
              <w:t>总功率：450W；</w:t>
            </w:r>
          </w:p>
          <w:p>
            <w:pPr>
              <w:spacing w:line="0" w:lineRule="atLeast"/>
              <w:jc w:val="left"/>
              <w:rPr>
                <w:rFonts w:ascii="仿宋" w:hAnsi="仿宋" w:eastAsia="仿宋" w:cs="仿宋"/>
                <w:sz w:val="24"/>
                <w:szCs w:val="24"/>
              </w:rPr>
            </w:pPr>
            <w:r>
              <w:rPr>
                <w:rFonts w:hint="eastAsia" w:ascii="仿宋" w:hAnsi="仿宋" w:eastAsia="仿宋" w:cs="仿宋"/>
                <w:sz w:val="24"/>
                <w:szCs w:val="24"/>
              </w:rPr>
              <w:t>最大容量：4×250ml；</w:t>
            </w:r>
          </w:p>
          <w:p>
            <w:pPr>
              <w:spacing w:line="0" w:lineRule="atLeast"/>
              <w:jc w:val="left"/>
              <w:rPr>
                <w:rFonts w:ascii="仿宋" w:hAnsi="仿宋" w:eastAsia="仿宋" w:cs="仿宋"/>
                <w:sz w:val="24"/>
                <w:szCs w:val="24"/>
              </w:rPr>
            </w:pPr>
            <w:r>
              <w:rPr>
                <w:rFonts w:hint="eastAsia" w:ascii="仿宋" w:hAnsi="仿宋" w:eastAsia="仿宋" w:cs="仿宋"/>
                <w:sz w:val="24"/>
                <w:szCs w:val="24"/>
              </w:rPr>
              <w:t>定时范围：1min～99min；</w:t>
            </w:r>
          </w:p>
          <w:p>
            <w:pPr>
              <w:spacing w:line="0" w:lineRule="atLeast"/>
              <w:jc w:val="left"/>
              <w:rPr>
                <w:rFonts w:ascii="仿宋" w:hAnsi="仿宋" w:eastAsia="仿宋" w:cs="仿宋"/>
                <w:sz w:val="24"/>
                <w:szCs w:val="24"/>
              </w:rPr>
            </w:pPr>
            <w:r>
              <w:rPr>
                <w:rFonts w:hint="eastAsia" w:ascii="仿宋" w:hAnsi="仿宋" w:eastAsia="仿宋" w:cs="仿宋"/>
                <w:sz w:val="24"/>
                <w:szCs w:val="24"/>
              </w:rPr>
              <w:t>整机噪声： &lt;65dB（A）</w:t>
            </w:r>
          </w:p>
          <w:p>
            <w:pPr>
              <w:spacing w:line="0" w:lineRule="atLeast"/>
              <w:jc w:val="left"/>
              <w:rPr>
                <w:rFonts w:ascii="仿宋" w:hAnsi="仿宋" w:eastAsia="仿宋" w:cs="仿宋"/>
                <w:sz w:val="24"/>
                <w:szCs w:val="24"/>
              </w:rPr>
            </w:pPr>
            <w:r>
              <w:rPr>
                <w:rFonts w:hint="eastAsia" w:ascii="仿宋" w:hAnsi="仿宋" w:eastAsia="仿宋" w:cs="仿宋"/>
                <w:sz w:val="24"/>
                <w:szCs w:val="24"/>
              </w:rPr>
              <w:t>最短加/减速时间：45s/48s；</w:t>
            </w:r>
          </w:p>
          <w:p>
            <w:pPr>
              <w:spacing w:line="0" w:lineRule="atLeast"/>
              <w:jc w:val="left"/>
              <w:rPr>
                <w:rFonts w:ascii="仿宋" w:hAnsi="仿宋" w:eastAsia="仿宋" w:cs="仿宋"/>
                <w:sz w:val="24"/>
                <w:szCs w:val="24"/>
              </w:rPr>
            </w:pPr>
            <w:r>
              <w:rPr>
                <w:rFonts w:hint="eastAsia" w:ascii="仿宋" w:hAnsi="仿宋" w:eastAsia="仿宋" w:cs="仿宋"/>
                <w:sz w:val="24"/>
                <w:szCs w:val="24"/>
              </w:rPr>
              <w:t>转速精度：±20r/min</w:t>
            </w:r>
          </w:p>
          <w:p>
            <w:pPr>
              <w:spacing w:line="0" w:lineRule="atLeast"/>
              <w:rPr>
                <w:rFonts w:ascii="仿宋" w:hAnsi="仿宋" w:eastAsia="仿宋" w:cs="仿宋"/>
                <w:sz w:val="24"/>
                <w:szCs w:val="24"/>
              </w:rPr>
            </w:pPr>
            <w:r>
              <w:rPr>
                <w:rFonts w:hint="eastAsia" w:ascii="仿宋" w:hAnsi="仿宋" w:eastAsia="仿宋" w:cs="仿宋"/>
                <w:sz w:val="24"/>
                <w:szCs w:val="24"/>
              </w:rPr>
              <w:t>配备50ml转子1套、100ml转子1套、250ml转子1套</w:t>
            </w:r>
          </w:p>
        </w:tc>
        <w:tc>
          <w:tcPr>
            <w:tcW w:w="867"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1</w:t>
            </w:r>
          </w:p>
        </w:tc>
        <w:tc>
          <w:tcPr>
            <w:tcW w:w="975" w:type="dxa"/>
            <w:vAlign w:val="center"/>
          </w:tcPr>
          <w:p>
            <w:pPr>
              <w:widowControl/>
              <w:jc w:val="center"/>
              <w:textAlignment w:val="center"/>
              <w:rPr>
                <w:rFonts w:ascii="仿宋" w:hAnsi="仿宋" w:eastAsia="仿宋" w:cs="仿宋"/>
                <w:sz w:val="24"/>
                <w:szCs w:val="24"/>
              </w:rPr>
            </w:pPr>
            <w:r>
              <w:rPr>
                <w:rFonts w:hint="eastAsia" w:ascii="仿宋_GB2312" w:hAnsi="宋体" w:eastAsia="仿宋_GB2312" w:cs="仿宋_GB2312"/>
                <w:color w:val="000000"/>
                <w:kern w:val="0"/>
                <w:sz w:val="24"/>
                <w:szCs w:val="24"/>
                <w:lang w:bidi="ar"/>
              </w:rPr>
              <w:t>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pStyle w:val="11"/>
              <w:jc w:val="center"/>
              <w:rPr>
                <w:rFonts w:ascii="仿宋" w:hAnsi="仿宋" w:eastAsia="仿宋" w:cs="仿宋"/>
                <w:color w:val="auto"/>
                <w:kern w:val="2"/>
              </w:rPr>
            </w:pPr>
            <w:r>
              <w:rPr>
                <w:rFonts w:hint="eastAsia" w:ascii="仿宋" w:hAnsi="仿宋" w:eastAsia="仿宋" w:cs="仿宋"/>
                <w:color w:val="auto"/>
                <w:kern w:val="2"/>
              </w:rPr>
              <w:t>5</w:t>
            </w:r>
          </w:p>
        </w:tc>
        <w:tc>
          <w:tcPr>
            <w:tcW w:w="982" w:type="dxa"/>
            <w:vAlign w:val="center"/>
          </w:tcPr>
          <w:p>
            <w:pPr>
              <w:pStyle w:val="11"/>
              <w:jc w:val="center"/>
              <w:rPr>
                <w:rFonts w:ascii="仿宋" w:hAnsi="仿宋" w:eastAsia="仿宋" w:cs="仿宋"/>
                <w:color w:val="auto"/>
                <w:kern w:val="2"/>
              </w:rPr>
            </w:pPr>
            <w:r>
              <w:rPr>
                <w:rFonts w:hint="eastAsia" w:ascii="仿宋" w:hAnsi="仿宋" w:eastAsia="仿宋" w:cs="仿宋"/>
                <w:color w:val="auto"/>
                <w:kern w:val="2"/>
              </w:rPr>
              <w:t>水质中心</w:t>
            </w:r>
          </w:p>
        </w:tc>
        <w:tc>
          <w:tcPr>
            <w:tcW w:w="1074"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COD消解装置（回流）</w:t>
            </w:r>
          </w:p>
        </w:tc>
        <w:tc>
          <w:tcPr>
            <w:tcW w:w="4492" w:type="dxa"/>
          </w:tcPr>
          <w:p>
            <w:pPr>
              <w:spacing w:line="0" w:lineRule="atLeast"/>
              <w:jc w:val="left"/>
              <w:rPr>
                <w:rFonts w:ascii="仿宋" w:hAnsi="仿宋" w:eastAsia="仿宋" w:cs="仿宋"/>
                <w:sz w:val="24"/>
                <w:szCs w:val="24"/>
              </w:rPr>
            </w:pPr>
            <w:r>
              <w:rPr>
                <w:rFonts w:hint="eastAsia" w:ascii="仿宋" w:hAnsi="仿宋" w:eastAsia="仿宋" w:cs="仿宋"/>
                <w:sz w:val="24"/>
                <w:szCs w:val="24"/>
              </w:rPr>
              <w:t>消解位数：1～6个；</w:t>
            </w:r>
          </w:p>
          <w:p>
            <w:pPr>
              <w:spacing w:line="0" w:lineRule="atLeast"/>
              <w:jc w:val="left"/>
              <w:rPr>
                <w:rFonts w:ascii="仿宋" w:hAnsi="仿宋" w:eastAsia="仿宋" w:cs="仿宋"/>
                <w:sz w:val="24"/>
                <w:szCs w:val="24"/>
              </w:rPr>
            </w:pPr>
            <w:r>
              <w:rPr>
                <w:rFonts w:hint="eastAsia" w:ascii="仿宋" w:hAnsi="仿宋" w:eastAsia="仿宋" w:cs="仿宋"/>
                <w:sz w:val="24"/>
                <w:szCs w:val="24"/>
              </w:rPr>
              <w:t>定时范围：1min～600min（可调）；</w:t>
            </w:r>
          </w:p>
          <w:p>
            <w:pPr>
              <w:spacing w:line="0" w:lineRule="atLeast"/>
              <w:jc w:val="left"/>
              <w:rPr>
                <w:rFonts w:ascii="仿宋" w:hAnsi="仿宋" w:eastAsia="仿宋" w:cs="仿宋"/>
                <w:sz w:val="24"/>
                <w:szCs w:val="24"/>
              </w:rPr>
            </w:pPr>
            <w:r>
              <w:rPr>
                <w:rFonts w:hint="eastAsia" w:ascii="仿宋" w:hAnsi="仿宋" w:eastAsia="仿宋" w:cs="仿宋"/>
                <w:sz w:val="24"/>
                <w:szCs w:val="24"/>
              </w:rPr>
              <w:t>加热装置：采用不锈钢金属加热板；</w:t>
            </w:r>
          </w:p>
          <w:p>
            <w:pPr>
              <w:spacing w:line="0" w:lineRule="atLeast"/>
              <w:jc w:val="left"/>
              <w:rPr>
                <w:rFonts w:ascii="仿宋" w:hAnsi="仿宋" w:eastAsia="仿宋" w:cs="仿宋"/>
                <w:sz w:val="24"/>
                <w:szCs w:val="24"/>
              </w:rPr>
            </w:pPr>
            <w:r>
              <w:rPr>
                <w:rFonts w:hint="eastAsia" w:ascii="仿宋" w:hAnsi="仿宋" w:eastAsia="仿宋" w:cs="仿宋"/>
                <w:sz w:val="24"/>
                <w:szCs w:val="24"/>
              </w:rPr>
              <w:t>冷却方式：风冷，双风循环；</w:t>
            </w:r>
          </w:p>
          <w:p>
            <w:pPr>
              <w:spacing w:line="0" w:lineRule="atLeast"/>
              <w:rPr>
                <w:rFonts w:ascii="仿宋" w:hAnsi="仿宋" w:eastAsia="仿宋" w:cs="仿宋"/>
                <w:sz w:val="24"/>
                <w:szCs w:val="24"/>
              </w:rPr>
            </w:pPr>
            <w:r>
              <w:rPr>
                <w:rFonts w:hint="eastAsia" w:ascii="仿宋" w:hAnsi="仿宋" w:eastAsia="仿宋" w:cs="仿宋"/>
                <w:sz w:val="24"/>
                <w:szCs w:val="24"/>
              </w:rPr>
              <w:t>显示屏：LCD屏，可显示温度及时间；</w:t>
            </w:r>
          </w:p>
        </w:tc>
        <w:tc>
          <w:tcPr>
            <w:tcW w:w="867"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1</w:t>
            </w:r>
          </w:p>
        </w:tc>
        <w:tc>
          <w:tcPr>
            <w:tcW w:w="975" w:type="dxa"/>
            <w:vAlign w:val="center"/>
          </w:tcPr>
          <w:p>
            <w:pPr>
              <w:widowControl/>
              <w:jc w:val="center"/>
              <w:textAlignment w:val="center"/>
              <w:rPr>
                <w:rFonts w:ascii="仿宋" w:hAnsi="仿宋" w:eastAsia="仿宋" w:cs="仿宋"/>
                <w:sz w:val="24"/>
                <w:szCs w:val="24"/>
              </w:rPr>
            </w:pPr>
            <w:r>
              <w:rPr>
                <w:rFonts w:hint="eastAsia" w:ascii="仿宋_GB2312" w:hAnsi="宋体" w:eastAsia="仿宋_GB2312" w:cs="仿宋_GB2312"/>
                <w:color w:val="000000"/>
                <w:kern w:val="0"/>
                <w:sz w:val="24"/>
                <w:szCs w:val="24"/>
                <w:lang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pStyle w:val="11"/>
              <w:jc w:val="center"/>
              <w:rPr>
                <w:rFonts w:ascii="仿宋" w:hAnsi="仿宋" w:eastAsia="仿宋" w:cs="仿宋"/>
                <w:color w:val="auto"/>
                <w:kern w:val="2"/>
              </w:rPr>
            </w:pPr>
            <w:r>
              <w:rPr>
                <w:rFonts w:hint="eastAsia" w:ascii="仿宋" w:hAnsi="仿宋" w:eastAsia="仿宋" w:cs="仿宋"/>
                <w:color w:val="auto"/>
                <w:kern w:val="2"/>
              </w:rPr>
              <w:t>6</w:t>
            </w:r>
          </w:p>
        </w:tc>
        <w:tc>
          <w:tcPr>
            <w:tcW w:w="982" w:type="dxa"/>
            <w:vAlign w:val="center"/>
          </w:tcPr>
          <w:p>
            <w:pPr>
              <w:pStyle w:val="11"/>
              <w:jc w:val="center"/>
              <w:rPr>
                <w:rFonts w:ascii="仿宋" w:hAnsi="仿宋" w:eastAsia="仿宋" w:cs="仿宋"/>
                <w:color w:val="auto"/>
                <w:kern w:val="2"/>
              </w:rPr>
            </w:pPr>
            <w:r>
              <w:rPr>
                <w:rFonts w:hint="eastAsia" w:ascii="仿宋" w:hAnsi="仿宋" w:eastAsia="仿宋" w:cs="仿宋"/>
                <w:color w:val="auto"/>
                <w:kern w:val="2"/>
              </w:rPr>
              <w:t>水质中心</w:t>
            </w:r>
          </w:p>
        </w:tc>
        <w:tc>
          <w:tcPr>
            <w:tcW w:w="1074"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微波消解仪</w:t>
            </w:r>
          </w:p>
        </w:tc>
        <w:tc>
          <w:tcPr>
            <w:tcW w:w="4492" w:type="dxa"/>
          </w:tcPr>
          <w:p>
            <w:pPr>
              <w:spacing w:line="0" w:lineRule="atLeast"/>
              <w:jc w:val="left"/>
              <w:rPr>
                <w:rFonts w:ascii="仿宋" w:hAnsi="仿宋" w:eastAsia="仿宋" w:cs="仿宋"/>
                <w:sz w:val="24"/>
                <w:szCs w:val="24"/>
              </w:rPr>
            </w:pPr>
            <w:r>
              <w:rPr>
                <w:rFonts w:hint="eastAsia" w:ascii="仿宋" w:hAnsi="仿宋" w:eastAsia="仿宋" w:cs="仿宋"/>
                <w:sz w:val="24"/>
                <w:szCs w:val="24"/>
              </w:rPr>
              <w:t>1.微波反应腔系统：采用全不锈钢腔体,外覆多层耐腐蚀特氟龙涂层；采用精确耦合波导设计，保证微波能量直接传输和均匀分布；采用自动排风和冷却系统，可10分钟快速风冷，无需水冷等外接附加装置；采用多层全不锈钢自动防爆门；</w:t>
            </w:r>
          </w:p>
          <w:p>
            <w:pPr>
              <w:spacing w:line="0" w:lineRule="atLeast"/>
              <w:jc w:val="left"/>
              <w:rPr>
                <w:rFonts w:ascii="仿宋" w:hAnsi="仿宋" w:eastAsia="仿宋" w:cs="仿宋"/>
                <w:sz w:val="24"/>
                <w:szCs w:val="24"/>
              </w:rPr>
            </w:pPr>
            <w:r>
              <w:rPr>
                <w:rFonts w:hint="eastAsia" w:ascii="仿宋" w:hAnsi="仿宋" w:eastAsia="仿宋" w:cs="仿宋"/>
                <w:sz w:val="24"/>
                <w:szCs w:val="24"/>
              </w:rPr>
              <w:t>2.火焰安全探测系统：通过内置于腔体内的火焰探测器实时监控腔体内情况；</w:t>
            </w:r>
          </w:p>
          <w:p>
            <w:pPr>
              <w:spacing w:line="0" w:lineRule="atLeast"/>
              <w:jc w:val="left"/>
              <w:rPr>
                <w:rFonts w:ascii="仿宋" w:hAnsi="仿宋" w:eastAsia="仿宋" w:cs="仿宋"/>
                <w:sz w:val="24"/>
                <w:szCs w:val="24"/>
              </w:rPr>
            </w:pPr>
            <w:r>
              <w:rPr>
                <w:rFonts w:hint="eastAsia" w:ascii="仿宋" w:hAnsi="仿宋" w:eastAsia="仿宋" w:cs="仿宋"/>
                <w:sz w:val="24"/>
                <w:szCs w:val="24"/>
              </w:rPr>
              <w:t>3.双光路温度控制系统：可实时控制所有压力罐内温度（最多可达40个），可实现逐点标定。温度控制范围0～330℃；</w:t>
            </w:r>
          </w:p>
          <w:p>
            <w:pPr>
              <w:spacing w:line="0" w:lineRule="atLeast"/>
              <w:rPr>
                <w:rFonts w:ascii="仿宋" w:hAnsi="仿宋" w:eastAsia="仿宋" w:cs="仿宋"/>
                <w:sz w:val="24"/>
                <w:szCs w:val="24"/>
              </w:rPr>
            </w:pPr>
            <w:r>
              <w:rPr>
                <w:rFonts w:hint="eastAsia" w:ascii="仿宋" w:hAnsi="仿宋" w:eastAsia="仿宋" w:cs="仿宋"/>
                <w:sz w:val="24"/>
                <w:szCs w:val="24"/>
              </w:rPr>
              <w:t>4.消解罐数/组：40罐/套（包含转盘），容量 55ml，内衬材料特氟龙，最大压力 1500psi。</w:t>
            </w:r>
          </w:p>
        </w:tc>
        <w:tc>
          <w:tcPr>
            <w:tcW w:w="867"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1</w:t>
            </w:r>
          </w:p>
        </w:tc>
        <w:tc>
          <w:tcPr>
            <w:tcW w:w="975" w:type="dxa"/>
            <w:vAlign w:val="center"/>
          </w:tcPr>
          <w:p>
            <w:pPr>
              <w:widowControl/>
              <w:jc w:val="center"/>
              <w:textAlignment w:val="center"/>
              <w:rPr>
                <w:rFonts w:ascii="仿宋" w:hAnsi="仿宋" w:eastAsia="仿宋" w:cs="仿宋"/>
                <w:sz w:val="24"/>
                <w:szCs w:val="24"/>
              </w:rPr>
            </w:pPr>
            <w:r>
              <w:rPr>
                <w:rFonts w:hint="eastAsia" w:ascii="仿宋_GB2312" w:hAnsi="宋体" w:eastAsia="仿宋_GB2312" w:cs="仿宋_GB2312"/>
                <w:color w:val="000000"/>
                <w:kern w:val="0"/>
                <w:sz w:val="24"/>
                <w:szCs w:val="24"/>
                <w:lang w:bidi="ar"/>
              </w:rPr>
              <w:t>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pStyle w:val="11"/>
              <w:jc w:val="center"/>
              <w:rPr>
                <w:rFonts w:ascii="仿宋" w:hAnsi="仿宋" w:eastAsia="仿宋" w:cs="仿宋"/>
                <w:color w:val="auto"/>
                <w:kern w:val="2"/>
              </w:rPr>
            </w:pPr>
            <w:r>
              <w:rPr>
                <w:rFonts w:hint="eastAsia" w:ascii="仿宋" w:hAnsi="仿宋" w:eastAsia="仿宋" w:cs="仿宋"/>
                <w:color w:val="auto"/>
                <w:kern w:val="2"/>
              </w:rPr>
              <w:t>7</w:t>
            </w:r>
          </w:p>
        </w:tc>
        <w:tc>
          <w:tcPr>
            <w:tcW w:w="982" w:type="dxa"/>
            <w:vAlign w:val="center"/>
          </w:tcPr>
          <w:p>
            <w:pPr>
              <w:pStyle w:val="11"/>
              <w:jc w:val="center"/>
              <w:rPr>
                <w:rFonts w:ascii="仿宋" w:hAnsi="仿宋" w:eastAsia="仿宋" w:cs="仿宋"/>
                <w:color w:val="auto"/>
                <w:kern w:val="2"/>
              </w:rPr>
            </w:pPr>
            <w:r>
              <w:rPr>
                <w:rFonts w:hint="eastAsia" w:ascii="仿宋" w:hAnsi="仿宋" w:eastAsia="仿宋" w:cs="仿宋"/>
                <w:color w:val="auto"/>
                <w:kern w:val="2"/>
              </w:rPr>
              <w:t>水质中心</w:t>
            </w:r>
          </w:p>
        </w:tc>
        <w:tc>
          <w:tcPr>
            <w:tcW w:w="1074"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COD消解器</w:t>
            </w:r>
          </w:p>
        </w:tc>
        <w:tc>
          <w:tcPr>
            <w:tcW w:w="4492" w:type="dxa"/>
          </w:tcPr>
          <w:p>
            <w:pPr>
              <w:spacing w:line="0" w:lineRule="atLeast"/>
              <w:jc w:val="left"/>
              <w:rPr>
                <w:rFonts w:ascii="仿宋" w:hAnsi="仿宋" w:eastAsia="仿宋" w:cs="仿宋"/>
                <w:sz w:val="24"/>
                <w:szCs w:val="24"/>
              </w:rPr>
            </w:pPr>
            <w:r>
              <w:rPr>
                <w:rFonts w:hint="eastAsia" w:ascii="仿宋" w:hAnsi="仿宋" w:eastAsia="仿宋" w:cs="仿宋"/>
                <w:sz w:val="24"/>
                <w:szCs w:val="24"/>
              </w:rPr>
              <w:t>温度可调范围：32℃～399℃；</w:t>
            </w:r>
          </w:p>
          <w:p>
            <w:pPr>
              <w:spacing w:line="0" w:lineRule="atLeast"/>
              <w:jc w:val="left"/>
              <w:rPr>
                <w:rFonts w:ascii="仿宋" w:hAnsi="仿宋" w:eastAsia="仿宋" w:cs="仿宋"/>
                <w:sz w:val="24"/>
                <w:szCs w:val="24"/>
              </w:rPr>
            </w:pPr>
            <w:r>
              <w:rPr>
                <w:rFonts w:hint="eastAsia" w:ascii="仿宋" w:hAnsi="仿宋" w:eastAsia="仿宋" w:cs="仿宋"/>
                <w:sz w:val="24"/>
                <w:szCs w:val="24"/>
              </w:rPr>
              <w:t>加热速率：10分钟内可以从20℃加热到150℃；</w:t>
            </w:r>
          </w:p>
          <w:p>
            <w:pPr>
              <w:spacing w:line="0" w:lineRule="atLeast"/>
              <w:jc w:val="left"/>
              <w:rPr>
                <w:rFonts w:ascii="仿宋" w:hAnsi="仿宋" w:eastAsia="仿宋" w:cs="仿宋"/>
                <w:sz w:val="24"/>
                <w:szCs w:val="24"/>
              </w:rPr>
            </w:pPr>
            <w:r>
              <w:rPr>
                <w:rFonts w:hint="eastAsia" w:ascii="仿宋" w:hAnsi="仿宋" w:eastAsia="仿宋" w:cs="仿宋"/>
                <w:sz w:val="24"/>
                <w:szCs w:val="24"/>
              </w:rPr>
              <w:t>温度稳定性：±2℃；</w:t>
            </w:r>
          </w:p>
          <w:p>
            <w:pPr>
              <w:spacing w:line="0" w:lineRule="atLeast"/>
              <w:rPr>
                <w:rFonts w:ascii="仿宋" w:hAnsi="仿宋" w:eastAsia="仿宋" w:cs="仿宋"/>
                <w:sz w:val="24"/>
                <w:szCs w:val="24"/>
              </w:rPr>
            </w:pPr>
            <w:r>
              <w:rPr>
                <w:rFonts w:hint="eastAsia" w:ascii="仿宋" w:hAnsi="仿宋" w:eastAsia="仿宋" w:cs="仿宋"/>
                <w:sz w:val="24"/>
                <w:szCs w:val="24"/>
              </w:rPr>
              <w:t>试管数：30管。</w:t>
            </w:r>
          </w:p>
        </w:tc>
        <w:tc>
          <w:tcPr>
            <w:tcW w:w="867"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2</w:t>
            </w:r>
          </w:p>
        </w:tc>
        <w:tc>
          <w:tcPr>
            <w:tcW w:w="975" w:type="dxa"/>
            <w:vAlign w:val="center"/>
          </w:tcPr>
          <w:p>
            <w:pPr>
              <w:widowControl/>
              <w:jc w:val="center"/>
              <w:textAlignment w:val="center"/>
              <w:rPr>
                <w:rFonts w:ascii="仿宋" w:hAnsi="仿宋" w:eastAsia="仿宋" w:cs="仿宋"/>
                <w:sz w:val="24"/>
                <w:szCs w:val="24"/>
              </w:rPr>
            </w:pPr>
            <w:r>
              <w:rPr>
                <w:rFonts w:hint="eastAsia" w:ascii="仿宋_GB2312" w:hAnsi="宋体" w:eastAsia="仿宋_GB2312" w:cs="仿宋_GB2312"/>
                <w:color w:val="000000"/>
                <w:kern w:val="0"/>
                <w:sz w:val="24"/>
                <w:szCs w:val="24"/>
                <w:lang w:bidi="ar"/>
              </w:rPr>
              <w:t>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pStyle w:val="11"/>
              <w:jc w:val="center"/>
              <w:rPr>
                <w:rFonts w:ascii="仿宋" w:hAnsi="仿宋" w:eastAsia="仿宋" w:cs="仿宋"/>
                <w:color w:val="auto"/>
                <w:kern w:val="2"/>
              </w:rPr>
            </w:pPr>
            <w:r>
              <w:rPr>
                <w:rFonts w:hint="eastAsia" w:ascii="仿宋" w:hAnsi="仿宋" w:eastAsia="仿宋" w:cs="仿宋"/>
                <w:color w:val="auto"/>
                <w:kern w:val="2"/>
              </w:rPr>
              <w:t>8</w:t>
            </w:r>
          </w:p>
        </w:tc>
        <w:tc>
          <w:tcPr>
            <w:tcW w:w="982" w:type="dxa"/>
            <w:vAlign w:val="center"/>
          </w:tcPr>
          <w:p>
            <w:pPr>
              <w:pStyle w:val="11"/>
              <w:jc w:val="center"/>
              <w:rPr>
                <w:rFonts w:ascii="仿宋" w:hAnsi="仿宋" w:eastAsia="仿宋" w:cs="仿宋"/>
                <w:color w:val="auto"/>
                <w:kern w:val="2"/>
              </w:rPr>
            </w:pPr>
            <w:r>
              <w:rPr>
                <w:rFonts w:hint="eastAsia" w:ascii="仿宋" w:hAnsi="仿宋" w:eastAsia="仿宋" w:cs="仿宋"/>
                <w:color w:val="auto"/>
                <w:kern w:val="2"/>
              </w:rPr>
              <w:t>水质中心</w:t>
            </w:r>
          </w:p>
        </w:tc>
        <w:tc>
          <w:tcPr>
            <w:tcW w:w="1074"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便携式多参数水质分析仪</w:t>
            </w:r>
          </w:p>
        </w:tc>
        <w:tc>
          <w:tcPr>
            <w:tcW w:w="4492" w:type="dxa"/>
          </w:tcPr>
          <w:p>
            <w:pPr>
              <w:spacing w:line="0" w:lineRule="atLeast"/>
              <w:jc w:val="left"/>
              <w:rPr>
                <w:rFonts w:ascii="仿宋" w:hAnsi="仿宋" w:eastAsia="仿宋" w:cs="仿宋"/>
                <w:sz w:val="24"/>
                <w:szCs w:val="24"/>
              </w:rPr>
            </w:pPr>
            <w:r>
              <w:rPr>
                <w:rFonts w:hint="eastAsia" w:ascii="仿宋" w:hAnsi="仿宋" w:eastAsia="仿宋" w:cs="仿宋"/>
                <w:sz w:val="24"/>
                <w:szCs w:val="24"/>
              </w:rPr>
              <w:t>显示：可同时显示2个电极的读数；</w:t>
            </w:r>
          </w:p>
          <w:p>
            <w:pPr>
              <w:spacing w:line="0" w:lineRule="atLeast"/>
              <w:jc w:val="left"/>
              <w:rPr>
                <w:rFonts w:ascii="仿宋" w:hAnsi="仿宋" w:eastAsia="仿宋" w:cs="仿宋"/>
                <w:sz w:val="24"/>
                <w:szCs w:val="24"/>
              </w:rPr>
            </w:pPr>
            <w:r>
              <w:rPr>
                <w:rFonts w:hint="eastAsia" w:ascii="仿宋" w:hAnsi="仿宋" w:eastAsia="仿宋" w:cs="仿宋"/>
                <w:sz w:val="24"/>
                <w:szCs w:val="24"/>
              </w:rPr>
              <w:t>pH电极：pH、mV、温度；pH量程：0-14pH；pH精度：±0.002pH；pH分辨率：0.001pH，0.01pH，0.1pH；</w:t>
            </w:r>
          </w:p>
          <w:p>
            <w:pPr>
              <w:spacing w:line="0" w:lineRule="atLeast"/>
              <w:jc w:val="left"/>
              <w:rPr>
                <w:rFonts w:ascii="仿宋" w:hAnsi="仿宋" w:eastAsia="仿宋" w:cs="仿宋"/>
                <w:sz w:val="24"/>
                <w:szCs w:val="24"/>
              </w:rPr>
            </w:pPr>
            <w:r>
              <w:rPr>
                <w:rFonts w:hint="eastAsia" w:ascii="仿宋" w:hAnsi="仿宋" w:eastAsia="仿宋" w:cs="仿宋"/>
                <w:sz w:val="24"/>
                <w:szCs w:val="24"/>
              </w:rPr>
              <w:t>电导率电极：电导率、温度；电导率精度：±0.5%；</w:t>
            </w:r>
          </w:p>
          <w:p>
            <w:pPr>
              <w:spacing w:line="0" w:lineRule="atLeast"/>
              <w:jc w:val="left"/>
              <w:rPr>
                <w:rFonts w:ascii="仿宋" w:hAnsi="仿宋" w:eastAsia="仿宋" w:cs="仿宋"/>
                <w:sz w:val="24"/>
                <w:szCs w:val="24"/>
              </w:rPr>
            </w:pPr>
            <w:r>
              <w:rPr>
                <w:rFonts w:hint="eastAsia" w:ascii="仿宋" w:hAnsi="仿宋" w:eastAsia="仿宋" w:cs="仿宋"/>
                <w:sz w:val="24"/>
                <w:szCs w:val="24"/>
              </w:rPr>
              <w:t>电导率量程：0.01μS/cm-200mS/cm；电导率分辨率：0.01μS/cm；</w:t>
            </w:r>
          </w:p>
          <w:p>
            <w:pPr>
              <w:spacing w:line="0" w:lineRule="atLeast"/>
              <w:jc w:val="left"/>
              <w:rPr>
                <w:rFonts w:ascii="仿宋" w:hAnsi="仿宋" w:eastAsia="仿宋" w:cs="仿宋"/>
                <w:sz w:val="24"/>
                <w:szCs w:val="24"/>
              </w:rPr>
            </w:pPr>
            <w:r>
              <w:rPr>
                <w:rFonts w:hint="eastAsia" w:ascii="仿宋" w:hAnsi="仿宋" w:eastAsia="仿宋" w:cs="仿宋"/>
                <w:sz w:val="24"/>
                <w:szCs w:val="24"/>
              </w:rPr>
              <w:t>溶解氧电极：溶解氧、压力、温度；溶解氧量程：0.01-20mg/L；氧饱和度量程：0-200%；溶解氧分辨率：0.01mg/L；</w:t>
            </w:r>
          </w:p>
          <w:p>
            <w:pPr>
              <w:spacing w:line="0" w:lineRule="atLeast"/>
              <w:jc w:val="left"/>
              <w:rPr>
                <w:rFonts w:ascii="仿宋" w:hAnsi="仿宋" w:eastAsia="仿宋" w:cs="仿宋"/>
                <w:sz w:val="24"/>
                <w:szCs w:val="24"/>
              </w:rPr>
            </w:pPr>
            <w:r>
              <w:rPr>
                <w:rFonts w:hint="eastAsia" w:ascii="仿宋" w:hAnsi="仿宋" w:eastAsia="仿宋" w:cs="仿宋"/>
                <w:sz w:val="24"/>
                <w:szCs w:val="24"/>
              </w:rPr>
              <w:t>ORP氧化还原电位电极：mV、温度；ORP量程：-1500—1500mV；ORP精度：±0.1mV；ORP分辨率：0.1mV；</w:t>
            </w:r>
          </w:p>
          <w:p>
            <w:pPr>
              <w:spacing w:line="0" w:lineRule="atLeast"/>
              <w:jc w:val="left"/>
              <w:rPr>
                <w:rFonts w:ascii="仿宋" w:hAnsi="仿宋" w:eastAsia="仿宋" w:cs="仿宋"/>
                <w:sz w:val="24"/>
                <w:szCs w:val="24"/>
              </w:rPr>
            </w:pPr>
            <w:r>
              <w:rPr>
                <w:rFonts w:hint="eastAsia" w:ascii="仿宋" w:hAnsi="仿宋" w:eastAsia="仿宋" w:cs="仿宋"/>
                <w:sz w:val="24"/>
                <w:szCs w:val="24"/>
              </w:rPr>
              <w:t>采用便携式IP67设计, 具有液晶显示屏；</w:t>
            </w:r>
          </w:p>
          <w:p>
            <w:pPr>
              <w:spacing w:line="0" w:lineRule="atLeast"/>
              <w:jc w:val="left"/>
              <w:rPr>
                <w:rFonts w:ascii="仿宋" w:hAnsi="仿宋" w:eastAsia="仿宋" w:cs="仿宋"/>
                <w:sz w:val="24"/>
                <w:szCs w:val="24"/>
              </w:rPr>
            </w:pPr>
            <w:r>
              <w:rPr>
                <w:rFonts w:hint="eastAsia" w:ascii="仿宋" w:hAnsi="仿宋" w:eastAsia="仿宋" w:cs="仿宋"/>
                <w:sz w:val="24"/>
                <w:szCs w:val="24"/>
              </w:rPr>
              <w:t>数据存储：校准数据都存贮在日志中。在“按下即读”模式和间隔测量模式时可自动存储。在“连续读数”模式时需手动存储；</w:t>
            </w:r>
          </w:p>
          <w:p>
            <w:pPr>
              <w:spacing w:line="0" w:lineRule="atLeast"/>
              <w:jc w:val="left"/>
              <w:rPr>
                <w:rFonts w:ascii="仿宋" w:hAnsi="仿宋" w:eastAsia="仿宋" w:cs="仿宋"/>
                <w:sz w:val="24"/>
                <w:szCs w:val="24"/>
              </w:rPr>
            </w:pPr>
            <w:r>
              <w:rPr>
                <w:rFonts w:hint="eastAsia" w:ascii="仿宋" w:hAnsi="仿宋" w:eastAsia="仿宋" w:cs="仿宋"/>
                <w:sz w:val="24"/>
                <w:szCs w:val="24"/>
              </w:rPr>
              <w:t>温度修正/补偿：三种模式，分别为关，自动，手动（修正要根据参数进行）；</w:t>
            </w:r>
          </w:p>
          <w:p>
            <w:pPr>
              <w:spacing w:line="0" w:lineRule="atLeast"/>
              <w:rPr>
                <w:rFonts w:ascii="仿宋" w:hAnsi="仿宋" w:eastAsia="仿宋" w:cs="仿宋"/>
                <w:sz w:val="24"/>
                <w:szCs w:val="24"/>
              </w:rPr>
            </w:pPr>
            <w:r>
              <w:rPr>
                <w:rFonts w:hint="eastAsia" w:ascii="仿宋" w:hAnsi="仿宋" w:eastAsia="仿宋" w:cs="仿宋"/>
                <w:sz w:val="24"/>
                <w:szCs w:val="24"/>
              </w:rPr>
              <w:t>锁定显示功能：连续测量模式或按下即读测量模式有平均LDO测量读数的功能。</w:t>
            </w:r>
          </w:p>
        </w:tc>
        <w:tc>
          <w:tcPr>
            <w:tcW w:w="867"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2</w:t>
            </w:r>
          </w:p>
        </w:tc>
        <w:tc>
          <w:tcPr>
            <w:tcW w:w="975" w:type="dxa"/>
            <w:vAlign w:val="center"/>
          </w:tcPr>
          <w:p>
            <w:pPr>
              <w:widowControl/>
              <w:jc w:val="center"/>
              <w:textAlignment w:val="center"/>
              <w:rPr>
                <w:rFonts w:ascii="仿宋" w:hAnsi="仿宋" w:eastAsia="仿宋" w:cs="仿宋"/>
                <w:sz w:val="24"/>
                <w:szCs w:val="24"/>
              </w:rPr>
            </w:pPr>
            <w:r>
              <w:rPr>
                <w:rFonts w:hint="eastAsia" w:ascii="仿宋_GB2312" w:hAnsi="宋体" w:eastAsia="仿宋_GB2312" w:cs="仿宋_GB2312"/>
                <w:color w:val="000000"/>
                <w:kern w:val="0"/>
                <w:sz w:val="24"/>
                <w:szCs w:val="24"/>
                <w:lang w:bidi="ar"/>
              </w:rPr>
              <w:t>81996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pStyle w:val="11"/>
              <w:jc w:val="center"/>
              <w:rPr>
                <w:rFonts w:ascii="仿宋" w:hAnsi="仿宋" w:eastAsia="仿宋" w:cs="仿宋"/>
                <w:color w:val="auto"/>
                <w:kern w:val="2"/>
              </w:rPr>
            </w:pPr>
            <w:r>
              <w:rPr>
                <w:rFonts w:hint="eastAsia" w:ascii="仿宋" w:hAnsi="仿宋" w:eastAsia="仿宋" w:cs="仿宋"/>
                <w:color w:val="auto"/>
                <w:kern w:val="2"/>
              </w:rPr>
              <w:t>9</w:t>
            </w:r>
          </w:p>
        </w:tc>
        <w:tc>
          <w:tcPr>
            <w:tcW w:w="982" w:type="dxa"/>
            <w:vAlign w:val="center"/>
          </w:tcPr>
          <w:p>
            <w:pPr>
              <w:pStyle w:val="11"/>
              <w:jc w:val="center"/>
              <w:rPr>
                <w:rFonts w:ascii="仿宋" w:hAnsi="仿宋" w:eastAsia="仿宋" w:cs="仿宋"/>
                <w:color w:val="auto"/>
                <w:kern w:val="2"/>
              </w:rPr>
            </w:pPr>
            <w:r>
              <w:rPr>
                <w:rFonts w:hint="eastAsia" w:ascii="仿宋" w:hAnsi="仿宋" w:eastAsia="仿宋" w:cs="仿宋"/>
                <w:color w:val="auto"/>
                <w:kern w:val="2"/>
              </w:rPr>
              <w:t>水质中心</w:t>
            </w:r>
          </w:p>
        </w:tc>
        <w:tc>
          <w:tcPr>
            <w:tcW w:w="1074"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单参数溶解氧分析仪</w:t>
            </w:r>
          </w:p>
        </w:tc>
        <w:tc>
          <w:tcPr>
            <w:tcW w:w="4492" w:type="dxa"/>
          </w:tcPr>
          <w:p>
            <w:pPr>
              <w:spacing w:line="0" w:lineRule="atLeast"/>
              <w:jc w:val="left"/>
              <w:rPr>
                <w:rFonts w:ascii="仿宋" w:hAnsi="仿宋" w:eastAsia="仿宋" w:cs="仿宋"/>
                <w:sz w:val="24"/>
                <w:szCs w:val="24"/>
              </w:rPr>
            </w:pPr>
            <w:r>
              <w:rPr>
                <w:rFonts w:hint="eastAsia" w:ascii="仿宋" w:hAnsi="仿宋" w:eastAsia="仿宋" w:cs="仿宋"/>
                <w:sz w:val="24"/>
                <w:szCs w:val="24"/>
              </w:rPr>
              <w:t>溶解氧（LDO）量程：0.00-20.0mg/L；0-200%饱和度；</w:t>
            </w:r>
          </w:p>
          <w:p>
            <w:pPr>
              <w:spacing w:line="0" w:lineRule="atLeast"/>
              <w:jc w:val="left"/>
              <w:rPr>
                <w:rFonts w:ascii="仿宋" w:hAnsi="仿宋" w:eastAsia="仿宋" w:cs="仿宋"/>
                <w:sz w:val="24"/>
                <w:szCs w:val="24"/>
              </w:rPr>
            </w:pPr>
            <w:r>
              <w:rPr>
                <w:rFonts w:hint="eastAsia" w:ascii="仿宋" w:hAnsi="仿宋" w:eastAsia="仿宋" w:cs="仿宋"/>
                <w:sz w:val="24"/>
                <w:szCs w:val="24"/>
              </w:rPr>
              <w:t>分辨率：0.01mg/L，0.1%饱和度；</w:t>
            </w:r>
          </w:p>
          <w:p>
            <w:pPr>
              <w:spacing w:line="0" w:lineRule="atLeast"/>
              <w:jc w:val="left"/>
              <w:rPr>
                <w:rFonts w:ascii="仿宋" w:hAnsi="仿宋" w:eastAsia="仿宋" w:cs="仿宋"/>
                <w:sz w:val="24"/>
                <w:szCs w:val="24"/>
              </w:rPr>
            </w:pPr>
            <w:r>
              <w:rPr>
                <w:rFonts w:hint="eastAsia" w:ascii="仿宋" w:hAnsi="仿宋" w:eastAsia="仿宋" w:cs="仿宋"/>
                <w:sz w:val="24"/>
                <w:szCs w:val="24"/>
              </w:rPr>
              <w:t>准确度：±1%量程；</w:t>
            </w:r>
          </w:p>
          <w:p>
            <w:pPr>
              <w:spacing w:line="0" w:lineRule="atLeast"/>
              <w:rPr>
                <w:rFonts w:ascii="仿宋" w:hAnsi="仿宋" w:eastAsia="仿宋" w:cs="仿宋"/>
                <w:sz w:val="24"/>
                <w:szCs w:val="24"/>
              </w:rPr>
            </w:pPr>
            <w:r>
              <w:rPr>
                <w:rFonts w:hint="eastAsia" w:ascii="仿宋" w:hAnsi="仿宋" w:eastAsia="仿宋" w:cs="仿宋"/>
                <w:sz w:val="24"/>
                <w:szCs w:val="24"/>
              </w:rPr>
              <w:t>采用IP67设计，具有液晶显示屏，使用前无需极化及校准，采用无膜式探头及耐用荧光帽，不受废水中化学物质的干扰，维护方面无需更换膜组件，无需填充电解液。</w:t>
            </w:r>
          </w:p>
        </w:tc>
        <w:tc>
          <w:tcPr>
            <w:tcW w:w="867"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2</w:t>
            </w:r>
          </w:p>
        </w:tc>
        <w:tc>
          <w:tcPr>
            <w:tcW w:w="975" w:type="dxa"/>
            <w:vAlign w:val="center"/>
          </w:tcPr>
          <w:p>
            <w:pPr>
              <w:widowControl/>
              <w:jc w:val="center"/>
              <w:textAlignment w:val="center"/>
              <w:rPr>
                <w:rFonts w:ascii="仿宋" w:hAnsi="仿宋" w:eastAsia="仿宋" w:cs="仿宋"/>
                <w:sz w:val="24"/>
                <w:szCs w:val="24"/>
              </w:rPr>
            </w:pPr>
            <w:r>
              <w:rPr>
                <w:rFonts w:hint="eastAsia" w:ascii="仿宋_GB2312" w:hAnsi="宋体" w:eastAsia="仿宋_GB2312" w:cs="仿宋_GB2312"/>
                <w:color w:val="000000"/>
                <w:kern w:val="0"/>
                <w:sz w:val="24"/>
                <w:szCs w:val="24"/>
                <w:lang w:bidi="ar"/>
              </w:rPr>
              <w:t>39480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pStyle w:val="11"/>
              <w:jc w:val="center"/>
              <w:rPr>
                <w:rFonts w:ascii="仿宋" w:hAnsi="仿宋" w:eastAsia="仿宋" w:cs="仿宋"/>
                <w:color w:val="auto"/>
                <w:kern w:val="2"/>
              </w:rPr>
            </w:pPr>
            <w:r>
              <w:rPr>
                <w:rFonts w:hint="eastAsia" w:ascii="仿宋" w:hAnsi="仿宋" w:eastAsia="仿宋" w:cs="仿宋"/>
                <w:color w:val="auto"/>
                <w:kern w:val="2"/>
              </w:rPr>
              <w:t>10</w:t>
            </w:r>
          </w:p>
        </w:tc>
        <w:tc>
          <w:tcPr>
            <w:tcW w:w="982" w:type="dxa"/>
            <w:vAlign w:val="center"/>
          </w:tcPr>
          <w:p>
            <w:pPr>
              <w:pStyle w:val="11"/>
              <w:jc w:val="center"/>
              <w:rPr>
                <w:rFonts w:ascii="仿宋" w:hAnsi="仿宋" w:eastAsia="仿宋" w:cs="仿宋"/>
                <w:color w:val="auto"/>
                <w:kern w:val="2"/>
              </w:rPr>
            </w:pPr>
            <w:r>
              <w:rPr>
                <w:rFonts w:hint="eastAsia" w:ascii="仿宋" w:hAnsi="仿宋" w:eastAsia="仿宋" w:cs="仿宋"/>
                <w:color w:val="auto"/>
                <w:kern w:val="2"/>
              </w:rPr>
              <w:t>水质中心</w:t>
            </w:r>
          </w:p>
        </w:tc>
        <w:tc>
          <w:tcPr>
            <w:tcW w:w="1074"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紫外可见分光光度计</w:t>
            </w:r>
          </w:p>
        </w:tc>
        <w:tc>
          <w:tcPr>
            <w:tcW w:w="4492" w:type="dxa"/>
          </w:tcPr>
          <w:p>
            <w:pPr>
              <w:spacing w:line="0" w:lineRule="atLeast"/>
              <w:jc w:val="left"/>
              <w:rPr>
                <w:rFonts w:ascii="仿宋" w:hAnsi="仿宋" w:eastAsia="仿宋" w:cs="仿宋"/>
                <w:sz w:val="24"/>
                <w:szCs w:val="24"/>
              </w:rPr>
            </w:pPr>
            <w:r>
              <w:rPr>
                <w:rFonts w:hint="eastAsia" w:ascii="仿宋" w:hAnsi="仿宋" w:eastAsia="仿宋" w:cs="仿宋"/>
                <w:sz w:val="24"/>
                <w:szCs w:val="24"/>
              </w:rPr>
              <w:t>光学系统：氘气灯（紫外），钨灯（可见光），单色器，硅光电二极管检测器；</w:t>
            </w:r>
          </w:p>
          <w:p>
            <w:pPr>
              <w:spacing w:line="0" w:lineRule="atLeast"/>
              <w:jc w:val="left"/>
              <w:rPr>
                <w:rFonts w:ascii="仿宋" w:hAnsi="仿宋" w:eastAsia="仿宋" w:cs="仿宋"/>
                <w:sz w:val="24"/>
                <w:szCs w:val="24"/>
              </w:rPr>
            </w:pPr>
            <w:r>
              <w:rPr>
                <w:rFonts w:hint="eastAsia" w:ascii="仿宋" w:hAnsi="仿宋" w:eastAsia="仿宋" w:cs="仿宋"/>
                <w:sz w:val="24"/>
                <w:szCs w:val="24"/>
              </w:rPr>
              <w:t>波长范围：190～1100 nm；波长准确度：±1 nm（200－900nm）；</w:t>
            </w:r>
          </w:p>
          <w:p>
            <w:pPr>
              <w:spacing w:line="0" w:lineRule="atLeast"/>
              <w:jc w:val="left"/>
              <w:rPr>
                <w:rFonts w:ascii="仿宋" w:hAnsi="仿宋" w:eastAsia="仿宋" w:cs="仿宋"/>
                <w:sz w:val="24"/>
                <w:szCs w:val="24"/>
              </w:rPr>
            </w:pPr>
            <w:r>
              <w:rPr>
                <w:rFonts w:hint="eastAsia" w:ascii="仿宋" w:hAnsi="仿宋" w:eastAsia="仿宋" w:cs="仿宋"/>
                <w:sz w:val="24"/>
                <w:szCs w:val="24"/>
              </w:rPr>
              <w:t>波长再现性：﹤0.1nm；波长分辨率：0.1nm；</w:t>
            </w:r>
          </w:p>
          <w:p>
            <w:pPr>
              <w:spacing w:line="0" w:lineRule="atLeast"/>
              <w:jc w:val="left"/>
              <w:rPr>
                <w:rFonts w:ascii="仿宋" w:hAnsi="仿宋" w:eastAsia="仿宋" w:cs="仿宋"/>
                <w:sz w:val="24"/>
                <w:szCs w:val="24"/>
              </w:rPr>
            </w:pPr>
            <w:r>
              <w:rPr>
                <w:rFonts w:hint="eastAsia" w:ascii="仿宋" w:hAnsi="仿宋" w:eastAsia="仿宋" w:cs="仿宋"/>
                <w:sz w:val="24"/>
                <w:szCs w:val="24"/>
              </w:rPr>
              <w:t>光度测量范围：±3.0Abs（200-900nm)；</w:t>
            </w:r>
          </w:p>
          <w:p>
            <w:pPr>
              <w:spacing w:line="0" w:lineRule="atLeast"/>
              <w:jc w:val="left"/>
              <w:rPr>
                <w:rFonts w:ascii="仿宋" w:hAnsi="仿宋" w:eastAsia="仿宋" w:cs="仿宋"/>
                <w:sz w:val="24"/>
                <w:szCs w:val="24"/>
              </w:rPr>
            </w:pPr>
            <w:r>
              <w:rPr>
                <w:rFonts w:hint="eastAsia" w:ascii="仿宋" w:hAnsi="仿宋" w:eastAsia="仿宋" w:cs="仿宋"/>
                <w:sz w:val="24"/>
                <w:szCs w:val="24"/>
              </w:rPr>
              <w:t>光度测量准确度在0.0-0.5Abs时为0.005Abs，在0.5-2.0Abs时为1%</w:t>
            </w:r>
          </w:p>
          <w:p>
            <w:pPr>
              <w:spacing w:line="0" w:lineRule="atLeast"/>
              <w:jc w:val="left"/>
              <w:rPr>
                <w:rFonts w:ascii="仿宋" w:hAnsi="仿宋" w:eastAsia="仿宋" w:cs="仿宋"/>
                <w:sz w:val="24"/>
                <w:szCs w:val="24"/>
              </w:rPr>
            </w:pPr>
            <w:r>
              <w:rPr>
                <w:rFonts w:hint="eastAsia" w:ascii="仿宋" w:hAnsi="仿宋" w:eastAsia="仿宋" w:cs="仿宋"/>
                <w:sz w:val="24"/>
                <w:szCs w:val="24"/>
              </w:rPr>
              <w:t>杂散光：﹤0.05%T（KI溶液，220 nm）；光度漂移：±0.0034 Abs</w:t>
            </w:r>
          </w:p>
          <w:p>
            <w:pPr>
              <w:spacing w:line="0" w:lineRule="atLeast"/>
              <w:jc w:val="left"/>
              <w:rPr>
                <w:rFonts w:ascii="仿宋" w:hAnsi="仿宋" w:eastAsia="仿宋" w:cs="仿宋"/>
                <w:sz w:val="24"/>
                <w:szCs w:val="24"/>
              </w:rPr>
            </w:pPr>
            <w:r>
              <w:rPr>
                <w:rFonts w:hint="eastAsia" w:ascii="仿宋" w:hAnsi="仿宋" w:eastAsia="仿宋" w:cs="仿宋"/>
                <w:sz w:val="24"/>
                <w:szCs w:val="24"/>
              </w:rPr>
              <w:t>数据记录器：≥5000个测量值；</w:t>
            </w:r>
          </w:p>
          <w:p>
            <w:pPr>
              <w:spacing w:line="0" w:lineRule="atLeast"/>
              <w:jc w:val="left"/>
              <w:rPr>
                <w:rFonts w:ascii="仿宋" w:hAnsi="仿宋" w:eastAsia="仿宋" w:cs="仿宋"/>
                <w:sz w:val="24"/>
                <w:szCs w:val="24"/>
              </w:rPr>
            </w:pPr>
            <w:r>
              <w:rPr>
                <w:rFonts w:hint="eastAsia" w:ascii="仿宋" w:hAnsi="仿宋" w:eastAsia="仿宋" w:cs="仿宋"/>
                <w:sz w:val="24"/>
                <w:szCs w:val="24"/>
              </w:rPr>
              <w:t>预置多种测量程序，可快速扫描与实验室信息管理系统结合，可直读测量总氮、硝酸盐氮等多波长吸光度（含计算公式）；</w:t>
            </w:r>
          </w:p>
          <w:p>
            <w:pPr>
              <w:spacing w:line="0" w:lineRule="atLeast"/>
              <w:jc w:val="left"/>
              <w:rPr>
                <w:rFonts w:ascii="仿宋" w:hAnsi="仿宋" w:eastAsia="仿宋" w:cs="仿宋"/>
                <w:sz w:val="24"/>
                <w:szCs w:val="24"/>
              </w:rPr>
            </w:pPr>
            <w:r>
              <w:rPr>
                <w:rFonts w:hint="eastAsia" w:ascii="仿宋" w:hAnsi="仿宋" w:eastAsia="仿宋" w:cs="仿宋"/>
                <w:sz w:val="24"/>
                <w:szCs w:val="24"/>
              </w:rPr>
              <w:t>可对实验过程进行监测，并访问校准数据、批次号、测量步骤以及原始数据。</w:t>
            </w:r>
          </w:p>
          <w:p>
            <w:pPr>
              <w:spacing w:line="0" w:lineRule="atLeast"/>
              <w:jc w:val="left"/>
              <w:rPr>
                <w:rFonts w:ascii="仿宋" w:hAnsi="仿宋" w:eastAsia="仿宋" w:cs="仿宋"/>
                <w:sz w:val="24"/>
                <w:szCs w:val="24"/>
              </w:rPr>
            </w:pPr>
            <w:r>
              <w:rPr>
                <w:rFonts w:hint="eastAsia" w:ascii="仿宋" w:hAnsi="仿宋" w:eastAsia="仿宋" w:cs="仿宋"/>
                <w:sz w:val="24"/>
                <w:szCs w:val="24"/>
              </w:rPr>
              <w:t>具备数据存储功能，可存储不少于5000组数据等。</w:t>
            </w:r>
          </w:p>
          <w:p>
            <w:pPr>
              <w:spacing w:line="0" w:lineRule="atLeast"/>
              <w:jc w:val="left"/>
              <w:rPr>
                <w:rFonts w:ascii="仿宋" w:hAnsi="仿宋" w:eastAsia="仿宋" w:cs="仿宋"/>
                <w:sz w:val="24"/>
                <w:szCs w:val="24"/>
              </w:rPr>
            </w:pPr>
            <w:r>
              <w:rPr>
                <w:rFonts w:hint="eastAsia" w:ascii="仿宋" w:hAnsi="仿宋" w:eastAsia="仿宋" w:cs="仿宋"/>
                <w:sz w:val="24"/>
                <w:szCs w:val="24"/>
              </w:rPr>
              <w:t>采用直观的菜单导航系统，配备彩色触摸屏，可适配各种型号比色皿、COD预制消解管；</w:t>
            </w:r>
          </w:p>
          <w:p>
            <w:pPr>
              <w:spacing w:line="0" w:lineRule="atLeast"/>
              <w:rPr>
                <w:rFonts w:ascii="仿宋" w:hAnsi="仿宋" w:eastAsia="仿宋" w:cs="仿宋"/>
                <w:sz w:val="24"/>
                <w:szCs w:val="24"/>
              </w:rPr>
            </w:pPr>
            <w:r>
              <w:rPr>
                <w:rFonts w:hint="eastAsia" w:ascii="仿宋" w:hAnsi="仿宋" w:eastAsia="仿宋" w:cs="仿宋"/>
                <w:sz w:val="24"/>
                <w:szCs w:val="24"/>
              </w:rPr>
              <w:t>可连接打印机，具有三级密码保护功能、权限设置功能以及定时功能。</w:t>
            </w:r>
          </w:p>
        </w:tc>
        <w:tc>
          <w:tcPr>
            <w:tcW w:w="867"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2</w:t>
            </w:r>
          </w:p>
        </w:tc>
        <w:tc>
          <w:tcPr>
            <w:tcW w:w="975" w:type="dxa"/>
            <w:vAlign w:val="center"/>
          </w:tcPr>
          <w:p>
            <w:pPr>
              <w:widowControl/>
              <w:jc w:val="center"/>
              <w:textAlignment w:val="center"/>
              <w:rPr>
                <w:rFonts w:ascii="仿宋" w:hAnsi="仿宋" w:eastAsia="仿宋" w:cs="仿宋"/>
                <w:sz w:val="24"/>
                <w:szCs w:val="24"/>
              </w:rPr>
            </w:pPr>
            <w:r>
              <w:rPr>
                <w:rFonts w:hint="eastAsia" w:ascii="仿宋_GB2312" w:hAnsi="宋体" w:eastAsia="仿宋_GB2312" w:cs="仿宋_GB2312"/>
                <w:color w:val="000000"/>
                <w:kern w:val="0"/>
                <w:sz w:val="24"/>
                <w:szCs w:val="24"/>
                <w:lang w:bidi="ar"/>
              </w:rPr>
              <w:t>205000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pStyle w:val="11"/>
              <w:jc w:val="center"/>
              <w:rPr>
                <w:rFonts w:ascii="仿宋" w:hAnsi="仿宋" w:eastAsia="仿宋" w:cs="仿宋"/>
                <w:color w:val="auto"/>
                <w:kern w:val="2"/>
              </w:rPr>
            </w:pPr>
            <w:r>
              <w:rPr>
                <w:rFonts w:hint="eastAsia" w:ascii="仿宋" w:hAnsi="仿宋" w:eastAsia="仿宋" w:cs="仿宋"/>
                <w:color w:val="auto"/>
                <w:kern w:val="2"/>
              </w:rPr>
              <w:t>11</w:t>
            </w:r>
          </w:p>
        </w:tc>
        <w:tc>
          <w:tcPr>
            <w:tcW w:w="982" w:type="dxa"/>
            <w:vAlign w:val="center"/>
          </w:tcPr>
          <w:p>
            <w:pPr>
              <w:pStyle w:val="11"/>
              <w:jc w:val="center"/>
              <w:rPr>
                <w:rFonts w:ascii="仿宋" w:hAnsi="仿宋" w:eastAsia="仿宋" w:cs="仿宋"/>
                <w:color w:val="auto"/>
                <w:kern w:val="2"/>
              </w:rPr>
            </w:pPr>
            <w:r>
              <w:rPr>
                <w:rFonts w:hint="eastAsia" w:ascii="仿宋" w:hAnsi="仿宋" w:eastAsia="仿宋" w:cs="仿宋"/>
                <w:color w:val="auto"/>
                <w:kern w:val="2"/>
              </w:rPr>
              <w:t>水质中心</w:t>
            </w:r>
          </w:p>
        </w:tc>
        <w:tc>
          <w:tcPr>
            <w:tcW w:w="1074"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超纯水机</w:t>
            </w:r>
          </w:p>
        </w:tc>
        <w:tc>
          <w:tcPr>
            <w:tcW w:w="4492" w:type="dxa"/>
          </w:tcPr>
          <w:p>
            <w:pPr>
              <w:spacing w:line="0" w:lineRule="atLeast"/>
              <w:jc w:val="left"/>
              <w:rPr>
                <w:rFonts w:ascii="仿宋" w:hAnsi="仿宋" w:eastAsia="仿宋" w:cs="仿宋"/>
                <w:sz w:val="24"/>
                <w:szCs w:val="24"/>
              </w:rPr>
            </w:pPr>
            <w:r>
              <w:rPr>
                <w:rFonts w:hint="eastAsia" w:ascii="仿宋" w:hAnsi="仿宋" w:eastAsia="仿宋" w:cs="仿宋"/>
                <w:sz w:val="24"/>
                <w:szCs w:val="24"/>
              </w:rPr>
              <w:t>超纯水电阻率：18.2MΩ.cm；</w:t>
            </w:r>
          </w:p>
          <w:p>
            <w:pPr>
              <w:spacing w:line="0" w:lineRule="atLeast"/>
              <w:jc w:val="left"/>
              <w:rPr>
                <w:rFonts w:ascii="仿宋" w:hAnsi="仿宋" w:eastAsia="仿宋" w:cs="仿宋"/>
                <w:sz w:val="24"/>
                <w:szCs w:val="24"/>
              </w:rPr>
            </w:pPr>
            <w:r>
              <w:rPr>
                <w:rFonts w:hint="eastAsia" w:ascii="仿宋" w:hAnsi="仿宋" w:eastAsia="仿宋" w:cs="仿宋"/>
                <w:sz w:val="24"/>
                <w:szCs w:val="24"/>
              </w:rPr>
              <w:t>总有机碳：&lt; 5ppb；颗粒物质：&lt; 1个/ml；</w:t>
            </w:r>
          </w:p>
          <w:p>
            <w:pPr>
              <w:spacing w:line="0" w:lineRule="atLeast"/>
              <w:jc w:val="left"/>
              <w:rPr>
                <w:rFonts w:ascii="仿宋" w:hAnsi="仿宋" w:eastAsia="仿宋" w:cs="仿宋"/>
                <w:sz w:val="24"/>
                <w:szCs w:val="24"/>
              </w:rPr>
            </w:pPr>
            <w:r>
              <w:rPr>
                <w:rFonts w:hint="eastAsia" w:ascii="仿宋" w:hAnsi="仿宋" w:eastAsia="仿宋" w:cs="仿宋"/>
                <w:sz w:val="24"/>
                <w:szCs w:val="24"/>
              </w:rPr>
              <w:t>离子去除率：≥99.5%；细菌：&lt; 0.1 CFU/ml；硅去除率：&gt; 99%；</w:t>
            </w:r>
          </w:p>
          <w:p>
            <w:pPr>
              <w:spacing w:line="0" w:lineRule="atLeast"/>
              <w:jc w:val="left"/>
              <w:rPr>
                <w:rFonts w:ascii="仿宋" w:hAnsi="仿宋" w:eastAsia="仿宋" w:cs="仿宋"/>
                <w:sz w:val="24"/>
                <w:szCs w:val="24"/>
              </w:rPr>
            </w:pPr>
            <w:r>
              <w:rPr>
                <w:rFonts w:hint="eastAsia" w:ascii="仿宋" w:hAnsi="仿宋" w:eastAsia="仿宋" w:cs="仿宋"/>
                <w:sz w:val="24"/>
                <w:szCs w:val="24"/>
              </w:rPr>
              <w:t>产水流速为：5L/h；</w:t>
            </w:r>
          </w:p>
          <w:p>
            <w:pPr>
              <w:pStyle w:val="11"/>
              <w:rPr>
                <w:rFonts w:ascii="仿宋" w:hAnsi="仿宋" w:eastAsia="仿宋" w:cs="仿宋"/>
                <w:color w:val="auto"/>
                <w:kern w:val="2"/>
              </w:rPr>
            </w:pPr>
            <w:r>
              <w:rPr>
                <w:rFonts w:hint="eastAsia" w:ascii="仿宋" w:hAnsi="仿宋" w:eastAsia="仿宋" w:cs="仿宋"/>
                <w:color w:val="auto"/>
                <w:kern w:val="2"/>
              </w:rPr>
              <w:t>具有自来水预处理、反渗透、超纯化柱、0.2um终端过滤器等功能。</w:t>
            </w:r>
          </w:p>
        </w:tc>
        <w:tc>
          <w:tcPr>
            <w:tcW w:w="867"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1</w:t>
            </w:r>
          </w:p>
        </w:tc>
        <w:tc>
          <w:tcPr>
            <w:tcW w:w="975" w:type="dxa"/>
            <w:vAlign w:val="center"/>
          </w:tcPr>
          <w:p>
            <w:pPr>
              <w:widowControl/>
              <w:jc w:val="center"/>
              <w:textAlignment w:val="center"/>
              <w:rPr>
                <w:rFonts w:ascii="仿宋" w:hAnsi="仿宋" w:eastAsia="仿宋" w:cs="仿宋"/>
                <w:sz w:val="24"/>
                <w:szCs w:val="24"/>
              </w:rPr>
            </w:pPr>
            <w:r>
              <w:rPr>
                <w:rFonts w:hint="eastAsia" w:ascii="仿宋_GB2312" w:hAnsi="宋体" w:eastAsia="仿宋_GB2312" w:cs="仿宋_GB2312"/>
                <w:color w:val="000000"/>
                <w:kern w:val="0"/>
                <w:sz w:val="24"/>
                <w:szCs w:val="24"/>
                <w:lang w:bidi="ar"/>
              </w:rPr>
              <w:t>52500</w:t>
            </w:r>
          </w:p>
        </w:tc>
      </w:tr>
    </w:tbl>
    <w:p>
      <w:pPr>
        <w:pStyle w:val="11"/>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本项目中如有出现的品牌规格等，仅为方便描述参考，不具有任何指定性及唯一性，报价人应提供须完全符合技术参数或不低于该品牌档次的产品。报价人必须在报价明细表中列明所投货物的品牌、型号，如报价响应时无列明品牌，则中选后履行合同时须按照询价人指定的品牌、型号、技术参数及报价人的中选价进行供货，不予增加任何费用。</w:t>
      </w:r>
    </w:p>
    <w:p>
      <w:pPr>
        <w:pStyle w:val="11"/>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三、项目商务要求</w:t>
      </w:r>
    </w:p>
    <w:p>
      <w:pPr>
        <w:pStyle w:val="21"/>
        <w:rPr>
          <w:rFonts w:ascii="仿宋" w:hAnsi="仿宋" w:eastAsia="仿宋" w:cs="仿宋"/>
          <w:color w:val="auto"/>
          <w:sz w:val="28"/>
          <w:szCs w:val="28"/>
        </w:rPr>
      </w:pPr>
      <w:r>
        <w:rPr>
          <w:rFonts w:hint="eastAsia" w:ascii="仿宋" w:hAnsi="仿宋" w:eastAsia="仿宋" w:cs="仿宋"/>
          <w:color w:val="auto"/>
          <w:sz w:val="28"/>
          <w:szCs w:val="28"/>
        </w:rPr>
        <w:t>1.包装、运输、安装、调试及保管、保险：</w:t>
      </w:r>
    </w:p>
    <w:p>
      <w:pPr>
        <w:pStyle w:val="21"/>
        <w:rPr>
          <w:rFonts w:ascii="仿宋" w:hAnsi="仿宋" w:eastAsia="仿宋" w:cs="仿宋"/>
          <w:color w:val="auto"/>
          <w:sz w:val="28"/>
          <w:szCs w:val="28"/>
        </w:rPr>
      </w:pPr>
      <w:r>
        <w:rPr>
          <w:rFonts w:hint="eastAsia" w:ascii="仿宋" w:hAnsi="仿宋" w:eastAsia="仿宋" w:cs="仿宋"/>
          <w:color w:val="auto"/>
          <w:sz w:val="28"/>
          <w:szCs w:val="28"/>
        </w:rPr>
        <w:t>（1）报价人所供货物应为制造商原装出厂包装，包装须符合同等相关标准，因包装不良造成的损失由报价人负责。</w:t>
      </w:r>
    </w:p>
    <w:p>
      <w:pPr>
        <w:pStyle w:val="21"/>
        <w:rPr>
          <w:rFonts w:ascii="仿宋" w:hAnsi="仿宋" w:eastAsia="仿宋" w:cs="仿宋"/>
          <w:color w:val="auto"/>
          <w:sz w:val="28"/>
          <w:szCs w:val="28"/>
        </w:rPr>
      </w:pPr>
      <w:r>
        <w:rPr>
          <w:rFonts w:hint="eastAsia" w:ascii="仿宋" w:hAnsi="仿宋" w:eastAsia="仿宋" w:cs="仿宋"/>
          <w:color w:val="auto"/>
          <w:sz w:val="28"/>
          <w:szCs w:val="28"/>
        </w:rPr>
        <w:t>（2）报价人负责将产品送到现场过程中的全部运输，包括装卸车、货物现场的搬运等。</w:t>
      </w:r>
    </w:p>
    <w:p>
      <w:pPr>
        <w:pStyle w:val="21"/>
        <w:rPr>
          <w:rFonts w:ascii="仿宋" w:hAnsi="仿宋" w:eastAsia="仿宋" w:cs="仿宋"/>
          <w:color w:val="auto"/>
          <w:sz w:val="28"/>
          <w:szCs w:val="28"/>
        </w:rPr>
      </w:pPr>
      <w:r>
        <w:rPr>
          <w:rFonts w:hint="eastAsia" w:ascii="仿宋" w:hAnsi="仿宋" w:eastAsia="仿宋" w:cs="仿宋"/>
          <w:color w:val="auto"/>
          <w:sz w:val="28"/>
          <w:szCs w:val="28"/>
        </w:rPr>
        <w:t>（3）供货期：合同签订后，国产仪器45 个工作日内到货，进口仪器60 个工作日内到货；</w:t>
      </w:r>
    </w:p>
    <w:p>
      <w:pPr>
        <w:pStyle w:val="21"/>
        <w:ind w:firstLine="1120" w:firstLineChars="400"/>
        <w:rPr>
          <w:rFonts w:ascii="仿宋" w:hAnsi="仿宋" w:eastAsia="仿宋" w:cs="仿宋"/>
          <w:color w:val="auto"/>
          <w:sz w:val="28"/>
          <w:szCs w:val="28"/>
        </w:rPr>
      </w:pPr>
      <w:r>
        <w:rPr>
          <w:rFonts w:hint="eastAsia" w:ascii="仿宋" w:hAnsi="仿宋" w:eastAsia="仿宋" w:cs="仿宋"/>
          <w:color w:val="auto"/>
          <w:sz w:val="28"/>
          <w:szCs w:val="28"/>
        </w:rPr>
        <w:t>交货地点：广州市净水有限公司水质检测中心、猎德分公司、龙归分公司、竹料分公司。</w:t>
      </w:r>
    </w:p>
    <w:p>
      <w:pPr>
        <w:pStyle w:val="11"/>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2.质量保证及售后服务：</w:t>
      </w:r>
    </w:p>
    <w:p>
      <w:pPr>
        <w:pStyle w:val="11"/>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（1）确保货物为原装未拆封或未使用的合格产品，交货时须出具厂家出厂合格证明；</w:t>
      </w:r>
    </w:p>
    <w:p>
      <w:pPr>
        <w:pStyle w:val="21"/>
        <w:rPr>
          <w:rFonts w:ascii="仿宋" w:hAnsi="仿宋" w:eastAsia="仿宋" w:cs="仿宋"/>
          <w:color w:val="auto"/>
          <w:sz w:val="28"/>
          <w:szCs w:val="28"/>
        </w:rPr>
      </w:pPr>
      <w:r>
        <w:rPr>
          <w:rFonts w:hint="eastAsia" w:ascii="仿宋" w:hAnsi="仿宋" w:eastAsia="仿宋" w:cs="仿宋"/>
          <w:color w:val="auto"/>
          <w:sz w:val="28"/>
          <w:szCs w:val="28"/>
        </w:rPr>
        <w:t>（2）货物在质保期为自供货验收合格之日起1年内免费提供维保服务。</w:t>
      </w:r>
    </w:p>
    <w:p>
      <w:pPr>
        <w:pStyle w:val="21"/>
        <w:rPr>
          <w:rFonts w:ascii="仿宋" w:hAnsi="仿宋" w:eastAsia="仿宋" w:cs="仿宋"/>
          <w:color w:val="auto"/>
          <w:sz w:val="28"/>
          <w:szCs w:val="28"/>
        </w:rPr>
      </w:pPr>
      <w:r>
        <w:rPr>
          <w:rFonts w:hint="eastAsia" w:ascii="仿宋" w:hAnsi="仿宋" w:eastAsia="仿宋" w:cs="仿宋"/>
          <w:color w:val="auto"/>
          <w:sz w:val="28"/>
          <w:szCs w:val="28"/>
        </w:rPr>
        <w:t>（3）质保期如有质量问题，报价人必须24小时内派技术人员免费到现场进行维修。</w:t>
      </w:r>
    </w:p>
    <w:p>
      <w:pPr>
        <w:pStyle w:val="12"/>
      </w:pPr>
    </w:p>
    <w:p>
      <w:pPr>
        <w:pStyle w:val="11"/>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3.总包及分包规定：</w:t>
      </w:r>
    </w:p>
    <w:p>
      <w:pPr>
        <w:pStyle w:val="11"/>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乙方不得转包、分包。否则，甲方有权单方面终止合同，拒收其货物，由此而造成的经济损失由乙方负责赔偿。</w:t>
      </w:r>
    </w:p>
    <w:p>
      <w:pPr>
        <w:pStyle w:val="11"/>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4.询价人将自承包商履行完合同义务之日起15个工作日内组织验收，审定报价人供货的货物合格情况，进行结算审核。</w:t>
      </w:r>
    </w:p>
    <w:p>
      <w:pPr>
        <w:pStyle w:val="11"/>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5.付款方式：</w:t>
      </w:r>
    </w:p>
    <w:p>
      <w:pPr>
        <w:pStyle w:val="11"/>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（1）采用支票、银行汇票形式。</w:t>
      </w:r>
    </w:p>
    <w:p>
      <w:pPr>
        <w:pStyle w:val="11"/>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（2）报价人在收款前需提交相应金额增值税专用发票给需求单位。</w:t>
      </w:r>
    </w:p>
    <w:p>
      <w:pPr>
        <w:pStyle w:val="11"/>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6.承包方式：单价包干。</w:t>
      </w:r>
    </w:p>
    <w:bookmarkEnd w:id="61"/>
    <w:p>
      <w:pPr>
        <w:pStyle w:val="21"/>
        <w:rPr>
          <w:rFonts w:ascii="仿宋_GB2312" w:eastAsia="仿宋_GB2312" w:hAnsiTheme="minorEastAsia"/>
          <w:color w:val="auto"/>
          <w:szCs w:val="21"/>
        </w:rPr>
      </w:pPr>
    </w:p>
    <w:p>
      <w:pPr>
        <w:adjustRightInd w:val="0"/>
        <w:snapToGrid w:val="0"/>
        <w:spacing w:line="600" w:lineRule="exact"/>
        <w:ind w:firstLine="560" w:firstLineChars="200"/>
        <w:jc w:val="left"/>
        <w:rPr>
          <w:rFonts w:ascii="仿宋_GB2312" w:eastAsia="仿宋_GB2312"/>
          <w:sz w:val="28"/>
          <w:szCs w:val="28"/>
        </w:rPr>
      </w:pPr>
    </w:p>
    <w:p>
      <w:pPr>
        <w:pStyle w:val="21"/>
        <w:rPr>
          <w:rFonts w:ascii="仿宋_GB2312" w:eastAsia="仿宋_GB2312"/>
          <w:color w:val="auto"/>
          <w:sz w:val="28"/>
          <w:szCs w:val="28"/>
        </w:rPr>
      </w:pPr>
    </w:p>
    <w:p>
      <w:pPr>
        <w:pStyle w:val="21"/>
        <w:rPr>
          <w:rFonts w:ascii="仿宋_GB2312" w:eastAsia="仿宋_GB2312"/>
          <w:color w:val="auto"/>
          <w:sz w:val="28"/>
          <w:szCs w:val="28"/>
        </w:rPr>
      </w:pPr>
    </w:p>
    <w:p>
      <w:pPr>
        <w:pStyle w:val="21"/>
        <w:rPr>
          <w:color w:val="auto"/>
        </w:rPr>
      </w:pPr>
    </w:p>
    <w:p>
      <w:pPr>
        <w:pStyle w:val="21"/>
        <w:rPr>
          <w:color w:val="auto"/>
        </w:rPr>
      </w:pPr>
    </w:p>
    <w:p>
      <w:pPr>
        <w:pStyle w:val="21"/>
        <w:ind w:left="0" w:leftChars="0" w:firstLine="0" w:firstLineChars="0"/>
        <w:rPr>
          <w:color w:val="auto"/>
        </w:rPr>
      </w:pPr>
    </w:p>
    <w:p>
      <w:pPr>
        <w:pStyle w:val="21"/>
        <w:ind w:left="0" w:leftChars="0" w:firstLine="0" w:firstLineChars="0"/>
        <w:rPr>
          <w:color w:val="auto"/>
        </w:rPr>
      </w:pPr>
    </w:p>
    <w:p>
      <w:pPr>
        <w:pStyle w:val="21"/>
        <w:ind w:left="0" w:leftChars="0" w:firstLine="0" w:firstLineChars="0"/>
        <w:rPr>
          <w:color w:val="auto"/>
        </w:rPr>
      </w:pPr>
    </w:p>
    <w:p>
      <w:pPr>
        <w:pStyle w:val="21"/>
        <w:ind w:left="0" w:leftChars="0" w:firstLine="0" w:firstLineChars="0"/>
        <w:rPr>
          <w:color w:val="auto"/>
        </w:rPr>
      </w:pPr>
    </w:p>
    <w:p>
      <w:pPr>
        <w:pStyle w:val="21"/>
        <w:rPr>
          <w:color w:val="auto"/>
        </w:rPr>
      </w:pPr>
    </w:p>
    <w:p>
      <w:pPr>
        <w:pStyle w:val="3"/>
      </w:pPr>
      <w:bookmarkStart w:id="62" w:name="_Toc23353"/>
      <w:bookmarkStart w:id="63" w:name="_Toc4680"/>
      <w:bookmarkStart w:id="64" w:name="_Toc29835"/>
      <w:bookmarkStart w:id="65" w:name="_Toc18538"/>
      <w:bookmarkStart w:id="66" w:name="_Toc23330"/>
      <w:bookmarkStart w:id="67" w:name="_Toc12135"/>
      <w:bookmarkStart w:id="68" w:name="_Toc25925"/>
      <w:bookmarkStart w:id="69" w:name="_Toc537"/>
      <w:bookmarkStart w:id="70" w:name="_Toc1496"/>
      <w:bookmarkStart w:id="71" w:name="_Toc1284"/>
      <w:bookmarkStart w:id="72" w:name="_Toc15570"/>
      <w: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rPr>
        <w:t>第六章</w:t>
      </w:r>
      <w:bookmarkEnd w:id="62"/>
      <w:bookmarkEnd w:id="63"/>
      <w:bookmarkEnd w:id="64"/>
      <w:bookmarkEnd w:id="65"/>
      <w:bookmarkEnd w:id="66"/>
      <w:bookmarkEnd w:id="67"/>
      <w:bookmarkEnd w:id="68"/>
      <w:bookmarkEnd w:id="69"/>
      <w:bookmarkEnd w:id="70"/>
      <w:bookmarkEnd w:id="71"/>
      <w:bookmarkEnd w:id="72"/>
    </w:p>
    <w:p>
      <w:pPr>
        <w:pStyle w:val="37"/>
      </w:pPr>
    </w:p>
    <w:p>
      <w:pPr>
        <w:pStyle w:val="3"/>
      </w:pPr>
      <w:bookmarkStart w:id="73" w:name="_Toc12980"/>
      <w:bookmarkStart w:id="74" w:name="_Toc12721"/>
      <w:bookmarkStart w:id="75" w:name="_Toc19088"/>
      <w:bookmarkStart w:id="76" w:name="_Toc323"/>
      <w:bookmarkStart w:id="77" w:name="_Toc22501"/>
      <w:bookmarkStart w:id="78" w:name="_Toc22797"/>
      <w:bookmarkStart w:id="79" w:name="_Toc87616386"/>
      <w:bookmarkStart w:id="80" w:name="_Toc1375"/>
      <w:bookmarkStart w:id="81" w:name="_Toc13309"/>
      <w:bookmarkStart w:id="82" w:name="_Toc8183"/>
      <w:bookmarkStart w:id="83" w:name="_Toc12968"/>
      <w:bookmarkStart w:id="84" w:name="_Toc88209949"/>
      <w:bookmarkStart w:id="85" w:name="_Toc19686"/>
      <w:r>
        <w:rPr>
          <w:rFonts w:hint="eastAsia"/>
        </w:rPr>
        <w:t>合同</w:t>
      </w:r>
      <w:bookmarkEnd w:id="73"/>
      <w:bookmarkEnd w:id="74"/>
      <w:bookmarkEnd w:id="75"/>
      <w:bookmarkEnd w:id="76"/>
      <w:bookmarkEnd w:id="77"/>
      <w:bookmarkEnd w:id="78"/>
      <w:bookmarkEnd w:id="79"/>
      <w:bookmarkEnd w:id="80"/>
      <w:bookmarkEnd w:id="81"/>
      <w:bookmarkEnd w:id="82"/>
      <w:bookmarkEnd w:id="83"/>
      <w:bookmarkEnd w:id="84"/>
      <w:bookmarkEnd w:id="85"/>
    </w:p>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jc w:val="both"/>
        <w:rPr>
          <w:rFonts w:ascii="宋体" w:hAnsi="宋体" w:cs="Times New Roman"/>
          <w:b/>
          <w:sz w:val="44"/>
        </w:rPr>
      </w:pPr>
    </w:p>
    <w:p>
      <w:pPr>
        <w:rPr>
          <w:rFonts w:ascii="宋体" w:hAnsi="宋体" w:cs="Times New Roman"/>
          <w:b/>
          <w:sz w:val="44"/>
        </w:rPr>
      </w:pPr>
    </w:p>
    <w:p>
      <w:pPr>
        <w:spacing w:line="400" w:lineRule="atLeast"/>
        <w:jc w:val="center"/>
        <w:rPr>
          <w:rFonts w:ascii="宋体" w:hAnsi="宋体" w:cs="Times New Roman"/>
          <w:b/>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sz w:val="48"/>
          <w:szCs w:val="48"/>
          <w14:shadow w14:blurRad="50800" w14:dist="38100" w14:dir="2700000" w14:sx="100000" w14:sy="100000" w14:kx="0" w14:ky="0" w14:algn="tl">
            <w14:srgbClr w14:val="000000">
              <w14:alpha w14:val="60000"/>
            </w14:srgbClr>
          </w14:shadow>
        </w:rPr>
        <w:t>广州市净水有限公司</w:t>
      </w:r>
    </w:p>
    <w:p>
      <w:pPr>
        <w:spacing w:line="400" w:lineRule="atLeast"/>
        <w:jc w:val="center"/>
        <w:rPr>
          <w:rFonts w:ascii="宋体" w:hAnsi="宋体" w:cs="Times New Roman"/>
          <w:b/>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sz w:val="48"/>
          <w:szCs w:val="48"/>
          <w14:shadow w14:blurRad="50800" w14:dist="38100" w14:dir="2700000" w14:sx="100000" w14:sy="100000" w14:kx="0" w14:ky="0" w14:algn="tl">
            <w14:srgbClr w14:val="000000">
              <w14:alpha w14:val="60000"/>
            </w14:srgbClr>
          </w14:shadow>
        </w:rPr>
        <w:t>货物采购合同</w:t>
      </w:r>
    </w:p>
    <w:p>
      <w:pPr>
        <w:spacing w:line="360" w:lineRule="auto"/>
        <w:jc w:val="center"/>
        <w:rPr>
          <w:rFonts w:ascii="宋体" w:hAnsi="宋体" w:cs="宋体"/>
          <w:sz w:val="28"/>
          <w:szCs w:val="28"/>
        </w:rPr>
      </w:pPr>
      <w:r>
        <w:rPr>
          <w:rFonts w:hint="eastAsia" w:ascii="宋体" w:hAnsi="宋体" w:cs="宋体"/>
          <w:sz w:val="28"/>
          <w:szCs w:val="28"/>
        </w:rPr>
        <w:t>（示范文本）</w:t>
      </w:r>
    </w:p>
    <w:p>
      <w:pPr>
        <w:spacing w:line="360" w:lineRule="auto"/>
        <w:jc w:val="center"/>
        <w:rPr>
          <w:rFonts w:ascii="宋体" w:hAnsi="宋体" w:cs="宋体"/>
          <w:sz w:val="28"/>
          <w:szCs w:val="28"/>
        </w:rPr>
      </w:pPr>
      <w:r>
        <w:rPr>
          <w:rFonts w:hint="eastAsia" w:ascii="宋体" w:hAnsi="宋体" w:cs="宋体"/>
          <w:sz w:val="28"/>
          <w:szCs w:val="28"/>
        </w:rPr>
        <w:t>（适用非公招简易项目）</w:t>
      </w:r>
    </w:p>
    <w:p>
      <w:pPr>
        <w:jc w:val="center"/>
        <w:rPr>
          <w:sz w:val="30"/>
        </w:rPr>
      </w:pPr>
    </w:p>
    <w:p>
      <w:pPr>
        <w:rPr>
          <w:b/>
          <w:bCs/>
          <w:sz w:val="30"/>
        </w:rPr>
      </w:pPr>
    </w:p>
    <w:p>
      <w:pPr>
        <w:spacing w:line="480" w:lineRule="auto"/>
        <w:rPr>
          <w:rFonts w:ascii="宋体" w:hAnsi="宋体" w:cs="宋体"/>
          <w:b/>
          <w:bCs/>
          <w:sz w:val="30"/>
        </w:rPr>
      </w:pPr>
      <w:r>
        <w:rPr>
          <w:rFonts w:hint="eastAsia" w:ascii="宋体" w:hAnsi="宋体" w:cs="宋体"/>
          <w:b/>
          <w:bCs/>
          <w:sz w:val="30"/>
        </w:rPr>
        <w:t>项目名称：广州市净水有限公司</w:t>
      </w:r>
      <w:r>
        <w:rPr>
          <w:rFonts w:hint="eastAsia" w:ascii="宋体" w:hAnsi="宋体" w:cs="宋体"/>
          <w:b/>
          <w:bCs/>
          <w:sz w:val="30"/>
          <w:lang w:val="en-US" w:eastAsia="zh-CN"/>
        </w:rPr>
        <w:t>水质中心</w:t>
      </w:r>
      <w:r>
        <w:rPr>
          <w:rFonts w:hint="eastAsia" w:ascii="宋体" w:hAnsi="宋体" w:cs="宋体"/>
          <w:b/>
          <w:bCs/>
          <w:sz w:val="30"/>
        </w:rPr>
        <w:t>2022年实验室化验仪器及辅助设备采购项目</w:t>
      </w:r>
    </w:p>
    <w:p>
      <w:pPr>
        <w:spacing w:line="480" w:lineRule="auto"/>
        <w:rPr>
          <w:rFonts w:ascii="宋体" w:hAnsi="宋体" w:eastAsia="宋体" w:cs="宋体"/>
          <w:b/>
          <w:bCs/>
          <w:sz w:val="30"/>
        </w:rPr>
      </w:pPr>
      <w:r>
        <w:rPr>
          <w:rFonts w:hint="eastAsia" w:ascii="宋体" w:hAnsi="宋体" w:cs="宋体"/>
          <w:b/>
          <w:bCs/>
          <w:sz w:val="30"/>
        </w:rPr>
        <w:t>项目编号：05492022000006</w:t>
      </w:r>
    </w:p>
    <w:p>
      <w:pPr>
        <w:spacing w:line="480" w:lineRule="auto"/>
        <w:rPr>
          <w:rFonts w:ascii="宋体" w:hAnsi="宋体" w:cs="宋体"/>
          <w:b/>
          <w:bCs/>
          <w:sz w:val="30"/>
        </w:rPr>
      </w:pPr>
    </w:p>
    <w:p>
      <w:pPr>
        <w:spacing w:line="480" w:lineRule="auto"/>
        <w:rPr>
          <w:rFonts w:ascii="宋体" w:hAnsi="宋体" w:cs="宋体"/>
          <w:b/>
          <w:bCs/>
          <w:sz w:val="30"/>
          <w:szCs w:val="30"/>
        </w:rPr>
      </w:pPr>
      <w:r>
        <w:rPr>
          <w:rFonts w:hint="eastAsia" w:ascii="宋体" w:hAnsi="宋体" w:cs="宋体"/>
          <w:b/>
          <w:bCs/>
          <w:sz w:val="30"/>
        </w:rPr>
        <w:t>合同编号：</w:t>
      </w:r>
      <w:r>
        <w:rPr>
          <w:rFonts w:hint="eastAsia" w:ascii="宋体" w:hAnsi="宋体" w:cs="宋体"/>
          <w:b/>
          <w:bCs/>
          <w:sz w:val="30"/>
          <w:szCs w:val="30"/>
        </w:rPr>
        <w:t>穗净水合[2022]    号</w:t>
      </w:r>
    </w:p>
    <w:p>
      <w:pPr>
        <w:spacing w:line="480" w:lineRule="auto"/>
        <w:rPr>
          <w:rFonts w:ascii="宋体" w:hAnsi="宋体" w:cs="宋体"/>
          <w:b/>
          <w:bCs/>
          <w:sz w:val="30"/>
        </w:rPr>
      </w:pPr>
    </w:p>
    <w:p>
      <w:pPr>
        <w:spacing w:line="480" w:lineRule="auto"/>
        <w:rPr>
          <w:rFonts w:ascii="宋体" w:hAnsi="宋体" w:cs="宋体"/>
          <w:b/>
          <w:bCs/>
          <w:sz w:val="30"/>
        </w:rPr>
      </w:pPr>
      <w:r>
        <w:rPr>
          <w:rFonts w:hint="eastAsia" w:ascii="宋体" w:hAnsi="宋体" w:cs="宋体"/>
          <w:b/>
          <w:bCs/>
          <w:sz w:val="30"/>
        </w:rPr>
        <w:t>甲方（买方）：广州市净水有限公司</w:t>
      </w:r>
    </w:p>
    <w:p>
      <w:pPr>
        <w:spacing w:line="480" w:lineRule="auto"/>
        <w:rPr>
          <w:rFonts w:ascii="宋体" w:hAnsi="宋体" w:cs="宋体"/>
          <w:b/>
          <w:bCs/>
          <w:sz w:val="30"/>
        </w:rPr>
      </w:pPr>
      <w:r>
        <w:rPr>
          <w:rFonts w:hint="eastAsia" w:ascii="宋体" w:hAnsi="宋体" w:cs="宋体"/>
          <w:b/>
          <w:bCs/>
          <w:sz w:val="30"/>
        </w:rPr>
        <w:t>乙方（卖方）：</w:t>
      </w:r>
      <w:r>
        <w:rPr>
          <w:rFonts w:hint="eastAsia" w:ascii="宋体" w:hAnsi="宋体" w:cs="宋体"/>
          <w:b/>
          <w:bCs/>
          <w:sz w:val="30"/>
          <w:u w:val="single"/>
        </w:rPr>
        <w:t xml:space="preserve">                                          </w:t>
      </w:r>
      <w:r>
        <w:rPr>
          <w:rFonts w:hint="eastAsia" w:ascii="宋体" w:hAnsi="宋体" w:cs="宋体"/>
          <w:b/>
          <w:bCs/>
          <w:sz w:val="30"/>
        </w:rPr>
        <w:t xml:space="preserve"> </w:t>
      </w:r>
    </w:p>
    <w:p>
      <w:pPr>
        <w:spacing w:line="480" w:lineRule="auto"/>
        <w:rPr>
          <w:rFonts w:ascii="宋体" w:hAnsi="宋体" w:cs="宋体"/>
          <w:b/>
          <w:bCs/>
          <w:sz w:val="30"/>
        </w:rPr>
      </w:pPr>
      <w:r>
        <w:rPr>
          <w:rFonts w:hint="eastAsia" w:ascii="宋体" w:hAnsi="宋体" w:cs="宋体"/>
          <w:b/>
          <w:bCs/>
          <w:sz w:val="30"/>
        </w:rPr>
        <w:t>签订日期：    年  月  日</w:t>
      </w:r>
    </w:p>
    <w:p>
      <w:pPr>
        <w:spacing w:line="480" w:lineRule="auto"/>
        <w:rPr>
          <w:rFonts w:ascii="宋体" w:hAnsi="宋体" w:cs="宋体"/>
          <w:b/>
          <w:bCs/>
          <w:sz w:val="30"/>
        </w:rPr>
      </w:pPr>
      <w:r>
        <w:rPr>
          <w:rFonts w:hint="eastAsia" w:ascii="宋体" w:hAnsi="宋体" w:cs="宋体"/>
          <w:b/>
          <w:bCs/>
          <w:sz w:val="30"/>
        </w:rPr>
        <w:t>签约地点：广州市</w:t>
      </w:r>
    </w:p>
    <w:p>
      <w:pPr>
        <w:pStyle w:val="21"/>
        <w:ind w:firstLine="0"/>
        <w:rPr>
          <w:b/>
          <w:bCs/>
          <w:color w:val="auto"/>
          <w:sz w:val="30"/>
        </w:rPr>
      </w:pPr>
    </w:p>
    <w:p>
      <w:pPr>
        <w:spacing w:line="460" w:lineRule="exact"/>
        <w:ind w:firstLine="480" w:firstLineChars="200"/>
        <w:rPr>
          <w:rFonts w:ascii="宋体" w:hAnsi="宋体" w:cs="宋体"/>
          <w:sz w:val="24"/>
          <w:szCs w:val="24"/>
        </w:rPr>
      </w:pPr>
      <w:r>
        <w:rPr>
          <w:rFonts w:hint="eastAsia" w:ascii="宋体" w:hAnsi="宋体" w:cs="宋体"/>
          <w:sz w:val="24"/>
          <w:szCs w:val="24"/>
        </w:rPr>
        <w:t>根据《中华人民共和国民法典》及其他有关法律、行政法规，</w:t>
      </w:r>
      <w:r>
        <w:rPr>
          <w:rFonts w:hint="eastAsia" w:ascii="宋体" w:hAnsi="宋体" w:cs="宋体"/>
          <w:sz w:val="24"/>
          <w:szCs w:val="24"/>
          <w:u w:val="single"/>
        </w:rPr>
        <w:t>广州市净水有限公司</w:t>
      </w:r>
      <w:r>
        <w:rPr>
          <w:rFonts w:hint="eastAsia" w:ascii="宋体" w:hAnsi="宋体" w:cs="宋体"/>
          <w:sz w:val="24"/>
          <w:szCs w:val="24"/>
        </w:rPr>
        <w:t xml:space="preserve"> （以下简称“甲方”）与</w:t>
      </w:r>
      <w:r>
        <w:rPr>
          <w:rFonts w:hint="eastAsia" w:ascii="宋体" w:hAnsi="宋体" w:cs="宋体"/>
          <w:sz w:val="24"/>
          <w:szCs w:val="24"/>
          <w:u w:val="single"/>
        </w:rPr>
        <w:t xml:space="preserve">                                      </w:t>
      </w:r>
      <w:r>
        <w:rPr>
          <w:rFonts w:hint="eastAsia" w:ascii="宋体" w:hAnsi="宋体" w:cs="宋体"/>
          <w:sz w:val="24"/>
          <w:szCs w:val="24"/>
        </w:rPr>
        <w:t xml:space="preserve"> （以下简称“乙方”）就</w:t>
      </w:r>
      <w:r>
        <w:rPr>
          <w:rFonts w:hint="eastAsia" w:ascii="宋体" w:hAnsi="宋体" w:cs="宋体"/>
          <w:sz w:val="24"/>
          <w:szCs w:val="24"/>
          <w:u w:val="single"/>
          <w:lang w:val="en-US" w:eastAsia="zh-CN"/>
        </w:rPr>
        <w:t>水质中心2022年实验室化验仪器及辅助设备采购项目</w:t>
      </w:r>
      <w:r>
        <w:rPr>
          <w:rFonts w:hint="eastAsia" w:ascii="宋体" w:hAnsi="宋体" w:cs="宋体"/>
          <w:sz w:val="24"/>
          <w:szCs w:val="24"/>
          <w:lang w:val="en-US" w:eastAsia="zh-CN"/>
        </w:rPr>
        <w:t>采购事宜，遵循平等、自愿、公平和诚实信用的原则，双方协商一致，订立本合同。</w:t>
      </w:r>
      <w:bookmarkStart w:id="86" w:name="_Toc518992985"/>
      <w:bookmarkStart w:id="87" w:name="_Toc520190025"/>
      <w:bookmarkStart w:id="88" w:name="_Toc474245209"/>
      <w:bookmarkStart w:id="89" w:name="_Toc183666512"/>
      <w:bookmarkStart w:id="90" w:name="_Toc10888"/>
      <w:r>
        <w:rPr>
          <w:rFonts w:hint="eastAsia" w:ascii="宋体" w:hAnsi="宋体" w:cs="宋体"/>
          <w:sz w:val="24"/>
          <w:szCs w:val="24"/>
        </w:rPr>
        <w:t xml:space="preserve"> </w:t>
      </w:r>
      <w:bookmarkEnd w:id="86"/>
      <w:bookmarkEnd w:id="87"/>
      <w:bookmarkEnd w:id="88"/>
      <w:bookmarkEnd w:id="89"/>
      <w:bookmarkEnd w:id="90"/>
      <w:bookmarkStart w:id="91" w:name="_Toc1018"/>
      <w:bookmarkStart w:id="92" w:name="_Toc474245210"/>
      <w:bookmarkStart w:id="93" w:name="_Toc520190026"/>
      <w:bookmarkStart w:id="94" w:name="_Toc518992986"/>
      <w:bookmarkStart w:id="95" w:name="_Toc183666513"/>
    </w:p>
    <w:p>
      <w:pPr>
        <w:pStyle w:val="2"/>
        <w:tabs>
          <w:tab w:val="left" w:pos="720"/>
        </w:tabs>
        <w:spacing w:line="440" w:lineRule="exact"/>
        <w:ind w:firstLine="482" w:firstLineChars="200"/>
        <w:rPr>
          <w:rFonts w:hAnsi="宋体" w:cs="宋体"/>
          <w:sz w:val="24"/>
          <w:szCs w:val="24"/>
        </w:rPr>
      </w:pPr>
      <w:r>
        <w:rPr>
          <w:rFonts w:hint="eastAsia" w:hAnsi="宋体" w:cs="宋体"/>
          <w:b/>
          <w:bCs/>
          <w:sz w:val="24"/>
          <w:szCs w:val="24"/>
        </w:rPr>
        <w:t>第一条</w:t>
      </w:r>
      <w:r>
        <w:rPr>
          <w:rFonts w:hint="eastAsia" w:hAnsi="宋体" w:cs="宋体"/>
          <w:sz w:val="24"/>
          <w:szCs w:val="24"/>
        </w:rPr>
        <w:t xml:space="preserve"> </w:t>
      </w:r>
      <w:r>
        <w:rPr>
          <w:rFonts w:hint="eastAsia" w:hAnsi="宋体" w:cs="宋体"/>
          <w:b/>
          <w:bCs/>
          <w:sz w:val="24"/>
          <w:szCs w:val="24"/>
        </w:rPr>
        <w:t>组成合同的文件及优先顺序</w:t>
      </w:r>
    </w:p>
    <w:p>
      <w:pPr>
        <w:widowControl/>
        <w:spacing w:line="360" w:lineRule="auto"/>
        <w:jc w:val="left"/>
        <w:rPr>
          <w:rFonts w:ascii="宋体" w:hAnsi="宋体" w:eastAsia="宋体" w:cs="宋体"/>
          <w:bCs/>
          <w:kern w:val="0"/>
          <w:sz w:val="24"/>
          <w:szCs w:val="20"/>
        </w:rPr>
      </w:pPr>
      <w:r>
        <w:rPr>
          <w:rFonts w:hint="eastAsia" w:ascii="宋体" w:hAnsi="宋体" w:eastAsia="宋体" w:cs="宋体"/>
          <w:bCs/>
          <w:kern w:val="0"/>
          <w:sz w:val="24"/>
          <w:szCs w:val="20"/>
        </w:rPr>
        <w:t>下列文件（如有）均为本合同的组成部分，可视为能相互说明和补充的，如果合同文件存在歧义或相矛盾的地方，则根据以下次序判断：</w:t>
      </w:r>
    </w:p>
    <w:p>
      <w:pPr>
        <w:widowControl/>
        <w:spacing w:line="360" w:lineRule="auto"/>
        <w:ind w:firstLine="480" w:firstLineChars="200"/>
        <w:jc w:val="left"/>
        <w:rPr>
          <w:rFonts w:ascii="宋体" w:hAnsi="宋体" w:eastAsia="宋体" w:cs="宋体"/>
          <w:bCs/>
          <w:kern w:val="0"/>
          <w:sz w:val="24"/>
          <w:szCs w:val="20"/>
        </w:rPr>
      </w:pPr>
      <w:r>
        <w:rPr>
          <w:rFonts w:hint="eastAsia" w:ascii="宋体" w:hAnsi="宋体" w:eastAsia="宋体" w:cs="宋体"/>
          <w:bCs/>
          <w:kern w:val="0"/>
          <w:sz w:val="24"/>
          <w:szCs w:val="20"/>
        </w:rPr>
        <w:t>⑴ 在本合同实施过程双方签署的补充与修正文件；</w:t>
      </w:r>
    </w:p>
    <w:p>
      <w:pPr>
        <w:widowControl/>
        <w:spacing w:line="360" w:lineRule="auto"/>
        <w:ind w:firstLine="480" w:firstLineChars="200"/>
        <w:jc w:val="left"/>
        <w:rPr>
          <w:rFonts w:ascii="宋体" w:hAnsi="宋体" w:eastAsia="宋体" w:cs="宋体"/>
          <w:bCs/>
          <w:kern w:val="0"/>
          <w:sz w:val="24"/>
          <w:szCs w:val="20"/>
        </w:rPr>
      </w:pPr>
      <w:r>
        <w:rPr>
          <w:rFonts w:hint="eastAsia" w:ascii="宋体" w:hAnsi="宋体" w:eastAsia="宋体" w:cs="宋体"/>
          <w:bCs/>
          <w:kern w:val="0"/>
          <w:sz w:val="24"/>
          <w:szCs w:val="20"/>
        </w:rPr>
        <w:t>⑵ 本合同书；</w:t>
      </w:r>
    </w:p>
    <w:p>
      <w:pPr>
        <w:widowControl/>
        <w:spacing w:line="360" w:lineRule="auto"/>
        <w:ind w:firstLine="480" w:firstLineChars="200"/>
        <w:jc w:val="left"/>
        <w:rPr>
          <w:rFonts w:ascii="宋体" w:hAnsi="宋体" w:eastAsia="宋体" w:cs="宋体"/>
          <w:bCs/>
          <w:kern w:val="0"/>
          <w:sz w:val="24"/>
          <w:szCs w:val="20"/>
        </w:rPr>
      </w:pPr>
      <w:r>
        <w:rPr>
          <w:rFonts w:hint="eastAsia" w:ascii="宋体" w:hAnsi="宋体" w:eastAsia="宋体" w:cs="宋体"/>
          <w:bCs/>
          <w:kern w:val="0"/>
          <w:sz w:val="24"/>
          <w:szCs w:val="20"/>
        </w:rPr>
        <w:t>⑶ 发包通知书/成交通知书/委托函；</w:t>
      </w:r>
    </w:p>
    <w:p>
      <w:pPr>
        <w:widowControl/>
        <w:spacing w:line="360" w:lineRule="auto"/>
        <w:ind w:firstLine="480" w:firstLineChars="200"/>
        <w:jc w:val="left"/>
        <w:rPr>
          <w:rFonts w:ascii="宋体" w:hAnsi="宋体" w:eastAsia="宋体" w:cs="宋体"/>
          <w:bCs/>
          <w:kern w:val="0"/>
          <w:sz w:val="24"/>
          <w:szCs w:val="20"/>
        </w:rPr>
      </w:pPr>
      <w:r>
        <w:rPr>
          <w:rFonts w:hint="eastAsia" w:ascii="宋体" w:hAnsi="宋体" w:eastAsia="宋体" w:cs="宋体"/>
          <w:bCs/>
          <w:kern w:val="0"/>
          <w:sz w:val="24"/>
          <w:szCs w:val="20"/>
        </w:rPr>
        <w:t>⑷ 询价文件；</w:t>
      </w:r>
    </w:p>
    <w:p>
      <w:pPr>
        <w:widowControl/>
        <w:spacing w:line="360" w:lineRule="auto"/>
        <w:ind w:firstLine="480" w:firstLineChars="200"/>
        <w:jc w:val="left"/>
        <w:rPr>
          <w:rFonts w:ascii="宋体" w:hAnsi="宋体" w:eastAsia="宋体" w:cs="宋体"/>
          <w:bCs/>
          <w:kern w:val="0"/>
          <w:sz w:val="24"/>
          <w:szCs w:val="20"/>
        </w:rPr>
      </w:pPr>
      <w:r>
        <w:rPr>
          <w:rFonts w:hint="eastAsia" w:ascii="宋体" w:hAnsi="宋体" w:eastAsia="宋体" w:cs="宋体"/>
          <w:bCs/>
          <w:kern w:val="0"/>
          <w:sz w:val="24"/>
          <w:szCs w:val="20"/>
        </w:rPr>
        <w:t>⑸ 响应文件；</w:t>
      </w:r>
    </w:p>
    <w:p>
      <w:pPr>
        <w:widowControl/>
        <w:spacing w:line="360" w:lineRule="auto"/>
        <w:ind w:firstLine="480" w:firstLineChars="200"/>
        <w:jc w:val="left"/>
        <w:rPr>
          <w:rFonts w:ascii="宋体" w:hAnsi="宋体" w:eastAsia="宋体" w:cs="宋体"/>
          <w:bCs/>
          <w:kern w:val="0"/>
          <w:sz w:val="24"/>
          <w:szCs w:val="20"/>
        </w:rPr>
      </w:pPr>
      <w:r>
        <w:rPr>
          <w:rFonts w:hint="eastAsia" w:ascii="宋体" w:hAnsi="宋体" w:eastAsia="宋体" w:cs="宋体"/>
          <w:bCs/>
          <w:kern w:val="0"/>
          <w:sz w:val="24"/>
          <w:szCs w:val="20"/>
        </w:rPr>
        <w:t>⑹ 标准、规范及有关技术性文件；</w:t>
      </w:r>
    </w:p>
    <w:p>
      <w:pPr>
        <w:widowControl/>
        <w:spacing w:line="360" w:lineRule="auto"/>
        <w:ind w:firstLine="480" w:firstLineChars="200"/>
        <w:jc w:val="left"/>
        <w:rPr>
          <w:rFonts w:ascii="宋体" w:hAnsi="宋体" w:eastAsia="宋体" w:cs="宋体"/>
          <w:bCs/>
          <w:kern w:val="0"/>
          <w:sz w:val="24"/>
          <w:szCs w:val="20"/>
        </w:rPr>
      </w:pPr>
      <w:r>
        <w:rPr>
          <w:rFonts w:hint="eastAsia" w:ascii="宋体" w:hAnsi="宋体" w:eastAsia="宋体" w:cs="宋体"/>
          <w:bCs/>
          <w:kern w:val="0"/>
          <w:sz w:val="24"/>
          <w:szCs w:val="20"/>
        </w:rPr>
        <w:t>⑺ 图纸；</w:t>
      </w:r>
    </w:p>
    <w:p>
      <w:pPr>
        <w:widowControl/>
        <w:spacing w:line="360" w:lineRule="auto"/>
        <w:ind w:firstLine="480" w:firstLineChars="200"/>
        <w:jc w:val="left"/>
        <w:rPr>
          <w:rFonts w:ascii="宋体" w:hAnsi="宋体" w:eastAsia="宋体" w:cs="宋体"/>
          <w:bCs/>
          <w:kern w:val="0"/>
          <w:sz w:val="24"/>
          <w:szCs w:val="20"/>
        </w:rPr>
      </w:pPr>
      <w:r>
        <w:rPr>
          <w:rFonts w:hint="eastAsia" w:ascii="宋体" w:hAnsi="宋体" w:eastAsia="宋体" w:cs="宋体"/>
          <w:bCs/>
          <w:kern w:val="0"/>
          <w:sz w:val="24"/>
          <w:szCs w:val="20"/>
        </w:rPr>
        <w:t>⑻ 工程量清单/工程报价单或预算书</w:t>
      </w:r>
    </w:p>
    <w:p>
      <w:pPr>
        <w:widowControl/>
        <w:numPr>
          <w:ilvl w:val="255"/>
          <w:numId w:val="0"/>
        </w:numPr>
        <w:spacing w:line="360" w:lineRule="auto"/>
        <w:ind w:firstLine="480" w:firstLineChars="200"/>
        <w:jc w:val="left"/>
        <w:rPr>
          <w:rFonts w:ascii="宋体" w:hAnsi="宋体" w:eastAsia="宋体" w:cs="宋体"/>
          <w:bCs/>
          <w:kern w:val="0"/>
          <w:sz w:val="24"/>
          <w:szCs w:val="20"/>
        </w:rPr>
      </w:pPr>
      <w:r>
        <w:rPr>
          <w:rFonts w:hint="eastAsia" w:ascii="宋体" w:hAnsi="宋体" w:eastAsia="宋体" w:cs="宋体"/>
          <w:bCs/>
          <w:kern w:val="0"/>
          <w:sz w:val="24"/>
          <w:szCs w:val="20"/>
        </w:rPr>
        <w:t>⑼ 本合同其他附件；</w:t>
      </w:r>
    </w:p>
    <w:p>
      <w:pPr>
        <w:widowControl/>
        <w:numPr>
          <w:ilvl w:val="255"/>
          <w:numId w:val="0"/>
        </w:numPr>
        <w:spacing w:line="360" w:lineRule="auto"/>
        <w:ind w:firstLine="482" w:firstLineChars="200"/>
        <w:jc w:val="left"/>
        <w:rPr>
          <w:rFonts w:ascii="宋体" w:hAnsi="宋体" w:eastAsia="宋体" w:cs="宋体"/>
          <w:b/>
          <w:bCs/>
          <w:kern w:val="0"/>
          <w:sz w:val="24"/>
          <w:szCs w:val="24"/>
        </w:rPr>
      </w:pPr>
      <w:r>
        <w:rPr>
          <w:rFonts w:ascii="宋体" w:hAnsi="宋体" w:eastAsia="宋体" w:cs="宋体"/>
          <w:b/>
          <w:bCs/>
          <w:kern w:val="0"/>
          <w:sz w:val="24"/>
          <w:szCs w:val="24"/>
        </w:rPr>
        <w:t xml:space="preserve">第二条 </w:t>
      </w:r>
      <w:bookmarkEnd w:id="91"/>
      <w:bookmarkEnd w:id="92"/>
      <w:bookmarkEnd w:id="93"/>
      <w:bookmarkEnd w:id="94"/>
      <w:bookmarkEnd w:id="95"/>
      <w:r>
        <w:rPr>
          <w:rFonts w:ascii="宋体" w:hAnsi="宋体" w:eastAsia="宋体" w:cs="宋体"/>
          <w:b/>
          <w:bCs/>
          <w:kern w:val="0"/>
          <w:sz w:val="24"/>
          <w:szCs w:val="24"/>
        </w:rPr>
        <w:t>合同标的</w:t>
      </w:r>
    </w:p>
    <w:tbl>
      <w:tblPr>
        <w:tblStyle w:val="22"/>
        <w:tblW w:w="0" w:type="auto"/>
        <w:jc w:val="center"/>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r>
      <w:tr>
        <w:tblPrEx>
          <w:tblCellMar>
            <w:top w:w="0" w:type="dxa"/>
            <w:left w:w="108" w:type="dxa"/>
            <w:bottom w:w="0" w:type="dxa"/>
            <w:right w:w="108" w:type="dxa"/>
          </w:tblCellMar>
        </w:tblPrEx>
        <w:trPr>
          <w:trHeight w:val="314"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r>
      <w:tr>
        <w:tblPrEx>
          <w:tblCellMar>
            <w:top w:w="0" w:type="dxa"/>
            <w:left w:w="108" w:type="dxa"/>
            <w:bottom w:w="0" w:type="dxa"/>
            <w:right w:w="108" w:type="dxa"/>
          </w:tblCellMar>
        </w:tblPrEx>
        <w:trPr>
          <w:trHeight w:val="347"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r>
      <w:tr>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w:t>
            </w:r>
          </w:p>
        </w:tc>
      </w:tr>
    </w:tbl>
    <w:p>
      <w:pPr>
        <w:spacing w:after="120" w:line="460" w:lineRule="exact"/>
        <w:rPr>
          <w:rFonts w:ascii="宋体" w:hAnsi="宋体" w:cs="宋体"/>
          <w:kern w:val="0"/>
          <w:sz w:val="24"/>
          <w:szCs w:val="24"/>
          <w:lang w:val="zh-CN"/>
        </w:rPr>
      </w:pPr>
      <w:r>
        <w:rPr>
          <w:rFonts w:hint="eastAsia" w:ascii="宋体" w:hAnsi="宋体" w:cs="宋体"/>
          <w:kern w:val="0"/>
          <w:sz w:val="24"/>
          <w:szCs w:val="24"/>
          <w:lang w:val="zh-CN"/>
        </w:rPr>
        <w:t>其他</w:t>
      </w:r>
      <w:r>
        <w:rPr>
          <w:rFonts w:hint="eastAsia" w:ascii="宋体" w:hAnsi="宋体" w:cs="宋体"/>
          <w:kern w:val="0"/>
          <w:sz w:val="24"/>
          <w:szCs w:val="24"/>
        </w:rPr>
        <w:t>采购</w:t>
      </w:r>
      <w:r>
        <w:rPr>
          <w:rFonts w:hint="eastAsia" w:ascii="宋体" w:hAnsi="宋体" w:cs="宋体"/>
          <w:kern w:val="0"/>
          <w:sz w:val="24"/>
          <w:szCs w:val="24"/>
          <w:lang w:val="zh-CN"/>
        </w:rPr>
        <w:t>需求见附件（如</w:t>
      </w:r>
      <w:r>
        <w:rPr>
          <w:rFonts w:hint="eastAsia" w:ascii="宋体" w:hAnsi="宋体" w:cs="宋体"/>
          <w:kern w:val="0"/>
          <w:sz w:val="24"/>
          <w:szCs w:val="24"/>
        </w:rPr>
        <w:t>有</w:t>
      </w:r>
      <w:r>
        <w:rPr>
          <w:rFonts w:hint="eastAsia" w:ascii="宋体" w:hAnsi="宋体" w:cs="宋体"/>
          <w:kern w:val="0"/>
          <w:sz w:val="24"/>
          <w:szCs w:val="24"/>
          <w:lang w:val="zh-CN"/>
        </w:rPr>
        <w:t>）。</w:t>
      </w:r>
    </w:p>
    <w:p>
      <w:pPr>
        <w:adjustRightInd w:val="0"/>
        <w:snapToGrid w:val="0"/>
        <w:spacing w:line="460" w:lineRule="exact"/>
        <w:ind w:firstLine="482" w:firstLineChars="200"/>
        <w:rPr>
          <w:rFonts w:ascii="宋体" w:hAnsi="宋体" w:cs="宋体"/>
          <w:b/>
          <w:bCs/>
          <w:kern w:val="0"/>
          <w:sz w:val="24"/>
          <w:szCs w:val="24"/>
          <w:lang w:val="zh-CN"/>
        </w:rPr>
      </w:pPr>
      <w:r>
        <w:rPr>
          <w:rFonts w:hint="eastAsia" w:ascii="宋体" w:hAnsi="宋体" w:cs="宋体"/>
          <w:b/>
          <w:bCs/>
          <w:kern w:val="0"/>
          <w:sz w:val="24"/>
          <w:szCs w:val="24"/>
          <w:lang w:val="zh-CN"/>
        </w:rPr>
        <w:t>第三条 交货日期及地点</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3.1乙方按以下第</w:t>
      </w:r>
      <w:r>
        <w:rPr>
          <w:rFonts w:hint="eastAsia" w:ascii="宋体" w:hAnsi="宋体" w:cs="宋体"/>
          <w:sz w:val="24"/>
          <w:szCs w:val="24"/>
          <w:u w:val="single"/>
        </w:rPr>
        <w:t>（1）</w:t>
      </w:r>
      <w:r>
        <w:rPr>
          <w:rFonts w:hint="eastAsia" w:ascii="宋体" w:hAnsi="宋体" w:cs="宋体"/>
          <w:sz w:val="24"/>
          <w:szCs w:val="24"/>
        </w:rPr>
        <w:t>种供货期供货。</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(1)合同生效之日起</w:t>
      </w:r>
      <w:r>
        <w:rPr>
          <w:rFonts w:hint="eastAsia" w:ascii="宋体" w:hAnsi="宋体" w:cs="宋体"/>
          <w:sz w:val="24"/>
          <w:szCs w:val="24"/>
          <w:u w:val="single"/>
        </w:rPr>
        <w:t>国产仪器45 个工作日内到货，进口仪器60 个工作日内到货</w:t>
      </w:r>
      <w:r>
        <w:rPr>
          <w:rFonts w:hint="eastAsia" w:ascii="宋体" w:hAnsi="宋体" w:cs="宋体"/>
          <w:sz w:val="24"/>
          <w:szCs w:val="24"/>
        </w:rPr>
        <w:t>，并</w:t>
      </w:r>
      <w:r>
        <w:rPr>
          <w:rFonts w:hint="eastAsia" w:ascii="宋体" w:hAnsi="宋体" w:cs="宋体"/>
          <w:sz w:val="24"/>
          <w:szCs w:val="24"/>
          <w:u w:val="single"/>
        </w:rPr>
        <w:t>试运行</w:t>
      </w:r>
      <w:r>
        <w:rPr>
          <w:rFonts w:hint="eastAsia" w:ascii="宋体" w:hAnsi="宋体" w:cs="宋体"/>
          <w:sz w:val="24"/>
          <w:szCs w:val="24"/>
        </w:rPr>
        <w:t>验收合格（如果供货要求包含安装、调试，则应为试运行验收合格）。</w:t>
      </w:r>
    </w:p>
    <w:p>
      <w:pPr>
        <w:adjustRightInd w:val="0"/>
        <w:snapToGrid w:val="0"/>
        <w:spacing w:line="460" w:lineRule="exact"/>
        <w:ind w:firstLine="360" w:firstLineChars="150"/>
        <w:rPr>
          <w:rFonts w:ascii="宋体" w:hAnsi="宋体" w:cs="宋体"/>
          <w:sz w:val="24"/>
          <w:szCs w:val="24"/>
        </w:rPr>
      </w:pPr>
      <w:r>
        <w:rPr>
          <w:rFonts w:hint="eastAsia" w:ascii="宋体" w:hAnsi="宋体" w:cs="宋体"/>
          <w:sz w:val="24"/>
          <w:szCs w:val="24"/>
        </w:rPr>
        <w:t>（2)乙方按甲方要求，按时间计划逐批（次）供货，并</w:t>
      </w:r>
      <w:r>
        <w:rPr>
          <w:rFonts w:hint="eastAsia" w:ascii="宋体" w:hAnsi="宋体" w:cs="宋体"/>
          <w:sz w:val="24"/>
          <w:szCs w:val="24"/>
          <w:u w:val="single"/>
        </w:rPr>
        <w:t>开箱/试运行验</w:t>
      </w:r>
      <w:r>
        <w:rPr>
          <w:rFonts w:hint="eastAsia" w:ascii="宋体" w:hAnsi="宋体" w:cs="宋体"/>
          <w:sz w:val="24"/>
          <w:szCs w:val="24"/>
        </w:rPr>
        <w:t>收合格（如果供货要求包含安装、调试，则应为试运行验收合格），具体交货日期以甲方通知为准。</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合同有效期为</w:t>
      </w:r>
      <w:r>
        <w:rPr>
          <w:rFonts w:hint="eastAsia" w:ascii="宋体" w:hAnsi="宋体" w:cs="宋体"/>
          <w:sz w:val="24"/>
          <w:szCs w:val="24"/>
          <w:u w:val="single"/>
        </w:rPr>
        <w:t xml:space="preserve">  1  </w:t>
      </w:r>
      <w:r>
        <w:rPr>
          <w:rFonts w:hint="eastAsia" w:ascii="宋体" w:hAnsi="宋体" w:cs="宋体"/>
          <w:sz w:val="24"/>
          <w:szCs w:val="24"/>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sz w:val="24"/>
          <w:szCs w:val="24"/>
        </w:rPr>
      </w:pPr>
      <w:r>
        <w:rPr>
          <w:rFonts w:hint="eastAsia" w:ascii="宋体" w:hAnsi="宋体" w:cs="宋体"/>
          <w:sz w:val="24"/>
          <w:szCs w:val="24"/>
        </w:rPr>
        <w:t>（3）其它供货期要求：</w:t>
      </w:r>
      <w:r>
        <w:rPr>
          <w:rFonts w:hint="eastAsia" w:ascii="宋体" w:hAnsi="宋体" w:cs="宋体"/>
          <w:sz w:val="24"/>
          <w:szCs w:val="24"/>
          <w:u w:val="single"/>
        </w:rPr>
        <w:t xml:space="preserve">      /         </w:t>
      </w:r>
      <w:r>
        <w:rPr>
          <w:rFonts w:hint="eastAsia" w:ascii="宋体" w:hAnsi="宋体" w:cs="宋体"/>
          <w:sz w:val="24"/>
          <w:szCs w:val="24"/>
        </w:rPr>
        <w:t xml:space="preserve">。   </w:t>
      </w:r>
    </w:p>
    <w:p>
      <w:pPr>
        <w:spacing w:after="120" w:line="460" w:lineRule="exact"/>
        <w:ind w:firstLine="480" w:firstLineChars="200"/>
        <w:rPr>
          <w:rFonts w:ascii="宋体" w:hAnsi="宋体" w:cs="宋体"/>
          <w:sz w:val="24"/>
          <w:szCs w:val="24"/>
        </w:rPr>
      </w:pPr>
      <w:r>
        <w:rPr>
          <w:rFonts w:hint="eastAsia" w:ascii="宋体" w:hAnsi="宋体" w:cs="宋体"/>
          <w:sz w:val="24"/>
          <w:szCs w:val="24"/>
        </w:rPr>
        <w:t>3.2</w:t>
      </w:r>
      <w:r>
        <w:rPr>
          <w:rFonts w:hint="eastAsia" w:ascii="宋体" w:hAnsi="宋体" w:cs="宋体"/>
          <w:bCs/>
          <w:sz w:val="24"/>
          <w:szCs w:val="24"/>
        </w:rPr>
        <w:t>交货地点：</w:t>
      </w:r>
      <w:r>
        <w:rPr>
          <w:rFonts w:hint="eastAsia" w:ascii="宋体" w:hAnsi="宋体" w:cs="宋体"/>
          <w:bCs/>
          <w:sz w:val="24"/>
          <w:szCs w:val="24"/>
          <w:u w:val="single"/>
        </w:rPr>
        <w:t xml:space="preserve">广州市净水有限公司水质检测中心 、猎德分公司、龙归分公司、竹料分公司 </w:t>
      </w:r>
      <w:r>
        <w:rPr>
          <w:rFonts w:hint="eastAsia" w:ascii="宋体" w:hAnsi="宋体" w:cs="宋体"/>
          <w:bCs/>
          <w:sz w:val="24"/>
          <w:szCs w:val="24"/>
        </w:rPr>
        <w:t>（包括甲方指定的任一收货点），最终具体交货地点以甲方通知为准。</w:t>
      </w:r>
      <w:r>
        <w:rPr>
          <w:rFonts w:hint="eastAsia" w:ascii="宋体" w:hAnsi="宋体" w:cs="宋体"/>
          <w:sz w:val="24"/>
          <w:szCs w:val="24"/>
        </w:rPr>
        <w:t xml:space="preserve"> </w:t>
      </w:r>
    </w:p>
    <w:p>
      <w:pPr>
        <w:numPr>
          <w:ilvl w:val="0"/>
          <w:numId w:val="5"/>
        </w:numPr>
        <w:adjustRightInd w:val="0"/>
        <w:snapToGrid w:val="0"/>
        <w:spacing w:line="460" w:lineRule="exact"/>
        <w:ind w:firstLine="480" w:firstLineChars="200"/>
        <w:rPr>
          <w:rFonts w:ascii="宋体" w:hAnsi="宋体" w:cs="宋体"/>
          <w:b/>
          <w:sz w:val="24"/>
          <w:szCs w:val="24"/>
        </w:rPr>
      </w:pPr>
      <w:r>
        <w:rPr>
          <w:rFonts w:hint="eastAsia" w:ascii="宋体" w:hAnsi="宋体" w:cs="宋体"/>
          <w:kern w:val="0"/>
          <w:sz w:val="24"/>
          <w:szCs w:val="24"/>
        </w:rPr>
        <w:t>合同</w:t>
      </w:r>
      <w:r>
        <w:rPr>
          <w:rFonts w:hint="eastAsia" w:ascii="宋体" w:hAnsi="宋体" w:cs="宋体"/>
          <w:sz w:val="24"/>
          <w:szCs w:val="24"/>
        </w:rPr>
        <w:t>单价为综合单价，指货物运到甲方指定地点的交货价，该价格包括但不限于：货物的生产、产品检验（含出厂及到货验收）、运输（含转运）、包装、装卸（含卸车费用）、安装调试运行、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cs="宋体"/>
          <w:sz w:val="24"/>
          <w:szCs w:val="24"/>
        </w:rPr>
      </w:pPr>
      <w:r>
        <w:rPr>
          <w:rFonts w:hint="eastAsia" w:ascii="宋体" w:hAnsi="宋体" w:cs="宋体"/>
          <w:sz w:val="24"/>
          <w:szCs w:val="24"/>
        </w:rPr>
        <w:t>合同单价在合同有效期内为不变价。乙方已经充分考虑本合同履行期间的市场风险和国家政策性调整风险系数并已计入报价，因此合同单价在合同有效期内不因任何因素而作调整。</w:t>
      </w:r>
      <w:bookmarkStart w:id="96" w:name="_Toc520190028"/>
      <w:bookmarkStart w:id="97" w:name="_Toc518992988"/>
      <w:bookmarkStart w:id="98" w:name="_Toc474245212"/>
      <w:bookmarkStart w:id="99" w:name="_Toc27425"/>
      <w:bookmarkStart w:id="100" w:name="_Toc107447236"/>
      <w:bookmarkStart w:id="101" w:name="_Toc107446843"/>
    </w:p>
    <w:bookmarkEnd w:id="96"/>
    <w:bookmarkEnd w:id="97"/>
    <w:bookmarkEnd w:id="98"/>
    <w:bookmarkEnd w:id="99"/>
    <w:p>
      <w:pPr>
        <w:autoSpaceDE w:val="0"/>
        <w:autoSpaceDN w:val="0"/>
        <w:adjustRightInd w:val="0"/>
        <w:spacing w:line="460" w:lineRule="exact"/>
        <w:ind w:left="420"/>
        <w:rPr>
          <w:rFonts w:ascii="宋体" w:hAnsi="宋体" w:cs="宋体"/>
          <w:bCs/>
          <w:sz w:val="24"/>
          <w:szCs w:val="24"/>
        </w:rPr>
      </w:pPr>
      <w:bookmarkStart w:id="102" w:name="_Toc518992989"/>
      <w:bookmarkStart w:id="103" w:name="_Toc520190029"/>
      <w:bookmarkStart w:id="104" w:name="_Toc474245213"/>
      <w:r>
        <w:rPr>
          <w:rFonts w:hint="eastAsia" w:ascii="宋体" w:hAnsi="宋体" w:cs="宋体"/>
          <w:b/>
          <w:sz w:val="24"/>
          <w:szCs w:val="24"/>
        </w:rPr>
        <w:t>第五条</w:t>
      </w:r>
      <w:r>
        <w:rPr>
          <w:rFonts w:ascii="宋体" w:hAnsi="宋体" w:cs="宋体"/>
          <w:b/>
          <w:sz w:val="24"/>
          <w:szCs w:val="24"/>
        </w:rPr>
        <w:t xml:space="preserve"> </w:t>
      </w:r>
      <w:r>
        <w:rPr>
          <w:rFonts w:hint="eastAsia" w:ascii="宋体" w:hAnsi="宋体" w:cs="宋体"/>
          <w:b/>
          <w:sz w:val="24"/>
          <w:szCs w:val="24"/>
        </w:rPr>
        <w:t>支付</w:t>
      </w:r>
      <w:bookmarkEnd w:id="102"/>
      <w:bookmarkEnd w:id="103"/>
      <w:bookmarkEnd w:id="104"/>
      <w:r>
        <w:rPr>
          <w:rFonts w:hint="eastAsia" w:ascii="宋体" w:hAnsi="宋体" w:cs="宋体"/>
          <w:b/>
          <w:sz w:val="24"/>
          <w:szCs w:val="24"/>
        </w:rPr>
        <w:t>方式</w:t>
      </w:r>
    </w:p>
    <w:bookmarkEnd w:id="100"/>
    <w:bookmarkEnd w:id="101"/>
    <w:p>
      <w:pPr>
        <w:spacing w:line="460" w:lineRule="exact"/>
        <w:ind w:firstLine="480" w:firstLineChars="200"/>
        <w:rPr>
          <w:rFonts w:ascii="宋体" w:hAnsi="宋体" w:cs="宋体"/>
          <w:sz w:val="24"/>
          <w:szCs w:val="24"/>
          <w:u w:val="single"/>
        </w:rPr>
      </w:pPr>
      <w:bookmarkStart w:id="105" w:name="_Toc14703"/>
      <w:bookmarkStart w:id="106" w:name="_Toc183666516"/>
      <w:r>
        <w:rPr>
          <w:rFonts w:ascii="宋体" w:hAnsi="宋体" w:cs="宋体"/>
          <w:sz w:val="24"/>
          <w:szCs w:val="24"/>
        </w:rPr>
        <w:t>5.1</w:t>
      </w:r>
      <w:r>
        <w:rPr>
          <w:rFonts w:hint="eastAsia" w:ascii="宋体" w:hAnsi="宋体" w:cs="宋体"/>
          <w:bCs/>
          <w:sz w:val="24"/>
          <w:szCs w:val="24"/>
        </w:rPr>
        <w:t>预付款支付：</w:t>
      </w:r>
      <w:r>
        <w:rPr>
          <w:rFonts w:ascii="宋体" w:hAnsi="宋体" w:cs="宋体"/>
          <w:bCs/>
          <w:sz w:val="24"/>
          <w:szCs w:val="24"/>
        </w:rPr>
        <w:sym w:font="Wingdings" w:char="00FE"/>
      </w:r>
      <w:r>
        <w:rPr>
          <w:rFonts w:hint="eastAsia" w:ascii="宋体" w:hAnsi="宋体" w:cs="宋体"/>
          <w:bCs/>
          <w:sz w:val="24"/>
          <w:szCs w:val="24"/>
        </w:rPr>
        <w:t>无；</w:t>
      </w:r>
      <w:r>
        <w:rPr>
          <w:rFonts w:ascii="宋体" w:hAnsi="宋体" w:cs="宋体"/>
          <w:bCs/>
          <w:sz w:val="24"/>
          <w:szCs w:val="24"/>
        </w:rPr>
        <w:sym w:font="Wingdings" w:char="F0A8"/>
      </w:r>
      <w:r>
        <w:rPr>
          <w:rFonts w:hint="eastAsia" w:ascii="宋体" w:hAnsi="宋体" w:cs="宋体"/>
          <w:bCs/>
          <w:sz w:val="24"/>
          <w:szCs w:val="24"/>
        </w:rPr>
        <w:t>有，合同签订后，乙方开具</w:t>
      </w:r>
      <w:r>
        <w:rPr>
          <w:rFonts w:hint="eastAsia" w:ascii="宋体" w:hAnsi="宋体" w:cs="宋体"/>
          <w:sz w:val="24"/>
          <w:szCs w:val="24"/>
        </w:rPr>
        <w:t>等额</w:t>
      </w:r>
      <w:r>
        <w:rPr>
          <w:rFonts w:hint="eastAsia" w:ascii="宋体" w:hAnsi="宋体" w:cs="宋体"/>
          <w:bCs/>
          <w:sz w:val="24"/>
          <w:szCs w:val="24"/>
        </w:rPr>
        <w:t>增值税专用发票及提交履约担保（如有）后</w:t>
      </w:r>
      <w:r>
        <w:rPr>
          <w:rFonts w:ascii="宋体" w:hAnsi="宋体" w:cs="宋体"/>
          <w:bCs/>
          <w:sz w:val="24"/>
          <w:szCs w:val="24"/>
          <w:u w:val="single"/>
        </w:rPr>
        <w:t>10</w:t>
      </w:r>
      <w:r>
        <w:rPr>
          <w:rFonts w:hint="eastAsia" w:ascii="宋体" w:hAnsi="宋体" w:cs="宋体"/>
          <w:bCs/>
          <w:sz w:val="24"/>
          <w:szCs w:val="24"/>
        </w:rPr>
        <w:t>个工作日内，甲方支付</w:t>
      </w:r>
      <w:r>
        <w:rPr>
          <w:rFonts w:hint="eastAsia" w:ascii="宋体" w:hAnsi="宋体" w:cs="宋体"/>
          <w:sz w:val="24"/>
          <w:szCs w:val="24"/>
          <w:u w:val="single"/>
        </w:rPr>
        <w:t>合同暂定总价</w:t>
      </w:r>
      <w:r>
        <w:rPr>
          <w:rFonts w:hint="eastAsia" w:ascii="宋体" w:hAnsi="宋体" w:cs="宋体"/>
          <w:bCs/>
          <w:sz w:val="24"/>
          <w:szCs w:val="24"/>
          <w:u w:val="single"/>
        </w:rPr>
        <w:t>的</w:t>
      </w:r>
      <w:r>
        <w:rPr>
          <w:rFonts w:ascii="宋体" w:hAnsi="宋体" w:cs="宋体"/>
          <w:bCs/>
          <w:sz w:val="24"/>
          <w:szCs w:val="24"/>
          <w:u w:val="single"/>
        </w:rPr>
        <w:t xml:space="preserve"> 30%  </w:t>
      </w:r>
      <w:r>
        <w:rPr>
          <w:rFonts w:hint="eastAsia" w:ascii="宋体" w:hAnsi="宋体" w:cs="宋体"/>
          <w:sz w:val="24"/>
          <w:szCs w:val="24"/>
        </w:rPr>
        <w:t>即</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u w:val="single"/>
        </w:rPr>
        <w:t>元，（大写：</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rPr>
        <w:t xml:space="preserve">  </w:t>
      </w:r>
      <w:r>
        <w:rPr>
          <w:rFonts w:hint="eastAsia" w:ascii="宋体" w:hAnsi="宋体" w:cs="宋体"/>
          <w:bCs/>
          <w:sz w:val="24"/>
          <w:szCs w:val="24"/>
        </w:rPr>
        <w:t>作为预付款。</w:t>
      </w:r>
      <w:r>
        <w:rPr>
          <w:rFonts w:hint="eastAsia" w:ascii="宋体" w:hAnsi="宋体" w:cs="宋体"/>
          <w:sz w:val="24"/>
          <w:szCs w:val="24"/>
        </w:rPr>
        <w:t>若合同解除或终止，乙方在</w:t>
      </w:r>
      <w:r>
        <w:rPr>
          <w:rFonts w:ascii="宋体" w:hAnsi="宋体" w:cs="宋体"/>
          <w:sz w:val="24"/>
          <w:szCs w:val="24"/>
          <w:u w:val="single"/>
        </w:rPr>
        <w:t xml:space="preserve"> 5 </w:t>
      </w:r>
      <w:r>
        <w:rPr>
          <w:rFonts w:hint="eastAsia" w:ascii="宋体" w:hAnsi="宋体" w:cs="宋体"/>
          <w:sz w:val="24"/>
          <w:szCs w:val="24"/>
        </w:rPr>
        <w:t>个工作日内返还预付款</w:t>
      </w:r>
      <w:r>
        <w:rPr>
          <w:rFonts w:hint="eastAsia" w:ascii="宋体" w:hAnsi="宋体" w:cs="宋体"/>
          <w:bCs/>
          <w:kern w:val="0"/>
          <w:sz w:val="24"/>
          <w:szCs w:val="24"/>
        </w:rPr>
        <w:t>（无息）</w:t>
      </w:r>
      <w:r>
        <w:rPr>
          <w:rFonts w:hint="eastAsia" w:ascii="宋体" w:hAnsi="宋体" w:cs="宋体"/>
          <w:sz w:val="24"/>
          <w:szCs w:val="24"/>
        </w:rPr>
        <w:t>。</w:t>
      </w:r>
      <w:r>
        <w:rPr>
          <w:rFonts w:hint="eastAsia" w:ascii="宋体" w:hAnsi="宋体" w:cs="宋体"/>
          <w:bCs/>
          <w:kern w:val="0"/>
          <w:sz w:val="24"/>
          <w:szCs w:val="24"/>
        </w:rPr>
        <w:t>逾期未返还，每逾期一天，乙方应按合同暂定总价的</w:t>
      </w:r>
      <w:r>
        <w:rPr>
          <w:rFonts w:hint="eastAsia" w:ascii="宋体" w:hAnsi="宋体" w:cs="宋体"/>
          <w:bCs/>
          <w:kern w:val="0"/>
          <w:sz w:val="24"/>
          <w:szCs w:val="24"/>
          <w:u w:val="single"/>
        </w:rPr>
        <w:t>万分之五</w:t>
      </w:r>
      <w:r>
        <w:rPr>
          <w:rFonts w:ascii="宋体" w:hAnsi="宋体" w:cs="宋体"/>
          <w:bCs/>
          <w:kern w:val="0"/>
          <w:sz w:val="24"/>
          <w:szCs w:val="24"/>
          <w:u w:val="single"/>
        </w:rPr>
        <w:t>/</w:t>
      </w:r>
      <w:r>
        <w:rPr>
          <w:rFonts w:hint="eastAsia" w:ascii="宋体" w:hAnsi="宋体" w:cs="宋体"/>
          <w:bCs/>
          <w:kern w:val="0"/>
          <w:sz w:val="24"/>
          <w:szCs w:val="24"/>
          <w:u w:val="single"/>
        </w:rPr>
        <w:t>天</w:t>
      </w:r>
      <w:r>
        <w:rPr>
          <w:rFonts w:hint="eastAsia" w:ascii="宋体" w:hAnsi="宋体" w:cs="宋体"/>
          <w:bCs/>
          <w:kern w:val="0"/>
          <w:sz w:val="24"/>
          <w:szCs w:val="24"/>
        </w:rPr>
        <w:t>支付违约金</w:t>
      </w:r>
      <w:r>
        <w:rPr>
          <w:rFonts w:hint="eastAsia" w:ascii="宋体" w:hAnsi="宋体" w:cs="宋体"/>
          <w:sz w:val="24"/>
          <w:szCs w:val="24"/>
        </w:rPr>
        <w:t>。</w:t>
      </w:r>
    </w:p>
    <w:p>
      <w:pPr>
        <w:adjustRightInd w:val="0"/>
        <w:snapToGrid w:val="0"/>
        <w:spacing w:line="460" w:lineRule="exact"/>
        <w:ind w:firstLine="360" w:firstLineChars="150"/>
        <w:rPr>
          <w:rFonts w:ascii="宋体" w:hAnsi="宋体" w:cs="宋体"/>
          <w:sz w:val="24"/>
          <w:szCs w:val="24"/>
        </w:rPr>
      </w:pPr>
      <w:r>
        <w:rPr>
          <w:rFonts w:ascii="宋体" w:hAnsi="宋体" w:cs="宋体"/>
          <w:sz w:val="24"/>
          <w:szCs w:val="24"/>
        </w:rPr>
        <w:t>5.2</w:t>
      </w:r>
      <w:r>
        <w:rPr>
          <w:rFonts w:hint="eastAsia" w:ascii="宋体" w:hAnsi="宋体" w:cs="宋体"/>
          <w:sz w:val="24"/>
          <w:szCs w:val="24"/>
        </w:rPr>
        <w:t>支付方式：本合同款项按以下第</w:t>
      </w:r>
      <w:r>
        <w:rPr>
          <w:rFonts w:ascii="宋体" w:hAnsi="宋体" w:cs="宋体"/>
          <w:sz w:val="24"/>
          <w:szCs w:val="24"/>
          <w:u w:val="single"/>
        </w:rPr>
        <w:t xml:space="preserve"> </w:t>
      </w:r>
      <w:r>
        <w:rPr>
          <w:rFonts w:hint="eastAsia" w:ascii="宋体" w:hAnsi="宋体" w:cs="宋体"/>
          <w:sz w:val="24"/>
          <w:szCs w:val="24"/>
          <w:u w:val="single"/>
        </w:rPr>
        <w:t>（2）</w:t>
      </w:r>
      <w:r>
        <w:rPr>
          <w:rFonts w:ascii="宋体" w:hAnsi="宋体" w:cs="宋体"/>
          <w:sz w:val="24"/>
          <w:szCs w:val="24"/>
          <w:u w:val="single"/>
        </w:rPr>
        <w:t xml:space="preserve"> </w:t>
      </w:r>
      <w:r>
        <w:rPr>
          <w:rFonts w:hint="eastAsia" w:ascii="宋体" w:hAnsi="宋体" w:cs="宋体"/>
          <w:sz w:val="24"/>
          <w:szCs w:val="24"/>
        </w:rPr>
        <w:t>种方式支付。</w:t>
      </w:r>
    </w:p>
    <w:p>
      <w:pPr>
        <w:adjustRightInd w:val="0"/>
        <w:snapToGrid w:val="0"/>
        <w:spacing w:line="460" w:lineRule="exact"/>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）本合同生效后，甲方支付乙方</w:t>
      </w:r>
      <w:r>
        <w:rPr>
          <w:rFonts w:hint="eastAsia" w:ascii="宋体" w:hAnsi="宋体" w:cs="宋体"/>
          <w:sz w:val="24"/>
          <w:szCs w:val="24"/>
          <w:u w:val="single"/>
        </w:rPr>
        <w:t>合同暂定总价</w:t>
      </w:r>
      <w:r>
        <w:rPr>
          <w:rFonts w:ascii="宋体" w:hAnsi="宋体" w:cs="宋体"/>
          <w:sz w:val="24"/>
          <w:szCs w:val="24"/>
          <w:u w:val="single"/>
        </w:rPr>
        <w:t>30%</w:t>
      </w:r>
      <w:r>
        <w:rPr>
          <w:rFonts w:hint="eastAsia" w:ascii="宋体" w:hAnsi="宋体" w:cs="宋体"/>
          <w:sz w:val="24"/>
          <w:szCs w:val="24"/>
        </w:rPr>
        <w:t>预付款，乙方按时供货，货物到齐且经</w:t>
      </w:r>
      <w:r>
        <w:rPr>
          <w:rFonts w:hint="eastAsia" w:ascii="宋体" w:hAnsi="宋体" w:cs="宋体"/>
          <w:sz w:val="24"/>
          <w:szCs w:val="24"/>
          <w:u w:val="single"/>
        </w:rPr>
        <w:t>开箱</w:t>
      </w:r>
      <w:r>
        <w:rPr>
          <w:rFonts w:ascii="宋体" w:hAnsi="宋体" w:cs="宋体"/>
          <w:sz w:val="24"/>
          <w:szCs w:val="24"/>
          <w:u w:val="single"/>
        </w:rPr>
        <w:t>/</w:t>
      </w:r>
      <w:r>
        <w:rPr>
          <w:rFonts w:hint="eastAsia" w:ascii="宋体" w:hAnsi="宋体" w:cs="宋体"/>
          <w:sz w:val="24"/>
          <w:szCs w:val="24"/>
          <w:u w:val="single"/>
        </w:rPr>
        <w:t>试运行</w:t>
      </w:r>
      <w:r>
        <w:rPr>
          <w:rFonts w:hint="eastAsia" w:ascii="宋体" w:hAnsi="宋体" w:cs="宋体"/>
          <w:sz w:val="24"/>
          <w:szCs w:val="24"/>
        </w:rPr>
        <w:t>验收合格，经甲方相关部门结算且乙方提交请款资料及等额增值税专用发票后</w:t>
      </w:r>
      <w:r>
        <w:rPr>
          <w:rFonts w:ascii="宋体" w:hAnsi="宋体" w:cs="宋体"/>
          <w:sz w:val="24"/>
          <w:szCs w:val="24"/>
          <w:u w:val="single"/>
        </w:rPr>
        <w:t>15</w:t>
      </w:r>
      <w:r>
        <w:rPr>
          <w:rFonts w:hint="eastAsia" w:ascii="宋体" w:hAnsi="宋体" w:cs="宋体"/>
          <w:sz w:val="24"/>
          <w:szCs w:val="24"/>
        </w:rPr>
        <w:t>个工作日内，甲方向乙方支付至结算审定价总额的</w:t>
      </w:r>
      <w:r>
        <w:rPr>
          <w:rFonts w:ascii="宋体" w:hAnsi="宋体" w:cs="宋体"/>
          <w:sz w:val="24"/>
          <w:szCs w:val="24"/>
        </w:rPr>
        <w:t>95%</w:t>
      </w:r>
      <w:r>
        <w:rPr>
          <w:rFonts w:hint="eastAsia" w:ascii="宋体" w:hAnsi="宋体" w:cs="宋体"/>
          <w:sz w:val="24"/>
          <w:szCs w:val="24"/>
        </w:rPr>
        <w:t>（含预付款），余款</w:t>
      </w:r>
      <w:r>
        <w:rPr>
          <w:rFonts w:ascii="宋体" w:hAnsi="宋体" w:cs="宋体"/>
          <w:sz w:val="24"/>
          <w:szCs w:val="24"/>
        </w:rPr>
        <w:t>5%</w:t>
      </w:r>
      <w:r>
        <w:rPr>
          <w:rFonts w:hint="eastAsia" w:ascii="宋体" w:hAnsi="宋体" w:cs="宋体"/>
          <w:sz w:val="24"/>
          <w:szCs w:val="24"/>
        </w:rPr>
        <w:t>作为质量保证金。质保期自</w:t>
      </w:r>
      <w:r>
        <w:rPr>
          <w:rFonts w:hint="eastAsia" w:ascii="宋体" w:hAnsi="宋体" w:cs="宋体"/>
          <w:sz w:val="24"/>
          <w:szCs w:val="24"/>
          <w:u w:val="single"/>
        </w:rPr>
        <w:t>货物开箱</w:t>
      </w:r>
      <w:r>
        <w:rPr>
          <w:rFonts w:ascii="宋体" w:hAnsi="宋体" w:cs="宋体"/>
          <w:sz w:val="24"/>
          <w:szCs w:val="24"/>
          <w:u w:val="single"/>
        </w:rPr>
        <w:t>/</w:t>
      </w:r>
      <w:r>
        <w:rPr>
          <w:rFonts w:hint="eastAsia" w:ascii="宋体" w:hAnsi="宋体" w:cs="宋体"/>
          <w:sz w:val="24"/>
          <w:szCs w:val="24"/>
          <w:u w:val="single"/>
        </w:rPr>
        <w:t>试运行</w:t>
      </w:r>
      <w:r>
        <w:rPr>
          <w:rFonts w:hint="eastAsia" w:ascii="宋体" w:hAnsi="宋体" w:cs="宋体"/>
          <w:sz w:val="24"/>
          <w:szCs w:val="24"/>
        </w:rPr>
        <w:t>验收合格之日起</w:t>
      </w:r>
      <w:r>
        <w:rPr>
          <w:rFonts w:ascii="宋体" w:hAnsi="宋体" w:cs="宋体"/>
          <w:sz w:val="24"/>
          <w:szCs w:val="24"/>
          <w:u w:val="single"/>
        </w:rPr>
        <w:t>1</w:t>
      </w:r>
      <w:r>
        <w:rPr>
          <w:rFonts w:hint="eastAsia" w:ascii="宋体" w:hAnsi="宋体" w:cs="宋体"/>
          <w:sz w:val="24"/>
          <w:szCs w:val="24"/>
        </w:rPr>
        <w:t>年。质保期满后，乙方申请退还质保金并提供相关资料后的</w:t>
      </w:r>
      <w:r>
        <w:rPr>
          <w:rFonts w:ascii="宋体" w:hAnsi="宋体" w:cs="宋体"/>
          <w:sz w:val="24"/>
          <w:szCs w:val="24"/>
          <w:u w:val="single"/>
        </w:rPr>
        <w:t>15</w:t>
      </w:r>
      <w:r>
        <w:rPr>
          <w:rFonts w:hint="eastAsia" w:ascii="宋体" w:hAnsi="宋体" w:cs="宋体"/>
          <w:sz w:val="24"/>
          <w:szCs w:val="24"/>
        </w:rPr>
        <w:t>个工作日内，甲方支付质保金（无息）（适用于需支付预付款采购）。</w:t>
      </w:r>
    </w:p>
    <w:p>
      <w:pPr>
        <w:adjustRightInd w:val="0"/>
        <w:snapToGrid w:val="0"/>
        <w:spacing w:line="460" w:lineRule="exact"/>
        <w:ind w:firstLine="360" w:firstLineChars="150"/>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rPr>
        <w:t>）本合同生效后，乙方按时供货，货物到齐且经</w:t>
      </w:r>
      <w:r>
        <w:rPr>
          <w:rFonts w:hint="eastAsia" w:ascii="宋体" w:hAnsi="宋体" w:cs="宋体"/>
          <w:sz w:val="24"/>
          <w:szCs w:val="24"/>
          <w:highlight w:val="none"/>
          <w:u w:val="single"/>
        </w:rPr>
        <w:t>试运行</w:t>
      </w:r>
      <w:r>
        <w:rPr>
          <w:rFonts w:hint="eastAsia" w:ascii="宋体" w:hAnsi="宋体" w:cs="宋体"/>
          <w:sz w:val="24"/>
          <w:szCs w:val="24"/>
          <w:highlight w:val="none"/>
        </w:rPr>
        <w:t>验收合格后，甲方</w:t>
      </w:r>
      <w:r>
        <w:rPr>
          <w:rFonts w:hint="eastAsia" w:ascii="宋体" w:hAnsi="宋体" w:cs="宋体"/>
          <w:bCs/>
          <w:sz w:val="24"/>
          <w:szCs w:val="24"/>
          <w:highlight w:val="none"/>
        </w:rPr>
        <w:t>下辖水质中心、猎德、龙归、竹料等分公司分别按照采购货物总量据实结算，</w:t>
      </w:r>
      <w:r>
        <w:rPr>
          <w:rFonts w:hint="eastAsia" w:ascii="宋体" w:hAnsi="宋体" w:cs="宋体"/>
          <w:sz w:val="24"/>
          <w:szCs w:val="24"/>
          <w:highlight w:val="none"/>
        </w:rPr>
        <w:t>乙方提交请款资料及等额增值税专用发票，</w:t>
      </w:r>
      <w:r>
        <w:rPr>
          <w:rFonts w:hint="eastAsia" w:ascii="宋体" w:hAnsi="宋体" w:cs="宋体"/>
          <w:bCs/>
          <w:sz w:val="24"/>
          <w:szCs w:val="24"/>
          <w:highlight w:val="none"/>
        </w:rPr>
        <w:t>经甲方结算审核后</w:t>
      </w:r>
      <w:r>
        <w:rPr>
          <w:rFonts w:ascii="宋体" w:hAnsi="宋体" w:cs="宋体"/>
          <w:bCs/>
          <w:sz w:val="24"/>
          <w:szCs w:val="24"/>
          <w:highlight w:val="none"/>
          <w:u w:val="single"/>
        </w:rPr>
        <w:t xml:space="preserve"> 15 </w:t>
      </w:r>
      <w:r>
        <w:rPr>
          <w:rFonts w:hint="eastAsia" w:ascii="宋体" w:hAnsi="宋体" w:cs="宋体"/>
          <w:bCs/>
          <w:sz w:val="24"/>
          <w:szCs w:val="24"/>
          <w:highlight w:val="none"/>
        </w:rPr>
        <w:t>个工作日内，</w:t>
      </w:r>
      <w:r>
        <w:rPr>
          <w:rFonts w:hint="eastAsia" w:ascii="宋体" w:hAnsi="宋体" w:cs="宋体"/>
          <w:sz w:val="24"/>
          <w:szCs w:val="24"/>
          <w:highlight w:val="none"/>
        </w:rPr>
        <w:t>支付至</w:t>
      </w:r>
      <w:r>
        <w:rPr>
          <w:rFonts w:hint="eastAsia" w:ascii="宋体" w:hAnsi="宋体" w:cs="宋体"/>
          <w:bCs/>
          <w:sz w:val="24"/>
          <w:szCs w:val="24"/>
          <w:highlight w:val="none"/>
        </w:rPr>
        <w:t>合同结算价的</w:t>
      </w:r>
      <w:r>
        <w:rPr>
          <w:rFonts w:ascii="宋体" w:hAnsi="宋体" w:cs="宋体"/>
          <w:bCs/>
          <w:sz w:val="24"/>
          <w:szCs w:val="24"/>
          <w:highlight w:val="none"/>
        </w:rPr>
        <w:t>95%</w:t>
      </w:r>
      <w:r>
        <w:rPr>
          <w:rFonts w:hint="eastAsia" w:ascii="宋体" w:hAnsi="宋体" w:cs="宋体"/>
          <w:sz w:val="24"/>
          <w:szCs w:val="24"/>
          <w:highlight w:val="none"/>
        </w:rPr>
        <w:t>。余款</w:t>
      </w:r>
      <w:r>
        <w:rPr>
          <w:rFonts w:ascii="宋体" w:hAnsi="宋体" w:cs="宋体"/>
          <w:sz w:val="24"/>
          <w:szCs w:val="24"/>
          <w:highlight w:val="none"/>
        </w:rPr>
        <w:t>5%</w:t>
      </w:r>
      <w:r>
        <w:rPr>
          <w:rFonts w:hint="eastAsia" w:ascii="宋体" w:hAnsi="宋体" w:cs="宋体"/>
          <w:sz w:val="24"/>
          <w:szCs w:val="24"/>
          <w:highlight w:val="none"/>
        </w:rPr>
        <w:t>作为质量保证金。质保期自</w:t>
      </w:r>
      <w:r>
        <w:rPr>
          <w:rFonts w:hint="eastAsia" w:ascii="宋体" w:hAnsi="宋体" w:cs="宋体"/>
          <w:sz w:val="24"/>
          <w:szCs w:val="24"/>
          <w:highlight w:val="none"/>
          <w:u w:val="single"/>
        </w:rPr>
        <w:t>货物试运行</w:t>
      </w:r>
      <w:r>
        <w:rPr>
          <w:rFonts w:hint="eastAsia" w:ascii="宋体" w:hAnsi="宋体" w:cs="宋体"/>
          <w:sz w:val="24"/>
          <w:szCs w:val="24"/>
          <w:highlight w:val="none"/>
        </w:rPr>
        <w:t>验收合格之日起</w:t>
      </w:r>
      <w:r>
        <w:rPr>
          <w:rFonts w:ascii="宋体" w:hAnsi="宋体" w:cs="宋体"/>
          <w:sz w:val="24"/>
          <w:szCs w:val="24"/>
          <w:highlight w:val="none"/>
          <w:u w:val="single"/>
        </w:rPr>
        <w:t xml:space="preserve"> </w:t>
      </w:r>
      <w:r>
        <w:rPr>
          <w:rFonts w:hint="eastAsia" w:ascii="宋体" w:hAnsi="宋体" w:cs="宋体"/>
          <w:sz w:val="24"/>
          <w:szCs w:val="24"/>
          <w:highlight w:val="none"/>
          <w:u w:val="single"/>
        </w:rPr>
        <w:t>1</w:t>
      </w:r>
      <w:r>
        <w:rPr>
          <w:rFonts w:ascii="宋体" w:hAnsi="宋体" w:cs="宋体"/>
          <w:sz w:val="24"/>
          <w:szCs w:val="24"/>
          <w:highlight w:val="none"/>
          <w:u w:val="single"/>
        </w:rPr>
        <w:t xml:space="preserve"> </w:t>
      </w:r>
      <w:r>
        <w:rPr>
          <w:rFonts w:hint="eastAsia" w:ascii="宋体" w:hAnsi="宋体" w:cs="宋体"/>
          <w:sz w:val="24"/>
          <w:szCs w:val="24"/>
          <w:highlight w:val="none"/>
        </w:rPr>
        <w:t>年。质保期满后，乙方申请退还质保金并提供相关资料后的</w:t>
      </w:r>
      <w:r>
        <w:rPr>
          <w:rFonts w:ascii="宋体" w:hAnsi="宋体" w:cs="宋体"/>
          <w:sz w:val="24"/>
          <w:szCs w:val="24"/>
          <w:highlight w:val="none"/>
          <w:u w:val="single"/>
        </w:rPr>
        <w:t>15</w:t>
      </w:r>
      <w:r>
        <w:rPr>
          <w:rFonts w:hint="eastAsia" w:ascii="宋体" w:hAnsi="宋体" w:cs="宋体"/>
          <w:sz w:val="24"/>
          <w:szCs w:val="24"/>
          <w:highlight w:val="none"/>
        </w:rPr>
        <w:t>个工作日内，甲方支付质保金（无息）</w:t>
      </w:r>
      <w:r>
        <w:rPr>
          <w:rFonts w:hint="eastAsia" w:ascii="宋体" w:hAnsi="宋体" w:cs="宋体"/>
          <w:bCs/>
          <w:sz w:val="24"/>
          <w:szCs w:val="24"/>
          <w:highlight w:val="none"/>
        </w:rPr>
        <w:t>（若审核价低于合同暂定总价，则以审核价作为合同结算价，否则以合同暂定总价为合同结算价）</w:t>
      </w:r>
      <w:r>
        <w:rPr>
          <w:rFonts w:hint="eastAsia" w:ascii="宋体" w:hAnsi="宋体" w:cs="宋体"/>
          <w:sz w:val="24"/>
          <w:szCs w:val="24"/>
          <w:highlight w:val="none"/>
        </w:rPr>
        <w:t>。</w:t>
      </w:r>
    </w:p>
    <w:p>
      <w:pPr>
        <w:adjustRightInd w:val="0"/>
        <w:snapToGrid w:val="0"/>
        <w:spacing w:line="460" w:lineRule="exact"/>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）本合同生效后，乙方按时供货，货物到齐且经</w:t>
      </w:r>
      <w:r>
        <w:rPr>
          <w:rFonts w:hint="eastAsia" w:ascii="宋体" w:hAnsi="宋体" w:cs="宋体"/>
          <w:sz w:val="24"/>
          <w:szCs w:val="24"/>
          <w:u w:val="single"/>
        </w:rPr>
        <w:t>开箱</w:t>
      </w:r>
      <w:r>
        <w:rPr>
          <w:rFonts w:ascii="宋体" w:hAnsi="宋体" w:cs="宋体"/>
          <w:sz w:val="24"/>
          <w:szCs w:val="24"/>
          <w:u w:val="single"/>
        </w:rPr>
        <w:t>/</w:t>
      </w:r>
      <w:r>
        <w:rPr>
          <w:rFonts w:hint="eastAsia" w:ascii="宋体" w:hAnsi="宋体" w:cs="宋体"/>
          <w:sz w:val="24"/>
          <w:szCs w:val="24"/>
          <w:u w:val="single"/>
        </w:rPr>
        <w:t>试运行</w:t>
      </w:r>
      <w:r>
        <w:rPr>
          <w:rFonts w:hint="eastAsia" w:ascii="宋体" w:hAnsi="宋体" w:cs="宋体"/>
          <w:sz w:val="24"/>
          <w:szCs w:val="24"/>
        </w:rPr>
        <w:t>验收合格后，甲方在收到乙方提交的请款资料及等额增值税专用发票后</w:t>
      </w:r>
      <w:r>
        <w:rPr>
          <w:rFonts w:ascii="宋体" w:hAnsi="宋体" w:cs="宋体"/>
          <w:sz w:val="24"/>
          <w:szCs w:val="24"/>
          <w:u w:val="single"/>
        </w:rPr>
        <w:t>15</w:t>
      </w:r>
      <w:r>
        <w:rPr>
          <w:rFonts w:hint="eastAsia" w:ascii="宋体" w:hAnsi="宋体" w:cs="宋体"/>
          <w:sz w:val="24"/>
          <w:szCs w:val="24"/>
        </w:rPr>
        <w:t>个工作日内向乙方支付至货款总额的</w:t>
      </w:r>
      <w:r>
        <w:rPr>
          <w:rFonts w:ascii="宋体" w:hAnsi="宋体" w:cs="宋体"/>
          <w:sz w:val="24"/>
          <w:szCs w:val="24"/>
        </w:rPr>
        <w:t>100%</w:t>
      </w:r>
      <w:r>
        <w:rPr>
          <w:rFonts w:hint="eastAsia" w:ascii="宋体" w:hAnsi="宋体" w:cs="宋体"/>
          <w:sz w:val="24"/>
          <w:szCs w:val="24"/>
        </w:rPr>
        <w:t>（适用于即时结清采购）。</w:t>
      </w:r>
    </w:p>
    <w:p>
      <w:pPr>
        <w:adjustRightInd w:val="0"/>
        <w:snapToGrid w:val="0"/>
        <w:spacing w:line="460" w:lineRule="exact"/>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）本合同生效后，乙方按时分批供货，每批货物到齐且经</w:t>
      </w:r>
      <w:r>
        <w:rPr>
          <w:rFonts w:hint="eastAsia" w:ascii="宋体" w:hAnsi="宋体" w:cs="宋体"/>
          <w:sz w:val="24"/>
          <w:szCs w:val="24"/>
          <w:u w:val="single"/>
        </w:rPr>
        <w:t>开箱</w:t>
      </w:r>
      <w:r>
        <w:rPr>
          <w:rFonts w:ascii="宋体" w:hAnsi="宋体" w:cs="宋体"/>
          <w:sz w:val="24"/>
          <w:szCs w:val="24"/>
          <w:u w:val="single"/>
        </w:rPr>
        <w:t>/</w:t>
      </w:r>
      <w:r>
        <w:rPr>
          <w:rFonts w:hint="eastAsia" w:ascii="宋体" w:hAnsi="宋体" w:cs="宋体"/>
          <w:sz w:val="24"/>
          <w:szCs w:val="24"/>
          <w:u w:val="single"/>
        </w:rPr>
        <w:t>试运行</w:t>
      </w:r>
      <w:r>
        <w:rPr>
          <w:rFonts w:hint="eastAsia" w:ascii="宋体" w:hAnsi="宋体" w:cs="宋体"/>
          <w:sz w:val="24"/>
          <w:szCs w:val="24"/>
        </w:rPr>
        <w:t>验收合格后，甲方在收到乙方提交的请款资料及等额增值税专用发票后</w:t>
      </w:r>
      <w:r>
        <w:rPr>
          <w:rFonts w:ascii="宋体" w:hAnsi="宋体" w:cs="宋体"/>
          <w:sz w:val="24"/>
          <w:szCs w:val="24"/>
          <w:u w:val="single"/>
        </w:rPr>
        <w:t>15</w:t>
      </w:r>
      <w:r>
        <w:rPr>
          <w:rFonts w:hint="eastAsia" w:ascii="宋体" w:hAnsi="宋体" w:cs="宋体"/>
          <w:sz w:val="24"/>
          <w:szCs w:val="24"/>
        </w:rPr>
        <w:t>个工作日内向乙方支付至该批货款总额的</w:t>
      </w:r>
      <w:r>
        <w:rPr>
          <w:rFonts w:ascii="宋体" w:hAnsi="宋体" w:cs="宋体"/>
          <w:sz w:val="24"/>
          <w:szCs w:val="24"/>
        </w:rPr>
        <w:t>100%</w:t>
      </w:r>
      <w:r>
        <w:rPr>
          <w:rFonts w:hint="eastAsia" w:ascii="宋体" w:hAnsi="宋体" w:cs="宋体"/>
          <w:sz w:val="24"/>
          <w:szCs w:val="24"/>
        </w:rPr>
        <w:t>（适用于分批供货且即时结清采购）。</w:t>
      </w:r>
    </w:p>
    <w:p>
      <w:pPr>
        <w:adjustRightInd w:val="0"/>
        <w:snapToGrid w:val="0"/>
        <w:spacing w:line="460" w:lineRule="exact"/>
        <w:ind w:firstLine="240" w:firstLineChars="100"/>
        <w:rPr>
          <w:rFonts w:ascii="宋体" w:hAns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）其它支付方式：</w:t>
      </w:r>
      <w:r>
        <w:rPr>
          <w:rFonts w:ascii="宋体" w:hAnsi="宋体" w:cs="宋体"/>
          <w:sz w:val="24"/>
          <w:szCs w:val="24"/>
          <w:u w:val="single"/>
        </w:rPr>
        <w:t xml:space="preserve">             </w:t>
      </w:r>
      <w:r>
        <w:rPr>
          <w:rFonts w:hint="eastAsia" w:ascii="宋体" w:hAnsi="宋体" w:cs="宋体"/>
          <w:sz w:val="24"/>
          <w:szCs w:val="24"/>
        </w:rPr>
        <w:t>。</w:t>
      </w:r>
    </w:p>
    <w:p>
      <w:pPr>
        <w:spacing w:line="460" w:lineRule="exact"/>
        <w:ind w:firstLine="480" w:firstLineChars="200"/>
        <w:rPr>
          <w:rFonts w:ascii="宋体" w:hAnsi="宋体" w:cs="宋体"/>
          <w:sz w:val="24"/>
          <w:szCs w:val="24"/>
        </w:rPr>
      </w:pPr>
      <w:r>
        <w:rPr>
          <w:rFonts w:ascii="宋体" w:hAnsi="宋体" w:cs="宋体"/>
          <w:sz w:val="24"/>
          <w:szCs w:val="24"/>
        </w:rPr>
        <w:t>5.3</w:t>
      </w:r>
      <w:r>
        <w:rPr>
          <w:rFonts w:hint="eastAsia" w:ascii="宋体" w:hAnsi="宋体" w:cs="宋体"/>
          <w:sz w:val="24"/>
          <w:szCs w:val="24"/>
        </w:rPr>
        <w:t>乙方收款账户：</w:t>
      </w:r>
      <w:r>
        <w:rPr>
          <w:rFonts w:ascii="宋体" w:hAnsi="宋体" w:cs="宋体"/>
          <w:sz w:val="24"/>
          <w:szCs w:val="24"/>
          <w:u w:val="single"/>
        </w:rPr>
        <w:t xml:space="preserve">                                     </w:t>
      </w:r>
      <w:r>
        <w:rPr>
          <w:rFonts w:hint="eastAsia" w:ascii="宋体" w:hAnsi="宋体" w:cs="宋体"/>
          <w:sz w:val="24"/>
          <w:szCs w:val="24"/>
        </w:rPr>
        <w:t>；</w:t>
      </w:r>
    </w:p>
    <w:p>
      <w:pPr>
        <w:spacing w:line="460" w:lineRule="exact"/>
        <w:ind w:firstLine="960" w:firstLineChars="400"/>
        <w:rPr>
          <w:rFonts w:ascii="宋体" w:hAnsi="宋体" w:cs="宋体"/>
          <w:sz w:val="24"/>
          <w:szCs w:val="24"/>
        </w:rPr>
      </w:pPr>
      <w:r>
        <w:rPr>
          <w:rFonts w:hint="eastAsia" w:ascii="宋体" w:hAnsi="宋体" w:cs="宋体"/>
          <w:sz w:val="24"/>
          <w:szCs w:val="24"/>
        </w:rPr>
        <w:t>收款账号：</w:t>
      </w:r>
      <w:r>
        <w:rPr>
          <w:rFonts w:ascii="宋体" w:hAnsi="宋体" w:cs="宋体"/>
          <w:sz w:val="24"/>
          <w:szCs w:val="24"/>
          <w:u w:val="single"/>
        </w:rPr>
        <w:t xml:space="preserve">                                    </w:t>
      </w:r>
      <w:r>
        <w:rPr>
          <w:rFonts w:hint="eastAsia" w:ascii="宋体" w:hAnsi="宋体" w:cs="宋体"/>
          <w:sz w:val="24"/>
          <w:szCs w:val="24"/>
        </w:rPr>
        <w:t>；</w:t>
      </w:r>
    </w:p>
    <w:p>
      <w:pPr>
        <w:spacing w:line="460" w:lineRule="exact"/>
        <w:ind w:firstLine="960" w:firstLineChars="400"/>
        <w:rPr>
          <w:rFonts w:ascii="宋体" w:hAnsi="宋体" w:cs="宋体"/>
          <w:sz w:val="24"/>
          <w:szCs w:val="24"/>
        </w:rPr>
      </w:pPr>
      <w:r>
        <w:rPr>
          <w:rFonts w:hint="eastAsia" w:ascii="宋体" w:hAnsi="宋体" w:cs="宋体"/>
          <w:sz w:val="24"/>
          <w:szCs w:val="24"/>
        </w:rPr>
        <w:t>开户行：</w:t>
      </w:r>
      <w:r>
        <w:rPr>
          <w:rFonts w:ascii="宋体" w:hAnsi="宋体" w:cs="宋体"/>
          <w:sz w:val="24"/>
          <w:szCs w:val="24"/>
          <w:u w:val="single"/>
        </w:rPr>
        <w:t xml:space="preserve">                                       </w:t>
      </w:r>
      <w:r>
        <w:rPr>
          <w:rFonts w:hint="eastAsia" w:ascii="宋体" w:hAnsi="宋体" w:cs="宋体"/>
          <w:sz w:val="24"/>
          <w:szCs w:val="24"/>
        </w:rPr>
        <w:t>；</w:t>
      </w:r>
    </w:p>
    <w:p>
      <w:pPr>
        <w:spacing w:line="460" w:lineRule="exact"/>
        <w:ind w:firstLine="480" w:firstLineChars="200"/>
        <w:rPr>
          <w:rFonts w:ascii="宋体" w:hAnsi="宋体" w:cs="宋体"/>
          <w:sz w:val="24"/>
          <w:szCs w:val="24"/>
        </w:rPr>
      </w:pPr>
      <w:r>
        <w:rPr>
          <w:rFonts w:hint="eastAsia" w:ascii="宋体" w:hAnsi="宋体" w:cs="宋体"/>
          <w:sz w:val="24"/>
          <w:szCs w:val="24"/>
        </w:rPr>
        <w:t>乙方在收款前需向甲方提交等额增值税专用发票，增值税专用发票信息：</w:t>
      </w:r>
    </w:p>
    <w:p>
      <w:pPr>
        <w:spacing w:line="360" w:lineRule="auto"/>
        <w:ind w:firstLine="1200" w:firstLineChars="500"/>
        <w:rPr>
          <w:rFonts w:ascii="宋体" w:hAnsi="宋体" w:cs="宋体"/>
          <w:color w:val="000000"/>
          <w:sz w:val="24"/>
        </w:rPr>
      </w:pPr>
      <w:r>
        <w:rPr>
          <w:rFonts w:hint="eastAsia" w:ascii="宋体" w:hAnsi="宋体" w:cs="宋体"/>
          <w:color w:val="000000"/>
          <w:sz w:val="24"/>
        </w:rPr>
        <w:t>名称：</w:t>
      </w:r>
      <w:r>
        <w:rPr>
          <w:rFonts w:hint="eastAsia" w:ascii="宋体" w:hAnsi="宋体" w:cs="宋体"/>
          <w:color w:val="000000"/>
          <w:sz w:val="24"/>
          <w:u w:val="single"/>
        </w:rPr>
        <w:t>广州市净水有限公司</w:t>
      </w:r>
    </w:p>
    <w:p>
      <w:pPr>
        <w:spacing w:line="360" w:lineRule="auto"/>
        <w:ind w:firstLine="1200" w:firstLineChars="500"/>
        <w:rPr>
          <w:rFonts w:ascii="宋体" w:hAnsi="宋体" w:cs="宋体"/>
          <w:color w:val="000000"/>
          <w:sz w:val="24"/>
        </w:rPr>
      </w:pPr>
      <w:r>
        <w:rPr>
          <w:rFonts w:hint="eastAsia" w:ascii="宋体" w:hAnsi="宋体" w:cs="宋体"/>
          <w:color w:val="000000"/>
          <w:sz w:val="24"/>
        </w:rPr>
        <w:t>税号：</w:t>
      </w:r>
      <w:r>
        <w:rPr>
          <w:rFonts w:ascii="宋体" w:hAnsi="宋体" w:cs="宋体"/>
          <w:color w:val="000000"/>
          <w:sz w:val="24"/>
          <w:u w:val="single"/>
        </w:rPr>
        <w:t xml:space="preserve"> 91440101755584729Q </w:t>
      </w:r>
      <w:r>
        <w:rPr>
          <w:rFonts w:ascii="宋体" w:hAnsi="宋体" w:cs="宋体"/>
          <w:color w:val="000000"/>
          <w:sz w:val="24"/>
        </w:rPr>
        <w:t xml:space="preserve"> </w:t>
      </w:r>
      <w:r>
        <w:rPr>
          <w:rFonts w:hint="eastAsia" w:ascii="宋体" w:hAnsi="宋体" w:cs="宋体"/>
          <w:color w:val="000000"/>
          <w:sz w:val="24"/>
        </w:rPr>
        <w:t>；</w:t>
      </w:r>
      <w:r>
        <w:rPr>
          <w:rFonts w:ascii="宋体" w:hAnsi="宋体" w:cs="宋体"/>
          <w:color w:val="000000"/>
          <w:sz w:val="24"/>
        </w:rPr>
        <w:t xml:space="preserve">  </w:t>
      </w:r>
    </w:p>
    <w:p>
      <w:pPr>
        <w:spacing w:line="360" w:lineRule="auto"/>
        <w:ind w:firstLine="1200" w:firstLineChars="500"/>
        <w:rPr>
          <w:rFonts w:ascii="宋体" w:hAnsi="宋体" w:cs="宋体"/>
          <w:color w:val="000000"/>
          <w:sz w:val="24"/>
        </w:rPr>
      </w:pPr>
      <w:r>
        <w:rPr>
          <w:rFonts w:hint="eastAsia" w:ascii="宋体" w:hAnsi="宋体" w:cs="宋体"/>
          <w:color w:val="000000"/>
          <w:sz w:val="24"/>
        </w:rPr>
        <w:t>地址：</w:t>
      </w:r>
      <w:r>
        <w:rPr>
          <w:rFonts w:ascii="宋体" w:hAnsi="宋体" w:cs="宋体"/>
          <w:color w:val="000000"/>
          <w:sz w:val="24"/>
          <w:u w:val="single"/>
        </w:rPr>
        <w:t xml:space="preserve"> </w:t>
      </w:r>
      <w:r>
        <w:rPr>
          <w:rFonts w:hint="eastAsia" w:ascii="宋体" w:hAnsi="宋体" w:cs="宋体"/>
          <w:color w:val="000000"/>
          <w:sz w:val="24"/>
          <w:u w:val="single"/>
        </w:rPr>
        <w:t>广州市天河区临江大道5</w:t>
      </w:r>
      <w:r>
        <w:rPr>
          <w:rFonts w:ascii="宋体" w:hAnsi="宋体" w:cs="宋体"/>
          <w:color w:val="000000"/>
          <w:sz w:val="24"/>
          <w:u w:val="single"/>
        </w:rPr>
        <w:t>01</w:t>
      </w:r>
      <w:r>
        <w:rPr>
          <w:rFonts w:hint="eastAsia" w:ascii="宋体" w:hAnsi="宋体" w:cs="宋体"/>
          <w:color w:val="000000"/>
          <w:sz w:val="24"/>
          <w:u w:val="single"/>
        </w:rPr>
        <w:t>号</w:t>
      </w:r>
      <w:r>
        <w:rPr>
          <w:rFonts w:ascii="宋体" w:hAnsi="宋体" w:cs="宋体"/>
          <w:color w:val="000000"/>
          <w:sz w:val="24"/>
          <w:u w:val="single"/>
        </w:rPr>
        <w:t xml:space="preserve"> </w:t>
      </w:r>
      <w:r>
        <w:rPr>
          <w:rFonts w:hint="eastAsia" w:ascii="宋体" w:hAnsi="宋体" w:cs="宋体"/>
          <w:color w:val="000000"/>
          <w:sz w:val="24"/>
        </w:rPr>
        <w:t>；</w:t>
      </w:r>
    </w:p>
    <w:p>
      <w:pPr>
        <w:spacing w:line="460" w:lineRule="exact"/>
        <w:ind w:firstLine="480" w:firstLineChars="200"/>
        <w:rPr>
          <w:rFonts w:ascii="宋体" w:hAnsi="宋体" w:cs="宋体"/>
          <w:sz w:val="24"/>
          <w:szCs w:val="24"/>
        </w:rPr>
      </w:pPr>
      <w:r>
        <w:rPr>
          <w:rFonts w:ascii="宋体" w:hAnsi="宋体" w:cs="宋体"/>
          <w:sz w:val="24"/>
          <w:szCs w:val="24"/>
        </w:rPr>
        <w:t>5.4</w:t>
      </w:r>
      <w:r>
        <w:rPr>
          <w:rFonts w:hint="eastAsia" w:ascii="宋体" w:hAnsi="宋体" w:cs="宋体"/>
          <w:sz w:val="24"/>
          <w:szCs w:val="24"/>
        </w:rPr>
        <w:t>付款方式：</w:t>
      </w:r>
      <w:r>
        <w:rPr>
          <w:rFonts w:ascii="宋体" w:hAnsi="宋体" w:cs="宋体"/>
          <w:sz w:val="24"/>
          <w:szCs w:val="24"/>
        </w:rPr>
        <w:t xml:space="preserve"> </w:t>
      </w:r>
      <w:r>
        <w:rPr>
          <w:rFonts w:ascii="宋体" w:hAnsi="宋体" w:cs="宋体"/>
          <w:sz w:val="24"/>
          <w:szCs w:val="24"/>
        </w:rPr>
        <w:sym w:font="Wingdings" w:char="00FE"/>
      </w:r>
      <w:r>
        <w:rPr>
          <w:rFonts w:hint="eastAsia" w:ascii="宋体" w:hAnsi="宋体" w:cs="宋体"/>
          <w:sz w:val="24"/>
          <w:szCs w:val="24"/>
        </w:rPr>
        <w:t>网银支付；</w:t>
      </w:r>
      <w:r>
        <w:rPr>
          <w:rFonts w:ascii="宋体" w:hAnsi="宋体" w:cs="宋体"/>
          <w:sz w:val="24"/>
          <w:szCs w:val="24"/>
        </w:rPr>
        <w:t xml:space="preserve">  </w:t>
      </w:r>
      <w:r>
        <w:rPr>
          <w:rFonts w:ascii="宋体" w:hAnsi="宋体" w:cs="宋体"/>
          <w:sz w:val="24"/>
          <w:szCs w:val="24"/>
        </w:rPr>
        <w:sym w:font="Wingdings" w:char="00A8"/>
      </w:r>
      <w:r>
        <w:rPr>
          <w:rFonts w:hint="eastAsia" w:ascii="宋体" w:hAnsi="宋体" w:cs="宋体"/>
          <w:sz w:val="24"/>
          <w:szCs w:val="24"/>
        </w:rPr>
        <w:t>支票；</w:t>
      </w:r>
      <w:r>
        <w:rPr>
          <w:rFonts w:ascii="宋体" w:hAnsi="宋体" w:cs="宋体"/>
          <w:sz w:val="24"/>
          <w:szCs w:val="24"/>
        </w:rPr>
        <w:t xml:space="preserve">   </w:t>
      </w:r>
      <w:r>
        <w:rPr>
          <w:rFonts w:ascii="宋体" w:hAnsi="宋体" w:cs="宋体"/>
          <w:sz w:val="24"/>
          <w:szCs w:val="24"/>
        </w:rPr>
        <w:sym w:font="Wingdings" w:char="00A8"/>
      </w:r>
      <w:r>
        <w:rPr>
          <w:rFonts w:hint="eastAsia" w:ascii="宋体" w:hAnsi="宋体" w:cs="宋体"/>
          <w:sz w:val="24"/>
          <w:szCs w:val="24"/>
        </w:rPr>
        <w:t>其他：</w:t>
      </w:r>
      <w:r>
        <w:rPr>
          <w:rFonts w:ascii="宋体" w:hAnsi="宋体" w:cs="宋体"/>
          <w:sz w:val="24"/>
          <w:szCs w:val="24"/>
        </w:rPr>
        <w:t xml:space="preserve">       </w:t>
      </w:r>
    </w:p>
    <w:p>
      <w:pPr>
        <w:spacing w:line="460" w:lineRule="exact"/>
        <w:ind w:firstLine="720" w:firstLineChars="300"/>
        <w:outlineLvl w:val="1"/>
        <w:rPr>
          <w:rFonts w:hAnsi="宋体" w:cs="宋体"/>
          <w:szCs w:val="24"/>
        </w:rPr>
      </w:pPr>
      <w:r>
        <w:rPr>
          <w:rFonts w:hint="eastAsia" w:ascii="宋体" w:hAnsi="宋体" w:cs="宋体"/>
          <w:sz w:val="24"/>
          <w:szCs w:val="24"/>
        </w:rPr>
        <w:t>（建议采用网银支付、支票两种形式中之一）。</w:t>
      </w:r>
    </w:p>
    <w:bookmarkEnd w:id="105"/>
    <w:bookmarkEnd w:id="106"/>
    <w:p>
      <w:pPr>
        <w:adjustRightInd w:val="0"/>
        <w:snapToGrid w:val="0"/>
        <w:spacing w:line="460" w:lineRule="exact"/>
        <w:ind w:firstLine="482" w:firstLineChars="200"/>
        <w:rPr>
          <w:rFonts w:ascii="宋体" w:hAnsi="宋体" w:cs="宋体"/>
          <w:sz w:val="24"/>
          <w:szCs w:val="24"/>
        </w:rPr>
      </w:pPr>
      <w:bookmarkStart w:id="107" w:name="_Toc107447254"/>
      <w:bookmarkStart w:id="108" w:name="_Toc107446860"/>
      <w:bookmarkStart w:id="109" w:name="_Toc306350465"/>
      <w:bookmarkStart w:id="110" w:name="_Toc5166"/>
      <w:bookmarkStart w:id="111" w:name="_Toc118086592"/>
      <w:bookmarkStart w:id="112" w:name="_Toc183666534"/>
      <w:bookmarkStart w:id="113" w:name="_Toc520190038"/>
      <w:bookmarkStart w:id="114" w:name="_Toc183666529"/>
      <w:bookmarkStart w:id="115" w:name="_Toc474245224"/>
      <w:bookmarkStart w:id="116" w:name="_Toc107446861"/>
      <w:bookmarkStart w:id="117" w:name="_Toc518992998"/>
      <w:bookmarkStart w:id="118" w:name="_Toc107447253"/>
      <w:bookmarkStart w:id="119" w:name="_Toc257"/>
      <w:r>
        <w:rPr>
          <w:rFonts w:hint="eastAsia" w:ascii="宋体" w:hAnsi="宋体" w:cs="宋体"/>
          <w:b/>
          <w:bCs/>
          <w:sz w:val="24"/>
          <w:szCs w:val="24"/>
        </w:rPr>
        <w:t>第六条</w:t>
      </w:r>
      <w:r>
        <w:rPr>
          <w:rFonts w:ascii="宋体" w:hAnsi="宋体" w:cs="宋体"/>
          <w:b/>
          <w:bCs/>
          <w:sz w:val="24"/>
          <w:szCs w:val="24"/>
        </w:rPr>
        <w:t xml:space="preserve"> </w:t>
      </w:r>
      <w:r>
        <w:rPr>
          <w:rFonts w:hint="eastAsia" w:ascii="宋体" w:hAnsi="宋体" w:cs="宋体"/>
          <w:b/>
          <w:bCs/>
          <w:sz w:val="24"/>
          <w:szCs w:val="24"/>
        </w:rPr>
        <w:t>违约责任</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6.1</w:t>
      </w:r>
      <w:r>
        <w:rPr>
          <w:rFonts w:hint="eastAsia" w:ascii="宋体" w:hAnsi="宋体" w:cs="宋体"/>
          <w:sz w:val="24"/>
          <w:szCs w:val="24"/>
        </w:rPr>
        <w:t>单方面取消合同：任意一方未经对方同意单方面取消合同，应按</w:t>
      </w:r>
      <w:r>
        <w:rPr>
          <w:rFonts w:hint="eastAsia" w:ascii="宋体" w:hAnsi="宋体" w:cs="宋体"/>
          <w:sz w:val="24"/>
          <w:szCs w:val="24"/>
          <w:u w:val="single"/>
        </w:rPr>
        <w:t>合同暂定总价的</w:t>
      </w:r>
      <w:r>
        <w:rPr>
          <w:rFonts w:ascii="宋体" w:hAnsi="宋体" w:cs="宋体"/>
          <w:sz w:val="24"/>
          <w:szCs w:val="24"/>
          <w:u w:val="single"/>
        </w:rPr>
        <w:t>30%</w:t>
      </w:r>
      <w:r>
        <w:rPr>
          <w:rFonts w:hint="eastAsia" w:ascii="宋体" w:hAnsi="宋体" w:cs="宋体"/>
          <w:sz w:val="24"/>
          <w:szCs w:val="24"/>
        </w:rPr>
        <w:t>向对方赔偿。</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6.2</w:t>
      </w:r>
      <w:r>
        <w:rPr>
          <w:rFonts w:hint="eastAsia" w:ascii="宋体" w:hAnsi="宋体" w:cs="宋体"/>
          <w:sz w:val="24"/>
          <w:szCs w:val="24"/>
        </w:rPr>
        <w:t>乙方不能按时交货的，每逾期</w:t>
      </w:r>
      <w:r>
        <w:rPr>
          <w:rFonts w:ascii="宋体" w:hAnsi="宋体" w:cs="宋体"/>
          <w:sz w:val="24"/>
          <w:szCs w:val="24"/>
        </w:rPr>
        <w:t>1</w:t>
      </w:r>
      <w:r>
        <w:rPr>
          <w:rFonts w:hint="eastAsia" w:ascii="宋体" w:hAnsi="宋体" w:cs="宋体"/>
          <w:sz w:val="24"/>
          <w:szCs w:val="24"/>
        </w:rPr>
        <w:t>日，按</w:t>
      </w:r>
      <w:r>
        <w:rPr>
          <w:rFonts w:hint="eastAsia" w:ascii="宋体" w:hAnsi="宋体" w:cs="宋体"/>
          <w:sz w:val="24"/>
          <w:szCs w:val="24"/>
          <w:u w:val="single"/>
        </w:rPr>
        <w:t>迟交货物总价的</w:t>
      </w:r>
      <w:r>
        <w:rPr>
          <w:rFonts w:ascii="宋体" w:hAnsi="宋体" w:cs="宋体"/>
          <w:sz w:val="24"/>
          <w:szCs w:val="24"/>
          <w:u w:val="single"/>
        </w:rPr>
        <w:t xml:space="preserve"> 1%支付违约金</w:t>
      </w:r>
      <w:r>
        <w:rPr>
          <w:rFonts w:hint="eastAsia" w:ascii="宋体" w:hAnsi="宋体" w:cs="宋体"/>
          <w:sz w:val="24"/>
          <w:szCs w:val="24"/>
        </w:rPr>
        <w:t>，逾期达到</w:t>
      </w:r>
      <w:r>
        <w:rPr>
          <w:rFonts w:hint="eastAsia" w:ascii="宋体" w:hAnsi="宋体" w:cs="宋体"/>
          <w:sz w:val="24"/>
          <w:szCs w:val="24"/>
          <w:u w:val="single"/>
        </w:rPr>
        <w:t>6</w:t>
      </w:r>
      <w:r>
        <w:rPr>
          <w:rFonts w:ascii="宋体" w:hAnsi="宋体" w:cs="宋体"/>
          <w:sz w:val="24"/>
          <w:szCs w:val="24"/>
          <w:u w:val="single"/>
        </w:rPr>
        <w:t>0</w:t>
      </w:r>
      <w:r>
        <w:rPr>
          <w:rFonts w:hint="eastAsia" w:ascii="宋体" w:hAnsi="宋体" w:cs="宋体"/>
          <w:sz w:val="24"/>
          <w:szCs w:val="24"/>
        </w:rPr>
        <w:t>天及以上的，甲方有权解除合同。</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6.3 </w:t>
      </w:r>
      <w:r>
        <w:rPr>
          <w:rFonts w:hint="eastAsia" w:ascii="宋体" w:hAnsi="宋体" w:cs="宋体"/>
          <w:sz w:val="24"/>
          <w:szCs w:val="24"/>
        </w:rPr>
        <w:t>货物</w:t>
      </w:r>
      <w:r>
        <w:rPr>
          <w:rFonts w:hint="eastAsia" w:ascii="宋体" w:hAnsi="宋体" w:cs="宋体"/>
          <w:sz w:val="24"/>
          <w:szCs w:val="24"/>
          <w:u w:val="single"/>
        </w:rPr>
        <w:t>试运行</w:t>
      </w:r>
      <w:r>
        <w:rPr>
          <w:rFonts w:hint="eastAsia" w:ascii="宋体" w:hAnsi="宋体" w:cs="宋体"/>
          <w:sz w:val="24"/>
          <w:szCs w:val="24"/>
        </w:rPr>
        <w:t>验收不合格或货物在</w:t>
      </w:r>
      <w:r>
        <w:rPr>
          <w:rFonts w:hint="eastAsia" w:ascii="宋体" w:hAnsi="宋体" w:cs="宋体"/>
          <w:sz w:val="24"/>
          <w:szCs w:val="24"/>
          <w:u w:val="single"/>
        </w:rPr>
        <w:t>试运行</w:t>
      </w:r>
      <w:r>
        <w:rPr>
          <w:rFonts w:hint="eastAsia" w:ascii="宋体" w:hAnsi="宋体" w:cs="宋体"/>
          <w:sz w:val="24"/>
          <w:szCs w:val="24"/>
        </w:rPr>
        <w:t>验收后发现乙方所供货物不合格的，甲方有权退货或要求更换。甲方要求退货的，乙方应在收到甲方退货要求的</w:t>
      </w:r>
      <w:r>
        <w:rPr>
          <w:rFonts w:ascii="宋体" w:hAnsi="宋体" w:cs="宋体"/>
          <w:sz w:val="24"/>
          <w:szCs w:val="24"/>
        </w:rPr>
        <w:t>3</w:t>
      </w:r>
      <w:r>
        <w:rPr>
          <w:rFonts w:hint="eastAsia" w:ascii="宋体" w:hAnsi="宋体" w:cs="宋体"/>
          <w:sz w:val="24"/>
          <w:szCs w:val="24"/>
        </w:rPr>
        <w:t>日内退还甲方已支付的货款（含预付款）并按退货总价的双倍金额向甲方支付违约金，同时甲方有权解除合同；甲方要求更换的，乙方应在</w:t>
      </w:r>
      <w:r>
        <w:rPr>
          <w:rFonts w:ascii="宋体" w:hAnsi="宋体" w:cs="宋体"/>
          <w:sz w:val="24"/>
          <w:szCs w:val="24"/>
        </w:rPr>
        <w:t>3</w:t>
      </w:r>
      <w:r>
        <w:rPr>
          <w:rFonts w:hint="eastAsia" w:ascii="宋体" w:hAnsi="宋体" w:cs="宋体"/>
          <w:sz w:val="24"/>
          <w:szCs w:val="24"/>
        </w:rPr>
        <w:t>日内重新交货并按</w:t>
      </w:r>
      <w:r>
        <w:rPr>
          <w:rFonts w:hint="eastAsia" w:ascii="宋体" w:hAnsi="宋体" w:cs="宋体"/>
          <w:sz w:val="24"/>
          <w:szCs w:val="24"/>
          <w:u w:val="single"/>
        </w:rPr>
        <w:t>更换货物总价的</w:t>
      </w:r>
      <w:r>
        <w:rPr>
          <w:rFonts w:ascii="宋体" w:hAnsi="宋体" w:cs="宋体"/>
          <w:sz w:val="24"/>
          <w:szCs w:val="24"/>
          <w:u w:val="single"/>
        </w:rPr>
        <w:t>10%</w:t>
      </w:r>
      <w:r>
        <w:rPr>
          <w:rFonts w:hint="eastAsia" w:ascii="宋体" w:hAnsi="宋体" w:cs="宋体"/>
          <w:sz w:val="24"/>
          <w:szCs w:val="24"/>
        </w:rPr>
        <w:t>支付违约金，乙方承担由此产生的一切损失和费用。</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6.4 </w:t>
      </w:r>
      <w:r>
        <w:rPr>
          <w:rFonts w:hint="eastAsia" w:ascii="宋体" w:hAnsi="宋体" w:cs="宋体"/>
          <w:sz w:val="24"/>
          <w:szCs w:val="24"/>
        </w:rPr>
        <w:t>乙方不履行合同义务、或履行合同义务不符合合同约定、或违反国家、省、市行业标准的，甲方有权要求乙方限期整改。乙方逾期未完成整改的，每项每超过</w:t>
      </w:r>
      <w:r>
        <w:rPr>
          <w:rFonts w:ascii="宋体" w:hAnsi="宋体" w:cs="宋体"/>
          <w:sz w:val="24"/>
          <w:szCs w:val="24"/>
        </w:rPr>
        <w:t>1日支付违约金人民币1万元，超过</w:t>
      </w:r>
      <w:r>
        <w:rPr>
          <w:rFonts w:ascii="宋体" w:hAnsi="宋体" w:cs="宋体"/>
          <w:sz w:val="24"/>
          <w:szCs w:val="24"/>
          <w:u w:val="single"/>
        </w:rPr>
        <w:t>_</w:t>
      </w:r>
      <w:r>
        <w:rPr>
          <w:rFonts w:hint="eastAsia" w:ascii="宋体" w:hAnsi="宋体" w:cs="宋体"/>
          <w:sz w:val="24"/>
          <w:szCs w:val="24"/>
          <w:u w:val="single"/>
        </w:rPr>
        <w:t>15</w:t>
      </w:r>
      <w:r>
        <w:rPr>
          <w:rFonts w:ascii="宋体" w:hAnsi="宋体" w:cs="宋体"/>
          <w:sz w:val="24"/>
          <w:szCs w:val="24"/>
          <w:u w:val="single"/>
        </w:rPr>
        <w:t xml:space="preserve"> </w:t>
      </w:r>
      <w:r>
        <w:rPr>
          <w:rFonts w:hint="eastAsia" w:ascii="宋体" w:hAnsi="宋体" w:cs="宋体"/>
          <w:sz w:val="24"/>
          <w:szCs w:val="24"/>
        </w:rPr>
        <w:t>日，甲方有权解除合同并要求乙方支付</w:t>
      </w:r>
      <w:r>
        <w:rPr>
          <w:rFonts w:hint="eastAsia" w:ascii="宋体" w:hAnsi="宋体" w:cs="宋体"/>
          <w:sz w:val="24"/>
          <w:szCs w:val="24"/>
          <w:u w:val="single"/>
        </w:rPr>
        <w:t>合同暂定总价的</w:t>
      </w:r>
      <w:r>
        <w:rPr>
          <w:rFonts w:ascii="宋体" w:hAnsi="宋体" w:cs="宋体"/>
          <w:sz w:val="24"/>
          <w:szCs w:val="24"/>
          <w:u w:val="single"/>
        </w:rPr>
        <w:t>20%</w:t>
      </w:r>
      <w:r>
        <w:rPr>
          <w:rFonts w:ascii="宋体" w:hAnsi="宋体" w:cs="宋体"/>
          <w:sz w:val="24"/>
          <w:szCs w:val="24"/>
        </w:rPr>
        <w:t>作为违约金</w:t>
      </w:r>
      <w:r>
        <w:rPr>
          <w:rFonts w:hint="eastAsia" w:ascii="宋体" w:hAnsi="宋体" w:cs="宋体"/>
          <w:sz w:val="24"/>
          <w:szCs w:val="24"/>
        </w:rPr>
        <w:t>（</w:t>
      </w:r>
      <w:r>
        <w:rPr>
          <w:rFonts w:hint="eastAsia" w:cs="宋体"/>
          <w:sz w:val="24"/>
        </w:rPr>
        <w:t>如合同另行约定违约责任，从其约定</w:t>
      </w:r>
      <w:r>
        <w:rPr>
          <w:rFonts w:hint="eastAsia" w:ascii="宋体" w:hAnsi="宋体" w:cs="宋体"/>
          <w:sz w:val="24"/>
          <w:szCs w:val="24"/>
        </w:rPr>
        <w:t>）</w:t>
      </w:r>
      <w:r>
        <w:rPr>
          <w:rFonts w:ascii="宋体" w:hAnsi="宋体" w:cs="宋体"/>
          <w:sz w:val="24"/>
          <w:szCs w:val="24"/>
        </w:rPr>
        <w:t>。</w:t>
      </w:r>
    </w:p>
    <w:p>
      <w:pPr>
        <w:topLinePunct/>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6.5</w:t>
      </w:r>
      <w:r>
        <w:rPr>
          <w:rFonts w:hint="eastAsia" w:ascii="宋体" w:hAnsi="宋体" w:eastAsia="宋体" w:cs="宋体"/>
          <w:bCs/>
          <w:sz w:val="24"/>
        </w:rPr>
        <w:t>在合同有效期内，若乙方发生不诚信行为情形的，乙方自愿接受甲方按《广州市净水有限公司经营建设项目参建企业不诚信行为管理办法》处理。</w:t>
      </w:r>
      <w:r>
        <w:rPr>
          <w:rFonts w:hint="eastAsia" w:ascii="宋体" w:hAnsi="宋体" w:cs="宋体"/>
          <w:bCs/>
          <w:sz w:val="24"/>
        </w:rPr>
        <w:t>具体处理标准详见附件3。</w:t>
      </w:r>
    </w:p>
    <w:p>
      <w:pPr>
        <w:adjustRightInd w:val="0"/>
        <w:snapToGrid w:val="0"/>
        <w:spacing w:line="460" w:lineRule="exact"/>
        <w:ind w:firstLine="482" w:firstLineChars="200"/>
        <w:rPr>
          <w:rFonts w:ascii="宋体" w:hAnsi="宋体" w:cs="宋体"/>
          <w:b/>
          <w:bCs/>
          <w:sz w:val="24"/>
          <w:szCs w:val="24"/>
        </w:rPr>
      </w:pPr>
      <w:r>
        <w:rPr>
          <w:rFonts w:hint="eastAsia" w:ascii="宋体" w:hAnsi="宋体" w:cs="宋体"/>
          <w:b/>
          <w:bCs/>
          <w:sz w:val="24"/>
          <w:szCs w:val="24"/>
        </w:rPr>
        <w:t>第七条</w:t>
      </w:r>
      <w:r>
        <w:rPr>
          <w:rFonts w:ascii="宋体" w:hAnsi="宋体" w:cs="宋体"/>
          <w:b/>
          <w:bCs/>
          <w:sz w:val="24"/>
          <w:szCs w:val="24"/>
        </w:rPr>
        <w:t xml:space="preserve"> </w:t>
      </w:r>
      <w:r>
        <w:rPr>
          <w:rFonts w:hint="eastAsia" w:ascii="宋体" w:hAnsi="宋体" w:cs="宋体"/>
          <w:b/>
          <w:bCs/>
          <w:sz w:val="24"/>
          <w:szCs w:val="24"/>
        </w:rPr>
        <w:t>不可抗力</w:t>
      </w:r>
    </w:p>
    <w:p>
      <w:pPr>
        <w:numPr>
          <w:ilvl w:val="255"/>
          <w:numId w:val="0"/>
        </w:num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7.1 </w:t>
      </w:r>
      <w:r>
        <w:rPr>
          <w:rFonts w:hint="eastAsia" w:ascii="宋体" w:hAnsi="宋体" w:cs="宋体"/>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1）地震、火山爆发、滑坡、暴雨（橙色预警及以上）、台风（黄色预警及以上）、海啸、龙卷风、大面积流行病(如：非典型性肺炎等)或瘟疫；</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2）战争行为、入侵、武装冲突或外敌行为、封锁、暴乱、恐怖行为或军事演习；</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7.2 </w:t>
      </w:r>
      <w:r>
        <w:rPr>
          <w:rFonts w:hint="eastAsia" w:ascii="宋体" w:hAnsi="宋体" w:cs="宋体"/>
          <w:sz w:val="24"/>
          <w:szCs w:val="24"/>
        </w:rPr>
        <w:t>声称受到不可抗力影响的一方，应在发生不可抗力或知道发生不可抗力之后</w:t>
      </w:r>
      <w:r>
        <w:rPr>
          <w:rFonts w:ascii="宋体" w:hAnsi="宋体" w:cs="宋体"/>
          <w:sz w:val="24"/>
          <w:szCs w:val="24"/>
        </w:rPr>
        <w:t>5日内书面通知另一方，详细描述不可抗力的发生情况和对该方履行在本合同项下义务的影响，同时附上此种不可抗力事件及其持续时间的有效证明文件。</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7.3 </w:t>
      </w:r>
      <w:r>
        <w:rPr>
          <w:rFonts w:hint="eastAsia" w:ascii="宋体" w:hAnsi="宋体" w:cs="宋体"/>
          <w:sz w:val="24"/>
          <w:szCs w:val="24"/>
        </w:rPr>
        <w:t>因不可抗力导致合同无法履行的时间自该不可抗力发生日起连续超过玖拾</w:t>
      </w:r>
      <w:r>
        <w:rPr>
          <w:rFonts w:ascii="宋体" w:hAnsi="宋体" w:cs="宋体"/>
          <w:sz w:val="24"/>
          <w:szCs w:val="24"/>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7.4 </w:t>
      </w:r>
      <w:r>
        <w:rPr>
          <w:rFonts w:hint="eastAsia" w:ascii="宋体" w:hAnsi="宋体" w:cs="宋体"/>
          <w:sz w:val="24"/>
          <w:szCs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sz w:val="24"/>
          <w:szCs w:val="24"/>
        </w:rPr>
      </w:pPr>
      <w:r>
        <w:rPr>
          <w:rFonts w:hint="eastAsia" w:ascii="宋体" w:hAnsi="宋体" w:cs="宋体"/>
          <w:b/>
          <w:bCs/>
          <w:sz w:val="24"/>
          <w:szCs w:val="24"/>
        </w:rPr>
        <w:t>第八条</w:t>
      </w:r>
      <w:r>
        <w:rPr>
          <w:rFonts w:ascii="宋体" w:hAnsi="宋体" w:cs="宋体"/>
          <w:b/>
          <w:bCs/>
          <w:sz w:val="24"/>
          <w:szCs w:val="24"/>
        </w:rPr>
        <w:t xml:space="preserve"> </w:t>
      </w:r>
      <w:r>
        <w:rPr>
          <w:rFonts w:hint="eastAsia" w:ascii="宋体" w:hAnsi="宋体" w:cs="宋体"/>
          <w:b/>
          <w:bCs/>
          <w:sz w:val="24"/>
          <w:szCs w:val="24"/>
        </w:rPr>
        <w:t>争议解决</w:t>
      </w:r>
    </w:p>
    <w:p>
      <w:pPr>
        <w:spacing w:line="460" w:lineRule="exact"/>
        <w:ind w:firstLine="720" w:firstLineChars="300"/>
        <w:rPr>
          <w:rFonts w:ascii="宋体" w:hAnsi="宋体" w:cs="宋体"/>
          <w:sz w:val="24"/>
          <w:szCs w:val="24"/>
        </w:rPr>
      </w:pPr>
      <w:r>
        <w:rPr>
          <w:rFonts w:ascii="宋体" w:hAnsi="宋体" w:cs="宋体"/>
          <w:bCs/>
          <w:sz w:val="24"/>
          <w:szCs w:val="24"/>
        </w:rPr>
        <w:t>8.1</w:t>
      </w:r>
      <w:r>
        <w:rPr>
          <w:rFonts w:hint="eastAsia" w:ascii="宋体" w:hAnsi="宋体" w:cs="宋体"/>
          <w:bCs/>
          <w:sz w:val="24"/>
          <w:szCs w:val="24"/>
        </w:rPr>
        <w:t>因本合同引起的或与本合同有关的任何争议，甲乙双方应友好协商解决，如协商不成，任何一方可依法向甲方所在地</w:t>
      </w:r>
      <w:r>
        <w:rPr>
          <w:rFonts w:hint="eastAsia" w:ascii="宋体" w:hAnsi="宋体" w:cs="宋体"/>
          <w:bCs/>
          <w:sz w:val="24"/>
          <w:szCs w:val="24"/>
          <w:u w:val="single"/>
        </w:rPr>
        <w:t>人民法院</w:t>
      </w:r>
      <w:r>
        <w:rPr>
          <w:rFonts w:hint="eastAsia" w:ascii="宋体" w:hAnsi="宋体" w:cs="宋体"/>
          <w:bCs/>
          <w:sz w:val="24"/>
          <w:szCs w:val="24"/>
        </w:rPr>
        <w:t>提起诉讼</w:t>
      </w:r>
      <w:r>
        <w:rPr>
          <w:rFonts w:hint="eastAsia" w:ascii="宋体" w:hAnsi="宋体" w:cs="宋体"/>
          <w:sz w:val="24"/>
          <w:szCs w:val="24"/>
        </w:rPr>
        <w:t>。</w:t>
      </w:r>
    </w:p>
    <w:p>
      <w:pPr>
        <w:spacing w:line="460" w:lineRule="exact"/>
        <w:ind w:firstLine="720" w:firstLineChars="300"/>
        <w:rPr>
          <w:rFonts w:ascii="宋体" w:hAnsi="宋体" w:cs="宋体"/>
          <w:sz w:val="24"/>
          <w:szCs w:val="24"/>
        </w:rPr>
      </w:pPr>
      <w:r>
        <w:rPr>
          <w:rFonts w:ascii="宋体" w:hAnsi="宋体" w:cs="宋体"/>
          <w:sz w:val="24"/>
          <w:szCs w:val="24"/>
        </w:rPr>
        <w:t>8.2</w:t>
      </w:r>
      <w:r>
        <w:rPr>
          <w:rFonts w:hint="eastAsia" w:ascii="宋体" w:hAnsi="宋体" w:cs="宋体"/>
          <w:sz w:val="24"/>
          <w:szCs w:val="24"/>
        </w:rPr>
        <w:t>在甲方同意的情况下，除有争端之外的合同其它部分在争端解决前应继续执行。</w:t>
      </w:r>
    </w:p>
    <w:p>
      <w:pPr>
        <w:numPr>
          <w:ilvl w:val="255"/>
          <w:numId w:val="0"/>
        </w:numPr>
        <w:spacing w:line="460" w:lineRule="exact"/>
        <w:ind w:firstLine="482" w:firstLineChars="200"/>
        <w:rPr>
          <w:rFonts w:ascii="宋体" w:hAnsi="宋体" w:cs="宋体"/>
          <w:sz w:val="24"/>
          <w:szCs w:val="24"/>
        </w:rPr>
      </w:pPr>
      <w:r>
        <w:rPr>
          <w:rFonts w:hint="eastAsia" w:ascii="宋体" w:hAnsi="宋体" w:cs="宋体"/>
          <w:b/>
          <w:bCs/>
          <w:sz w:val="24"/>
          <w:szCs w:val="24"/>
        </w:rPr>
        <w:t>第九条</w:t>
      </w:r>
      <w:r>
        <w:rPr>
          <w:rFonts w:ascii="宋体" w:hAnsi="宋体" w:cs="宋体"/>
          <w:b/>
          <w:bCs/>
          <w:sz w:val="24"/>
          <w:szCs w:val="24"/>
        </w:rPr>
        <w:t xml:space="preserve"> </w:t>
      </w:r>
      <w:r>
        <w:rPr>
          <w:rFonts w:hint="eastAsia" w:ascii="宋体" w:hAnsi="宋体" w:cs="宋体"/>
          <w:b/>
          <w:bCs/>
          <w:sz w:val="24"/>
          <w:szCs w:val="24"/>
        </w:rPr>
        <w:t>其他</w:t>
      </w:r>
    </w:p>
    <w:p>
      <w:pPr>
        <w:spacing w:line="460" w:lineRule="exact"/>
        <w:ind w:firstLine="638" w:firstLineChars="266"/>
        <w:rPr>
          <w:rFonts w:ascii="宋体" w:hAnsi="宋体" w:cs="宋体"/>
          <w:b/>
          <w:sz w:val="24"/>
          <w:szCs w:val="24"/>
        </w:rPr>
      </w:pPr>
      <w:r>
        <w:rPr>
          <w:rFonts w:ascii="宋体" w:hAnsi="宋体" w:cs="宋体"/>
          <w:sz w:val="24"/>
          <w:szCs w:val="24"/>
        </w:rPr>
        <w:t>9.1</w:t>
      </w:r>
      <w:r>
        <w:rPr>
          <w:rFonts w:hint="eastAsia" w:ascii="宋体" w:hAnsi="宋体" w:cs="宋体"/>
          <w:sz w:val="24"/>
          <w:szCs w:val="24"/>
        </w:rPr>
        <w:t>本协议未尽事宜，可由甲乙双方另行签订补充协议。补充协议与本合同具有同等法律效力。</w:t>
      </w:r>
    </w:p>
    <w:p>
      <w:pPr>
        <w:spacing w:line="460" w:lineRule="exact"/>
        <w:ind w:firstLine="638" w:firstLineChars="266"/>
        <w:rPr>
          <w:rFonts w:ascii="宋体" w:hAnsi="宋体" w:cs="宋体"/>
          <w:sz w:val="24"/>
          <w:szCs w:val="24"/>
        </w:rPr>
      </w:pPr>
      <w:r>
        <w:rPr>
          <w:rFonts w:ascii="宋体" w:hAnsi="宋体" w:cs="宋体"/>
          <w:sz w:val="24"/>
          <w:szCs w:val="24"/>
        </w:rPr>
        <w:t>9.2</w:t>
      </w:r>
      <w:r>
        <w:rPr>
          <w:rFonts w:hint="eastAsia" w:ascii="宋体" w:hAnsi="宋体" w:cs="宋体"/>
          <w:sz w:val="24"/>
          <w:szCs w:val="24"/>
        </w:rPr>
        <w:t>本合同自甲乙双方法定代表人或授权代理人签字并加盖公章之日起生效。</w:t>
      </w:r>
    </w:p>
    <w:p>
      <w:pPr>
        <w:spacing w:line="460" w:lineRule="exact"/>
        <w:ind w:firstLine="638" w:firstLineChars="266"/>
        <w:rPr>
          <w:rFonts w:ascii="宋体" w:hAnsi="宋体" w:cs="宋体"/>
          <w:sz w:val="24"/>
          <w:szCs w:val="24"/>
        </w:rPr>
      </w:pPr>
      <w:r>
        <w:rPr>
          <w:rFonts w:ascii="宋体" w:hAnsi="宋体" w:cs="宋体"/>
          <w:sz w:val="24"/>
          <w:szCs w:val="24"/>
        </w:rPr>
        <w:t>9.3</w:t>
      </w:r>
      <w:r>
        <w:rPr>
          <w:rFonts w:hint="eastAsia" w:ascii="宋体" w:hAnsi="宋体" w:cs="宋体"/>
          <w:sz w:val="24"/>
          <w:szCs w:val="24"/>
        </w:rPr>
        <w:t>本合同一式</w:t>
      </w:r>
      <w:r>
        <w:rPr>
          <w:rFonts w:ascii="宋体" w:hAnsi="宋体" w:cs="宋体"/>
          <w:sz w:val="24"/>
          <w:u w:val="single"/>
        </w:rPr>
        <w:t xml:space="preserve"> </w:t>
      </w:r>
      <w:r>
        <w:rPr>
          <w:rFonts w:hint="eastAsia" w:ascii="宋体" w:hAnsi="宋体" w:cs="宋体"/>
          <w:sz w:val="24"/>
          <w:u w:val="single"/>
        </w:rPr>
        <w:t xml:space="preserve">陆 </w:t>
      </w:r>
      <w:r>
        <w:rPr>
          <w:rFonts w:hint="eastAsia" w:ascii="宋体" w:hAnsi="宋体" w:cs="宋体"/>
          <w:sz w:val="24"/>
        </w:rPr>
        <w:t>份，甲方执</w:t>
      </w:r>
      <w:r>
        <w:rPr>
          <w:rFonts w:ascii="宋体" w:hAnsi="宋体" w:cs="宋体"/>
          <w:sz w:val="24"/>
          <w:u w:val="single"/>
        </w:rPr>
        <w:t xml:space="preserve">  </w:t>
      </w:r>
      <w:r>
        <w:rPr>
          <w:rFonts w:hint="eastAsia" w:ascii="宋体" w:hAnsi="宋体" w:cs="宋体"/>
          <w:sz w:val="24"/>
          <w:u w:val="single"/>
        </w:rPr>
        <w:t>肆</w:t>
      </w:r>
      <w:r>
        <w:rPr>
          <w:rFonts w:ascii="宋体" w:hAnsi="宋体" w:cs="宋体"/>
          <w:sz w:val="24"/>
          <w:u w:val="single"/>
        </w:rPr>
        <w:t xml:space="preserve"> </w:t>
      </w:r>
      <w:r>
        <w:rPr>
          <w:rFonts w:hint="eastAsia" w:ascii="宋体" w:hAnsi="宋体" w:cs="宋体"/>
          <w:sz w:val="24"/>
        </w:rPr>
        <w:t>份，乙方执</w:t>
      </w:r>
      <w:r>
        <w:rPr>
          <w:rFonts w:ascii="宋体" w:hAnsi="宋体" w:cs="宋体"/>
          <w:sz w:val="24"/>
          <w:u w:val="single"/>
        </w:rPr>
        <w:t xml:space="preserve"> </w:t>
      </w:r>
      <w:r>
        <w:rPr>
          <w:rFonts w:hint="eastAsia" w:ascii="宋体" w:hAnsi="宋体" w:cs="宋体"/>
          <w:sz w:val="24"/>
          <w:u w:val="single"/>
        </w:rPr>
        <w:t>贰</w:t>
      </w:r>
      <w:r>
        <w:rPr>
          <w:rFonts w:ascii="宋体" w:hAnsi="宋体" w:cs="宋体"/>
          <w:sz w:val="24"/>
          <w:u w:val="single"/>
        </w:rPr>
        <w:t xml:space="preserve"> </w:t>
      </w:r>
      <w:r>
        <w:rPr>
          <w:rFonts w:hint="eastAsia" w:ascii="宋体" w:hAnsi="宋体" w:cs="宋体"/>
          <w:sz w:val="24"/>
        </w:rPr>
        <w:t>份</w:t>
      </w:r>
      <w:r>
        <w:rPr>
          <w:rFonts w:hint="eastAsia" w:ascii="宋体" w:hAnsi="宋体" w:cs="宋体"/>
          <w:sz w:val="24"/>
          <w:szCs w:val="24"/>
        </w:rPr>
        <w:t>。均具有同等法律效力。</w:t>
      </w:r>
    </w:p>
    <w:p>
      <w:pPr>
        <w:adjustRightInd w:val="0"/>
        <w:snapToGrid w:val="0"/>
        <w:spacing w:line="460" w:lineRule="exact"/>
        <w:ind w:right="521" w:rightChars="248" w:firstLine="720" w:firstLineChars="300"/>
        <w:rPr>
          <w:rFonts w:ascii="宋体" w:hAnsi="宋体" w:cs="宋体"/>
          <w:sz w:val="24"/>
          <w:szCs w:val="24"/>
        </w:rPr>
      </w:pPr>
      <w:r>
        <w:rPr>
          <w:rFonts w:ascii="宋体" w:hAnsi="宋体" w:cs="宋体"/>
          <w:sz w:val="24"/>
          <w:szCs w:val="24"/>
        </w:rPr>
        <w:t>9.4</w:t>
      </w:r>
      <w:r>
        <w:rPr>
          <w:rFonts w:hint="eastAsia" w:ascii="宋体" w:hAnsi="宋体" w:cs="宋体"/>
          <w:sz w:val="24"/>
          <w:szCs w:val="24"/>
        </w:rPr>
        <w:t>补充条款：</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rPr>
        <w:t xml:space="preserve">    </w:t>
      </w:r>
    </w:p>
    <w:bookmarkEnd w:id="107"/>
    <w:bookmarkEnd w:id="108"/>
    <w:bookmarkEnd w:id="109"/>
    <w:bookmarkEnd w:id="110"/>
    <w:bookmarkEnd w:id="111"/>
    <w:bookmarkEnd w:id="112"/>
    <w:bookmarkEnd w:id="113"/>
    <w:bookmarkEnd w:id="114"/>
    <w:bookmarkEnd w:id="115"/>
    <w:bookmarkEnd w:id="116"/>
    <w:bookmarkEnd w:id="117"/>
    <w:bookmarkEnd w:id="118"/>
    <w:bookmarkEnd w:id="119"/>
    <w:p>
      <w:pPr>
        <w:spacing w:line="460" w:lineRule="exact"/>
        <w:ind w:firstLine="480"/>
        <w:rPr>
          <w:rFonts w:ascii="宋体" w:hAnsi="宋体" w:cs="宋体"/>
          <w:sz w:val="24"/>
          <w:szCs w:val="24"/>
        </w:rPr>
      </w:pPr>
      <w:r>
        <w:rPr>
          <w:rFonts w:hint="eastAsia" w:ascii="宋体" w:hAnsi="宋体" w:cs="宋体"/>
          <w:sz w:val="24"/>
          <w:szCs w:val="24"/>
        </w:rPr>
        <w:t>附件：</w:t>
      </w:r>
      <w:r>
        <w:rPr>
          <w:rFonts w:ascii="宋体" w:hAnsi="宋体" w:cs="宋体"/>
          <w:sz w:val="24"/>
          <w:szCs w:val="24"/>
        </w:rPr>
        <w:t>1</w:t>
      </w:r>
      <w:r>
        <w:rPr>
          <w:rFonts w:hint="eastAsia" w:ascii="宋体" w:hAnsi="宋体" w:cs="宋体"/>
          <w:sz w:val="24"/>
          <w:szCs w:val="24"/>
        </w:rPr>
        <w:t>.  发包通知书</w:t>
      </w:r>
      <w:r>
        <w:rPr>
          <w:rFonts w:ascii="宋体" w:hAnsi="宋体" w:cs="宋体"/>
          <w:sz w:val="24"/>
          <w:szCs w:val="24"/>
        </w:rPr>
        <w:t>/</w:t>
      </w:r>
      <w:r>
        <w:rPr>
          <w:rFonts w:hint="eastAsia" w:ascii="宋体" w:hAnsi="宋体" w:cs="宋体"/>
          <w:sz w:val="24"/>
          <w:szCs w:val="24"/>
        </w:rPr>
        <w:t>成交通知书/委托函（如有）</w:t>
      </w:r>
    </w:p>
    <w:p>
      <w:pPr>
        <w:numPr>
          <w:ilvl w:val="0"/>
          <w:numId w:val="6"/>
        </w:numPr>
        <w:spacing w:line="460" w:lineRule="exact"/>
        <w:rPr>
          <w:rFonts w:ascii="宋体" w:hAnsi="宋体" w:cs="宋体"/>
          <w:sz w:val="24"/>
          <w:szCs w:val="24"/>
        </w:rPr>
      </w:pPr>
      <w:r>
        <w:rPr>
          <w:rFonts w:hint="eastAsia" w:ascii="宋体" w:hAnsi="宋体" w:cs="宋体"/>
          <w:sz w:val="24"/>
          <w:szCs w:val="24"/>
        </w:rPr>
        <w:t>廉洁协议</w:t>
      </w:r>
    </w:p>
    <w:p>
      <w:pPr>
        <w:numPr>
          <w:ilvl w:val="0"/>
          <w:numId w:val="6"/>
        </w:numPr>
        <w:spacing w:line="460" w:lineRule="exact"/>
        <w:rPr>
          <w:rFonts w:ascii="宋体" w:hAnsi="宋体" w:cs="宋体"/>
          <w:sz w:val="24"/>
          <w:szCs w:val="24"/>
        </w:rPr>
      </w:pPr>
      <w:r>
        <w:rPr>
          <w:rFonts w:hint="eastAsia" w:ascii="宋体" w:hAnsi="宋体" w:eastAsia="宋体" w:cs="宋体"/>
          <w:sz w:val="24"/>
          <w:szCs w:val="24"/>
        </w:rPr>
        <w:t>不诚信行为的情形及相应被暂停参与投标活动的处理标准</w:t>
      </w:r>
    </w:p>
    <w:p>
      <w:pPr>
        <w:spacing w:line="360" w:lineRule="auto"/>
        <w:ind w:firstLine="1200" w:firstLineChars="500"/>
        <w:rPr>
          <w:rFonts w:ascii="宋体" w:hAnsi="宋体" w:cs="宋体"/>
          <w:sz w:val="24"/>
        </w:rPr>
      </w:pPr>
      <w:r>
        <w:rPr>
          <w:rFonts w:hint="eastAsia" w:ascii="宋体" w:hAnsi="宋体" w:cs="宋体"/>
          <w:sz w:val="24"/>
        </w:rPr>
        <w:t>4.</w:t>
      </w:r>
      <w:r>
        <w:rPr>
          <w:rFonts w:hint="eastAsia" w:ascii="宋体" w:hAnsi="宋体" w:cs="宋体"/>
          <w:sz w:val="24"/>
        </w:rPr>
        <w:tab/>
      </w:r>
      <w:r>
        <w:rPr>
          <w:rFonts w:hint="eastAsia" w:ascii="宋体" w:hAnsi="宋体" w:cs="宋体"/>
          <w:sz w:val="24"/>
        </w:rPr>
        <w:t>防疫管理协议书</w:t>
      </w:r>
    </w:p>
    <w:p>
      <w:pPr>
        <w:spacing w:line="360" w:lineRule="auto"/>
        <w:ind w:firstLine="1200" w:firstLineChars="500"/>
        <w:rPr>
          <w:rFonts w:ascii="宋体" w:hAnsi="宋体" w:cs="宋体"/>
          <w:sz w:val="24"/>
        </w:rPr>
      </w:pPr>
      <w:r>
        <w:rPr>
          <w:rFonts w:hint="eastAsia" w:ascii="宋体" w:hAnsi="宋体" w:cs="宋体"/>
          <w:sz w:val="24"/>
        </w:rPr>
        <w:t>5.</w:t>
      </w:r>
      <w:r>
        <w:rPr>
          <w:rFonts w:hint="eastAsia" w:ascii="宋体" w:hAnsi="宋体" w:cs="宋体"/>
          <w:sz w:val="24"/>
        </w:rPr>
        <w:tab/>
      </w:r>
      <w:r>
        <w:rPr>
          <w:rFonts w:hint="eastAsia" w:ascii="宋体" w:hAnsi="宋体" w:cs="宋体"/>
          <w:sz w:val="24"/>
        </w:rPr>
        <w:t>物品采购安全协议书</w:t>
      </w:r>
    </w:p>
    <w:p>
      <w:pPr>
        <w:spacing w:line="360" w:lineRule="auto"/>
        <w:ind w:firstLine="1200" w:firstLineChars="500"/>
        <w:rPr>
          <w:rFonts w:ascii="宋体" w:hAnsi="宋体" w:cs="宋体"/>
          <w:sz w:val="24"/>
        </w:rPr>
      </w:pPr>
      <w:r>
        <w:rPr>
          <w:rFonts w:ascii="宋体" w:hAnsi="宋体" w:cs="宋体"/>
          <w:sz w:val="24"/>
        </w:rPr>
        <w:t>6</w:t>
      </w:r>
      <w:r>
        <w:rPr>
          <w:rFonts w:hint="eastAsia" w:ascii="宋体" w:hAnsi="宋体" w:cs="宋体"/>
          <w:sz w:val="24"/>
        </w:rPr>
        <w:t>.  采购需求及报价清单表</w:t>
      </w:r>
    </w:p>
    <w:tbl>
      <w:tblPr>
        <w:tblStyle w:val="22"/>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b/>
                <w:sz w:val="24"/>
                <w:szCs w:val="24"/>
              </w:rPr>
              <w:t>甲方</w:t>
            </w:r>
            <w:r>
              <w:rPr>
                <w:rFonts w:hint="eastAsia" w:ascii="宋体" w:hAnsi="宋体" w:cs="宋体"/>
                <w:sz w:val="24"/>
                <w:szCs w:val="24"/>
              </w:rPr>
              <w:t>：广州市净水有限公司（盖章）</w:t>
            </w:r>
          </w:p>
          <w:p>
            <w:pPr>
              <w:adjustRightInd w:val="0"/>
              <w:snapToGrid w:val="0"/>
              <w:spacing w:line="460" w:lineRule="exact"/>
              <w:rPr>
                <w:rFonts w:ascii="宋体" w:hAnsi="宋体" w:cs="宋体"/>
                <w:sz w:val="24"/>
                <w:szCs w:val="24"/>
              </w:rPr>
            </w:pPr>
          </w:p>
        </w:tc>
        <w:tc>
          <w:tcPr>
            <w:tcW w:w="4696"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b/>
                <w:sz w:val="24"/>
                <w:szCs w:val="24"/>
              </w:rPr>
              <w:t>乙方</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（盖章）</w:t>
            </w:r>
          </w:p>
          <w:p>
            <w:pPr>
              <w:adjustRightInd w:val="0"/>
              <w:snapToGrid w:val="0"/>
              <w:spacing w:line="460" w:lineRule="exact"/>
              <w:ind w:firstLine="240" w:firstLineChars="1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经办人：</w:t>
            </w:r>
          </w:p>
        </w:tc>
        <w:tc>
          <w:tcPr>
            <w:tcW w:w="4696"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电话：</w:t>
            </w:r>
          </w:p>
        </w:tc>
        <w:tc>
          <w:tcPr>
            <w:tcW w:w="4696"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传真：</w:t>
            </w:r>
          </w:p>
        </w:tc>
        <w:tc>
          <w:tcPr>
            <w:tcW w:w="4696"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签订日期：</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r>
              <w:rPr>
                <w:rFonts w:ascii="宋体" w:hAnsi="宋体" w:cs="宋体"/>
                <w:sz w:val="24"/>
                <w:szCs w:val="24"/>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180" w:hangingChars="1742"/>
              <w:rPr>
                <w:rFonts w:ascii="宋体" w:hAnsi="宋体" w:cs="宋体"/>
                <w:sz w:val="24"/>
                <w:szCs w:val="24"/>
              </w:rPr>
            </w:pPr>
            <w:r>
              <w:rPr>
                <w:rFonts w:hint="eastAsia" w:ascii="宋体" w:hAnsi="宋体" w:cs="宋体"/>
                <w:sz w:val="24"/>
                <w:szCs w:val="24"/>
              </w:rPr>
              <w:t>签订日期：</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r>
              <w:rPr>
                <w:rFonts w:ascii="宋体" w:hAnsi="宋体" w:cs="宋体"/>
                <w:sz w:val="24"/>
                <w:szCs w:val="24"/>
              </w:rPr>
              <w:t xml:space="preserve"> </w:t>
            </w:r>
          </w:p>
        </w:tc>
      </w:tr>
    </w:tbl>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
        <w:rPr>
          <w:rFonts w:ascii="宋体" w:hAnsi="宋体" w:cs="宋体"/>
          <w:b/>
          <w:bCs/>
          <w:szCs w:val="21"/>
        </w:rPr>
      </w:pPr>
    </w:p>
    <w:p>
      <w:pPr>
        <w:rPr>
          <w:rFonts w:ascii="宋体" w:hAnsi="宋体" w:cs="宋体"/>
          <w:b/>
          <w:bCs/>
          <w:szCs w:val="21"/>
        </w:rPr>
      </w:pPr>
    </w:p>
    <w:p>
      <w:pPr>
        <w:pStyle w:val="2"/>
        <w:rPr>
          <w:rFonts w:ascii="宋体" w:hAnsi="宋体" w:cs="宋体"/>
          <w:b/>
          <w:bCs/>
          <w:szCs w:val="21"/>
        </w:rPr>
      </w:pPr>
    </w:p>
    <w:p>
      <w:pPr>
        <w:rPr>
          <w:rFonts w:ascii="宋体" w:hAnsi="宋体" w:cs="宋体"/>
          <w:b/>
          <w:bCs/>
          <w:szCs w:val="21"/>
        </w:rPr>
      </w:pPr>
    </w:p>
    <w:p>
      <w:pPr>
        <w:pStyle w:val="2"/>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hAnsi="宋体"/>
          <w:b/>
          <w:bCs/>
          <w:color w:val="auto"/>
          <w:szCs w:val="21"/>
        </w:rPr>
      </w:pPr>
      <w:r>
        <w:rPr>
          <w:rFonts w:hint="eastAsia" w:ascii="宋体" w:hAnsi="宋体" w:cs="宋体"/>
          <w:b/>
          <w:bCs/>
          <w:szCs w:val="21"/>
        </w:rPr>
        <w:t>附件1：发包通知书</w:t>
      </w:r>
    </w:p>
    <w:p>
      <w:pPr>
        <w:spacing w:line="360" w:lineRule="auto"/>
        <w:rPr>
          <w:rFonts w:ascii="宋体" w:hAnsi="宋体" w:cs="宋体"/>
          <w:b/>
          <w:bCs/>
          <w:szCs w:val="21"/>
        </w:rPr>
      </w:pPr>
      <w:r>
        <w:rPr>
          <w:rFonts w:hint="eastAsia" w:ascii="宋体" w:hAnsi="宋体" w:cs="宋体"/>
          <w:b/>
          <w:bCs/>
          <w:szCs w:val="21"/>
        </w:rPr>
        <w:t>附件</w:t>
      </w:r>
      <w:r>
        <w:rPr>
          <w:rFonts w:ascii="宋体" w:hAnsi="宋体" w:cs="宋体"/>
          <w:b/>
          <w:bCs/>
          <w:szCs w:val="21"/>
        </w:rPr>
        <w:t>2</w:t>
      </w:r>
      <w:r>
        <w:rPr>
          <w:rFonts w:hint="eastAsia" w:ascii="宋体" w:hAnsi="宋体" w:cs="宋体"/>
          <w:b/>
          <w:bCs/>
          <w:szCs w:val="21"/>
        </w:rPr>
        <w:t>：廉洁协议</w:t>
      </w:r>
    </w:p>
    <w:p>
      <w:pPr>
        <w:spacing w:line="520" w:lineRule="exact"/>
        <w:ind w:firstLine="3640" w:firstLineChars="13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廉洁协议</w:t>
      </w:r>
    </w:p>
    <w:p>
      <w:pPr>
        <w:spacing w:line="520" w:lineRule="exact"/>
        <w:ind w:firstLine="630" w:firstLineChars="225"/>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(以下称甲方)与(以下称乙方)，特此订立本协议共同遵照执行。</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合同（以下简称：主合同），自觉履行合同约定的相关义务。</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20" w:lineRule="exact"/>
        <w:ind w:left="25" w:leftChars="12"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3"/>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020-38890265 </w:t>
      </w:r>
      <w:r>
        <w:rPr>
          <w:rFonts w:hint="eastAsia" w:ascii="仿宋_GB2312" w:hAnsi="仿宋_GB2312" w:eastAsia="仿宋_GB2312" w:cs="仿宋_GB2312"/>
          <w:bCs/>
          <w:sz w:val="28"/>
          <w:szCs w:val="28"/>
        </w:rPr>
        <w:t>。</w:t>
      </w:r>
    </w:p>
    <w:p>
      <w:pPr>
        <w:pStyle w:val="20"/>
        <w:widowControl/>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0"/>
        <w:widowControl/>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1、扣除主合同的全部履约保证金；</w:t>
      </w:r>
    </w:p>
    <w:p>
      <w:pPr>
        <w:pStyle w:val="20"/>
        <w:widowControl/>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2、解除主合同；</w:t>
      </w:r>
    </w:p>
    <w:p>
      <w:pPr>
        <w:pStyle w:val="20"/>
        <w:widowControl/>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3、追究乙方其他违约责任；</w:t>
      </w:r>
    </w:p>
    <w:p>
      <w:pPr>
        <w:pStyle w:val="20"/>
        <w:widowControl/>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4、根据甲方的有关规章制度，在一定时间内暂停乙方参与甲方及下属单位所有项目的交易资格；</w:t>
      </w:r>
    </w:p>
    <w:p>
      <w:pPr>
        <w:pStyle w:val="20"/>
        <w:widowControl/>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5、根据甲方的有关规章制度，将乙方清退出甲方相关企业库；</w:t>
      </w:r>
    </w:p>
    <w:p>
      <w:pPr>
        <w:pStyle w:val="20"/>
        <w:widowControl/>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6、根据甲方上级单位、行政主管部门的意见、决定执行；</w:t>
      </w:r>
    </w:p>
    <w:p>
      <w:pPr>
        <w:pStyle w:val="20"/>
        <w:widowControl/>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7、按规定向有关行政监督部门、乙方业务管理部门进行投诉、报告。</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2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sz w:val="28"/>
          <w:szCs w:val="28"/>
        </w:rPr>
        <w:t xml:space="preserve">第五条 </w:t>
      </w:r>
      <w:r>
        <w:rPr>
          <w:rFonts w:hint="eastAsia" w:ascii="仿宋_GB2312" w:hAnsi="仿宋_GB2312" w:eastAsia="仿宋_GB2312" w:cs="仿宋_GB2312"/>
          <w:bCs/>
          <w:kern w:val="0"/>
          <w:sz w:val="28"/>
          <w:szCs w:val="28"/>
        </w:rPr>
        <w:t xml:space="preserve">本协议执行情况，接受有管辖权的纪检、监察部门的监督，双方应予以配合检查调查。 </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第六条本协议作为</w:t>
      </w:r>
      <w:r>
        <w:rPr>
          <w:rFonts w:hint="eastAsia" w:ascii="仿宋_GB2312" w:hAnsi="仿宋_GB2312" w:eastAsia="仿宋_GB2312" w:cs="仿宋_GB2312"/>
          <w:bCs/>
          <w:sz w:val="28"/>
          <w:szCs w:val="28"/>
          <w:u w:val="single"/>
        </w:rPr>
        <w:t>（合同名称）+（合同编号）</w:t>
      </w:r>
      <w:r>
        <w:rPr>
          <w:rFonts w:hint="eastAsia" w:ascii="仿宋_GB2312" w:hAnsi="仿宋_GB2312" w:eastAsia="仿宋_GB2312" w:cs="仿宋_GB2312"/>
          <w:bCs/>
          <w:sz w:val="28"/>
          <w:szCs w:val="28"/>
        </w:rPr>
        <w:t>合同的附件，并具有同等的法律效力，本协议自双方签字盖章之日起生效，与主合同同时终止。</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第七条本协议一式</w:t>
      </w:r>
      <w:r>
        <w:rPr>
          <w:rFonts w:hint="eastAsia" w:ascii="仿宋_GB2312" w:hAnsi="仿宋_GB2312" w:eastAsia="仿宋_GB2312" w:cs="仿宋_GB2312"/>
          <w:bCs/>
          <w:sz w:val="28"/>
          <w:szCs w:val="28"/>
          <w:u w:val="single"/>
        </w:rPr>
        <w:t>…</w:t>
      </w:r>
      <w:r>
        <w:rPr>
          <w:rFonts w:hint="eastAsia" w:ascii="仿宋_GB2312" w:hAnsi="仿宋_GB2312" w:eastAsia="仿宋_GB2312" w:cs="仿宋_GB2312"/>
          <w:bCs/>
          <w:sz w:val="28"/>
          <w:szCs w:val="28"/>
        </w:rPr>
        <w:t>份，甲方</w:t>
      </w:r>
      <w:r>
        <w:rPr>
          <w:rFonts w:hint="eastAsia" w:ascii="仿宋_GB2312" w:hAnsi="仿宋_GB2312" w:eastAsia="仿宋_GB2312" w:cs="仿宋_GB2312"/>
          <w:bCs/>
          <w:sz w:val="28"/>
          <w:szCs w:val="28"/>
          <w:u w:val="single"/>
        </w:rPr>
        <w:t>…</w:t>
      </w:r>
      <w:r>
        <w:rPr>
          <w:rFonts w:hint="eastAsia" w:ascii="仿宋_GB2312" w:hAnsi="仿宋_GB2312" w:eastAsia="仿宋_GB2312" w:cs="仿宋_GB2312"/>
          <w:bCs/>
          <w:sz w:val="28"/>
          <w:szCs w:val="28"/>
        </w:rPr>
        <w:t>份，乙方</w:t>
      </w:r>
      <w:r>
        <w:rPr>
          <w:rFonts w:hint="eastAsia" w:ascii="仿宋_GB2312" w:hAnsi="仿宋_GB2312" w:eastAsia="仿宋_GB2312" w:cs="仿宋_GB2312"/>
          <w:bCs/>
          <w:sz w:val="28"/>
          <w:szCs w:val="28"/>
          <w:u w:val="single"/>
        </w:rPr>
        <w:t>…</w:t>
      </w:r>
      <w:r>
        <w:rPr>
          <w:rFonts w:hint="eastAsia" w:ascii="仿宋_GB2312" w:hAnsi="仿宋_GB2312" w:eastAsia="仿宋_GB2312" w:cs="仿宋_GB2312"/>
          <w:bCs/>
          <w:sz w:val="28"/>
          <w:szCs w:val="28"/>
        </w:rPr>
        <w:t>份。</w:t>
      </w:r>
    </w:p>
    <w:p>
      <w:pPr>
        <w:spacing w:line="520" w:lineRule="exact"/>
        <w:ind w:firstLine="560" w:firstLineChars="200"/>
        <w:rPr>
          <w:rFonts w:ascii="仿宋_GB2312" w:hAnsi="仿宋_GB2312" w:eastAsia="仿宋_GB2312" w:cs="仿宋_GB2312"/>
          <w:bCs/>
          <w:sz w:val="28"/>
          <w:szCs w:val="28"/>
        </w:rPr>
      </w:pPr>
    </w:p>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br w:type="textWrapping"/>
      </w:r>
      <w:r>
        <w:rPr>
          <w:rFonts w:hint="eastAsia" w:ascii="仿宋_GB2312" w:hAnsi="仿宋_GB2312" w:eastAsia="仿宋_GB2312" w:cs="仿宋_GB2312"/>
          <w:bCs/>
          <w:sz w:val="28"/>
          <w:szCs w:val="28"/>
        </w:rPr>
        <w:t>甲方（盖章）：                     乙方（盖章）：</w:t>
      </w:r>
    </w:p>
    <w:p>
      <w:pPr>
        <w:pStyle w:val="34"/>
        <w:tabs>
          <w:tab w:val="left" w:pos="5100"/>
        </w:tabs>
        <w:spacing w:line="520" w:lineRule="exact"/>
        <w:ind w:left="7200" w:firstLine="0" w:firstLineChars="0"/>
        <w:jc w:val="left"/>
        <w:rPr>
          <w:rFonts w:ascii="仿宋_GB2312" w:hAnsi="仿宋_GB2312" w:eastAsia="仿宋_GB2312" w:cs="仿宋_GB2312"/>
          <w:bCs/>
          <w:sz w:val="28"/>
          <w:szCs w:val="28"/>
        </w:rPr>
      </w:pPr>
    </w:p>
    <w:p>
      <w:pPr>
        <w:tabs>
          <w:tab w:val="left" w:pos="5100"/>
        </w:tabs>
        <w:spacing w:line="520" w:lineRule="exact"/>
        <w:ind w:left="8400" w:hanging="8400" w:hangingChars="30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签约代表：                         签约代表：</w:t>
      </w:r>
    </w:p>
    <w:p>
      <w:pPr>
        <w:tabs>
          <w:tab w:val="left" w:pos="4170"/>
        </w:tabs>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日期:    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日期：  年  月  日</w:t>
      </w:r>
    </w:p>
    <w:p>
      <w:pPr>
        <w:tabs>
          <w:tab w:val="left" w:pos="4170"/>
        </w:tabs>
        <w:spacing w:line="360" w:lineRule="auto"/>
        <w:rPr>
          <w:rFonts w:ascii="宋体" w:hAnsi="宋体"/>
        </w:rPr>
      </w:pPr>
    </w:p>
    <w:p>
      <w:pPr>
        <w:spacing w:line="360" w:lineRule="auto"/>
        <w:rPr>
          <w:rFonts w:ascii="仿宋_GB2312" w:eastAsia="仿宋_GB2312"/>
          <w:sz w:val="24"/>
          <w:szCs w:val="24"/>
        </w:rPr>
      </w:pPr>
    </w:p>
    <w:p>
      <w:pPr>
        <w:pStyle w:val="21"/>
        <w:rPr>
          <w:rFonts w:ascii="仿宋_GB2312" w:eastAsia="仿宋_GB2312"/>
          <w:color w:val="auto"/>
        </w:rPr>
      </w:pPr>
    </w:p>
    <w:p>
      <w:pPr>
        <w:pStyle w:val="21"/>
        <w:rPr>
          <w:rFonts w:ascii="仿宋_GB2312" w:eastAsia="仿宋_GB2312"/>
          <w:color w:val="auto"/>
        </w:rPr>
      </w:pPr>
    </w:p>
    <w:p>
      <w:pPr>
        <w:pStyle w:val="21"/>
        <w:rPr>
          <w:rFonts w:ascii="仿宋_GB2312" w:eastAsia="仿宋_GB2312"/>
          <w:color w:val="auto"/>
        </w:rPr>
      </w:pPr>
    </w:p>
    <w:p>
      <w:pPr>
        <w:pStyle w:val="21"/>
        <w:rPr>
          <w:rFonts w:ascii="仿宋_GB2312" w:eastAsia="仿宋_GB2312"/>
          <w:color w:val="auto"/>
        </w:rPr>
      </w:pPr>
    </w:p>
    <w:p>
      <w:pPr>
        <w:pStyle w:val="21"/>
        <w:rPr>
          <w:rFonts w:ascii="仿宋_GB2312" w:eastAsia="仿宋_GB2312"/>
          <w:color w:val="auto"/>
        </w:rPr>
      </w:pPr>
    </w:p>
    <w:p>
      <w:pPr>
        <w:pStyle w:val="21"/>
        <w:rPr>
          <w:rFonts w:ascii="仿宋_GB2312" w:eastAsia="仿宋_GB2312"/>
          <w:color w:val="auto"/>
        </w:rPr>
      </w:pPr>
    </w:p>
    <w:p>
      <w:pPr>
        <w:pStyle w:val="21"/>
        <w:ind w:left="0" w:leftChars="0" w:firstLine="0" w:firstLineChars="0"/>
        <w:rPr>
          <w:rFonts w:ascii="仿宋_GB2312" w:eastAsia="仿宋_GB2312"/>
          <w:color w:val="auto"/>
        </w:rPr>
      </w:pPr>
    </w:p>
    <w:p>
      <w:pPr>
        <w:adjustRightInd w:val="0"/>
        <w:snapToGrid w:val="0"/>
        <w:rPr>
          <w:rFonts w:ascii="宋体" w:hAnsi="宋体" w:eastAsia="宋体" w:cs="宋体"/>
          <w:szCs w:val="21"/>
        </w:rPr>
      </w:pPr>
      <w:r>
        <w:rPr>
          <w:rFonts w:hint="eastAsia" w:ascii="宋体" w:hAnsi="宋体" w:eastAsia="宋体" w:cs="宋体"/>
          <w:b/>
          <w:bCs/>
          <w:szCs w:val="21"/>
        </w:rPr>
        <w:t>附件3.</w:t>
      </w:r>
      <w:r>
        <w:rPr>
          <w:rFonts w:hint="eastAsia" w:ascii="宋体" w:hAnsi="宋体" w:eastAsia="宋体" w:cs="宋体"/>
          <w:szCs w:val="21"/>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处理</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发生重伤或死亡1～2人的，暂停投标1年至2年（含）。</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发生重伤或死亡3～9人的，暂停投标2年以上至4年。</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其他不诚信</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szCs w:val="24"/>
              </w:rPr>
            </w:pPr>
            <w:r>
              <w:rPr>
                <w:rFonts w:hint="eastAsia" w:ascii="仿宋_GB2312" w:hAnsi="仿宋_GB2312" w:eastAsia="仿宋_GB2312" w:cs="仿宋_GB2312"/>
                <w:szCs w:val="24"/>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bl>
    <w:p>
      <w:pPr>
        <w:contextualSpacing/>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备注：本处理标准出自</w:t>
      </w:r>
      <w:r>
        <w:rPr>
          <w:rFonts w:hint="eastAsia" w:ascii="仿宋_GB2312" w:hAnsi="仿宋_GB2312" w:eastAsia="仿宋_GB2312" w:cs="仿宋_GB2312"/>
          <w:color w:val="000000" w:themeColor="text1"/>
          <w:sz w:val="24"/>
          <w:szCs w:val="24"/>
          <w14:textFill>
            <w14:solidFill>
              <w14:schemeClr w14:val="tx1"/>
            </w14:solidFill>
          </w14:textFill>
        </w:rPr>
        <w:t>《广州市净水有限公司经营建设项目参建企业不诚信行为管理办法》。</w:t>
      </w:r>
    </w:p>
    <w:p>
      <w:pPr>
        <w:widowControl/>
        <w:jc w:val="left"/>
        <w:rPr>
          <w:rFonts w:ascii="宋体" w:hAnsi="宋体" w:cs="宋体"/>
          <w:color w:val="000000" w:themeColor="text1"/>
          <w:szCs w:val="21"/>
          <w14:textFill>
            <w14:solidFill>
              <w14:schemeClr w14:val="tx1"/>
            </w14:solidFill>
          </w14:textFill>
        </w:rPr>
      </w:pPr>
    </w:p>
    <w:p>
      <w:pPr>
        <w:widowControl/>
        <w:jc w:val="left"/>
        <w:rPr>
          <w:rFonts w:ascii="宋体" w:hAnsi="宋体" w:cs="宋体"/>
          <w:color w:val="000000" w:themeColor="text1"/>
          <w:szCs w:val="21"/>
          <w14:textFill>
            <w14:solidFill>
              <w14:schemeClr w14:val="tx1"/>
            </w14:solidFill>
          </w14:textFill>
        </w:rPr>
      </w:pPr>
    </w:p>
    <w:p>
      <w:pPr>
        <w:pStyle w:val="28"/>
        <w:rPr>
          <w:rFonts w:hAnsi="宋体"/>
          <w:color w:val="000000" w:themeColor="text1"/>
          <w:szCs w:val="21"/>
          <w14:textFill>
            <w14:solidFill>
              <w14:schemeClr w14:val="tx1"/>
            </w14:solidFill>
          </w14:textFill>
        </w:rPr>
      </w:pPr>
    </w:p>
    <w:p>
      <w:pPr>
        <w:pStyle w:val="28"/>
        <w:rPr>
          <w:rFonts w:hAnsi="宋体"/>
          <w:color w:val="000000" w:themeColor="text1"/>
          <w:szCs w:val="21"/>
          <w14:textFill>
            <w14:solidFill>
              <w14:schemeClr w14:val="tx1"/>
            </w14:solidFill>
          </w14:textFill>
        </w:rPr>
      </w:pPr>
    </w:p>
    <w:p>
      <w:pPr>
        <w:pStyle w:val="28"/>
        <w:rPr>
          <w:rFonts w:hAnsi="宋体"/>
          <w:color w:val="000000" w:themeColor="text1"/>
          <w:szCs w:val="21"/>
          <w14:textFill>
            <w14:solidFill>
              <w14:schemeClr w14:val="tx1"/>
            </w14:solidFill>
          </w14:textFill>
        </w:rPr>
      </w:pPr>
    </w:p>
    <w:p>
      <w:pPr>
        <w:pStyle w:val="28"/>
        <w:rPr>
          <w:rFonts w:hAnsi="宋体"/>
          <w:color w:val="000000" w:themeColor="text1"/>
          <w:szCs w:val="21"/>
          <w14:textFill>
            <w14:solidFill>
              <w14:schemeClr w14:val="tx1"/>
            </w14:solidFill>
          </w14:textFill>
        </w:rPr>
      </w:pPr>
    </w:p>
    <w:p>
      <w:pPr>
        <w:pStyle w:val="28"/>
        <w:rPr>
          <w:rFonts w:hAnsi="宋体"/>
          <w:color w:val="000000" w:themeColor="text1"/>
          <w:szCs w:val="21"/>
          <w14:textFill>
            <w14:solidFill>
              <w14:schemeClr w14:val="tx1"/>
            </w14:solidFill>
          </w14:textFill>
        </w:rPr>
      </w:pPr>
    </w:p>
    <w:p>
      <w:pPr>
        <w:pStyle w:val="28"/>
        <w:rPr>
          <w:rFonts w:hAnsi="宋体"/>
          <w:color w:val="000000" w:themeColor="text1"/>
          <w:szCs w:val="21"/>
          <w14:textFill>
            <w14:solidFill>
              <w14:schemeClr w14:val="tx1"/>
            </w14:solidFill>
          </w14:textFill>
        </w:rPr>
      </w:pPr>
    </w:p>
    <w:p>
      <w:pPr>
        <w:pStyle w:val="28"/>
        <w:rPr>
          <w:rFonts w:hAnsi="宋体"/>
          <w:color w:val="000000" w:themeColor="text1"/>
          <w:szCs w:val="21"/>
          <w14:textFill>
            <w14:solidFill>
              <w14:schemeClr w14:val="tx1"/>
            </w14:solidFill>
          </w14:textFill>
        </w:rPr>
      </w:pPr>
    </w:p>
    <w:p>
      <w:pPr>
        <w:pStyle w:val="28"/>
        <w:rPr>
          <w:rFonts w:hAnsi="宋体"/>
          <w:color w:val="000000" w:themeColor="text1"/>
          <w:szCs w:val="21"/>
          <w14:textFill>
            <w14:solidFill>
              <w14:schemeClr w14:val="tx1"/>
            </w14:solidFill>
          </w14:textFill>
        </w:rPr>
      </w:pPr>
    </w:p>
    <w:p>
      <w:pPr>
        <w:pStyle w:val="28"/>
        <w:rPr>
          <w:rFonts w:hAnsi="宋体"/>
          <w:color w:val="000000" w:themeColor="text1"/>
          <w:szCs w:val="21"/>
          <w14:textFill>
            <w14:solidFill>
              <w14:schemeClr w14:val="tx1"/>
            </w14:solidFill>
          </w14:textFill>
        </w:rPr>
      </w:pPr>
    </w:p>
    <w:p>
      <w:pPr>
        <w:rPr>
          <w:rFonts w:ascii="宋体" w:hAnsi="宋体" w:cs="宋体"/>
          <w:b/>
          <w:bCs/>
          <w:color w:val="000000" w:themeColor="text1"/>
          <w:sz w:val="24"/>
          <w:szCs w:val="24"/>
          <w14:textFill>
            <w14:solidFill>
              <w14:schemeClr w14:val="tx1"/>
            </w14:solidFill>
          </w14:textFill>
        </w:rPr>
      </w:pPr>
    </w:p>
    <w:p>
      <w:pPr>
        <w:spacing w:line="360" w:lineRule="auto"/>
        <w:rPr>
          <w:rFonts w:eastAsia="黑体"/>
          <w:sz w:val="32"/>
          <w:szCs w:val="32"/>
        </w:rPr>
      </w:pPr>
      <w:r>
        <w:rPr>
          <w:rFonts w:hint="eastAsia" w:ascii="宋体" w:hAnsi="宋体" w:cs="宋体"/>
          <w:b/>
          <w:bCs/>
          <w:szCs w:val="21"/>
        </w:rPr>
        <w:t>附件4：防疫管理协议书</w:t>
      </w:r>
    </w:p>
    <w:p>
      <w:pPr>
        <w:spacing w:line="440" w:lineRule="exact"/>
        <w:jc w:val="center"/>
        <w:rPr>
          <w:rFonts w:eastAsia="仿宋_GB2312"/>
          <w:b/>
          <w:bCs/>
          <w:sz w:val="28"/>
          <w:szCs w:val="28"/>
        </w:rPr>
      </w:pPr>
      <w:r>
        <w:rPr>
          <w:rFonts w:eastAsia="仿宋_GB2312"/>
          <w:b/>
          <w:bCs/>
          <w:sz w:val="28"/>
          <w:szCs w:val="28"/>
        </w:rPr>
        <w:t>防疫管理协议书</w:t>
      </w:r>
    </w:p>
    <w:p>
      <w:pPr>
        <w:spacing w:line="440" w:lineRule="exact"/>
        <w:rPr>
          <w:rFonts w:eastAsia="仿宋_GB2312"/>
          <w:sz w:val="24"/>
        </w:rPr>
      </w:pPr>
    </w:p>
    <w:p>
      <w:pPr>
        <w:adjustRightInd w:val="0"/>
        <w:snapToGrid w:val="0"/>
        <w:spacing w:line="440" w:lineRule="exact"/>
        <w:ind w:firstLine="480" w:firstLineChars="200"/>
        <w:rPr>
          <w:rFonts w:eastAsia="仿宋_GB2312"/>
          <w:sz w:val="24"/>
        </w:rPr>
      </w:pPr>
      <w:r>
        <w:rPr>
          <w:rFonts w:eastAsia="仿宋_GB2312"/>
          <w:sz w:val="24"/>
        </w:rPr>
        <w:t>甲方：</w:t>
      </w:r>
      <w:r>
        <w:rPr>
          <w:rFonts w:eastAsia="仿宋_GB2312"/>
          <w:sz w:val="24"/>
          <w:u w:val="single"/>
        </w:rPr>
        <w:t>广州市净水有限公司</w:t>
      </w:r>
    </w:p>
    <w:p>
      <w:pPr>
        <w:adjustRightInd w:val="0"/>
        <w:snapToGrid w:val="0"/>
        <w:spacing w:line="440" w:lineRule="exact"/>
        <w:ind w:firstLine="480" w:firstLineChars="200"/>
        <w:rPr>
          <w:rStyle w:val="25"/>
          <w:rFonts w:eastAsia="仿宋_GB2312"/>
          <w:b w:val="0"/>
          <w:u w:val="single"/>
        </w:rPr>
      </w:pPr>
      <w:r>
        <w:rPr>
          <w:rFonts w:eastAsia="仿宋_GB2312"/>
          <w:sz w:val="24"/>
        </w:rPr>
        <w:t>乙方:</w:t>
      </w:r>
      <w:r>
        <w:t xml:space="preserve"> </w:t>
      </w:r>
    </w:p>
    <w:p>
      <w:pPr>
        <w:spacing w:line="440" w:lineRule="exact"/>
        <w:ind w:firstLine="540" w:firstLineChars="225"/>
        <w:rPr>
          <w:rFonts w:eastAsia="仿宋_GB2312"/>
          <w:kern w:val="0"/>
          <w:sz w:val="24"/>
          <w:szCs w:val="20"/>
        </w:rPr>
      </w:pPr>
      <w:r>
        <w:rPr>
          <w:rFonts w:eastAsia="仿宋_GB2312"/>
          <w:kern w:val="0"/>
          <w:sz w:val="24"/>
          <w:szCs w:val="20"/>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rPr>
          <w:rFonts w:eastAsia="仿宋_GB2312"/>
          <w:sz w:val="24"/>
        </w:rPr>
      </w:pPr>
      <w:r>
        <w:rPr>
          <w:rFonts w:eastAsia="仿宋_GB2312"/>
          <w:sz w:val="24"/>
        </w:rPr>
        <w:t>一、本协议与主协议的关系</w:t>
      </w:r>
    </w:p>
    <w:p>
      <w:pPr>
        <w:adjustRightInd w:val="0"/>
        <w:snapToGrid w:val="0"/>
        <w:spacing w:line="440" w:lineRule="exact"/>
        <w:ind w:left="105" w:firstLine="480" w:firstLineChars="200"/>
        <w:rPr>
          <w:rFonts w:eastAsia="仿宋_GB2312"/>
          <w:sz w:val="24"/>
        </w:rPr>
      </w:pPr>
      <w:r>
        <w:rPr>
          <w:rFonts w:eastAsia="仿宋_GB2312"/>
          <w:sz w:val="24"/>
        </w:rPr>
        <w:t>本协议作为</w:t>
      </w:r>
      <w:r>
        <w:rPr>
          <w:rFonts w:eastAsia="仿宋_GB2312"/>
          <w:bCs/>
          <w:sz w:val="24"/>
          <w:u w:val="single"/>
        </w:rPr>
        <w:t xml:space="preserve">  (</w:t>
      </w:r>
      <w:r>
        <w:rPr>
          <w:rFonts w:hint="eastAsia" w:eastAsia="仿宋_GB2312"/>
          <w:bCs/>
          <w:sz w:val="24"/>
          <w:u w:val="single"/>
        </w:rPr>
        <w:t>主合同</w:t>
      </w:r>
      <w:r>
        <w:rPr>
          <w:rFonts w:eastAsia="仿宋_GB2312"/>
          <w:bCs/>
          <w:sz w:val="24"/>
          <w:u w:val="single"/>
        </w:rPr>
        <w:t xml:space="preserve">)  </w:t>
      </w:r>
      <w:r>
        <w:rPr>
          <w:rFonts w:eastAsia="仿宋_GB2312"/>
          <w:sz w:val="24"/>
        </w:rPr>
        <w:t>的组成部分，与主合同具有同等法律。</w:t>
      </w:r>
    </w:p>
    <w:p>
      <w:pPr>
        <w:adjustRightInd w:val="0"/>
        <w:snapToGrid w:val="0"/>
        <w:spacing w:line="440" w:lineRule="exact"/>
        <w:rPr>
          <w:rFonts w:eastAsia="仿宋_GB2312"/>
          <w:sz w:val="24"/>
        </w:rPr>
      </w:pPr>
      <w:r>
        <w:rPr>
          <w:rFonts w:eastAsia="仿宋_GB2312"/>
          <w:sz w:val="24"/>
        </w:rPr>
        <w:t>二、甲方的义务</w:t>
      </w:r>
    </w:p>
    <w:p>
      <w:pPr>
        <w:spacing w:line="440" w:lineRule="exact"/>
        <w:ind w:firstLine="540" w:firstLineChars="225"/>
        <w:rPr>
          <w:rFonts w:eastAsia="仿宋_GB2312"/>
          <w:kern w:val="0"/>
          <w:sz w:val="24"/>
          <w:szCs w:val="20"/>
        </w:rPr>
      </w:pPr>
      <w:r>
        <w:rPr>
          <w:rFonts w:eastAsia="仿宋_GB2312"/>
          <w:kern w:val="0"/>
          <w:sz w:val="24"/>
          <w:szCs w:val="20"/>
        </w:rPr>
        <w:t>（一）与建设主管部门和属地疫情防控指挥部门形成联防联控机制，建立快速有效的处置工作流程。</w:t>
      </w:r>
    </w:p>
    <w:p>
      <w:pPr>
        <w:spacing w:line="440" w:lineRule="exact"/>
        <w:ind w:firstLine="540" w:firstLineChars="225"/>
        <w:rPr>
          <w:rFonts w:eastAsia="仿宋_GB2312"/>
          <w:sz w:val="24"/>
        </w:rPr>
      </w:pPr>
      <w:r>
        <w:rPr>
          <w:rFonts w:eastAsia="仿宋_GB2312"/>
          <w:kern w:val="0"/>
          <w:sz w:val="24"/>
          <w:szCs w:val="20"/>
        </w:rPr>
        <w:t>（二）对乙方防控工作的落实情况进行监督。</w:t>
      </w:r>
    </w:p>
    <w:p>
      <w:pPr>
        <w:adjustRightInd w:val="0"/>
        <w:snapToGrid w:val="0"/>
        <w:spacing w:line="440" w:lineRule="exact"/>
        <w:rPr>
          <w:rFonts w:eastAsia="仿宋_GB2312"/>
          <w:sz w:val="24"/>
        </w:rPr>
      </w:pPr>
      <w:r>
        <w:rPr>
          <w:rFonts w:eastAsia="仿宋_GB2312"/>
          <w:sz w:val="24"/>
        </w:rPr>
        <w:t>三、乙方的义务</w:t>
      </w:r>
    </w:p>
    <w:p>
      <w:pPr>
        <w:pStyle w:val="6"/>
        <w:spacing w:line="440" w:lineRule="exact"/>
        <w:rPr>
          <w:rFonts w:eastAsia="仿宋_GB2312"/>
          <w:sz w:val="24"/>
        </w:rPr>
      </w:pPr>
      <w:r>
        <w:rPr>
          <w:rFonts w:eastAsia="仿宋_GB2312"/>
          <w:sz w:val="24"/>
        </w:rPr>
        <w:t>（一）开展疫情防控宣传教育，提高</w:t>
      </w:r>
      <w:r>
        <w:rPr>
          <w:rFonts w:eastAsia="仿宋"/>
          <w:sz w:val="24"/>
        </w:rPr>
        <w:t>乙方</w:t>
      </w:r>
      <w:r>
        <w:rPr>
          <w:rFonts w:eastAsia="仿宋_GB2312"/>
          <w:sz w:val="24"/>
        </w:rPr>
        <w:t>人员自我防护意识，最大限度减少人员暴露和感染的风险。</w:t>
      </w:r>
    </w:p>
    <w:p>
      <w:pPr>
        <w:pStyle w:val="6"/>
        <w:spacing w:line="440" w:lineRule="exact"/>
        <w:ind w:firstLine="480" w:firstLineChars="200"/>
        <w:rPr>
          <w:rFonts w:eastAsia="仿宋_GB2312"/>
          <w:sz w:val="24"/>
        </w:rPr>
      </w:pPr>
      <w:r>
        <w:rPr>
          <w:rFonts w:eastAsia="仿宋_GB2312"/>
          <w:sz w:val="24"/>
        </w:rPr>
        <w:t>（二）做好乙方人员防控工作管理，及时提交防疫资料，落实疫情防控备案，必要时需编制防控管理工作方案</w:t>
      </w:r>
      <w:r>
        <w:rPr>
          <w:rFonts w:eastAsia="仿宋_GB2312"/>
          <w:sz w:val="32"/>
          <w:szCs w:val="32"/>
        </w:rPr>
        <w:t>。</w:t>
      </w:r>
    </w:p>
    <w:p>
      <w:pPr>
        <w:adjustRightInd w:val="0"/>
        <w:snapToGrid w:val="0"/>
        <w:spacing w:line="440" w:lineRule="exact"/>
        <w:rPr>
          <w:rFonts w:eastAsia="仿宋_GB2312"/>
          <w:sz w:val="24"/>
        </w:rPr>
      </w:pPr>
      <w:r>
        <w:rPr>
          <w:rFonts w:eastAsia="仿宋_GB2312"/>
          <w:sz w:val="24"/>
        </w:rPr>
        <w:t xml:space="preserve">    （三）乙方人员须按照甲方各厂区进厂门岗防控要求进行疫苗接种及核酸检测，未满足相关要求的人员甲方有权限制进入厂区。</w:t>
      </w:r>
    </w:p>
    <w:p>
      <w:pPr>
        <w:pStyle w:val="6"/>
        <w:spacing w:line="440" w:lineRule="exact"/>
        <w:rPr>
          <w:rFonts w:eastAsia="仿宋_GB2312"/>
          <w:sz w:val="24"/>
        </w:rPr>
      </w:pPr>
      <w:r>
        <w:rPr>
          <w:rFonts w:eastAsia="仿宋_GB2312"/>
          <w:sz w:val="24"/>
        </w:rPr>
        <w:t>（四）建立畅通的信息传输渠道和严格的信息上报机制，出现问题及时采取应急响应措施，迅速妥善处置项目施工场所普通发热病例、可疑病例和突发新冠肺炎疫情，并第一时间报送甲方。</w:t>
      </w:r>
    </w:p>
    <w:p>
      <w:pPr>
        <w:adjustRightInd w:val="0"/>
        <w:snapToGrid w:val="0"/>
        <w:spacing w:line="440" w:lineRule="exact"/>
        <w:ind w:firstLine="480" w:firstLineChars="200"/>
      </w:pPr>
      <w:r>
        <w:rPr>
          <w:rFonts w:eastAsia="仿宋_GB2312"/>
          <w:sz w:val="24"/>
        </w:rPr>
        <w:t>（五）各级政府、有关部门及甲方的其他</w:t>
      </w:r>
      <w:r>
        <w:rPr>
          <w:rFonts w:eastAsia="仿宋"/>
          <w:sz w:val="24"/>
        </w:rPr>
        <w:t>防控要求</w:t>
      </w:r>
      <w:r>
        <w:rPr>
          <w:rFonts w:eastAsia="仿宋_GB2312"/>
          <w:sz w:val="24"/>
        </w:rPr>
        <w:t>。</w:t>
      </w:r>
    </w:p>
    <w:p>
      <w:pPr>
        <w:adjustRightInd w:val="0"/>
        <w:snapToGrid w:val="0"/>
        <w:spacing w:line="440" w:lineRule="exact"/>
        <w:rPr>
          <w:rFonts w:eastAsia="仿宋_GB2312"/>
          <w:sz w:val="24"/>
        </w:rPr>
      </w:pPr>
      <w:r>
        <w:rPr>
          <w:rFonts w:eastAsia="仿宋_GB2312"/>
          <w:sz w:val="24"/>
        </w:rPr>
        <w:t>四、违约责任</w:t>
      </w:r>
    </w:p>
    <w:p>
      <w:pPr>
        <w:adjustRightInd w:val="0"/>
        <w:snapToGrid w:val="0"/>
        <w:spacing w:line="440" w:lineRule="exact"/>
        <w:ind w:left="105" w:firstLine="480" w:firstLineChars="200"/>
        <w:rPr>
          <w:rFonts w:eastAsia="仿宋_GB2312"/>
          <w:sz w:val="24"/>
        </w:rPr>
      </w:pPr>
      <w:r>
        <w:rPr>
          <w:rFonts w:eastAsia="仿宋_GB2312"/>
          <w:sz w:val="24"/>
        </w:rPr>
        <w:t>乙方需按照甲方服务要求执行，未达到疫情防控要求的，需按下列条款执行：</w:t>
      </w:r>
    </w:p>
    <w:p>
      <w:pPr>
        <w:adjustRightInd w:val="0"/>
        <w:snapToGrid w:val="0"/>
        <w:spacing w:line="440" w:lineRule="exact"/>
        <w:ind w:left="105" w:firstLine="480" w:firstLineChars="200"/>
        <w:rPr>
          <w:rFonts w:eastAsia="仿宋_GB2312"/>
          <w:sz w:val="24"/>
        </w:rPr>
      </w:pPr>
      <w:r>
        <w:rPr>
          <w:rFonts w:eastAsia="仿宋_GB2312"/>
          <w:sz w:val="24"/>
        </w:rPr>
        <w:t>（一）乙方人员及其亲属有重点区域、重点场所旅居史未报备的，每发现一人，从乙方当月服务费中扣500元；</w:t>
      </w:r>
    </w:p>
    <w:p>
      <w:pPr>
        <w:adjustRightInd w:val="0"/>
        <w:snapToGrid w:val="0"/>
        <w:spacing w:line="440" w:lineRule="exact"/>
        <w:ind w:left="105" w:firstLine="480" w:firstLineChars="200"/>
        <w:rPr>
          <w:rFonts w:eastAsia="仿宋_GB2312"/>
          <w:sz w:val="24"/>
        </w:rPr>
      </w:pPr>
      <w:r>
        <w:rPr>
          <w:rFonts w:eastAsia="仿宋_GB2312"/>
          <w:sz w:val="24"/>
        </w:rPr>
        <w:t>（二）乙方人员未按照甲方要求进行核酸检测的或有瞒报、虚报的，每发现一人，从乙方当月服务费中扣50元；</w:t>
      </w:r>
    </w:p>
    <w:p>
      <w:pPr>
        <w:adjustRightInd w:val="0"/>
        <w:snapToGrid w:val="0"/>
        <w:spacing w:line="440" w:lineRule="exact"/>
        <w:ind w:left="105" w:firstLine="480" w:firstLineChars="200"/>
        <w:rPr>
          <w:rFonts w:eastAsia="仿宋_GB2312"/>
          <w:sz w:val="24"/>
        </w:rPr>
      </w:pPr>
      <w:r>
        <w:rPr>
          <w:rFonts w:eastAsia="仿宋_GB2312"/>
          <w:sz w:val="24"/>
        </w:rPr>
        <w:t>（三）乙方</w:t>
      </w:r>
      <w:r>
        <w:rPr>
          <w:rFonts w:eastAsia="仿宋"/>
          <w:sz w:val="24"/>
        </w:rPr>
        <w:t>项目维修施工</w:t>
      </w:r>
      <w:r>
        <w:rPr>
          <w:rFonts w:eastAsia="仿宋_GB2312"/>
          <w:sz w:val="24"/>
        </w:rPr>
        <w:t>人员拒不配合甲方疫情防控要求或不满足甲方防疫工作要求的，甲方有权要求乙方3天内更换服务人员。</w:t>
      </w:r>
    </w:p>
    <w:p>
      <w:pPr>
        <w:adjustRightInd w:val="0"/>
        <w:snapToGrid w:val="0"/>
        <w:spacing w:line="440" w:lineRule="exact"/>
        <w:rPr>
          <w:rFonts w:eastAsia="仿宋_GB2312"/>
          <w:sz w:val="24"/>
        </w:rPr>
      </w:pPr>
    </w:p>
    <w:p>
      <w:pPr>
        <w:pStyle w:val="37"/>
        <w:spacing w:line="440" w:lineRule="exact"/>
        <w:rPr>
          <w:rFonts w:eastAsia="仿宋_GB2312"/>
          <w:sz w:val="24"/>
        </w:rPr>
      </w:pPr>
      <w:r>
        <w:rPr>
          <w:rFonts w:eastAsia="仿宋_GB2312"/>
          <w:sz w:val="24"/>
        </w:rPr>
        <w:t>五、补充条款：</w:t>
      </w:r>
      <w:r>
        <w:rPr>
          <w:rFonts w:eastAsia="仿宋_GB2312"/>
          <w:sz w:val="24"/>
          <w:u w:val="single"/>
        </w:rPr>
        <w:t xml:space="preserve">         /       </w:t>
      </w:r>
      <w:r>
        <w:rPr>
          <w:rFonts w:eastAsia="仿宋_GB2312"/>
          <w:sz w:val="24"/>
        </w:rPr>
        <w:t>。</w:t>
      </w:r>
    </w:p>
    <w:p>
      <w:pPr>
        <w:adjustRightInd w:val="0"/>
        <w:snapToGrid w:val="0"/>
        <w:spacing w:line="440" w:lineRule="exact"/>
        <w:rPr>
          <w:rFonts w:eastAsia="仿宋_GB2312"/>
          <w:sz w:val="24"/>
        </w:rPr>
      </w:pPr>
      <w:r>
        <w:rPr>
          <w:rFonts w:eastAsia="仿宋_GB2312"/>
          <w:sz w:val="24"/>
        </w:rPr>
        <w:t>六、附则</w:t>
      </w:r>
    </w:p>
    <w:p>
      <w:pPr>
        <w:adjustRightInd w:val="0"/>
        <w:snapToGrid w:val="0"/>
        <w:spacing w:line="440" w:lineRule="exact"/>
        <w:ind w:firstLine="480" w:firstLineChars="200"/>
        <w:rPr>
          <w:rFonts w:eastAsia="仿宋_GB2312"/>
          <w:sz w:val="24"/>
        </w:rPr>
      </w:pPr>
      <w:r>
        <w:rPr>
          <w:rFonts w:eastAsia="仿宋_GB2312"/>
          <w:sz w:val="24"/>
        </w:rPr>
        <w:t>本协议与合同同时签订、同时终止、同时生效，具有相同的法律效力。合同由甲乙双方签字、盖章生效，甲乙双方各份。</w:t>
      </w:r>
    </w:p>
    <w:p>
      <w:pPr>
        <w:adjustRightInd w:val="0"/>
        <w:snapToGrid w:val="0"/>
        <w:spacing w:line="440" w:lineRule="exact"/>
        <w:rPr>
          <w:rFonts w:eastAsia="仿宋_GB2312"/>
          <w:sz w:val="24"/>
        </w:rPr>
      </w:pPr>
    </w:p>
    <w:p>
      <w:pPr>
        <w:adjustRightInd w:val="0"/>
        <w:snapToGrid w:val="0"/>
        <w:spacing w:line="440" w:lineRule="exact"/>
        <w:rPr>
          <w:rFonts w:eastAsia="仿宋_GB2312"/>
          <w:sz w:val="24"/>
        </w:rPr>
      </w:pPr>
      <w:r>
        <w:rPr>
          <w:rFonts w:eastAsia="仿宋_GB2312"/>
          <w:sz w:val="24"/>
        </w:rPr>
        <w:t>甲方代表 （章）：                                     乙方代表（章）：</w:t>
      </w:r>
    </w:p>
    <w:p>
      <w:pPr>
        <w:adjustRightInd w:val="0"/>
        <w:snapToGrid w:val="0"/>
        <w:spacing w:line="440" w:lineRule="exact"/>
        <w:rPr>
          <w:rFonts w:eastAsia="仿宋_GB2312"/>
          <w:sz w:val="24"/>
        </w:rPr>
      </w:pPr>
      <w:r>
        <w:rPr>
          <w:rFonts w:eastAsia="仿宋_GB2312"/>
          <w:sz w:val="24"/>
        </w:rPr>
        <w:t xml:space="preserve">                                                           　　              　　　　　　　</w:t>
      </w:r>
    </w:p>
    <w:p>
      <w:pPr>
        <w:adjustRightInd w:val="0"/>
        <w:snapToGrid w:val="0"/>
        <w:spacing w:line="440" w:lineRule="exact"/>
        <w:ind w:firstLine="1800" w:firstLineChars="750"/>
        <w:rPr>
          <w:rFonts w:eastAsia="仿宋_GB2312"/>
          <w:sz w:val="24"/>
        </w:rPr>
      </w:pPr>
      <w:r>
        <w:rPr>
          <w:rFonts w:eastAsia="仿宋_GB2312"/>
          <w:sz w:val="24"/>
        </w:rPr>
        <w:t>年 　月　  日                             年   月  　日</w:t>
      </w: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r>
        <w:rPr>
          <w:rFonts w:hint="eastAsia" w:ascii="宋体" w:hAnsi="宋体" w:cs="宋体"/>
          <w:b/>
          <w:szCs w:val="21"/>
        </w:rPr>
        <w:t>附件5：安全管理协议书</w:t>
      </w: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rPr>
          <w:rFonts w:ascii="宋体" w:hAnsi="宋体" w:cs="Arial"/>
          <w:kern w:val="0"/>
          <w:sz w:val="24"/>
        </w:rPr>
      </w:pP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宋体" w:hAnsi="宋体"/>
          <w:b/>
          <w:sz w:val="24"/>
        </w:rPr>
      </w:pPr>
      <w:r>
        <w:rPr>
          <w:rFonts w:hint="eastAsia" w:ascii="宋体" w:hAnsi="宋体"/>
          <w:b/>
          <w:sz w:val="24"/>
        </w:rPr>
        <w:t>一、本协议与主合同的关系</w:t>
      </w:r>
    </w:p>
    <w:p>
      <w:pPr>
        <w:adjustRightInd w:val="0"/>
        <w:snapToGrid w:val="0"/>
        <w:spacing w:line="560" w:lineRule="exact"/>
        <w:ind w:firstLine="480" w:firstLineChars="200"/>
        <w:jc w:val="left"/>
        <w:rPr>
          <w:rFonts w:ascii="宋体" w:hAnsi="宋体"/>
          <w:sz w:val="24"/>
        </w:rPr>
      </w:pPr>
      <w:r>
        <w:rPr>
          <w:rFonts w:hint="eastAsia" w:ascii="宋体" w:hAnsi="宋体"/>
          <w:sz w:val="24"/>
        </w:rPr>
        <w:t>本协议作为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合同</w:t>
      </w:r>
      <w:r>
        <w:rPr>
          <w:rFonts w:hint="eastAsia" w:ascii="宋体" w:hAnsi="宋体"/>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37"/>
        <w:spacing w:line="560" w:lineRule="exact"/>
        <w:ind w:firstLine="482" w:firstLineChars="200"/>
        <w:rPr>
          <w:rFonts w:ascii="宋体" w:hAnsi="宋体"/>
          <w:sz w:val="24"/>
        </w:rPr>
      </w:pPr>
      <w:r>
        <w:rPr>
          <w:rFonts w:hint="eastAsia" w:ascii="宋体" w:hAnsi="宋体"/>
          <w:b/>
          <w:sz w:val="24"/>
        </w:rPr>
        <w:t>四、补充条款：</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w:t>
      </w:r>
    </w:p>
    <w:p>
      <w:pPr>
        <w:adjustRightInd w:val="0"/>
        <w:snapToGrid w:val="0"/>
        <w:spacing w:line="560" w:lineRule="exact"/>
        <w:ind w:firstLine="482" w:firstLineChars="200"/>
        <w:jc w:val="left"/>
        <w:rPr>
          <w:rFonts w:ascii="宋体" w:hAnsi="宋体"/>
          <w:b/>
          <w:sz w:val="24"/>
        </w:rPr>
      </w:pPr>
      <w:r>
        <w:rPr>
          <w:rFonts w:hint="eastAsia" w:ascii="宋体" w:hAnsi="宋体"/>
          <w:b/>
          <w:sz w:val="24"/>
        </w:rPr>
        <w:t>五、附则</w:t>
      </w:r>
    </w:p>
    <w:p>
      <w:pPr>
        <w:adjustRightInd w:val="0"/>
        <w:snapToGrid w:val="0"/>
        <w:spacing w:line="560" w:lineRule="exact"/>
        <w:ind w:firstLine="480" w:firstLineChars="200"/>
        <w:jc w:val="left"/>
        <w:rPr>
          <w:rFonts w:ascii="宋体" w:hAnsi="宋体"/>
          <w:sz w:val="24"/>
        </w:rPr>
      </w:pPr>
      <w:r>
        <w:rPr>
          <w:rFonts w:hint="eastAsia" w:ascii="宋体" w:hAnsi="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sz w:val="24"/>
        </w:rPr>
      </w:pPr>
      <w:r>
        <w:rPr>
          <w:rFonts w:hint="eastAsia" w:ascii="宋体" w:hAnsi="宋体"/>
          <w:sz w:val="24"/>
        </w:rPr>
        <w:t>（二）本协议与主合同同时签订、同时终止、同时生效，具有相同的法律效力，自甲方、乙方双方签字、盖章生效，甲方、乙方双方执持数量与主合同一致。</w:t>
      </w:r>
    </w:p>
    <w:tbl>
      <w:tblPr>
        <w:tblStyle w:val="22"/>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tcPr>
          <w:p>
            <w:pPr>
              <w:adjustRightInd w:val="0"/>
              <w:snapToGrid w:val="0"/>
              <w:spacing w:line="560" w:lineRule="exact"/>
              <w:textAlignment w:val="baseline"/>
              <w:rPr>
                <w:rFonts w:ascii="宋体" w:hAnsi="宋体"/>
                <w:sz w:val="24"/>
              </w:rPr>
            </w:pPr>
            <w:r>
              <w:rPr>
                <w:rFonts w:hint="eastAsia" w:ascii="宋体" w:hAnsi="宋体"/>
                <w:sz w:val="24"/>
              </w:rPr>
              <w:t>甲方：</w:t>
            </w:r>
          </w:p>
          <w:p>
            <w:pPr>
              <w:adjustRightInd w:val="0"/>
              <w:snapToGrid w:val="0"/>
              <w:spacing w:line="560" w:lineRule="exact"/>
              <w:textAlignment w:val="baseline"/>
              <w:rPr>
                <w:rFonts w:ascii="宋体" w:hAnsi="宋体"/>
                <w:sz w:val="24"/>
              </w:rPr>
            </w:pPr>
            <w:r>
              <w:rPr>
                <w:rFonts w:hint="eastAsia" w:ascii="宋体" w:hAnsi="宋体"/>
                <w:sz w:val="24"/>
              </w:rPr>
              <w:t>签约代表：</w:t>
            </w:r>
          </w:p>
          <w:p>
            <w:pPr>
              <w:adjustRightInd w:val="0"/>
              <w:snapToGrid w:val="0"/>
              <w:spacing w:line="560" w:lineRule="exact"/>
              <w:textAlignment w:val="baseline"/>
              <w:rPr>
                <w:rFonts w:ascii="宋体" w:hAnsi="宋体"/>
                <w:sz w:val="24"/>
              </w:rPr>
            </w:pPr>
            <w:r>
              <w:rPr>
                <w:rFonts w:hint="eastAsia" w:ascii="宋体" w:hAnsi="宋体"/>
                <w:sz w:val="24"/>
              </w:rPr>
              <w:t>联系电话：</w:t>
            </w:r>
          </w:p>
          <w:p>
            <w:pPr>
              <w:adjustRightInd w:val="0"/>
              <w:snapToGrid w:val="0"/>
              <w:spacing w:line="560" w:lineRule="exact"/>
              <w:ind w:firstLine="240" w:firstLineChars="100"/>
              <w:jc w:val="right"/>
              <w:textAlignment w:val="baseline"/>
              <w:rPr>
                <w:rFonts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c>
          <w:tcPr>
            <w:tcW w:w="4474" w:type="dxa"/>
          </w:tcPr>
          <w:p>
            <w:pPr>
              <w:adjustRightInd w:val="0"/>
              <w:snapToGrid w:val="0"/>
              <w:spacing w:line="560" w:lineRule="exact"/>
              <w:textAlignment w:val="baseline"/>
              <w:rPr>
                <w:rFonts w:ascii="宋体" w:hAnsi="宋体"/>
                <w:sz w:val="24"/>
              </w:rPr>
            </w:pPr>
            <w:r>
              <w:rPr>
                <w:rFonts w:hint="eastAsia" w:ascii="宋体" w:hAnsi="宋体"/>
                <w:sz w:val="24"/>
              </w:rPr>
              <w:t>乙方：</w:t>
            </w:r>
          </w:p>
          <w:p>
            <w:pPr>
              <w:adjustRightInd w:val="0"/>
              <w:snapToGrid w:val="0"/>
              <w:spacing w:line="560" w:lineRule="exact"/>
              <w:textAlignment w:val="baseline"/>
              <w:rPr>
                <w:rFonts w:ascii="宋体" w:hAnsi="宋体"/>
                <w:sz w:val="24"/>
              </w:rPr>
            </w:pPr>
            <w:r>
              <w:rPr>
                <w:rFonts w:hint="eastAsia" w:ascii="宋体" w:hAnsi="宋体"/>
                <w:sz w:val="24"/>
              </w:rPr>
              <w:t>签约代表：</w:t>
            </w:r>
          </w:p>
          <w:p>
            <w:pPr>
              <w:adjustRightInd w:val="0"/>
              <w:snapToGrid w:val="0"/>
              <w:spacing w:line="560" w:lineRule="exact"/>
              <w:textAlignment w:val="baseline"/>
              <w:rPr>
                <w:rFonts w:ascii="宋体" w:hAnsi="宋体"/>
                <w:sz w:val="24"/>
              </w:rPr>
            </w:pPr>
            <w:r>
              <w:rPr>
                <w:rFonts w:hint="eastAsia" w:ascii="宋体" w:hAnsi="宋体"/>
                <w:sz w:val="24"/>
              </w:rPr>
              <w:t>联系电话：</w:t>
            </w:r>
          </w:p>
          <w:p>
            <w:pPr>
              <w:adjustRightInd w:val="0"/>
              <w:snapToGrid w:val="0"/>
              <w:spacing w:line="560" w:lineRule="exact"/>
              <w:jc w:val="right"/>
              <w:textAlignment w:val="baseline"/>
              <w:rPr>
                <w:rFonts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bl>
    <w:p>
      <w:pPr>
        <w:ind w:firstLine="281" w:firstLineChars="100"/>
        <w:jc w:val="center"/>
        <w:rPr>
          <w:rFonts w:ascii="仿宋_GB2312" w:hAnsi="仿宋_GB2312" w:eastAsia="仿宋_GB2312" w:cs="仿宋_GB2312"/>
          <w:b/>
          <w:color w:val="000000"/>
          <w:sz w:val="28"/>
          <w:szCs w:val="28"/>
        </w:rPr>
      </w:pPr>
    </w:p>
    <w:p>
      <w:pPr>
        <w:ind w:firstLine="281" w:firstLineChars="100"/>
        <w:jc w:val="center"/>
        <w:rPr>
          <w:rFonts w:ascii="仿宋_GB2312" w:hAnsi="仿宋_GB2312" w:eastAsia="仿宋_GB2312" w:cs="仿宋_GB2312"/>
          <w:b/>
          <w:color w:val="000000"/>
          <w:sz w:val="28"/>
          <w:szCs w:val="28"/>
        </w:rPr>
      </w:pPr>
    </w:p>
    <w:p>
      <w:pPr>
        <w:ind w:firstLine="281" w:firstLineChars="100"/>
        <w:jc w:val="center"/>
        <w:rPr>
          <w:rFonts w:ascii="仿宋_GB2312" w:hAnsi="仿宋_GB2312" w:eastAsia="仿宋_GB2312" w:cs="仿宋_GB2312"/>
          <w:b/>
          <w:color w:val="000000"/>
          <w:sz w:val="28"/>
          <w:szCs w:val="28"/>
        </w:rPr>
      </w:pPr>
    </w:p>
    <w:p>
      <w:pPr>
        <w:ind w:firstLine="281" w:firstLineChars="100"/>
        <w:jc w:val="center"/>
        <w:rPr>
          <w:rFonts w:ascii="仿宋_GB2312" w:hAnsi="仿宋_GB2312" w:eastAsia="仿宋_GB2312" w:cs="仿宋_GB2312"/>
          <w:b/>
          <w:color w:val="000000"/>
          <w:sz w:val="28"/>
          <w:szCs w:val="28"/>
        </w:rPr>
      </w:pPr>
    </w:p>
    <w:p>
      <w:pPr>
        <w:ind w:firstLine="281" w:firstLineChars="100"/>
        <w:jc w:val="center"/>
        <w:rPr>
          <w:rFonts w:ascii="仿宋_GB2312" w:hAnsi="仿宋_GB2312" w:eastAsia="仿宋_GB2312" w:cs="仿宋_GB2312"/>
          <w:b/>
          <w:color w:val="000000"/>
          <w:sz w:val="28"/>
          <w:szCs w:val="28"/>
        </w:rPr>
      </w:pPr>
    </w:p>
    <w:p>
      <w:pPr>
        <w:ind w:firstLine="281" w:firstLineChars="100"/>
        <w:jc w:val="center"/>
        <w:rPr>
          <w:rFonts w:ascii="仿宋_GB2312" w:hAnsi="仿宋_GB2312" w:eastAsia="仿宋_GB2312" w:cs="仿宋_GB2312"/>
          <w:b/>
          <w:color w:val="000000"/>
          <w:sz w:val="28"/>
          <w:szCs w:val="28"/>
        </w:rPr>
      </w:pPr>
    </w:p>
    <w:p>
      <w:pPr>
        <w:ind w:firstLine="281" w:firstLineChars="100"/>
        <w:jc w:val="center"/>
        <w:rPr>
          <w:rFonts w:ascii="仿宋_GB2312" w:hAnsi="仿宋_GB2312" w:eastAsia="仿宋_GB2312" w:cs="仿宋_GB2312"/>
          <w:b/>
          <w:color w:val="000000"/>
          <w:sz w:val="28"/>
          <w:szCs w:val="28"/>
        </w:rPr>
      </w:pPr>
    </w:p>
    <w:p>
      <w:pPr>
        <w:ind w:firstLine="281" w:firstLineChars="100"/>
        <w:jc w:val="center"/>
        <w:rPr>
          <w:rFonts w:ascii="仿宋_GB2312" w:hAnsi="仿宋_GB2312" w:eastAsia="仿宋_GB2312" w:cs="仿宋_GB2312"/>
          <w:b/>
          <w:color w:val="000000"/>
          <w:sz w:val="28"/>
          <w:szCs w:val="28"/>
        </w:rPr>
      </w:pPr>
    </w:p>
    <w:p>
      <w:pPr>
        <w:ind w:firstLine="281" w:firstLineChars="100"/>
        <w:jc w:val="center"/>
        <w:rPr>
          <w:rFonts w:ascii="仿宋_GB2312" w:hAnsi="仿宋_GB2312" w:eastAsia="仿宋_GB2312" w:cs="仿宋_GB2312"/>
          <w:b/>
          <w:color w:val="000000"/>
          <w:sz w:val="28"/>
          <w:szCs w:val="28"/>
        </w:rPr>
      </w:pPr>
    </w:p>
    <w:p>
      <w:pPr>
        <w:ind w:firstLine="281" w:firstLineChars="100"/>
        <w:jc w:val="center"/>
        <w:rPr>
          <w:rFonts w:ascii="仿宋_GB2312" w:hAnsi="仿宋_GB2312" w:eastAsia="仿宋_GB2312" w:cs="仿宋_GB2312"/>
          <w:b/>
          <w:color w:val="000000"/>
          <w:sz w:val="28"/>
          <w:szCs w:val="28"/>
        </w:rPr>
      </w:pPr>
    </w:p>
    <w:p>
      <w:pPr>
        <w:ind w:firstLine="241" w:firstLineChars="100"/>
        <w:jc w:val="both"/>
        <w:rPr>
          <w:rFonts w:hint="eastAsia" w:ascii="仿宋_GB2312" w:hAnsi="仿宋_GB2312" w:eastAsia="仿宋_GB2312" w:cs="仿宋_GB2312"/>
          <w:b/>
          <w:color w:val="000000"/>
          <w:sz w:val="24"/>
          <w:szCs w:val="24"/>
        </w:rPr>
      </w:pPr>
    </w:p>
    <w:p>
      <w:pPr>
        <w:ind w:firstLine="211" w:firstLineChars="100"/>
        <w:jc w:val="both"/>
        <w:rPr>
          <w:rFonts w:ascii="仿宋_GB2312" w:hAnsi="仿宋_GB2312" w:eastAsia="仿宋_GB2312" w:cs="仿宋_GB2312"/>
          <w:b/>
          <w:color w:val="000000"/>
          <w:sz w:val="28"/>
          <w:szCs w:val="28"/>
        </w:rPr>
      </w:pPr>
      <w:r>
        <w:rPr>
          <w:rFonts w:hint="eastAsia" w:ascii="宋体" w:hAnsi="宋体" w:cs="宋体" w:eastAsiaTheme="minorEastAsia"/>
          <w:b/>
          <w:color w:val="auto"/>
          <w:sz w:val="21"/>
          <w:szCs w:val="21"/>
        </w:rPr>
        <w:t>附件6采购需求及报价清单表</w:t>
      </w:r>
    </w:p>
    <w:p>
      <w:pPr>
        <w:pStyle w:val="28"/>
      </w:pPr>
    </w:p>
    <w:tbl>
      <w:tblPr>
        <w:tblStyle w:val="23"/>
        <w:tblpPr w:leftFromText="180" w:rightFromText="180" w:vertAnchor="text" w:horzAnchor="page" w:tblpXSpec="center" w:tblpY="481"/>
        <w:tblOverlap w:val="never"/>
        <w:tblW w:w="9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2231"/>
        <w:gridCol w:w="1382"/>
        <w:gridCol w:w="690"/>
        <w:gridCol w:w="705"/>
        <w:gridCol w:w="864"/>
        <w:gridCol w:w="1037"/>
        <w:gridCol w:w="832"/>
        <w:gridCol w:w="1038"/>
        <w:gridCol w:w="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blHeader/>
          <w:jc w:val="center"/>
        </w:trPr>
        <w:tc>
          <w:tcPr>
            <w:tcW w:w="669" w:type="dxa"/>
            <w:vMerge w:val="restart"/>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序号</w:t>
            </w:r>
          </w:p>
        </w:tc>
        <w:tc>
          <w:tcPr>
            <w:tcW w:w="2231" w:type="dxa"/>
            <w:vMerge w:val="restart"/>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名称</w:t>
            </w:r>
          </w:p>
        </w:tc>
        <w:tc>
          <w:tcPr>
            <w:tcW w:w="1382" w:type="dxa"/>
            <w:vMerge w:val="restart"/>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品牌型号</w:t>
            </w:r>
          </w:p>
        </w:tc>
        <w:tc>
          <w:tcPr>
            <w:tcW w:w="690" w:type="dxa"/>
            <w:vMerge w:val="restart"/>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单位</w:t>
            </w:r>
          </w:p>
        </w:tc>
        <w:tc>
          <w:tcPr>
            <w:tcW w:w="705" w:type="dxa"/>
            <w:vMerge w:val="restart"/>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数量</w:t>
            </w:r>
          </w:p>
        </w:tc>
        <w:tc>
          <w:tcPr>
            <w:tcW w:w="1901" w:type="dxa"/>
            <w:gridSpan w:val="2"/>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单价（元）</w:t>
            </w:r>
          </w:p>
        </w:tc>
        <w:tc>
          <w:tcPr>
            <w:tcW w:w="1870" w:type="dxa"/>
            <w:gridSpan w:val="2"/>
            <w:vAlign w:val="center"/>
          </w:tcPr>
          <w:p>
            <w:pPr>
              <w:pStyle w:val="28"/>
              <w:jc w:val="center"/>
            </w:pPr>
            <w:r>
              <w:rPr>
                <w:rFonts w:hint="eastAsia" w:hAnsi="宋体"/>
                <w:b/>
                <w:bCs/>
              </w:rPr>
              <w:t>金额（元）</w:t>
            </w:r>
          </w:p>
        </w:tc>
        <w:tc>
          <w:tcPr>
            <w:tcW w:w="549" w:type="dxa"/>
            <w:vMerge w:val="restart"/>
            <w:vAlign w:val="center"/>
          </w:tcPr>
          <w:p>
            <w:pPr>
              <w:pStyle w:val="28"/>
              <w:jc w:val="center"/>
            </w:pPr>
            <w:r>
              <w:rPr>
                <w:rFonts w:hint="eastAsia" w:hAnsi="宋体" w:eastAsiaTheme="minorEastAsia"/>
                <w:b/>
                <w:bCs/>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blHeader/>
          <w:jc w:val="center"/>
        </w:trPr>
        <w:tc>
          <w:tcPr>
            <w:tcW w:w="669" w:type="dxa"/>
            <w:vMerge w:val="continue"/>
            <w:vAlign w:val="center"/>
          </w:tcPr>
          <w:p>
            <w:pPr>
              <w:pStyle w:val="28"/>
              <w:jc w:val="center"/>
            </w:pPr>
          </w:p>
        </w:tc>
        <w:tc>
          <w:tcPr>
            <w:tcW w:w="2231" w:type="dxa"/>
            <w:vMerge w:val="continue"/>
            <w:vAlign w:val="center"/>
          </w:tcPr>
          <w:p>
            <w:pPr>
              <w:pStyle w:val="28"/>
              <w:jc w:val="center"/>
            </w:pPr>
          </w:p>
        </w:tc>
        <w:tc>
          <w:tcPr>
            <w:tcW w:w="1382" w:type="dxa"/>
            <w:vMerge w:val="continue"/>
            <w:vAlign w:val="center"/>
          </w:tcPr>
          <w:p>
            <w:pPr>
              <w:pStyle w:val="28"/>
              <w:jc w:val="center"/>
            </w:pPr>
          </w:p>
        </w:tc>
        <w:tc>
          <w:tcPr>
            <w:tcW w:w="690" w:type="dxa"/>
            <w:vMerge w:val="continue"/>
            <w:vAlign w:val="center"/>
          </w:tcPr>
          <w:p>
            <w:pPr>
              <w:pStyle w:val="28"/>
              <w:jc w:val="center"/>
            </w:pPr>
          </w:p>
        </w:tc>
        <w:tc>
          <w:tcPr>
            <w:tcW w:w="705" w:type="dxa"/>
            <w:vMerge w:val="continue"/>
            <w:vAlign w:val="center"/>
          </w:tcPr>
          <w:p>
            <w:pPr>
              <w:pStyle w:val="28"/>
              <w:jc w:val="center"/>
            </w:pPr>
          </w:p>
        </w:tc>
        <w:tc>
          <w:tcPr>
            <w:tcW w:w="864" w:type="dxa"/>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含税</w:t>
            </w:r>
          </w:p>
        </w:tc>
        <w:tc>
          <w:tcPr>
            <w:tcW w:w="1037" w:type="dxa"/>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不含税</w:t>
            </w:r>
          </w:p>
        </w:tc>
        <w:tc>
          <w:tcPr>
            <w:tcW w:w="832" w:type="dxa"/>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含税</w:t>
            </w:r>
          </w:p>
        </w:tc>
        <w:tc>
          <w:tcPr>
            <w:tcW w:w="1038" w:type="dxa"/>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不含税</w:t>
            </w:r>
          </w:p>
        </w:tc>
        <w:tc>
          <w:tcPr>
            <w:tcW w:w="549" w:type="dxa"/>
            <w:vMerge w:val="continue"/>
            <w:vAlign w:val="center"/>
          </w:tcPr>
          <w:p>
            <w:pPr>
              <w:pStyle w:val="28"/>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blHeader/>
          <w:jc w:val="center"/>
        </w:trPr>
        <w:tc>
          <w:tcPr>
            <w:tcW w:w="669" w:type="dxa"/>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2231" w:type="dxa"/>
            <w:vAlign w:val="center"/>
          </w:tcPr>
          <w:p>
            <w:pPr>
              <w:spacing w:line="0" w:lineRule="atLeast"/>
              <w:jc w:val="center"/>
              <w:rPr>
                <w:sz w:val="24"/>
                <w:szCs w:val="24"/>
              </w:rPr>
            </w:pPr>
            <w:r>
              <w:rPr>
                <w:rFonts w:hint="eastAsia"/>
                <w:color w:val="000000"/>
                <w:sz w:val="24"/>
                <w:szCs w:val="24"/>
              </w:rPr>
              <w:t>电子分析天平</w:t>
            </w:r>
          </w:p>
        </w:tc>
        <w:tc>
          <w:tcPr>
            <w:tcW w:w="1382" w:type="dxa"/>
            <w:vAlign w:val="center"/>
          </w:tcPr>
          <w:p>
            <w:pPr>
              <w:pStyle w:val="28"/>
              <w:jc w:val="center"/>
            </w:pPr>
          </w:p>
        </w:tc>
        <w:tc>
          <w:tcPr>
            <w:tcW w:w="690" w:type="dxa"/>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台</w:t>
            </w:r>
          </w:p>
        </w:tc>
        <w:tc>
          <w:tcPr>
            <w:tcW w:w="705" w:type="dxa"/>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2</w:t>
            </w:r>
          </w:p>
        </w:tc>
        <w:tc>
          <w:tcPr>
            <w:tcW w:w="864" w:type="dxa"/>
            <w:vAlign w:val="center"/>
          </w:tcPr>
          <w:p>
            <w:pPr>
              <w:pStyle w:val="28"/>
              <w:jc w:val="center"/>
            </w:pPr>
          </w:p>
        </w:tc>
        <w:tc>
          <w:tcPr>
            <w:tcW w:w="1037" w:type="dxa"/>
            <w:vAlign w:val="center"/>
          </w:tcPr>
          <w:p>
            <w:pPr>
              <w:pStyle w:val="28"/>
              <w:jc w:val="center"/>
            </w:pPr>
          </w:p>
        </w:tc>
        <w:tc>
          <w:tcPr>
            <w:tcW w:w="832" w:type="dxa"/>
            <w:vAlign w:val="center"/>
          </w:tcPr>
          <w:p>
            <w:pPr>
              <w:pStyle w:val="28"/>
              <w:jc w:val="center"/>
            </w:pPr>
          </w:p>
        </w:tc>
        <w:tc>
          <w:tcPr>
            <w:tcW w:w="1038" w:type="dxa"/>
            <w:vAlign w:val="center"/>
          </w:tcPr>
          <w:p>
            <w:pPr>
              <w:pStyle w:val="28"/>
              <w:jc w:val="center"/>
            </w:pPr>
          </w:p>
        </w:tc>
        <w:tc>
          <w:tcPr>
            <w:tcW w:w="549" w:type="dxa"/>
            <w:vAlign w:val="center"/>
          </w:tcPr>
          <w:p>
            <w:pPr>
              <w:pStyle w:val="28"/>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blHeader/>
          <w:jc w:val="center"/>
        </w:trPr>
        <w:tc>
          <w:tcPr>
            <w:tcW w:w="669" w:type="dxa"/>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c>
          <w:tcPr>
            <w:tcW w:w="2231" w:type="dxa"/>
            <w:vAlign w:val="center"/>
          </w:tcPr>
          <w:p>
            <w:pPr>
              <w:spacing w:line="0" w:lineRule="atLeast"/>
              <w:jc w:val="center"/>
              <w:rPr>
                <w:sz w:val="24"/>
                <w:szCs w:val="24"/>
              </w:rPr>
            </w:pPr>
            <w:r>
              <w:rPr>
                <w:rFonts w:hint="eastAsia"/>
                <w:color w:val="000000"/>
                <w:sz w:val="24"/>
                <w:szCs w:val="24"/>
              </w:rPr>
              <w:t>酸度计</w:t>
            </w:r>
          </w:p>
        </w:tc>
        <w:tc>
          <w:tcPr>
            <w:tcW w:w="1382" w:type="dxa"/>
            <w:vAlign w:val="center"/>
          </w:tcPr>
          <w:p>
            <w:pPr>
              <w:pStyle w:val="28"/>
              <w:jc w:val="center"/>
            </w:pPr>
          </w:p>
        </w:tc>
        <w:tc>
          <w:tcPr>
            <w:tcW w:w="690" w:type="dxa"/>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台</w:t>
            </w:r>
          </w:p>
        </w:tc>
        <w:tc>
          <w:tcPr>
            <w:tcW w:w="705" w:type="dxa"/>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2</w:t>
            </w:r>
          </w:p>
        </w:tc>
        <w:tc>
          <w:tcPr>
            <w:tcW w:w="864" w:type="dxa"/>
            <w:vAlign w:val="center"/>
          </w:tcPr>
          <w:p>
            <w:pPr>
              <w:pStyle w:val="28"/>
              <w:jc w:val="center"/>
            </w:pPr>
          </w:p>
        </w:tc>
        <w:tc>
          <w:tcPr>
            <w:tcW w:w="1037" w:type="dxa"/>
            <w:vAlign w:val="center"/>
          </w:tcPr>
          <w:p>
            <w:pPr>
              <w:pStyle w:val="28"/>
              <w:jc w:val="center"/>
            </w:pPr>
          </w:p>
        </w:tc>
        <w:tc>
          <w:tcPr>
            <w:tcW w:w="832" w:type="dxa"/>
            <w:vAlign w:val="center"/>
          </w:tcPr>
          <w:p>
            <w:pPr>
              <w:pStyle w:val="28"/>
              <w:jc w:val="center"/>
            </w:pPr>
          </w:p>
        </w:tc>
        <w:tc>
          <w:tcPr>
            <w:tcW w:w="1038" w:type="dxa"/>
            <w:vAlign w:val="center"/>
          </w:tcPr>
          <w:p>
            <w:pPr>
              <w:pStyle w:val="28"/>
              <w:jc w:val="center"/>
            </w:pPr>
          </w:p>
        </w:tc>
        <w:tc>
          <w:tcPr>
            <w:tcW w:w="549" w:type="dxa"/>
            <w:vAlign w:val="center"/>
          </w:tcPr>
          <w:p>
            <w:pPr>
              <w:pStyle w:val="28"/>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blHeader/>
          <w:jc w:val="center"/>
        </w:trPr>
        <w:tc>
          <w:tcPr>
            <w:tcW w:w="669" w:type="dxa"/>
            <w:vAlign w:val="center"/>
          </w:tcPr>
          <w:p>
            <w:pPr>
              <w:widowControl/>
              <w:jc w:val="center"/>
              <w:rPr>
                <w:rFonts w:ascii="宋体" w:hAnsi="宋体" w:cs="宋体"/>
                <w:kern w:val="0"/>
                <w:sz w:val="24"/>
                <w:szCs w:val="24"/>
              </w:rPr>
            </w:pPr>
            <w:r>
              <w:rPr>
                <w:rFonts w:hint="eastAsia" w:ascii="宋体" w:hAnsi="宋体" w:cs="宋体"/>
                <w:kern w:val="0"/>
                <w:sz w:val="24"/>
                <w:szCs w:val="24"/>
              </w:rPr>
              <w:t>3</w:t>
            </w:r>
          </w:p>
        </w:tc>
        <w:tc>
          <w:tcPr>
            <w:tcW w:w="2231" w:type="dxa"/>
            <w:vAlign w:val="center"/>
          </w:tcPr>
          <w:p>
            <w:pPr>
              <w:spacing w:line="0" w:lineRule="atLeast"/>
              <w:jc w:val="center"/>
              <w:rPr>
                <w:sz w:val="24"/>
                <w:szCs w:val="24"/>
              </w:rPr>
            </w:pPr>
            <w:r>
              <w:rPr>
                <w:rFonts w:hint="eastAsia"/>
                <w:color w:val="000000"/>
                <w:sz w:val="24"/>
                <w:szCs w:val="24"/>
              </w:rPr>
              <w:t>赶酸板</w:t>
            </w:r>
          </w:p>
        </w:tc>
        <w:tc>
          <w:tcPr>
            <w:tcW w:w="1382" w:type="dxa"/>
            <w:vAlign w:val="center"/>
          </w:tcPr>
          <w:p>
            <w:pPr>
              <w:pStyle w:val="28"/>
              <w:jc w:val="center"/>
            </w:pPr>
          </w:p>
        </w:tc>
        <w:tc>
          <w:tcPr>
            <w:tcW w:w="690" w:type="dxa"/>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台</w:t>
            </w:r>
          </w:p>
        </w:tc>
        <w:tc>
          <w:tcPr>
            <w:tcW w:w="705" w:type="dxa"/>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2</w:t>
            </w:r>
          </w:p>
        </w:tc>
        <w:tc>
          <w:tcPr>
            <w:tcW w:w="864" w:type="dxa"/>
            <w:vAlign w:val="center"/>
          </w:tcPr>
          <w:p>
            <w:pPr>
              <w:pStyle w:val="28"/>
              <w:jc w:val="center"/>
            </w:pPr>
          </w:p>
        </w:tc>
        <w:tc>
          <w:tcPr>
            <w:tcW w:w="1037" w:type="dxa"/>
            <w:vAlign w:val="center"/>
          </w:tcPr>
          <w:p>
            <w:pPr>
              <w:pStyle w:val="28"/>
              <w:jc w:val="center"/>
            </w:pPr>
          </w:p>
        </w:tc>
        <w:tc>
          <w:tcPr>
            <w:tcW w:w="832" w:type="dxa"/>
            <w:vAlign w:val="center"/>
          </w:tcPr>
          <w:p>
            <w:pPr>
              <w:pStyle w:val="28"/>
              <w:jc w:val="center"/>
            </w:pPr>
          </w:p>
        </w:tc>
        <w:tc>
          <w:tcPr>
            <w:tcW w:w="1038" w:type="dxa"/>
            <w:vAlign w:val="center"/>
          </w:tcPr>
          <w:p>
            <w:pPr>
              <w:pStyle w:val="28"/>
              <w:jc w:val="center"/>
            </w:pPr>
          </w:p>
        </w:tc>
        <w:tc>
          <w:tcPr>
            <w:tcW w:w="549" w:type="dxa"/>
            <w:vAlign w:val="center"/>
          </w:tcPr>
          <w:p>
            <w:pPr>
              <w:pStyle w:val="28"/>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blHeader/>
          <w:jc w:val="center"/>
        </w:trPr>
        <w:tc>
          <w:tcPr>
            <w:tcW w:w="669" w:type="dxa"/>
            <w:vAlign w:val="center"/>
          </w:tcPr>
          <w:p>
            <w:pPr>
              <w:widowControl/>
              <w:jc w:val="center"/>
              <w:rPr>
                <w:rFonts w:ascii="宋体" w:hAnsi="宋体" w:cs="宋体"/>
                <w:kern w:val="0"/>
                <w:sz w:val="24"/>
                <w:szCs w:val="24"/>
              </w:rPr>
            </w:pPr>
            <w:r>
              <w:rPr>
                <w:rFonts w:hint="eastAsia" w:ascii="宋体" w:hAnsi="宋体" w:cs="宋体"/>
                <w:kern w:val="0"/>
                <w:sz w:val="24"/>
                <w:szCs w:val="24"/>
              </w:rPr>
              <w:t>4</w:t>
            </w:r>
          </w:p>
        </w:tc>
        <w:tc>
          <w:tcPr>
            <w:tcW w:w="2231" w:type="dxa"/>
            <w:vAlign w:val="center"/>
          </w:tcPr>
          <w:p>
            <w:pPr>
              <w:spacing w:line="0" w:lineRule="atLeast"/>
              <w:jc w:val="center"/>
              <w:rPr>
                <w:sz w:val="24"/>
                <w:szCs w:val="24"/>
              </w:rPr>
            </w:pPr>
            <w:r>
              <w:rPr>
                <w:rFonts w:hint="eastAsia"/>
                <w:color w:val="000000"/>
                <w:sz w:val="24"/>
                <w:szCs w:val="24"/>
              </w:rPr>
              <w:t>电动低速离心机</w:t>
            </w:r>
          </w:p>
        </w:tc>
        <w:tc>
          <w:tcPr>
            <w:tcW w:w="1382" w:type="dxa"/>
            <w:vAlign w:val="center"/>
          </w:tcPr>
          <w:p>
            <w:pPr>
              <w:pStyle w:val="28"/>
              <w:jc w:val="center"/>
            </w:pPr>
          </w:p>
        </w:tc>
        <w:tc>
          <w:tcPr>
            <w:tcW w:w="690" w:type="dxa"/>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台</w:t>
            </w:r>
          </w:p>
        </w:tc>
        <w:tc>
          <w:tcPr>
            <w:tcW w:w="705" w:type="dxa"/>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1</w:t>
            </w:r>
          </w:p>
        </w:tc>
        <w:tc>
          <w:tcPr>
            <w:tcW w:w="864" w:type="dxa"/>
            <w:vAlign w:val="center"/>
          </w:tcPr>
          <w:p>
            <w:pPr>
              <w:pStyle w:val="28"/>
              <w:jc w:val="center"/>
            </w:pPr>
          </w:p>
        </w:tc>
        <w:tc>
          <w:tcPr>
            <w:tcW w:w="1037" w:type="dxa"/>
            <w:vAlign w:val="center"/>
          </w:tcPr>
          <w:p>
            <w:pPr>
              <w:pStyle w:val="28"/>
              <w:jc w:val="center"/>
            </w:pPr>
          </w:p>
        </w:tc>
        <w:tc>
          <w:tcPr>
            <w:tcW w:w="832" w:type="dxa"/>
            <w:vAlign w:val="center"/>
          </w:tcPr>
          <w:p>
            <w:pPr>
              <w:pStyle w:val="28"/>
              <w:jc w:val="center"/>
            </w:pPr>
          </w:p>
        </w:tc>
        <w:tc>
          <w:tcPr>
            <w:tcW w:w="1038" w:type="dxa"/>
            <w:vAlign w:val="center"/>
          </w:tcPr>
          <w:p>
            <w:pPr>
              <w:pStyle w:val="28"/>
              <w:jc w:val="center"/>
            </w:pPr>
          </w:p>
        </w:tc>
        <w:tc>
          <w:tcPr>
            <w:tcW w:w="549" w:type="dxa"/>
            <w:vAlign w:val="center"/>
          </w:tcPr>
          <w:p>
            <w:pPr>
              <w:pStyle w:val="28"/>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blHeader/>
          <w:jc w:val="center"/>
        </w:trPr>
        <w:tc>
          <w:tcPr>
            <w:tcW w:w="669" w:type="dxa"/>
            <w:vAlign w:val="center"/>
          </w:tcPr>
          <w:p>
            <w:pPr>
              <w:widowControl/>
              <w:jc w:val="center"/>
              <w:rPr>
                <w:rFonts w:ascii="宋体" w:hAnsi="宋体" w:cs="宋体"/>
                <w:kern w:val="0"/>
                <w:sz w:val="24"/>
                <w:szCs w:val="24"/>
              </w:rPr>
            </w:pPr>
            <w:r>
              <w:rPr>
                <w:rFonts w:hint="eastAsia" w:ascii="宋体" w:hAnsi="宋体" w:cs="宋体"/>
                <w:kern w:val="0"/>
                <w:sz w:val="24"/>
                <w:szCs w:val="24"/>
              </w:rPr>
              <w:t>5</w:t>
            </w:r>
          </w:p>
        </w:tc>
        <w:tc>
          <w:tcPr>
            <w:tcW w:w="2231" w:type="dxa"/>
            <w:vAlign w:val="center"/>
          </w:tcPr>
          <w:p>
            <w:pPr>
              <w:spacing w:line="0" w:lineRule="atLeast"/>
              <w:jc w:val="center"/>
              <w:rPr>
                <w:sz w:val="24"/>
                <w:szCs w:val="24"/>
              </w:rPr>
            </w:pPr>
            <w:r>
              <w:rPr>
                <w:rFonts w:hint="eastAsia"/>
                <w:color w:val="000000"/>
                <w:sz w:val="24"/>
                <w:szCs w:val="24"/>
              </w:rPr>
              <w:t>COD消解装置（回流）</w:t>
            </w:r>
          </w:p>
        </w:tc>
        <w:tc>
          <w:tcPr>
            <w:tcW w:w="1382" w:type="dxa"/>
            <w:vAlign w:val="center"/>
          </w:tcPr>
          <w:p>
            <w:pPr>
              <w:pStyle w:val="28"/>
              <w:jc w:val="center"/>
            </w:pPr>
          </w:p>
        </w:tc>
        <w:tc>
          <w:tcPr>
            <w:tcW w:w="690" w:type="dxa"/>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台</w:t>
            </w:r>
          </w:p>
        </w:tc>
        <w:tc>
          <w:tcPr>
            <w:tcW w:w="705" w:type="dxa"/>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1</w:t>
            </w:r>
          </w:p>
        </w:tc>
        <w:tc>
          <w:tcPr>
            <w:tcW w:w="864" w:type="dxa"/>
            <w:vAlign w:val="center"/>
          </w:tcPr>
          <w:p>
            <w:pPr>
              <w:pStyle w:val="28"/>
              <w:jc w:val="center"/>
            </w:pPr>
          </w:p>
        </w:tc>
        <w:tc>
          <w:tcPr>
            <w:tcW w:w="1037" w:type="dxa"/>
            <w:vAlign w:val="center"/>
          </w:tcPr>
          <w:p>
            <w:pPr>
              <w:pStyle w:val="28"/>
              <w:jc w:val="center"/>
            </w:pPr>
          </w:p>
        </w:tc>
        <w:tc>
          <w:tcPr>
            <w:tcW w:w="832" w:type="dxa"/>
            <w:vAlign w:val="center"/>
          </w:tcPr>
          <w:p>
            <w:pPr>
              <w:pStyle w:val="28"/>
              <w:jc w:val="center"/>
            </w:pPr>
          </w:p>
        </w:tc>
        <w:tc>
          <w:tcPr>
            <w:tcW w:w="1038" w:type="dxa"/>
            <w:vAlign w:val="center"/>
          </w:tcPr>
          <w:p>
            <w:pPr>
              <w:pStyle w:val="28"/>
              <w:jc w:val="center"/>
            </w:pPr>
          </w:p>
        </w:tc>
        <w:tc>
          <w:tcPr>
            <w:tcW w:w="549" w:type="dxa"/>
            <w:vAlign w:val="center"/>
          </w:tcPr>
          <w:p>
            <w:pPr>
              <w:pStyle w:val="28"/>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blHeader/>
          <w:jc w:val="center"/>
        </w:trPr>
        <w:tc>
          <w:tcPr>
            <w:tcW w:w="669" w:type="dxa"/>
            <w:vAlign w:val="center"/>
          </w:tcPr>
          <w:p>
            <w:pPr>
              <w:widowControl/>
              <w:jc w:val="center"/>
              <w:rPr>
                <w:rFonts w:ascii="宋体" w:hAnsi="宋体" w:cs="宋体"/>
                <w:kern w:val="0"/>
                <w:sz w:val="24"/>
                <w:szCs w:val="24"/>
              </w:rPr>
            </w:pPr>
            <w:r>
              <w:rPr>
                <w:rFonts w:hint="eastAsia" w:ascii="宋体" w:hAnsi="宋体" w:cs="宋体"/>
                <w:kern w:val="0"/>
                <w:sz w:val="24"/>
                <w:szCs w:val="24"/>
              </w:rPr>
              <w:t>6</w:t>
            </w:r>
          </w:p>
        </w:tc>
        <w:tc>
          <w:tcPr>
            <w:tcW w:w="2231" w:type="dxa"/>
            <w:vAlign w:val="center"/>
          </w:tcPr>
          <w:p>
            <w:pPr>
              <w:spacing w:line="0" w:lineRule="atLeast"/>
              <w:jc w:val="center"/>
              <w:rPr>
                <w:sz w:val="24"/>
                <w:szCs w:val="24"/>
              </w:rPr>
            </w:pPr>
            <w:r>
              <w:rPr>
                <w:rFonts w:hint="eastAsia"/>
                <w:color w:val="000000"/>
                <w:sz w:val="24"/>
                <w:szCs w:val="24"/>
              </w:rPr>
              <w:t>微波消解仪</w:t>
            </w:r>
          </w:p>
        </w:tc>
        <w:tc>
          <w:tcPr>
            <w:tcW w:w="1382" w:type="dxa"/>
            <w:vAlign w:val="center"/>
          </w:tcPr>
          <w:p>
            <w:pPr>
              <w:pStyle w:val="28"/>
              <w:jc w:val="center"/>
            </w:pPr>
          </w:p>
        </w:tc>
        <w:tc>
          <w:tcPr>
            <w:tcW w:w="690" w:type="dxa"/>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台</w:t>
            </w:r>
          </w:p>
        </w:tc>
        <w:tc>
          <w:tcPr>
            <w:tcW w:w="705" w:type="dxa"/>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1</w:t>
            </w:r>
          </w:p>
        </w:tc>
        <w:tc>
          <w:tcPr>
            <w:tcW w:w="864" w:type="dxa"/>
            <w:vAlign w:val="center"/>
          </w:tcPr>
          <w:p>
            <w:pPr>
              <w:pStyle w:val="28"/>
              <w:jc w:val="center"/>
            </w:pPr>
          </w:p>
        </w:tc>
        <w:tc>
          <w:tcPr>
            <w:tcW w:w="1037" w:type="dxa"/>
            <w:vAlign w:val="center"/>
          </w:tcPr>
          <w:p>
            <w:pPr>
              <w:pStyle w:val="28"/>
              <w:jc w:val="center"/>
            </w:pPr>
          </w:p>
        </w:tc>
        <w:tc>
          <w:tcPr>
            <w:tcW w:w="832" w:type="dxa"/>
            <w:vAlign w:val="center"/>
          </w:tcPr>
          <w:p>
            <w:pPr>
              <w:pStyle w:val="28"/>
              <w:jc w:val="center"/>
            </w:pPr>
          </w:p>
        </w:tc>
        <w:tc>
          <w:tcPr>
            <w:tcW w:w="1038" w:type="dxa"/>
            <w:vAlign w:val="center"/>
          </w:tcPr>
          <w:p>
            <w:pPr>
              <w:pStyle w:val="28"/>
              <w:jc w:val="center"/>
            </w:pPr>
          </w:p>
        </w:tc>
        <w:tc>
          <w:tcPr>
            <w:tcW w:w="549" w:type="dxa"/>
            <w:vAlign w:val="center"/>
          </w:tcPr>
          <w:p>
            <w:pPr>
              <w:pStyle w:val="28"/>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blHeader/>
          <w:jc w:val="center"/>
        </w:trPr>
        <w:tc>
          <w:tcPr>
            <w:tcW w:w="669" w:type="dxa"/>
            <w:vAlign w:val="center"/>
          </w:tcPr>
          <w:p>
            <w:pPr>
              <w:widowControl/>
              <w:jc w:val="center"/>
              <w:rPr>
                <w:rFonts w:ascii="宋体" w:hAnsi="宋体" w:cs="宋体"/>
                <w:kern w:val="0"/>
                <w:sz w:val="24"/>
                <w:szCs w:val="24"/>
              </w:rPr>
            </w:pPr>
            <w:r>
              <w:rPr>
                <w:rFonts w:hint="eastAsia" w:ascii="宋体" w:hAnsi="宋体" w:cs="宋体"/>
                <w:kern w:val="0"/>
                <w:sz w:val="24"/>
                <w:szCs w:val="24"/>
              </w:rPr>
              <w:t>7</w:t>
            </w:r>
          </w:p>
        </w:tc>
        <w:tc>
          <w:tcPr>
            <w:tcW w:w="2231" w:type="dxa"/>
            <w:vAlign w:val="center"/>
          </w:tcPr>
          <w:p>
            <w:pPr>
              <w:spacing w:line="0" w:lineRule="atLeast"/>
              <w:jc w:val="center"/>
              <w:rPr>
                <w:sz w:val="24"/>
                <w:szCs w:val="24"/>
              </w:rPr>
            </w:pPr>
            <w:r>
              <w:rPr>
                <w:rFonts w:hint="eastAsia"/>
                <w:color w:val="000000"/>
                <w:sz w:val="24"/>
                <w:szCs w:val="24"/>
              </w:rPr>
              <w:t>COD消解器</w:t>
            </w:r>
          </w:p>
        </w:tc>
        <w:tc>
          <w:tcPr>
            <w:tcW w:w="1382" w:type="dxa"/>
            <w:vAlign w:val="center"/>
          </w:tcPr>
          <w:p>
            <w:pPr>
              <w:pStyle w:val="28"/>
              <w:jc w:val="center"/>
            </w:pPr>
          </w:p>
        </w:tc>
        <w:tc>
          <w:tcPr>
            <w:tcW w:w="690" w:type="dxa"/>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台</w:t>
            </w:r>
          </w:p>
        </w:tc>
        <w:tc>
          <w:tcPr>
            <w:tcW w:w="705" w:type="dxa"/>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2</w:t>
            </w:r>
          </w:p>
        </w:tc>
        <w:tc>
          <w:tcPr>
            <w:tcW w:w="864" w:type="dxa"/>
            <w:vAlign w:val="center"/>
          </w:tcPr>
          <w:p>
            <w:pPr>
              <w:pStyle w:val="28"/>
              <w:jc w:val="center"/>
            </w:pPr>
          </w:p>
        </w:tc>
        <w:tc>
          <w:tcPr>
            <w:tcW w:w="1037" w:type="dxa"/>
            <w:vAlign w:val="center"/>
          </w:tcPr>
          <w:p>
            <w:pPr>
              <w:pStyle w:val="28"/>
              <w:jc w:val="center"/>
            </w:pPr>
          </w:p>
        </w:tc>
        <w:tc>
          <w:tcPr>
            <w:tcW w:w="832" w:type="dxa"/>
            <w:vAlign w:val="center"/>
          </w:tcPr>
          <w:p>
            <w:pPr>
              <w:pStyle w:val="28"/>
              <w:jc w:val="center"/>
            </w:pPr>
          </w:p>
        </w:tc>
        <w:tc>
          <w:tcPr>
            <w:tcW w:w="1038" w:type="dxa"/>
            <w:vAlign w:val="center"/>
          </w:tcPr>
          <w:p>
            <w:pPr>
              <w:pStyle w:val="28"/>
              <w:jc w:val="center"/>
            </w:pPr>
          </w:p>
        </w:tc>
        <w:tc>
          <w:tcPr>
            <w:tcW w:w="549" w:type="dxa"/>
            <w:vAlign w:val="center"/>
          </w:tcPr>
          <w:p>
            <w:pPr>
              <w:pStyle w:val="28"/>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blHeader/>
          <w:jc w:val="center"/>
        </w:trPr>
        <w:tc>
          <w:tcPr>
            <w:tcW w:w="669" w:type="dxa"/>
            <w:vAlign w:val="center"/>
          </w:tcPr>
          <w:p>
            <w:pPr>
              <w:widowControl/>
              <w:jc w:val="center"/>
              <w:rPr>
                <w:rFonts w:ascii="宋体" w:hAnsi="宋体" w:cs="宋体"/>
                <w:kern w:val="0"/>
                <w:sz w:val="24"/>
                <w:szCs w:val="24"/>
              </w:rPr>
            </w:pPr>
            <w:r>
              <w:rPr>
                <w:rFonts w:hint="eastAsia" w:ascii="宋体" w:hAnsi="宋体" w:cs="宋体"/>
                <w:kern w:val="0"/>
                <w:sz w:val="24"/>
                <w:szCs w:val="24"/>
              </w:rPr>
              <w:t>8</w:t>
            </w:r>
          </w:p>
        </w:tc>
        <w:tc>
          <w:tcPr>
            <w:tcW w:w="2231" w:type="dxa"/>
            <w:vAlign w:val="center"/>
          </w:tcPr>
          <w:p>
            <w:pPr>
              <w:spacing w:line="0" w:lineRule="atLeast"/>
              <w:jc w:val="center"/>
              <w:rPr>
                <w:sz w:val="24"/>
                <w:szCs w:val="24"/>
              </w:rPr>
            </w:pPr>
            <w:r>
              <w:rPr>
                <w:rFonts w:hint="eastAsia"/>
                <w:color w:val="000000"/>
                <w:sz w:val="24"/>
                <w:szCs w:val="24"/>
              </w:rPr>
              <w:t>便携式多参数水质分析仪</w:t>
            </w:r>
          </w:p>
        </w:tc>
        <w:tc>
          <w:tcPr>
            <w:tcW w:w="1382" w:type="dxa"/>
            <w:vAlign w:val="center"/>
          </w:tcPr>
          <w:p>
            <w:pPr>
              <w:pStyle w:val="28"/>
              <w:jc w:val="center"/>
            </w:pPr>
          </w:p>
        </w:tc>
        <w:tc>
          <w:tcPr>
            <w:tcW w:w="690" w:type="dxa"/>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台</w:t>
            </w:r>
          </w:p>
        </w:tc>
        <w:tc>
          <w:tcPr>
            <w:tcW w:w="705" w:type="dxa"/>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2</w:t>
            </w:r>
          </w:p>
        </w:tc>
        <w:tc>
          <w:tcPr>
            <w:tcW w:w="864" w:type="dxa"/>
            <w:vAlign w:val="center"/>
          </w:tcPr>
          <w:p>
            <w:pPr>
              <w:pStyle w:val="28"/>
              <w:jc w:val="center"/>
            </w:pPr>
          </w:p>
        </w:tc>
        <w:tc>
          <w:tcPr>
            <w:tcW w:w="1037" w:type="dxa"/>
            <w:vAlign w:val="center"/>
          </w:tcPr>
          <w:p>
            <w:pPr>
              <w:pStyle w:val="28"/>
              <w:jc w:val="center"/>
            </w:pPr>
          </w:p>
        </w:tc>
        <w:tc>
          <w:tcPr>
            <w:tcW w:w="832" w:type="dxa"/>
            <w:vAlign w:val="center"/>
          </w:tcPr>
          <w:p>
            <w:pPr>
              <w:pStyle w:val="28"/>
              <w:jc w:val="center"/>
            </w:pPr>
          </w:p>
        </w:tc>
        <w:tc>
          <w:tcPr>
            <w:tcW w:w="1038" w:type="dxa"/>
            <w:vAlign w:val="center"/>
          </w:tcPr>
          <w:p>
            <w:pPr>
              <w:pStyle w:val="28"/>
              <w:jc w:val="center"/>
            </w:pPr>
          </w:p>
        </w:tc>
        <w:tc>
          <w:tcPr>
            <w:tcW w:w="549" w:type="dxa"/>
            <w:vAlign w:val="center"/>
          </w:tcPr>
          <w:p>
            <w:pPr>
              <w:pStyle w:val="28"/>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blHeader/>
          <w:jc w:val="center"/>
        </w:trPr>
        <w:tc>
          <w:tcPr>
            <w:tcW w:w="669" w:type="dxa"/>
            <w:vAlign w:val="center"/>
          </w:tcPr>
          <w:p>
            <w:pPr>
              <w:widowControl/>
              <w:jc w:val="center"/>
              <w:rPr>
                <w:rFonts w:ascii="宋体" w:hAnsi="宋体" w:cs="宋体"/>
                <w:kern w:val="0"/>
                <w:sz w:val="24"/>
                <w:szCs w:val="24"/>
              </w:rPr>
            </w:pPr>
            <w:r>
              <w:rPr>
                <w:rFonts w:hint="eastAsia" w:ascii="宋体" w:hAnsi="宋体" w:cs="宋体"/>
                <w:kern w:val="0"/>
                <w:sz w:val="24"/>
                <w:szCs w:val="24"/>
              </w:rPr>
              <w:t>9</w:t>
            </w:r>
          </w:p>
        </w:tc>
        <w:tc>
          <w:tcPr>
            <w:tcW w:w="2231" w:type="dxa"/>
            <w:vAlign w:val="center"/>
          </w:tcPr>
          <w:p>
            <w:pPr>
              <w:spacing w:line="0" w:lineRule="atLeast"/>
              <w:jc w:val="center"/>
              <w:rPr>
                <w:sz w:val="24"/>
                <w:szCs w:val="24"/>
              </w:rPr>
            </w:pPr>
            <w:r>
              <w:rPr>
                <w:rFonts w:hint="eastAsia"/>
                <w:color w:val="000000"/>
                <w:sz w:val="24"/>
                <w:szCs w:val="24"/>
              </w:rPr>
              <w:t>单参数溶解氧分析仪</w:t>
            </w:r>
          </w:p>
        </w:tc>
        <w:tc>
          <w:tcPr>
            <w:tcW w:w="1382" w:type="dxa"/>
            <w:vAlign w:val="center"/>
          </w:tcPr>
          <w:p>
            <w:pPr>
              <w:pStyle w:val="28"/>
              <w:jc w:val="center"/>
            </w:pPr>
          </w:p>
        </w:tc>
        <w:tc>
          <w:tcPr>
            <w:tcW w:w="690" w:type="dxa"/>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台</w:t>
            </w:r>
          </w:p>
        </w:tc>
        <w:tc>
          <w:tcPr>
            <w:tcW w:w="705" w:type="dxa"/>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2</w:t>
            </w:r>
          </w:p>
        </w:tc>
        <w:tc>
          <w:tcPr>
            <w:tcW w:w="864" w:type="dxa"/>
            <w:vAlign w:val="center"/>
          </w:tcPr>
          <w:p>
            <w:pPr>
              <w:pStyle w:val="28"/>
              <w:jc w:val="center"/>
            </w:pPr>
          </w:p>
        </w:tc>
        <w:tc>
          <w:tcPr>
            <w:tcW w:w="1037" w:type="dxa"/>
            <w:vAlign w:val="center"/>
          </w:tcPr>
          <w:p>
            <w:pPr>
              <w:pStyle w:val="28"/>
              <w:jc w:val="center"/>
            </w:pPr>
          </w:p>
        </w:tc>
        <w:tc>
          <w:tcPr>
            <w:tcW w:w="832" w:type="dxa"/>
            <w:vAlign w:val="center"/>
          </w:tcPr>
          <w:p>
            <w:pPr>
              <w:pStyle w:val="28"/>
              <w:jc w:val="center"/>
            </w:pPr>
          </w:p>
        </w:tc>
        <w:tc>
          <w:tcPr>
            <w:tcW w:w="1038" w:type="dxa"/>
            <w:vAlign w:val="center"/>
          </w:tcPr>
          <w:p>
            <w:pPr>
              <w:pStyle w:val="28"/>
              <w:jc w:val="center"/>
            </w:pPr>
          </w:p>
        </w:tc>
        <w:tc>
          <w:tcPr>
            <w:tcW w:w="549" w:type="dxa"/>
            <w:vAlign w:val="center"/>
          </w:tcPr>
          <w:p>
            <w:pPr>
              <w:pStyle w:val="28"/>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blHeader/>
          <w:jc w:val="center"/>
        </w:trPr>
        <w:tc>
          <w:tcPr>
            <w:tcW w:w="669" w:type="dxa"/>
            <w:vAlign w:val="center"/>
          </w:tcPr>
          <w:p>
            <w:pPr>
              <w:widowControl/>
              <w:jc w:val="center"/>
              <w:rPr>
                <w:rFonts w:ascii="宋体" w:hAnsi="宋体" w:cs="宋体"/>
                <w:kern w:val="0"/>
                <w:sz w:val="24"/>
                <w:szCs w:val="24"/>
              </w:rPr>
            </w:pPr>
            <w:r>
              <w:rPr>
                <w:rFonts w:hint="eastAsia" w:ascii="宋体" w:hAnsi="宋体" w:cs="宋体"/>
                <w:kern w:val="0"/>
                <w:sz w:val="24"/>
                <w:szCs w:val="24"/>
              </w:rPr>
              <w:t>10</w:t>
            </w:r>
          </w:p>
        </w:tc>
        <w:tc>
          <w:tcPr>
            <w:tcW w:w="2231" w:type="dxa"/>
            <w:vAlign w:val="center"/>
          </w:tcPr>
          <w:p>
            <w:pPr>
              <w:spacing w:line="0" w:lineRule="atLeast"/>
              <w:jc w:val="center"/>
              <w:rPr>
                <w:sz w:val="24"/>
                <w:szCs w:val="24"/>
              </w:rPr>
            </w:pPr>
            <w:r>
              <w:rPr>
                <w:rFonts w:hint="eastAsia"/>
                <w:color w:val="000000"/>
                <w:sz w:val="24"/>
                <w:szCs w:val="24"/>
              </w:rPr>
              <w:t>紫外可见分光光度计</w:t>
            </w:r>
          </w:p>
        </w:tc>
        <w:tc>
          <w:tcPr>
            <w:tcW w:w="1382" w:type="dxa"/>
            <w:vAlign w:val="center"/>
          </w:tcPr>
          <w:p>
            <w:pPr>
              <w:pStyle w:val="28"/>
              <w:jc w:val="center"/>
            </w:pPr>
          </w:p>
        </w:tc>
        <w:tc>
          <w:tcPr>
            <w:tcW w:w="690" w:type="dxa"/>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台</w:t>
            </w:r>
          </w:p>
        </w:tc>
        <w:tc>
          <w:tcPr>
            <w:tcW w:w="705" w:type="dxa"/>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2</w:t>
            </w:r>
          </w:p>
        </w:tc>
        <w:tc>
          <w:tcPr>
            <w:tcW w:w="864" w:type="dxa"/>
            <w:vAlign w:val="center"/>
          </w:tcPr>
          <w:p>
            <w:pPr>
              <w:pStyle w:val="28"/>
              <w:jc w:val="center"/>
            </w:pPr>
          </w:p>
        </w:tc>
        <w:tc>
          <w:tcPr>
            <w:tcW w:w="1037" w:type="dxa"/>
            <w:vAlign w:val="center"/>
          </w:tcPr>
          <w:p>
            <w:pPr>
              <w:pStyle w:val="28"/>
              <w:jc w:val="center"/>
            </w:pPr>
          </w:p>
        </w:tc>
        <w:tc>
          <w:tcPr>
            <w:tcW w:w="832" w:type="dxa"/>
            <w:vAlign w:val="center"/>
          </w:tcPr>
          <w:p>
            <w:pPr>
              <w:pStyle w:val="28"/>
              <w:jc w:val="center"/>
            </w:pPr>
          </w:p>
        </w:tc>
        <w:tc>
          <w:tcPr>
            <w:tcW w:w="1038" w:type="dxa"/>
            <w:vAlign w:val="center"/>
          </w:tcPr>
          <w:p>
            <w:pPr>
              <w:pStyle w:val="28"/>
              <w:jc w:val="center"/>
            </w:pPr>
          </w:p>
        </w:tc>
        <w:tc>
          <w:tcPr>
            <w:tcW w:w="549" w:type="dxa"/>
            <w:vAlign w:val="center"/>
          </w:tcPr>
          <w:p>
            <w:pPr>
              <w:pStyle w:val="28"/>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blHeader/>
          <w:jc w:val="center"/>
        </w:trPr>
        <w:tc>
          <w:tcPr>
            <w:tcW w:w="669" w:type="dxa"/>
            <w:vAlign w:val="center"/>
          </w:tcPr>
          <w:p>
            <w:pPr>
              <w:widowControl/>
              <w:jc w:val="center"/>
              <w:rPr>
                <w:rFonts w:ascii="宋体" w:hAnsi="宋体" w:cs="宋体"/>
                <w:kern w:val="0"/>
                <w:sz w:val="24"/>
                <w:szCs w:val="24"/>
              </w:rPr>
            </w:pPr>
            <w:r>
              <w:rPr>
                <w:rFonts w:hint="eastAsia" w:ascii="宋体" w:hAnsi="宋体" w:cs="宋体"/>
                <w:kern w:val="0"/>
                <w:sz w:val="24"/>
                <w:szCs w:val="24"/>
              </w:rPr>
              <w:t>11</w:t>
            </w:r>
          </w:p>
        </w:tc>
        <w:tc>
          <w:tcPr>
            <w:tcW w:w="2231" w:type="dxa"/>
            <w:vAlign w:val="center"/>
          </w:tcPr>
          <w:p>
            <w:pPr>
              <w:spacing w:line="0" w:lineRule="atLeast"/>
              <w:jc w:val="center"/>
              <w:rPr>
                <w:sz w:val="24"/>
                <w:szCs w:val="24"/>
              </w:rPr>
            </w:pPr>
            <w:r>
              <w:rPr>
                <w:rFonts w:hint="eastAsia"/>
                <w:color w:val="000000"/>
                <w:sz w:val="24"/>
                <w:szCs w:val="24"/>
              </w:rPr>
              <w:t>超纯水机</w:t>
            </w:r>
          </w:p>
        </w:tc>
        <w:tc>
          <w:tcPr>
            <w:tcW w:w="1382" w:type="dxa"/>
            <w:vAlign w:val="center"/>
          </w:tcPr>
          <w:p>
            <w:pPr>
              <w:pStyle w:val="28"/>
              <w:jc w:val="center"/>
            </w:pPr>
          </w:p>
        </w:tc>
        <w:tc>
          <w:tcPr>
            <w:tcW w:w="690" w:type="dxa"/>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台</w:t>
            </w:r>
          </w:p>
        </w:tc>
        <w:tc>
          <w:tcPr>
            <w:tcW w:w="705" w:type="dxa"/>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1</w:t>
            </w:r>
          </w:p>
        </w:tc>
        <w:tc>
          <w:tcPr>
            <w:tcW w:w="864" w:type="dxa"/>
            <w:vAlign w:val="center"/>
          </w:tcPr>
          <w:p>
            <w:pPr>
              <w:pStyle w:val="28"/>
              <w:jc w:val="center"/>
            </w:pPr>
          </w:p>
        </w:tc>
        <w:tc>
          <w:tcPr>
            <w:tcW w:w="1037" w:type="dxa"/>
            <w:vAlign w:val="center"/>
          </w:tcPr>
          <w:p>
            <w:pPr>
              <w:pStyle w:val="28"/>
              <w:jc w:val="center"/>
            </w:pPr>
          </w:p>
        </w:tc>
        <w:tc>
          <w:tcPr>
            <w:tcW w:w="832" w:type="dxa"/>
            <w:vAlign w:val="center"/>
          </w:tcPr>
          <w:p>
            <w:pPr>
              <w:pStyle w:val="28"/>
              <w:jc w:val="center"/>
            </w:pPr>
          </w:p>
        </w:tc>
        <w:tc>
          <w:tcPr>
            <w:tcW w:w="1038" w:type="dxa"/>
            <w:vAlign w:val="center"/>
          </w:tcPr>
          <w:p>
            <w:pPr>
              <w:pStyle w:val="28"/>
              <w:jc w:val="center"/>
            </w:pPr>
          </w:p>
        </w:tc>
        <w:tc>
          <w:tcPr>
            <w:tcW w:w="549" w:type="dxa"/>
            <w:vAlign w:val="center"/>
          </w:tcPr>
          <w:p>
            <w:pPr>
              <w:pStyle w:val="28"/>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blHeader/>
          <w:jc w:val="center"/>
        </w:trPr>
        <w:tc>
          <w:tcPr>
            <w:tcW w:w="7578" w:type="dxa"/>
            <w:gridSpan w:val="7"/>
            <w:vAlign w:val="center"/>
          </w:tcPr>
          <w:p>
            <w:pPr>
              <w:pStyle w:val="28"/>
              <w:jc w:val="center"/>
              <w:rPr>
                <w:rFonts w:hint="default" w:eastAsia="仿宋_GB2312"/>
                <w:b/>
                <w:bCs/>
                <w:lang w:val="en-US" w:eastAsia="zh-CN"/>
              </w:rPr>
            </w:pPr>
            <w:r>
              <w:rPr>
                <w:rFonts w:hint="eastAsia"/>
                <w:b/>
                <w:bCs/>
              </w:rPr>
              <w:t>总计</w:t>
            </w:r>
            <w:r>
              <w:rPr>
                <w:rFonts w:hint="eastAsia"/>
                <w:b/>
                <w:bCs/>
                <w:lang w:val="en-US" w:eastAsia="zh-CN"/>
              </w:rPr>
              <w:t xml:space="preserve">  元（含税  %）</w:t>
            </w:r>
          </w:p>
        </w:tc>
        <w:tc>
          <w:tcPr>
            <w:tcW w:w="832" w:type="dxa"/>
            <w:vAlign w:val="center"/>
          </w:tcPr>
          <w:p>
            <w:pPr>
              <w:pStyle w:val="28"/>
              <w:jc w:val="center"/>
            </w:pPr>
          </w:p>
        </w:tc>
        <w:tc>
          <w:tcPr>
            <w:tcW w:w="1038" w:type="dxa"/>
            <w:vAlign w:val="center"/>
          </w:tcPr>
          <w:p>
            <w:pPr>
              <w:pStyle w:val="28"/>
              <w:jc w:val="center"/>
            </w:pPr>
          </w:p>
        </w:tc>
        <w:tc>
          <w:tcPr>
            <w:tcW w:w="549" w:type="dxa"/>
            <w:vAlign w:val="center"/>
          </w:tcPr>
          <w:p>
            <w:pPr>
              <w:pStyle w:val="28"/>
              <w:jc w:val="center"/>
            </w:pPr>
          </w:p>
        </w:tc>
      </w:tr>
    </w:tbl>
    <w:p>
      <w:pPr>
        <w:spacing w:line="360" w:lineRule="auto"/>
        <w:rPr>
          <w:rFonts w:ascii="宋体" w:hAnsi="宋体" w:cs="宋体"/>
          <w:sz w:val="24"/>
          <w:szCs w:val="24"/>
        </w:rPr>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adjustRightInd w:val="0"/>
        <w:snapToGrid w:val="0"/>
        <w:spacing w:before="156" w:beforeLines="50" w:after="156" w:afterLines="50" w:line="600" w:lineRule="exact"/>
        <w:jc w:val="both"/>
        <w:rPr>
          <w:rFonts w:ascii="方正小标宋简体" w:eastAsia="方正小标宋简体"/>
          <w:sz w:val="44"/>
          <w:szCs w:val="44"/>
        </w:rPr>
      </w:pPr>
    </w:p>
    <w:p>
      <w:pPr>
        <w:pStyle w:val="21"/>
        <w:ind w:firstLine="0"/>
        <w:rPr>
          <w:rFonts w:ascii="仿宋_GB2312" w:eastAsia="仿宋_GB2312"/>
          <w:color w:val="auto"/>
          <w:sz w:val="28"/>
          <w:szCs w:val="28"/>
        </w:rPr>
      </w:pPr>
    </w:p>
    <w:p>
      <w:pPr>
        <w:pStyle w:val="3"/>
      </w:pPr>
      <w:bookmarkStart w:id="120" w:name="_Toc6230"/>
      <w:bookmarkStart w:id="121" w:name="_Toc12169"/>
      <w:bookmarkStart w:id="122" w:name="_Toc5129"/>
      <w:bookmarkStart w:id="123" w:name="_Toc28358"/>
      <w:bookmarkStart w:id="124" w:name="_Toc30824"/>
      <w:bookmarkStart w:id="125" w:name="_Toc1563"/>
      <w:bookmarkStart w:id="126" w:name="_Toc16552"/>
      <w:bookmarkStart w:id="127" w:name="_Toc3723"/>
      <w:bookmarkStart w:id="128" w:name="_Toc8147"/>
      <w:bookmarkStart w:id="129" w:name="_Toc21847"/>
      <w:bookmarkStart w:id="130" w:name="_Toc23515"/>
      <w: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rPr>
        <w:t>第七章</w:t>
      </w:r>
      <w:bookmarkEnd w:id="120"/>
      <w:bookmarkEnd w:id="121"/>
      <w:bookmarkEnd w:id="122"/>
      <w:bookmarkEnd w:id="123"/>
      <w:bookmarkEnd w:id="124"/>
      <w:bookmarkEnd w:id="125"/>
      <w:bookmarkEnd w:id="126"/>
      <w:bookmarkEnd w:id="127"/>
      <w:bookmarkEnd w:id="128"/>
      <w:bookmarkEnd w:id="129"/>
      <w:bookmarkEnd w:id="130"/>
    </w:p>
    <w:p>
      <w:pPr>
        <w:pStyle w:val="37"/>
      </w:pPr>
    </w:p>
    <w:p>
      <w:pPr>
        <w:pStyle w:val="3"/>
      </w:pPr>
      <w:bookmarkStart w:id="131" w:name="_Toc22764"/>
      <w:bookmarkStart w:id="132" w:name="_Toc88209951"/>
      <w:bookmarkStart w:id="133" w:name="_Toc17119"/>
      <w:bookmarkStart w:id="134" w:name="_Toc24815"/>
      <w:bookmarkStart w:id="135" w:name="_Toc30157"/>
      <w:bookmarkStart w:id="136" w:name="_Toc12769"/>
      <w:bookmarkStart w:id="137" w:name="_Toc10840"/>
      <w:bookmarkStart w:id="138" w:name="_Toc21675"/>
      <w:bookmarkStart w:id="139" w:name="_Toc5342"/>
      <w:bookmarkStart w:id="140" w:name="_Toc31564"/>
      <w:bookmarkStart w:id="141" w:name="_Toc12610"/>
      <w:bookmarkStart w:id="142" w:name="_Toc24490"/>
      <w:bookmarkStart w:id="143" w:name="_Toc87616388"/>
      <w:r>
        <w:rPr>
          <w:rFonts w:hint="eastAsia"/>
        </w:rPr>
        <w:t>响应文件格式要求</w:t>
      </w:r>
      <w:bookmarkEnd w:id="131"/>
      <w:bookmarkEnd w:id="132"/>
      <w:bookmarkEnd w:id="133"/>
      <w:bookmarkEnd w:id="134"/>
      <w:bookmarkEnd w:id="135"/>
      <w:bookmarkEnd w:id="136"/>
      <w:bookmarkEnd w:id="137"/>
      <w:bookmarkEnd w:id="138"/>
      <w:bookmarkEnd w:id="139"/>
      <w:bookmarkEnd w:id="140"/>
      <w:bookmarkEnd w:id="141"/>
      <w:bookmarkEnd w:id="142"/>
      <w:bookmarkEnd w:id="143"/>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rPr>
      </w:pPr>
    </w:p>
    <w:p>
      <w:pPr>
        <w:adjustRightInd w:val="0"/>
        <w:snapToGrid w:val="0"/>
        <w:spacing w:before="156" w:beforeLines="50" w:after="156"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156" w:beforeLines="50" w:after="156" w:afterLines="50" w:line="600" w:lineRule="exact"/>
        <w:jc w:val="center"/>
        <w:rPr>
          <w:rFonts w:ascii="方正小标宋简体" w:eastAsia="方正小标宋简体"/>
          <w:sz w:val="44"/>
          <w:szCs w:val="44"/>
        </w:rPr>
      </w:pPr>
    </w:p>
    <w:p>
      <w:pPr>
        <w:jc w:val="center"/>
        <w:rPr>
          <w:rFonts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rPr>
          <w:rFonts w:ascii="方正小标宋简体" w:eastAsia="方正小标宋简体"/>
          <w:sz w:val="30"/>
          <w:szCs w:val="30"/>
        </w:rPr>
      </w:pPr>
    </w:p>
    <w:p>
      <w:pPr>
        <w:adjustRightInd w:val="0"/>
        <w:snapToGrid w:val="0"/>
        <w:spacing w:before="156" w:beforeLines="50" w:after="156"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44" w:name="_Toc87616389"/>
      <w:bookmarkStart w:id="145" w:name="_Toc88209952"/>
      <w:r>
        <w:rPr>
          <w:rFonts w:hint="eastAsia" w:ascii="仿宋_GB2312" w:eastAsia="仿宋_GB2312"/>
          <w:sz w:val="28"/>
          <w:szCs w:val="28"/>
        </w:rPr>
        <w:t>1.响应函</w:t>
      </w:r>
      <w:bookmarkEnd w:id="144"/>
      <w:bookmarkEnd w:id="145"/>
    </w:p>
    <w:p>
      <w:pPr>
        <w:spacing w:line="600" w:lineRule="exact"/>
        <w:rPr>
          <w:rFonts w:ascii="仿宋_GB2312" w:eastAsia="仿宋_GB2312"/>
          <w:sz w:val="28"/>
          <w:szCs w:val="28"/>
        </w:rPr>
      </w:pPr>
      <w:bookmarkStart w:id="146" w:name="_Toc88209953"/>
      <w:bookmarkStart w:id="147" w:name="_Toc87616390"/>
      <w:r>
        <w:rPr>
          <w:rFonts w:hint="eastAsia" w:ascii="仿宋_GB2312" w:eastAsia="仿宋_GB2312"/>
          <w:sz w:val="28"/>
          <w:szCs w:val="28"/>
        </w:rPr>
        <w:t>2.法定代表人证明或授权委托书</w:t>
      </w:r>
      <w:bookmarkEnd w:id="146"/>
      <w:bookmarkEnd w:id="147"/>
      <w:bookmarkStart w:id="148" w:name="_Toc88209956"/>
      <w:bookmarkStart w:id="149" w:name="_Toc87616393"/>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6.其他资料</w:t>
      </w:r>
      <w:bookmarkEnd w:id="148"/>
      <w:bookmarkEnd w:id="149"/>
      <w:r>
        <w:rPr>
          <w:rFonts w:hint="eastAsia" w:ascii="仿宋_GB2312" w:eastAsia="仿宋_GB2312"/>
          <w:sz w:val="28"/>
          <w:szCs w:val="28"/>
        </w:rPr>
        <w:cr/>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1"/>
        <w:rPr>
          <w:color w:val="auto"/>
        </w:rPr>
      </w:pPr>
    </w:p>
    <w:p>
      <w:pPr>
        <w:adjustRightInd w:val="0"/>
        <w:snapToGrid w:val="0"/>
        <w:spacing w:before="156" w:beforeLines="50" w:after="156" w:afterLines="50" w:line="600" w:lineRule="exact"/>
        <w:rPr>
          <w:rFonts w:ascii="方正小标宋简体" w:eastAsia="方正小标宋简体"/>
          <w:sz w:val="44"/>
          <w:szCs w:val="44"/>
        </w:rPr>
      </w:pPr>
    </w:p>
    <w:p>
      <w:pPr>
        <w:pStyle w:val="2"/>
      </w:pPr>
    </w:p>
    <w:p>
      <w:pPr>
        <w:adjustRightInd w:val="0"/>
        <w:snapToGrid w:val="0"/>
        <w:spacing w:before="156" w:beforeLines="50" w:after="156" w:afterLines="50" w:line="600" w:lineRule="exact"/>
        <w:rPr>
          <w:rFonts w:ascii="方正小标宋简体" w:eastAsia="方正小标宋简体"/>
          <w:sz w:val="44"/>
          <w:szCs w:val="44"/>
        </w:rPr>
      </w:pPr>
    </w:p>
    <w:p>
      <w:pPr>
        <w:pStyle w:val="5"/>
        <w:rPr>
          <w:rFonts w:asciiTheme="minorEastAsia" w:hAnsiTheme="minorEastAsia" w:eastAsiaTheme="minorEastAsia"/>
          <w:sz w:val="28"/>
          <w:szCs w:val="28"/>
        </w:rPr>
      </w:pPr>
      <w:bookmarkStart w:id="150" w:name="_Toc87616394"/>
      <w:bookmarkStart w:id="151" w:name="_Toc12665"/>
      <w:bookmarkStart w:id="152" w:name="_Toc28619645"/>
      <w:bookmarkStart w:id="153" w:name="_Toc88209957"/>
      <w:bookmarkStart w:id="154" w:name="_Toc6313"/>
      <w:r>
        <w:rPr>
          <w:rFonts w:hint="eastAsia" w:asciiTheme="minorEastAsia" w:hAnsiTheme="minorEastAsia" w:eastAsiaTheme="minorEastAsia"/>
          <w:sz w:val="28"/>
          <w:szCs w:val="28"/>
        </w:rPr>
        <w:t>1.响应函</w:t>
      </w:r>
      <w:bookmarkEnd w:id="150"/>
      <w:bookmarkEnd w:id="151"/>
      <w:bookmarkEnd w:id="152"/>
      <w:bookmarkEnd w:id="153"/>
      <w:bookmarkEnd w:id="154"/>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（6）其他资料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asciiTheme="minorEastAsia" w:hAnsiTheme="minorEastAsia"/>
          <w:sz w:val="28"/>
          <w:szCs w:val="28"/>
        </w:rPr>
      </w:pPr>
      <w:bookmarkStart w:id="155" w:name="_Toc88209958"/>
      <w:bookmarkStart w:id="156" w:name="_Toc22527"/>
      <w:bookmarkStart w:id="157" w:name="_Toc87616395"/>
      <w:bookmarkStart w:id="158" w:name="_Toc29833"/>
    </w:p>
    <w:p>
      <w:pPr>
        <w:pStyle w:val="5"/>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55"/>
      <w:bookmarkEnd w:id="156"/>
      <w:bookmarkEnd w:id="157"/>
      <w:bookmarkEnd w:id="158"/>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39"/>
        <w:snapToGrid w:val="0"/>
        <w:spacing w:after="0" w:line="600" w:lineRule="exact"/>
        <w:jc w:val="both"/>
        <w:rPr>
          <w:rFonts w:ascii="仿宋_GB2312" w:hAnsi="宋体" w:eastAsia="仿宋_GB2312" w:cs="Times New Roman"/>
          <w:sz w:val="30"/>
          <w:szCs w:val="30"/>
          <w:u w:val="single"/>
        </w:rPr>
      </w:pPr>
      <w:r>
        <w:rPr>
          <w:rFonts w:hint="eastAsia" w:ascii="仿宋_GB2312" w:hAnsi="宋体" w:eastAsia="仿宋_GB2312" w:cs="Times New Roman"/>
          <w:sz w:val="32"/>
          <w:szCs w:val="32"/>
        </w:rPr>
        <w:t xml:space="preserve">     </w:t>
      </w:r>
      <w:r>
        <w:rPr>
          <w:rFonts w:hint="eastAsia" w:ascii="仿宋_GB2312" w:hAnsi="宋体" w:eastAsia="仿宋_GB2312" w:cs="Times New Roman"/>
          <w:sz w:val="30"/>
          <w:szCs w:val="30"/>
        </w:rPr>
        <w:t>供应商名称：</w:t>
      </w:r>
      <w:r>
        <w:rPr>
          <w:rFonts w:hint="eastAsia" w:ascii="仿宋_GB2312" w:hAnsi="宋体" w:eastAsia="仿宋_GB2312" w:cs="Times New Roman"/>
          <w:sz w:val="30"/>
          <w:szCs w:val="30"/>
          <w:u w:val="single"/>
        </w:rPr>
        <w:t xml:space="preserve">                          </w:t>
      </w:r>
    </w:p>
    <w:p>
      <w:pPr>
        <w:pStyle w:val="11"/>
        <w:snapToGrid w:val="0"/>
        <w:spacing w:line="600" w:lineRule="exact"/>
        <w:rPr>
          <w:rFonts w:ascii="仿宋_GB2312" w:hAnsi="宋体" w:eastAsia="仿宋_GB2312" w:cs="Times New Roman"/>
          <w:color w:val="auto"/>
          <w:sz w:val="30"/>
          <w:szCs w:val="30"/>
          <w:u w:val="single"/>
        </w:rPr>
      </w:pPr>
      <w:r>
        <w:rPr>
          <w:rFonts w:hint="eastAsia" w:ascii="仿宋_GB2312" w:hAnsi="宋体" w:eastAsia="仿宋_GB2312" w:cs="Times New Roman"/>
          <w:color w:val="auto"/>
          <w:sz w:val="30"/>
          <w:szCs w:val="30"/>
        </w:rPr>
        <w:t xml:space="preserve">     单位性质：</w:t>
      </w:r>
      <w:r>
        <w:rPr>
          <w:rFonts w:hint="eastAsia" w:ascii="仿宋_GB2312" w:hAnsi="宋体" w:eastAsia="仿宋_GB2312" w:cs="Times New Roman"/>
          <w:color w:val="auto"/>
          <w:sz w:val="30"/>
          <w:szCs w:val="30"/>
          <w:u w:val="single"/>
        </w:rPr>
        <w:t xml:space="preserve">                            </w:t>
      </w:r>
    </w:p>
    <w:p>
      <w:pPr>
        <w:pStyle w:val="38"/>
        <w:snapToGrid w:val="0"/>
        <w:spacing w:after="0" w:line="600" w:lineRule="exact"/>
        <w:ind w:firstLine="750" w:firstLineChars="250"/>
        <w:rPr>
          <w:rFonts w:ascii="仿宋_GB2312" w:hAnsi="宋体" w:eastAsia="仿宋_GB2312" w:cs="Times New Roman"/>
          <w:sz w:val="30"/>
          <w:szCs w:val="30"/>
          <w:u w:val="single"/>
        </w:rPr>
      </w:pPr>
      <w:r>
        <w:rPr>
          <w:rFonts w:hint="eastAsia" w:ascii="仿宋_GB2312" w:hAnsi="宋体" w:eastAsia="仿宋_GB2312" w:cs="Times New Roman"/>
          <w:sz w:val="30"/>
          <w:szCs w:val="30"/>
        </w:rPr>
        <w:t>地    址：</w:t>
      </w:r>
      <w:r>
        <w:rPr>
          <w:rFonts w:hint="eastAsia" w:ascii="仿宋_GB2312" w:hAnsi="宋体" w:eastAsia="仿宋_GB2312" w:cs="Times New Roman"/>
          <w:sz w:val="30"/>
          <w:szCs w:val="30"/>
          <w:u w:val="single"/>
        </w:rPr>
        <w:t xml:space="preserve">                            </w:t>
      </w:r>
    </w:p>
    <w:p>
      <w:pPr>
        <w:pStyle w:val="11"/>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成立时间：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月</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日</w:t>
      </w:r>
    </w:p>
    <w:p>
      <w:pPr>
        <w:pStyle w:val="11"/>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经营期限：</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w:t>
      </w:r>
    </w:p>
    <w:p>
      <w:pPr>
        <w:pStyle w:val="11"/>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姓名：</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性别：</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年龄：</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身份证号码：</w:t>
      </w:r>
      <w:r>
        <w:rPr>
          <w:rFonts w:hint="eastAsia" w:ascii="仿宋_GB2312" w:hAnsi="宋体" w:eastAsia="仿宋_GB2312" w:cs="Times New Roman"/>
          <w:color w:val="auto"/>
          <w:sz w:val="30"/>
          <w:szCs w:val="30"/>
          <w:u w:val="single"/>
        </w:rPr>
        <w:t xml:space="preserve">          </w:t>
      </w:r>
    </w:p>
    <w:p>
      <w:pPr>
        <w:pStyle w:val="11"/>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职务：</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系</w:t>
      </w:r>
      <w:r>
        <w:rPr>
          <w:rFonts w:hint="eastAsia" w:ascii="仿宋_GB2312" w:hAnsi="宋体" w:eastAsia="仿宋_GB2312" w:cs="Times New Roman"/>
          <w:color w:val="auto"/>
          <w:sz w:val="30"/>
          <w:szCs w:val="30"/>
          <w:u w:val="single"/>
        </w:rPr>
        <w:t xml:space="preserve">     (供应商名称)       </w:t>
      </w:r>
      <w:r>
        <w:rPr>
          <w:rFonts w:hint="eastAsia" w:ascii="仿宋_GB2312" w:hAnsi="宋体" w:eastAsia="仿宋_GB2312" w:cs="Times New Roman"/>
          <w:color w:val="auto"/>
          <w:sz w:val="30"/>
          <w:szCs w:val="30"/>
        </w:rPr>
        <w:t xml:space="preserve"> 的法定代表人。</w:t>
      </w:r>
    </w:p>
    <w:p>
      <w:pPr>
        <w:pStyle w:val="11"/>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特此证明。</w:t>
      </w:r>
    </w:p>
    <w:p>
      <w:pPr>
        <w:adjustRightInd w:val="0"/>
        <w:snapToGrid w:val="0"/>
        <w:spacing w:line="600" w:lineRule="exact"/>
        <w:ind w:firstLine="702" w:firstLineChars="234"/>
        <w:rPr>
          <w:rFonts w:ascii="仿宋_GB2312" w:hAnsi="宋体" w:eastAsia="仿宋_GB2312"/>
          <w:sz w:val="30"/>
          <w:szCs w:val="30"/>
        </w:rPr>
      </w:pPr>
      <w:r>
        <w:rPr>
          <w:rFonts w:hint="eastAsia" w:ascii="仿宋_GB2312" w:hAnsi="宋体" w:eastAsia="仿宋_GB2312"/>
          <w:sz w:val="30"/>
          <w:szCs w:val="30"/>
        </w:rPr>
        <w:t>附：法定代表人身份证(正反两面)复印件</w:t>
      </w:r>
    </w:p>
    <w:p>
      <w:pPr>
        <w:pStyle w:val="11"/>
        <w:snapToGrid w:val="0"/>
        <w:spacing w:line="600" w:lineRule="exact"/>
        <w:ind w:firstLine="3907" w:firstLineChars="1221"/>
        <w:rPr>
          <w:rFonts w:ascii="仿宋_GB2312" w:hAnsi="宋体" w:eastAsia="仿宋_GB2312" w:cs="Times New Roman"/>
          <w:color w:val="auto"/>
          <w:sz w:val="32"/>
          <w:szCs w:val="32"/>
        </w:rPr>
      </w:pPr>
    </w:p>
    <w:p>
      <w:pPr>
        <w:pStyle w:val="11"/>
        <w:snapToGrid w:val="0"/>
        <w:spacing w:line="600" w:lineRule="exact"/>
        <w:ind w:firstLine="3663" w:firstLineChars="1221"/>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供应商：</w:t>
      </w:r>
      <w:r>
        <w:rPr>
          <w:rFonts w:hint="eastAsia" w:ascii="仿宋_GB2312" w:hAnsi="宋体" w:eastAsia="仿宋_GB2312" w:cs="Times New Roman"/>
          <w:color w:val="auto"/>
          <w:sz w:val="30"/>
          <w:szCs w:val="30"/>
          <w:u w:val="single"/>
        </w:rPr>
        <w:t xml:space="preserve">       (盖单位章)      </w:t>
      </w:r>
    </w:p>
    <w:p>
      <w:pPr>
        <w:widowControl/>
        <w:adjustRightInd w:val="0"/>
        <w:snapToGrid w:val="0"/>
        <w:spacing w:line="600" w:lineRule="exact"/>
        <w:jc w:val="right"/>
        <w:rPr>
          <w:rFonts w:ascii="仿宋_GB2312" w:hAnsi="宋体" w:eastAsia="仿宋_GB2312"/>
          <w:sz w:val="30"/>
          <w:szCs w:val="30"/>
        </w:rPr>
      </w:pPr>
      <w:r>
        <w:rPr>
          <w:rFonts w:hint="eastAsia" w:ascii="仿宋_GB2312" w:hAnsi="宋体" w:eastAsia="仿宋_GB2312"/>
          <w:sz w:val="30"/>
          <w:szCs w:val="30"/>
        </w:rPr>
        <w:t>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widowControl/>
        <w:adjustRightInd w:val="0"/>
        <w:snapToGrid w:val="0"/>
        <w:spacing w:line="600" w:lineRule="exact"/>
        <w:jc w:val="left"/>
        <w:rPr>
          <w:rFonts w:ascii="仿宋_GB2312" w:hAnsi="宋体" w:eastAsia="仿宋_GB2312" w:cs="宋体"/>
          <w:kern w:val="0"/>
          <w:sz w:val="28"/>
          <w:szCs w:val="28"/>
        </w:rPr>
      </w:pPr>
      <w:r>
        <w:rPr>
          <w:rFonts w:ascii="仿宋_GB2312" w:hAnsi="宋体" w:eastAsia="仿宋_GB2312" w:cs="宋体"/>
          <w:kern w:val="0"/>
          <w:sz w:val="28"/>
          <w:szCs w:val="28"/>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adjustRightInd w:val="0"/>
        <w:snapToGrid w:val="0"/>
        <w:spacing w:line="600" w:lineRule="exact"/>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仿宋_GB2312" w:hAnsi="黑体" w:eastAsia="仿宋_GB2312"/>
          <w:sz w:val="28"/>
          <w:szCs w:val="28"/>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本人</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系</w:t>
      </w:r>
      <w:r>
        <w:rPr>
          <w:rFonts w:hint="eastAsia" w:ascii="仿宋_GB2312" w:hAnsi="宋体" w:eastAsia="仿宋_GB2312"/>
          <w:sz w:val="30"/>
          <w:szCs w:val="30"/>
          <w:u w:val="single"/>
        </w:rPr>
        <w:t xml:space="preserve">        (供应商名称)          </w:t>
      </w:r>
      <w:r>
        <w:rPr>
          <w:rFonts w:hint="eastAsia" w:ascii="仿宋_GB2312" w:hAnsi="宋体" w:eastAsia="仿宋_GB2312"/>
          <w:sz w:val="30"/>
          <w:szCs w:val="30"/>
        </w:rPr>
        <w:t>的法定代表人，现授权</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为我方代理人。代理人根据授权，以我方名义签署、澄清、说明、提交、撤回、修改</w:t>
      </w:r>
      <w:r>
        <w:rPr>
          <w:rFonts w:hint="eastAsia" w:ascii="仿宋_GB2312" w:hAnsi="宋体" w:eastAsia="仿宋_GB2312"/>
          <w:sz w:val="30"/>
          <w:szCs w:val="30"/>
          <w:u w:val="single"/>
        </w:rPr>
        <w:t xml:space="preserve"> （项目名称、项目编号、标段/标包号）  </w:t>
      </w:r>
      <w:r>
        <w:rPr>
          <w:rFonts w:hint="eastAsia" w:ascii="仿宋_GB2312" w:hAnsi="宋体" w:eastAsia="仿宋_GB2312"/>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委托期限：</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代理人无转委托权。</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附：1.委托代理人身份证(正反两面)复印件</w:t>
      </w:r>
    </w:p>
    <w:p>
      <w:pPr>
        <w:pStyle w:val="37"/>
        <w:ind w:firstLine="1200" w:firstLineChars="400"/>
        <w:rPr>
          <w:rFonts w:ascii="仿宋_GB2312" w:hAnsi="宋体" w:eastAsia="仿宋_GB2312"/>
          <w:sz w:val="30"/>
          <w:szCs w:val="30"/>
        </w:rPr>
      </w:pPr>
      <w:r>
        <w:rPr>
          <w:rFonts w:hint="eastAsia" w:ascii="仿宋_GB2312" w:hAnsi="宋体" w:eastAsia="仿宋_GB2312"/>
          <w:sz w:val="30"/>
          <w:szCs w:val="30"/>
        </w:rPr>
        <w:t>2.提供授权委托人在本单位近三个月社保记录（以加盖社会保险基金管理中心印章的《缴费历史明细表》或《社会保险参保人员证明》为准），否则为无效代理人，询价响应文件无效。</w:t>
      </w:r>
    </w:p>
    <w:p>
      <w:pPr>
        <w:pStyle w:val="11"/>
        <w:snapToGrid w:val="0"/>
        <w:spacing w:line="600" w:lineRule="exact"/>
        <w:ind w:firstLine="3618" w:firstLineChars="1005"/>
        <w:rPr>
          <w:rFonts w:ascii="仿宋_GB2312" w:hAnsi="宋体" w:eastAsia="仿宋_GB2312" w:cs="Times New Roman"/>
          <w:color w:val="auto"/>
          <w:sz w:val="30"/>
          <w:szCs w:val="30"/>
        </w:rPr>
      </w:pPr>
      <w:r>
        <w:rPr>
          <w:rFonts w:hint="eastAsia" w:ascii="仿宋_GB2312" w:hAnsi="宋体" w:eastAsia="仿宋_GB2312" w:cs="Times New Roman"/>
          <w:color w:val="auto"/>
          <w:spacing w:val="30"/>
          <w:sz w:val="30"/>
          <w:szCs w:val="30"/>
        </w:rPr>
        <w:t>供应商</w:t>
      </w:r>
      <w:r>
        <w:rPr>
          <w:rFonts w:hint="eastAsia" w:ascii="仿宋_GB2312" w:hAnsi="宋体" w:eastAsia="仿宋_GB2312" w:cs="Times New Roman"/>
          <w:color w:val="auto"/>
          <w:sz w:val="30"/>
          <w:szCs w:val="30"/>
        </w:rPr>
        <w:t>：</w:t>
      </w:r>
      <w:r>
        <w:rPr>
          <w:rFonts w:hint="eastAsia" w:ascii="仿宋_GB2312" w:hAnsi="宋体" w:eastAsia="仿宋_GB2312" w:cs="Times New Roman"/>
          <w:color w:val="auto"/>
          <w:sz w:val="30"/>
          <w:szCs w:val="30"/>
          <w:u w:val="single"/>
        </w:rPr>
        <w:t xml:space="preserve">      (单位公章)         </w:t>
      </w:r>
    </w:p>
    <w:p>
      <w:pPr>
        <w:pStyle w:val="11"/>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法定代表人：</w:t>
      </w:r>
      <w:r>
        <w:rPr>
          <w:rFonts w:hint="eastAsia" w:ascii="仿宋_GB2312" w:hAnsi="宋体" w:eastAsia="仿宋_GB2312" w:cs="Times New Roman"/>
          <w:color w:val="auto"/>
          <w:sz w:val="30"/>
          <w:szCs w:val="30"/>
          <w:u w:val="single"/>
        </w:rPr>
        <w:t xml:space="preserve">       (签字)            </w:t>
      </w:r>
    </w:p>
    <w:p>
      <w:pPr>
        <w:pStyle w:val="11"/>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委托代理人：</w:t>
      </w:r>
      <w:r>
        <w:rPr>
          <w:rFonts w:hint="eastAsia" w:ascii="仿宋_GB2312" w:hAnsi="宋体" w:eastAsia="仿宋_GB2312" w:cs="Times New Roman"/>
          <w:color w:val="auto"/>
          <w:sz w:val="30"/>
          <w:szCs w:val="30"/>
          <w:u w:val="single"/>
        </w:rPr>
        <w:t xml:space="preserve">       (签字)            </w:t>
      </w:r>
    </w:p>
    <w:p>
      <w:pPr>
        <w:widowControl/>
        <w:adjustRightInd w:val="0"/>
        <w:snapToGrid w:val="0"/>
        <w:spacing w:line="600" w:lineRule="exact"/>
        <w:rPr>
          <w:rFonts w:ascii="仿宋_GB2312" w:hAnsi="宋体" w:eastAsia="仿宋_GB2312"/>
          <w:sz w:val="30"/>
          <w:szCs w:val="30"/>
        </w:rPr>
      </w:pPr>
      <w:r>
        <w:rPr>
          <w:rFonts w:hint="eastAsia" w:ascii="仿宋_GB2312" w:hAnsi="宋体" w:eastAsia="仿宋_GB2312"/>
          <w:sz w:val="30"/>
          <w:szCs w:val="30"/>
        </w:rPr>
        <w:t xml:space="preserve">                        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pStyle w:val="21"/>
        <w:rPr>
          <w:rFonts w:ascii="仿宋_GB2312" w:eastAsia="仿宋_GB2312"/>
          <w:color w:val="auto"/>
          <w:sz w:val="30"/>
          <w:szCs w:val="30"/>
        </w:rPr>
      </w:pPr>
    </w:p>
    <w:p>
      <w:pPr>
        <w:pStyle w:val="21"/>
        <w:rPr>
          <w:rFonts w:ascii="仿宋_GB2312" w:eastAsia="仿宋_GB2312"/>
          <w:color w:val="auto"/>
          <w:sz w:val="30"/>
          <w:szCs w:val="30"/>
        </w:rPr>
      </w:pPr>
    </w:p>
    <w:p>
      <w:pPr>
        <w:pStyle w:val="21"/>
        <w:rPr>
          <w:rFonts w:ascii="仿宋_GB2312" w:eastAsia="仿宋_GB2312"/>
          <w:color w:val="auto"/>
          <w:sz w:val="30"/>
          <w:szCs w:val="30"/>
        </w:rPr>
      </w:pPr>
    </w:p>
    <w:p>
      <w:pPr>
        <w:pStyle w:val="21"/>
        <w:rPr>
          <w:rFonts w:ascii="仿宋_GB2312" w:eastAsia="仿宋_GB2312"/>
          <w:color w:val="auto"/>
          <w:sz w:val="30"/>
          <w:szCs w:val="30"/>
        </w:rPr>
      </w:pPr>
    </w:p>
    <w:p>
      <w:pPr>
        <w:pStyle w:val="6"/>
        <w:spacing w:after="0" w:line="600" w:lineRule="exact"/>
        <w:rPr>
          <w:rFonts w:ascii="仿宋_GB2312" w:eastAsia="仿宋_GB2312"/>
        </w:rPr>
      </w:pPr>
      <w:r>
        <w:rPr>
          <w:rFonts w:ascii="仿宋_GB2312" w:eastAsia="仿宋_GB2312"/>
          <w:sz w:val="44"/>
          <w:szCs w:val="44"/>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rPr>
      </w:pPr>
    </w:p>
    <w:p>
      <w:pPr>
        <w:pStyle w:val="6"/>
        <w:spacing w:after="0" w:line="600" w:lineRule="exact"/>
        <w:rPr>
          <w:rFonts w:ascii="仿宋_GB2312" w:eastAsia="仿宋_GB2312"/>
        </w:rPr>
      </w:pPr>
    </w:p>
    <w:p>
      <w:pPr>
        <w:pStyle w:val="6"/>
        <w:spacing w:after="0" w:line="600" w:lineRule="exact"/>
        <w:ind w:firstLine="0"/>
        <w:rPr>
          <w:rFonts w:ascii="仿宋_GB2312" w:eastAsia="仿宋_GB2312"/>
        </w:rPr>
      </w:pPr>
    </w:p>
    <w:p>
      <w:pPr>
        <w:pStyle w:val="6"/>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1"/>
        <w:rPr>
          <w:color w:val="auto"/>
        </w:rPr>
      </w:pPr>
    </w:p>
    <w:p>
      <w:pPr>
        <w:pStyle w:val="21"/>
        <w:ind w:left="0" w:leftChars="0" w:firstLine="0" w:firstLineChars="0"/>
        <w:rPr>
          <w:color w:val="auto"/>
        </w:rPr>
      </w:pPr>
    </w:p>
    <w:p>
      <w:pPr>
        <w:pStyle w:val="5"/>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59" w:name="_Toc8086"/>
      <w:bookmarkStart w:id="160" w:name="_Toc88209963"/>
      <w:bookmarkStart w:id="161" w:name="_Toc87616400"/>
      <w:bookmarkStart w:id="162" w:name="_Toc19830"/>
      <w:r>
        <w:rPr>
          <w:rFonts w:hint="eastAsia" w:ascii="仿宋_GB2312" w:eastAsia="仿宋_GB2312" w:hAnsiTheme="minorEastAsia"/>
          <w:sz w:val="28"/>
          <w:szCs w:val="28"/>
        </w:rPr>
        <w:t>3</w:t>
      </w:r>
      <w:r>
        <w:rPr>
          <w:rFonts w:hint="eastAsia" w:asciiTheme="minorEastAsia" w:hAnsiTheme="minorEastAsia" w:eastAsiaTheme="minorEastAsia"/>
          <w:sz w:val="28"/>
          <w:szCs w:val="28"/>
        </w:rPr>
        <w:t>.资格审查资料</w:t>
      </w:r>
      <w:bookmarkEnd w:id="159"/>
      <w:bookmarkEnd w:id="160"/>
      <w:bookmarkEnd w:id="161"/>
      <w:bookmarkEnd w:id="162"/>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left"/>
        <w:rPr>
          <w:rFonts w:cs="Times New Roman" w:asciiTheme="minorEastAsia" w:hAnsiTheme="minorEastAsia"/>
          <w:b/>
          <w:bCs/>
          <w:sz w:val="28"/>
          <w:szCs w:val="28"/>
        </w:rPr>
      </w:pPr>
      <w:bookmarkStart w:id="163" w:name="_Hlk59025866"/>
    </w:p>
    <w:p>
      <w:pPr>
        <w:adjustRightInd w:val="0"/>
        <w:snapToGrid w:val="0"/>
        <w:spacing w:line="360" w:lineRule="auto"/>
        <w:jc w:val="left"/>
        <w:rPr>
          <w:rFonts w:cs="Times New Roman" w:asciiTheme="minorEastAsia" w:hAnsiTheme="minorEastAsia"/>
          <w:b/>
          <w:bCs/>
          <w:sz w:val="28"/>
          <w:szCs w:val="28"/>
        </w:rPr>
      </w:pPr>
      <w:r>
        <w:rPr>
          <w:rFonts w:hint="eastAsia" w:cs="Times New Roman" w:asciiTheme="minorEastAsia" w:hAnsiTheme="minorEastAsia"/>
          <w:b/>
          <w:bCs/>
          <w:sz w:val="28"/>
          <w:szCs w:val="28"/>
        </w:rPr>
        <w:t>3.2不得存在情形承诺函</w:t>
      </w:r>
    </w:p>
    <w:bookmarkEnd w:id="163"/>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w:t>
      </w:r>
      <w:r>
        <w:rPr>
          <w:rFonts w:hint="eastAsia" w:ascii="宋体" w:hAnsi="宋体" w:eastAsia="宋体" w:cs="宋体"/>
          <w:b/>
          <w:bCs/>
          <w:sz w:val="24"/>
          <w:szCs w:val="24"/>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w:t>
      </w:r>
      <w:r>
        <w:rPr>
          <w:rFonts w:hint="eastAsia" w:ascii="宋体" w:hAnsi="宋体" w:cs="宋体"/>
          <w:sz w:val="24"/>
          <w:szCs w:val="24"/>
          <w:lang w:val="en-GB"/>
        </w:rPr>
        <w:t>广州市净水有限公司2022年实验室化验仪器及辅助设备采购项目</w:t>
      </w:r>
      <w:r>
        <w:rPr>
          <w:rFonts w:hint="eastAsia" w:ascii="宋体" w:hAnsi="宋体" w:eastAsia="宋体" w:cs="宋体"/>
          <w:sz w:val="24"/>
          <w:szCs w:val="24"/>
          <w:u w:val="single"/>
          <w:lang w:val="en-GB"/>
        </w:rPr>
        <w:t>（项目编号： ******）</w:t>
      </w:r>
      <w:r>
        <w:rPr>
          <w:rFonts w:hint="eastAsia" w:ascii="宋体" w:hAnsi="宋体" w:eastAsia="宋体" w:cs="宋体"/>
          <w:sz w:val="24"/>
          <w:szCs w:val="24"/>
          <w:lang w:val="en-GB"/>
        </w:rPr>
        <w:t>采购期间，未被</w:t>
      </w:r>
      <w:r>
        <w:rPr>
          <w:rFonts w:hint="eastAsia" w:ascii="仿宋_GB2312" w:eastAsia="仿宋_GB2312"/>
          <w:sz w:val="28"/>
          <w:szCs w:val="28"/>
        </w:rPr>
        <w:t>列入下列情形之一：</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（3）与本项目其他供应商存在管理关系。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（11）其他违法违纪行为，经审查认为不宜被邀请参加采购活动的。</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注：附件：网页截图</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 xml:space="preserve">2、截图中应显示网站域名，页面信息必须明确显示参与本项目的企业全称 </w:t>
      </w:r>
    </w:p>
    <w:p>
      <w:pPr>
        <w:adjustRightInd w:val="0"/>
        <w:snapToGrid w:val="0"/>
        <w:spacing w:line="360" w:lineRule="auto"/>
        <w:jc w:val="right"/>
        <w:rPr>
          <w:rFonts w:ascii="宋体" w:hAnsi="宋体" w:eastAsia="宋体" w:cs="宋体"/>
          <w:sz w:val="24"/>
          <w:szCs w:val="24"/>
          <w:lang w:val="en-GB"/>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pStyle w:val="21"/>
        <w:ind w:firstLine="0"/>
        <w:rPr>
          <w:color w:val="auto"/>
        </w:rPr>
      </w:pPr>
    </w:p>
    <w:p>
      <w:pPr>
        <w:jc w:val="left"/>
        <w:rPr>
          <w:rFonts w:cs="Times New Roman" w:asciiTheme="minorEastAsia" w:hAnsiTheme="minorEastAsia"/>
          <w:b/>
          <w:bCs/>
          <w:sz w:val="28"/>
          <w:szCs w:val="28"/>
        </w:rPr>
      </w:pPr>
      <w:r>
        <w:rPr>
          <w:rFonts w:hint="eastAsia" w:cs="Times New Roman" w:asciiTheme="minorEastAsia" w:hAnsiTheme="minorEastAsia"/>
          <w:b/>
          <w:bCs/>
          <w:sz w:val="28"/>
          <w:szCs w:val="28"/>
        </w:rPr>
        <w:t>4.拟投入本项目的项目负责人情况表</w:t>
      </w:r>
    </w:p>
    <w:p>
      <w:pPr>
        <w:pStyle w:val="21"/>
        <w:rPr>
          <w:rFonts w:ascii="仿宋_GB2312" w:eastAsia="仿宋_GB2312" w:hAnsiTheme="minorEastAsia"/>
          <w:color w:val="auto"/>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tcPr>
          <w:p>
            <w:pPr>
              <w:jc w:val="center"/>
              <w:rPr>
                <w:rFonts w:ascii="仿宋" w:hAnsi="仿宋" w:eastAsia="仿宋" w:cs="仿宋_GB2312"/>
                <w:b/>
                <w:sz w:val="28"/>
                <w:szCs w:val="28"/>
              </w:rPr>
            </w:pPr>
          </w:p>
        </w:tc>
        <w:tc>
          <w:tcPr>
            <w:tcW w:w="161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bl>
    <w:p>
      <w:pPr>
        <w:pStyle w:val="21"/>
        <w:rPr>
          <w:rFonts w:ascii="仿宋_GB2312" w:eastAsia="仿宋_GB2312" w:hAnsiTheme="minorEastAsia"/>
          <w:color w:val="auto"/>
          <w:sz w:val="28"/>
          <w:szCs w:val="28"/>
        </w:rPr>
      </w:pPr>
    </w:p>
    <w:p>
      <w:pPr>
        <w:pStyle w:val="11"/>
        <w:snapToGrid w:val="0"/>
        <w:spacing w:line="600" w:lineRule="exact"/>
        <w:ind w:firstLine="0" w:firstLineChars="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供应商：</w:t>
      </w:r>
      <w:r>
        <w:rPr>
          <w:rFonts w:hint="eastAsia" w:ascii="仿宋_GB2312" w:hAnsi="宋体" w:eastAsia="仿宋_GB2312" w:cs="Times New Roman"/>
          <w:color w:val="auto"/>
          <w:sz w:val="30"/>
          <w:szCs w:val="30"/>
          <w:u w:val="single"/>
        </w:rPr>
        <w:t xml:space="preserve">       (盖单位章)      </w:t>
      </w:r>
    </w:p>
    <w:p>
      <w:pPr>
        <w:pStyle w:val="21"/>
        <w:ind w:left="0" w:leftChars="0" w:firstLine="0" w:firstLineChars="0"/>
        <w:rPr>
          <w:rFonts w:ascii="仿宋_GB2312" w:eastAsia="仿宋_GB2312" w:hAnsiTheme="minorEastAsia"/>
          <w:color w:val="auto"/>
          <w:sz w:val="28"/>
          <w:szCs w:val="28"/>
        </w:rPr>
      </w:pPr>
      <w:r>
        <w:rPr>
          <w:rFonts w:hint="eastAsia" w:ascii="仿宋_GB2312" w:hAnsi="宋体" w:eastAsia="仿宋_GB2312"/>
          <w:sz w:val="30"/>
          <w:szCs w:val="30"/>
        </w:rPr>
        <w:t>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pStyle w:val="21"/>
        <w:ind w:left="0" w:leftChars="0" w:firstLine="0" w:firstLineChars="0"/>
        <w:rPr>
          <w:rFonts w:ascii="仿宋_GB2312" w:eastAsia="仿宋_GB2312" w:hAnsiTheme="minorEastAsia"/>
          <w:color w:val="auto"/>
          <w:sz w:val="28"/>
          <w:szCs w:val="28"/>
        </w:rPr>
      </w:pPr>
    </w:p>
    <w:p>
      <w:pPr>
        <w:pStyle w:val="21"/>
        <w:ind w:left="0" w:leftChars="0" w:firstLine="0" w:firstLineChars="0"/>
        <w:rPr>
          <w:rFonts w:ascii="仿宋_GB2312" w:eastAsia="仿宋_GB2312" w:hAnsiTheme="minorEastAsia"/>
          <w:color w:val="auto"/>
          <w:sz w:val="28"/>
          <w:szCs w:val="28"/>
        </w:rPr>
      </w:pPr>
    </w:p>
    <w:p>
      <w:pPr>
        <w:pStyle w:val="21"/>
        <w:ind w:left="0" w:leftChars="0" w:firstLine="0" w:firstLineChars="0"/>
        <w:rPr>
          <w:rFonts w:ascii="仿宋_GB2312" w:eastAsia="仿宋_GB2312" w:hAnsiTheme="minorEastAsia"/>
          <w:color w:val="auto"/>
          <w:sz w:val="28"/>
          <w:szCs w:val="28"/>
        </w:rPr>
      </w:pPr>
    </w:p>
    <w:p>
      <w:pPr>
        <w:pStyle w:val="5"/>
        <w:rPr>
          <w:rFonts w:asciiTheme="minorEastAsia" w:hAnsiTheme="minorEastAsia" w:eastAsiaTheme="minorEastAsia"/>
          <w:sz w:val="28"/>
          <w:szCs w:val="28"/>
        </w:rPr>
      </w:pPr>
      <w:bookmarkStart w:id="164" w:name="_Toc32430"/>
      <w:bookmarkStart w:id="165" w:name="_Toc19423"/>
      <w:r>
        <w:rPr>
          <w:rFonts w:hint="eastAsia" w:ascii="仿宋_GB2312" w:eastAsia="仿宋_GB2312" w:hAnsiTheme="minorEastAsia"/>
          <w:sz w:val="28"/>
          <w:szCs w:val="28"/>
        </w:rPr>
        <w:t>5</w:t>
      </w:r>
      <w:r>
        <w:rPr>
          <w:rFonts w:hint="eastAsia" w:asciiTheme="minorEastAsia" w:hAnsiTheme="minorEastAsia" w:eastAsiaTheme="minorEastAsia"/>
          <w:sz w:val="28"/>
          <w:szCs w:val="28"/>
        </w:rPr>
        <w:t>.报价表</w:t>
      </w:r>
      <w:bookmarkEnd w:id="164"/>
      <w:bookmarkEnd w:id="165"/>
    </w:p>
    <w:tbl>
      <w:tblPr>
        <w:tblStyle w:val="23"/>
        <w:tblpPr w:leftFromText="180" w:rightFromText="180" w:vertAnchor="text" w:horzAnchor="page" w:tblpXSpec="center" w:tblpY="481"/>
        <w:tblOverlap w:val="never"/>
        <w:tblW w:w="9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2231"/>
        <w:gridCol w:w="1382"/>
        <w:gridCol w:w="690"/>
        <w:gridCol w:w="705"/>
        <w:gridCol w:w="864"/>
        <w:gridCol w:w="1037"/>
        <w:gridCol w:w="832"/>
        <w:gridCol w:w="1038"/>
        <w:gridCol w:w="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blHeader/>
          <w:jc w:val="center"/>
        </w:trPr>
        <w:tc>
          <w:tcPr>
            <w:tcW w:w="669" w:type="dxa"/>
            <w:vMerge w:val="restart"/>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序号</w:t>
            </w:r>
          </w:p>
        </w:tc>
        <w:tc>
          <w:tcPr>
            <w:tcW w:w="2231" w:type="dxa"/>
            <w:vMerge w:val="restart"/>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名称</w:t>
            </w:r>
          </w:p>
        </w:tc>
        <w:tc>
          <w:tcPr>
            <w:tcW w:w="1382" w:type="dxa"/>
            <w:vMerge w:val="restart"/>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品牌型号</w:t>
            </w:r>
          </w:p>
        </w:tc>
        <w:tc>
          <w:tcPr>
            <w:tcW w:w="690" w:type="dxa"/>
            <w:vMerge w:val="restart"/>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单位</w:t>
            </w:r>
          </w:p>
        </w:tc>
        <w:tc>
          <w:tcPr>
            <w:tcW w:w="705" w:type="dxa"/>
            <w:vMerge w:val="restart"/>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数量</w:t>
            </w:r>
          </w:p>
        </w:tc>
        <w:tc>
          <w:tcPr>
            <w:tcW w:w="1901" w:type="dxa"/>
            <w:gridSpan w:val="2"/>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单价（元）</w:t>
            </w:r>
          </w:p>
        </w:tc>
        <w:tc>
          <w:tcPr>
            <w:tcW w:w="1870" w:type="dxa"/>
            <w:gridSpan w:val="2"/>
            <w:vAlign w:val="center"/>
          </w:tcPr>
          <w:p>
            <w:pPr>
              <w:pStyle w:val="28"/>
              <w:jc w:val="center"/>
            </w:pPr>
            <w:r>
              <w:rPr>
                <w:rFonts w:hint="eastAsia" w:hAnsi="宋体"/>
                <w:b/>
                <w:bCs/>
              </w:rPr>
              <w:t>金额（元）</w:t>
            </w:r>
          </w:p>
        </w:tc>
        <w:tc>
          <w:tcPr>
            <w:tcW w:w="549" w:type="dxa"/>
            <w:vMerge w:val="restart"/>
            <w:vAlign w:val="center"/>
          </w:tcPr>
          <w:p>
            <w:pPr>
              <w:pStyle w:val="28"/>
              <w:jc w:val="center"/>
            </w:pPr>
            <w:r>
              <w:rPr>
                <w:rFonts w:hint="eastAsia" w:hAnsi="宋体" w:eastAsiaTheme="minorEastAsia"/>
                <w:b/>
                <w:bCs/>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blHeader/>
          <w:jc w:val="center"/>
        </w:trPr>
        <w:tc>
          <w:tcPr>
            <w:tcW w:w="669" w:type="dxa"/>
            <w:vMerge w:val="continue"/>
            <w:vAlign w:val="center"/>
          </w:tcPr>
          <w:p>
            <w:pPr>
              <w:pStyle w:val="28"/>
              <w:jc w:val="center"/>
            </w:pPr>
          </w:p>
        </w:tc>
        <w:tc>
          <w:tcPr>
            <w:tcW w:w="2231" w:type="dxa"/>
            <w:vMerge w:val="continue"/>
            <w:vAlign w:val="center"/>
          </w:tcPr>
          <w:p>
            <w:pPr>
              <w:pStyle w:val="28"/>
              <w:jc w:val="center"/>
            </w:pPr>
          </w:p>
        </w:tc>
        <w:tc>
          <w:tcPr>
            <w:tcW w:w="1382" w:type="dxa"/>
            <w:vMerge w:val="continue"/>
            <w:vAlign w:val="center"/>
          </w:tcPr>
          <w:p>
            <w:pPr>
              <w:pStyle w:val="28"/>
              <w:jc w:val="center"/>
            </w:pPr>
          </w:p>
        </w:tc>
        <w:tc>
          <w:tcPr>
            <w:tcW w:w="690" w:type="dxa"/>
            <w:vMerge w:val="continue"/>
            <w:vAlign w:val="center"/>
          </w:tcPr>
          <w:p>
            <w:pPr>
              <w:pStyle w:val="28"/>
              <w:jc w:val="center"/>
            </w:pPr>
          </w:p>
        </w:tc>
        <w:tc>
          <w:tcPr>
            <w:tcW w:w="705" w:type="dxa"/>
            <w:vMerge w:val="continue"/>
            <w:vAlign w:val="center"/>
          </w:tcPr>
          <w:p>
            <w:pPr>
              <w:pStyle w:val="28"/>
              <w:jc w:val="center"/>
            </w:pPr>
          </w:p>
        </w:tc>
        <w:tc>
          <w:tcPr>
            <w:tcW w:w="864" w:type="dxa"/>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含税</w:t>
            </w:r>
          </w:p>
        </w:tc>
        <w:tc>
          <w:tcPr>
            <w:tcW w:w="1037" w:type="dxa"/>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不含税</w:t>
            </w:r>
          </w:p>
        </w:tc>
        <w:tc>
          <w:tcPr>
            <w:tcW w:w="832" w:type="dxa"/>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含税</w:t>
            </w:r>
          </w:p>
        </w:tc>
        <w:tc>
          <w:tcPr>
            <w:tcW w:w="1038" w:type="dxa"/>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不含税</w:t>
            </w:r>
          </w:p>
        </w:tc>
        <w:tc>
          <w:tcPr>
            <w:tcW w:w="549" w:type="dxa"/>
            <w:vMerge w:val="continue"/>
            <w:vAlign w:val="center"/>
          </w:tcPr>
          <w:p>
            <w:pPr>
              <w:pStyle w:val="28"/>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6" w:hRule="atLeast"/>
          <w:tblHeader/>
          <w:jc w:val="center"/>
        </w:trPr>
        <w:tc>
          <w:tcPr>
            <w:tcW w:w="669" w:type="dxa"/>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2231" w:type="dxa"/>
            <w:vAlign w:val="center"/>
          </w:tcPr>
          <w:p>
            <w:pPr>
              <w:spacing w:line="0" w:lineRule="atLeast"/>
              <w:jc w:val="center"/>
              <w:rPr>
                <w:sz w:val="24"/>
                <w:szCs w:val="24"/>
              </w:rPr>
            </w:pPr>
            <w:r>
              <w:rPr>
                <w:rFonts w:hint="eastAsia"/>
                <w:color w:val="000000"/>
                <w:sz w:val="24"/>
                <w:szCs w:val="24"/>
              </w:rPr>
              <w:t>电子分析天平</w:t>
            </w:r>
          </w:p>
        </w:tc>
        <w:tc>
          <w:tcPr>
            <w:tcW w:w="1382" w:type="dxa"/>
            <w:vAlign w:val="center"/>
          </w:tcPr>
          <w:p>
            <w:pPr>
              <w:pStyle w:val="28"/>
              <w:jc w:val="center"/>
            </w:pPr>
          </w:p>
        </w:tc>
        <w:tc>
          <w:tcPr>
            <w:tcW w:w="690" w:type="dxa"/>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台</w:t>
            </w:r>
          </w:p>
        </w:tc>
        <w:tc>
          <w:tcPr>
            <w:tcW w:w="705" w:type="dxa"/>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2</w:t>
            </w:r>
          </w:p>
        </w:tc>
        <w:tc>
          <w:tcPr>
            <w:tcW w:w="864" w:type="dxa"/>
            <w:vAlign w:val="center"/>
          </w:tcPr>
          <w:p>
            <w:pPr>
              <w:pStyle w:val="28"/>
              <w:jc w:val="center"/>
            </w:pPr>
          </w:p>
        </w:tc>
        <w:tc>
          <w:tcPr>
            <w:tcW w:w="1037" w:type="dxa"/>
            <w:vAlign w:val="center"/>
          </w:tcPr>
          <w:p>
            <w:pPr>
              <w:pStyle w:val="28"/>
              <w:jc w:val="center"/>
            </w:pPr>
          </w:p>
        </w:tc>
        <w:tc>
          <w:tcPr>
            <w:tcW w:w="832" w:type="dxa"/>
            <w:vAlign w:val="center"/>
          </w:tcPr>
          <w:p>
            <w:pPr>
              <w:pStyle w:val="28"/>
              <w:jc w:val="center"/>
            </w:pPr>
          </w:p>
        </w:tc>
        <w:tc>
          <w:tcPr>
            <w:tcW w:w="1038" w:type="dxa"/>
            <w:vAlign w:val="center"/>
          </w:tcPr>
          <w:p>
            <w:pPr>
              <w:pStyle w:val="28"/>
              <w:jc w:val="center"/>
            </w:pPr>
          </w:p>
        </w:tc>
        <w:tc>
          <w:tcPr>
            <w:tcW w:w="549" w:type="dxa"/>
            <w:vAlign w:val="center"/>
          </w:tcPr>
          <w:p>
            <w:pPr>
              <w:pStyle w:val="28"/>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blHeader/>
          <w:jc w:val="center"/>
        </w:trPr>
        <w:tc>
          <w:tcPr>
            <w:tcW w:w="669" w:type="dxa"/>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c>
          <w:tcPr>
            <w:tcW w:w="2231" w:type="dxa"/>
            <w:vAlign w:val="center"/>
          </w:tcPr>
          <w:p>
            <w:pPr>
              <w:spacing w:line="0" w:lineRule="atLeast"/>
              <w:jc w:val="center"/>
              <w:rPr>
                <w:sz w:val="24"/>
                <w:szCs w:val="24"/>
              </w:rPr>
            </w:pPr>
            <w:r>
              <w:rPr>
                <w:rFonts w:hint="eastAsia"/>
                <w:color w:val="000000"/>
                <w:sz w:val="24"/>
                <w:szCs w:val="24"/>
              </w:rPr>
              <w:t>酸度计</w:t>
            </w:r>
          </w:p>
        </w:tc>
        <w:tc>
          <w:tcPr>
            <w:tcW w:w="1382" w:type="dxa"/>
            <w:vAlign w:val="center"/>
          </w:tcPr>
          <w:p>
            <w:pPr>
              <w:pStyle w:val="28"/>
              <w:jc w:val="center"/>
            </w:pPr>
          </w:p>
        </w:tc>
        <w:tc>
          <w:tcPr>
            <w:tcW w:w="690" w:type="dxa"/>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台</w:t>
            </w:r>
          </w:p>
        </w:tc>
        <w:tc>
          <w:tcPr>
            <w:tcW w:w="705" w:type="dxa"/>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2</w:t>
            </w:r>
          </w:p>
        </w:tc>
        <w:tc>
          <w:tcPr>
            <w:tcW w:w="864" w:type="dxa"/>
            <w:vAlign w:val="center"/>
          </w:tcPr>
          <w:p>
            <w:pPr>
              <w:pStyle w:val="28"/>
              <w:jc w:val="center"/>
            </w:pPr>
          </w:p>
        </w:tc>
        <w:tc>
          <w:tcPr>
            <w:tcW w:w="1037" w:type="dxa"/>
            <w:vAlign w:val="center"/>
          </w:tcPr>
          <w:p>
            <w:pPr>
              <w:pStyle w:val="28"/>
              <w:jc w:val="center"/>
            </w:pPr>
          </w:p>
        </w:tc>
        <w:tc>
          <w:tcPr>
            <w:tcW w:w="832" w:type="dxa"/>
            <w:vAlign w:val="center"/>
          </w:tcPr>
          <w:p>
            <w:pPr>
              <w:pStyle w:val="28"/>
              <w:jc w:val="center"/>
            </w:pPr>
          </w:p>
        </w:tc>
        <w:tc>
          <w:tcPr>
            <w:tcW w:w="1038" w:type="dxa"/>
            <w:vAlign w:val="center"/>
          </w:tcPr>
          <w:p>
            <w:pPr>
              <w:pStyle w:val="28"/>
              <w:jc w:val="center"/>
            </w:pPr>
          </w:p>
        </w:tc>
        <w:tc>
          <w:tcPr>
            <w:tcW w:w="549" w:type="dxa"/>
            <w:vAlign w:val="center"/>
          </w:tcPr>
          <w:p>
            <w:pPr>
              <w:pStyle w:val="28"/>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blHeader/>
          <w:jc w:val="center"/>
        </w:trPr>
        <w:tc>
          <w:tcPr>
            <w:tcW w:w="669" w:type="dxa"/>
            <w:vAlign w:val="center"/>
          </w:tcPr>
          <w:p>
            <w:pPr>
              <w:widowControl/>
              <w:jc w:val="center"/>
              <w:rPr>
                <w:rFonts w:ascii="宋体" w:hAnsi="宋体" w:cs="宋体"/>
                <w:kern w:val="0"/>
                <w:sz w:val="24"/>
                <w:szCs w:val="24"/>
              </w:rPr>
            </w:pPr>
            <w:r>
              <w:rPr>
                <w:rFonts w:hint="eastAsia" w:ascii="宋体" w:hAnsi="宋体" w:cs="宋体"/>
                <w:kern w:val="0"/>
                <w:sz w:val="24"/>
                <w:szCs w:val="24"/>
              </w:rPr>
              <w:t>3</w:t>
            </w:r>
          </w:p>
        </w:tc>
        <w:tc>
          <w:tcPr>
            <w:tcW w:w="2231" w:type="dxa"/>
            <w:vAlign w:val="center"/>
          </w:tcPr>
          <w:p>
            <w:pPr>
              <w:spacing w:line="0" w:lineRule="atLeast"/>
              <w:jc w:val="center"/>
              <w:rPr>
                <w:sz w:val="24"/>
                <w:szCs w:val="24"/>
              </w:rPr>
            </w:pPr>
            <w:r>
              <w:rPr>
                <w:rFonts w:hint="eastAsia"/>
                <w:color w:val="000000"/>
                <w:sz w:val="24"/>
                <w:szCs w:val="24"/>
              </w:rPr>
              <w:t>赶酸板</w:t>
            </w:r>
          </w:p>
        </w:tc>
        <w:tc>
          <w:tcPr>
            <w:tcW w:w="1382" w:type="dxa"/>
            <w:vAlign w:val="center"/>
          </w:tcPr>
          <w:p>
            <w:pPr>
              <w:pStyle w:val="28"/>
              <w:jc w:val="center"/>
            </w:pPr>
          </w:p>
        </w:tc>
        <w:tc>
          <w:tcPr>
            <w:tcW w:w="690" w:type="dxa"/>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台</w:t>
            </w:r>
          </w:p>
        </w:tc>
        <w:tc>
          <w:tcPr>
            <w:tcW w:w="705" w:type="dxa"/>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2</w:t>
            </w:r>
          </w:p>
        </w:tc>
        <w:tc>
          <w:tcPr>
            <w:tcW w:w="864" w:type="dxa"/>
            <w:vAlign w:val="center"/>
          </w:tcPr>
          <w:p>
            <w:pPr>
              <w:pStyle w:val="28"/>
              <w:jc w:val="center"/>
            </w:pPr>
          </w:p>
        </w:tc>
        <w:tc>
          <w:tcPr>
            <w:tcW w:w="1037" w:type="dxa"/>
            <w:vAlign w:val="center"/>
          </w:tcPr>
          <w:p>
            <w:pPr>
              <w:pStyle w:val="28"/>
              <w:jc w:val="center"/>
            </w:pPr>
          </w:p>
        </w:tc>
        <w:tc>
          <w:tcPr>
            <w:tcW w:w="832" w:type="dxa"/>
            <w:vAlign w:val="center"/>
          </w:tcPr>
          <w:p>
            <w:pPr>
              <w:pStyle w:val="28"/>
              <w:jc w:val="center"/>
            </w:pPr>
          </w:p>
        </w:tc>
        <w:tc>
          <w:tcPr>
            <w:tcW w:w="1038" w:type="dxa"/>
            <w:vAlign w:val="center"/>
          </w:tcPr>
          <w:p>
            <w:pPr>
              <w:pStyle w:val="28"/>
              <w:jc w:val="center"/>
            </w:pPr>
          </w:p>
        </w:tc>
        <w:tc>
          <w:tcPr>
            <w:tcW w:w="549" w:type="dxa"/>
            <w:vAlign w:val="center"/>
          </w:tcPr>
          <w:p>
            <w:pPr>
              <w:pStyle w:val="28"/>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blHeader/>
          <w:jc w:val="center"/>
        </w:trPr>
        <w:tc>
          <w:tcPr>
            <w:tcW w:w="669" w:type="dxa"/>
            <w:vAlign w:val="center"/>
          </w:tcPr>
          <w:p>
            <w:pPr>
              <w:widowControl/>
              <w:jc w:val="center"/>
              <w:rPr>
                <w:rFonts w:ascii="宋体" w:hAnsi="宋体" w:cs="宋体"/>
                <w:kern w:val="0"/>
                <w:sz w:val="24"/>
                <w:szCs w:val="24"/>
              </w:rPr>
            </w:pPr>
            <w:r>
              <w:rPr>
                <w:rFonts w:hint="eastAsia" w:ascii="宋体" w:hAnsi="宋体" w:cs="宋体"/>
                <w:kern w:val="0"/>
                <w:sz w:val="24"/>
                <w:szCs w:val="24"/>
              </w:rPr>
              <w:t>4</w:t>
            </w:r>
          </w:p>
        </w:tc>
        <w:tc>
          <w:tcPr>
            <w:tcW w:w="2231" w:type="dxa"/>
            <w:vAlign w:val="center"/>
          </w:tcPr>
          <w:p>
            <w:pPr>
              <w:spacing w:line="0" w:lineRule="atLeast"/>
              <w:jc w:val="center"/>
              <w:rPr>
                <w:sz w:val="24"/>
                <w:szCs w:val="24"/>
              </w:rPr>
            </w:pPr>
            <w:r>
              <w:rPr>
                <w:rFonts w:hint="eastAsia"/>
                <w:color w:val="000000"/>
                <w:sz w:val="24"/>
                <w:szCs w:val="24"/>
              </w:rPr>
              <w:t>电动低速离心机</w:t>
            </w:r>
          </w:p>
        </w:tc>
        <w:tc>
          <w:tcPr>
            <w:tcW w:w="1382" w:type="dxa"/>
            <w:vAlign w:val="center"/>
          </w:tcPr>
          <w:p>
            <w:pPr>
              <w:pStyle w:val="28"/>
              <w:jc w:val="center"/>
            </w:pPr>
          </w:p>
        </w:tc>
        <w:tc>
          <w:tcPr>
            <w:tcW w:w="690" w:type="dxa"/>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台</w:t>
            </w:r>
          </w:p>
        </w:tc>
        <w:tc>
          <w:tcPr>
            <w:tcW w:w="705" w:type="dxa"/>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1</w:t>
            </w:r>
          </w:p>
        </w:tc>
        <w:tc>
          <w:tcPr>
            <w:tcW w:w="864" w:type="dxa"/>
            <w:vAlign w:val="center"/>
          </w:tcPr>
          <w:p>
            <w:pPr>
              <w:pStyle w:val="28"/>
              <w:jc w:val="center"/>
            </w:pPr>
          </w:p>
        </w:tc>
        <w:tc>
          <w:tcPr>
            <w:tcW w:w="1037" w:type="dxa"/>
            <w:vAlign w:val="center"/>
          </w:tcPr>
          <w:p>
            <w:pPr>
              <w:pStyle w:val="28"/>
              <w:jc w:val="center"/>
            </w:pPr>
          </w:p>
        </w:tc>
        <w:tc>
          <w:tcPr>
            <w:tcW w:w="832" w:type="dxa"/>
            <w:vAlign w:val="center"/>
          </w:tcPr>
          <w:p>
            <w:pPr>
              <w:pStyle w:val="28"/>
              <w:jc w:val="center"/>
            </w:pPr>
          </w:p>
        </w:tc>
        <w:tc>
          <w:tcPr>
            <w:tcW w:w="1038" w:type="dxa"/>
            <w:vAlign w:val="center"/>
          </w:tcPr>
          <w:p>
            <w:pPr>
              <w:pStyle w:val="28"/>
              <w:jc w:val="center"/>
            </w:pPr>
          </w:p>
        </w:tc>
        <w:tc>
          <w:tcPr>
            <w:tcW w:w="549" w:type="dxa"/>
            <w:vAlign w:val="center"/>
          </w:tcPr>
          <w:p>
            <w:pPr>
              <w:pStyle w:val="28"/>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blHeader/>
          <w:jc w:val="center"/>
        </w:trPr>
        <w:tc>
          <w:tcPr>
            <w:tcW w:w="669" w:type="dxa"/>
            <w:vAlign w:val="center"/>
          </w:tcPr>
          <w:p>
            <w:pPr>
              <w:widowControl/>
              <w:jc w:val="center"/>
              <w:rPr>
                <w:rFonts w:ascii="宋体" w:hAnsi="宋体" w:cs="宋体"/>
                <w:kern w:val="0"/>
                <w:sz w:val="24"/>
                <w:szCs w:val="24"/>
              </w:rPr>
            </w:pPr>
            <w:r>
              <w:rPr>
                <w:rFonts w:hint="eastAsia" w:ascii="宋体" w:hAnsi="宋体" w:cs="宋体"/>
                <w:kern w:val="0"/>
                <w:sz w:val="24"/>
                <w:szCs w:val="24"/>
              </w:rPr>
              <w:t>5</w:t>
            </w:r>
          </w:p>
        </w:tc>
        <w:tc>
          <w:tcPr>
            <w:tcW w:w="2231" w:type="dxa"/>
            <w:vAlign w:val="center"/>
          </w:tcPr>
          <w:p>
            <w:pPr>
              <w:spacing w:line="0" w:lineRule="atLeast"/>
              <w:jc w:val="center"/>
              <w:rPr>
                <w:sz w:val="24"/>
                <w:szCs w:val="24"/>
              </w:rPr>
            </w:pPr>
            <w:r>
              <w:rPr>
                <w:rFonts w:hint="eastAsia"/>
                <w:color w:val="000000"/>
                <w:sz w:val="24"/>
                <w:szCs w:val="24"/>
              </w:rPr>
              <w:t>COD消解装置（回流）</w:t>
            </w:r>
          </w:p>
        </w:tc>
        <w:tc>
          <w:tcPr>
            <w:tcW w:w="1382" w:type="dxa"/>
            <w:vAlign w:val="center"/>
          </w:tcPr>
          <w:p>
            <w:pPr>
              <w:pStyle w:val="28"/>
              <w:jc w:val="center"/>
            </w:pPr>
          </w:p>
        </w:tc>
        <w:tc>
          <w:tcPr>
            <w:tcW w:w="690" w:type="dxa"/>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台</w:t>
            </w:r>
          </w:p>
        </w:tc>
        <w:tc>
          <w:tcPr>
            <w:tcW w:w="705" w:type="dxa"/>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1</w:t>
            </w:r>
          </w:p>
        </w:tc>
        <w:tc>
          <w:tcPr>
            <w:tcW w:w="864" w:type="dxa"/>
            <w:vAlign w:val="center"/>
          </w:tcPr>
          <w:p>
            <w:pPr>
              <w:pStyle w:val="28"/>
              <w:jc w:val="center"/>
            </w:pPr>
          </w:p>
        </w:tc>
        <w:tc>
          <w:tcPr>
            <w:tcW w:w="1037" w:type="dxa"/>
            <w:vAlign w:val="center"/>
          </w:tcPr>
          <w:p>
            <w:pPr>
              <w:pStyle w:val="28"/>
              <w:jc w:val="center"/>
            </w:pPr>
          </w:p>
        </w:tc>
        <w:tc>
          <w:tcPr>
            <w:tcW w:w="832" w:type="dxa"/>
            <w:vAlign w:val="center"/>
          </w:tcPr>
          <w:p>
            <w:pPr>
              <w:pStyle w:val="28"/>
              <w:jc w:val="center"/>
            </w:pPr>
          </w:p>
        </w:tc>
        <w:tc>
          <w:tcPr>
            <w:tcW w:w="1038" w:type="dxa"/>
            <w:vAlign w:val="center"/>
          </w:tcPr>
          <w:p>
            <w:pPr>
              <w:pStyle w:val="28"/>
              <w:jc w:val="center"/>
            </w:pPr>
          </w:p>
        </w:tc>
        <w:tc>
          <w:tcPr>
            <w:tcW w:w="549" w:type="dxa"/>
            <w:vAlign w:val="center"/>
          </w:tcPr>
          <w:p>
            <w:pPr>
              <w:pStyle w:val="28"/>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blHeader/>
          <w:jc w:val="center"/>
        </w:trPr>
        <w:tc>
          <w:tcPr>
            <w:tcW w:w="669" w:type="dxa"/>
            <w:vAlign w:val="center"/>
          </w:tcPr>
          <w:p>
            <w:pPr>
              <w:widowControl/>
              <w:jc w:val="center"/>
              <w:rPr>
                <w:rFonts w:ascii="宋体" w:hAnsi="宋体" w:cs="宋体"/>
                <w:kern w:val="0"/>
                <w:sz w:val="24"/>
                <w:szCs w:val="24"/>
              </w:rPr>
            </w:pPr>
            <w:r>
              <w:rPr>
                <w:rFonts w:hint="eastAsia" w:ascii="宋体" w:hAnsi="宋体" w:cs="宋体"/>
                <w:kern w:val="0"/>
                <w:sz w:val="24"/>
                <w:szCs w:val="24"/>
              </w:rPr>
              <w:t>6</w:t>
            </w:r>
          </w:p>
        </w:tc>
        <w:tc>
          <w:tcPr>
            <w:tcW w:w="2231" w:type="dxa"/>
            <w:vAlign w:val="center"/>
          </w:tcPr>
          <w:p>
            <w:pPr>
              <w:spacing w:line="0" w:lineRule="atLeast"/>
              <w:jc w:val="center"/>
              <w:rPr>
                <w:sz w:val="24"/>
                <w:szCs w:val="24"/>
              </w:rPr>
            </w:pPr>
            <w:r>
              <w:rPr>
                <w:rFonts w:hint="eastAsia"/>
                <w:color w:val="000000"/>
                <w:sz w:val="24"/>
                <w:szCs w:val="24"/>
              </w:rPr>
              <w:t>微波消解仪</w:t>
            </w:r>
          </w:p>
        </w:tc>
        <w:tc>
          <w:tcPr>
            <w:tcW w:w="1382" w:type="dxa"/>
            <w:vAlign w:val="center"/>
          </w:tcPr>
          <w:p>
            <w:pPr>
              <w:pStyle w:val="28"/>
              <w:jc w:val="center"/>
            </w:pPr>
          </w:p>
        </w:tc>
        <w:tc>
          <w:tcPr>
            <w:tcW w:w="690" w:type="dxa"/>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台</w:t>
            </w:r>
          </w:p>
        </w:tc>
        <w:tc>
          <w:tcPr>
            <w:tcW w:w="705" w:type="dxa"/>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1</w:t>
            </w:r>
          </w:p>
        </w:tc>
        <w:tc>
          <w:tcPr>
            <w:tcW w:w="864" w:type="dxa"/>
            <w:vAlign w:val="center"/>
          </w:tcPr>
          <w:p>
            <w:pPr>
              <w:pStyle w:val="28"/>
              <w:jc w:val="center"/>
            </w:pPr>
          </w:p>
        </w:tc>
        <w:tc>
          <w:tcPr>
            <w:tcW w:w="1037" w:type="dxa"/>
            <w:vAlign w:val="center"/>
          </w:tcPr>
          <w:p>
            <w:pPr>
              <w:pStyle w:val="28"/>
              <w:jc w:val="center"/>
            </w:pPr>
          </w:p>
        </w:tc>
        <w:tc>
          <w:tcPr>
            <w:tcW w:w="832" w:type="dxa"/>
            <w:vAlign w:val="center"/>
          </w:tcPr>
          <w:p>
            <w:pPr>
              <w:pStyle w:val="28"/>
              <w:jc w:val="center"/>
            </w:pPr>
          </w:p>
        </w:tc>
        <w:tc>
          <w:tcPr>
            <w:tcW w:w="1038" w:type="dxa"/>
            <w:vAlign w:val="center"/>
          </w:tcPr>
          <w:p>
            <w:pPr>
              <w:pStyle w:val="28"/>
              <w:jc w:val="center"/>
            </w:pPr>
          </w:p>
        </w:tc>
        <w:tc>
          <w:tcPr>
            <w:tcW w:w="549" w:type="dxa"/>
            <w:vAlign w:val="center"/>
          </w:tcPr>
          <w:p>
            <w:pPr>
              <w:pStyle w:val="28"/>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6" w:hRule="atLeast"/>
          <w:tblHeader/>
          <w:jc w:val="center"/>
        </w:trPr>
        <w:tc>
          <w:tcPr>
            <w:tcW w:w="669" w:type="dxa"/>
            <w:vAlign w:val="center"/>
          </w:tcPr>
          <w:p>
            <w:pPr>
              <w:widowControl/>
              <w:jc w:val="center"/>
              <w:rPr>
                <w:rFonts w:ascii="宋体" w:hAnsi="宋体" w:cs="宋体"/>
                <w:kern w:val="0"/>
                <w:sz w:val="24"/>
                <w:szCs w:val="24"/>
              </w:rPr>
            </w:pPr>
            <w:r>
              <w:rPr>
                <w:rFonts w:hint="eastAsia" w:ascii="宋体" w:hAnsi="宋体" w:cs="宋体"/>
                <w:kern w:val="0"/>
                <w:sz w:val="24"/>
                <w:szCs w:val="24"/>
              </w:rPr>
              <w:t>7</w:t>
            </w:r>
          </w:p>
        </w:tc>
        <w:tc>
          <w:tcPr>
            <w:tcW w:w="2231" w:type="dxa"/>
            <w:vAlign w:val="center"/>
          </w:tcPr>
          <w:p>
            <w:pPr>
              <w:spacing w:line="0" w:lineRule="atLeast"/>
              <w:jc w:val="center"/>
              <w:rPr>
                <w:sz w:val="24"/>
                <w:szCs w:val="24"/>
              </w:rPr>
            </w:pPr>
            <w:r>
              <w:rPr>
                <w:rFonts w:hint="eastAsia"/>
                <w:color w:val="000000"/>
                <w:sz w:val="24"/>
                <w:szCs w:val="24"/>
              </w:rPr>
              <w:t>COD消解器</w:t>
            </w:r>
          </w:p>
        </w:tc>
        <w:tc>
          <w:tcPr>
            <w:tcW w:w="1382" w:type="dxa"/>
            <w:vAlign w:val="center"/>
          </w:tcPr>
          <w:p>
            <w:pPr>
              <w:pStyle w:val="28"/>
              <w:jc w:val="center"/>
            </w:pPr>
          </w:p>
        </w:tc>
        <w:tc>
          <w:tcPr>
            <w:tcW w:w="690" w:type="dxa"/>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台</w:t>
            </w:r>
          </w:p>
        </w:tc>
        <w:tc>
          <w:tcPr>
            <w:tcW w:w="705" w:type="dxa"/>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2</w:t>
            </w:r>
          </w:p>
        </w:tc>
        <w:tc>
          <w:tcPr>
            <w:tcW w:w="864" w:type="dxa"/>
            <w:vAlign w:val="center"/>
          </w:tcPr>
          <w:p>
            <w:pPr>
              <w:pStyle w:val="28"/>
              <w:jc w:val="center"/>
            </w:pPr>
          </w:p>
        </w:tc>
        <w:tc>
          <w:tcPr>
            <w:tcW w:w="1037" w:type="dxa"/>
            <w:vAlign w:val="center"/>
          </w:tcPr>
          <w:p>
            <w:pPr>
              <w:pStyle w:val="28"/>
              <w:jc w:val="center"/>
            </w:pPr>
          </w:p>
        </w:tc>
        <w:tc>
          <w:tcPr>
            <w:tcW w:w="832" w:type="dxa"/>
            <w:vAlign w:val="center"/>
          </w:tcPr>
          <w:p>
            <w:pPr>
              <w:pStyle w:val="28"/>
              <w:jc w:val="center"/>
            </w:pPr>
          </w:p>
        </w:tc>
        <w:tc>
          <w:tcPr>
            <w:tcW w:w="1038" w:type="dxa"/>
            <w:vAlign w:val="center"/>
          </w:tcPr>
          <w:p>
            <w:pPr>
              <w:pStyle w:val="28"/>
              <w:jc w:val="center"/>
            </w:pPr>
          </w:p>
        </w:tc>
        <w:tc>
          <w:tcPr>
            <w:tcW w:w="549" w:type="dxa"/>
            <w:vAlign w:val="center"/>
          </w:tcPr>
          <w:p>
            <w:pPr>
              <w:pStyle w:val="28"/>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1" w:hRule="atLeast"/>
          <w:tblHeader/>
          <w:jc w:val="center"/>
        </w:trPr>
        <w:tc>
          <w:tcPr>
            <w:tcW w:w="669" w:type="dxa"/>
            <w:vAlign w:val="center"/>
          </w:tcPr>
          <w:p>
            <w:pPr>
              <w:widowControl/>
              <w:jc w:val="center"/>
              <w:rPr>
                <w:rFonts w:ascii="宋体" w:hAnsi="宋体" w:cs="宋体"/>
                <w:kern w:val="0"/>
                <w:sz w:val="24"/>
                <w:szCs w:val="24"/>
              </w:rPr>
            </w:pPr>
            <w:r>
              <w:rPr>
                <w:rFonts w:hint="eastAsia" w:ascii="宋体" w:hAnsi="宋体" w:cs="宋体"/>
                <w:kern w:val="0"/>
                <w:sz w:val="24"/>
                <w:szCs w:val="24"/>
              </w:rPr>
              <w:t>8</w:t>
            </w:r>
          </w:p>
        </w:tc>
        <w:tc>
          <w:tcPr>
            <w:tcW w:w="2231" w:type="dxa"/>
            <w:vAlign w:val="center"/>
          </w:tcPr>
          <w:p>
            <w:pPr>
              <w:spacing w:line="0" w:lineRule="atLeast"/>
              <w:jc w:val="center"/>
              <w:rPr>
                <w:sz w:val="24"/>
                <w:szCs w:val="24"/>
              </w:rPr>
            </w:pPr>
            <w:r>
              <w:rPr>
                <w:rFonts w:hint="eastAsia"/>
                <w:color w:val="000000"/>
                <w:sz w:val="24"/>
                <w:szCs w:val="24"/>
              </w:rPr>
              <w:t>便携式多参数水质分析仪</w:t>
            </w:r>
          </w:p>
        </w:tc>
        <w:tc>
          <w:tcPr>
            <w:tcW w:w="1382" w:type="dxa"/>
            <w:vAlign w:val="center"/>
          </w:tcPr>
          <w:p>
            <w:pPr>
              <w:pStyle w:val="28"/>
              <w:jc w:val="center"/>
            </w:pPr>
          </w:p>
        </w:tc>
        <w:tc>
          <w:tcPr>
            <w:tcW w:w="690" w:type="dxa"/>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台</w:t>
            </w:r>
          </w:p>
        </w:tc>
        <w:tc>
          <w:tcPr>
            <w:tcW w:w="705" w:type="dxa"/>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2</w:t>
            </w:r>
          </w:p>
        </w:tc>
        <w:tc>
          <w:tcPr>
            <w:tcW w:w="864" w:type="dxa"/>
            <w:vAlign w:val="center"/>
          </w:tcPr>
          <w:p>
            <w:pPr>
              <w:pStyle w:val="28"/>
              <w:jc w:val="center"/>
            </w:pPr>
          </w:p>
        </w:tc>
        <w:tc>
          <w:tcPr>
            <w:tcW w:w="1037" w:type="dxa"/>
            <w:vAlign w:val="center"/>
          </w:tcPr>
          <w:p>
            <w:pPr>
              <w:pStyle w:val="28"/>
              <w:jc w:val="center"/>
            </w:pPr>
          </w:p>
        </w:tc>
        <w:tc>
          <w:tcPr>
            <w:tcW w:w="832" w:type="dxa"/>
            <w:vAlign w:val="center"/>
          </w:tcPr>
          <w:p>
            <w:pPr>
              <w:pStyle w:val="28"/>
              <w:jc w:val="center"/>
            </w:pPr>
          </w:p>
        </w:tc>
        <w:tc>
          <w:tcPr>
            <w:tcW w:w="1038" w:type="dxa"/>
            <w:vAlign w:val="center"/>
          </w:tcPr>
          <w:p>
            <w:pPr>
              <w:pStyle w:val="28"/>
              <w:jc w:val="center"/>
            </w:pPr>
          </w:p>
        </w:tc>
        <w:tc>
          <w:tcPr>
            <w:tcW w:w="549" w:type="dxa"/>
            <w:vAlign w:val="center"/>
          </w:tcPr>
          <w:p>
            <w:pPr>
              <w:pStyle w:val="28"/>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blHeader/>
          <w:jc w:val="center"/>
        </w:trPr>
        <w:tc>
          <w:tcPr>
            <w:tcW w:w="669" w:type="dxa"/>
            <w:vAlign w:val="center"/>
          </w:tcPr>
          <w:p>
            <w:pPr>
              <w:widowControl/>
              <w:jc w:val="center"/>
              <w:rPr>
                <w:rFonts w:ascii="宋体" w:hAnsi="宋体" w:cs="宋体"/>
                <w:kern w:val="0"/>
                <w:sz w:val="24"/>
                <w:szCs w:val="24"/>
              </w:rPr>
            </w:pPr>
            <w:r>
              <w:rPr>
                <w:rFonts w:hint="eastAsia" w:ascii="宋体" w:hAnsi="宋体" w:cs="宋体"/>
                <w:kern w:val="0"/>
                <w:sz w:val="24"/>
                <w:szCs w:val="24"/>
              </w:rPr>
              <w:t>9</w:t>
            </w:r>
          </w:p>
        </w:tc>
        <w:tc>
          <w:tcPr>
            <w:tcW w:w="2231" w:type="dxa"/>
            <w:vAlign w:val="center"/>
          </w:tcPr>
          <w:p>
            <w:pPr>
              <w:spacing w:line="0" w:lineRule="atLeast"/>
              <w:jc w:val="center"/>
              <w:rPr>
                <w:sz w:val="24"/>
                <w:szCs w:val="24"/>
              </w:rPr>
            </w:pPr>
            <w:r>
              <w:rPr>
                <w:rFonts w:hint="eastAsia"/>
                <w:color w:val="000000"/>
                <w:sz w:val="24"/>
                <w:szCs w:val="24"/>
              </w:rPr>
              <w:t>单参数溶解氧分析仪</w:t>
            </w:r>
          </w:p>
        </w:tc>
        <w:tc>
          <w:tcPr>
            <w:tcW w:w="1382" w:type="dxa"/>
            <w:vAlign w:val="center"/>
          </w:tcPr>
          <w:p>
            <w:pPr>
              <w:pStyle w:val="28"/>
              <w:jc w:val="center"/>
            </w:pPr>
          </w:p>
        </w:tc>
        <w:tc>
          <w:tcPr>
            <w:tcW w:w="690" w:type="dxa"/>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台</w:t>
            </w:r>
          </w:p>
        </w:tc>
        <w:tc>
          <w:tcPr>
            <w:tcW w:w="705" w:type="dxa"/>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2</w:t>
            </w:r>
          </w:p>
        </w:tc>
        <w:tc>
          <w:tcPr>
            <w:tcW w:w="864" w:type="dxa"/>
            <w:vAlign w:val="center"/>
          </w:tcPr>
          <w:p>
            <w:pPr>
              <w:pStyle w:val="28"/>
              <w:jc w:val="center"/>
            </w:pPr>
          </w:p>
        </w:tc>
        <w:tc>
          <w:tcPr>
            <w:tcW w:w="1037" w:type="dxa"/>
            <w:vAlign w:val="center"/>
          </w:tcPr>
          <w:p>
            <w:pPr>
              <w:pStyle w:val="28"/>
              <w:jc w:val="center"/>
            </w:pPr>
          </w:p>
        </w:tc>
        <w:tc>
          <w:tcPr>
            <w:tcW w:w="832" w:type="dxa"/>
            <w:vAlign w:val="center"/>
          </w:tcPr>
          <w:p>
            <w:pPr>
              <w:pStyle w:val="28"/>
              <w:jc w:val="center"/>
            </w:pPr>
          </w:p>
        </w:tc>
        <w:tc>
          <w:tcPr>
            <w:tcW w:w="1038" w:type="dxa"/>
            <w:vAlign w:val="center"/>
          </w:tcPr>
          <w:p>
            <w:pPr>
              <w:pStyle w:val="28"/>
              <w:jc w:val="center"/>
            </w:pPr>
          </w:p>
        </w:tc>
        <w:tc>
          <w:tcPr>
            <w:tcW w:w="549" w:type="dxa"/>
            <w:vAlign w:val="center"/>
          </w:tcPr>
          <w:p>
            <w:pPr>
              <w:pStyle w:val="28"/>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blHeader/>
          <w:jc w:val="center"/>
        </w:trPr>
        <w:tc>
          <w:tcPr>
            <w:tcW w:w="669" w:type="dxa"/>
            <w:vAlign w:val="center"/>
          </w:tcPr>
          <w:p>
            <w:pPr>
              <w:widowControl/>
              <w:jc w:val="center"/>
              <w:rPr>
                <w:rFonts w:ascii="宋体" w:hAnsi="宋体" w:cs="宋体"/>
                <w:kern w:val="0"/>
                <w:sz w:val="24"/>
                <w:szCs w:val="24"/>
              </w:rPr>
            </w:pPr>
            <w:r>
              <w:rPr>
                <w:rFonts w:hint="eastAsia" w:ascii="宋体" w:hAnsi="宋体" w:cs="宋体"/>
                <w:kern w:val="0"/>
                <w:sz w:val="24"/>
                <w:szCs w:val="24"/>
              </w:rPr>
              <w:t>10</w:t>
            </w:r>
          </w:p>
        </w:tc>
        <w:tc>
          <w:tcPr>
            <w:tcW w:w="2231" w:type="dxa"/>
            <w:vAlign w:val="center"/>
          </w:tcPr>
          <w:p>
            <w:pPr>
              <w:spacing w:line="0" w:lineRule="atLeast"/>
              <w:jc w:val="center"/>
              <w:rPr>
                <w:sz w:val="24"/>
                <w:szCs w:val="24"/>
              </w:rPr>
            </w:pPr>
            <w:r>
              <w:rPr>
                <w:rFonts w:hint="eastAsia"/>
                <w:color w:val="000000"/>
                <w:sz w:val="24"/>
                <w:szCs w:val="24"/>
              </w:rPr>
              <w:t>紫外可见分光光度计</w:t>
            </w:r>
          </w:p>
        </w:tc>
        <w:tc>
          <w:tcPr>
            <w:tcW w:w="1382" w:type="dxa"/>
            <w:vAlign w:val="center"/>
          </w:tcPr>
          <w:p>
            <w:pPr>
              <w:pStyle w:val="28"/>
              <w:jc w:val="center"/>
            </w:pPr>
          </w:p>
        </w:tc>
        <w:tc>
          <w:tcPr>
            <w:tcW w:w="690" w:type="dxa"/>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台</w:t>
            </w:r>
          </w:p>
        </w:tc>
        <w:tc>
          <w:tcPr>
            <w:tcW w:w="705" w:type="dxa"/>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2</w:t>
            </w:r>
          </w:p>
        </w:tc>
        <w:tc>
          <w:tcPr>
            <w:tcW w:w="864" w:type="dxa"/>
            <w:vAlign w:val="center"/>
          </w:tcPr>
          <w:p>
            <w:pPr>
              <w:pStyle w:val="28"/>
              <w:jc w:val="center"/>
            </w:pPr>
          </w:p>
        </w:tc>
        <w:tc>
          <w:tcPr>
            <w:tcW w:w="1037" w:type="dxa"/>
            <w:vAlign w:val="center"/>
          </w:tcPr>
          <w:p>
            <w:pPr>
              <w:pStyle w:val="28"/>
              <w:jc w:val="center"/>
            </w:pPr>
          </w:p>
        </w:tc>
        <w:tc>
          <w:tcPr>
            <w:tcW w:w="832" w:type="dxa"/>
            <w:vAlign w:val="center"/>
          </w:tcPr>
          <w:p>
            <w:pPr>
              <w:pStyle w:val="28"/>
              <w:jc w:val="center"/>
            </w:pPr>
          </w:p>
        </w:tc>
        <w:tc>
          <w:tcPr>
            <w:tcW w:w="1038" w:type="dxa"/>
            <w:vAlign w:val="center"/>
          </w:tcPr>
          <w:p>
            <w:pPr>
              <w:pStyle w:val="28"/>
              <w:jc w:val="center"/>
            </w:pPr>
          </w:p>
        </w:tc>
        <w:tc>
          <w:tcPr>
            <w:tcW w:w="549" w:type="dxa"/>
            <w:vAlign w:val="center"/>
          </w:tcPr>
          <w:p>
            <w:pPr>
              <w:pStyle w:val="28"/>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blHeader/>
          <w:jc w:val="center"/>
        </w:trPr>
        <w:tc>
          <w:tcPr>
            <w:tcW w:w="669" w:type="dxa"/>
            <w:vAlign w:val="center"/>
          </w:tcPr>
          <w:p>
            <w:pPr>
              <w:widowControl/>
              <w:jc w:val="center"/>
              <w:rPr>
                <w:rFonts w:ascii="宋体" w:hAnsi="宋体" w:cs="宋体"/>
                <w:kern w:val="0"/>
                <w:sz w:val="24"/>
                <w:szCs w:val="24"/>
              </w:rPr>
            </w:pPr>
            <w:r>
              <w:rPr>
                <w:rFonts w:hint="eastAsia" w:ascii="宋体" w:hAnsi="宋体" w:cs="宋体"/>
                <w:kern w:val="0"/>
                <w:sz w:val="24"/>
                <w:szCs w:val="24"/>
              </w:rPr>
              <w:t>11</w:t>
            </w:r>
          </w:p>
        </w:tc>
        <w:tc>
          <w:tcPr>
            <w:tcW w:w="2231" w:type="dxa"/>
            <w:vAlign w:val="center"/>
          </w:tcPr>
          <w:p>
            <w:pPr>
              <w:spacing w:line="0" w:lineRule="atLeast"/>
              <w:jc w:val="center"/>
              <w:rPr>
                <w:sz w:val="24"/>
                <w:szCs w:val="24"/>
              </w:rPr>
            </w:pPr>
            <w:r>
              <w:rPr>
                <w:rFonts w:hint="eastAsia"/>
                <w:color w:val="000000"/>
                <w:sz w:val="24"/>
                <w:szCs w:val="24"/>
              </w:rPr>
              <w:t>超纯水机</w:t>
            </w:r>
          </w:p>
        </w:tc>
        <w:tc>
          <w:tcPr>
            <w:tcW w:w="1382" w:type="dxa"/>
            <w:vAlign w:val="center"/>
          </w:tcPr>
          <w:p>
            <w:pPr>
              <w:pStyle w:val="28"/>
              <w:jc w:val="center"/>
            </w:pPr>
          </w:p>
        </w:tc>
        <w:tc>
          <w:tcPr>
            <w:tcW w:w="690" w:type="dxa"/>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台</w:t>
            </w:r>
          </w:p>
        </w:tc>
        <w:tc>
          <w:tcPr>
            <w:tcW w:w="705" w:type="dxa"/>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1</w:t>
            </w:r>
          </w:p>
        </w:tc>
        <w:tc>
          <w:tcPr>
            <w:tcW w:w="864" w:type="dxa"/>
            <w:vAlign w:val="center"/>
          </w:tcPr>
          <w:p>
            <w:pPr>
              <w:pStyle w:val="28"/>
              <w:jc w:val="center"/>
            </w:pPr>
          </w:p>
        </w:tc>
        <w:tc>
          <w:tcPr>
            <w:tcW w:w="1037" w:type="dxa"/>
            <w:vAlign w:val="center"/>
          </w:tcPr>
          <w:p>
            <w:pPr>
              <w:pStyle w:val="28"/>
              <w:jc w:val="center"/>
            </w:pPr>
          </w:p>
        </w:tc>
        <w:tc>
          <w:tcPr>
            <w:tcW w:w="832" w:type="dxa"/>
            <w:vAlign w:val="center"/>
          </w:tcPr>
          <w:p>
            <w:pPr>
              <w:pStyle w:val="28"/>
              <w:jc w:val="center"/>
            </w:pPr>
          </w:p>
        </w:tc>
        <w:tc>
          <w:tcPr>
            <w:tcW w:w="1038" w:type="dxa"/>
            <w:vAlign w:val="center"/>
          </w:tcPr>
          <w:p>
            <w:pPr>
              <w:pStyle w:val="28"/>
              <w:jc w:val="center"/>
            </w:pPr>
          </w:p>
        </w:tc>
        <w:tc>
          <w:tcPr>
            <w:tcW w:w="549" w:type="dxa"/>
            <w:vAlign w:val="center"/>
          </w:tcPr>
          <w:p>
            <w:pPr>
              <w:pStyle w:val="28"/>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blHeader/>
          <w:jc w:val="center"/>
        </w:trPr>
        <w:tc>
          <w:tcPr>
            <w:tcW w:w="7578" w:type="dxa"/>
            <w:gridSpan w:val="7"/>
            <w:vAlign w:val="center"/>
          </w:tcPr>
          <w:p>
            <w:pPr>
              <w:pStyle w:val="28"/>
              <w:jc w:val="center"/>
              <w:rPr>
                <w:rFonts w:hint="default" w:eastAsia="仿宋_GB2312"/>
                <w:b/>
                <w:bCs/>
                <w:lang w:val="en-US" w:eastAsia="zh-CN"/>
              </w:rPr>
            </w:pPr>
            <w:r>
              <w:rPr>
                <w:rFonts w:hint="eastAsia"/>
                <w:b/>
                <w:bCs/>
              </w:rPr>
              <w:t>总计</w:t>
            </w:r>
            <w:r>
              <w:rPr>
                <w:rFonts w:hint="eastAsia"/>
                <w:b/>
                <w:bCs/>
                <w:lang w:val="en-US" w:eastAsia="zh-CN"/>
              </w:rPr>
              <w:t xml:space="preserve">  元（含税  %）</w:t>
            </w:r>
          </w:p>
        </w:tc>
        <w:tc>
          <w:tcPr>
            <w:tcW w:w="832" w:type="dxa"/>
            <w:vAlign w:val="center"/>
          </w:tcPr>
          <w:p>
            <w:pPr>
              <w:pStyle w:val="28"/>
              <w:jc w:val="center"/>
            </w:pPr>
          </w:p>
        </w:tc>
        <w:tc>
          <w:tcPr>
            <w:tcW w:w="1038" w:type="dxa"/>
            <w:vAlign w:val="center"/>
          </w:tcPr>
          <w:p>
            <w:pPr>
              <w:pStyle w:val="28"/>
              <w:jc w:val="center"/>
            </w:pPr>
          </w:p>
        </w:tc>
        <w:tc>
          <w:tcPr>
            <w:tcW w:w="549" w:type="dxa"/>
            <w:vAlign w:val="center"/>
          </w:tcPr>
          <w:p>
            <w:pPr>
              <w:pStyle w:val="28"/>
              <w:jc w:val="center"/>
            </w:pPr>
          </w:p>
        </w:tc>
      </w:tr>
    </w:tbl>
    <w:p>
      <w:pPr>
        <w:pStyle w:val="11"/>
        <w:snapToGrid w:val="0"/>
        <w:spacing w:line="600" w:lineRule="exact"/>
        <w:ind w:firstLine="0" w:firstLineChars="0"/>
        <w:rPr>
          <w:rFonts w:hint="eastAsia" w:ascii="仿宋_GB2312" w:hAnsi="宋体" w:eastAsia="仿宋_GB2312" w:cs="Times New Roman"/>
          <w:color w:val="auto"/>
          <w:sz w:val="30"/>
          <w:szCs w:val="30"/>
        </w:rPr>
      </w:pPr>
      <w:bookmarkStart w:id="166" w:name="_Toc87616402"/>
      <w:bookmarkStart w:id="167" w:name="_Toc6058"/>
      <w:bookmarkStart w:id="168" w:name="_Toc16386"/>
      <w:bookmarkStart w:id="169" w:name="_Toc88209965"/>
    </w:p>
    <w:p>
      <w:pPr>
        <w:pStyle w:val="11"/>
        <w:snapToGrid w:val="0"/>
        <w:spacing w:line="600" w:lineRule="exact"/>
        <w:ind w:firstLine="0" w:firstLineChars="0"/>
        <w:rPr>
          <w:rFonts w:hint="eastAsia" w:ascii="仿宋_GB2312" w:hAnsi="宋体" w:eastAsia="仿宋_GB2312" w:cs="Times New Roman"/>
          <w:color w:val="auto"/>
          <w:sz w:val="30"/>
          <w:szCs w:val="30"/>
        </w:rPr>
      </w:pPr>
    </w:p>
    <w:p>
      <w:pPr>
        <w:pStyle w:val="11"/>
        <w:snapToGrid w:val="0"/>
        <w:spacing w:line="600" w:lineRule="exact"/>
        <w:ind w:firstLine="0" w:firstLineChars="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供应商：</w:t>
      </w:r>
      <w:r>
        <w:rPr>
          <w:rFonts w:hint="eastAsia" w:ascii="仿宋_GB2312" w:hAnsi="宋体" w:eastAsia="仿宋_GB2312" w:cs="Times New Roman"/>
          <w:color w:val="auto"/>
          <w:sz w:val="30"/>
          <w:szCs w:val="30"/>
          <w:u w:val="single"/>
        </w:rPr>
        <w:t xml:space="preserve">       (盖单位章)      </w:t>
      </w:r>
    </w:p>
    <w:p>
      <w:pPr>
        <w:pStyle w:val="5"/>
        <w:rPr>
          <w:rFonts w:hint="eastAsia" w:eastAsiaTheme="majorEastAsia"/>
        </w:rPr>
      </w:pPr>
      <w:r>
        <w:rPr>
          <w:rFonts w:hint="eastAsia" w:ascii="仿宋_GB2312" w:hAnsi="宋体" w:eastAsia="仿宋_GB2312"/>
          <w:sz w:val="30"/>
          <w:szCs w:val="30"/>
        </w:rPr>
        <w:t>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pStyle w:val="5"/>
        <w:rPr>
          <w:rFonts w:asciiTheme="majorEastAsia" w:hAnsiTheme="majorEastAsia" w:eastAsiaTheme="majorEastAsia"/>
          <w:sz w:val="28"/>
          <w:szCs w:val="28"/>
        </w:rPr>
      </w:pPr>
      <w:r>
        <w:rPr>
          <w:rFonts w:hint="eastAsia" w:eastAsiaTheme="majorEastAsia"/>
        </w:rPr>
        <w:t>6</w:t>
      </w:r>
      <w:r>
        <w:rPr>
          <w:rFonts w:hint="eastAsia" w:asciiTheme="majorEastAsia" w:hAnsiTheme="majorEastAsia" w:eastAsiaTheme="majorEastAsia"/>
          <w:sz w:val="28"/>
          <w:szCs w:val="28"/>
        </w:rPr>
        <w:t>.其他资料</w:t>
      </w:r>
      <w:bookmarkEnd w:id="166"/>
      <w:bookmarkEnd w:id="167"/>
      <w:bookmarkEnd w:id="168"/>
      <w:bookmarkEnd w:id="169"/>
    </w:p>
    <w:p>
      <w:pPr>
        <w:adjustRightInd w:val="0"/>
        <w:snapToGrid w:val="0"/>
        <w:spacing w:line="600" w:lineRule="exact"/>
        <w:ind w:firstLine="570"/>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WgSpKcBAABAAwAADgAAAGRycy9lMm9Eb2MueG1srVJLbhsxDN0XyB0E&#10;7WNNXCBwBx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KloEqSnAQAAQAMAAA4AAAAA&#10;AAAAAQAgAAAAHgEAAGRycy9lMm9Eb2MueG1sUEsFBgAAAAAGAAYAWQEAADcFA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K4BKcBAABAAwAADgAAAGRycy9lMm9Eb2MueG1srVJLbhsxDN0XyB0E&#10;7WNNjCI1Bh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AqiuASnAQAAQAMAAA4AAAAA&#10;AAAAAQAgAAAAHgEAAGRycy9lMm9Eb2MueG1sUEsFBgAAAAAGAAYAWQEAADcFAAAAAA==&#10;">
              <v:fill on="f" focussize="0,0"/>
              <v:stroke on="f"/>
              <v:imagedata o:title=""/>
              <o:lock v:ext="edit" aspectratio="f"/>
              <v:textbox inset="0mm,0mm,0mm,0mm" style="mso-fit-shape-to-text:t;">
                <w:txbxContent>
                  <w:p>
                    <w:pPr>
                      <w:pStyle w:val="15"/>
                    </w:pPr>
                  </w:p>
                  <w:p/>
                </w:txbxContent>
              </v:textbox>
            </v:shape>
          </w:pict>
        </mc:Fallback>
      </mc:AlternateConten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5"/>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lzdbWpQEAAEADAAAOAAAAAAAA&#10;AAEAIAAAAB4BAABkcnMvZTJvRG9jLnhtbFBLBQYAAAAABgAGAFkBAAA1BQ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E4A376"/>
    <w:multiLevelType w:val="singleLevel"/>
    <w:tmpl w:val="BFE4A376"/>
    <w:lvl w:ilvl="0" w:tentative="0">
      <w:start w:val="2"/>
      <w:numFmt w:val="decimal"/>
      <w:lvlText w:val="%1."/>
      <w:lvlJc w:val="left"/>
      <w:pPr>
        <w:tabs>
          <w:tab w:val="left" w:pos="312"/>
        </w:tabs>
        <w:ind w:left="1200" w:firstLine="0"/>
      </w:pPr>
    </w:lvl>
  </w:abstractNum>
  <w:abstractNum w:abstractNumId="1">
    <w:nsid w:val="C9586129"/>
    <w:multiLevelType w:val="singleLevel"/>
    <w:tmpl w:val="C9586129"/>
    <w:lvl w:ilvl="0" w:tentative="0">
      <w:start w:val="2"/>
      <w:numFmt w:val="chineseCounting"/>
      <w:suff w:val="nothing"/>
      <w:lvlText w:val="%1、"/>
      <w:lvlJc w:val="left"/>
      <w:rPr>
        <w:rFonts w:hint="eastAsia"/>
      </w:r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abstractNum w:abstractNumId="5">
    <w:nsid w:val="771C8F7B"/>
    <w:multiLevelType w:val="singleLevel"/>
    <w:tmpl w:val="771C8F7B"/>
    <w:lvl w:ilvl="0" w:tentative="0">
      <w:start w:val="4"/>
      <w:numFmt w:val="chineseCounting"/>
      <w:suff w:val="space"/>
      <w:lvlText w:val="第%1条"/>
      <w:lvlJc w:val="left"/>
      <w:rPr>
        <w:rFonts w:hint="eastAsia"/>
      </w:r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18A"/>
    <w:rsid w:val="00104FD1"/>
    <w:rsid w:val="001E4F9A"/>
    <w:rsid w:val="00223D8B"/>
    <w:rsid w:val="003A1B69"/>
    <w:rsid w:val="003D60BA"/>
    <w:rsid w:val="003E6DBF"/>
    <w:rsid w:val="00405806"/>
    <w:rsid w:val="00411689"/>
    <w:rsid w:val="00433300"/>
    <w:rsid w:val="00544F84"/>
    <w:rsid w:val="00573F1D"/>
    <w:rsid w:val="005D618A"/>
    <w:rsid w:val="007D0722"/>
    <w:rsid w:val="007F3DEB"/>
    <w:rsid w:val="00835638"/>
    <w:rsid w:val="00911ECD"/>
    <w:rsid w:val="00A042E0"/>
    <w:rsid w:val="00A34EF2"/>
    <w:rsid w:val="00A847E6"/>
    <w:rsid w:val="00B26BB1"/>
    <w:rsid w:val="00B26E21"/>
    <w:rsid w:val="00B86A08"/>
    <w:rsid w:val="00C96D53"/>
    <w:rsid w:val="00ED223C"/>
    <w:rsid w:val="00F718F4"/>
    <w:rsid w:val="00F83B64"/>
    <w:rsid w:val="013E3461"/>
    <w:rsid w:val="01BB0F13"/>
    <w:rsid w:val="02090C75"/>
    <w:rsid w:val="02A23A3C"/>
    <w:rsid w:val="0330607B"/>
    <w:rsid w:val="033C4E86"/>
    <w:rsid w:val="035D130A"/>
    <w:rsid w:val="039110A9"/>
    <w:rsid w:val="03AC246A"/>
    <w:rsid w:val="03AE6061"/>
    <w:rsid w:val="03B23056"/>
    <w:rsid w:val="03C74997"/>
    <w:rsid w:val="03DA023E"/>
    <w:rsid w:val="03DC3EBA"/>
    <w:rsid w:val="03F23AEC"/>
    <w:rsid w:val="03F9794D"/>
    <w:rsid w:val="046A2461"/>
    <w:rsid w:val="04DB07C5"/>
    <w:rsid w:val="051C2970"/>
    <w:rsid w:val="060C3611"/>
    <w:rsid w:val="061E26D1"/>
    <w:rsid w:val="062245B6"/>
    <w:rsid w:val="06C64829"/>
    <w:rsid w:val="070E7B6E"/>
    <w:rsid w:val="071D62B7"/>
    <w:rsid w:val="077D16D2"/>
    <w:rsid w:val="07A87EEB"/>
    <w:rsid w:val="07B36210"/>
    <w:rsid w:val="080E004F"/>
    <w:rsid w:val="08297817"/>
    <w:rsid w:val="082A69F3"/>
    <w:rsid w:val="0844336A"/>
    <w:rsid w:val="084C0861"/>
    <w:rsid w:val="08675FC8"/>
    <w:rsid w:val="08890BBE"/>
    <w:rsid w:val="08D77705"/>
    <w:rsid w:val="09B713FD"/>
    <w:rsid w:val="09EF6ACC"/>
    <w:rsid w:val="0A315056"/>
    <w:rsid w:val="0AA213B4"/>
    <w:rsid w:val="0AF61C7E"/>
    <w:rsid w:val="0AFB45AD"/>
    <w:rsid w:val="0B351E9B"/>
    <w:rsid w:val="0B4C50D3"/>
    <w:rsid w:val="0B806B92"/>
    <w:rsid w:val="0B827E94"/>
    <w:rsid w:val="0B842F76"/>
    <w:rsid w:val="0BD070E1"/>
    <w:rsid w:val="0C2361E7"/>
    <w:rsid w:val="0C247926"/>
    <w:rsid w:val="0D316035"/>
    <w:rsid w:val="0D794204"/>
    <w:rsid w:val="0E2125D1"/>
    <w:rsid w:val="0E214211"/>
    <w:rsid w:val="0E224DEE"/>
    <w:rsid w:val="0E25643A"/>
    <w:rsid w:val="0E5F2769"/>
    <w:rsid w:val="0F2F7FB6"/>
    <w:rsid w:val="0F4D75A3"/>
    <w:rsid w:val="0F5B2DCA"/>
    <w:rsid w:val="0FED051E"/>
    <w:rsid w:val="0FEE4C29"/>
    <w:rsid w:val="0FFA113E"/>
    <w:rsid w:val="10031608"/>
    <w:rsid w:val="10046082"/>
    <w:rsid w:val="104974DD"/>
    <w:rsid w:val="1089211E"/>
    <w:rsid w:val="10E73A13"/>
    <w:rsid w:val="111703D2"/>
    <w:rsid w:val="112B101A"/>
    <w:rsid w:val="119B53FC"/>
    <w:rsid w:val="1215733B"/>
    <w:rsid w:val="12424CDC"/>
    <w:rsid w:val="129A2738"/>
    <w:rsid w:val="12B56BF1"/>
    <w:rsid w:val="12CB1A89"/>
    <w:rsid w:val="131840FB"/>
    <w:rsid w:val="13467417"/>
    <w:rsid w:val="136E76CF"/>
    <w:rsid w:val="137C5059"/>
    <w:rsid w:val="145F08C6"/>
    <w:rsid w:val="14E43F59"/>
    <w:rsid w:val="15776308"/>
    <w:rsid w:val="15BC6B3C"/>
    <w:rsid w:val="15D45778"/>
    <w:rsid w:val="16360A7B"/>
    <w:rsid w:val="164D40B0"/>
    <w:rsid w:val="1694429A"/>
    <w:rsid w:val="173D36CF"/>
    <w:rsid w:val="17635326"/>
    <w:rsid w:val="17B803EA"/>
    <w:rsid w:val="17FC5D69"/>
    <w:rsid w:val="1815096B"/>
    <w:rsid w:val="18236EFD"/>
    <w:rsid w:val="189D5B1F"/>
    <w:rsid w:val="18A34CD0"/>
    <w:rsid w:val="18D706FE"/>
    <w:rsid w:val="19A53EA8"/>
    <w:rsid w:val="19B64DBC"/>
    <w:rsid w:val="19EC6A4A"/>
    <w:rsid w:val="1A2B4947"/>
    <w:rsid w:val="1A373ACF"/>
    <w:rsid w:val="1A7B10BA"/>
    <w:rsid w:val="1A895341"/>
    <w:rsid w:val="1A9D5038"/>
    <w:rsid w:val="1ACC1989"/>
    <w:rsid w:val="1AEA1E22"/>
    <w:rsid w:val="1B0D071F"/>
    <w:rsid w:val="1B4568CE"/>
    <w:rsid w:val="1B9015B7"/>
    <w:rsid w:val="1B950DA6"/>
    <w:rsid w:val="1BF54245"/>
    <w:rsid w:val="1D0E6976"/>
    <w:rsid w:val="1D1B1DDC"/>
    <w:rsid w:val="1D5A79EE"/>
    <w:rsid w:val="1E0E2CD0"/>
    <w:rsid w:val="1E831280"/>
    <w:rsid w:val="1EBC4704"/>
    <w:rsid w:val="1F172EB5"/>
    <w:rsid w:val="1F94592D"/>
    <w:rsid w:val="1FB860DE"/>
    <w:rsid w:val="203C5A02"/>
    <w:rsid w:val="209D4C94"/>
    <w:rsid w:val="20B44FCD"/>
    <w:rsid w:val="20E84705"/>
    <w:rsid w:val="20EF2751"/>
    <w:rsid w:val="218400BA"/>
    <w:rsid w:val="21AB1E2F"/>
    <w:rsid w:val="21D40498"/>
    <w:rsid w:val="22767047"/>
    <w:rsid w:val="23A05588"/>
    <w:rsid w:val="240476A1"/>
    <w:rsid w:val="247F007E"/>
    <w:rsid w:val="25431AEB"/>
    <w:rsid w:val="25BE3BFB"/>
    <w:rsid w:val="25BF43FD"/>
    <w:rsid w:val="25F86BCD"/>
    <w:rsid w:val="2605748B"/>
    <w:rsid w:val="26396D26"/>
    <w:rsid w:val="264544A6"/>
    <w:rsid w:val="26493454"/>
    <w:rsid w:val="265947AF"/>
    <w:rsid w:val="267702FB"/>
    <w:rsid w:val="269E416A"/>
    <w:rsid w:val="26A8391B"/>
    <w:rsid w:val="26C11C6B"/>
    <w:rsid w:val="272100D3"/>
    <w:rsid w:val="272C72FC"/>
    <w:rsid w:val="275131CB"/>
    <w:rsid w:val="278F6521"/>
    <w:rsid w:val="27EB149D"/>
    <w:rsid w:val="27FD3E52"/>
    <w:rsid w:val="28E11370"/>
    <w:rsid w:val="291E5E43"/>
    <w:rsid w:val="294A756A"/>
    <w:rsid w:val="29781BF8"/>
    <w:rsid w:val="29C33ED0"/>
    <w:rsid w:val="29D5322D"/>
    <w:rsid w:val="2A025DD9"/>
    <w:rsid w:val="2A2619CB"/>
    <w:rsid w:val="2A7C2231"/>
    <w:rsid w:val="2A920E4F"/>
    <w:rsid w:val="2ABB753D"/>
    <w:rsid w:val="2AD4582D"/>
    <w:rsid w:val="2AFE6EC4"/>
    <w:rsid w:val="2B7A49FA"/>
    <w:rsid w:val="2C615D26"/>
    <w:rsid w:val="2C710238"/>
    <w:rsid w:val="2CB679ED"/>
    <w:rsid w:val="2D173C07"/>
    <w:rsid w:val="2D424A86"/>
    <w:rsid w:val="2DDA66B7"/>
    <w:rsid w:val="2E6F2D11"/>
    <w:rsid w:val="2E7B52DB"/>
    <w:rsid w:val="2ED60115"/>
    <w:rsid w:val="2F324CFE"/>
    <w:rsid w:val="2F9F6FB4"/>
    <w:rsid w:val="2FBA09F1"/>
    <w:rsid w:val="2FD03D4E"/>
    <w:rsid w:val="2FEF2ACF"/>
    <w:rsid w:val="2FF93D20"/>
    <w:rsid w:val="30540211"/>
    <w:rsid w:val="30E45100"/>
    <w:rsid w:val="31112A0D"/>
    <w:rsid w:val="311F4B20"/>
    <w:rsid w:val="312D7741"/>
    <w:rsid w:val="3135087A"/>
    <w:rsid w:val="316F137F"/>
    <w:rsid w:val="31DF525F"/>
    <w:rsid w:val="31EC162B"/>
    <w:rsid w:val="32324C2E"/>
    <w:rsid w:val="327171DF"/>
    <w:rsid w:val="32E6557D"/>
    <w:rsid w:val="330C3F1B"/>
    <w:rsid w:val="3391569E"/>
    <w:rsid w:val="341E3434"/>
    <w:rsid w:val="34BB4442"/>
    <w:rsid w:val="3584136B"/>
    <w:rsid w:val="35FF5AA4"/>
    <w:rsid w:val="360B7EBA"/>
    <w:rsid w:val="363B58ED"/>
    <w:rsid w:val="36416867"/>
    <w:rsid w:val="367D5DD4"/>
    <w:rsid w:val="369C32FD"/>
    <w:rsid w:val="37666E72"/>
    <w:rsid w:val="38081EA3"/>
    <w:rsid w:val="38167A04"/>
    <w:rsid w:val="381C3783"/>
    <w:rsid w:val="394B167A"/>
    <w:rsid w:val="39DA2868"/>
    <w:rsid w:val="3A055F4B"/>
    <w:rsid w:val="3A4E4336"/>
    <w:rsid w:val="3A6007FE"/>
    <w:rsid w:val="3A802587"/>
    <w:rsid w:val="3A852164"/>
    <w:rsid w:val="3AF93D6C"/>
    <w:rsid w:val="3AFD06C8"/>
    <w:rsid w:val="3B7C2CE4"/>
    <w:rsid w:val="3BAF716B"/>
    <w:rsid w:val="3C0B5355"/>
    <w:rsid w:val="3CD4176B"/>
    <w:rsid w:val="3CDB3902"/>
    <w:rsid w:val="3D1F44D9"/>
    <w:rsid w:val="3D5C38CD"/>
    <w:rsid w:val="3D7718F5"/>
    <w:rsid w:val="3DAD13DF"/>
    <w:rsid w:val="3DBC6F81"/>
    <w:rsid w:val="3E5070F1"/>
    <w:rsid w:val="3EC370CB"/>
    <w:rsid w:val="3F6C3589"/>
    <w:rsid w:val="3F850180"/>
    <w:rsid w:val="3F9004D6"/>
    <w:rsid w:val="3FEE7CFA"/>
    <w:rsid w:val="400E4D5E"/>
    <w:rsid w:val="40E1138C"/>
    <w:rsid w:val="413814BA"/>
    <w:rsid w:val="417C3D4D"/>
    <w:rsid w:val="41872511"/>
    <w:rsid w:val="41DF1251"/>
    <w:rsid w:val="424236D9"/>
    <w:rsid w:val="42466655"/>
    <w:rsid w:val="42B368FF"/>
    <w:rsid w:val="42C82F57"/>
    <w:rsid w:val="435707E5"/>
    <w:rsid w:val="43C76AF7"/>
    <w:rsid w:val="43E97E4A"/>
    <w:rsid w:val="446828F0"/>
    <w:rsid w:val="45093E85"/>
    <w:rsid w:val="45C13B4D"/>
    <w:rsid w:val="45E54D04"/>
    <w:rsid w:val="46054BCA"/>
    <w:rsid w:val="464C6AFC"/>
    <w:rsid w:val="468B0091"/>
    <w:rsid w:val="46A107C3"/>
    <w:rsid w:val="46B15CE2"/>
    <w:rsid w:val="46BE113D"/>
    <w:rsid w:val="46E44B13"/>
    <w:rsid w:val="4703508A"/>
    <w:rsid w:val="475023F8"/>
    <w:rsid w:val="479D361E"/>
    <w:rsid w:val="47B74789"/>
    <w:rsid w:val="47EF5EA0"/>
    <w:rsid w:val="48032A55"/>
    <w:rsid w:val="480F2B9D"/>
    <w:rsid w:val="48102176"/>
    <w:rsid w:val="48282920"/>
    <w:rsid w:val="483E1347"/>
    <w:rsid w:val="485321E0"/>
    <w:rsid w:val="48546AD3"/>
    <w:rsid w:val="48CA4868"/>
    <w:rsid w:val="48F005D3"/>
    <w:rsid w:val="49547ADD"/>
    <w:rsid w:val="49732351"/>
    <w:rsid w:val="498F4AF1"/>
    <w:rsid w:val="49C05787"/>
    <w:rsid w:val="49CF518D"/>
    <w:rsid w:val="4A036AED"/>
    <w:rsid w:val="4A7F3979"/>
    <w:rsid w:val="4ADA1F63"/>
    <w:rsid w:val="4AE23D89"/>
    <w:rsid w:val="4B2038D0"/>
    <w:rsid w:val="4B296E7D"/>
    <w:rsid w:val="4B79394E"/>
    <w:rsid w:val="4B877F28"/>
    <w:rsid w:val="4D916BA6"/>
    <w:rsid w:val="4DC44169"/>
    <w:rsid w:val="4DE24E21"/>
    <w:rsid w:val="4E1B19A3"/>
    <w:rsid w:val="4E48787F"/>
    <w:rsid w:val="4E803E33"/>
    <w:rsid w:val="4E936E55"/>
    <w:rsid w:val="4EF0709E"/>
    <w:rsid w:val="4EF636D2"/>
    <w:rsid w:val="4F0469A4"/>
    <w:rsid w:val="4FD62928"/>
    <w:rsid w:val="500E56F4"/>
    <w:rsid w:val="50540C73"/>
    <w:rsid w:val="50752AF8"/>
    <w:rsid w:val="513C6A7B"/>
    <w:rsid w:val="52EC6EC2"/>
    <w:rsid w:val="532D486F"/>
    <w:rsid w:val="5333545B"/>
    <w:rsid w:val="538D0E89"/>
    <w:rsid w:val="544F5FA1"/>
    <w:rsid w:val="5450213C"/>
    <w:rsid w:val="54D24048"/>
    <w:rsid w:val="54D64CD5"/>
    <w:rsid w:val="54DD739E"/>
    <w:rsid w:val="5532287C"/>
    <w:rsid w:val="55887D69"/>
    <w:rsid w:val="55A51794"/>
    <w:rsid w:val="561A0928"/>
    <w:rsid w:val="56423872"/>
    <w:rsid w:val="569E06BC"/>
    <w:rsid w:val="56B279F0"/>
    <w:rsid w:val="56F20F86"/>
    <w:rsid w:val="579D710E"/>
    <w:rsid w:val="581F22F6"/>
    <w:rsid w:val="5866714C"/>
    <w:rsid w:val="586E1E17"/>
    <w:rsid w:val="58862C35"/>
    <w:rsid w:val="58C14957"/>
    <w:rsid w:val="58CC23D2"/>
    <w:rsid w:val="58E66050"/>
    <w:rsid w:val="591C5307"/>
    <w:rsid w:val="594823BC"/>
    <w:rsid w:val="59BE453B"/>
    <w:rsid w:val="59FC7994"/>
    <w:rsid w:val="5A3E7D97"/>
    <w:rsid w:val="5AC228FF"/>
    <w:rsid w:val="5AE83A50"/>
    <w:rsid w:val="5B353193"/>
    <w:rsid w:val="5BAB2917"/>
    <w:rsid w:val="5BFC33FA"/>
    <w:rsid w:val="5C3107A4"/>
    <w:rsid w:val="5C3B1B93"/>
    <w:rsid w:val="5C7900AB"/>
    <w:rsid w:val="5C9220DF"/>
    <w:rsid w:val="5D471F14"/>
    <w:rsid w:val="5D4A15F3"/>
    <w:rsid w:val="5D69542A"/>
    <w:rsid w:val="5D783B72"/>
    <w:rsid w:val="5E0930EF"/>
    <w:rsid w:val="5E3D4D53"/>
    <w:rsid w:val="5E4717E6"/>
    <w:rsid w:val="5E55774C"/>
    <w:rsid w:val="5E8A70FF"/>
    <w:rsid w:val="60045F96"/>
    <w:rsid w:val="60104DDC"/>
    <w:rsid w:val="60394A5E"/>
    <w:rsid w:val="605C0804"/>
    <w:rsid w:val="60913E6F"/>
    <w:rsid w:val="61733C3E"/>
    <w:rsid w:val="6189617B"/>
    <w:rsid w:val="61B52BB6"/>
    <w:rsid w:val="61B749C2"/>
    <w:rsid w:val="62280D20"/>
    <w:rsid w:val="62CA2457"/>
    <w:rsid w:val="638240A1"/>
    <w:rsid w:val="63833423"/>
    <w:rsid w:val="63A5257B"/>
    <w:rsid w:val="63BD3DCC"/>
    <w:rsid w:val="63C61741"/>
    <w:rsid w:val="64560967"/>
    <w:rsid w:val="64806000"/>
    <w:rsid w:val="656B1D10"/>
    <w:rsid w:val="65B841F9"/>
    <w:rsid w:val="66022B28"/>
    <w:rsid w:val="664A38E2"/>
    <w:rsid w:val="66581E87"/>
    <w:rsid w:val="66FA11D5"/>
    <w:rsid w:val="674302C7"/>
    <w:rsid w:val="67CB09D8"/>
    <w:rsid w:val="67EE3B0F"/>
    <w:rsid w:val="680A5986"/>
    <w:rsid w:val="680D5F4B"/>
    <w:rsid w:val="68113F51"/>
    <w:rsid w:val="68E94770"/>
    <w:rsid w:val="68F949C9"/>
    <w:rsid w:val="695A4290"/>
    <w:rsid w:val="6A334932"/>
    <w:rsid w:val="6A3353FF"/>
    <w:rsid w:val="6A5D63E6"/>
    <w:rsid w:val="6A5F24D1"/>
    <w:rsid w:val="6ACA70C4"/>
    <w:rsid w:val="6AE347EB"/>
    <w:rsid w:val="6B0F1ACC"/>
    <w:rsid w:val="6B330365"/>
    <w:rsid w:val="6B434AF0"/>
    <w:rsid w:val="6B57675A"/>
    <w:rsid w:val="6B87098A"/>
    <w:rsid w:val="6BDD7B4D"/>
    <w:rsid w:val="6C0E320C"/>
    <w:rsid w:val="6C32179B"/>
    <w:rsid w:val="6D515A20"/>
    <w:rsid w:val="6E8F5AB9"/>
    <w:rsid w:val="6EBC0B3A"/>
    <w:rsid w:val="6EF51C7D"/>
    <w:rsid w:val="6F135BB4"/>
    <w:rsid w:val="6F8363E5"/>
    <w:rsid w:val="6F841DCF"/>
    <w:rsid w:val="6FA80CCD"/>
    <w:rsid w:val="6FAC3CC5"/>
    <w:rsid w:val="6FC746F5"/>
    <w:rsid w:val="70317AC6"/>
    <w:rsid w:val="704B26F7"/>
    <w:rsid w:val="70697B21"/>
    <w:rsid w:val="70863262"/>
    <w:rsid w:val="70A76ED3"/>
    <w:rsid w:val="70DD7BE1"/>
    <w:rsid w:val="71860B17"/>
    <w:rsid w:val="723B27CC"/>
    <w:rsid w:val="72687227"/>
    <w:rsid w:val="72A03FD9"/>
    <w:rsid w:val="73406CFF"/>
    <w:rsid w:val="7383028C"/>
    <w:rsid w:val="73A25E44"/>
    <w:rsid w:val="741F68CF"/>
    <w:rsid w:val="75252DF3"/>
    <w:rsid w:val="75621536"/>
    <w:rsid w:val="758D5CD1"/>
    <w:rsid w:val="759F1D6E"/>
    <w:rsid w:val="75BF3154"/>
    <w:rsid w:val="764A07CF"/>
    <w:rsid w:val="764F6B3D"/>
    <w:rsid w:val="76CD2B7B"/>
    <w:rsid w:val="76D80645"/>
    <w:rsid w:val="76E03371"/>
    <w:rsid w:val="771211AA"/>
    <w:rsid w:val="780E5898"/>
    <w:rsid w:val="782642CC"/>
    <w:rsid w:val="78757BDE"/>
    <w:rsid w:val="7894095E"/>
    <w:rsid w:val="78964555"/>
    <w:rsid w:val="78C141BD"/>
    <w:rsid w:val="78CF4963"/>
    <w:rsid w:val="79000679"/>
    <w:rsid w:val="791C0FE5"/>
    <w:rsid w:val="79611F28"/>
    <w:rsid w:val="79A416F0"/>
    <w:rsid w:val="79B03EB6"/>
    <w:rsid w:val="79B61437"/>
    <w:rsid w:val="7ACD6792"/>
    <w:rsid w:val="7AE15A5C"/>
    <w:rsid w:val="7AF37579"/>
    <w:rsid w:val="7AF87F64"/>
    <w:rsid w:val="7B1C0C84"/>
    <w:rsid w:val="7B5A62DF"/>
    <w:rsid w:val="7B7A04A8"/>
    <w:rsid w:val="7C0C3F6D"/>
    <w:rsid w:val="7C22163C"/>
    <w:rsid w:val="7C457B4B"/>
    <w:rsid w:val="7C595075"/>
    <w:rsid w:val="7C6B07B2"/>
    <w:rsid w:val="7D133243"/>
    <w:rsid w:val="7D945420"/>
    <w:rsid w:val="7E394207"/>
    <w:rsid w:val="7E4007A2"/>
    <w:rsid w:val="7E430907"/>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41"/>
    <w:unhideWhenUsed/>
    <w:qFormat/>
    <w:uiPriority w:val="99"/>
    <w:pPr>
      <w:spacing w:after="120"/>
    </w:pPr>
    <w:rPr>
      <w:sz w:val="16"/>
      <w:szCs w:val="16"/>
    </w:rPr>
  </w:style>
  <w:style w:type="paragraph" w:styleId="8">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9">
    <w:name w:val="toc 3"/>
    <w:basedOn w:val="1"/>
    <w:next w:val="1"/>
    <w:unhideWhenUsed/>
    <w:qFormat/>
    <w:uiPriority w:val="39"/>
    <w:pPr>
      <w:widowControl/>
      <w:spacing w:after="100" w:line="276" w:lineRule="auto"/>
      <w:ind w:left="440"/>
      <w:jc w:val="left"/>
    </w:pPr>
    <w:rPr>
      <w:kern w:val="0"/>
      <w:sz w:val="22"/>
    </w:rPr>
  </w:style>
  <w:style w:type="paragraph" w:styleId="10">
    <w:name w:val="Plain Text"/>
    <w:basedOn w:val="1"/>
    <w:next w:val="11"/>
    <w:qFormat/>
    <w:uiPriority w:val="0"/>
    <w:rPr>
      <w:rFonts w:ascii="宋体" w:hAnsi="Courier New"/>
      <w:szCs w:val="21"/>
    </w:rPr>
  </w:style>
  <w:style w:type="paragraph" w:customStyle="1" w:styleId="11">
    <w:name w:val="Default"/>
    <w:next w:val="12"/>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2">
    <w:name w:val="List"/>
    <w:basedOn w:val="1"/>
    <w:next w:val="1"/>
    <w:qFormat/>
    <w:uiPriority w:val="0"/>
    <w:pPr>
      <w:snapToGrid w:val="0"/>
    </w:pPr>
    <w:rPr>
      <w:szCs w:val="24"/>
    </w:rPr>
  </w:style>
  <w:style w:type="paragraph" w:styleId="13">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4">
    <w:name w:val="Balloon Text"/>
    <w:basedOn w:val="1"/>
    <w:link w:val="36"/>
    <w:semiHidden/>
    <w:unhideWhenUsed/>
    <w:qFormat/>
    <w:uiPriority w:val="99"/>
    <w:rPr>
      <w:sz w:val="18"/>
      <w:szCs w:val="18"/>
    </w:rPr>
  </w:style>
  <w:style w:type="paragraph" w:styleId="15">
    <w:name w:val="footer"/>
    <w:basedOn w:val="1"/>
    <w:link w:val="30"/>
    <w:unhideWhenUsed/>
    <w:qFormat/>
    <w:uiPriority w:val="99"/>
    <w:pPr>
      <w:tabs>
        <w:tab w:val="center" w:pos="4153"/>
        <w:tab w:val="right" w:pos="8306"/>
      </w:tabs>
      <w:snapToGrid w:val="0"/>
      <w:jc w:val="left"/>
    </w:pPr>
    <w:rPr>
      <w:sz w:val="18"/>
      <w:szCs w:val="18"/>
    </w:rPr>
  </w:style>
  <w:style w:type="paragraph" w:styleId="16">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kern w:val="0"/>
      <w:sz w:val="22"/>
    </w:rPr>
  </w:style>
  <w:style w:type="paragraph" w:styleId="18">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19">
    <w:name w:val="Body Text 2"/>
    <w:basedOn w:val="1"/>
    <w:qFormat/>
    <w:uiPriority w:val="0"/>
    <w:pPr>
      <w:spacing w:after="120" w:line="480" w:lineRule="auto"/>
    </w:pPr>
  </w:style>
  <w:style w:type="paragraph" w:styleId="20">
    <w:name w:val="Normal (Web)"/>
    <w:basedOn w:val="1"/>
    <w:qFormat/>
    <w:uiPriority w:val="99"/>
    <w:pPr>
      <w:spacing w:before="100" w:beforeAutospacing="1" w:after="100" w:afterAutospacing="1"/>
    </w:pPr>
    <w:rPr>
      <w:rFonts w:ascii="宋体" w:hAnsi="宋体" w:cs="Times New Roman"/>
      <w:kern w:val="0"/>
      <w:sz w:val="24"/>
      <w:szCs w:val="24"/>
    </w:rPr>
  </w:style>
  <w:style w:type="paragraph" w:styleId="21">
    <w:name w:val="Body Text First Indent 2"/>
    <w:basedOn w:val="8"/>
    <w:qFormat/>
    <w:uiPriority w:val="0"/>
    <w:pPr>
      <w:spacing w:line="360" w:lineRule="auto"/>
      <w:ind w:firstLine="420"/>
    </w:pPr>
    <w:rPr>
      <w:rFonts w:eastAsia="等线"/>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Strong"/>
    <w:basedOn w:val="24"/>
    <w:qFormat/>
    <w:uiPriority w:val="22"/>
    <w:rPr>
      <w:b/>
      <w:bCs/>
    </w:rPr>
  </w:style>
  <w:style w:type="character" w:styleId="26">
    <w:name w:val="page number"/>
    <w:basedOn w:val="24"/>
    <w:qFormat/>
    <w:uiPriority w:val="0"/>
  </w:style>
  <w:style w:type="character" w:styleId="27">
    <w:name w:val="Hyperlink"/>
    <w:basedOn w:val="24"/>
    <w:unhideWhenUsed/>
    <w:qFormat/>
    <w:uiPriority w:val="99"/>
    <w:rPr>
      <w:color w:val="0000FF" w:themeColor="hyperlink"/>
      <w:u w:val="single"/>
      <w14:textFill>
        <w14:solidFill>
          <w14:schemeClr w14:val="hlink"/>
        </w14:solidFill>
      </w14:textFill>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页眉 字符"/>
    <w:basedOn w:val="24"/>
    <w:link w:val="16"/>
    <w:semiHidden/>
    <w:qFormat/>
    <w:uiPriority w:val="99"/>
    <w:rPr>
      <w:sz w:val="18"/>
      <w:szCs w:val="18"/>
    </w:rPr>
  </w:style>
  <w:style w:type="character" w:customStyle="1" w:styleId="30">
    <w:name w:val="页脚 字符"/>
    <w:basedOn w:val="24"/>
    <w:link w:val="15"/>
    <w:qFormat/>
    <w:uiPriority w:val="99"/>
    <w:rPr>
      <w:sz w:val="18"/>
      <w:szCs w:val="18"/>
    </w:rPr>
  </w:style>
  <w:style w:type="character" w:customStyle="1" w:styleId="31">
    <w:name w:val="标题 1 字符"/>
    <w:basedOn w:val="24"/>
    <w:link w:val="3"/>
    <w:qFormat/>
    <w:uiPriority w:val="9"/>
    <w:rPr>
      <w:rFonts w:eastAsia="方正小标宋简体"/>
      <w:bCs/>
      <w:kern w:val="44"/>
      <w:sz w:val="44"/>
      <w:szCs w:val="44"/>
    </w:rPr>
  </w:style>
  <w:style w:type="character" w:customStyle="1" w:styleId="32">
    <w:name w:val="标题 2 字符"/>
    <w:basedOn w:val="24"/>
    <w:link w:val="4"/>
    <w:qFormat/>
    <w:uiPriority w:val="9"/>
    <w:rPr>
      <w:rFonts w:eastAsia="方正小标宋简体" w:asciiTheme="majorHAnsi" w:hAnsiTheme="majorHAnsi" w:cstheme="majorBidi"/>
      <w:bCs/>
      <w:sz w:val="36"/>
      <w:szCs w:val="32"/>
    </w:rPr>
  </w:style>
  <w:style w:type="character" w:customStyle="1" w:styleId="33">
    <w:name w:val="标题 3 字符"/>
    <w:basedOn w:val="24"/>
    <w:link w:val="5"/>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字符"/>
    <w:basedOn w:val="24"/>
    <w:link w:val="14"/>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1"/>
    <w:next w:val="11"/>
    <w:qFormat/>
    <w:uiPriority w:val="0"/>
    <w:pPr>
      <w:spacing w:after="373"/>
    </w:pPr>
    <w:rPr>
      <w:color w:val="auto"/>
    </w:rPr>
  </w:style>
  <w:style w:type="paragraph" w:customStyle="1" w:styleId="39">
    <w:name w:val="CM91"/>
    <w:basedOn w:val="11"/>
    <w:next w:val="11"/>
    <w:qFormat/>
    <w:uiPriority w:val="0"/>
    <w:pPr>
      <w:spacing w:after="160"/>
    </w:pPr>
    <w:rPr>
      <w:color w:val="auto"/>
    </w:rPr>
  </w:style>
  <w:style w:type="character" w:customStyle="1" w:styleId="40">
    <w:name w:val="正文文本 3 Char"/>
    <w:qFormat/>
    <w:uiPriority w:val="99"/>
    <w:rPr>
      <w:sz w:val="16"/>
      <w:szCs w:val="16"/>
    </w:rPr>
  </w:style>
  <w:style w:type="character" w:customStyle="1" w:styleId="41">
    <w:name w:val="正文文本 3 字符"/>
    <w:basedOn w:val="24"/>
    <w:link w:val="7"/>
    <w:semiHidden/>
    <w:qFormat/>
    <w:uiPriority w:val="99"/>
    <w:rPr>
      <w:sz w:val="16"/>
      <w:szCs w:val="16"/>
    </w:rPr>
  </w:style>
  <w:style w:type="character" w:customStyle="1" w:styleId="42">
    <w:name w:val="列表段落 字符"/>
    <w:link w:val="34"/>
    <w:qFormat/>
    <w:uiPriority w:val="34"/>
  </w:style>
  <w:style w:type="paragraph" w:customStyle="1" w:styleId="43">
    <w:name w:val="1"/>
    <w:basedOn w:val="1"/>
    <w:next w:val="10"/>
    <w:qFormat/>
    <w:uiPriority w:val="99"/>
    <w:rPr>
      <w:rFonts w:ascii="宋体" w:hAnsi="Courier New"/>
    </w:rPr>
  </w:style>
  <w:style w:type="paragraph" w:customStyle="1" w:styleId="44">
    <w:name w:val="WPSOffice手动目录 1"/>
    <w:qFormat/>
    <w:uiPriority w:val="0"/>
    <w:rPr>
      <w:rFonts w:asciiTheme="minorHAnsi" w:hAnsiTheme="minorHAnsi" w:eastAsiaTheme="minorEastAsia" w:cstheme="minorBidi"/>
      <w:lang w:val="en-US" w:eastAsia="zh-CN" w:bidi="ar-SA"/>
    </w:rPr>
  </w:style>
  <w:style w:type="paragraph" w:customStyle="1" w:styleId="4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6">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47">
    <w:name w:val="Unresolved Mention"/>
    <w:basedOn w:val="24"/>
    <w:semiHidden/>
    <w:unhideWhenUsed/>
    <w:qFormat/>
    <w:uiPriority w:val="99"/>
    <w:rPr>
      <w:color w:val="605E5C"/>
      <w:shd w:val="clear" w:color="auto" w:fill="E1DFDD"/>
    </w:rPr>
  </w:style>
  <w:style w:type="paragraph" w:customStyle="1" w:styleId="48">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3999</Words>
  <Characters>22797</Characters>
  <Lines>189</Lines>
  <Paragraphs>53</Paragraphs>
  <TotalTime>132</TotalTime>
  <ScaleCrop>false</ScaleCrop>
  <LinksUpToDate>false</LinksUpToDate>
  <CharactersWithSpaces>26743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霍雨佳</cp:lastModifiedBy>
  <dcterms:modified xsi:type="dcterms:W3CDTF">2022-07-27T08:41:59Z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