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广州市净水有限公司大坦沙分公司办公楼网络改造项目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31938"/>
      <w:bookmarkStart w:id="6" w:name="_Toc7519"/>
      <w:bookmarkStart w:id="7" w:name="_Toc17801"/>
      <w:bookmarkStart w:id="8" w:name="_Toc11322"/>
      <w:bookmarkStart w:id="9" w:name="_Toc19609"/>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广州市净水有限公司大坦沙分公司办公楼网络改造项目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施工  □货物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广州市净水有限公司大坦沙分公司办公楼网络改造项目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w:t>
      </w:r>
      <w:bookmarkStart w:id="137" w:name="_GoBack"/>
      <w:bookmarkEnd w:id="137"/>
      <w:r>
        <w:rPr>
          <w:rFonts w:hint="eastAsia" w:ascii="仿宋_GB2312" w:eastAsia="仿宋_GB2312"/>
          <w:color w:val="auto"/>
          <w:sz w:val="28"/>
          <w:szCs w:val="28"/>
          <w:highlight w:val="none"/>
          <w:u w:val="single"/>
          <w:lang w:val="en-US" w:eastAsia="zh-CN"/>
        </w:rPr>
        <w:t>0721-2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279141.68元（其中不含税工程造价为256093.29元，税率为9%，按费率计算的绿色施工安全防护措施费为14891.41元）；</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绿色施工安全防护措施费和暂列金额为非竞争性费用，报价时须按询价文件规定的金额填写，不得参与竞争，否则按无效报价处理）。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对办公室网络进行改造，从中控室办公网络总交换机出4组网线至办公楼四个楼层，每层设置一个壁挂交换机箱，每层楼的网线模块连接去对应楼层的交换机处。</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备注：该项目所用的交换机必须匹配大坦沙分公司目前在用的办公网络交换机，同时相关设备到货后，依次施工，制定安全措施和办公保障方案，进行现场技术交底，保证施工过程中不影响分公司日常办公</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完工后，施工单位需要将旧网线、电缆、套管等运离并自行处置。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120个日历日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广州市净水有限公司大坦沙分公司三期办公楼                                 </w:t>
      </w:r>
      <w:r>
        <w:rPr>
          <w:rFonts w:hint="eastAsia" w:ascii="仿宋_GB2312" w:eastAsia="仿宋_GB2312"/>
          <w:color w:val="auto"/>
          <w:sz w:val="28"/>
          <w:szCs w:val="28"/>
          <w:highlight w:val="none"/>
          <w:u w:val="single"/>
        </w:rPr>
        <w:t xml:space="preserve">        </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详见第五章采购需求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hAnsi="仿宋" w:eastAsia="仿宋_GB2312" w:cs="仿宋_GB2312"/>
          <w:color w:val="000000" w:themeColor="text1"/>
          <w:sz w:val="28"/>
          <w:szCs w:val="28"/>
          <w:highlight w:val="none"/>
          <w:u w:val="none"/>
          <w14:textFill>
            <w14:solidFill>
              <w14:schemeClr w14:val="tx1"/>
            </w14:solidFill>
          </w14:textFill>
        </w:rPr>
        <w:t>电子与智能化工程专业承包二级（或以上级别）资质</w:t>
      </w:r>
      <w:r>
        <w:rPr>
          <w:rFonts w:hint="eastAsia" w:ascii="仿宋_GB2312" w:hAnsi="仿宋" w:eastAsia="仿宋_GB2312" w:cs="仿宋_GB2312"/>
          <w:color w:val="000000" w:themeColor="text1"/>
          <w:sz w:val="28"/>
          <w:szCs w:val="28"/>
          <w:highlight w:val="none"/>
          <w:u w:val="none"/>
          <w:lang w:eastAsia="zh-CN"/>
          <w14:textFill>
            <w14:solidFill>
              <w14:schemeClr w14:val="tx1"/>
            </w14:solidFill>
          </w14:textFill>
        </w:rPr>
        <w:t>，</w:t>
      </w:r>
      <w:r>
        <w:rPr>
          <w:rFonts w:hint="eastAsia" w:ascii="仿宋_GB2312" w:eastAsia="仿宋_GB2312"/>
          <w:color w:val="auto"/>
          <w:sz w:val="28"/>
          <w:szCs w:val="28"/>
          <w:highlight w:val="none"/>
          <w:lang w:val="en-US" w:eastAsia="zh-CN"/>
        </w:rPr>
        <w:t>同时持有建设主管部门颁发且在有效期内的《安全生产许可证》</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 w:hAnsi="仿宋" w:eastAsia="仿宋" w:cs="仿宋"/>
          <w:color w:val="000000"/>
          <w:kern w:val="0"/>
          <w:sz w:val="28"/>
          <w:szCs w:val="28"/>
          <w:highlight w:val="none"/>
          <w:u w:val="none"/>
        </w:rPr>
        <w:t>201</w:t>
      </w:r>
      <w:r>
        <w:rPr>
          <w:rFonts w:hint="eastAsia" w:ascii="仿宋" w:hAnsi="仿宋" w:eastAsia="仿宋" w:cs="仿宋"/>
          <w:color w:val="000000"/>
          <w:kern w:val="0"/>
          <w:sz w:val="28"/>
          <w:szCs w:val="28"/>
          <w:highlight w:val="none"/>
          <w:u w:val="none"/>
          <w:lang w:val="en-US" w:eastAsia="zh-CN"/>
        </w:rPr>
        <w:t>9</w:t>
      </w:r>
      <w:r>
        <w:rPr>
          <w:rFonts w:hint="eastAsia" w:ascii="仿宋" w:hAnsi="仿宋" w:eastAsia="仿宋" w:cs="仿宋"/>
          <w:color w:val="000000"/>
          <w:kern w:val="0"/>
          <w:sz w:val="28"/>
          <w:szCs w:val="28"/>
          <w:highlight w:val="none"/>
          <w:u w:val="none"/>
        </w:rPr>
        <w:t>年1月1日至今</w:t>
      </w:r>
      <w:r>
        <w:rPr>
          <w:rFonts w:hint="eastAsia" w:ascii="仿宋" w:hAnsi="仿宋" w:eastAsia="仿宋" w:cs="仿宋"/>
          <w:color w:val="000000"/>
          <w:kern w:val="0"/>
          <w:sz w:val="28"/>
          <w:szCs w:val="28"/>
          <w:highlight w:val="none"/>
          <w:u w:val="none"/>
          <w:lang w:eastAsia="zh-CN"/>
        </w:rPr>
        <w:t>，</w:t>
      </w:r>
      <w:r>
        <w:rPr>
          <w:rFonts w:hint="eastAsia" w:ascii="仿宋" w:hAnsi="仿宋" w:eastAsia="仿宋" w:cs="仿宋"/>
          <w:color w:val="000000"/>
          <w:kern w:val="0"/>
          <w:sz w:val="28"/>
          <w:szCs w:val="28"/>
          <w:highlight w:val="none"/>
          <w:u w:val="none"/>
          <w:lang w:val="en-US" w:eastAsia="zh-CN"/>
        </w:rPr>
        <w:t>最少</w:t>
      </w:r>
      <w:r>
        <w:rPr>
          <w:rFonts w:hint="eastAsia" w:ascii="仿宋" w:hAnsi="仿宋" w:eastAsia="仿宋" w:cs="仿宋"/>
          <w:color w:val="000000"/>
          <w:kern w:val="0"/>
          <w:sz w:val="28"/>
          <w:szCs w:val="28"/>
          <w:highlight w:val="none"/>
          <w:u w:val="none"/>
        </w:rPr>
        <w:t>具有</w:t>
      </w:r>
      <w:r>
        <w:rPr>
          <w:rFonts w:hint="eastAsia" w:ascii="仿宋" w:hAnsi="仿宋" w:eastAsia="仿宋" w:cs="仿宋"/>
          <w:color w:val="000000"/>
          <w:kern w:val="0"/>
          <w:sz w:val="28"/>
          <w:szCs w:val="28"/>
          <w:highlight w:val="none"/>
          <w:u w:val="none"/>
          <w:lang w:val="en-US" w:eastAsia="zh-CN"/>
        </w:rPr>
        <w:t>一项类似网络</w:t>
      </w:r>
      <w:r>
        <w:rPr>
          <w:rFonts w:hint="eastAsia" w:ascii="仿宋" w:hAnsi="仿宋" w:eastAsia="仿宋" w:cs="仿宋"/>
          <w:color w:val="000000"/>
          <w:kern w:val="0"/>
          <w:sz w:val="28"/>
          <w:szCs w:val="28"/>
          <w:highlight w:val="none"/>
          <w:u w:val="none"/>
        </w:rPr>
        <w:t>系统安装</w:t>
      </w:r>
      <w:r>
        <w:rPr>
          <w:rFonts w:hint="eastAsia" w:ascii="仿宋" w:hAnsi="仿宋" w:eastAsia="仿宋" w:cs="仿宋"/>
          <w:color w:val="000000"/>
          <w:kern w:val="0"/>
          <w:sz w:val="28"/>
          <w:szCs w:val="28"/>
          <w:highlight w:val="none"/>
          <w:u w:val="none"/>
          <w:lang w:val="en-US" w:eastAsia="zh-CN"/>
        </w:rPr>
        <w:t>或改造</w:t>
      </w:r>
      <w:r>
        <w:rPr>
          <w:rFonts w:hint="eastAsia" w:ascii="仿宋" w:hAnsi="仿宋" w:eastAsia="仿宋" w:cs="仿宋"/>
          <w:color w:val="000000"/>
          <w:kern w:val="0"/>
          <w:sz w:val="28"/>
          <w:szCs w:val="28"/>
          <w:highlight w:val="none"/>
          <w:u w:val="none"/>
        </w:rPr>
        <w:t>业绩</w:t>
      </w:r>
      <w:r>
        <w:rPr>
          <w:rFonts w:hint="eastAsia" w:ascii="仿宋_GB2312" w:eastAsia="仿宋_GB2312"/>
          <w:color w:val="auto"/>
          <w:sz w:val="28"/>
          <w:szCs w:val="28"/>
          <w:highlight w:val="none"/>
        </w:rPr>
        <w:t>。（提供合同复印件证明，包括但不限于项目名称、金额及实施内容、合同签字盖章、签订日期，加盖单位公章）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）报价单位拟担任本工程项目负责人和安全员的人员资质须满足下列要求，且项目负责人不得同时兼任本项目专职安全人员；</w:t>
      </w:r>
    </w:p>
    <w:p>
      <w:pPr>
        <w:pStyle w:val="21"/>
        <w:widowControl/>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firstLine="840" w:firstLineChars="300"/>
        <w:jc w:val="both"/>
        <w:rPr>
          <w:rFonts w:hint="eastAsia" w:ascii="仿宋" w:hAnsi="仿宋" w:eastAsia="仿宋" w:cs="仿宋"/>
          <w:sz w:val="28"/>
          <w:szCs w:val="28"/>
          <w:u w:val="single"/>
        </w:rPr>
      </w:pPr>
      <w:r>
        <w:rPr>
          <w:rFonts w:hint="eastAsia" w:ascii="仿宋_GB2312" w:eastAsia="仿宋_GB2312"/>
          <w:color w:val="auto"/>
          <w:sz w:val="28"/>
          <w:szCs w:val="28"/>
          <w:highlight w:val="none"/>
          <w:lang w:val="en-US" w:eastAsia="zh-CN"/>
        </w:rPr>
        <w:t>4.1</w:t>
      </w:r>
      <w:r>
        <w:rPr>
          <w:rFonts w:hint="eastAsia" w:ascii="仿宋" w:hAnsi="仿宋" w:eastAsia="仿宋" w:cs="仿宋"/>
          <w:sz w:val="28"/>
          <w:szCs w:val="28"/>
          <w:u w:val="single"/>
        </w:rPr>
        <w:t>负责人要求：</w:t>
      </w:r>
      <w:r>
        <w:rPr>
          <w:rFonts w:hint="eastAsia" w:ascii="仿宋" w:hAnsi="仿宋" w:eastAsia="仿宋" w:cs="仿宋"/>
          <w:sz w:val="28"/>
          <w:szCs w:val="28"/>
          <w:u w:val="single"/>
          <w:lang w:val="en-US" w:eastAsia="zh-CN"/>
        </w:rPr>
        <w:t>机电</w:t>
      </w:r>
      <w:r>
        <w:rPr>
          <w:rFonts w:hint="eastAsia" w:ascii="仿宋" w:hAnsi="仿宋" w:eastAsia="仿宋" w:cs="仿宋"/>
          <w:sz w:val="28"/>
          <w:szCs w:val="28"/>
          <w:u w:val="single"/>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p>
    <w:p>
      <w:pPr>
        <w:pStyle w:val="21"/>
        <w:widowControl/>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firstLine="840" w:firstLineChars="300"/>
        <w:jc w:val="both"/>
        <w:rPr>
          <w:rFonts w:ascii="仿宋_GB2312" w:eastAsia="仿宋_GB2312"/>
          <w:color w:val="auto"/>
          <w:sz w:val="28"/>
          <w:szCs w:val="28"/>
          <w:highlight w:val="none"/>
          <w:u w:val="single"/>
        </w:rPr>
      </w:pPr>
      <w:r>
        <w:rPr>
          <w:rFonts w:hint="eastAsia" w:ascii="仿宋" w:hAnsi="仿宋" w:eastAsia="仿宋" w:cs="仿宋"/>
          <w:sz w:val="28"/>
          <w:szCs w:val="28"/>
          <w:u w:val="single"/>
          <w:lang w:val="en-US" w:eastAsia="zh-CN"/>
        </w:rPr>
        <w:t>4.2</w:t>
      </w:r>
      <w:r>
        <w:rPr>
          <w:rFonts w:hint="eastAsia" w:ascii="仿宋" w:hAnsi="仿宋" w:eastAsia="仿宋" w:cs="仿宋"/>
          <w:sz w:val="28"/>
          <w:szCs w:val="28"/>
          <w:u w:val="single"/>
        </w:rPr>
        <w:t>专职安全人员要求：须具有安全生产考核合格证（C类）（或能够提供广东省建筑施工企业管理人员安全生产考核信息系统安全生产管理人员证书信息的网页截图）。</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 w:hAnsi="仿宋" w:eastAsia="仿宋" w:cs="仿宋"/>
          <w:sz w:val="28"/>
          <w:szCs w:val="28"/>
        </w:rPr>
        <w:t>2022年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日至2022年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pStyle w:val="2"/>
        <w:rPr>
          <w:rFonts w:hint="eastAsia"/>
          <w:lang w:val="zh-CN" w:eastAsia="zh-CN"/>
        </w:rPr>
      </w:pPr>
      <w:r>
        <w:rPr>
          <w:rFonts w:hint="eastAsia" w:ascii="方正仿宋_GB2312" w:hAnsi="方正仿宋_GB2312" w:eastAsia="方正仿宋_GB2312" w:cs="方正仿宋_GB2312"/>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snapToGrid w:val="0"/>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踏勘现场联系人：陈工</w:t>
      </w:r>
    </w:p>
    <w:p>
      <w:pPr>
        <w:snapToGrid w:val="0"/>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踏勘现场联系人联系方式：13632408925</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2022年7月25日10时00分</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踏勘集中地点：广州市荔湾区桥中南路7号大坦沙污水处理厂</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 w:hAnsi="仿宋" w:eastAsia="仿宋" w:cs="仿宋"/>
          <w:sz w:val="28"/>
          <w:szCs w:val="28"/>
        </w:rPr>
        <w:t>2022年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日10时00分前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3357"/>
        <w:gridCol w:w="4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8"/>
        <w:rPr>
          <w:rFonts w:hint="eastAsia" w:ascii="仿宋_GB2312" w:eastAsia="仿宋_GB2312" w:hAnsiTheme="majorEastAsia"/>
          <w:color w:val="auto"/>
          <w:sz w:val="28"/>
          <w:szCs w:val="28"/>
          <w:highlight w:val="none"/>
        </w:rPr>
      </w:pPr>
    </w:p>
    <w:p>
      <w:pPr>
        <w:pStyle w:val="28"/>
        <w:rPr>
          <w:rFonts w:hint="eastAsia" w:ascii="仿宋_GB2312" w:eastAsia="仿宋_GB2312" w:hAnsiTheme="majorEastAsia"/>
          <w:color w:val="auto"/>
          <w:sz w:val="28"/>
          <w:szCs w:val="28"/>
          <w:highlight w:val="none"/>
        </w:rPr>
      </w:pPr>
    </w:p>
    <w:p>
      <w:pPr>
        <w:pStyle w:val="28"/>
        <w:rPr>
          <w:rFonts w:hint="eastAsia" w:ascii="仿宋_GB2312" w:eastAsia="仿宋_GB2312" w:hAnsiTheme="majorEastAsia"/>
          <w:color w:val="auto"/>
          <w:sz w:val="28"/>
          <w:szCs w:val="28"/>
          <w:highlight w:val="none"/>
        </w:rPr>
      </w:pPr>
    </w:p>
    <w:p>
      <w:pPr>
        <w:pStyle w:val="28"/>
        <w:rPr>
          <w:rFonts w:hint="eastAsia" w:ascii="仿宋_GB2312" w:eastAsia="仿宋_GB2312" w:hAnsiTheme="majorEastAsia"/>
          <w:color w:val="auto"/>
          <w:sz w:val="28"/>
          <w:szCs w:val="28"/>
          <w:highlight w:val="none"/>
        </w:rPr>
      </w:pPr>
    </w:p>
    <w:p>
      <w:pPr>
        <w:pStyle w:val="28"/>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16557"/>
      <w:bookmarkStart w:id="16" w:name="_Toc23749"/>
      <w:bookmarkStart w:id="17" w:name="_Toc25603"/>
      <w:bookmarkStart w:id="18" w:name="_Toc19295"/>
      <w:bookmarkStart w:id="19" w:name="_Toc16705"/>
      <w:bookmarkStart w:id="20" w:name="_Toc7340"/>
      <w:bookmarkStart w:id="21" w:name="_Toc9448"/>
      <w:bookmarkStart w:id="22" w:name="_Toc2324"/>
      <w:bookmarkStart w:id="23" w:name="_Toc32588"/>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rFonts w:hint="eastAsia"/>
          <w:color w:val="auto"/>
          <w:highlight w:val="none"/>
        </w:rPr>
      </w:pPr>
      <w:bookmarkStart w:id="24" w:name="_Toc3416"/>
      <w:bookmarkStart w:id="25" w:name="_Toc2339"/>
      <w:r>
        <w:rPr>
          <w:rFonts w:hint="eastAsia"/>
          <w:color w:val="auto"/>
          <w:highlight w:val="none"/>
        </w:rPr>
        <w:t>供应商须知</w:t>
      </w:r>
      <w:bookmarkEnd w:id="24"/>
      <w:bookmarkEnd w:id="25"/>
    </w:p>
    <w:p>
      <w:pPr>
        <w:rPr>
          <w:rFonts w:hint="eastAsia"/>
          <w:color w:val="auto"/>
          <w:highlight w:val="none"/>
        </w:rPr>
      </w:pPr>
    </w:p>
    <w:p>
      <w:pPr>
        <w:pStyle w:val="2"/>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20594"/>
      <w:bookmarkStart w:id="36" w:name="_Toc23581"/>
      <w:bookmarkStart w:id="37" w:name="_Toc14870"/>
      <w:bookmarkStart w:id="38" w:name="_Toc14552"/>
      <w:bookmarkStart w:id="39" w:name="_Toc4952"/>
      <w:bookmarkStart w:id="40" w:name="_Toc7118"/>
      <w:bookmarkStart w:id="41" w:name="_Toc7437"/>
      <w:bookmarkStart w:id="42" w:name="_Toc19759"/>
      <w:bookmarkStart w:id="43" w:name="_Toc10930"/>
      <w:bookmarkStart w:id="44"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87616378"/>
      <w:bookmarkStart w:id="46" w:name="_Toc21079"/>
      <w:bookmarkStart w:id="47" w:name="_Toc88209941"/>
      <w:bookmarkStart w:id="48" w:name="_Toc32607"/>
      <w:bookmarkStart w:id="49" w:name="_Toc22212"/>
      <w:bookmarkStart w:id="50" w:name="_Toc29484"/>
      <w:bookmarkStart w:id="51" w:name="_Toc12177"/>
      <w:bookmarkStart w:id="52" w:name="_Toc30530"/>
      <w:bookmarkStart w:id="53" w:name="_Toc6308"/>
      <w:bookmarkStart w:id="54" w:name="_Toc7831"/>
      <w:bookmarkStart w:id="55" w:name="_Toc29345"/>
      <w:bookmarkStart w:id="56" w:name="_Toc13898"/>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numPr>
          <w:ilvl w:val="0"/>
          <w:numId w:val="4"/>
        </w:numPr>
        <w:spacing w:line="360" w:lineRule="auto"/>
        <w:rPr>
          <w:rFonts w:hint="eastAsia" w:ascii="仿宋" w:hAnsi="仿宋" w:eastAsia="仿宋" w:cs="仿宋"/>
          <w:b/>
          <w:sz w:val="28"/>
          <w:szCs w:val="28"/>
        </w:rPr>
      </w:pPr>
      <w:r>
        <w:rPr>
          <w:rFonts w:hint="eastAsia" w:ascii="仿宋" w:hAnsi="仿宋" w:eastAsia="仿宋" w:cs="仿宋"/>
          <w:b/>
          <w:sz w:val="28"/>
          <w:szCs w:val="28"/>
        </w:rPr>
        <w:t>实施方案</w:t>
      </w:r>
    </w:p>
    <w:p>
      <w:pPr>
        <w:widowControl/>
        <w:numPr>
          <w:ilvl w:val="0"/>
          <w:numId w:val="5"/>
        </w:num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办公楼四个楼层设置一个800*800*800mm的交换机专用机柜，机柜内配置1台企业级48口万兆交换机、1个3C认证的220V 2*5孔插座（插座必须固定要机柜内）、2个100*100mm机柜散热风扇；</w:t>
      </w:r>
    </w:p>
    <w:p>
      <w:pPr>
        <w:widowControl/>
        <w:numPr>
          <w:ilvl w:val="0"/>
          <w:numId w:val="5"/>
        </w:num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一二三四楼所有办公位网线模块更换，一楼11个、二楼33个、三楼40个、四楼20个，网线模块为超五类千兆网线模块；</w:t>
      </w:r>
    </w:p>
    <w:p>
      <w:pPr>
        <w:widowControl/>
        <w:numPr>
          <w:ilvl w:val="0"/>
          <w:numId w:val="5"/>
        </w:numPr>
        <w:adjustRightInd w:val="0"/>
        <w:snapToGrid w:val="0"/>
        <w:spacing w:line="360" w:lineRule="auto"/>
        <w:ind w:firstLine="560" w:firstLineChars="200"/>
        <w:jc w:val="left"/>
        <w:rPr>
          <w:rFonts w:hint="eastAsia" w:ascii="仿宋" w:hAnsi="仿宋" w:eastAsia="仿宋" w:cs="仿宋"/>
          <w:b/>
          <w:color w:val="auto"/>
          <w:sz w:val="28"/>
          <w:szCs w:val="28"/>
          <w:lang w:val="zh-CN"/>
        </w:rPr>
      </w:pPr>
      <w:r>
        <w:rPr>
          <w:rFonts w:hint="eastAsia" w:ascii="仿宋" w:hAnsi="仿宋" w:eastAsia="仿宋" w:cs="仿宋"/>
          <w:bCs/>
          <w:sz w:val="28"/>
          <w:szCs w:val="28"/>
          <w:lang w:val="en-US" w:eastAsia="zh-CN"/>
        </w:rPr>
        <w:t>一二三四楼办公位网线模块网线敷设，一楼100m、二楼600m、三楼600m、四楼600m，网线为超五类千兆网线；网线套200*100mm不锈钢线槽走天花板敷设，线槽接驳位做跨接，网线从天花板落地至工位用500*30mmPVC线槽敷设；</w:t>
      </w:r>
    </w:p>
    <w:p>
      <w:pPr>
        <w:widowControl/>
        <w:numPr>
          <w:ilvl w:val="0"/>
          <w:numId w:val="5"/>
        </w:numPr>
        <w:adjustRightInd w:val="0"/>
        <w:snapToGrid w:val="0"/>
        <w:spacing w:line="360" w:lineRule="auto"/>
        <w:ind w:firstLine="560" w:firstLineChars="200"/>
        <w:jc w:val="left"/>
        <w:rPr>
          <w:rFonts w:hint="eastAsia" w:ascii="仿宋" w:hAnsi="仿宋" w:eastAsia="仿宋" w:cs="仿宋"/>
          <w:b/>
          <w:color w:val="auto"/>
          <w:sz w:val="28"/>
          <w:szCs w:val="28"/>
          <w:lang w:val="zh-CN"/>
        </w:rPr>
      </w:pPr>
      <w:r>
        <w:rPr>
          <w:rFonts w:hint="eastAsia" w:ascii="仿宋" w:hAnsi="仿宋" w:eastAsia="仿宋" w:cs="仿宋"/>
          <w:bCs/>
          <w:sz w:val="28"/>
          <w:szCs w:val="28"/>
          <w:lang w:val="en-US" w:eastAsia="zh-CN"/>
        </w:rPr>
        <w:t>三楼中控室办公网络总交换机与四个楼层的交换机连接，网线用500*30mmPVC线槽走天花板敷设，并打标签，四个楼层与各楼层的办公位网线模块连接，并标好对应房间、位置标签，各模块也打上号码。</w:t>
      </w:r>
    </w:p>
    <w:p>
      <w:pPr>
        <w:pStyle w:val="12"/>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lang w:val="zh-CN"/>
        </w:rPr>
        <w:t>项目技术要求</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color w:val="auto"/>
          <w:kern w:val="2"/>
          <w:sz w:val="28"/>
          <w:szCs w:val="28"/>
          <w:lang w:val="en-US" w:eastAsia="zh-CN"/>
        </w:rPr>
        <w:t>技术标准：</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1.1施工承包合同明确的相关技术要求。</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1.2</w:t>
      </w:r>
      <w:r>
        <w:rPr>
          <w:rFonts w:hint="eastAsia" w:ascii="仿宋" w:hAnsi="仿宋" w:eastAsia="仿宋" w:cs="仿宋"/>
          <w:color w:val="auto"/>
          <w:kern w:val="2"/>
          <w:sz w:val="28"/>
          <w:szCs w:val="28"/>
          <w:lang w:val="zh-CN" w:eastAsia="zh-CN"/>
        </w:rPr>
        <w:t>《民用建筑电气设计标准》（GB 51348-2019）</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1.3</w:t>
      </w:r>
      <w:r>
        <w:rPr>
          <w:rFonts w:hint="eastAsia" w:ascii="仿宋" w:hAnsi="仿宋" w:eastAsia="仿宋" w:cs="仿宋"/>
          <w:color w:val="auto"/>
          <w:kern w:val="2"/>
          <w:sz w:val="28"/>
          <w:szCs w:val="28"/>
          <w:lang w:val="zh-CN" w:eastAsia="zh-CN"/>
        </w:rPr>
        <w:t>《建筑设计防火规范》（GB 50016-2014）</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1.4</w:t>
      </w:r>
      <w:r>
        <w:rPr>
          <w:rFonts w:hint="eastAsia" w:ascii="仿宋" w:hAnsi="仿宋" w:eastAsia="仿宋" w:cs="仿宋"/>
          <w:color w:val="auto"/>
          <w:kern w:val="2"/>
          <w:sz w:val="28"/>
          <w:szCs w:val="28"/>
          <w:lang w:val="zh-CN" w:eastAsia="zh-CN"/>
        </w:rPr>
        <w:t>《民用建筑设计通则》 (GB 50352-2005)</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1.5</w:t>
      </w:r>
      <w:r>
        <w:rPr>
          <w:rFonts w:hint="eastAsia" w:ascii="仿宋" w:hAnsi="仿宋" w:eastAsia="仿宋" w:cs="仿宋"/>
          <w:color w:val="auto"/>
          <w:kern w:val="2"/>
          <w:sz w:val="28"/>
          <w:szCs w:val="28"/>
          <w:lang w:val="zh-CN" w:eastAsia="zh-CN"/>
        </w:rPr>
        <w:t>《民用建筑工程室内环境污染控制规范》 GB50325-2010</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2、本项目所需材料必须符合国家、地方及行业有关规范及要求。</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3、所有设备需提供产品质量证明文件、操作维修手册等（手册应包含设备情况、系统和主要部件常见故障、保养要求、紧急维修电话等内容）。</w:t>
      </w:r>
    </w:p>
    <w:p>
      <w:pPr>
        <w:numPr>
          <w:ilvl w:val="0"/>
          <w:numId w:val="0"/>
        </w:numPr>
        <w:autoSpaceDE w:val="0"/>
        <w:autoSpaceDN w:val="0"/>
        <w:ind w:firstLine="560" w:firstLineChars="200"/>
        <w:rPr>
          <w:rFonts w:hint="eastAsia" w:ascii="仿宋" w:hAnsi="仿宋" w:eastAsia="仿宋" w:cs="仿宋"/>
          <w:i w:val="0"/>
          <w:caps w:val="0"/>
          <w:color w:val="auto"/>
          <w:spacing w:val="0"/>
          <w:sz w:val="28"/>
          <w:szCs w:val="28"/>
          <w:shd w:val="clear" w:color="auto" w:fill="FFFFFF"/>
        </w:rPr>
      </w:pPr>
      <w:r>
        <w:rPr>
          <w:rFonts w:hint="eastAsia" w:ascii="仿宋" w:hAnsi="仿宋" w:eastAsia="仿宋" w:cs="仿宋"/>
          <w:i w:val="0"/>
          <w:caps w:val="0"/>
          <w:color w:val="auto"/>
          <w:spacing w:val="0"/>
          <w:sz w:val="28"/>
          <w:szCs w:val="28"/>
          <w:shd w:val="clear" w:color="auto" w:fill="FFFFFF"/>
          <w:lang w:val="en-US" w:eastAsia="zh-CN"/>
        </w:rPr>
        <w:t>4、质保期内，需</w:t>
      </w:r>
      <w:r>
        <w:rPr>
          <w:rFonts w:hint="eastAsia" w:ascii="仿宋" w:hAnsi="仿宋" w:eastAsia="仿宋" w:cs="仿宋"/>
          <w:i w:val="0"/>
          <w:caps w:val="0"/>
          <w:color w:val="auto"/>
          <w:spacing w:val="0"/>
          <w:sz w:val="28"/>
          <w:szCs w:val="28"/>
          <w:shd w:val="clear" w:color="auto" w:fill="FFFFFF"/>
        </w:rPr>
        <w:t>提供24小时的系统维护服务，及时解决故障问题，</w:t>
      </w:r>
      <w:r>
        <w:rPr>
          <w:rFonts w:hint="eastAsia" w:ascii="仿宋" w:hAnsi="仿宋" w:eastAsia="仿宋" w:cs="仿宋"/>
          <w:i w:val="0"/>
          <w:caps w:val="0"/>
          <w:color w:val="auto"/>
          <w:spacing w:val="0"/>
          <w:sz w:val="28"/>
          <w:szCs w:val="28"/>
          <w:shd w:val="clear" w:color="auto" w:fill="FFFFFF"/>
          <w:lang w:eastAsia="zh-CN"/>
        </w:rPr>
        <w:t>不能影响大坦沙厂生产，</w:t>
      </w:r>
      <w:r>
        <w:rPr>
          <w:rFonts w:hint="eastAsia" w:ascii="仿宋" w:hAnsi="仿宋" w:eastAsia="仿宋" w:cs="仿宋"/>
          <w:i w:val="0"/>
          <w:caps w:val="0"/>
          <w:color w:val="auto"/>
          <w:spacing w:val="0"/>
          <w:sz w:val="28"/>
          <w:szCs w:val="28"/>
          <w:shd w:val="clear" w:color="auto" w:fill="FFFFFF"/>
        </w:rPr>
        <w:t>保障</w:t>
      </w:r>
      <w:r>
        <w:rPr>
          <w:rFonts w:hint="eastAsia" w:ascii="仿宋" w:hAnsi="仿宋" w:eastAsia="仿宋" w:cs="仿宋"/>
          <w:i w:val="0"/>
          <w:caps w:val="0"/>
          <w:color w:val="auto"/>
          <w:spacing w:val="0"/>
          <w:sz w:val="28"/>
          <w:szCs w:val="28"/>
          <w:shd w:val="clear" w:color="auto" w:fill="FFFFFF"/>
          <w:lang w:val="en-US" w:eastAsia="zh-CN"/>
        </w:rPr>
        <w:t>大坦沙分公司化验室</w:t>
      </w:r>
      <w:r>
        <w:rPr>
          <w:rFonts w:hint="eastAsia" w:ascii="仿宋" w:hAnsi="仿宋" w:eastAsia="仿宋" w:cs="仿宋"/>
          <w:i w:val="0"/>
          <w:caps w:val="0"/>
          <w:color w:val="auto"/>
          <w:spacing w:val="0"/>
          <w:sz w:val="28"/>
          <w:szCs w:val="28"/>
          <w:shd w:val="clear" w:color="auto" w:fill="FFFFFF"/>
        </w:rPr>
        <w:t>系统运行稳定、安全，</w:t>
      </w:r>
      <w:r>
        <w:rPr>
          <w:rFonts w:hint="eastAsia" w:ascii="仿宋" w:hAnsi="仿宋" w:eastAsia="仿宋" w:cs="仿宋"/>
          <w:i w:val="0"/>
          <w:caps w:val="0"/>
          <w:color w:val="auto"/>
          <w:spacing w:val="0"/>
          <w:sz w:val="28"/>
          <w:szCs w:val="28"/>
          <w:shd w:val="clear" w:color="auto" w:fill="FFFFFF"/>
          <w:lang w:val="en-US" w:eastAsia="zh-CN"/>
        </w:rPr>
        <w:t>质保期</w:t>
      </w:r>
      <w:r>
        <w:rPr>
          <w:rFonts w:hint="eastAsia" w:ascii="仿宋" w:hAnsi="仿宋" w:eastAsia="仿宋" w:cs="仿宋"/>
          <w:i w:val="0"/>
          <w:caps w:val="0"/>
          <w:color w:val="auto"/>
          <w:spacing w:val="0"/>
          <w:sz w:val="28"/>
          <w:szCs w:val="28"/>
          <w:shd w:val="clear" w:color="auto" w:fill="FFFFFF"/>
        </w:rPr>
        <w:t>为1年。</w:t>
      </w:r>
    </w:p>
    <w:p>
      <w:pPr>
        <w:pStyle w:val="28"/>
        <w:ind w:firstLine="560" w:firstLineChars="200"/>
        <w:rPr>
          <w:rFonts w:hint="eastAsia" w:ascii="仿宋" w:hAnsi="仿宋" w:eastAsia="仿宋" w:cs="仿宋"/>
          <w:i w:val="0"/>
          <w:caps w:val="0"/>
          <w:color w:val="000000"/>
          <w:spacing w:val="0"/>
          <w:sz w:val="28"/>
          <w:szCs w:val="28"/>
          <w:shd w:val="clear" w:color="auto" w:fill="FFFFFF"/>
        </w:rPr>
      </w:pPr>
      <w:r>
        <w:rPr>
          <w:rFonts w:hint="eastAsia" w:ascii="仿宋" w:hAnsi="仿宋" w:eastAsia="仿宋" w:cs="仿宋"/>
          <w:i w:val="0"/>
          <w:caps w:val="0"/>
          <w:color w:val="auto"/>
          <w:spacing w:val="0"/>
          <w:sz w:val="28"/>
          <w:szCs w:val="28"/>
          <w:shd w:val="clear" w:color="auto" w:fill="FFFFFF"/>
          <w:lang w:val="en-US" w:eastAsia="zh-CN"/>
        </w:rPr>
        <w:t>5、</w:t>
      </w:r>
      <w:r>
        <w:rPr>
          <w:rFonts w:hint="eastAsia" w:ascii="仿宋" w:hAnsi="仿宋" w:eastAsia="仿宋" w:cs="仿宋"/>
          <w:i w:val="0"/>
          <w:caps w:val="0"/>
          <w:color w:val="000000"/>
          <w:spacing w:val="0"/>
          <w:sz w:val="28"/>
          <w:szCs w:val="28"/>
          <w:shd w:val="clear" w:color="auto" w:fill="FFFFFF"/>
        </w:rPr>
        <w:t>本项目开展期间，承包方必须整理好本项目的所有的技术资料，不限于项目施工图、竣工图、设备技术说明书</w:t>
      </w:r>
      <w:r>
        <w:rPr>
          <w:rFonts w:hint="eastAsia" w:ascii="仿宋" w:hAnsi="仿宋" w:eastAsia="仿宋" w:cs="仿宋"/>
          <w:i w:val="0"/>
          <w:caps w:val="0"/>
          <w:color w:val="000000"/>
          <w:spacing w:val="0"/>
          <w:sz w:val="28"/>
          <w:szCs w:val="28"/>
          <w:shd w:val="clear" w:color="auto" w:fill="FFFFFF"/>
          <w:lang w:eastAsia="zh-CN"/>
        </w:rPr>
        <w:t>、</w:t>
      </w:r>
      <w:r>
        <w:rPr>
          <w:rFonts w:hint="eastAsia" w:ascii="仿宋" w:hAnsi="仿宋" w:eastAsia="仿宋" w:cs="仿宋"/>
          <w:i w:val="0"/>
          <w:caps w:val="0"/>
          <w:color w:val="000000"/>
          <w:spacing w:val="0"/>
          <w:sz w:val="28"/>
          <w:szCs w:val="28"/>
          <w:shd w:val="clear" w:color="auto" w:fill="FFFFFF"/>
          <w:lang w:val="en-US" w:eastAsia="zh-CN"/>
        </w:rPr>
        <w:t>拓扑图、端口连接情况、交换机配置文件及相关用户密码</w:t>
      </w:r>
      <w:r>
        <w:rPr>
          <w:rFonts w:hint="eastAsia" w:ascii="仿宋" w:hAnsi="仿宋" w:eastAsia="仿宋" w:cs="仿宋"/>
          <w:i w:val="0"/>
          <w:caps w:val="0"/>
          <w:color w:val="000000"/>
          <w:spacing w:val="0"/>
          <w:sz w:val="28"/>
          <w:szCs w:val="28"/>
          <w:shd w:val="clear" w:color="auto" w:fill="FFFFFF"/>
        </w:rPr>
        <w:t>等。项目竣工后，承包方将所有关于本项目的技术资料整理好并交至项目承办单位。</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6、所有涉及的交换机设备必须为全新，且出厂时间不得多于半年。</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7、施工所用到的PVC线管、线槽材质必须为耐火难燃材质，品牌选取参考或相当于联塑或广塑。</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8、网线选材必须为千兆超五类网线，品牌选取参考或相当于海康威视、绿联等一线品牌。</w:t>
      </w:r>
    </w:p>
    <w:p>
      <w:pPr>
        <w:pStyle w:val="28"/>
        <w:ind w:firstLine="560" w:firstLineChars="200"/>
        <w:rPr>
          <w:rFonts w:hint="default"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9、网线模块参考或相当于西门子、施耐德等一线品牌的正品材料。</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10、施工期间必须在保证分公司日常工作正常开展的前提下开展，同时每层线路排布必须依照目前分公司在用的线路布局进行敷设，线路不得外露且必须做好保护。</w:t>
      </w:r>
    </w:p>
    <w:p>
      <w:pPr>
        <w:pStyle w:val="28"/>
        <w:ind w:firstLine="560" w:firstLineChars="200"/>
        <w:rPr>
          <w:rFonts w:hint="default"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11、更换后的旧网线必须全部运离，施工单位自行处置。</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r>
        <w:rPr>
          <w:rFonts w:hint="eastAsia" w:ascii="仿宋" w:hAnsi="仿宋" w:eastAsia="仿宋" w:cs="仿宋"/>
          <w:i w:val="0"/>
          <w:caps w:val="0"/>
          <w:color w:val="000000"/>
          <w:spacing w:val="0"/>
          <w:sz w:val="28"/>
          <w:szCs w:val="28"/>
          <w:shd w:val="clear" w:color="auto" w:fill="FFFFFF"/>
          <w:lang w:val="en-US" w:eastAsia="zh-CN"/>
        </w:rPr>
        <w:t>12、交换机选型参考或相当于华三H3C LS-S6800-54HT，并提供厂家相关证明材料，交换机技术参数见下表：</w:t>
      </w:r>
    </w:p>
    <w:p>
      <w:pPr>
        <w:pStyle w:val="28"/>
        <w:ind w:firstLine="560" w:firstLineChars="200"/>
        <w:rPr>
          <w:rFonts w:hint="eastAsia" w:ascii="仿宋" w:hAnsi="仿宋" w:eastAsia="仿宋" w:cs="仿宋"/>
          <w:i w:val="0"/>
          <w:caps w:val="0"/>
          <w:color w:val="000000"/>
          <w:spacing w:val="0"/>
          <w:sz w:val="28"/>
          <w:szCs w:val="28"/>
          <w:shd w:val="clear" w:color="auto" w:fill="FFFFFF"/>
          <w:lang w:val="en-US" w:eastAsia="zh-CN"/>
        </w:rPr>
      </w:pPr>
    </w:p>
    <w:tbl>
      <w:tblPr>
        <w:tblStyle w:val="22"/>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53"/>
        <w:gridCol w:w="6795"/>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63" w:type="dxa"/>
            <w:gridSpan w:val="3"/>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产品类型</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fldChar w:fldCharType="begin"/>
            </w:r>
            <w:r>
              <w:rPr>
                <w:rFonts w:hint="eastAsia" w:ascii="仿宋" w:hAnsi="仿宋" w:eastAsia="仿宋" w:cs="仿宋"/>
                <w:i w:val="0"/>
                <w:color w:val="auto"/>
                <w:kern w:val="0"/>
                <w:sz w:val="28"/>
                <w:szCs w:val="28"/>
                <w:u w:val="none"/>
                <w:lang w:val="en-US" w:eastAsia="zh-CN" w:bidi="ar"/>
              </w:rPr>
              <w:instrText xml:space="preserve"> HYPERLINK "https://detail.zol.com.cn/switches/s6074/" \o "https://detail.zol.com.cn/switches/s6074/" </w:instrText>
            </w:r>
            <w:r>
              <w:rPr>
                <w:rFonts w:hint="eastAsia" w:ascii="仿宋" w:hAnsi="仿宋" w:eastAsia="仿宋" w:cs="仿宋"/>
                <w:i w:val="0"/>
                <w:color w:val="auto"/>
                <w:kern w:val="0"/>
                <w:sz w:val="28"/>
                <w:szCs w:val="28"/>
                <w:u w:val="none"/>
                <w:lang w:val="en-US" w:eastAsia="zh-CN" w:bidi="ar"/>
              </w:rPr>
              <w:fldChar w:fldCharType="separate"/>
            </w:r>
            <w:r>
              <w:rPr>
                <w:rStyle w:val="26"/>
                <w:rFonts w:hint="eastAsia" w:ascii="仿宋" w:hAnsi="仿宋" w:eastAsia="仿宋" w:cs="仿宋"/>
                <w:i w:val="0"/>
                <w:color w:val="auto"/>
                <w:sz w:val="28"/>
                <w:szCs w:val="28"/>
                <w:u w:val="none"/>
                <w:lang w:val="en-US" w:eastAsia="zh-CN"/>
              </w:rPr>
              <w:t>万</w:t>
            </w:r>
            <w:r>
              <w:rPr>
                <w:rStyle w:val="26"/>
                <w:rFonts w:hint="eastAsia" w:ascii="仿宋" w:hAnsi="仿宋" w:eastAsia="仿宋" w:cs="仿宋"/>
                <w:i w:val="0"/>
                <w:color w:val="auto"/>
                <w:sz w:val="28"/>
                <w:szCs w:val="28"/>
                <w:u w:val="none"/>
              </w:rPr>
              <w:t>兆以太网交换机</w:t>
            </w:r>
            <w:r>
              <w:rPr>
                <w:rFonts w:hint="eastAsia" w:ascii="仿宋" w:hAnsi="仿宋" w:eastAsia="仿宋" w:cs="仿宋"/>
                <w:i w:val="0"/>
                <w:color w:val="auto"/>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传输速率</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fldChar w:fldCharType="begin"/>
            </w:r>
            <w:r>
              <w:rPr>
                <w:rFonts w:hint="eastAsia" w:ascii="仿宋" w:hAnsi="仿宋" w:eastAsia="仿宋" w:cs="仿宋"/>
                <w:i w:val="0"/>
                <w:color w:val="auto"/>
                <w:kern w:val="0"/>
                <w:sz w:val="28"/>
                <w:szCs w:val="28"/>
                <w:u w:val="none"/>
                <w:lang w:val="en-US" w:eastAsia="zh-CN" w:bidi="ar"/>
              </w:rPr>
              <w:instrText xml:space="preserve"> HYPERLINK "https://detail.zol.com.cn/switches/s7759/" \o "https://detail.zol.com.cn/switches/s7759/" </w:instrText>
            </w:r>
            <w:r>
              <w:rPr>
                <w:rFonts w:hint="eastAsia" w:ascii="仿宋" w:hAnsi="仿宋" w:eastAsia="仿宋" w:cs="仿宋"/>
                <w:i w:val="0"/>
                <w:color w:val="auto"/>
                <w:kern w:val="0"/>
                <w:sz w:val="28"/>
                <w:szCs w:val="28"/>
                <w:u w:val="none"/>
                <w:lang w:val="en-US" w:eastAsia="zh-CN" w:bidi="ar"/>
              </w:rPr>
              <w:fldChar w:fldCharType="separate"/>
            </w:r>
            <w:r>
              <w:rPr>
                <w:rStyle w:val="26"/>
                <w:rFonts w:hint="eastAsia" w:ascii="仿宋" w:hAnsi="仿宋" w:eastAsia="仿宋" w:cs="仿宋"/>
                <w:i w:val="0"/>
                <w:color w:val="auto"/>
                <w:sz w:val="28"/>
                <w:szCs w:val="28"/>
                <w:u w:val="none"/>
              </w:rPr>
              <w:t>10/100/1000</w:t>
            </w:r>
            <w:r>
              <w:rPr>
                <w:rStyle w:val="26"/>
                <w:rFonts w:hint="eastAsia" w:ascii="仿宋" w:hAnsi="仿宋" w:eastAsia="仿宋" w:cs="仿宋"/>
                <w:i w:val="0"/>
                <w:color w:val="auto"/>
                <w:sz w:val="28"/>
                <w:szCs w:val="28"/>
                <w:u w:val="none"/>
                <w:lang w:val="en-US" w:eastAsia="zh-CN"/>
              </w:rPr>
              <w:t>/10000</w:t>
            </w:r>
            <w:r>
              <w:rPr>
                <w:rStyle w:val="26"/>
                <w:rFonts w:hint="eastAsia" w:ascii="仿宋" w:hAnsi="仿宋" w:eastAsia="仿宋" w:cs="仿宋"/>
                <w:i w:val="0"/>
                <w:color w:val="auto"/>
                <w:sz w:val="28"/>
                <w:szCs w:val="28"/>
                <w:u w:val="none"/>
              </w:rPr>
              <w:t>Mbps</w:t>
            </w:r>
            <w:r>
              <w:rPr>
                <w:rFonts w:hint="eastAsia" w:ascii="仿宋" w:hAnsi="仿宋" w:eastAsia="仿宋" w:cs="仿宋"/>
                <w:i w:val="0"/>
                <w:color w:val="auto"/>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交换方式</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支持store-forward模式和cut-through模式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背板带宽</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2.56Tbps/23.04Tbps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包转发率</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1080Mpps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63" w:type="dxa"/>
            <w:gridSpan w:val="3"/>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端口参数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端口结构</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fldChar w:fldCharType="begin"/>
            </w:r>
            <w:r>
              <w:rPr>
                <w:rFonts w:hint="eastAsia" w:ascii="仿宋" w:hAnsi="仿宋" w:eastAsia="仿宋" w:cs="仿宋"/>
                <w:i w:val="0"/>
                <w:color w:val="auto"/>
                <w:kern w:val="0"/>
                <w:sz w:val="28"/>
                <w:szCs w:val="28"/>
                <w:u w:val="none"/>
                <w:lang w:val="en-US" w:eastAsia="zh-CN" w:bidi="ar"/>
              </w:rPr>
              <w:instrText xml:space="preserve"> HYPERLINK "https://detail.zol.com.cn/switches/p11716/" \o "https://detail.zol.com.cn/switches/p11716/" </w:instrText>
            </w:r>
            <w:r>
              <w:rPr>
                <w:rFonts w:hint="eastAsia" w:ascii="仿宋" w:hAnsi="仿宋" w:eastAsia="仿宋" w:cs="仿宋"/>
                <w:i w:val="0"/>
                <w:color w:val="auto"/>
                <w:kern w:val="0"/>
                <w:sz w:val="28"/>
                <w:szCs w:val="28"/>
                <w:u w:val="none"/>
                <w:lang w:val="en-US" w:eastAsia="zh-CN" w:bidi="ar"/>
              </w:rPr>
              <w:fldChar w:fldCharType="separate"/>
            </w:r>
            <w:r>
              <w:rPr>
                <w:rStyle w:val="26"/>
                <w:rFonts w:hint="eastAsia" w:ascii="仿宋" w:hAnsi="仿宋" w:eastAsia="仿宋" w:cs="仿宋"/>
                <w:i w:val="0"/>
                <w:color w:val="auto"/>
                <w:sz w:val="28"/>
                <w:szCs w:val="28"/>
                <w:u w:val="none"/>
              </w:rPr>
              <w:t>非模块化</w:t>
            </w:r>
            <w:r>
              <w:rPr>
                <w:rFonts w:hint="eastAsia" w:ascii="仿宋" w:hAnsi="仿宋" w:eastAsia="仿宋" w:cs="仿宋"/>
                <w:i w:val="0"/>
                <w:color w:val="auto"/>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控制端口</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1个Console口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1个带外管理以太网口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1个Mini USB口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4个插卡槽位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传输模式</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fldChar w:fldCharType="begin"/>
            </w:r>
            <w:r>
              <w:rPr>
                <w:rFonts w:hint="eastAsia" w:ascii="仿宋" w:hAnsi="仿宋" w:eastAsia="仿宋" w:cs="仿宋"/>
                <w:i w:val="0"/>
                <w:color w:val="auto"/>
                <w:kern w:val="0"/>
                <w:sz w:val="28"/>
                <w:szCs w:val="28"/>
                <w:u w:val="none"/>
                <w:lang w:val="en-US" w:eastAsia="zh-CN" w:bidi="ar"/>
              </w:rPr>
              <w:instrText xml:space="preserve"> HYPERLINK "https://detail.zol.com.cn/switches/p1272/" \o "https://detail.zol.com.cn/switches/p1272/" </w:instrText>
            </w:r>
            <w:r>
              <w:rPr>
                <w:rFonts w:hint="eastAsia" w:ascii="仿宋" w:hAnsi="仿宋" w:eastAsia="仿宋" w:cs="仿宋"/>
                <w:i w:val="0"/>
                <w:color w:val="auto"/>
                <w:kern w:val="0"/>
                <w:sz w:val="28"/>
                <w:szCs w:val="28"/>
                <w:u w:val="none"/>
                <w:lang w:val="en-US" w:eastAsia="zh-CN" w:bidi="ar"/>
              </w:rPr>
              <w:fldChar w:fldCharType="separate"/>
            </w:r>
            <w:r>
              <w:rPr>
                <w:rStyle w:val="26"/>
                <w:rFonts w:hint="eastAsia" w:ascii="仿宋" w:hAnsi="仿宋" w:eastAsia="仿宋" w:cs="仿宋"/>
                <w:i w:val="0"/>
                <w:color w:val="auto"/>
                <w:sz w:val="28"/>
                <w:szCs w:val="28"/>
                <w:u w:val="none"/>
              </w:rPr>
              <w:t>全双工/半双工自适应</w:t>
            </w:r>
            <w:r>
              <w:rPr>
                <w:rFonts w:hint="eastAsia" w:ascii="仿宋" w:hAnsi="仿宋" w:eastAsia="仿宋" w:cs="仿宋"/>
                <w:i w:val="0"/>
                <w:color w:val="auto"/>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63" w:type="dxa"/>
            <w:gridSpan w:val="3"/>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功能特性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堆叠功能</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fldChar w:fldCharType="begin"/>
            </w:r>
            <w:r>
              <w:rPr>
                <w:rFonts w:hint="eastAsia" w:ascii="仿宋" w:hAnsi="仿宋" w:eastAsia="仿宋" w:cs="仿宋"/>
                <w:i w:val="0"/>
                <w:color w:val="auto"/>
                <w:kern w:val="0"/>
                <w:sz w:val="28"/>
                <w:szCs w:val="28"/>
                <w:u w:val="none"/>
                <w:lang w:val="en-US" w:eastAsia="zh-CN" w:bidi="ar"/>
              </w:rPr>
              <w:instrText xml:space="preserve"> HYPERLINK "https://detail.zol.com.cn/switches/p1275/" \o "https://detail.zol.com.cn/switches/p1275/" </w:instrText>
            </w:r>
            <w:r>
              <w:rPr>
                <w:rFonts w:hint="eastAsia" w:ascii="仿宋" w:hAnsi="仿宋" w:eastAsia="仿宋" w:cs="仿宋"/>
                <w:i w:val="0"/>
                <w:color w:val="auto"/>
                <w:kern w:val="0"/>
                <w:sz w:val="28"/>
                <w:szCs w:val="28"/>
                <w:u w:val="none"/>
                <w:lang w:val="en-US" w:eastAsia="zh-CN" w:bidi="ar"/>
              </w:rPr>
              <w:fldChar w:fldCharType="separate"/>
            </w:r>
            <w:r>
              <w:rPr>
                <w:rStyle w:val="26"/>
                <w:rFonts w:hint="eastAsia" w:ascii="仿宋" w:hAnsi="仿宋" w:eastAsia="仿宋" w:cs="仿宋"/>
                <w:i w:val="0"/>
                <w:color w:val="auto"/>
                <w:sz w:val="28"/>
                <w:szCs w:val="28"/>
                <w:u w:val="none"/>
              </w:rPr>
              <w:t>可堆叠</w:t>
            </w:r>
            <w:r>
              <w:rPr>
                <w:rFonts w:hint="eastAsia" w:ascii="仿宋" w:hAnsi="仿宋" w:eastAsia="仿宋" w:cs="仿宋"/>
                <w:i w:val="0"/>
                <w:color w:val="auto"/>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VLAN</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支持基于端口的VLAN（4094个）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支持Default 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QOS</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支持对端口接收报文的速率和发送报文的速率进行限制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支持CAR功能 每个端口支持8个输出队列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支持灵活的队列调度算法，可以同时基于端口和队列进行设置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支持SP、WRR、WFQ、SP+WRR、SP+WFQ等多种模式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支持报文的802.1p和DSCP优先级重新标记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103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支持L2（Layer 2）~L4（Layer 4）包过滤功能，支持基于源MAC、目的MAC地址、源IP(IPv4/IPv6)地址、目的IP(IPv4/IPv6)地址、端口、协议、VLAN的流分类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支持时间段（Time Range）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支持WRED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组播管理</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支持IGMP Snooping v2/v3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支持IGMP v1/v2/v3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支持PIM-DM/SM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支持IPv6 PIM-DM/SM/SSM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支持双向PIM、MSDP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支持MLD Snooping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支持组播策略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网络管理</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支持命令行接口（CLI）配置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支持Telnet远程配置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支持通过Console口配置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支持schedule job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支持ISSU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支持SNMP v1/v2c/v3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支持IMC网管系统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支持系统日志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支持分级告警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支持NTP、SNTP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支持电源的告警功能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支持风扇、温度告警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支持调试信息输出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支持Ping、Tracert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支持USB进行文件上传和下载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安全管理</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支持用户分级管理和口令保护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支持AAA认证/RADIUS认证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支持HWTACACS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支持SSH 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支持IP+MAC+端口绑定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支持IP Source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支持HTTPs/SSL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支持PKI(Public Key Infrastructure，公钥基础设施)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63" w:type="dxa"/>
            <w:gridSpan w:val="3"/>
            <w:tcBorders>
              <w:top w:val="single" w:color="000000" w:sz="4" w:space="0"/>
              <w:left w:val="single" w:color="000000" w:sz="4" w:space="0"/>
              <w:bottom w:val="single" w:color="000000" w:sz="4" w:space="0"/>
              <w:right w:val="single" w:color="000000" w:sz="4" w:space="0"/>
            </w:tcBorders>
            <w:shd w:val="clear" w:color="auto" w:fill="FAFAFA"/>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8"/>
                <w:szCs w:val="28"/>
                <w:u w:val="none"/>
              </w:rPr>
            </w:pPr>
            <w:r>
              <w:rPr>
                <w:rFonts w:hint="eastAsia" w:ascii="仿宋" w:hAnsi="仿宋" w:eastAsia="仿宋" w:cs="仿宋"/>
                <w:b/>
                <w:i w:val="0"/>
                <w:color w:val="auto"/>
                <w:kern w:val="0"/>
                <w:sz w:val="28"/>
                <w:szCs w:val="28"/>
                <w:u w:val="none"/>
                <w:lang w:val="en-US" w:eastAsia="zh-CN" w:bidi="ar"/>
              </w:rPr>
              <w:t>其它参数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电源电压</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AC 90-290V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DC -38.4-72V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产品尺寸</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440×660×88.1mm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产品重量</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≤27kg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环境标准</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工作温度：0-40℃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工作湿度：5%-95%（无凝结）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其它参数</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电源模块：四模块化电源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风扇模块：双可热插拔风扇模块，前后或后前通风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其它特点</w:t>
            </w: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虚拟化：支持IRF2智能弹性架构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支持分布式设备管理，分布式链路聚合，分布式弹性路由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支持通过标准以太网接口进行堆叠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支持本地堆叠和远程堆叠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690"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链路聚合：支持10GE/40GE端口聚合；支持静态聚合、动态聚合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数据中心特性：支持VXLAN GW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支持802.1Qbb PFC、802.1Qaz ETS、ECN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支持FCoE及FC协议栈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支持FC/FCoE/Ethernet 端口切换（选配）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支持EVB（支持VEB、VEPA、Muti-channel三种模式）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支持TRILL/TRILL &amp; IRF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支持SPB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支持Openflow1.3.1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支持netconf 、python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支持Service chain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支持多Openflow controller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Jumbo Frame：支持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MAC地址表：支持静态MAC地址；支持黑洞MAC地址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流量监控：支持Sflow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DHCP：DHCP Server/Client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DHCP Snooping/DHCP Relay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DHCP Snooping option82/DHCP Relay option82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ARP：支持免费ARP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支持Dynamic ARP Inspection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支持ARP anti-attack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支持ARP源抑制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支持ARP Detection功能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690"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IP路由：支持静态路由、RIP v1/2、OSPFv1/v2/v3、BGP、IS-IS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支持等价路由、VRRP、策略路由等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支持BGP4+ FOR IPv6、VRRP、IPv6策略路由等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IPV6特性：支持ND（Neighbor Discovery）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支持PMTU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690"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支持ICMP v6、Telnet v6、SFTP v6、SNMP v6、BFD v6、VRRP 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支持IPv6 Portal/IPv6 tunnel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零配置：支持Auto-config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MPLS：支持MCE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支持MPLS VPN及VPLS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MSTP：支持STP/RSTP/MSTP协议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支持PVST+/RPVST+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支持STP Root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支持BPDU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镜像：支持流镜像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支持N:4端口镜像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支持本地和远程端口镜像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加载与升级：支持XModem协议实现加载升级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支持FTP（File Transfer Protocol）加载升级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45" w:hRule="atLeast"/>
        </w:trPr>
        <w:tc>
          <w:tcPr>
            <w:tcW w:w="22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 w:hAnsi="仿宋" w:eastAsia="仿宋" w:cs="仿宋"/>
                <w:i w:val="0"/>
                <w:color w:val="auto"/>
                <w:sz w:val="28"/>
                <w:szCs w:val="28"/>
                <w:u w:val="none"/>
              </w:rPr>
            </w:pPr>
          </w:p>
        </w:tc>
        <w:tc>
          <w:tcPr>
            <w:tcW w:w="6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支持TFTP（Trivial File Transfer Protocol）加载升级</w:t>
            </w:r>
          </w:p>
        </w:tc>
      </w:tr>
    </w:tbl>
    <w:p>
      <w:pPr>
        <w:pStyle w:val="28"/>
        <w:rPr>
          <w:rFonts w:hint="eastAsia" w:ascii="仿宋" w:hAnsi="仿宋" w:eastAsia="仿宋" w:cs="仿宋"/>
          <w:sz w:val="28"/>
          <w:szCs w:val="28"/>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rFonts w:hint="eastAsia"/>
          <w:color w:val="auto"/>
          <w:highlight w:val="none"/>
        </w:rPr>
      </w:pPr>
      <w:bookmarkStart w:id="61" w:name="_Toc25925"/>
      <w:bookmarkStart w:id="62" w:name="_Toc1284"/>
      <w:bookmarkStart w:id="63" w:name="_Toc15570"/>
      <w:bookmarkStart w:id="64" w:name="_Toc29835"/>
      <w:bookmarkStart w:id="65" w:name="_Toc12135"/>
      <w:bookmarkStart w:id="66" w:name="_Toc537"/>
      <w:bookmarkStart w:id="67" w:name="_Toc18538"/>
      <w:bookmarkStart w:id="68" w:name="_Toc1496"/>
      <w:bookmarkStart w:id="69" w:name="_Toc4680"/>
      <w:bookmarkStart w:id="70" w:name="_Toc23330"/>
      <w:bookmarkStart w:id="71" w:name="_Toc23353"/>
      <w:r>
        <w:rPr>
          <w:rFonts w:hint="eastAsia"/>
          <w:color w:val="auto"/>
          <w:highlight w:val="none"/>
        </w:rPr>
        <w:br w:type="page"/>
      </w: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1375"/>
      <w:bookmarkStart w:id="73" w:name="_Toc12968"/>
      <w:bookmarkStart w:id="74" w:name="_Toc8183"/>
      <w:bookmarkStart w:id="75" w:name="_Toc19686"/>
      <w:bookmarkStart w:id="76" w:name="_Toc12980"/>
      <w:bookmarkStart w:id="77" w:name="_Toc88209949"/>
      <w:bookmarkStart w:id="78" w:name="_Toc87616386"/>
      <w:bookmarkStart w:id="79" w:name="_Toc323"/>
      <w:bookmarkStart w:id="80" w:name="_Toc22797"/>
      <w:bookmarkStart w:id="81" w:name="_Toc19088"/>
      <w:bookmarkStart w:id="82" w:name="_Toc13309"/>
      <w:bookmarkStart w:id="83" w:name="_Toc22501"/>
      <w:bookmarkStart w:id="84" w:name="_Toc1272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2"/>
        <w:snapToGrid w:val="0"/>
        <w:spacing w:line="400" w:lineRule="exact"/>
        <w:ind w:right="84" w:rightChars="40" w:firstLine="193" w:firstLineChars="80"/>
        <w:rPr>
          <w:rFonts w:hint="eastAsia" w:hAnsi="宋体" w:eastAsia="宋体"/>
          <w:b/>
          <w:color w:val="000000"/>
          <w:sz w:val="24"/>
          <w:highlight w:val="none"/>
        </w:rPr>
      </w:pPr>
    </w:p>
    <w:p>
      <w:pPr>
        <w:pStyle w:val="12"/>
        <w:snapToGrid w:val="0"/>
        <w:spacing w:line="400" w:lineRule="exact"/>
        <w:ind w:right="84" w:rightChars="40" w:firstLine="192" w:firstLineChars="80"/>
        <w:rPr>
          <w:rFonts w:hint="eastAsia" w:hAnsi="宋体" w:eastAsia="宋体"/>
          <w:bCs/>
          <w:color w:val="000000"/>
          <w:sz w:val="24"/>
          <w:highlight w:val="none"/>
        </w:rPr>
      </w:pPr>
    </w:p>
    <w:p>
      <w:pPr>
        <w:spacing w:line="0" w:lineRule="atLeast"/>
        <w:ind w:left="638" w:leftChars="304" w:firstLine="0" w:firstLineChars="0"/>
        <w:rPr>
          <w:rFonts w:ascii="宋体" w:hAnsi="宋体" w:cs="宋体"/>
          <w:b/>
          <w:sz w:val="30"/>
          <w:szCs w:val="30"/>
        </w:rPr>
      </w:pPr>
      <w:r>
        <w:rPr>
          <w:rFonts w:hint="eastAsia" w:hAnsi="宋体" w:eastAsia="宋体" w:cs="宋体"/>
          <w:b/>
          <w:color w:val="000000"/>
          <w:sz w:val="30"/>
          <w:szCs w:val="30"/>
          <w:highlight w:val="none"/>
        </w:rPr>
        <w:t>项目名称：</w:t>
      </w:r>
      <w:r>
        <w:rPr>
          <w:rFonts w:hint="eastAsia" w:ascii="宋体" w:hAnsi="宋体" w:cs="宋体"/>
          <w:b/>
          <w:sz w:val="30"/>
          <w:szCs w:val="30"/>
          <w:lang w:val="en-US" w:eastAsia="zh-CN"/>
        </w:rPr>
        <w:t>广州市净水有限公司</w:t>
      </w:r>
      <w:r>
        <w:rPr>
          <w:rFonts w:hint="eastAsia" w:ascii="宋体" w:hAnsi="宋体" w:cs="宋体"/>
          <w:b/>
          <w:sz w:val="30"/>
          <w:szCs w:val="30"/>
          <w:lang w:eastAsia="zh-CN"/>
        </w:rPr>
        <w:t>大坦沙分公司办公楼网络改造项目</w:t>
      </w:r>
    </w:p>
    <w:p>
      <w:pPr>
        <w:pStyle w:val="12"/>
        <w:snapToGrid w:val="0"/>
        <w:spacing w:line="400" w:lineRule="exact"/>
        <w:ind w:right="84" w:rightChars="40" w:firstLine="1569"/>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rPr>
          <w:rFonts w:hint="eastAsia" w:hAnsi="宋体" w:eastAsia="宋体" w:cs="宋体"/>
          <w:b/>
          <w:color w:val="000000"/>
          <w:sz w:val="30"/>
          <w:szCs w:val="30"/>
          <w:highlight w:val="none"/>
        </w:rPr>
      </w:pPr>
    </w:p>
    <w:p>
      <w:pPr>
        <w:pStyle w:val="12"/>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2"/>
        <w:snapToGrid w:val="0"/>
        <w:spacing w:line="400" w:lineRule="exact"/>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w:t>
      </w: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2"/>
        <w:snapToGrid w:val="0"/>
        <w:ind w:right="84" w:rightChars="40" w:firstLine="1569" w:firstLineChars="521"/>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p>
    <w:p>
      <w:pPr>
        <w:pStyle w:val="12"/>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2"/>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2"/>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47"/>
        <w:spacing w:line="500" w:lineRule="exact"/>
        <w:jc w:val="both"/>
        <w:rPr>
          <w:rFonts w:hint="eastAsia" w:ascii="宋体" w:hAnsi="宋体" w:eastAsia="宋体" w:cs="宋体"/>
          <w:b/>
          <w:color w:val="000000"/>
          <w:sz w:val="30"/>
          <w:szCs w:val="30"/>
          <w:highlight w:val="none"/>
          <w:lang w:val="zh-CN" w:eastAsia="zh-CN"/>
        </w:rPr>
        <w:sectPr>
          <w:pgSz w:w="11906" w:h="16838"/>
          <w:pgMar w:top="1644" w:right="1588" w:bottom="1644" w:left="1588" w:header="851" w:footer="992" w:gutter="0"/>
          <w:pgNumType w:fmt="numberInDash"/>
          <w:cols w:space="720" w:num="1"/>
          <w:docGrid w:type="lines" w:linePitch="312" w:charSpace="0"/>
        </w:sectPr>
      </w:pPr>
    </w:p>
    <w:p>
      <w:pPr>
        <w:pStyle w:val="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cs="宋体"/>
          <w:color w:val="auto"/>
          <w:sz w:val="24"/>
          <w:u w:val="single"/>
        </w:rPr>
        <w:t xml:space="preserve"> </w:t>
      </w:r>
      <w:r>
        <w:rPr>
          <w:rFonts w:hint="eastAsia" w:ascii="宋体" w:hAnsi="宋体" w:eastAsia="宋体" w:cs="宋体"/>
          <w:color w:val="000000"/>
          <w:sz w:val="24"/>
          <w:highlight w:val="none"/>
          <w:u w:val="single"/>
          <w:lang w:val="en-US" w:eastAsia="zh-CN"/>
        </w:rPr>
        <w:t xml:space="preserve"> 大坦沙分公司办公楼网络改造项目 </w:t>
      </w:r>
      <w:r>
        <w:rPr>
          <w:rFonts w:hint="eastAsia" w:ascii="宋体" w:hAnsi="宋体" w:eastAsia="宋体" w:cs="宋体"/>
          <w:color w:val="000000"/>
          <w:sz w:val="24"/>
          <w:highlight w:val="none"/>
        </w:rPr>
        <w:t>施工/修缮项目遵循平等、自愿、公平和诚实信用的原则，经双方协商一致，特订立本合同。</w:t>
      </w:r>
    </w:p>
    <w:p>
      <w:pPr>
        <w:pStyle w:val="9"/>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ascii="宋体" w:hAnsi="宋体" w:cs="宋体"/>
          <w:color w:val="auto"/>
          <w:sz w:val="24"/>
          <w:u w:val="single"/>
          <w:lang w:val="en-US" w:eastAsia="zh-CN"/>
        </w:rPr>
        <w:t>广州市净水有限公司大坦沙分公司办公楼网络改造项目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cs="宋体"/>
          <w:color w:val="auto"/>
          <w:sz w:val="24"/>
          <w:u w:val="single"/>
          <w:lang w:val="en-US" w:eastAsia="zh-CN"/>
        </w:rPr>
        <w:t>广州市净水有限公司大坦沙分公司</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2.3承包内容：</w:t>
      </w:r>
      <w:r>
        <w:rPr>
          <w:rFonts w:hint="eastAsia" w:ascii="宋体" w:hAnsi="宋体" w:cs="宋体"/>
          <w:sz w:val="24"/>
          <w:u w:val="single"/>
        </w:rPr>
        <w:t xml:space="preserve"> </w:t>
      </w:r>
      <w:r>
        <w:rPr>
          <w:rFonts w:hint="eastAsia" w:ascii="宋体" w:hAnsi="宋体" w:cs="宋体"/>
          <w:sz w:val="24"/>
          <w:u w:val="single"/>
          <w:lang w:val="en-US" w:eastAsia="zh-CN"/>
        </w:rPr>
        <w:t>对办公室网络进行改造，从中控室办公网络总交换机出4组网线至办公楼四个楼层，每层设置一个壁挂交换机箱，每层楼的网线模块连接去对应楼层的交换机处。</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cs="宋体"/>
          <w:color w:val="000000"/>
          <w:sz w:val="24"/>
          <w:szCs w:val="24"/>
          <w:highlight w:val="cyan"/>
          <w:u w:val="single"/>
          <w:lang w:val="en-US" w:eastAsia="zh-CN"/>
        </w:rPr>
        <w:t>60</w:t>
      </w:r>
      <w:r>
        <w:rPr>
          <w:rFonts w:hint="eastAsia" w:ascii="宋体" w:hAnsi="宋体" w:eastAsia="宋体" w:cs="宋体"/>
          <w:color w:val="000000"/>
          <w:sz w:val="24"/>
          <w:szCs w:val="24"/>
          <w:highlight w:val="cyan"/>
        </w:rPr>
        <w:t>天</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6"/>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85" w:name="OLE_LINK4"/>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w:t>
      </w:r>
      <w:r>
        <w:rPr>
          <w:rFonts w:hint="eastAsia" w:hAnsi="宋体" w:cs="宋体"/>
          <w:color w:val="auto"/>
          <w:sz w:val="24"/>
          <w:szCs w:val="24"/>
        </w:rPr>
        <w:t>项目验收合格后，由乙方提交申请支付资料</w:t>
      </w:r>
      <w:r>
        <w:rPr>
          <w:rFonts w:hAnsi="宋体" w:cs="宋体"/>
          <w:color w:val="auto"/>
          <w:sz w:val="24"/>
          <w:szCs w:val="24"/>
          <w:u w:val="single"/>
        </w:rPr>
        <w:t xml:space="preserve"> 15 </w:t>
      </w:r>
      <w:r>
        <w:rPr>
          <w:rFonts w:hint="eastAsia" w:hAnsi="宋体" w:cs="宋体"/>
          <w:color w:val="auto"/>
          <w:sz w:val="24"/>
          <w:szCs w:val="24"/>
        </w:rPr>
        <w:t>个工作日内，甲方</w:t>
      </w:r>
      <w:r>
        <w:rPr>
          <w:rFonts w:hint="eastAsia" w:ascii="宋体" w:hAnsi="宋体" w:cs="宋体"/>
          <w:bCs/>
          <w:color w:val="auto"/>
          <w:sz w:val="24"/>
          <w:lang w:val="en-US" w:eastAsia="zh-CN"/>
        </w:rPr>
        <w:t>属下</w:t>
      </w:r>
      <w:r>
        <w:rPr>
          <w:rFonts w:hint="eastAsia" w:hAnsi="宋体" w:cs="宋体"/>
          <w:bCs/>
          <w:color w:val="auto"/>
          <w:sz w:val="24"/>
          <w:lang w:val="en-US" w:eastAsia="zh-CN"/>
        </w:rPr>
        <w:t>大坦沙</w:t>
      </w:r>
      <w:r>
        <w:rPr>
          <w:rFonts w:hint="eastAsia" w:ascii="宋体" w:hAnsi="宋体" w:cs="宋体"/>
          <w:bCs/>
          <w:color w:val="auto"/>
          <w:sz w:val="24"/>
          <w:lang w:val="en-US" w:eastAsia="zh-CN"/>
        </w:rPr>
        <w:t>分公司</w:t>
      </w:r>
      <w:r>
        <w:rPr>
          <w:rFonts w:hint="eastAsia" w:hAnsi="宋体" w:cs="宋体"/>
          <w:color w:val="auto"/>
          <w:sz w:val="24"/>
          <w:szCs w:val="24"/>
        </w:rPr>
        <w:t>支付合同暂定总价的</w:t>
      </w:r>
      <w:r>
        <w:rPr>
          <w:rFonts w:hint="eastAsia" w:hAnsi="宋体" w:cs="宋体"/>
          <w:color w:val="auto"/>
          <w:sz w:val="24"/>
          <w:szCs w:val="24"/>
          <w:u w:val="single"/>
          <w:lang w:val="en-US" w:eastAsia="zh-CN"/>
        </w:rPr>
        <w:t xml:space="preserve">  80</w:t>
      </w:r>
      <w:r>
        <w:rPr>
          <w:rFonts w:hAnsi="宋体" w:cs="宋体"/>
          <w:color w:val="auto"/>
          <w:sz w:val="24"/>
          <w:szCs w:val="24"/>
          <w:u w:val="single"/>
        </w:rPr>
        <w:t xml:space="preserve"> </w:t>
      </w:r>
      <w:r>
        <w:rPr>
          <w:rFonts w:hint="eastAsia" w:hAnsi="宋体" w:cs="宋体"/>
          <w:color w:val="auto"/>
          <w:sz w:val="24"/>
          <w:szCs w:val="24"/>
        </w:rPr>
        <w:t>％即￥</w:t>
      </w:r>
      <w:r>
        <w:rPr>
          <w:rFonts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Ansi="宋体" w:cs="宋体"/>
          <w:color w:val="auto"/>
          <w:sz w:val="24"/>
          <w:szCs w:val="24"/>
          <w:u w:val="single"/>
        </w:rPr>
        <w:t xml:space="preserve">     </w:t>
      </w:r>
      <w:r>
        <w:rPr>
          <w:rFonts w:hint="eastAsia" w:hAnsi="宋体" w:cs="宋体"/>
          <w:color w:val="auto"/>
          <w:sz w:val="24"/>
          <w:szCs w:val="24"/>
        </w:rPr>
        <w:t>万元给乙方。</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w:t>
      </w:r>
      <w:r>
        <w:rPr>
          <w:rFonts w:hint="eastAsia" w:ascii="宋体" w:hAnsi="宋体" w:cs="宋体"/>
          <w:bCs/>
          <w:color w:val="000000"/>
          <w:sz w:val="24"/>
          <w:szCs w:val="24"/>
          <w:highlight w:val="none"/>
          <w:lang w:val="en-US" w:eastAsia="zh-CN"/>
        </w:rPr>
        <w:t>95%</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%（质保金）给乙方（无息）。</w:t>
      </w:r>
    </w:p>
    <w:p>
      <w:pPr>
        <w:pStyle w:val="12"/>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给甲方。（具体按甲方财务要求提供）</w:t>
      </w:r>
    </w:p>
    <w:p>
      <w:pPr>
        <w:spacing w:line="384" w:lineRule="auto"/>
        <w:ind w:firstLine="960" w:firstLineChars="400"/>
        <w:rPr>
          <w:rFonts w:ascii="宋体" w:hAnsi="宋体" w:cs="宋体"/>
          <w:sz w:val="24"/>
        </w:rPr>
      </w:pPr>
      <w:r>
        <w:rPr>
          <w:rFonts w:hint="eastAsia" w:ascii="宋体" w:hAnsi="宋体" w:eastAsia="宋体" w:cs="宋体"/>
          <w:color w:val="000000"/>
          <w:sz w:val="24"/>
          <w:szCs w:val="24"/>
          <w:highlight w:val="none"/>
        </w:rPr>
        <w:t>发票信息：</w:t>
      </w: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ascii="宋体" w:hAnsi="宋体"/>
          <w:sz w:val="24"/>
          <w:u w:val="single"/>
        </w:rPr>
        <w:t>91440101755584729Q</w:t>
      </w:r>
      <w:r>
        <w:rPr>
          <w:rFonts w:hint="eastAsia" w:ascii="宋体" w:hAnsi="宋体"/>
          <w:sz w:val="24"/>
          <w:u w:val="single"/>
          <w:lang w:val="en-US" w:eastAsia="zh-CN"/>
        </w:rPr>
        <w:t xml:space="preserve"> </w:t>
      </w:r>
      <w:r>
        <w:rPr>
          <w:rFonts w:ascii="宋体" w:hAnsi="宋体" w:cs="宋体"/>
          <w:sz w:val="24"/>
          <w:u w:val="single"/>
        </w:rPr>
        <w:t xml:space="preserve">      </w:t>
      </w:r>
    </w:p>
    <w:p>
      <w:pPr>
        <w:spacing w:line="384" w:lineRule="auto"/>
        <w:ind w:firstLine="960" w:firstLineChars="400"/>
        <w:rPr>
          <w:rFonts w:ascii="宋体" w:hAnsi="宋体" w:cs="宋体"/>
          <w:sz w:val="24"/>
          <w:u w:val="single"/>
        </w:rPr>
      </w:pPr>
      <w:r>
        <w:rPr>
          <w:rFonts w:hint="eastAsia" w:ascii="宋体" w:hAnsi="宋体" w:cs="宋体"/>
          <w:sz w:val="24"/>
        </w:rPr>
        <w:t>地址：</w:t>
      </w:r>
      <w:r>
        <w:rPr>
          <w:rFonts w:ascii="宋体" w:hAnsi="宋体" w:cs="宋体"/>
          <w:sz w:val="24"/>
          <w:u w:val="single"/>
        </w:rPr>
        <w:t xml:space="preserve">  </w:t>
      </w:r>
      <w:r>
        <w:rPr>
          <w:rFonts w:hint="eastAsia" w:ascii="宋体" w:hAnsi="宋体"/>
          <w:sz w:val="24"/>
          <w:u w:val="single"/>
        </w:rPr>
        <w:t>广州市天河区临江大道501号</w:t>
      </w:r>
      <w:r>
        <w:rPr>
          <w:rFonts w:ascii="宋体" w:hAnsi="宋体" w:cs="宋体"/>
          <w:sz w:val="24"/>
          <w:u w:val="singl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sz w:val="24"/>
          <w:u w:val="none"/>
        </w:rPr>
        <w:t>开户银行及账号：</w:t>
      </w:r>
      <w:r>
        <w:rPr>
          <w:rFonts w:hint="eastAsia" w:ascii="宋体" w:hAnsi="宋体"/>
          <w:sz w:val="24"/>
          <w:u w:val="single"/>
        </w:rPr>
        <w:t>民生银行广州支行；账号：0301014140006932</w:t>
      </w:r>
      <w:r>
        <w:rPr>
          <w:rFonts w:ascii="宋体" w:hAnsi="宋体" w:cs="宋体"/>
          <w:sz w:val="24"/>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12"/>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（建议采用网银支付、支票两种形式中之一）。</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cs="宋体"/>
          <w:sz w:val="24"/>
          <w:u w:val="single"/>
        </w:rPr>
        <w:t>广州市净水有限公司</w:t>
      </w:r>
      <w:r>
        <w:rPr>
          <w:rFonts w:hint="eastAsia" w:ascii="宋体" w:hAnsi="宋体" w:cs="宋体"/>
          <w:sz w:val="24"/>
          <w:u w:val="single"/>
          <w:lang w:val="en-US" w:eastAsia="zh-CN"/>
        </w:rPr>
        <w:t>大坦沙分公司</w:t>
      </w:r>
    </w:p>
    <w:bookmarkEnd w:id="85"/>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21"/>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1"/>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1"/>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7"/>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48"/>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项目</w:t>
      </w:r>
      <w:r>
        <w:rPr>
          <w:rFonts w:hint="eastAsia" w:ascii="宋体" w:hAnsi="宋体" w:eastAsia="宋体" w:cs="宋体"/>
          <w:color w:val="000000"/>
          <w:sz w:val="24"/>
          <w:szCs w:val="24"/>
          <w:highlight w:val="none"/>
        </w:rPr>
        <w:t>结算，由乙方向</w:t>
      </w:r>
      <w:r>
        <w:rPr>
          <w:rFonts w:hint="eastAsia" w:ascii="宋体" w:hAnsi="宋体" w:eastAsia="宋体" w:cs="宋体"/>
          <w:color w:val="000000"/>
          <w:sz w:val="24"/>
          <w:szCs w:val="24"/>
          <w:highlight w:val="none"/>
          <w:u w:val="single"/>
        </w:rPr>
        <w:t>甲方或甲方</w:t>
      </w:r>
      <w:r>
        <w:rPr>
          <w:rFonts w:hint="eastAsia" w:ascii="宋体" w:hAnsi="宋体" w:cs="宋体"/>
          <w:color w:val="000000"/>
          <w:sz w:val="24"/>
          <w:szCs w:val="24"/>
          <w:highlight w:val="none"/>
          <w:u w:val="single"/>
          <w:lang w:val="en-US" w:eastAsia="zh-CN"/>
        </w:rPr>
        <w:t>大坦沙</w:t>
      </w:r>
      <w:r>
        <w:rPr>
          <w:rFonts w:hint="eastAsia" w:ascii="宋体" w:hAnsi="宋体" w:eastAsia="宋体" w:cs="宋体"/>
          <w:color w:val="000000"/>
          <w:sz w:val="24"/>
          <w:szCs w:val="24"/>
          <w:highlight w:val="none"/>
          <w:u w:val="single"/>
        </w:rPr>
        <w:t>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48"/>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48"/>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1000</w:t>
      </w:r>
      <w:r>
        <w:rPr>
          <w:rFonts w:hint="eastAsia" w:ascii="宋体" w:hAnsi="宋体" w:eastAsia="宋体" w:cs="宋体"/>
          <w:color w:val="000000"/>
          <w:kern w:val="2"/>
          <w:szCs w:val="24"/>
          <w:highlight w:val="none"/>
          <w:u w:val="single"/>
        </w:rPr>
        <w:t>元</w:t>
      </w:r>
      <w:r>
        <w:rPr>
          <w:rFonts w:hint="eastAsia" w:ascii="宋体" w:hAnsi="宋体" w:eastAsia="宋体" w:cs="宋体"/>
          <w:color w:val="000000"/>
          <w:kern w:val="2"/>
          <w:szCs w:val="24"/>
          <w:highlight w:val="none"/>
        </w:rPr>
        <w:t>作为违约金。</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48"/>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cs="宋体"/>
          <w:color w:val="000000"/>
          <w:sz w:val="24"/>
          <w:szCs w:val="24"/>
          <w:highlight w:val="none"/>
          <w:u w:val="single"/>
          <w:lang w:val="en-US" w:eastAsia="zh-CN"/>
        </w:rPr>
        <w:t>四</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（b）与本款（a）项内容相同的电子版资料一式二份；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（c）拓扑图、端口连接情况、交换机配置文件及相关用户密码等</w:t>
      </w:r>
      <w:r>
        <w:rPr>
          <w:rFonts w:hint="eastAsia" w:ascii="宋体" w:hAnsi="宋体" w:eastAsia="宋体" w:cs="宋体"/>
          <w:color w:val="000000"/>
          <w:sz w:val="24"/>
          <w:szCs w:val="24"/>
          <w:highlight w:val="none"/>
        </w:rPr>
        <w:t>一式二份</w:t>
      </w:r>
      <w:r>
        <w:rPr>
          <w:rFonts w:hint="eastAsia" w:ascii="宋体" w:hAnsi="宋体" w:cs="宋体"/>
          <w:color w:val="000000"/>
          <w:sz w:val="24"/>
          <w:szCs w:val="24"/>
          <w:highlight w:val="none"/>
          <w:lang w:eastAsia="zh-CN"/>
        </w:rPr>
        <w:t>；</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11.6</w:t>
      </w:r>
      <w:r>
        <w:rPr>
          <w:rFonts w:hint="eastAsia" w:ascii="宋体" w:hAnsi="宋体" w:eastAsia="宋体" w:cs="宋体"/>
          <w:color w:val="000000"/>
          <w:sz w:val="24"/>
          <w:szCs w:val="24"/>
          <w:highlight w:val="none"/>
          <w:lang w:val="en-US" w:eastAsia="zh-CN"/>
        </w:rPr>
        <w:t>所有涉及的交换机设备必须为全新，且出厂时间不得多于半年。</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lang w:val="en-US" w:eastAsia="zh-CN"/>
        </w:rPr>
        <w:t>7施工所用到的PVC线管、线槽材质必须为耐火难燃材质，品牌选取参考或相当于联塑或广塑。</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lang w:val="en-US" w:eastAsia="zh-CN"/>
        </w:rPr>
        <w:t>8网线选材必须为千兆超五类网线，品牌选取参考或相当于海康威视、绿联等一线品牌。</w:t>
      </w:r>
    </w:p>
    <w:p>
      <w:pPr>
        <w:keepNext w:val="0"/>
        <w:keepLines w:val="0"/>
        <w:pageBreakBefore w:val="0"/>
        <w:widowControl w:val="0"/>
        <w:kinsoku/>
        <w:wordWrap/>
        <w:overflowPunct/>
        <w:bidi w:val="0"/>
        <w:spacing w:line="500" w:lineRule="exact"/>
        <w:ind w:firstLine="48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lang w:val="en-US" w:eastAsia="zh-CN"/>
        </w:rPr>
        <w:t>9网线模块参考或相当于西门子、施耐德等一线品牌的正品材料。</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lang w:val="en-US" w:eastAsia="zh-CN"/>
        </w:rPr>
        <w:t>10施工期间必须在保证分公司日常工作正常开展的前提下开展，同时每层线路排布必须依照目前分公司在用的线路布局进行敷设，线路不得外露且必须做好保护。</w:t>
      </w:r>
    </w:p>
    <w:p>
      <w:pPr>
        <w:keepNext w:val="0"/>
        <w:keepLines w:val="0"/>
        <w:pageBreakBefore w:val="0"/>
        <w:widowControl w:val="0"/>
        <w:kinsoku/>
        <w:wordWrap/>
        <w:overflowPunct/>
        <w:bidi w:val="0"/>
        <w:spacing w:line="500" w:lineRule="exact"/>
        <w:ind w:firstLine="48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lang w:val="en-US" w:eastAsia="zh-CN"/>
        </w:rPr>
        <w:t>11更换后的旧网线必须全部运离，施工单位自行处置。</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lang w:val="en-US" w:eastAsia="zh-CN"/>
        </w:rPr>
        <w:t>12交换机选型参考或相当于华三H3C LS-S6800-54HT，并提供厂家相关证明材料，</w:t>
      </w:r>
    </w:p>
    <w:p>
      <w:pPr>
        <w:keepNext w:val="0"/>
        <w:keepLines w:val="0"/>
        <w:pageBreakBefore w:val="0"/>
        <w:widowControl w:val="0"/>
        <w:kinsoku/>
        <w:wordWrap/>
        <w:overflowPunct/>
        <w:bidi w:val="0"/>
        <w:spacing w:line="500" w:lineRule="exact"/>
        <w:ind w:firstLine="48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r>
        <w:rPr>
          <w:rFonts w:hint="eastAsia" w:ascii="宋体" w:hAnsi="宋体" w:cs="宋体"/>
          <w:color w:val="000000"/>
          <w:sz w:val="24"/>
          <w:szCs w:val="24"/>
          <w:highlight w:val="none"/>
          <w:lang w:val="en-US" w:eastAsia="zh-CN"/>
        </w:rPr>
        <w:t>13</w:t>
      </w:r>
      <w:r>
        <w:rPr>
          <w:rFonts w:hint="eastAsia" w:ascii="宋体" w:hAnsi="宋体" w:eastAsia="宋体" w:cs="宋体"/>
          <w:color w:val="000000"/>
          <w:sz w:val="24"/>
          <w:szCs w:val="24"/>
          <w:highlight w:val="none"/>
          <w:lang w:val="en-US" w:eastAsia="zh-CN"/>
        </w:rPr>
        <w:t>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广州市净水有限公司</w:t>
      </w:r>
      <w:r>
        <w:rPr>
          <w:rFonts w:hint="eastAsia" w:ascii="宋体" w:hAnsi="宋体" w:cs="宋体"/>
          <w:bCs/>
          <w:color w:val="000000"/>
          <w:sz w:val="24"/>
          <w:szCs w:val="24"/>
          <w:highlight w:val="none"/>
          <w:u w:val="single"/>
          <w:lang w:val="en-US" w:eastAsia="zh-CN"/>
        </w:rPr>
        <w:t>大坦沙分公司</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28"/>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2"/>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hAnsi="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hAnsi="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15.9在合同有效期内，乙方自愿接受甲方按《广州市净水有限公司经营建设项目参建企业不诚信行为管理办法》、《营运项目承包单位日常履约考评参照表（安全）》处理，具体处理标准详见附件7。</w:t>
      </w:r>
      <w:r>
        <w:rPr>
          <w:rFonts w:hint="eastAsia" w:ascii="宋体" w:hAnsi="宋体" w:eastAsia="宋体" w:cs="宋体"/>
          <w:color w:val="000000"/>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7"/>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7"/>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叁</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附件：1.中标通知书/发包通知书/</w:t>
      </w:r>
      <w:r>
        <w:rPr>
          <w:rFonts w:hint="eastAsia" w:ascii="宋体" w:hAnsi="宋体" w:eastAsia="宋体" w:cs="宋体"/>
          <w:color w:val="000000"/>
          <w:sz w:val="24"/>
          <w:szCs w:val="24"/>
          <w:highlight w:val="none"/>
          <w:lang w:val="en-US" w:eastAsia="zh-CN"/>
        </w:rPr>
        <w:t>成交通知书/</w:t>
      </w:r>
      <w:r>
        <w:rPr>
          <w:rFonts w:hint="eastAsia" w:ascii="宋体" w:hAnsi="宋体" w:eastAsia="宋体" w:cs="宋体"/>
          <w:color w:val="000000"/>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不诚信行为的情形及相应被暂停参与投标活动的处理标准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
        <w:rPr>
          <w:rFonts w:hint="eastAsia"/>
        </w:rPr>
      </w:pPr>
    </w:p>
    <w:p>
      <w:pPr>
        <w:spacing w:before="156" w:beforeLines="50" w:line="580" w:lineRule="exact"/>
        <w:outlineLvl w:val="1"/>
      </w:pPr>
      <w:r>
        <w:rPr>
          <w:rFonts w:hint="eastAsia" w:ascii="宋体" w:hAnsi="宋体"/>
          <w:b/>
          <w:color w:val="000000"/>
          <w:sz w:val="24"/>
          <w:highlight w:val="none"/>
        </w:rPr>
        <w:t>附件2：</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壹年</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bookmarkStart w:id="86" w:name="_Toc21391"/>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5"/>
          <w:rFonts w:hint="eastAsia" w:ascii="宋体" w:hAnsi="宋体" w:eastAsia="宋体" w:cs="宋体"/>
          <w:b w:val="0"/>
          <w:color w:val="000000"/>
          <w:sz w:val="24"/>
          <w:szCs w:val="24"/>
          <w:highlight w:val="none"/>
          <w:u w:val="single"/>
        </w:rPr>
      </w:pPr>
    </w:p>
    <w:bookmarkEnd w:id="86"/>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7"/>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附件</w:t>
      </w:r>
      <w:r>
        <w:rPr>
          <w:rFonts w:hint="eastAsia" w:ascii="宋体" w:hAnsi="宋体" w:eastAsia="宋体" w:cs="宋体"/>
          <w:b/>
          <w:bCs/>
          <w:color w:val="000000"/>
          <w:sz w:val="24"/>
          <w:szCs w:val="24"/>
          <w:highlight w:val="none"/>
        </w:rPr>
        <w:t>6.投入工程人员架构表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000000"/>
          <w:sz w:val="24"/>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b/>
          <w:bCs/>
          <w:color w:val="000000"/>
          <w:szCs w:val="21"/>
          <w:highlight w:val="none"/>
        </w:rPr>
      </w:pPr>
    </w:p>
    <w:p>
      <w:pPr>
        <w:pStyle w:val="28"/>
        <w:rPr>
          <w:rFonts w:hint="eastAsia" w:ascii="宋体" w:hAnsi="宋体" w:cs="宋体"/>
          <w:color w:val="000000"/>
          <w:szCs w:val="21"/>
          <w:highlight w:val="none"/>
        </w:rPr>
      </w:pPr>
      <w:r>
        <w:rPr>
          <w:rFonts w:hint="eastAsia" w:ascii="宋体" w:hAnsi="宋体" w:cs="宋体"/>
          <w:b/>
          <w:bCs/>
          <w:color w:val="000000"/>
          <w:szCs w:val="21"/>
          <w:highlight w:val="none"/>
        </w:rPr>
        <w:t>附件</w:t>
      </w:r>
      <w:r>
        <w:rPr>
          <w:rFonts w:hint="eastAsia" w:ascii="宋体" w:hAnsi="宋体" w:cs="宋体"/>
          <w:b/>
          <w:bCs/>
          <w:color w:val="000000"/>
          <w:szCs w:val="21"/>
          <w:highlight w:val="none"/>
          <w:lang w:val="en-US" w:eastAsia="zh-CN"/>
        </w:rPr>
        <w:t>7</w:t>
      </w:r>
      <w:r>
        <w:rPr>
          <w:rFonts w:hint="eastAsia" w:ascii="宋体" w:hAnsi="宋体" w:cs="宋体"/>
          <w:b/>
          <w:bCs/>
          <w:color w:val="000000"/>
          <w:szCs w:val="21"/>
          <w:highlight w:val="none"/>
        </w:rPr>
        <w:t>：</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（一）建设生产现场发生人员</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死亡1～2人的，暂停投标1年至2年（含）。</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死亡3～9人的，暂停投标2年以上至4年。</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val="en-US" w:eastAsia="zh-CN"/>
              </w:rPr>
              <w:t>重伤10人以上（含）、或</w:t>
            </w:r>
            <w:r>
              <w:rPr>
                <w:rFonts w:hint="eastAsia" w:ascii="宋体" w:hAnsi="宋体" w:eastAsia="宋体" w:cs="宋体"/>
                <w:color w:val="auto"/>
                <w:sz w:val="21"/>
                <w:szCs w:val="21"/>
                <w:highlight w:val="none"/>
              </w:rPr>
              <w:t>重大及以上事故的，暂停投标4年或以上</w:t>
            </w:r>
            <w:r>
              <w:rPr>
                <w:rFonts w:hint="eastAsia" w:ascii="宋体" w:hAnsi="宋体" w:eastAsia="宋体" w:cs="宋体"/>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1"/>
                <w:szCs w:val="21"/>
                <w:highlight w:val="none"/>
                <w:lang w:eastAsia="zh-CN"/>
              </w:rPr>
              <w:t>大面积运营晚点，</w:t>
            </w:r>
            <w:r>
              <w:rPr>
                <w:rFonts w:hint="eastAsia" w:ascii="宋体" w:hAnsi="宋体" w:eastAsia="宋体" w:cs="宋体"/>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。若至下一个自然年度项目尚未完结，仍出现该款情形的，继续暂停投标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其他不诚信</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val="en-US" w:eastAsia="zh-CN"/>
              </w:rPr>
              <w:t>经发包人认定的其他不诚信行为</w:t>
            </w:r>
            <w:r>
              <w:rPr>
                <w:rFonts w:hint="eastAsia" w:ascii="宋体" w:hAnsi="宋体" w:eastAsia="宋体" w:cs="宋体"/>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color w:val="auto"/>
          <w:sz w:val="21"/>
          <w:szCs w:val="21"/>
          <w:highlight w:val="none"/>
          <w:lang w:val="en-US" w:eastAsia="zh-CN"/>
        </w:rPr>
        <w:t>备注：本处罚标准出自</w:t>
      </w:r>
      <w:r>
        <w:rPr>
          <w:rFonts w:hint="eastAsia" w:ascii="宋体" w:hAnsi="宋体" w:eastAsia="宋体" w:cs="宋体"/>
          <w:color w:val="000000"/>
          <w:sz w:val="21"/>
          <w:szCs w:val="21"/>
          <w:highlight w:val="none"/>
        </w:rPr>
        <w:t>《广州市净水有限公司经营建设项目参建企业不诚信行为管理办法》</w:t>
      </w:r>
      <w:r>
        <w:rPr>
          <w:rFonts w:hint="eastAsia" w:ascii="宋体" w:hAnsi="宋体" w:eastAsia="宋体" w:cs="宋体"/>
          <w:color w:val="000000"/>
          <w:sz w:val="21"/>
          <w:szCs w:val="21"/>
          <w:highlight w:val="none"/>
          <w:lang w:eastAsia="zh-CN"/>
        </w:rPr>
        <w:t>。</w:t>
      </w:r>
    </w:p>
    <w:tbl>
      <w:tblPr>
        <w:tblStyle w:val="22"/>
        <w:tblpPr w:leftFromText="180" w:rightFromText="180" w:vertAnchor="text" w:horzAnchor="page" w:tblpX="690" w:tblpY="344"/>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2"/>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widowControl/>
        <w:jc w:val="left"/>
        <w:rPr>
          <w:rFonts w:hint="eastAsia" w:ascii="宋体" w:hAnsi="宋体" w:cs="宋体"/>
          <w:color w:val="000000"/>
          <w:szCs w:val="21"/>
          <w:highlight w:val="none"/>
          <w:lang w:eastAsia="zh-CN"/>
        </w:rPr>
      </w:pPr>
    </w:p>
    <w:p>
      <w:pPr>
        <w:widowControl/>
        <w:jc w:val="left"/>
        <w:rPr>
          <w:rFonts w:hint="eastAsia" w:ascii="宋体" w:hAnsi="宋体" w:cs="宋体"/>
          <w:color w:val="000000"/>
          <w:szCs w:val="21"/>
          <w:highlight w:val="none"/>
          <w:lang w:eastAsia="zh-CN"/>
        </w:rPr>
      </w:pPr>
    </w:p>
    <w:p>
      <w:pPr>
        <w:rPr>
          <w:rFonts w:hint="eastAsia" w:ascii="宋体" w:hAnsi="宋体" w:cs="宋体"/>
          <w:b/>
          <w:bCs/>
          <w:color w:val="000000"/>
          <w:sz w:val="24"/>
          <w:szCs w:val="24"/>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kinsoku/>
        <w:wordWrap/>
        <w:overflowPunct/>
        <w:bidi w:val="0"/>
        <w:spacing w:line="240" w:lineRule="auto"/>
        <w:ind w:firstLine="0" w:firstLineChars="0"/>
        <w:jc w:val="left"/>
        <w:rPr>
          <w:rFonts w:hint="eastAsia" w:ascii="宋体" w:hAnsi="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br w:type="page"/>
      </w: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eastAsia="zh-CN"/>
        </w:rPr>
      </w:pPr>
      <w:r>
        <w:rPr>
          <w:rFonts w:hint="eastAsia" w:ascii="宋体" w:hAnsi="宋体" w:cs="宋体"/>
          <w:b/>
          <w:bCs/>
          <w:color w:val="000000"/>
          <w:sz w:val="21"/>
          <w:szCs w:val="21"/>
          <w:highlight w:val="none"/>
          <w:lang w:val="en-US" w:eastAsia="zh-CN"/>
        </w:rPr>
        <w:t>附件</w:t>
      </w:r>
      <w:r>
        <w:rPr>
          <w:rFonts w:hint="eastAsia" w:ascii="宋体" w:hAnsi="宋体" w:eastAsia="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.工程量报价单/工程量清单</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须与第七章报价清单保持一致</w:t>
      </w:r>
      <w:r>
        <w:rPr>
          <w:rFonts w:hint="eastAsia" w:ascii="宋体" w:hAnsi="宋体" w:eastAsia="宋体" w:cs="宋体"/>
          <w:b/>
          <w:bCs/>
          <w:color w:val="000000"/>
          <w:sz w:val="21"/>
          <w:szCs w:val="21"/>
          <w:highlight w:val="none"/>
          <w:lang w:eastAsia="zh-CN"/>
        </w:rPr>
        <w:t>）</w:t>
      </w:r>
    </w:p>
    <w:tbl>
      <w:tblPr>
        <w:tblStyle w:val="22"/>
        <w:tblpPr w:leftFromText="180" w:rightFromText="180" w:vertAnchor="text" w:horzAnchor="page" w:tblpX="120" w:tblpY="340"/>
        <w:tblOverlap w:val="never"/>
        <w:tblW w:w="106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87"/>
        <w:gridCol w:w="1819"/>
        <w:gridCol w:w="1429"/>
        <w:gridCol w:w="2190"/>
        <w:gridCol w:w="952"/>
        <w:gridCol w:w="758"/>
        <w:gridCol w:w="885"/>
        <w:gridCol w:w="960"/>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81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95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1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030502001001</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交换机专用机柜</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1.名称:成套交换机柜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2.规格:800*800*800mm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3.底座:按设计要求</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1.名称:万兆交换机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2.规格:48口</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030501012002</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1.名称:总交换机</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030502012001</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1.规格:220V 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2.认证级别:3C认证</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030404033001</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1.规格:100*100mm</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030502012002</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网线模块</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1.名称:更换网络模块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2.规格:超五类模块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3.含打标签</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1.名称:千兆网线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2.规格:超五类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3.含打标签</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030411002001</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1.名称:不锈钢线槽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2.规格:200*100mm</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030411002002</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1.名称:PVC线槽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2.规格:500*30mm</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1.测试类别:双绞线缆测试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2.测试内容:链路通断</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1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LSSGCSF00001</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绿色施工安全防护措施费</w:t>
            </w:r>
          </w:p>
        </w:tc>
        <w:tc>
          <w:tcPr>
            <w:tcW w:w="21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35.77</w:t>
            </w:r>
          </w:p>
        </w:tc>
        <w:tc>
          <w:tcPr>
            <w:tcW w:w="7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15676.16</w:t>
            </w:r>
          </w:p>
        </w:tc>
        <w:tc>
          <w:tcPr>
            <w:tcW w:w="8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bl>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color w:val="auto"/>
          <w:highlight w:val="none"/>
        </w:rPr>
      </w:pPr>
      <w:bookmarkStart w:id="87" w:name="_Toc16552"/>
      <w:bookmarkStart w:id="88" w:name="_Toc8147"/>
      <w:bookmarkStart w:id="89" w:name="_Toc1563"/>
      <w:bookmarkStart w:id="90" w:name="_Toc6230"/>
      <w:bookmarkStart w:id="91" w:name="_Toc23515"/>
      <w:bookmarkStart w:id="92" w:name="_Toc5129"/>
      <w:bookmarkStart w:id="93" w:name="_Toc21847"/>
      <w:bookmarkStart w:id="94" w:name="_Toc28358"/>
      <w:bookmarkStart w:id="95" w:name="_Toc12169"/>
      <w:bookmarkStart w:id="96" w:name="_Toc3723"/>
      <w:bookmarkStart w:id="97" w:name="_Toc30824"/>
    </w:p>
    <w:p>
      <w:pPr>
        <w:rPr>
          <w:rFonts w:hint="eastAsia"/>
          <w:color w:val="auto"/>
          <w:highlight w:val="none"/>
        </w:rPr>
      </w:pPr>
      <w:r>
        <w:rPr>
          <w:rFonts w:hint="eastAsia"/>
          <w:color w:val="auto"/>
          <w:highlight w:val="none"/>
        </w:rPr>
        <w:br w:type="page"/>
      </w: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4"/>
        <w:rPr>
          <w:color w:val="auto"/>
          <w:highlight w:val="none"/>
        </w:rPr>
      </w:pPr>
      <w:bookmarkStart w:id="98" w:name="_Toc31564"/>
      <w:bookmarkStart w:id="99" w:name="_Toc88209951"/>
      <w:bookmarkStart w:id="100" w:name="_Toc17119"/>
      <w:bookmarkStart w:id="101" w:name="_Toc12769"/>
      <w:bookmarkStart w:id="102" w:name="_Toc30157"/>
      <w:bookmarkStart w:id="103" w:name="_Toc22764"/>
      <w:bookmarkStart w:id="104" w:name="_Toc5342"/>
      <w:bookmarkStart w:id="105" w:name="_Toc21675"/>
      <w:bookmarkStart w:id="106" w:name="_Toc24815"/>
      <w:bookmarkStart w:id="107" w:name="_Toc10840"/>
      <w:bookmarkStart w:id="108" w:name="_Toc24490"/>
      <w:bookmarkStart w:id="109" w:name="_Toc12610"/>
      <w:bookmarkStart w:id="110" w:name="_Toc87616388"/>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87616394"/>
      <w:bookmarkStart w:id="118" w:name="_Toc28619645"/>
      <w:bookmarkStart w:id="119" w:name="_Toc12665"/>
      <w:bookmarkStart w:id="120" w:name="_Toc6313"/>
      <w:bookmarkStart w:id="121" w:name="_Toc88209957"/>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8209958"/>
      <w:bookmarkStart w:id="123" w:name="_Toc22527"/>
      <w:bookmarkStart w:id="124" w:name="_Toc87616395"/>
      <w:bookmarkStart w:id="125"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086"/>
      <w:bookmarkStart w:id="127" w:name="_Toc19830"/>
      <w:bookmarkStart w:id="128" w:name="_Toc87616400"/>
      <w:bookmarkStart w:id="129"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我方郑重承诺，在参与广州市净水有限公司大坦沙分公司办公楼网络改造项目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3"/>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31" w:name="_Toc32430"/>
      <w:bookmarkStart w:id="132" w:name="_Toc19423"/>
      <w:r>
        <w:rPr>
          <w:rFonts w:hint="eastAsia" w:ascii="仿宋_GB2312" w:eastAsia="仿宋_GB2312" w:hAnsiTheme="minorEastAsia"/>
          <w:color w:val="auto"/>
          <w:sz w:val="28"/>
          <w:szCs w:val="28"/>
          <w:highlight w:val="none"/>
          <w:lang w:val="en-US" w:eastAsia="zh-CN"/>
        </w:rPr>
        <w:br w:type="page"/>
      </w:r>
    </w:p>
    <w:p>
      <w:pPr>
        <w:pStyle w:val="6"/>
        <w:numPr>
          <w:ilvl w:val="0"/>
          <w:numId w:val="8"/>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31"/>
      <w:bookmarkEnd w:id="132"/>
    </w:p>
    <w:tbl>
      <w:tblPr>
        <w:tblStyle w:val="22"/>
        <w:tblpPr w:leftFromText="180" w:rightFromText="180" w:vertAnchor="text" w:horzAnchor="page" w:tblpX="1112" w:tblpY="620"/>
        <w:tblOverlap w:val="neve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0"/>
        <w:gridCol w:w="45"/>
        <w:gridCol w:w="1305"/>
        <w:gridCol w:w="255"/>
        <w:gridCol w:w="1275"/>
        <w:gridCol w:w="195"/>
        <w:gridCol w:w="1380"/>
        <w:gridCol w:w="780"/>
        <w:gridCol w:w="75"/>
        <w:gridCol w:w="255"/>
        <w:gridCol w:w="510"/>
        <w:gridCol w:w="345"/>
        <w:gridCol w:w="555"/>
        <w:gridCol w:w="150"/>
        <w:gridCol w:w="225"/>
        <w:gridCol w:w="165"/>
        <w:gridCol w:w="420"/>
        <w:gridCol w:w="675"/>
        <w:gridCol w:w="240"/>
        <w:gridCol w:w="45"/>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795" w:hRule="atLeast"/>
        </w:trPr>
        <w:tc>
          <w:tcPr>
            <w:tcW w:w="9540"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570" w:hRule="atLeast"/>
        </w:trPr>
        <w:tc>
          <w:tcPr>
            <w:tcW w:w="600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2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360" w:hRule="atLeast"/>
        </w:trPr>
        <w:tc>
          <w:tcPr>
            <w:tcW w:w="73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875"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交换机专用机柜</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1.名称:成套交换机柜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2.规格:800*800*800mm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3.底座:按设计要求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1.名称:万兆交换机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2.规格:48口</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1.名称:总交换机</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1.规格:220V 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2.认证级别:3C认证</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1.规格:100*100mm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网线模块</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1.名称:更换网络模块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2.规格:超五类模块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3.含打标签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1.名称:千兆网线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2.规格:超五类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3.含打标签</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1.名称:不锈钢线槽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2.规格:200*100mm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1.名称:PVC线槽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2.规格:500*30mm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1.测试类别:双绞线缆测试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2.测试内容:链路通断</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8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625" w:type="dxa"/>
            <w:gridSpan w:val="1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625" w:type="dxa"/>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6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795" w:hRule="atLeast"/>
        </w:trPr>
        <w:tc>
          <w:tcPr>
            <w:tcW w:w="9540"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825" w:hRule="atLeast"/>
        </w:trPr>
        <w:tc>
          <w:tcPr>
            <w:tcW w:w="6000"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204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5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9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24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14894.41</w:t>
            </w: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35" w:type="dxa"/>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35" w:type="dxa"/>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8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bl>
    <w:tbl>
      <w:tblPr>
        <w:tblStyle w:val="22"/>
        <w:tblW w:w="9555" w:type="dxa"/>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45"/>
        <w:gridCol w:w="90"/>
        <w:gridCol w:w="3900"/>
        <w:gridCol w:w="870"/>
        <w:gridCol w:w="75"/>
        <w:gridCol w:w="945"/>
        <w:gridCol w:w="870"/>
        <w:gridCol w:w="630"/>
        <w:gridCol w:w="195"/>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5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8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63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63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6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3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55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8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43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numPr>
          <w:ilvl w:val="-1"/>
          <w:numId w:val="0"/>
        </w:numPr>
      </w:pPr>
    </w:p>
    <w:tbl>
      <w:tblPr>
        <w:tblStyle w:val="22"/>
        <w:tblW w:w="9555" w:type="dxa"/>
        <w:tblInd w:w="-4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10"/>
        <w:gridCol w:w="2415"/>
        <w:gridCol w:w="2670"/>
        <w:gridCol w:w="195"/>
        <w:gridCol w:w="1605"/>
        <w:gridCol w:w="15"/>
        <w:gridCol w:w="1005"/>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55"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工程名称：大坦沙分公司办公楼网络改造（2022年更新改造项目）</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1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24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3" w:name="_Toc87616402"/>
      <w:bookmarkStart w:id="134" w:name="_Toc88209965"/>
      <w:bookmarkStart w:id="135" w:name="_Toc6058"/>
      <w:bookmarkStart w:id="136"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D50E3"/>
    <w:multiLevelType w:val="singleLevel"/>
    <w:tmpl w:val="802D50E3"/>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91C3F6"/>
    <w:multiLevelType w:val="singleLevel"/>
    <w:tmpl w:val="1491C3F6"/>
    <w:lvl w:ilvl="0" w:tentative="0">
      <w:start w:val="2"/>
      <w:numFmt w:val="decimal"/>
      <w:suff w:val="nothing"/>
      <w:lvlText w:val="（%1）"/>
      <w:lvlJc w:val="left"/>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A90D308"/>
    <w:multiLevelType w:val="singleLevel"/>
    <w:tmpl w:val="5A90D308"/>
    <w:lvl w:ilvl="0" w:tentative="0">
      <w:start w:val="1"/>
      <w:numFmt w:val="decimal"/>
      <w:suff w:val="nothing"/>
      <w:lvlText w:val="（%1）"/>
      <w:lvlJc w:val="left"/>
    </w:lvl>
  </w:abstractNum>
  <w:abstractNum w:abstractNumId="6">
    <w:nsid w:val="5EF2DBFF"/>
    <w:multiLevelType w:val="singleLevel"/>
    <w:tmpl w:val="5EF2DBFF"/>
    <w:lvl w:ilvl="0" w:tentative="0">
      <w:start w:val="5"/>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7"/>
  </w:num>
  <w:num w:numId="3">
    <w:abstractNumId w:val="4"/>
  </w:num>
  <w:num w:numId="4">
    <w:abstractNumId w:val="2"/>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855987"/>
    <w:rsid w:val="00911ECD"/>
    <w:rsid w:val="00A042E0"/>
    <w:rsid w:val="00B26BB1"/>
    <w:rsid w:val="00B26E21"/>
    <w:rsid w:val="00F83B64"/>
    <w:rsid w:val="013E3461"/>
    <w:rsid w:val="02090C75"/>
    <w:rsid w:val="0253516A"/>
    <w:rsid w:val="02A23A3C"/>
    <w:rsid w:val="035D130A"/>
    <w:rsid w:val="039110A9"/>
    <w:rsid w:val="03AC246A"/>
    <w:rsid w:val="03B23056"/>
    <w:rsid w:val="03DC3EBA"/>
    <w:rsid w:val="03F9794D"/>
    <w:rsid w:val="046A2461"/>
    <w:rsid w:val="051C2970"/>
    <w:rsid w:val="060C3611"/>
    <w:rsid w:val="06C64829"/>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40FB"/>
    <w:rsid w:val="13467417"/>
    <w:rsid w:val="136E76CF"/>
    <w:rsid w:val="145F08C6"/>
    <w:rsid w:val="15776308"/>
    <w:rsid w:val="15BC6B3C"/>
    <w:rsid w:val="164D40B0"/>
    <w:rsid w:val="1694429A"/>
    <w:rsid w:val="17635326"/>
    <w:rsid w:val="18236EFD"/>
    <w:rsid w:val="18430166"/>
    <w:rsid w:val="189D5B1F"/>
    <w:rsid w:val="18A34CD0"/>
    <w:rsid w:val="19A53EA8"/>
    <w:rsid w:val="19B64DBC"/>
    <w:rsid w:val="1A373ACF"/>
    <w:rsid w:val="1A895341"/>
    <w:rsid w:val="1B0D071F"/>
    <w:rsid w:val="1B4568CE"/>
    <w:rsid w:val="1B9015B7"/>
    <w:rsid w:val="1BF54245"/>
    <w:rsid w:val="1C673A86"/>
    <w:rsid w:val="1D0E6976"/>
    <w:rsid w:val="1D5A79EE"/>
    <w:rsid w:val="1E0E2CD0"/>
    <w:rsid w:val="1E831280"/>
    <w:rsid w:val="1EBC4704"/>
    <w:rsid w:val="1F172EB5"/>
    <w:rsid w:val="1F6856FC"/>
    <w:rsid w:val="1F94592D"/>
    <w:rsid w:val="1FB860DE"/>
    <w:rsid w:val="203C5A02"/>
    <w:rsid w:val="209D4C94"/>
    <w:rsid w:val="20E84705"/>
    <w:rsid w:val="218400BA"/>
    <w:rsid w:val="21AB1E2F"/>
    <w:rsid w:val="21D40498"/>
    <w:rsid w:val="22767047"/>
    <w:rsid w:val="23A05588"/>
    <w:rsid w:val="23DE3F1D"/>
    <w:rsid w:val="240476A1"/>
    <w:rsid w:val="25431AEB"/>
    <w:rsid w:val="25BF43FD"/>
    <w:rsid w:val="25F86BCD"/>
    <w:rsid w:val="2605748B"/>
    <w:rsid w:val="269E416A"/>
    <w:rsid w:val="272100D3"/>
    <w:rsid w:val="272C72FC"/>
    <w:rsid w:val="275131CB"/>
    <w:rsid w:val="27EB149D"/>
    <w:rsid w:val="27FD3E52"/>
    <w:rsid w:val="28E11370"/>
    <w:rsid w:val="294A756A"/>
    <w:rsid w:val="29781BF8"/>
    <w:rsid w:val="29C33ED0"/>
    <w:rsid w:val="29D5322D"/>
    <w:rsid w:val="2A025DD9"/>
    <w:rsid w:val="2A2619CB"/>
    <w:rsid w:val="2A7C2231"/>
    <w:rsid w:val="2ABB753D"/>
    <w:rsid w:val="2B7A49FA"/>
    <w:rsid w:val="2C615D26"/>
    <w:rsid w:val="2CB679ED"/>
    <w:rsid w:val="2D173C07"/>
    <w:rsid w:val="2D424A86"/>
    <w:rsid w:val="2DA845B3"/>
    <w:rsid w:val="2E7B52DB"/>
    <w:rsid w:val="2F324CFE"/>
    <w:rsid w:val="2FBA09F1"/>
    <w:rsid w:val="2FEF2ACF"/>
    <w:rsid w:val="30540211"/>
    <w:rsid w:val="31112A0D"/>
    <w:rsid w:val="311F4B20"/>
    <w:rsid w:val="312D7741"/>
    <w:rsid w:val="316F137F"/>
    <w:rsid w:val="31DF525F"/>
    <w:rsid w:val="31EC162B"/>
    <w:rsid w:val="32324C2E"/>
    <w:rsid w:val="327171DF"/>
    <w:rsid w:val="341E3434"/>
    <w:rsid w:val="34BB4442"/>
    <w:rsid w:val="360B7EBA"/>
    <w:rsid w:val="36116865"/>
    <w:rsid w:val="369C32FD"/>
    <w:rsid w:val="37666E72"/>
    <w:rsid w:val="38081EA3"/>
    <w:rsid w:val="38167A04"/>
    <w:rsid w:val="394B167A"/>
    <w:rsid w:val="39DA2868"/>
    <w:rsid w:val="3A4E4336"/>
    <w:rsid w:val="3A6007FE"/>
    <w:rsid w:val="3AF93D6C"/>
    <w:rsid w:val="3B7C2CE4"/>
    <w:rsid w:val="3BAF716B"/>
    <w:rsid w:val="3C0B5355"/>
    <w:rsid w:val="3CD4176B"/>
    <w:rsid w:val="3D1F44D9"/>
    <w:rsid w:val="3D5C38CD"/>
    <w:rsid w:val="3E5070F1"/>
    <w:rsid w:val="3F6C3589"/>
    <w:rsid w:val="3F850180"/>
    <w:rsid w:val="3F9004D6"/>
    <w:rsid w:val="3FD371E4"/>
    <w:rsid w:val="400E4D5E"/>
    <w:rsid w:val="40E1138C"/>
    <w:rsid w:val="413814BA"/>
    <w:rsid w:val="41872511"/>
    <w:rsid w:val="424236D9"/>
    <w:rsid w:val="42466655"/>
    <w:rsid w:val="42C82F57"/>
    <w:rsid w:val="435707E5"/>
    <w:rsid w:val="43C76AF7"/>
    <w:rsid w:val="443661F9"/>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C9C17E3"/>
    <w:rsid w:val="4D916BA6"/>
    <w:rsid w:val="4DC44169"/>
    <w:rsid w:val="4DE24E21"/>
    <w:rsid w:val="4E1B19A3"/>
    <w:rsid w:val="4EF0709E"/>
    <w:rsid w:val="4F0469A4"/>
    <w:rsid w:val="513C6A7B"/>
    <w:rsid w:val="529B324A"/>
    <w:rsid w:val="532D486F"/>
    <w:rsid w:val="5333545B"/>
    <w:rsid w:val="538D0E89"/>
    <w:rsid w:val="5450213C"/>
    <w:rsid w:val="54D24048"/>
    <w:rsid w:val="54D64CD5"/>
    <w:rsid w:val="55887D69"/>
    <w:rsid w:val="561A0928"/>
    <w:rsid w:val="56423872"/>
    <w:rsid w:val="56B279F0"/>
    <w:rsid w:val="579D710E"/>
    <w:rsid w:val="581F22F6"/>
    <w:rsid w:val="586E1E17"/>
    <w:rsid w:val="58862C35"/>
    <w:rsid w:val="58C14957"/>
    <w:rsid w:val="58CC23D2"/>
    <w:rsid w:val="5A49692D"/>
    <w:rsid w:val="5AE83A50"/>
    <w:rsid w:val="5B353193"/>
    <w:rsid w:val="5BAB2917"/>
    <w:rsid w:val="5BFC33FA"/>
    <w:rsid w:val="5C3107A4"/>
    <w:rsid w:val="5C3B1B93"/>
    <w:rsid w:val="5C9220DF"/>
    <w:rsid w:val="5D4A15F3"/>
    <w:rsid w:val="5D69542A"/>
    <w:rsid w:val="5D783B72"/>
    <w:rsid w:val="5E0930EF"/>
    <w:rsid w:val="5E3D4D53"/>
    <w:rsid w:val="5E4717E6"/>
    <w:rsid w:val="5E55774C"/>
    <w:rsid w:val="60045F96"/>
    <w:rsid w:val="60104DDC"/>
    <w:rsid w:val="605C0804"/>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6022B28"/>
    <w:rsid w:val="66120F31"/>
    <w:rsid w:val="664A38E2"/>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DE7560A"/>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qFormat/>
    <w:uiPriority w:val="0"/>
    <w:rPr>
      <w:rFonts w:ascii="Times New Roman" w:hAnsi="Times New Roman" w:eastAsia="宋体" w:cs="Times New Roman"/>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0</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dcterms:modified xsi:type="dcterms:W3CDTF">2022-07-21T07:53:19Z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