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广州市净水有限公司2022年京溪分公司活性炭更换及其处理项目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6</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2"/>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2"/>
        <w:numPr>
          <w:ilvl w:val="0"/>
          <w:numId w:val="1"/>
        </w:numPr>
        <w:tabs>
          <w:tab w:val="right" w:pos="8844"/>
        </w:tabs>
        <w:rPr>
          <w:color w:val="auto"/>
          <w:highlight w:val="none"/>
        </w:rPr>
      </w:pPr>
      <w:r>
        <w:rPr>
          <w:rFonts w:hint="eastAsia"/>
          <w:color w:val="auto"/>
          <w:highlight w:val="none"/>
          <w:lang w:val="en-US" w:eastAsia="zh-CN"/>
        </w:rPr>
        <w:t>供应商须知</w:t>
      </w:r>
    </w:p>
    <w:p>
      <w:pPr>
        <w:pStyle w:val="22"/>
        <w:numPr>
          <w:ilvl w:val="0"/>
          <w:numId w:val="1"/>
        </w:numPr>
        <w:tabs>
          <w:tab w:val="right" w:pos="8844"/>
        </w:tabs>
        <w:rPr>
          <w:color w:val="auto"/>
          <w:highlight w:val="none"/>
        </w:rPr>
      </w:pPr>
      <w:r>
        <w:rPr>
          <w:rFonts w:hint="eastAsia"/>
          <w:color w:val="auto"/>
          <w:highlight w:val="none"/>
          <w:lang w:val="en-US" w:eastAsia="zh-CN"/>
        </w:rPr>
        <w:t>采购方法</w:t>
      </w:r>
    </w:p>
    <w:p>
      <w:pPr>
        <w:pStyle w:val="22"/>
        <w:numPr>
          <w:ilvl w:val="0"/>
          <w:numId w:val="1"/>
        </w:numPr>
        <w:tabs>
          <w:tab w:val="right" w:pos="8844"/>
        </w:tabs>
        <w:rPr>
          <w:color w:val="auto"/>
          <w:highlight w:val="none"/>
        </w:rPr>
      </w:pPr>
      <w:r>
        <w:rPr>
          <w:rFonts w:hint="eastAsia"/>
          <w:color w:val="auto"/>
          <w:highlight w:val="none"/>
          <w:lang w:val="en-US" w:eastAsia="zh-CN"/>
        </w:rPr>
        <w:t>评审方法</w:t>
      </w:r>
    </w:p>
    <w:p>
      <w:pPr>
        <w:pStyle w:val="22"/>
        <w:numPr>
          <w:ilvl w:val="0"/>
          <w:numId w:val="1"/>
        </w:numPr>
        <w:tabs>
          <w:tab w:val="right" w:pos="8844"/>
        </w:tabs>
        <w:rPr>
          <w:color w:val="auto"/>
          <w:highlight w:val="none"/>
        </w:rPr>
      </w:pPr>
      <w:r>
        <w:rPr>
          <w:rFonts w:hint="eastAsia"/>
          <w:color w:val="auto"/>
          <w:highlight w:val="none"/>
          <w:lang w:val="en-US" w:eastAsia="zh-CN"/>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669"/>
      <w:bookmarkStart w:id="6" w:name="_Toc7519"/>
      <w:bookmarkStart w:id="7" w:name="_Toc4275"/>
      <w:bookmarkStart w:id="8" w:name="_Toc17801"/>
      <w:bookmarkStart w:id="9" w:name="_Toc1960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P5Sk+2gEAAJYDAAAOAAAAZHJzL2Uyb0RvYy54bWytU0uO&#10;EzEQ3SPNHSzvJ50EBU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Nnma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T+UpP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wYF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2022年京溪分公司活性炭更换及其处理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2022年京溪分公司活性炭更换及其处理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XJ-20220714-1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224900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1、清理原有活性炭（每季度一次，每年共四次，每次约合6.5吨）2、安装全新的活性炭（每季度一次，每年共四次，每次约合6.5吨） 3、</w:t>
      </w:r>
      <w:r>
        <w:rPr>
          <w:rFonts w:hint="eastAsia" w:ascii="仿宋_GB2312" w:eastAsia="仿宋_GB2312"/>
          <w:color w:val="auto"/>
          <w:sz w:val="28"/>
          <w:szCs w:val="28"/>
          <w:highlight w:val="none"/>
          <w:u w:val="single"/>
          <w:lang w:val="en-US" w:eastAsia="zh-CN"/>
        </w:rPr>
        <w:t>对更换下来的活性炭进行危废品处理并提供</w:t>
      </w:r>
      <w:r>
        <w:rPr>
          <w:rFonts w:hint="eastAsia" w:ascii="仿宋_GB2312" w:eastAsia="仿宋_GB2312"/>
          <w:color w:val="auto"/>
          <w:sz w:val="28"/>
          <w:szCs w:val="28"/>
          <w:highlight w:val="none"/>
          <w:u w:val="single"/>
          <w:lang w:val="en-US" w:eastAsia="zh-CN"/>
        </w:rPr>
        <w:t>由广东省固体废物环境监督信息平台生成的危险废物转移联单（约26吨）。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广州市白云区犀牛二马路1号广州市净水有限公司京溪分公司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p>
    <w:p>
      <w:pPr>
        <w:adjustRightInd w:val="0"/>
        <w:snapToGrid w:val="0"/>
        <w:spacing w:line="600" w:lineRule="exact"/>
        <w:ind w:right="-369" w:rightChars="-176" w:firstLine="280" w:firstLine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直径Φ4.0mm，柱状碳， 碘值300-400mg/g，灰份＜15%， 水分＜15%，密度750kg/m³，1活性炭能够满足甲方工艺使用要求；2.要求与京溪分公司现有的通风风机可匹配使用；3.符合国家行业标准</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报价单位具备有效的广东省环保厅核发的《危险废物经营许可证》（</w:t>
      </w:r>
      <w:r>
        <w:rPr>
          <w:rFonts w:hint="eastAsia" w:ascii="仿宋" w:hAnsi="仿宋" w:eastAsia="仿宋" w:cs="仿宋"/>
          <w:color w:val="000000"/>
          <w:sz w:val="28"/>
          <w:szCs w:val="28"/>
          <w:u w:val="single"/>
        </w:rPr>
        <w:t>废物代码为900-</w:t>
      </w:r>
      <w:r>
        <w:rPr>
          <w:rFonts w:hint="eastAsia" w:ascii="仿宋" w:hAnsi="仿宋" w:eastAsia="仿宋" w:cs="仿宋"/>
          <w:color w:val="000000"/>
          <w:sz w:val="28"/>
          <w:szCs w:val="28"/>
          <w:u w:val="single"/>
          <w:lang w:val="en-US" w:eastAsia="zh-CN"/>
        </w:rPr>
        <w:t>039</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49</w:t>
      </w:r>
      <w:r>
        <w:rPr>
          <w:rFonts w:hint="eastAsia" w:ascii="仿宋" w:hAnsi="仿宋" w:eastAsia="仿宋" w:cs="仿宋"/>
          <w:color w:val="000000"/>
          <w:sz w:val="28"/>
          <w:szCs w:val="28"/>
          <w:u w:val="single"/>
        </w:rPr>
        <w:t>废物处置资质</w:t>
      </w:r>
      <w:r>
        <w:rPr>
          <w:rFonts w:hint="eastAsia" w:ascii="仿宋" w:hAnsi="仿宋" w:eastAsia="仿宋" w:cs="仿宋"/>
          <w:color w:val="auto"/>
          <w:sz w:val="28"/>
          <w:szCs w:val="28"/>
          <w:highlight w:val="none"/>
          <w:u w:val="single"/>
          <w:lang w:val="en-US" w:eastAsia="zh-CN"/>
        </w:rPr>
        <w:t>和《中华人民共和国道路运输经营许可证》（道路运输经营范围需包含危险废物）</w:t>
      </w:r>
      <w:r>
        <w:rPr>
          <w:rFonts w:hint="eastAsia" w:ascii="仿宋" w:hAnsi="仿宋" w:eastAsia="仿宋" w:cs="仿宋"/>
          <w:color w:val="000000"/>
          <w:sz w:val="28"/>
          <w:szCs w:val="28"/>
          <w:u w:val="single"/>
        </w:rPr>
        <w:t>（提供资格证复印件，加盖单位公章）</w:t>
      </w:r>
      <w:r>
        <w:rPr>
          <w:rFonts w:hint="eastAsia" w:ascii="仿宋_GB2312" w:eastAsia="仿宋_GB2312"/>
          <w:color w:val="auto"/>
          <w:sz w:val="28"/>
          <w:szCs w:val="28"/>
          <w:highlight w:val="none"/>
          <w:lang w:val="en-US" w:eastAsia="zh-CN"/>
        </w:rPr>
        <w:t xml:space="preserve">资质。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活性炭供货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ind w:left="0" w:leftChars="0" w:firstLine="0" w:firstLineChars="0"/>
        <w:rPr>
          <w:rFonts w:hint="default" w:eastAsia="仿宋_GB2312"/>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项目专职安全员应当具备：</w:t>
      </w:r>
      <w:r>
        <w:rPr>
          <w:rFonts w:hint="eastAsia" w:ascii="仿宋_GB2312" w:hAnsi="仿宋_GB2312" w:eastAsia="仿宋_GB2312" w:cs="仿宋_GB2312"/>
          <w:sz w:val="28"/>
          <w:szCs w:val="28"/>
          <w:u w:val="singl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bookmarkStart w:id="172" w:name="_GoBack"/>
            <w:bookmarkEnd w:id="172"/>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32588"/>
      <w:bookmarkStart w:id="16" w:name="_Toc2331"/>
      <w:bookmarkStart w:id="17" w:name="_Toc16705"/>
      <w:bookmarkStart w:id="18" w:name="_Toc25603"/>
      <w:bookmarkStart w:id="19" w:name="_Toc2324"/>
      <w:bookmarkStart w:id="20" w:name="_Toc23749"/>
      <w:bookmarkStart w:id="21" w:name="_Toc9448"/>
      <w:bookmarkStart w:id="22" w:name="_Toc7340"/>
      <w:bookmarkStart w:id="23" w:name="_Toc16557"/>
    </w:p>
    <w:p>
      <w:pPr>
        <w:rPr>
          <w:rFonts w:hint="eastAsia"/>
          <w:color w:val="auto"/>
          <w:highlight w:val="none"/>
        </w:rPr>
      </w:pPr>
    </w:p>
    <w:p>
      <w:pPr>
        <w:pStyle w:val="2"/>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NgLEdcAAAALAQAADwAAAAAAAAAB&#10;ACAAAAAiAAAAZHJzL2Rvd25yZXYueG1sUEsBAhQAFAAAAAgAh07iQKKrOIPYAQAAlg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0uRgPaAQAAlgMAAA4AAABkcnMvZTJvRG9jLnhtbK1TS44T&#10;MRDdI3EHy/tJJ9EE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dLkYD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PfVrVTYAQAAlAMAAA4AAABkcnMvZTJvRG9jLnhtbK1TS44T&#10;MRDdI80dLO8nnWQU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v+LMgaUruv/w5fv7j3efvt19/cxm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YRTt1gAAAAkBAAAPAAAAAAAAAAEA&#10;IAAAACIAAABkcnMvZG93bnJldi54bWxQSwECFAAUAAAACACHTuJA99WtVN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IJzVVXYAQAAlAMAAA4AAABkcnMvZTJvRG9jLnhtbK1TS44T&#10;MRDdI80dLO8nnWQU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n3LmwNIV3X/48v39x7tP3+6+fmZX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gnNVVd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rFonts w:hint="eastAsia"/>
          <w:color w:val="auto"/>
          <w:highlight w:val="none"/>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3156"/>
      <w:bookmarkStart w:id="36" w:name="_Toc7118"/>
      <w:bookmarkStart w:id="37" w:name="_Toc23581"/>
      <w:bookmarkStart w:id="38" w:name="_Toc19050"/>
      <w:bookmarkStart w:id="39" w:name="_Toc7437"/>
      <w:bookmarkStart w:id="40" w:name="_Toc14870"/>
      <w:bookmarkStart w:id="41" w:name="_Toc14552"/>
      <w:bookmarkStart w:id="42" w:name="_Toc20594"/>
      <w:bookmarkStart w:id="43" w:name="_Toc4952"/>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DglRPb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ptT9H2AEAAJQDAAAOAAAAZHJzL2Uyb0RvYy54bWytU0uO&#10;EzEQ3SNxB8v7SSfRZB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Km1P0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21840"/>
      <w:bookmarkStart w:id="46" w:name="_Toc87616378"/>
      <w:bookmarkStart w:id="47" w:name="_Toc12177"/>
      <w:bookmarkStart w:id="48" w:name="_Toc7831"/>
      <w:bookmarkStart w:id="49" w:name="_Toc30530"/>
      <w:bookmarkStart w:id="50" w:name="_Toc6308"/>
      <w:bookmarkStart w:id="51" w:name="_Toc13898"/>
      <w:bookmarkStart w:id="52" w:name="_Toc21079"/>
      <w:bookmarkStart w:id="53" w:name="_Toc32607"/>
      <w:bookmarkStart w:id="54" w:name="_Toc88209941"/>
      <w:bookmarkStart w:id="55" w:name="_Toc29345"/>
      <w:bookmarkStart w:id="56" w:name="_Toc22212"/>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cyan"/>
        </w:rPr>
      </w:pPr>
      <w:bookmarkStart w:id="58" w:name="_Toc26826"/>
      <w:bookmarkStart w:id="59" w:name="_Toc23033"/>
      <w:r>
        <w:rPr>
          <w:rFonts w:hint="eastAsia"/>
          <w:color w:val="auto"/>
          <w:highlight w:val="cyan"/>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cghvp2gEAAJYDAAAOAAAAZHJzL2Uyb0RvYy54bWytU0uO&#10;EzEQ3SPNHSzvJ51EBE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pZw4s9ejHx68/P3y6+fz95tsXNn2c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HIIb6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GMHZWn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bookmarkEnd w:id="60"/>
    <w:p>
      <w:pPr>
        <w:pStyle w:val="15"/>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活性炭</w:t>
      </w:r>
      <w:r>
        <w:rPr>
          <w:rFonts w:hint="eastAsia" w:ascii="仿宋_GB2312" w:hAnsi="仿宋_GB2312" w:eastAsia="仿宋_GB2312" w:cs="仿宋_GB2312"/>
          <w:sz w:val="28"/>
          <w:szCs w:val="28"/>
          <w:lang w:val="zh-CN"/>
        </w:rPr>
        <w:t>能够满足甲方工艺使用要求；</w:t>
      </w:r>
    </w:p>
    <w:p>
      <w:pPr>
        <w:pStyle w:val="15"/>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京溪分公司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通风风机</w:t>
      </w:r>
      <w:r>
        <w:rPr>
          <w:rFonts w:hint="eastAsia" w:ascii="仿宋_GB2312" w:hAnsi="仿宋_GB2312" w:eastAsia="仿宋_GB2312" w:cs="仿宋_GB2312"/>
          <w:sz w:val="28"/>
          <w:szCs w:val="28"/>
          <w:lang w:val="zh-CN"/>
        </w:rPr>
        <w:t>可匹配使用；</w:t>
      </w:r>
    </w:p>
    <w:p>
      <w:pPr>
        <w:pStyle w:val="15"/>
        <w:adjustRightInd w:val="0"/>
        <w:snapToGrid w:val="0"/>
        <w:spacing w:line="300" w:lineRule="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ascii="仿宋" w:hAnsi="仿宋" w:eastAsia="仿宋" w:cs="仿宋"/>
          <w:b w:val="0"/>
          <w:i w:val="0"/>
          <w:caps w:val="0"/>
          <w:color w:val="000000"/>
          <w:spacing w:val="0"/>
          <w:sz w:val="28"/>
          <w:szCs w:val="28"/>
          <w:shd w:val="clear" w:color="auto" w:fill="FFFFFF"/>
        </w:rPr>
      </w:pPr>
      <w:r>
        <w:rPr>
          <w:rFonts w:ascii="仿宋" w:hAnsi="仿宋" w:eastAsia="仿宋" w:cs="仿宋"/>
          <w:b w:val="0"/>
          <w:i w:val="0"/>
          <w:caps w:val="0"/>
          <w:color w:val="000000"/>
          <w:spacing w:val="0"/>
          <w:sz w:val="28"/>
          <w:szCs w:val="28"/>
          <w:shd w:val="clear" w:color="auto" w:fill="FFFFFF"/>
        </w:rPr>
        <w:t>活性炭具体参数</w:t>
      </w:r>
    </w:p>
    <w:tbl>
      <w:tblPr>
        <w:tblStyle w:val="25"/>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26</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eastAsia"/>
        </w:rPr>
      </w:pPr>
      <w:r>
        <w:rPr>
          <w:rFonts w:hint="eastAsia" w:ascii="仿宋" w:hAnsi="仿宋" w:eastAsia="仿宋" w:cs="仿宋"/>
          <w:b w:val="0"/>
          <w:i w:val="0"/>
          <w:caps w:val="0"/>
          <w:color w:val="000000"/>
          <w:spacing w:val="0"/>
          <w:sz w:val="28"/>
          <w:szCs w:val="28"/>
          <w:shd w:val="clear" w:color="auto" w:fill="FFFFFF"/>
          <w:lang w:val="en-US" w:eastAsia="zh-CN"/>
        </w:rPr>
        <w:t>4</w:t>
      </w:r>
      <w:r>
        <w:rPr>
          <w:rFonts w:hint="eastAsia" w:ascii="仿宋" w:hAnsi="仿宋" w:eastAsia="仿宋" w:cs="仿宋"/>
          <w:b w:val="0"/>
          <w:i w:val="0"/>
          <w:caps w:val="0"/>
          <w:color w:val="000000"/>
          <w:spacing w:val="0"/>
          <w:sz w:val="28"/>
          <w:szCs w:val="28"/>
          <w:shd w:val="clear" w:color="auto" w:fill="FFFFFF"/>
        </w:rPr>
        <w:t>.所有活性炭的</w:t>
      </w:r>
      <w:r>
        <w:rPr>
          <w:rFonts w:hint="eastAsia" w:ascii="仿宋" w:hAnsi="仿宋" w:eastAsia="仿宋" w:cs="仿宋"/>
          <w:b w:val="0"/>
          <w:i w:val="0"/>
          <w:caps w:val="0"/>
          <w:color w:val="000000"/>
          <w:spacing w:val="0"/>
          <w:sz w:val="28"/>
          <w:szCs w:val="28"/>
          <w:shd w:val="clear" w:color="auto" w:fill="FFFFFF"/>
          <w:lang w:val="en-US" w:eastAsia="zh-CN"/>
        </w:rPr>
        <w:t>采购、处置费、运输费、人工换炭费、省固废平台报备处理，</w:t>
      </w:r>
      <w:r>
        <w:rPr>
          <w:rFonts w:hint="eastAsia" w:ascii="仿宋" w:hAnsi="仿宋" w:eastAsia="仿宋" w:cs="仿宋"/>
          <w:b w:val="0"/>
          <w:i w:val="0"/>
          <w:caps w:val="0"/>
          <w:color w:val="000000"/>
          <w:spacing w:val="0"/>
          <w:sz w:val="28"/>
          <w:szCs w:val="28"/>
          <w:shd w:val="clear" w:color="auto" w:fill="FFFFFF"/>
        </w:rPr>
        <w:t>一价全包，不得收取额外费用。</w:t>
      </w:r>
    </w:p>
    <w:p>
      <w:pPr>
        <w:pStyle w:val="15"/>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项目商务要求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ascii="仿宋" w:hAnsi="仿宋" w:eastAsia="仿宋" w:cs="仿宋"/>
          <w:b w:val="0"/>
          <w:i w:val="0"/>
          <w:caps w:val="0"/>
          <w:color w:val="000000"/>
          <w:spacing w:val="0"/>
          <w:sz w:val="28"/>
          <w:szCs w:val="28"/>
          <w:shd w:val="clear" w:color="auto" w:fill="FFFFFF"/>
        </w:rPr>
        <w:t>1.包装、运输及保管、保险：</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（1）报价人所供货物应为制造商原装出厂包装，包装须符合同等相关标准，因包装不良造成的损失由报价人负责。</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60" w:firstLineChars="20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lang w:val="en-US" w:eastAsia="zh-CN"/>
        </w:rPr>
        <w:t>(2)</w:t>
      </w:r>
      <w:r>
        <w:rPr>
          <w:rFonts w:hint="eastAsia" w:ascii="仿宋" w:hAnsi="仿宋" w:eastAsia="仿宋" w:cs="仿宋"/>
          <w:b w:val="0"/>
          <w:i w:val="0"/>
          <w:caps w:val="0"/>
          <w:color w:val="000000"/>
          <w:spacing w:val="0"/>
          <w:sz w:val="28"/>
          <w:szCs w:val="28"/>
          <w:shd w:val="clear" w:color="auto" w:fill="FFFFFF"/>
        </w:rPr>
        <w:t>报价人负责将产品送到现场过程中的全部运输，包括装卸车、</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货物现场的</w:t>
      </w:r>
      <w:r>
        <w:rPr>
          <w:rFonts w:hint="eastAsia" w:ascii="仿宋" w:hAnsi="仿宋" w:eastAsia="仿宋" w:cs="仿宋"/>
          <w:b w:val="0"/>
          <w:i w:val="0"/>
          <w:caps w:val="0"/>
          <w:color w:val="000000"/>
          <w:spacing w:val="0"/>
          <w:sz w:val="28"/>
          <w:szCs w:val="28"/>
          <w:shd w:val="clear" w:color="auto" w:fill="FFFFFF"/>
          <w:lang w:val="en-US" w:eastAsia="zh-CN"/>
        </w:rPr>
        <w:t>安装、更换之后废活性炭的处理</w:t>
      </w:r>
      <w:r>
        <w:rPr>
          <w:rFonts w:hint="eastAsia" w:ascii="仿宋" w:hAnsi="仿宋" w:eastAsia="仿宋" w:cs="仿宋"/>
          <w:b w:val="0"/>
          <w:i w:val="0"/>
          <w:caps w:val="0"/>
          <w:color w:val="000000"/>
          <w:spacing w:val="0"/>
          <w:sz w:val="28"/>
          <w:szCs w:val="28"/>
          <w:shd w:val="clear" w:color="auto" w:fill="FFFFFF"/>
        </w:rPr>
        <w:t>等。</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534" w:right="0" w:firstLine="0"/>
        <w:jc w:val="both"/>
        <w:rPr>
          <w:rFonts w:hint="eastAsia" w:ascii="宋体" w:hAnsi="宋体" w:eastAsia="宋体" w:cs="宋体"/>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（3）供货期：合同签订后</w:t>
      </w:r>
      <w:r>
        <w:rPr>
          <w:rFonts w:hint="eastAsia" w:ascii="仿宋" w:hAnsi="仿宋" w:eastAsia="仿宋" w:cs="仿宋"/>
          <w:b w:val="0"/>
          <w:i w:val="0"/>
          <w:caps w:val="0"/>
          <w:color w:val="000000"/>
          <w:spacing w:val="0"/>
          <w:sz w:val="28"/>
          <w:szCs w:val="28"/>
          <w:shd w:val="clear" w:color="auto" w:fill="FFFFFF"/>
          <w:lang w:val="en-US" w:eastAsia="zh-CN"/>
        </w:rPr>
        <w:t>7</w:t>
      </w:r>
      <w:r>
        <w:rPr>
          <w:rFonts w:hint="eastAsia" w:ascii="仿宋" w:hAnsi="仿宋" w:eastAsia="仿宋" w:cs="仿宋"/>
          <w:b w:val="0"/>
          <w:i w:val="0"/>
          <w:caps w:val="0"/>
          <w:color w:val="000000"/>
          <w:spacing w:val="0"/>
          <w:sz w:val="28"/>
          <w:szCs w:val="28"/>
          <w:shd w:val="clear" w:color="auto" w:fill="FFFFFF"/>
        </w:rPr>
        <w:t>日内到货；</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交货地点：广州市</w:t>
      </w:r>
      <w:r>
        <w:rPr>
          <w:rFonts w:hint="eastAsia" w:ascii="仿宋" w:hAnsi="仿宋" w:eastAsia="仿宋" w:cs="仿宋"/>
          <w:b w:val="0"/>
          <w:i w:val="0"/>
          <w:caps w:val="0"/>
          <w:color w:val="000000"/>
          <w:spacing w:val="0"/>
          <w:sz w:val="28"/>
          <w:szCs w:val="28"/>
          <w:shd w:val="clear" w:color="auto" w:fill="FFFFFF"/>
          <w:lang w:val="en-US" w:eastAsia="zh-CN"/>
        </w:rPr>
        <w:t>白云区犀牛二马路一号广州净水有限公司京溪分公司</w:t>
      </w:r>
      <w:r>
        <w:rPr>
          <w:rFonts w:hint="eastAsia" w:ascii="仿宋" w:hAnsi="仿宋" w:eastAsia="仿宋" w:cs="仿宋"/>
          <w:b w:val="0"/>
          <w:i w:val="0"/>
          <w:caps w:val="0"/>
          <w:color w:val="000000"/>
          <w:spacing w:val="0"/>
          <w:sz w:val="28"/>
          <w:szCs w:val="28"/>
          <w:shd w:val="clear" w:color="auto" w:fill="FFFFFF"/>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2.质量保证及售后服务：</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（1）确保货物为原装未拆封、未使用的产品；</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或未能适配原有设备安装使用环境时，报价人必须48小时内派技术人员到现场免费进行</w:t>
      </w:r>
      <w:r>
        <w:rPr>
          <w:rFonts w:hint="eastAsia" w:ascii="仿宋" w:hAnsi="仿宋" w:eastAsia="仿宋" w:cs="仿宋"/>
          <w:b w:val="0"/>
          <w:i w:val="0"/>
          <w:caps w:val="0"/>
          <w:color w:val="000000"/>
          <w:spacing w:val="0"/>
          <w:sz w:val="28"/>
          <w:szCs w:val="28"/>
          <w:shd w:val="clear" w:color="auto" w:fill="FFFFFF"/>
          <w:lang w:val="en-US" w:eastAsia="zh-CN"/>
        </w:rPr>
        <w:t>更换</w:t>
      </w:r>
      <w:r>
        <w:rPr>
          <w:rFonts w:hint="eastAsia" w:ascii="仿宋" w:hAnsi="仿宋" w:eastAsia="仿宋" w:cs="仿宋"/>
          <w:b w:val="0"/>
          <w:i w:val="0"/>
          <w:caps w:val="0"/>
          <w:color w:val="000000"/>
          <w:spacing w:val="0"/>
          <w:sz w:val="28"/>
          <w:szCs w:val="28"/>
          <w:shd w:val="clear" w:color="auto" w:fill="FFFFFF"/>
        </w:rPr>
        <w:t>和技术指导；</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3.总包及分包规定：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42"/>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乙方不得转包、分包。否则，甲方有权单方面终止合同，拒收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其货物，由此而造成的经济损失由乙方负责赔偿。</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5.付款方式：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（1）采用银行汇票形式。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（2）报价人在收款前需提交相应金额增值税专用发票给需求单位。</w:t>
      </w:r>
      <w:r>
        <w:rPr>
          <w:rFonts w:hint="default" w:ascii="Times New Roman" w:hAnsi="Times New Roman" w:cs="Times New Roman"/>
          <w:i w:val="0"/>
          <w:caps w:val="0"/>
          <w:color w:val="000000"/>
          <w:spacing w:val="0"/>
          <w:sz w:val="21"/>
          <w:szCs w:val="21"/>
          <w:shd w:val="clear" w:color="auto" w:fill="FFFFFF"/>
        </w:rPr>
        <w:t>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 xml:space="preserve">6.承包方式：单价包干。 </w:t>
      </w:r>
    </w:p>
    <w:p>
      <w:pPr>
        <w:autoSpaceDE w:val="0"/>
        <w:autoSpaceDN w:val="0"/>
        <w:ind w:left="0"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496"/>
      <w:bookmarkStart w:id="62" w:name="_Toc4680"/>
      <w:bookmarkStart w:id="63" w:name="_Toc25925"/>
      <w:bookmarkStart w:id="64" w:name="_Toc23330"/>
      <w:bookmarkStart w:id="65" w:name="_Toc1284"/>
      <w:bookmarkStart w:id="66" w:name="_Toc12135"/>
      <w:bookmarkStart w:id="67" w:name="_Toc29835"/>
      <w:bookmarkStart w:id="68" w:name="_Toc537"/>
      <w:bookmarkStart w:id="69" w:name="_Toc23353"/>
      <w:bookmarkStart w:id="70" w:name="_Toc15570"/>
      <w:bookmarkStart w:id="71" w:name="_Toc1853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GelhEH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PY1//D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0"/>
        <w:rPr>
          <w:color w:val="auto"/>
          <w:highlight w:val="none"/>
        </w:rPr>
      </w:pPr>
    </w:p>
    <w:p>
      <w:pPr>
        <w:pStyle w:val="4"/>
        <w:rPr>
          <w:color w:val="auto"/>
          <w:highlight w:val="none"/>
        </w:rPr>
      </w:pPr>
      <w:bookmarkStart w:id="72" w:name="_Toc87616386"/>
      <w:bookmarkStart w:id="73" w:name="_Toc12968"/>
      <w:bookmarkStart w:id="74" w:name="_Toc1375"/>
      <w:bookmarkStart w:id="75" w:name="_Toc88209949"/>
      <w:bookmarkStart w:id="76" w:name="_Toc12980"/>
      <w:bookmarkStart w:id="77" w:name="_Toc22501"/>
      <w:bookmarkStart w:id="78" w:name="_Toc19088"/>
      <w:bookmarkStart w:id="79" w:name="_Toc13309"/>
      <w:bookmarkStart w:id="80" w:name="_Toc323"/>
      <w:bookmarkStart w:id="81" w:name="_Toc8183"/>
      <w:bookmarkStart w:id="82" w:name="_Toc12721"/>
      <w:bookmarkStart w:id="83" w:name="_Toc22797"/>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after="0" w:line="400" w:lineRule="atLeast"/>
        <w:jc w:val="center"/>
        <w:rPr>
          <w:rFonts w:ascii="宋体" w:hAnsi="宋体" w:cs="Times New Roman"/>
          <w:b/>
          <w:color w:val="auto"/>
          <w:sz w:val="44"/>
        </w:rPr>
      </w:pPr>
      <w:bookmarkStart w:id="85" w:name="_Toc387080836"/>
      <w:bookmarkStart w:id="86" w:name="_Toc389815031"/>
      <w:bookmarkStart w:id="87" w:name="_Toc389815339"/>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2022年京溪分公司活性炭更换及其处理</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u w:val="single"/>
          <w:lang w:val="en-US" w:eastAsia="zh-CN"/>
        </w:rPr>
        <w:t xml:space="preserve"> 2022年京溪分公司活性炭更换及其处理</w:t>
      </w:r>
      <w:r>
        <w:rPr>
          <w:rFonts w:hint="eastAsia" w:ascii="宋体" w:hAnsi="宋体" w:cs="宋体"/>
          <w:color w:val="auto"/>
          <w:sz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88" w:name="_Toc183666512"/>
      <w:bookmarkStart w:id="89" w:name="_Toc518992985"/>
      <w:bookmarkStart w:id="90" w:name="_Toc520190025"/>
      <w:bookmarkStart w:id="91" w:name="_Toc10888"/>
      <w:bookmarkStart w:id="92" w:name="_Toc474245209"/>
      <w:r>
        <w:rPr>
          <w:rFonts w:hint="eastAsia" w:ascii="宋体" w:hAnsi="宋体" w:cs="宋体"/>
          <w:color w:val="auto"/>
          <w:sz w:val="24"/>
          <w:szCs w:val="24"/>
        </w:rPr>
        <w:t xml:space="preserve"> </w:t>
      </w:r>
      <w:bookmarkEnd w:id="88"/>
      <w:bookmarkEnd w:id="89"/>
      <w:bookmarkEnd w:id="90"/>
      <w:bookmarkEnd w:id="91"/>
      <w:bookmarkEnd w:id="92"/>
      <w:bookmarkStart w:id="93" w:name="_Toc183666513"/>
      <w:bookmarkStart w:id="94" w:name="_Toc474245210"/>
      <w:bookmarkStart w:id="95" w:name="_Toc1018"/>
      <w:bookmarkStart w:id="96" w:name="_Toc518992986"/>
      <w:bookmarkStart w:id="97" w:name="_Toc520190026"/>
    </w:p>
    <w:p>
      <w:pPr>
        <w:pStyle w:val="11"/>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1"/>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bookmarkEnd w:id="93"/>
    <w:bookmarkEnd w:id="94"/>
    <w:bookmarkEnd w:id="95"/>
    <w:bookmarkEnd w:id="96"/>
    <w:bookmarkEnd w:id="97"/>
    <w:p>
      <w:pPr>
        <w:widowControl w:val="0"/>
        <w:numPr>
          <w:ilvl w:val="0"/>
          <w:numId w:val="4"/>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tbl>
      <w:tblPr>
        <w:tblStyle w:val="25"/>
        <w:tblW w:w="9247" w:type="dxa"/>
        <w:jc w:val="center"/>
        <w:tblLayout w:type="fixed"/>
        <w:tblCellMar>
          <w:top w:w="0" w:type="dxa"/>
          <w:left w:w="0" w:type="dxa"/>
          <w:bottom w:w="0" w:type="dxa"/>
          <w:right w:w="0" w:type="dxa"/>
        </w:tblCellMar>
      </w:tblPr>
      <w:tblGrid>
        <w:gridCol w:w="633"/>
        <w:gridCol w:w="906"/>
        <w:gridCol w:w="2650"/>
        <w:gridCol w:w="750"/>
        <w:gridCol w:w="1024"/>
        <w:gridCol w:w="1467"/>
        <w:gridCol w:w="1817"/>
      </w:tblGrid>
      <w:tr>
        <w:tblPrEx>
          <w:tblCellMar>
            <w:top w:w="0" w:type="dxa"/>
            <w:left w:w="0" w:type="dxa"/>
            <w:bottom w:w="0" w:type="dxa"/>
            <w:right w:w="0" w:type="dxa"/>
          </w:tblCellMar>
        </w:tblPrEx>
        <w:trPr>
          <w:trHeight w:val="930" w:hRule="atLeast"/>
          <w:jc w:val="center"/>
        </w:trPr>
        <w:tc>
          <w:tcPr>
            <w:tcW w:w="633"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90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24"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4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w:t>
            </w:r>
          </w:p>
        </w:tc>
        <w:tc>
          <w:tcPr>
            <w:tcW w:w="181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633"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26</w:t>
            </w:r>
          </w:p>
        </w:tc>
        <w:tc>
          <w:tcPr>
            <w:tcW w:w="10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4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1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w:t>
            </w:r>
          </w:p>
        </w:tc>
      </w:tr>
    </w:tbl>
    <w:p>
      <w:pPr>
        <w:spacing w:line="384" w:lineRule="auto"/>
        <w:ind w:firstLine="480" w:firstLineChars="200"/>
        <w:rPr>
          <w:rFonts w:hint="eastAsia" w:ascii="宋体" w:hAnsi="宋体" w:cs="宋体"/>
          <w:sz w:val="24"/>
        </w:rPr>
      </w:pPr>
      <w:r>
        <w:rPr>
          <w:rFonts w:hint="eastAsia" w:ascii="宋体" w:hAnsi="宋体" w:cs="宋体"/>
          <w:sz w:val="24"/>
        </w:rPr>
        <w:t>所有活性炭的</w:t>
      </w:r>
      <w:r>
        <w:rPr>
          <w:rFonts w:hint="eastAsia" w:ascii="宋体" w:hAnsi="宋体" w:cs="宋体"/>
          <w:sz w:val="24"/>
          <w:lang w:val="en-US" w:eastAsia="zh-CN"/>
        </w:rPr>
        <w:t>采购、处置费、运输费、人工换炭费、省固废平台报备处理，</w:t>
      </w:r>
      <w:r>
        <w:rPr>
          <w:rFonts w:hint="eastAsia" w:ascii="宋体" w:hAnsi="宋体" w:cs="宋体"/>
          <w:sz w:val="24"/>
        </w:rPr>
        <w:t>一价全包，不得收取额外费用</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（2)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开箱/试运行</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rPr>
        <w:t>（如果供货要求包含安装、调试，则应为试运行验收合格），具体交货日期以甲方通知为准。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广州市白云区犀牛二马路1号广州市净水有限公司京溪分公司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rPr>
        <w:t>（具体按“</w:t>
      </w:r>
      <w:r>
        <w:rPr>
          <w:rFonts w:hint="eastAsia" w:ascii="宋体" w:hAnsi="宋体" w:cs="宋体"/>
          <w:b/>
          <w:color w:val="auto"/>
          <w:sz w:val="24"/>
          <w:szCs w:val="24"/>
          <w:lang w:val="en-US" w:eastAsia="zh-CN"/>
        </w:rPr>
        <w:t>合同标的</w:t>
      </w:r>
      <w:r>
        <w:rPr>
          <w:rFonts w:hint="eastAsia" w:ascii="宋体" w:hAnsi="宋体" w:cs="宋体"/>
          <w:b/>
          <w:color w:val="auto"/>
          <w:sz w:val="24"/>
          <w:szCs w:val="24"/>
        </w:rPr>
        <w:t>”）</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8" w:name="_Toc474245212"/>
      <w:bookmarkStart w:id="99" w:name="_Toc27425"/>
      <w:bookmarkStart w:id="100" w:name="_Toc520190028"/>
      <w:bookmarkStart w:id="101" w:name="_Toc518992988"/>
      <w:bookmarkStart w:id="102" w:name="_Toc107446843"/>
      <w:bookmarkStart w:id="103" w:name="_Toc107447236"/>
    </w:p>
    <w:bookmarkEnd w:id="98"/>
    <w:bookmarkEnd w:id="99"/>
    <w:bookmarkEnd w:id="100"/>
    <w:bookmarkEnd w:id="101"/>
    <w:p>
      <w:pPr>
        <w:autoSpaceDE w:val="0"/>
        <w:autoSpaceDN w:val="0"/>
        <w:adjustRightInd w:val="0"/>
        <w:spacing w:line="460" w:lineRule="exact"/>
        <w:ind w:left="420"/>
        <w:rPr>
          <w:rFonts w:ascii="宋体" w:hAnsi="宋体" w:cs="宋体"/>
          <w:bCs/>
          <w:color w:val="auto"/>
          <w:sz w:val="24"/>
          <w:szCs w:val="24"/>
        </w:rPr>
      </w:pPr>
      <w:bookmarkStart w:id="104" w:name="_Toc520190029"/>
      <w:bookmarkStart w:id="105" w:name="_Toc518992989"/>
      <w:bookmarkStart w:id="106" w:name="_Toc47424521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4"/>
      <w:bookmarkEnd w:id="105"/>
      <w:bookmarkEnd w:id="106"/>
      <w:r>
        <w:rPr>
          <w:rFonts w:hint="eastAsia" w:ascii="宋体" w:hAnsi="宋体" w:cs="宋体"/>
          <w:b/>
          <w:color w:val="auto"/>
          <w:sz w:val="24"/>
          <w:szCs w:val="24"/>
        </w:rPr>
        <w:t>方式</w:t>
      </w:r>
    </w:p>
    <w:bookmarkEnd w:id="102"/>
    <w:bookmarkEnd w:id="103"/>
    <w:p>
      <w:pPr>
        <w:spacing w:line="460" w:lineRule="exact"/>
        <w:ind w:firstLine="480" w:firstLineChars="200"/>
        <w:rPr>
          <w:rFonts w:ascii="宋体" w:hAnsi="宋体" w:cs="宋体"/>
          <w:color w:val="auto"/>
          <w:sz w:val="24"/>
          <w:szCs w:val="24"/>
          <w:u w:val="single"/>
        </w:rPr>
      </w:pPr>
      <w:bookmarkStart w:id="107" w:name="_Toc183666516"/>
      <w:bookmarkStart w:id="108"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4</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w:t>
      </w:r>
      <w:r>
        <w:rPr>
          <w:rFonts w:hint="eastAsia" w:ascii="宋体" w:hAnsi="宋体" w:cs="宋体"/>
          <w:color w:val="auto"/>
          <w:sz w:val="24"/>
          <w:szCs w:val="24"/>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rPr>
        <w:t>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hAnsi="宋体" w:cs="宋体"/>
          <w:color w:val="auto"/>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107"/>
    <w:bookmarkEnd w:id="108"/>
    <w:p>
      <w:pPr>
        <w:adjustRightInd w:val="0"/>
        <w:snapToGrid w:val="0"/>
        <w:spacing w:line="460" w:lineRule="exact"/>
        <w:ind w:firstLine="482" w:firstLineChars="200"/>
        <w:rPr>
          <w:rFonts w:hint="eastAsia" w:ascii="宋体" w:hAnsi="宋体" w:cs="宋体"/>
          <w:b/>
          <w:bCs/>
          <w:color w:val="auto"/>
          <w:sz w:val="24"/>
          <w:szCs w:val="24"/>
        </w:rPr>
      </w:pPr>
      <w:bookmarkStart w:id="109" w:name="_Toc257"/>
      <w:bookmarkStart w:id="110" w:name="_Toc5166"/>
      <w:bookmarkStart w:id="111" w:name="_Toc107446860"/>
      <w:bookmarkStart w:id="112" w:name="_Toc107446861"/>
      <w:bookmarkStart w:id="113" w:name="_Toc107447253"/>
      <w:bookmarkStart w:id="114" w:name="_Toc118086592"/>
      <w:bookmarkStart w:id="115" w:name="_Toc107447254"/>
      <w:bookmarkStart w:id="116" w:name="_Toc183666529"/>
      <w:bookmarkStart w:id="117" w:name="_Toc474245224"/>
      <w:bookmarkStart w:id="118" w:name="_Toc520190038"/>
      <w:bookmarkStart w:id="119" w:name="_Toc306350465"/>
      <w:bookmarkStart w:id="120" w:name="_Toc518992998"/>
      <w:bookmarkStart w:id="121" w:name="_Toc183666534"/>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营运场所施工安全协议书</w:t>
      </w:r>
    </w:p>
    <w:p>
      <w:pPr>
        <w:numPr>
          <w:ilvl w:val="0"/>
          <w:numId w:val="6"/>
        </w:numPr>
        <w:spacing w:line="460" w:lineRule="exact"/>
        <w:ind w:left="1200" w:leftChars="0" w:firstLine="0" w:firstLineChars="0"/>
        <w:rPr>
          <w:rFonts w:hint="eastAsia" w:ascii="宋体" w:hAnsi="宋体" w:cs="宋体" w:eastAsiaTheme="minorEastAsia"/>
          <w:color w:val="auto"/>
          <w:kern w:val="0"/>
          <w:sz w:val="24"/>
          <w:szCs w:val="24"/>
          <w:lang w:val="zh-CN" w:eastAsia="zh-CN" w:bidi="ar-SA"/>
        </w:rPr>
      </w:pPr>
      <w:r>
        <w:rPr>
          <w:rFonts w:hint="eastAsia" w:ascii="宋体" w:hAnsi="宋体" w:cs="宋体"/>
          <w:color w:val="auto"/>
          <w:kern w:val="0"/>
          <w:sz w:val="24"/>
          <w:szCs w:val="24"/>
          <w:lang w:val="zh-CN"/>
        </w:rPr>
        <w:t>物品采购安全协议书</w:t>
      </w:r>
    </w:p>
    <w:p>
      <w:pPr>
        <w:numPr>
          <w:ilvl w:val="0"/>
          <w:numId w:val="6"/>
        </w:numPr>
        <w:spacing w:line="460" w:lineRule="exact"/>
        <w:ind w:left="1200" w:leftChars="0" w:firstLine="0" w:firstLineChars="0"/>
        <w:rPr>
          <w:rFonts w:hint="eastAsia" w:ascii="宋体" w:hAnsi="宋体" w:cs="宋体" w:eastAsiaTheme="minorEastAsia"/>
          <w:color w:val="auto"/>
          <w:kern w:val="0"/>
          <w:sz w:val="24"/>
          <w:szCs w:val="24"/>
          <w:lang w:val="zh-CN" w:eastAsia="zh-CN" w:bidi="ar-SA"/>
        </w:rPr>
      </w:pPr>
      <w:r>
        <w:rPr>
          <w:rFonts w:hint="eastAsia" w:ascii="宋体" w:hAnsi="宋体" w:cs="宋体" w:eastAsiaTheme="minorEastAsia"/>
          <w:color w:val="auto"/>
          <w:kern w:val="0"/>
          <w:sz w:val="24"/>
          <w:szCs w:val="24"/>
          <w:lang w:val="zh-CN" w:eastAsia="zh-CN" w:bidi="ar-SA"/>
        </w:rPr>
        <w:t>防疫管理协议书</w:t>
      </w:r>
    </w:p>
    <w:p>
      <w:pPr>
        <w:pStyle w:val="2"/>
        <w:rPr>
          <w:lang w:val="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color w:val="auto"/>
          <w:sz w:val="24"/>
          <w:szCs w:val="24"/>
        </w:rPr>
        <w:t>发包通知书</w:t>
      </w:r>
    </w:p>
    <w:p>
      <w:pPr>
        <w:numPr>
          <w:ilvl w:val="0"/>
          <w:numId w:val="0"/>
        </w:numPr>
        <w:spacing w:line="460" w:lineRule="exact"/>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rPr>
        <w:t>廉洁协议</w:t>
      </w:r>
    </w:p>
    <w:p>
      <w:pPr>
        <w:pStyle w:val="2"/>
        <w:ind w:left="0" w:leftChars="0" w:firstLine="0" w:firstLineChars="0"/>
        <w:rPr>
          <w:rFonts w:hint="default" w:eastAsia="等线"/>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2022年京溪分公司活性炭更换及其处理</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31"/>
        <w:rPr>
          <w:rFonts w:hint="eastAsia" w:ascii="宋体" w:hAnsi="宋体" w:cs="宋体"/>
          <w:color w:val="000000"/>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5"/>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5"/>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r>
              <w:rPr>
                <w:rFonts w:hint="eastAsia" w:cs="Times New Roman"/>
                <w:sz w:val="13"/>
                <w:szCs w:val="13"/>
                <w:lang w:val="en-US" w:eastAsia="zh-CN"/>
              </w:rPr>
              <w:br w:type="textWrapping"/>
            </w:r>
            <w:r>
              <w:rPr>
                <w:rFonts w:hint="eastAsia" w:cs="Times New Roman"/>
                <w:sz w:val="13"/>
                <w:szCs w:val="13"/>
                <w:lang w:val="en-US" w:eastAsia="zh-CN"/>
              </w:rPr>
              <w:t xml:space="preserve">    2、监理单位考评只作为参考及履职依据，不计入考评，无监理单位不需填写；</w:t>
            </w:r>
            <w:r>
              <w:rPr>
                <w:rFonts w:hint="eastAsia" w:cs="Times New Roman"/>
                <w:sz w:val="13"/>
                <w:szCs w:val="13"/>
                <w:lang w:val="en-US" w:eastAsia="zh-CN"/>
              </w:rPr>
              <w:br w:type="textWrapping"/>
            </w:r>
            <w:r>
              <w:rPr>
                <w:rFonts w:hint="eastAsia" w:cs="Times New Roman"/>
                <w:sz w:val="13"/>
                <w:szCs w:val="13"/>
                <w:lang w:val="en-US" w:eastAsia="zh-CN"/>
              </w:rPr>
              <w:t xml:space="preserve">    3、“公司考评”业务主管部门和安全办针对本部门检查发现的内容进行扣（奖）分，项目部已经进行扣（奖）分的不重复执行；</w:t>
            </w:r>
            <w:r>
              <w:rPr>
                <w:rFonts w:hint="eastAsia" w:cs="Times New Roman"/>
                <w:sz w:val="13"/>
                <w:szCs w:val="13"/>
                <w:lang w:val="en-US" w:eastAsia="zh-CN"/>
              </w:rPr>
              <w:br w:type="textWrapping"/>
            </w:r>
            <w:r>
              <w:rPr>
                <w:rFonts w:hint="eastAsia" w:cs="Times New Roman"/>
                <w:sz w:val="13"/>
                <w:szCs w:val="13"/>
                <w:lang w:val="en-US" w:eastAsia="zh-CN"/>
              </w:rPr>
              <w:t xml:space="preserve">    4、各分公司考评填写相应的得（扣）分数值，如奖2分则填写“2”，扣2分则填写“-2”；</w:t>
            </w:r>
            <w:r>
              <w:rPr>
                <w:rFonts w:hint="eastAsia" w:cs="Times New Roman"/>
                <w:sz w:val="13"/>
                <w:szCs w:val="13"/>
                <w:lang w:val="en-US" w:eastAsia="zh-CN"/>
              </w:rPr>
              <w:br w:type="textWrapping"/>
            </w:r>
            <w:r>
              <w:rPr>
                <w:rFonts w:hint="eastAsia" w:cs="Times New Roman"/>
                <w:sz w:val="13"/>
                <w:szCs w:val="13"/>
                <w:lang w:val="en-US" w:eastAsia="zh-CN"/>
              </w:rPr>
              <w:t xml:space="preserve">    5、单项“综合考评”=项目部考评+公司考评；综合考评总分=各单项“综合考评”+100</w:t>
            </w:r>
            <w:r>
              <w:rPr>
                <w:rFonts w:hint="eastAsia" w:cs="Times New Roman"/>
                <w:sz w:val="13"/>
                <w:szCs w:val="13"/>
                <w:lang w:val="en-US" w:eastAsia="zh-CN"/>
              </w:rPr>
              <w:br w:type="textWrapping"/>
            </w:r>
            <w:r>
              <w:rPr>
                <w:rFonts w:hint="eastAsia" w:cs="Times New Roman"/>
                <w:sz w:val="13"/>
                <w:szCs w:val="13"/>
                <w:lang w:val="en-US" w:eastAsia="zh-CN"/>
              </w:rPr>
              <w:t xml:space="preserve">    6、最后得分=综合考评总分X类别系数；</w:t>
            </w:r>
            <w:r>
              <w:rPr>
                <w:rFonts w:hint="eastAsia" w:cs="Times New Roman"/>
                <w:sz w:val="13"/>
                <w:szCs w:val="13"/>
                <w:lang w:val="en-US" w:eastAsia="zh-CN"/>
              </w:rPr>
              <w:br w:type="textWrapping"/>
            </w: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4</w:t>
      </w:r>
    </w:p>
    <w:p>
      <w:pPr>
        <w:spacing w:line="560" w:lineRule="exact"/>
        <w:jc w:val="center"/>
      </w:pPr>
      <w:r>
        <w:rPr>
          <w:rFonts w:hint="eastAsia" w:ascii="黑体" w:hAnsi="Batang" w:eastAsia="黑体" w:cs="Batang"/>
          <w:bCs/>
          <w:kern w:val="0"/>
          <w:sz w:val="44"/>
          <w:szCs w:val="44"/>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ascii="宋体" w:hAnsi="宋体" w:cs="Arial"/>
          <w:kern w:val="0"/>
          <w:sz w:val="24"/>
          <w:lang w:val="en-US" w:eastAsia="zh-CN"/>
        </w:rPr>
        <w:t xml:space="preserve"> </w:t>
      </w:r>
      <w:r>
        <w:rPr>
          <w:rFonts w:hint="eastAsia"/>
          <w:sz w:val="24"/>
        </w:rPr>
        <w:t>广州市净水有限公司</w:t>
      </w:r>
    </w:p>
    <w:p>
      <w:pPr>
        <w:spacing w:line="560" w:lineRule="exact"/>
        <w:rPr>
          <w:rStyle w:val="28"/>
          <w:rFonts w:ascii="宋体" w:hAnsi="宋体" w:eastAsia="宋体"/>
          <w:b w:val="0"/>
          <w:u w:val="single"/>
        </w:rPr>
      </w:pPr>
      <w:r>
        <w:rPr>
          <w:rFonts w:hint="eastAsia" w:ascii="宋体" w:hAnsi="宋体" w:cs="Arial"/>
          <w:kern w:val="0"/>
          <w:sz w:val="24"/>
        </w:rPr>
        <w:t xml:space="preserve">乙方： </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pStyle w:val="13"/>
        <w:rPr>
          <w:rFonts w:hint="eastAsia"/>
          <w:lang w:val="en-US" w:eastAsia="zh-CN"/>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5</w:t>
      </w:r>
    </w:p>
    <w:p>
      <w:pPr>
        <w:pStyle w:val="31"/>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0"/>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6</w:t>
      </w:r>
      <w:r>
        <w:rPr>
          <w:rFonts w:hint="eastAsia" w:ascii="仿宋_GB2312" w:hAnsi="宋体" w:eastAsia="仿宋_GB2312"/>
          <w:b/>
          <w:sz w:val="24"/>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甲方：广州市净水有限公司</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乙方: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一、本协议与主协议的关系</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二、甲方的义务</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（一）与建设主管部门和属地疫情防控指挥部门形成联防联控机制，建立快速有效的处置工作流程。</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（二）对乙方防控工作的落实情况进行监督。</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三、乙方的义务</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（一）开展疫情防控宣传教育，提高乙方人员自我防护意识，最大限度减少人员暴露和感染的风险。</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（二）做好乙方人员防控工作管理，及时提交防疫资料，落实疫情防控备案，必要时需编制防控管理工作方案。</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（三）乙方人员须按照甲方各厂区进厂门岗防控要求进行疫苗接种及核酸检测，未满足相关要求的人员甲方有权限制进入厂区。</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（四）建立畅通的信息传输渠道和严格的信息上报机制，出现问题及时采取应急响应措施，迅速妥善处置项目施工场所普通发热病例、可疑病例和突发新冠肺炎疫情，并第一时间报送甲方。</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（五）各级政府、有关部门及甲方的其他防控要求。</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四、违约责任</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乙方需按照甲方服务要求执行，未达到疫情防控要求的，需按下列条款执行：</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（一）乙方人员及其密接亲属有重点区域、重点场所旅居史未报备的，每发现一人，从乙方当月服务费中扣500元；</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（二）乙方人员未按照甲方要求进行核酸检测的或有瞒报、虚报的，每发现一人，从乙方当月服务费中扣50元；</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（三）乙方项目维修施工人员拒不配合甲方疫情防控要求或不满足甲方防疫工作要求的，甲方有权要求乙方3天内更换服务人员。</w:t>
      </w:r>
    </w:p>
    <w:p>
      <w:pPr>
        <w:spacing w:line="560" w:lineRule="exact"/>
        <w:ind w:firstLine="480" w:firstLineChars="200"/>
        <w:rPr>
          <w:rFonts w:hint="eastAsia" w:asciiTheme="minorEastAsia" w:hAnsiTheme="minorEastAsia" w:eastAsiaTheme="minorEastAsia"/>
          <w:sz w:val="24"/>
        </w:rPr>
      </w:pP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五、补充条款：         /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六、附则</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本协议与合同同时签订、同时终止、同时生效，具有相同的法律效力。合同由甲乙双方签字、盖章生效，甲乙双方各份。</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甲方代表 （章）：                             乙方代表（章）：                                                           　　              　　　　　　　</w:t>
      </w:r>
    </w:p>
    <w:p>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年 　月　  日　　　　　                 年   月  　日</w:t>
      </w:r>
    </w:p>
    <w:p>
      <w:pPr>
        <w:spacing w:line="360" w:lineRule="auto"/>
        <w:jc w:val="center"/>
        <w:rPr>
          <w:rFonts w:ascii="宋体" w:hAnsi="宋体" w:cs="宋体"/>
          <w:color w:val="auto"/>
          <w:sz w:val="24"/>
          <w:szCs w:val="24"/>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p>
      <w:pPr>
        <w:pStyle w:val="2"/>
        <w:ind w:firstLine="643"/>
        <w:rPr>
          <w:rFonts w:hint="default" w:ascii="宋体" w:hAnsi="宋体" w:cs="宋体"/>
          <w:b/>
          <w:szCs w:val="21"/>
        </w:rPr>
      </w:pPr>
    </w:p>
    <w:bookmarkEnd w:id="85"/>
    <w:bookmarkEnd w:id="86"/>
    <w:bookmarkEnd w:id="87"/>
    <w:p>
      <w:pPr>
        <w:pStyle w:val="2"/>
        <w:ind w:firstLine="0" w:firstLineChars="0"/>
        <w:rPr>
          <w:rFonts w:hint="default"/>
        </w:rPr>
      </w:pPr>
    </w:p>
    <w:p>
      <w:pPr>
        <w:spacing w:line="360" w:lineRule="auto"/>
        <w:rPr>
          <w:rFonts w:hint="eastAsia" w:ascii="宋体" w:hAnsi="宋体" w:cs="宋体"/>
          <w:b/>
          <w:bCs/>
          <w:szCs w:val="21"/>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2283460</wp:posOffset>
                </wp:positionH>
                <wp:positionV relativeFrom="paragraph">
                  <wp:posOffset>229235</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9.8pt;margin-top:18.05pt;height:0pt;width:75.5pt;z-index:251668480;mso-width-relative:page;mso-height-relative:page;" filled="f" stroked="t" coordsize="21600,21600" o:gfxdata="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MWPU1QAAAAkBAAAPAAAAAAAAAAEAIAAA&#10;ACIAAABkcnMvZG93bnJldi54bWxQSwECFAAUAAAACACHTuJAp7C0o9YBAACVAwAADgAAAAAAAAAB&#10;ACAAAAAkAQAAZHJzL2Uyb0RvYy54bWxQSwUGAAAAAAYABgBZAQAAbAUAAAAA&#10;">
                <v:fill on="f" focussize="0,0"/>
                <v:stroke color="#000000" joinstyle="round"/>
                <v:imagedata o:title=""/>
                <o:lock v:ext="edit" aspectratio="f"/>
              </v:shape>
            </w:pict>
          </mc:Fallback>
        </mc:AlternateContent>
      </w:r>
    </w:p>
    <w:p>
      <w:pPr>
        <w:pStyle w:val="4"/>
        <w:rPr>
          <w:color w:val="auto"/>
          <w:highlight w:val="none"/>
        </w:rPr>
      </w:pPr>
      <w:bookmarkStart w:id="122" w:name="_Toc12169"/>
      <w:bookmarkStart w:id="123" w:name="_Toc6230"/>
      <w:bookmarkStart w:id="124" w:name="_Toc21847"/>
      <w:bookmarkStart w:id="125" w:name="_Toc1563"/>
      <w:bookmarkStart w:id="126" w:name="_Toc28358"/>
      <w:bookmarkStart w:id="127" w:name="_Toc5129"/>
      <w:bookmarkStart w:id="128" w:name="_Toc3723"/>
      <w:bookmarkStart w:id="129" w:name="_Toc16552"/>
      <w:bookmarkStart w:id="130" w:name="_Toc23515"/>
      <w:bookmarkStart w:id="131" w:name="_Toc30824"/>
      <w:bookmarkStart w:id="132" w:name="_Toc81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455295</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35.85pt;height:0pt;width:75.5pt;z-index:251669504;mso-width-relative:page;mso-height-relative:page;" filled="f" stroked="t" coordsize="21600,21600" o:gfxdata="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C6X09cAAAAJAQAADwAAAAAAAAAB&#10;ACAAAAAiAAAAZHJzL2Rvd25yZXYueG1sUEsBAhQAFAAAAAgAh07iQNg1yiPYAQAAlQ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第七章</w:t>
      </w:r>
      <w:bookmarkEnd w:id="122"/>
      <w:bookmarkEnd w:id="123"/>
      <w:bookmarkEnd w:id="124"/>
      <w:bookmarkEnd w:id="125"/>
      <w:bookmarkEnd w:id="126"/>
      <w:bookmarkEnd w:id="127"/>
      <w:bookmarkEnd w:id="128"/>
      <w:bookmarkEnd w:id="129"/>
      <w:bookmarkEnd w:id="130"/>
      <w:bookmarkEnd w:id="131"/>
      <w:bookmarkEnd w:id="132"/>
    </w:p>
    <w:p>
      <w:pPr>
        <w:pStyle w:val="40"/>
        <w:rPr>
          <w:color w:val="auto"/>
          <w:highlight w:val="none"/>
        </w:rPr>
      </w:pPr>
    </w:p>
    <w:p>
      <w:pPr>
        <w:pStyle w:val="4"/>
        <w:rPr>
          <w:color w:val="auto"/>
          <w:highlight w:val="none"/>
        </w:rPr>
      </w:pPr>
      <w:bookmarkStart w:id="133" w:name="_Toc30157"/>
      <w:bookmarkStart w:id="134" w:name="_Toc17119"/>
      <w:bookmarkStart w:id="135" w:name="_Toc88209951"/>
      <w:bookmarkStart w:id="136" w:name="_Toc24815"/>
      <w:bookmarkStart w:id="137" w:name="_Toc10840"/>
      <w:bookmarkStart w:id="138" w:name="_Toc31564"/>
      <w:bookmarkStart w:id="139" w:name="_Toc87616388"/>
      <w:bookmarkStart w:id="140" w:name="_Toc12610"/>
      <w:bookmarkStart w:id="141" w:name="_Toc21675"/>
      <w:bookmarkStart w:id="142" w:name="_Toc24490"/>
      <w:bookmarkStart w:id="143" w:name="_Toc22764"/>
      <w:bookmarkStart w:id="144" w:name="_Toc5342"/>
      <w:bookmarkStart w:id="145" w:name="_Toc12769"/>
      <w:r>
        <w:rPr>
          <w:rFonts w:hint="eastAsia"/>
          <w:color w:val="auto"/>
          <w:highlight w:val="none"/>
        </w:rPr>
        <w:t>响应文件</w:t>
      </w:r>
      <w:r>
        <w:rPr>
          <w:rFonts w:hint="eastAsia"/>
          <w:color w:val="auto"/>
          <w:highlight w:val="none"/>
          <w:lang w:val="en-US" w:eastAsia="zh-CN"/>
        </w:rPr>
        <w:t>格式要求</w:t>
      </w:r>
      <w:bookmarkEnd w:id="133"/>
      <w:bookmarkEnd w:id="134"/>
      <w:bookmarkEnd w:id="135"/>
      <w:bookmarkEnd w:id="136"/>
      <w:bookmarkEnd w:id="137"/>
      <w:bookmarkEnd w:id="138"/>
      <w:bookmarkEnd w:id="139"/>
      <w:bookmarkEnd w:id="140"/>
      <w:bookmarkEnd w:id="141"/>
      <w:bookmarkEnd w:id="142"/>
      <w:bookmarkEnd w:id="143"/>
      <w:bookmarkEnd w:id="144"/>
      <w:bookmarkEnd w:id="1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6" w:name="_Toc87616389"/>
      <w:bookmarkStart w:id="147" w:name="_Toc88209952"/>
      <w:r>
        <w:rPr>
          <w:rFonts w:hint="eastAsia" w:ascii="仿宋_GB2312" w:eastAsia="仿宋_GB2312"/>
          <w:color w:val="auto"/>
          <w:sz w:val="28"/>
          <w:szCs w:val="28"/>
          <w:highlight w:val="none"/>
        </w:rPr>
        <w:t>1.响应函</w:t>
      </w:r>
      <w:bookmarkEnd w:id="146"/>
      <w:bookmarkEnd w:id="147"/>
    </w:p>
    <w:p>
      <w:pPr>
        <w:spacing w:line="600" w:lineRule="exact"/>
        <w:rPr>
          <w:rFonts w:hint="eastAsia" w:ascii="仿宋_GB2312" w:eastAsia="仿宋_GB2312"/>
          <w:color w:val="auto"/>
          <w:sz w:val="28"/>
          <w:szCs w:val="28"/>
          <w:highlight w:val="none"/>
        </w:rPr>
      </w:pPr>
      <w:bookmarkStart w:id="148" w:name="_Toc87616390"/>
      <w:bookmarkStart w:id="149" w:name="_Toc88209953"/>
      <w:r>
        <w:rPr>
          <w:rFonts w:hint="eastAsia" w:ascii="仿宋_GB2312" w:eastAsia="仿宋_GB2312"/>
          <w:color w:val="auto"/>
          <w:sz w:val="28"/>
          <w:szCs w:val="28"/>
          <w:highlight w:val="none"/>
        </w:rPr>
        <w:t>2.法定代表人证明或授权委托书</w:t>
      </w:r>
      <w:bookmarkEnd w:id="148"/>
      <w:bookmarkEnd w:id="149"/>
      <w:bookmarkStart w:id="150" w:name="_Toc87616393"/>
      <w:bookmarkStart w:id="15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0"/>
      <w:bookmarkEnd w:id="15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52" w:name="_Toc88209957"/>
      <w:bookmarkStart w:id="153" w:name="_Toc28619645"/>
      <w:bookmarkStart w:id="154" w:name="_Toc87616394"/>
      <w:bookmarkStart w:id="155" w:name="_Toc6313"/>
      <w:bookmarkStart w:id="156" w:name="_Toc12665"/>
      <w:r>
        <w:rPr>
          <w:rFonts w:hint="eastAsia" w:asciiTheme="minorEastAsia" w:hAnsiTheme="minorEastAsia" w:eastAsiaTheme="minorEastAsia"/>
          <w:color w:val="auto"/>
          <w:sz w:val="28"/>
          <w:szCs w:val="28"/>
          <w:highlight w:val="none"/>
        </w:rPr>
        <w:t>1.响应函</w:t>
      </w:r>
      <w:bookmarkEnd w:id="152"/>
      <w:bookmarkEnd w:id="153"/>
      <w:bookmarkEnd w:id="154"/>
      <w:bookmarkEnd w:id="155"/>
      <w:bookmarkEnd w:id="15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7" w:name="_Toc88209958"/>
      <w:bookmarkStart w:id="158" w:name="_Toc87616395"/>
      <w:bookmarkStart w:id="159" w:name="_Toc22527"/>
      <w:bookmarkStart w:id="160"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7"/>
      <w:bookmarkEnd w:id="158"/>
      <w:bookmarkEnd w:id="159"/>
      <w:bookmarkEnd w:id="16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zjjwP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I3gbFS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1" w:name="_Toc87616400"/>
      <w:bookmarkStart w:id="162" w:name="_Toc19830"/>
      <w:bookmarkStart w:id="163" w:name="_Toc88209963"/>
      <w:bookmarkStart w:id="164"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6" w:name="_Toc32430"/>
      <w:bookmarkStart w:id="167"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6"/>
      <w:bookmarkEnd w:id="167"/>
    </w:p>
    <w:tbl>
      <w:tblPr>
        <w:tblStyle w:val="25"/>
        <w:tblW w:w="11030" w:type="dxa"/>
        <w:jc w:val="center"/>
        <w:tblLayout w:type="fixed"/>
        <w:tblCellMar>
          <w:top w:w="0" w:type="dxa"/>
          <w:left w:w="0" w:type="dxa"/>
          <w:bottom w:w="0" w:type="dxa"/>
          <w:right w:w="0" w:type="dxa"/>
        </w:tblCellMar>
      </w:tblPr>
      <w:tblGrid>
        <w:gridCol w:w="644"/>
        <w:gridCol w:w="1567"/>
        <w:gridCol w:w="2650"/>
        <w:gridCol w:w="750"/>
        <w:gridCol w:w="1024"/>
        <w:gridCol w:w="1467"/>
        <w:gridCol w:w="2928"/>
      </w:tblGrid>
      <w:tr>
        <w:tblPrEx>
          <w:tblCellMar>
            <w:top w:w="0" w:type="dxa"/>
            <w:left w:w="0" w:type="dxa"/>
            <w:bottom w:w="0" w:type="dxa"/>
            <w:right w:w="0" w:type="dxa"/>
          </w:tblCellMar>
        </w:tblPrEx>
        <w:trPr>
          <w:trHeight w:val="930" w:hRule="atLeast"/>
          <w:jc w:val="center"/>
        </w:trPr>
        <w:tc>
          <w:tcPr>
            <w:tcW w:w="64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宋体" w:hAnsi="宋体" w:cs="宋体"/>
                <w:color w:val="auto"/>
                <w:kern w:val="0"/>
                <w:sz w:val="24"/>
                <w:szCs w:val="24"/>
                <w:lang w:val="zh-CN"/>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2"/>
                <w:sz w:val="22"/>
                <w:szCs w:val="22"/>
                <w:lang w:val="en-US" w:eastAsia="zh-CN" w:bidi="ar-SA"/>
              </w:rPr>
            </w:pPr>
            <w:r>
              <w:rPr>
                <w:rFonts w:hint="eastAsia" w:ascii="仿宋" w:hAnsi="仿宋" w:eastAsia="仿宋" w:cs="仿宋"/>
                <w:b/>
                <w:color w:val="000000"/>
                <w:kern w:val="0"/>
                <w:sz w:val="22"/>
                <w:szCs w:val="22"/>
                <w:lang w:bidi="ar"/>
              </w:rPr>
              <w:t>数量</w:t>
            </w:r>
            <w:r>
              <w:rPr>
                <w:rFonts w:hint="eastAsia" w:ascii="仿宋" w:hAnsi="仿宋" w:eastAsia="仿宋" w:cs="仿宋"/>
                <w:b/>
                <w:color w:val="000000"/>
                <w:kern w:val="0"/>
                <w:sz w:val="22"/>
                <w:szCs w:val="22"/>
                <w:lang w:eastAsia="zh-CN" w:bidi="ar"/>
              </w:rPr>
              <w:t>（</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eastAsia="zh-CN" w:bidi="ar"/>
              </w:rPr>
              <w:t>）</w:t>
            </w:r>
          </w:p>
        </w:tc>
        <w:tc>
          <w:tcPr>
            <w:tcW w:w="1024"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bidi="ar"/>
              </w:rPr>
              <w:t>单</w:t>
            </w:r>
            <w:r>
              <w:rPr>
                <w:rFonts w:hint="eastAsia" w:ascii="仿宋" w:hAnsi="仿宋" w:eastAsia="仿宋" w:cs="仿宋"/>
                <w:b/>
                <w:color w:val="000000"/>
                <w:kern w:val="0"/>
                <w:sz w:val="22"/>
                <w:szCs w:val="22"/>
                <w:lang w:val="en-US" w:eastAsia="zh-CN" w:bidi="ar"/>
              </w:rPr>
              <w:t>价/吨</w:t>
            </w:r>
          </w:p>
        </w:tc>
        <w:tc>
          <w:tcPr>
            <w:tcW w:w="14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总价</w:t>
            </w:r>
          </w:p>
        </w:tc>
        <w:tc>
          <w:tcPr>
            <w:tcW w:w="2928"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64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4"/>
                <w:szCs w:val="22"/>
                <w:lang w:val="en-US" w:eastAsia="zh-CN" w:bidi="ar-SA"/>
              </w:rPr>
            </w:pPr>
            <w:r>
              <w:rPr>
                <w:rFonts w:hint="eastAsia" w:ascii="仿宋" w:hAnsi="仿宋" w:eastAsia="仿宋" w:cs="仿宋"/>
                <w:color w:val="000000"/>
                <w:sz w:val="24"/>
                <w:lang w:val="en-US" w:eastAsia="zh-CN"/>
              </w:rPr>
              <w:t>26</w:t>
            </w:r>
          </w:p>
        </w:tc>
        <w:tc>
          <w:tcPr>
            <w:tcW w:w="10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p>
        </w:tc>
        <w:tc>
          <w:tcPr>
            <w:tcW w:w="14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1、清理原有活性炭（一季度一次，共四次，每次约合6.5吨）2、安装全新的活性炭（一季度一次，共四次每次约合6.5吨） 3、对更换下来的活性炭进行危废品处理并提供相应的报告（约26吨）。</w:t>
            </w:r>
          </w:p>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w:t>
            </w:r>
          </w:p>
        </w:tc>
      </w:tr>
    </w:tbl>
    <w:p>
      <w:pPr>
        <w:spacing w:line="384" w:lineRule="auto"/>
        <w:ind w:firstLine="480" w:firstLineChars="200"/>
        <w:rPr>
          <w:rFonts w:hint="eastAsia" w:ascii="宋体" w:hAnsi="宋体" w:cs="宋体"/>
          <w:b/>
          <w:bCs/>
          <w:sz w:val="24"/>
        </w:rPr>
      </w:pPr>
      <w:r>
        <w:rPr>
          <w:rFonts w:hint="eastAsia" w:ascii="宋体" w:hAnsi="宋体" w:cs="宋体"/>
          <w:sz w:val="24"/>
        </w:rPr>
        <w:t>所有活性炭的</w:t>
      </w:r>
      <w:r>
        <w:rPr>
          <w:rFonts w:hint="eastAsia" w:ascii="宋体" w:hAnsi="宋体" w:cs="宋体"/>
          <w:sz w:val="24"/>
          <w:lang w:val="en-US" w:eastAsia="zh-CN"/>
        </w:rPr>
        <w:t>采购、处置费、运输费、人工换炭费、省固废平台报备处理，</w:t>
      </w:r>
      <w:r>
        <w:rPr>
          <w:rFonts w:hint="eastAsia" w:ascii="宋体" w:hAnsi="宋体" w:cs="宋体"/>
          <w:sz w:val="24"/>
        </w:rPr>
        <w:t>一价全包，不得收取额外费用</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8" w:name="_Toc87616402"/>
      <w:bookmarkStart w:id="169" w:name="_Toc16386"/>
      <w:bookmarkStart w:id="170" w:name="_Toc6058"/>
      <w:bookmarkStart w:id="171"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8"/>
      <w:bookmarkEnd w:id="169"/>
      <w:bookmarkEnd w:id="170"/>
      <w:bookmarkEnd w:id="17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i+/60BAABM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1J7gvQ0o9PXL6dvP07fP7PnpT9jwpbSHhIl5ulVnGjOsx/JWWRPBnz5kiBG&#10;cYI6Xrurp8xUebRarlYNhRTF5gvhi8fnCTC/1tGzYnQcaHy1q/LwFvM5dU4p1UK8t87VEbrwm4Mw&#10;i0cU7meOxcrTdroI2sb+SHpGmnzHA60mZ+5NoMaWJZkNmI3tbOwT2N1Qt6jUw/Ryn4lE5VYqnGEv&#10;hWlkVd1lvcpO/HqvWY8/we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PNYvv+tAQAATAMA&#10;AA4AAAAAAAAAAQAgAAAAHgEAAGRycy9lMm9Eb2MueG1sUEsFBgAAAAAGAAYAWQEAAD0FA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f3nYetAQAATAMA&#10;AA4AAAAAAAAAAQAgAAAAHgEAAGRycy9lMm9Eb2MueG1sUEsFBgAAAAAGAAYAWQEAAD0FAAAAAA==&#10;">
              <v:fill on="f" focussize="0,0"/>
              <v:stroke on="f"/>
              <v:imagedata o:title=""/>
              <o:lock v:ext="edit" aspectratio="f"/>
              <v:textbox inset="0mm,0mm,0mm,0mm" style="mso-fit-shape-to-text:t;">
                <w:txbxContent>
                  <w:p>
                    <w:pPr>
                      <w:pStyle w:val="20"/>
                    </w:pPr>
                  </w:p>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20"/>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Vn3a4BAABM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P7TInjFme0f37av/ze/3ok09yfPkCNaQ8BE9Nw7QfMHf2Azix7UNHmLwoi&#10;GMdO707dlUMiIj+az+bzCkMCY+MF8dnr8xAh3UlvSTYaGnF8pat8+wXSIXVMydWcv9XGlBEa948D&#10;MbOHZe4HjtlKw2o4Clr5dod6epx8Qx2uJiXm3mFj85KMRhyN1WhsQtTrrmxRrgfhapOQROGWKxxg&#10;j4VxZEXdcb3yTvx9L1mvP8H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zhWfdrgEAAEwD&#10;AAAOAAAAAAAAAAEAIAAAAB4BAABkcnMvZTJvRG9jLnhtbFBLBQYAAAAABgAGAFkBAAA+BQ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ECF2B62"/>
    <w:multiLevelType w:val="singleLevel"/>
    <w:tmpl w:val="1ECF2B62"/>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1776158"/>
    <w:rsid w:val="02090C75"/>
    <w:rsid w:val="02A23A3C"/>
    <w:rsid w:val="035D130A"/>
    <w:rsid w:val="039110A9"/>
    <w:rsid w:val="03AC246A"/>
    <w:rsid w:val="03B23056"/>
    <w:rsid w:val="03DC3EBA"/>
    <w:rsid w:val="03F9794D"/>
    <w:rsid w:val="046A2461"/>
    <w:rsid w:val="04A4679F"/>
    <w:rsid w:val="051C2970"/>
    <w:rsid w:val="05D905CE"/>
    <w:rsid w:val="060C3611"/>
    <w:rsid w:val="06C64829"/>
    <w:rsid w:val="070E7B6E"/>
    <w:rsid w:val="077D16D2"/>
    <w:rsid w:val="07FA78D4"/>
    <w:rsid w:val="082A69F3"/>
    <w:rsid w:val="08675FC8"/>
    <w:rsid w:val="09B713FD"/>
    <w:rsid w:val="09EF6ACC"/>
    <w:rsid w:val="0A315056"/>
    <w:rsid w:val="0AA213B4"/>
    <w:rsid w:val="0AF61C7E"/>
    <w:rsid w:val="0AFB45AD"/>
    <w:rsid w:val="0B140015"/>
    <w:rsid w:val="0B351E9B"/>
    <w:rsid w:val="0B4C50D3"/>
    <w:rsid w:val="0B806B92"/>
    <w:rsid w:val="0B827E94"/>
    <w:rsid w:val="0B842F76"/>
    <w:rsid w:val="0BD070E1"/>
    <w:rsid w:val="0BF741CD"/>
    <w:rsid w:val="0C247926"/>
    <w:rsid w:val="0D794204"/>
    <w:rsid w:val="0DA96B3C"/>
    <w:rsid w:val="0E2125D1"/>
    <w:rsid w:val="0E214211"/>
    <w:rsid w:val="0E5F2769"/>
    <w:rsid w:val="0F4D75A3"/>
    <w:rsid w:val="0F5B2DCA"/>
    <w:rsid w:val="0FED051E"/>
    <w:rsid w:val="0FEE4C29"/>
    <w:rsid w:val="10031608"/>
    <w:rsid w:val="10046082"/>
    <w:rsid w:val="104974DD"/>
    <w:rsid w:val="111703D2"/>
    <w:rsid w:val="112B101A"/>
    <w:rsid w:val="119B53FC"/>
    <w:rsid w:val="119D77CA"/>
    <w:rsid w:val="1215733B"/>
    <w:rsid w:val="12424CDC"/>
    <w:rsid w:val="129A2738"/>
    <w:rsid w:val="12B56BF1"/>
    <w:rsid w:val="12CB1A89"/>
    <w:rsid w:val="131840FB"/>
    <w:rsid w:val="13467417"/>
    <w:rsid w:val="136E76CF"/>
    <w:rsid w:val="145F08C6"/>
    <w:rsid w:val="15776308"/>
    <w:rsid w:val="15BC6B3C"/>
    <w:rsid w:val="16360A7B"/>
    <w:rsid w:val="164D40B0"/>
    <w:rsid w:val="1694429A"/>
    <w:rsid w:val="17635326"/>
    <w:rsid w:val="17795FE3"/>
    <w:rsid w:val="17B803EA"/>
    <w:rsid w:val="1815096B"/>
    <w:rsid w:val="18236EFD"/>
    <w:rsid w:val="189D5B1F"/>
    <w:rsid w:val="18A34CD0"/>
    <w:rsid w:val="18DA1173"/>
    <w:rsid w:val="19A53EA8"/>
    <w:rsid w:val="19B64DBC"/>
    <w:rsid w:val="19EC6A4A"/>
    <w:rsid w:val="1A373ACF"/>
    <w:rsid w:val="1A694C4D"/>
    <w:rsid w:val="1A895341"/>
    <w:rsid w:val="1B0D071F"/>
    <w:rsid w:val="1B4568CE"/>
    <w:rsid w:val="1B8D7E4C"/>
    <w:rsid w:val="1B9015B7"/>
    <w:rsid w:val="1B950DA6"/>
    <w:rsid w:val="1BF54245"/>
    <w:rsid w:val="1C9A51E9"/>
    <w:rsid w:val="1D0E6976"/>
    <w:rsid w:val="1D5A79EE"/>
    <w:rsid w:val="1E0E2CD0"/>
    <w:rsid w:val="1E831280"/>
    <w:rsid w:val="1EBC4704"/>
    <w:rsid w:val="1F172EB5"/>
    <w:rsid w:val="1F94592D"/>
    <w:rsid w:val="1FB860DE"/>
    <w:rsid w:val="203906AB"/>
    <w:rsid w:val="203C5A02"/>
    <w:rsid w:val="209D4C94"/>
    <w:rsid w:val="20E84705"/>
    <w:rsid w:val="218400BA"/>
    <w:rsid w:val="21AB1E2F"/>
    <w:rsid w:val="21D40498"/>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DF689D"/>
    <w:rsid w:val="28E11370"/>
    <w:rsid w:val="294A756A"/>
    <w:rsid w:val="29781BF8"/>
    <w:rsid w:val="29C33ED0"/>
    <w:rsid w:val="29D5322D"/>
    <w:rsid w:val="2A025DD9"/>
    <w:rsid w:val="2A2619CB"/>
    <w:rsid w:val="2A7C2231"/>
    <w:rsid w:val="2ABB753D"/>
    <w:rsid w:val="2AFE6EC4"/>
    <w:rsid w:val="2B7A49FA"/>
    <w:rsid w:val="2C615D26"/>
    <w:rsid w:val="2CB679ED"/>
    <w:rsid w:val="2D173C07"/>
    <w:rsid w:val="2D424A86"/>
    <w:rsid w:val="2DB35FAA"/>
    <w:rsid w:val="2DDA66B7"/>
    <w:rsid w:val="2E7B52DB"/>
    <w:rsid w:val="2ED60115"/>
    <w:rsid w:val="2F324CFE"/>
    <w:rsid w:val="2FBA09F1"/>
    <w:rsid w:val="2FEF2ACF"/>
    <w:rsid w:val="303B24B9"/>
    <w:rsid w:val="30540211"/>
    <w:rsid w:val="30C93D5E"/>
    <w:rsid w:val="31112A0D"/>
    <w:rsid w:val="311F4B20"/>
    <w:rsid w:val="312D7741"/>
    <w:rsid w:val="316F137F"/>
    <w:rsid w:val="31DF525F"/>
    <w:rsid w:val="31EC162B"/>
    <w:rsid w:val="32324C2E"/>
    <w:rsid w:val="327171DF"/>
    <w:rsid w:val="341E3434"/>
    <w:rsid w:val="34BB4442"/>
    <w:rsid w:val="358B7286"/>
    <w:rsid w:val="360B7EBA"/>
    <w:rsid w:val="36416867"/>
    <w:rsid w:val="36582414"/>
    <w:rsid w:val="369C32FD"/>
    <w:rsid w:val="37666E72"/>
    <w:rsid w:val="38081EA3"/>
    <w:rsid w:val="38167A04"/>
    <w:rsid w:val="381C3783"/>
    <w:rsid w:val="38CB7D09"/>
    <w:rsid w:val="394B167A"/>
    <w:rsid w:val="39DA2868"/>
    <w:rsid w:val="3A055F4B"/>
    <w:rsid w:val="3A4E4336"/>
    <w:rsid w:val="3A6007FE"/>
    <w:rsid w:val="3AF93D6C"/>
    <w:rsid w:val="3B7C2CE4"/>
    <w:rsid w:val="3BAF716B"/>
    <w:rsid w:val="3C0B5355"/>
    <w:rsid w:val="3C857D57"/>
    <w:rsid w:val="3CD4176B"/>
    <w:rsid w:val="3D1F44D9"/>
    <w:rsid w:val="3D5C38CD"/>
    <w:rsid w:val="3DEA58A8"/>
    <w:rsid w:val="3E5070F1"/>
    <w:rsid w:val="3EC370CB"/>
    <w:rsid w:val="3F6C3589"/>
    <w:rsid w:val="3F850180"/>
    <w:rsid w:val="3F9004D6"/>
    <w:rsid w:val="400E4D5E"/>
    <w:rsid w:val="40E1138C"/>
    <w:rsid w:val="413814BA"/>
    <w:rsid w:val="41872511"/>
    <w:rsid w:val="41DF1251"/>
    <w:rsid w:val="424236D9"/>
    <w:rsid w:val="42466655"/>
    <w:rsid w:val="42C82F57"/>
    <w:rsid w:val="435707E5"/>
    <w:rsid w:val="43C76AF7"/>
    <w:rsid w:val="43E97E4A"/>
    <w:rsid w:val="4452165B"/>
    <w:rsid w:val="446828F0"/>
    <w:rsid w:val="45093E85"/>
    <w:rsid w:val="45C13B4D"/>
    <w:rsid w:val="46054BCA"/>
    <w:rsid w:val="464C6AFC"/>
    <w:rsid w:val="468B0091"/>
    <w:rsid w:val="46A107C3"/>
    <w:rsid w:val="46B15CE2"/>
    <w:rsid w:val="46BE113D"/>
    <w:rsid w:val="46E44B13"/>
    <w:rsid w:val="4703508A"/>
    <w:rsid w:val="4731562E"/>
    <w:rsid w:val="475023F8"/>
    <w:rsid w:val="479D361E"/>
    <w:rsid w:val="47B74789"/>
    <w:rsid w:val="47D31B66"/>
    <w:rsid w:val="480F2B9D"/>
    <w:rsid w:val="48282920"/>
    <w:rsid w:val="485321E0"/>
    <w:rsid w:val="48546AD3"/>
    <w:rsid w:val="48CA4868"/>
    <w:rsid w:val="48F005D3"/>
    <w:rsid w:val="49547ADD"/>
    <w:rsid w:val="49732351"/>
    <w:rsid w:val="498F4AF1"/>
    <w:rsid w:val="499652FE"/>
    <w:rsid w:val="49C05787"/>
    <w:rsid w:val="49CF518D"/>
    <w:rsid w:val="4ADA1F63"/>
    <w:rsid w:val="4AE23D89"/>
    <w:rsid w:val="4B2038D0"/>
    <w:rsid w:val="4B296E7D"/>
    <w:rsid w:val="4B79394E"/>
    <w:rsid w:val="4B877F28"/>
    <w:rsid w:val="4C6913F8"/>
    <w:rsid w:val="4D916BA6"/>
    <w:rsid w:val="4DC44169"/>
    <w:rsid w:val="4DE24E21"/>
    <w:rsid w:val="4E1B19A3"/>
    <w:rsid w:val="4E48787F"/>
    <w:rsid w:val="4EF0709E"/>
    <w:rsid w:val="4F0469A4"/>
    <w:rsid w:val="50540C73"/>
    <w:rsid w:val="50A03072"/>
    <w:rsid w:val="513C6A7B"/>
    <w:rsid w:val="532D486F"/>
    <w:rsid w:val="5333545B"/>
    <w:rsid w:val="538D0E89"/>
    <w:rsid w:val="5450213C"/>
    <w:rsid w:val="54D24048"/>
    <w:rsid w:val="54D64CD5"/>
    <w:rsid w:val="55887D69"/>
    <w:rsid w:val="561A0928"/>
    <w:rsid w:val="56423872"/>
    <w:rsid w:val="569E06BC"/>
    <w:rsid w:val="56A94EFD"/>
    <w:rsid w:val="56B279F0"/>
    <w:rsid w:val="56F20F86"/>
    <w:rsid w:val="56F830AB"/>
    <w:rsid w:val="579D710E"/>
    <w:rsid w:val="581F22F6"/>
    <w:rsid w:val="586E1E17"/>
    <w:rsid w:val="58862C35"/>
    <w:rsid w:val="58C14957"/>
    <w:rsid w:val="58CC23D2"/>
    <w:rsid w:val="58E66050"/>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CC542E"/>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C366E87"/>
    <w:rsid w:val="6EBC0B3A"/>
    <w:rsid w:val="6EDD5259"/>
    <w:rsid w:val="6EF51C7D"/>
    <w:rsid w:val="6F8363E5"/>
    <w:rsid w:val="6FA80CCD"/>
    <w:rsid w:val="6FAC3CC5"/>
    <w:rsid w:val="6FC746F5"/>
    <w:rsid w:val="70317AC6"/>
    <w:rsid w:val="704B26F7"/>
    <w:rsid w:val="70697B21"/>
    <w:rsid w:val="70863262"/>
    <w:rsid w:val="70A76ED3"/>
    <w:rsid w:val="71860B17"/>
    <w:rsid w:val="71A14742"/>
    <w:rsid w:val="721D600E"/>
    <w:rsid w:val="723B27CC"/>
    <w:rsid w:val="72687227"/>
    <w:rsid w:val="72A03FD9"/>
    <w:rsid w:val="72CC36B1"/>
    <w:rsid w:val="73406CFF"/>
    <w:rsid w:val="7383028C"/>
    <w:rsid w:val="73A25E44"/>
    <w:rsid w:val="73DD49CC"/>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ECB7F15"/>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Block Text"/>
    <w:basedOn w:val="1"/>
    <w:next w:val="7"/>
    <w:qFormat/>
    <w:uiPriority w:val="0"/>
    <w:rPr>
      <w:rFonts w:ascii="Times New Roman" w:hAnsi="Times New Roman"/>
      <w:szCs w:val="21"/>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39"/>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7"/>
    <w:link w:val="21"/>
    <w:semiHidden/>
    <w:qFormat/>
    <w:uiPriority w:val="99"/>
    <w:rPr>
      <w:sz w:val="18"/>
      <w:szCs w:val="18"/>
    </w:rPr>
  </w:style>
  <w:style w:type="character" w:customStyle="1" w:styleId="33">
    <w:name w:val="页脚 Char"/>
    <w:basedOn w:val="27"/>
    <w:link w:val="20"/>
    <w:qFormat/>
    <w:uiPriority w:val="99"/>
    <w:rPr>
      <w:sz w:val="18"/>
      <w:szCs w:val="18"/>
    </w:rPr>
  </w:style>
  <w:style w:type="character" w:customStyle="1" w:styleId="34">
    <w:name w:val="标题 1 Char"/>
    <w:basedOn w:val="27"/>
    <w:link w:val="4"/>
    <w:qFormat/>
    <w:uiPriority w:val="9"/>
    <w:rPr>
      <w:rFonts w:eastAsia="方正小标宋简体"/>
      <w:bCs/>
      <w:kern w:val="44"/>
      <w:sz w:val="44"/>
      <w:szCs w:val="44"/>
    </w:rPr>
  </w:style>
  <w:style w:type="character" w:customStyle="1" w:styleId="35">
    <w:name w:val="标题 2 Char"/>
    <w:basedOn w:val="27"/>
    <w:link w:val="5"/>
    <w:qFormat/>
    <w:uiPriority w:val="9"/>
    <w:rPr>
      <w:rFonts w:eastAsia="方正小标宋简体" w:asciiTheme="majorHAnsi" w:hAnsiTheme="majorHAnsi" w:cstheme="majorBidi"/>
      <w:bCs/>
      <w:sz w:val="36"/>
      <w:szCs w:val="32"/>
    </w:rPr>
  </w:style>
  <w:style w:type="character" w:customStyle="1" w:styleId="36">
    <w:name w:val="标题 3 Char"/>
    <w:basedOn w:val="27"/>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9"/>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6"/>
    <w:next w:val="16"/>
    <w:qFormat/>
    <w:uiPriority w:val="0"/>
    <w:pPr>
      <w:spacing w:after="373"/>
    </w:pPr>
    <w:rPr>
      <w:color w:val="auto"/>
    </w:rPr>
  </w:style>
  <w:style w:type="paragraph" w:customStyle="1" w:styleId="42">
    <w:name w:val="CM91"/>
    <w:basedOn w:val="16"/>
    <w:next w:val="16"/>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7"/>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3</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2022-06-22T06:01:00Z</cp:lastPrinted>
  <dcterms:modified xsi:type="dcterms:W3CDTF">2022-07-14T08:29:08Z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