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b/>
          <w:bCs/>
          <w:sz w:val="48"/>
          <w:szCs w:val="48"/>
        </w:rPr>
      </w:pPr>
      <w:r>
        <w:rPr>
          <w:rFonts w:hint="eastAsia" w:ascii="宋体" w:hAnsi="宋体" w:eastAsia="宋体" w:cs="宋体"/>
          <w:b/>
          <w:bCs/>
          <w:sz w:val="52"/>
          <w:szCs w:val="52"/>
        </w:rPr>
        <w:t>广州市净水有限公司</w:t>
      </w:r>
      <w:r>
        <w:rPr>
          <w:rFonts w:hint="eastAsia" w:ascii="宋体" w:hAnsi="宋体" w:eastAsia="宋体" w:cs="宋体"/>
          <w:b/>
          <w:bCs/>
          <w:sz w:val="48"/>
          <w:szCs w:val="48"/>
        </w:rPr>
        <w:t>2022年度公司</w:t>
      </w:r>
    </w:p>
    <w:p>
      <w:pPr>
        <w:jc w:val="center"/>
        <w:rPr>
          <w:rFonts w:hint="eastAsia" w:ascii="宋体" w:hAnsi="宋体" w:eastAsia="宋体" w:cs="宋体"/>
          <w:b/>
          <w:bCs/>
          <w:sz w:val="52"/>
          <w:szCs w:val="52"/>
        </w:rPr>
      </w:pPr>
      <w:r>
        <w:rPr>
          <w:rFonts w:hint="eastAsia" w:ascii="宋体" w:hAnsi="宋体" w:eastAsia="宋体" w:cs="宋体"/>
          <w:b/>
          <w:bCs/>
          <w:sz w:val="48"/>
          <w:szCs w:val="48"/>
        </w:rPr>
        <w:t>健康码核验终端设备购置项目</w:t>
      </w:r>
    </w:p>
    <w:p>
      <w:pPr>
        <w:jc w:val="center"/>
        <w:rPr>
          <w:rFonts w:ascii="方正小标宋简体" w:eastAsia="方正小标宋简体"/>
          <w:sz w:val="52"/>
          <w:szCs w:val="52"/>
        </w:rPr>
      </w:pP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月</w:t>
      </w:r>
    </w:p>
    <w:p>
      <w:pP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11"/>
      <w:bookmarkStart w:id="3" w:name="_Toc17696"/>
    </w:p>
    <w:p/>
    <w:p>
      <w:pPr>
        <w:pStyle w:val="2"/>
      </w:pPr>
    </w:p>
    <w:p>
      <w:pPr>
        <w:pStyle w:val="2"/>
      </w:pPr>
    </w:p>
    <w:p>
      <w:pPr>
        <w:pStyle w:val="2"/>
      </w:pPr>
    </w:p>
    <w:p>
      <w:pPr>
        <w:pStyle w:val="2"/>
      </w:pPr>
    </w:p>
    <w:p>
      <w:pPr>
        <w:pStyle w:val="4"/>
      </w:pPr>
      <w:bookmarkStart w:id="4" w:name="_Toc11322"/>
      <w:bookmarkStart w:id="5" w:name="_Toc7519"/>
      <w:bookmarkStart w:id="6" w:name="_Toc1669"/>
      <w:bookmarkStart w:id="7" w:name="_Toc4275"/>
      <w:bookmarkStart w:id="8" w:name="_Toc31938"/>
      <w:bookmarkStart w:id="9" w:name="_Toc17801"/>
      <w:bookmarkStart w:id="10" w:name="_Toc19609"/>
    </w:p>
    <w:p>
      <w:pPr>
        <w:pStyle w:val="4"/>
      </w:pPr>
    </w:p>
    <w:p>
      <w:pPr>
        <w:pStyle w:val="4"/>
      </w:pPr>
    </w:p>
    <w:p>
      <w:pPr>
        <w:pStyle w:val="4"/>
      </w:pPr>
      <w:r>
        <mc:AlternateContent>
          <mc:Choice Requires="wps">
            <w:drawing>
              <wp:anchor distT="0" distB="0" distL="114300" distR="114300" simplePos="0" relativeHeight="25166540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540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VEUxu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438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WAiYnaAQAAlgMAAA4AAABkcnMvZTJvRG9jLnhtbK1TS44T&#10;MRDdI3EHy/tJJxll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5ecObDUo+8fvvx4//Hu07e7r5/Z5Cp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A1gImJ2gEAAJYDAAAOAAAA&#10;AAAAAAEAIAAAACUBAABkcnMvZTJvRG9jLnhtbFBLBQYAAAAABgAGAFkBAABx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bookmarkStart w:id="11" w:name="_Toc8201"/>
      <w:bookmarkStart w:id="12" w:name="_Toc10122"/>
      <w:bookmarkStart w:id="13" w:name="_Toc14238"/>
      <w:bookmarkStart w:id="14" w:name="_Toc15709"/>
      <w:bookmarkStart w:id="15" w:name="_Toc999"/>
      <w:bookmarkStart w:id="16" w:name="_Toc88209924"/>
      <w:bookmarkStart w:id="17" w:name="_Toc28995"/>
      <w:bookmarkStart w:id="18" w:name="_Toc5230"/>
      <w:bookmarkStart w:id="19" w:name="_Toc2659"/>
      <w:bookmarkStart w:id="20" w:name="_Toc26363"/>
      <w:bookmarkStart w:id="21" w:name="_Toc30989"/>
      <w:bookmarkStart w:id="22" w:name="_Toc30131"/>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pStyle w:val="5"/>
        <w:spacing w:line="600" w:lineRule="exact"/>
        <w:rPr>
          <w:rFonts w:hint="eastAsia" w:ascii="宋体" w:hAnsi="宋体" w:eastAsia="宋体" w:cs="宋体"/>
          <w:b/>
          <w:bCs w:val="0"/>
        </w:rPr>
      </w:pPr>
      <w:bookmarkStart w:id="23" w:name="_Toc9680"/>
      <w:bookmarkStart w:id="24" w:name="_Toc21373"/>
      <w:r>
        <w:rPr>
          <w:rFonts w:hint="eastAsia" w:ascii="宋体" w:hAnsi="宋体" w:eastAsia="宋体" w:cs="宋体"/>
          <w:b/>
          <w:bCs w:val="0"/>
        </w:rPr>
        <w:t>广州市净水有限公司</w:t>
      </w:r>
    </w:p>
    <w:p>
      <w:pPr>
        <w:pStyle w:val="5"/>
        <w:spacing w:line="600" w:lineRule="exact"/>
      </w:pPr>
      <w:r>
        <w:rPr>
          <w:rFonts w:hint="eastAsia" w:ascii="宋体" w:hAnsi="宋体" w:eastAsia="宋体" w:cs="宋体"/>
          <w:b/>
          <w:bCs w:val="0"/>
        </w:rPr>
        <w:t>2022年度公司健康码核验终端设备购置项目采购公告</w:t>
      </w:r>
      <w:bookmarkEnd w:id="23"/>
      <w:bookmarkEnd w:id="24"/>
    </w:p>
    <w:p>
      <w:pPr>
        <w:pStyle w:val="5"/>
        <w:ind w:firstLine="560" w:firstLineChars="200"/>
        <w:jc w:val="left"/>
        <w:rPr>
          <w:rFonts w:ascii="仿宋_GB2312" w:eastAsia="仿宋_GB2312"/>
          <w:sz w:val="28"/>
          <w:szCs w:val="28"/>
          <w:u w:val="single"/>
        </w:rPr>
      </w:pPr>
      <w:r>
        <w:rPr>
          <w:rFonts w:hint="eastAsia" w:ascii="仿宋_GB2312" w:eastAsia="仿宋_GB2312" w:hAnsiTheme="minorHAnsi" w:cstheme="minorBidi"/>
          <w:sz w:val="28"/>
          <w:szCs w:val="28"/>
          <w:u w:val="single"/>
        </w:rPr>
        <w:t>广州市净水有限公司2022年度公司健康码核验终端设备购置项目</w:t>
      </w:r>
      <w:r>
        <w:rPr>
          <w:rFonts w:hint="eastAsia" w:ascii="仿宋_GB2312" w:eastAsia="仿宋_GB2312"/>
          <w:sz w:val="28"/>
          <w:szCs w:val="28"/>
        </w:rPr>
        <w:t>已具备采购条件，现对该</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52"/>
      </w:r>
      <w:r>
        <w:rPr>
          <w:rFonts w:hint="eastAsia" w:ascii="仿宋_GB2312" w:eastAsia="仿宋_GB2312"/>
          <w:sz w:val="28"/>
          <w:szCs w:val="28"/>
        </w:rPr>
        <w:t xml:space="preserve">货物 </w:t>
      </w:r>
      <w:r>
        <w:rPr>
          <w:rFonts w:hint="eastAsia" w:ascii="仿宋_GB2312" w:eastAsia="仿宋_GB2312"/>
          <w:sz w:val="28"/>
          <w:szCs w:val="28"/>
        </w:rPr>
        <w:sym w:font="Wingdings 2" w:char="00A3"/>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1.1采购项目名称：广州市净水有限公司2022年度公司健康码核验终端设备购置项目   </w:t>
      </w:r>
    </w:p>
    <w:p>
      <w:pPr>
        <w:widowControl/>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lang w:val="en-US" w:eastAsia="zh-CN"/>
        </w:rPr>
        <w:t>XJ-20220713-3</w:t>
      </w:r>
      <w:r>
        <w:rPr>
          <w:rFonts w:hint="eastAsia" w:ascii="仿宋_GB2312" w:eastAsia="仿宋_GB2312"/>
          <w:sz w:val="28"/>
          <w:szCs w:val="28"/>
          <w:lang w:bidi="ar"/>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1.4最高限价：</w:t>
      </w:r>
      <w:r>
        <w:rPr>
          <w:rFonts w:hint="eastAsia" w:ascii="仿宋_GB2312" w:eastAsia="仿宋_GB2312"/>
          <w:sz w:val="28"/>
          <w:szCs w:val="28"/>
          <w:lang w:val="en-US" w:eastAsia="zh-CN"/>
        </w:rPr>
        <w:t>462</w:t>
      </w:r>
      <w:r>
        <w:rPr>
          <w:rFonts w:hint="eastAsia" w:ascii="仿宋_GB2312" w:eastAsia="仿宋_GB2312"/>
          <w:sz w:val="28"/>
          <w:szCs w:val="28"/>
        </w:rPr>
        <w:t>,</w:t>
      </w:r>
      <w:r>
        <w:rPr>
          <w:rFonts w:hint="eastAsia" w:ascii="仿宋_GB2312" w:eastAsia="仿宋_GB2312"/>
          <w:sz w:val="28"/>
          <w:szCs w:val="28"/>
          <w:lang w:val="en-US" w:eastAsia="zh-CN"/>
        </w:rPr>
        <w:t>51</w:t>
      </w:r>
      <w:r>
        <w:rPr>
          <w:rFonts w:hint="eastAsia" w:ascii="仿宋_GB2312" w:eastAsia="仿宋_GB2312"/>
          <w:sz w:val="28"/>
          <w:szCs w:val="28"/>
        </w:rPr>
        <w:t>0</w:t>
      </w:r>
      <w:r>
        <w:rPr>
          <w:rFonts w:ascii="仿宋_GB2312" w:eastAsia="仿宋_GB2312"/>
          <w:sz w:val="28"/>
          <w:szCs w:val="28"/>
        </w:rPr>
        <w:t>.00</w:t>
      </w:r>
      <w:r>
        <w:rPr>
          <w:rFonts w:hint="eastAsia" w:ascii="仿宋_GB2312" w:eastAsia="仿宋_GB2312"/>
          <w:sz w:val="28"/>
          <w:szCs w:val="28"/>
          <w:lang w:val="zh-CN"/>
        </w:rPr>
        <w:t>元</w:t>
      </w:r>
      <w:r>
        <w:rPr>
          <w:rFonts w:hint="eastAsia" w:ascii="仿宋_GB2312" w:eastAsia="仿宋_GB2312"/>
          <w:sz w:val="28"/>
          <w:szCs w:val="28"/>
        </w:rPr>
        <w:t>（人民币）</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1.5标段划分：无。</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2.1采购内容和范围：为达到净水公司疫情防控目标，需要在广州市净水公司的13个厂区增加部署共27套疫情防控终端，</w:t>
      </w:r>
      <w:r>
        <w:rPr>
          <w:rFonts w:hint="eastAsia" w:ascii="仿宋_GB2312" w:eastAsia="仿宋_GB2312"/>
          <w:sz w:val="28"/>
          <w:szCs w:val="28"/>
          <w:lang w:eastAsia="zh-Hans"/>
        </w:rPr>
        <w:t>并能接入</w:t>
      </w:r>
      <w:r>
        <w:rPr>
          <w:rFonts w:hint="eastAsia" w:ascii="仿宋_GB2312" w:hAnsi="仿宋_GB2312" w:eastAsia="仿宋_GB2312" w:cs="仿宋_GB2312"/>
          <w:sz w:val="28"/>
          <w:szCs w:val="28"/>
        </w:rPr>
        <w:t>广州净水公司疫情防控大数据查验分析系统</w:t>
      </w:r>
      <w:r>
        <w:rPr>
          <w:rFonts w:hint="eastAsia" w:ascii="仿宋_GB2312" w:hAnsi="仿宋_GB2312" w:eastAsia="仿宋_GB2312" w:cs="仿宋_GB2312"/>
          <w:sz w:val="28"/>
          <w:szCs w:val="28"/>
          <w:lang w:eastAsia="zh-Hans"/>
        </w:rPr>
        <w:t>，</w:t>
      </w:r>
      <w:r>
        <w:rPr>
          <w:rFonts w:hint="eastAsia" w:ascii="仿宋_GB2312" w:eastAsia="仿宋_GB2312"/>
          <w:sz w:val="28"/>
          <w:szCs w:val="28"/>
        </w:rPr>
        <w:t>完成对进厂人员（包括员工、常驻人员、访客）的实时健康信息及疫苗接种信息的核验。</w:t>
      </w:r>
    </w:p>
    <w:p>
      <w:pPr>
        <w:autoSpaceDE w:val="0"/>
        <w:autoSpaceDN w:val="0"/>
        <w:ind w:firstLine="560" w:firstLineChars="200"/>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A3"/>
      </w:r>
      <w:r>
        <w:rPr>
          <w:rFonts w:hint="eastAsia" w:ascii="仿宋_GB2312" w:eastAsia="仿宋_GB2312"/>
          <w:sz w:val="28"/>
          <w:szCs w:val="28"/>
        </w:rPr>
        <w:t xml:space="preserve">服务期为  </w:t>
      </w:r>
      <w:r>
        <w:rPr>
          <w:rFonts w:hint="eastAsia" w:ascii="仿宋_GB2312" w:eastAsia="仿宋_GB2312"/>
          <w:sz w:val="28"/>
          <w:szCs w:val="28"/>
          <w:u w:val="single"/>
          <w:lang w:eastAsia="zh-Hans"/>
        </w:rPr>
        <w:t>共</w:t>
      </w:r>
      <w:r>
        <w:rPr>
          <w:rFonts w:ascii="仿宋_GB2312" w:eastAsia="仿宋_GB2312"/>
          <w:sz w:val="28"/>
          <w:szCs w:val="28"/>
          <w:u w:val="single"/>
          <w:lang w:eastAsia="zh-Hans"/>
        </w:rPr>
        <w:t>5</w:t>
      </w:r>
      <w:r>
        <w:rPr>
          <w:rFonts w:hint="eastAsia" w:ascii="仿宋_GB2312" w:eastAsia="仿宋_GB2312"/>
          <w:sz w:val="28"/>
          <w:szCs w:val="28"/>
          <w:u w:val="single"/>
        </w:rPr>
        <w:t>天</w:t>
      </w:r>
      <w:r>
        <w:rPr>
          <w:rFonts w:hint="eastAsia" w:ascii="仿宋_GB2312" w:eastAsia="仿宋_GB2312"/>
          <w:sz w:val="28"/>
          <w:szCs w:val="28"/>
          <w:u w:val="single"/>
          <w:lang w:eastAsia="zh-Hans"/>
        </w:rPr>
        <w:t>（日历日）</w:t>
      </w:r>
      <w:r>
        <w:rPr>
          <w:rFonts w:hint="eastAsia" w:ascii="仿宋_GB2312" w:eastAsia="仿宋_GB2312"/>
          <w:sz w:val="28"/>
          <w:szCs w:val="28"/>
          <w:u w:val="single"/>
        </w:rPr>
        <w:t>，</w:t>
      </w:r>
      <w:r>
        <w:rPr>
          <w:rFonts w:hint="eastAsia" w:ascii="仿宋_GB2312" w:eastAsia="仿宋_GB2312"/>
          <w:sz w:val="28"/>
          <w:szCs w:val="28"/>
          <w:u w:val="single"/>
          <w:lang w:eastAsia="zh-Hans"/>
        </w:rPr>
        <w:t>要求</w:t>
      </w:r>
      <w:r>
        <w:rPr>
          <w:rFonts w:hint="eastAsia" w:ascii="仿宋_GB2312" w:eastAsia="仿宋_GB2312"/>
          <w:sz w:val="28"/>
          <w:szCs w:val="28"/>
          <w:u w:val="single"/>
          <w:lang w:val="en-US" w:eastAsia="zh-CN"/>
        </w:rPr>
        <w:t>合同签订后</w:t>
      </w:r>
      <w:r>
        <w:rPr>
          <w:rFonts w:ascii="仿宋_GB2312" w:eastAsia="仿宋_GB2312"/>
          <w:sz w:val="28"/>
          <w:szCs w:val="28"/>
          <w:u w:val="single"/>
          <w:lang w:eastAsia="zh-Hans"/>
        </w:rPr>
        <w:t>3</w:t>
      </w:r>
      <w:r>
        <w:rPr>
          <w:rFonts w:hint="eastAsia" w:ascii="仿宋_GB2312" w:eastAsia="仿宋_GB2312"/>
          <w:sz w:val="28"/>
          <w:szCs w:val="28"/>
          <w:u w:val="single"/>
          <w:lang w:eastAsia="zh-Hans"/>
        </w:rPr>
        <w:t>天内完成设备到货签收；到货后</w:t>
      </w:r>
      <w:r>
        <w:rPr>
          <w:rFonts w:ascii="仿宋_GB2312" w:eastAsia="仿宋_GB2312"/>
          <w:sz w:val="28"/>
          <w:szCs w:val="28"/>
          <w:u w:val="single"/>
          <w:lang w:eastAsia="zh-Hans"/>
        </w:rPr>
        <w:t>2</w:t>
      </w:r>
      <w:r>
        <w:rPr>
          <w:rFonts w:hint="eastAsia" w:ascii="仿宋_GB2312" w:eastAsia="仿宋_GB2312"/>
          <w:sz w:val="28"/>
          <w:szCs w:val="28"/>
          <w:u w:val="single"/>
          <w:lang w:eastAsia="zh-Hans"/>
        </w:rPr>
        <w:t>天完成设备安装及验收。</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rPr>
        <w:sym w:font="Wingdings 2" w:char="00A3"/>
      </w:r>
      <w:r>
        <w:rPr>
          <w:rFonts w:hint="eastAsia" w:ascii="仿宋_GB2312" w:eastAsia="仿宋_GB2312"/>
          <w:sz w:val="28"/>
          <w:szCs w:val="28"/>
        </w:rPr>
        <w:t>服务地点位于广州净水公司各厂区。</w:t>
      </w:r>
    </w:p>
    <w:p>
      <w:pPr>
        <w:autoSpaceDE w:val="0"/>
        <w:autoSpaceDN w:val="0"/>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服务质量要求或服务标准如下：满足询价文件中所有要求。</w:t>
      </w:r>
    </w:p>
    <w:p>
      <w:pPr>
        <w:autoSpaceDE w:val="0"/>
        <w:autoSpaceDN w:val="0"/>
        <w:rPr>
          <w:rFonts w:ascii="仿宋_GB2312" w:eastAsia="仿宋_GB2312"/>
          <w:sz w:val="28"/>
          <w:szCs w:val="28"/>
        </w:rPr>
      </w:pP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（1）报价单位须是在中华人民共和国境内注册的独立法人或依法登记注册的其他组织，持有事业单位登记管理部门核发的事业单位法人证书或工商行政管理部门核发的企业法人营业执照，且在有效期内。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）2019年1月1日至今，供应商最少具有一项类似健康码核验终端设备供货及安装业绩。（提供合同复印件证明，包括但不限于项目名称、金额及实施内容、合同签字盖章、签订日期，加盖单位公章）。</w:t>
      </w:r>
    </w:p>
    <w:p>
      <w:pPr>
        <w:autoSpaceDE w:val="0"/>
        <w:autoSpaceDN w:val="0"/>
        <w:spacing w:line="300" w:lineRule="auto"/>
        <w:jc w:val="left"/>
        <w:outlineLvl w:val="0"/>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）其他要求：</w:t>
      </w:r>
    </w:p>
    <w:p>
      <w:pPr>
        <w:autoSpaceDE w:val="0"/>
        <w:autoSpaceDN w:val="0"/>
        <w:spacing w:line="300" w:lineRule="auto"/>
        <w:jc w:val="left"/>
        <w:outlineLvl w:val="0"/>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日至</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18</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□组织</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供应商可自行选择是否前往现场踏勘，若前往现场踏勘须在规定时间内到达集中地点，逾期不再接待。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w:t>
      </w:r>
      <w:r>
        <w:rPr>
          <w:rFonts w:hint="eastAsia" w:ascii="仿宋_GB2312" w:eastAsia="仿宋_GB2312"/>
          <w:sz w:val="28"/>
          <w:szCs w:val="28"/>
          <w:lang w:val="en-US" w:eastAsia="zh-CN"/>
        </w:rPr>
        <w:t>15</w:t>
      </w:r>
      <w:r>
        <w:rPr>
          <w:rFonts w:hint="eastAsia" w:ascii="仿宋_GB2312" w:eastAsia="仿宋_GB2312"/>
          <w:sz w:val="28"/>
          <w:szCs w:val="28"/>
        </w:rPr>
        <w:t>时</w:t>
      </w:r>
      <w:r>
        <w:rPr>
          <w:rFonts w:hint="eastAsia" w:ascii="仿宋_GB2312" w:eastAsia="仿宋_GB2312"/>
          <w:sz w:val="28"/>
          <w:szCs w:val="28"/>
          <w:lang w:val="en-US" w:eastAsia="zh-CN"/>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
        <w:ind w:firstLine="560" w:firstLineChars="200"/>
        <w:rPr>
          <w:rFonts w:eastAsia="仿宋_GB2312"/>
        </w:rPr>
      </w:pPr>
      <w:r>
        <w:rPr>
          <w:rFonts w:hint="eastAsia" w:ascii="仿宋_GB2312" w:eastAsia="仿宋_GB2312"/>
          <w:sz w:val="28"/>
          <w:szCs w:val="28"/>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本项目询价公告（询价邀请书）、公告补充及修改同步在广州净水公司门户网站及阳光平台上发布。本公告在各媒体发布的文本如有不同之处，以广州净水公司门户网站为准</w:t>
      </w:r>
      <w:r>
        <w:rPr>
          <w:rFonts w:hint="eastAsia" w:ascii="仿宋_GB2312" w:hAnsi="Calibri" w:eastAsia="仿宋_GB2312" w:cs="Times New Roman"/>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14:textFill>
            <w14:solidFill>
              <w14:schemeClr w14:val="tx1"/>
            </w14:solidFill>
          </w14:textFill>
        </w:rPr>
        <w:t>38890841/</w:t>
      </w:r>
      <w:r>
        <w:rPr>
          <w:rFonts w:hint="eastAsia" w:ascii="仿宋_GB2312" w:hAnsi="仿宋" w:eastAsia="仿宋_GB2312"/>
          <w:color w:val="000000" w:themeColor="text1"/>
          <w:sz w:val="28"/>
          <w:szCs w:val="28"/>
          <w:u w:val="single"/>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2021年11月18至2022年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w:t>
            </w:r>
            <w:r>
              <w:rPr>
                <w:rFonts w:hint="eastAsia" w:ascii="仿宋" w:hAnsi="仿宋" w:eastAsia="仿宋" w:cs="仿宋"/>
                <w:sz w:val="28"/>
                <w:szCs w:val="28"/>
              </w:rPr>
              <w:t xml:space="preserve">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 w:hAnsi="仿宋" w:eastAsia="仿宋" w:cs="仿宋"/>
                <w:sz w:val="28"/>
                <w:szCs w:val="28"/>
              </w:rPr>
              <w:t>020-</w:t>
            </w:r>
            <w:r>
              <w:rPr>
                <w:rFonts w:hint="eastAsia" w:ascii="仿宋" w:hAnsi="仿宋" w:eastAsia="仿宋" w:cs="仿宋"/>
                <w:sz w:val="28"/>
                <w:szCs w:val="28"/>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w:t>
            </w:r>
          </w:p>
        </w:tc>
      </w:tr>
    </w:tbl>
    <w:p>
      <w:pPr>
        <w:jc w:val="left"/>
        <w:rPr>
          <w:rFonts w:ascii="仿宋" w:hAnsi="仿宋" w:eastAsia="仿宋" w:cs="仿宋"/>
          <w:b/>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bookmarkStart w:id="25" w:name="_Toc10891"/>
      <w:r>
        <w:rPr>
          <w:rFonts w:hint="eastAsia"/>
        </w:rPr>
        <w:br w:type="page"/>
      </w:r>
    </w:p>
    <w:p>
      <w:pPr>
        <w:pStyle w:val="4"/>
      </w:pPr>
      <w:bookmarkStart w:id="26" w:name="_Toc9448"/>
      <w:bookmarkStart w:id="27" w:name="_Toc23749"/>
      <w:bookmarkStart w:id="28" w:name="_Toc2331"/>
      <w:bookmarkStart w:id="29" w:name="_Toc25603"/>
      <w:bookmarkStart w:id="30" w:name="_Toc2324"/>
      <w:bookmarkStart w:id="31" w:name="_Toc16705"/>
      <w:bookmarkStart w:id="32" w:name="_Toc19295"/>
      <w:bookmarkStart w:id="33" w:name="_Toc16557"/>
      <w:bookmarkStart w:id="34" w:name="_Toc32588"/>
      <w:bookmarkStart w:id="35" w:name="_Toc7340"/>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5"/>
      </w:pPr>
      <w:bookmarkStart w:id="36" w:name="_Toc2339"/>
      <w:bookmarkStart w:id="37" w:name="_Toc3416"/>
      <w:r>
        <w:rPr>
          <w:rFonts w:hint="eastAsia"/>
        </w:rPr>
        <w:t>供应商须知</w:t>
      </w:r>
      <w:bookmarkEnd w:id="36"/>
      <w:bookmarkEnd w:id="37"/>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highlight w:val="non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2.本次交易的特别规定</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w:t>第三章</w:t>
      </w:r>
      <w:bookmarkEnd w:id="38"/>
      <w:bookmarkEnd w:id="39"/>
    </w:p>
    <w:p>
      <w:pPr>
        <w:pStyle w:val="5"/>
      </w:pPr>
      <w:bookmarkStart w:id="40" w:name="_Toc88209934"/>
      <w:bookmarkStart w:id="41" w:name="_Toc7040"/>
      <w:bookmarkStart w:id="42" w:name="_Toc7303"/>
      <w:bookmarkStart w:id="43" w:name="_Toc87616371"/>
      <w:r>
        <w:rPr>
          <w:rFonts w:hint="eastAsia"/>
        </w:rPr>
        <w:t>采购方法</w:t>
      </w:r>
      <w:bookmarkEnd w:id="40"/>
      <w:bookmarkEnd w:id="41"/>
      <w:bookmarkEnd w:id="42"/>
      <w:bookmarkEnd w:id="43"/>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9050"/>
      <w:bookmarkStart w:id="47" w:name="_Toc23581"/>
      <w:bookmarkStart w:id="48" w:name="_Toc4952"/>
      <w:bookmarkStart w:id="49" w:name="_Toc7437"/>
      <w:bookmarkStart w:id="50" w:name="_Toc19759"/>
      <w:bookmarkStart w:id="51" w:name="_Toc7118"/>
      <w:bookmarkStart w:id="52" w:name="_Toc14870"/>
      <w:bookmarkStart w:id="53" w:name="_Toc10930"/>
      <w:bookmarkStart w:id="54" w:name="_Toc3156"/>
      <w:bookmarkStart w:id="55" w:name="_Toc20594"/>
      <w:bookmarkStart w:id="56" w:name="_Toc14552"/>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4"/>
      </w:pPr>
      <w:bookmarkStart w:id="57" w:name="_Toc30530"/>
      <w:bookmarkStart w:id="58" w:name="_Toc29484"/>
      <w:bookmarkStart w:id="59" w:name="_Toc32607"/>
      <w:bookmarkStart w:id="60" w:name="_Toc21079"/>
      <w:bookmarkStart w:id="61" w:name="_Toc29345"/>
      <w:bookmarkStart w:id="62" w:name="_Toc21840"/>
      <w:bookmarkStart w:id="63" w:name="_Toc12177"/>
      <w:bookmarkStart w:id="64" w:name="_Toc22212"/>
      <w:bookmarkStart w:id="65" w:name="_Toc7831"/>
      <w:bookmarkStart w:id="66" w:name="_Toc13898"/>
      <w:bookmarkStart w:id="67" w:name="_Toc87616378"/>
      <w:bookmarkStart w:id="68" w:name="_Toc88209941"/>
      <w:bookmarkStart w:id="69" w:name="_Toc6308"/>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rPr>
        <w:t>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pPr>
      <w:bookmarkStart w:id="72" w:name="_Toc88209947"/>
      <w:r>
        <w:rPr>
          <w:rFonts w:hint="eastAsia"/>
        </w:rPr>
        <w:t>第五章</w:t>
      </w:r>
    </w:p>
    <w:p>
      <w:pPr>
        <w:pStyle w:val="5"/>
        <w:spacing w:before="20" w:after="20"/>
        <w:rPr>
          <w:szCs w:val="44"/>
        </w:rPr>
      </w:pPr>
      <w:r>
        <w:rPr>
          <w:rFonts w:hint="eastAsia"/>
          <w:szCs w:val="44"/>
        </w:rPr>
        <w:t>采购需求</w:t>
      </w:r>
      <w:bookmarkEnd w:id="72"/>
    </w:p>
    <w:p>
      <w:pPr>
        <w:pStyle w:val="13"/>
        <w:numPr>
          <w:ilvl w:val="0"/>
          <w:numId w:val="4"/>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13"/>
        <w:adjustRightInd w:val="0"/>
        <w:snapToGrid w:val="0"/>
        <w:spacing w:line="300" w:lineRule="auto"/>
        <w:ind w:firstLine="562"/>
      </w:pPr>
      <w:r>
        <w:rPr>
          <w:rFonts w:hint="eastAsia" w:ascii="仿宋" w:hAnsi="仿宋" w:eastAsia="仿宋" w:cs="仿宋"/>
          <w:sz w:val="28"/>
          <w:szCs w:val="28"/>
        </w:rPr>
        <w:t>随着公司发展以及疫情防控大数据查验系统完成全面实施，公司员工、 第三方常驻人员、临时访客数量增多，现有健康码核验终端数量已不能满足日常需要，为更有效提高防疫日常管控水平，需要增加健康码核验终端数量。本项目涵盖13个厂区，共增设27套疫情防控终端，完成对进厂人员（包括员工、常驻人员、访客）的实时健康信息和核酸、疫苗信息的核验以及数据上传至</w:t>
      </w:r>
      <w:r>
        <w:rPr>
          <w:rFonts w:hint="eastAsia" w:ascii="仿宋_GB2312" w:hAnsi="仿宋_GB2312" w:eastAsia="仿宋_GB2312" w:cs="仿宋_GB2312"/>
          <w:sz w:val="28"/>
          <w:szCs w:val="28"/>
        </w:rPr>
        <w:t>广州净水公司疫情防控大数据查验分析系统</w:t>
      </w:r>
      <w:r>
        <w:rPr>
          <w:rFonts w:hint="eastAsia" w:ascii="仿宋" w:hAnsi="仿宋" w:eastAsia="仿宋" w:cs="仿宋"/>
          <w:sz w:val="28"/>
          <w:szCs w:val="28"/>
        </w:rPr>
        <w:t>供数据统计汇总，</w:t>
      </w:r>
      <w:r>
        <w:rPr>
          <w:rFonts w:ascii="仿宋" w:hAnsi="仿宋" w:eastAsia="仿宋" w:cs="仿宋"/>
          <w:sz w:val="28"/>
          <w:szCs w:val="28"/>
          <w:lang w:eastAsia="zh-Hans"/>
        </w:rPr>
        <w:t>更全面的</w:t>
      </w:r>
      <w:r>
        <w:rPr>
          <w:rFonts w:hint="eastAsia" w:ascii="仿宋" w:hAnsi="仿宋" w:eastAsia="仿宋" w:cs="仿宋"/>
          <w:sz w:val="28"/>
          <w:szCs w:val="28"/>
        </w:rPr>
        <w:t>、</w:t>
      </w:r>
      <w:r>
        <w:rPr>
          <w:rFonts w:ascii="仿宋" w:hAnsi="仿宋" w:eastAsia="仿宋" w:cs="仿宋"/>
          <w:sz w:val="28"/>
          <w:szCs w:val="28"/>
          <w:lang w:eastAsia="zh-Hans"/>
        </w:rPr>
        <w:t>更科学的掌握进场人员的健康情况，为公司疫情管理提供依据</w:t>
      </w:r>
      <w:r>
        <w:rPr>
          <w:rFonts w:hint="eastAsia" w:ascii="仿宋" w:hAnsi="仿宋" w:eastAsia="仿宋" w:cs="仿宋"/>
          <w:sz w:val="28"/>
          <w:szCs w:val="28"/>
        </w:rPr>
        <w:t>，从而达到疫情防控目标</w:t>
      </w:r>
      <w:r>
        <w:rPr>
          <w:rFonts w:ascii="仿宋" w:hAnsi="仿宋" w:eastAsia="仿宋" w:cs="仿宋"/>
          <w:sz w:val="28"/>
          <w:szCs w:val="28"/>
          <w:lang w:eastAsia="zh-Hans"/>
        </w:rPr>
        <w:t>。</w:t>
      </w:r>
    </w:p>
    <w:p>
      <w:pPr>
        <w:pStyle w:val="13"/>
        <w:numPr>
          <w:ilvl w:val="0"/>
          <w:numId w:val="5"/>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numPr>
          <w:ilvl w:val="0"/>
          <w:numId w:val="6"/>
        </w:numPr>
        <w:autoSpaceDE w:val="0"/>
        <w:autoSpaceDN w:val="0"/>
        <w:ind w:firstLine="560" w:firstLineChars="200"/>
        <w:rPr>
          <w:rFonts w:ascii="仿宋_GB2312" w:hAnsi="仿宋_GB2312" w:eastAsia="仿宋_GB2312" w:cs="仿宋_GB2312"/>
          <w:sz w:val="28"/>
          <w:szCs w:val="28"/>
        </w:rPr>
      </w:pPr>
      <w:r>
        <w:rPr>
          <w:rFonts w:hint="eastAsia" w:ascii="仿宋" w:hAnsi="仿宋" w:eastAsia="仿宋" w:cs="仿宋"/>
          <w:sz w:val="28"/>
          <w:szCs w:val="28"/>
        </w:rPr>
        <w:t>疫情防控终端</w:t>
      </w:r>
      <w:r>
        <w:rPr>
          <w:rFonts w:hint="eastAsia" w:ascii="仿宋_GB2312" w:hAnsi="仿宋_GB2312" w:eastAsia="仿宋_GB2312" w:cs="仿宋_GB2312"/>
          <w:sz w:val="28"/>
          <w:szCs w:val="28"/>
        </w:rPr>
        <w:t>参数要求：</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屏幕参数： 7英寸触摸显示屏，屏幕比例9:16，屏幕分辨率600*1024；</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摄像头参数：采用宽动态200万双目摄像头；</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测温功能：集成热成像测温模组，测温距离在0.5m-1.5m之间，测温范围30℃-45℃，精度±0.5℃（无黑体）；支持身份认证（刷脸、刷卡等）+测温模式、仅测温模式；</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人脸识别：采用深度学习算法，支持单人或多人识别（最多5人同时认证）功能；支持照片、视频防假；1:N人脸识别速度≤0.2s，人脸验证准确率≥99%；</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存储容量：本地支持10000人脸库、50000张卡，15万条事件记录；</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认证结果语音自定义：集成文字转语音（TTS）和语音合成技术，认证成功和认证失败的语音可以分别配置4个时间段进行自定义播报，同时认证成功的语音可叠加播报姓名；</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黑名单核验：支持中心下发黑名单人员信息，实现本地黑名单核验；</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报警功能：设备支持防拆报警、门被外力开起报警、胁迫卡和胁迫密码报警、黑名单报警等；</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事件上传：在线状态下将设备认证结果信息及联动抓拍照片实时上传给平台，支持断网续传功能，设备离线状态下产生事件在与平台连接后会重新上传；</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单机使用：设备可进行本地管理，支持本地注册人脸、查询、设置、管理设备参数等；</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WEB管理：支持Web端管理，可进行人员管理、参数配置、事件查询、系统维护等操作。</w:t>
      </w:r>
    </w:p>
    <w:p>
      <w:pPr>
        <w:numPr>
          <w:ilvl w:val="255"/>
          <w:numId w:val="0"/>
        </w:numPr>
        <w:autoSpaceDE w:val="0"/>
        <w:autoSpaceDN w:val="0"/>
        <w:ind w:left="636" w:leftChars="303" w:firstLine="621" w:firstLineChars="222"/>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要求配套立柱支架</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电源</w:t>
      </w:r>
      <w:r>
        <w:rPr>
          <w:rFonts w:hint="eastAsia" w:ascii="仿宋_GB2312" w:hAnsi="仿宋_GB2312" w:eastAsia="仿宋_GB2312" w:cs="仿宋_GB2312"/>
          <w:sz w:val="28"/>
          <w:szCs w:val="28"/>
        </w:rPr>
        <w:t>和UPS</w:t>
      </w:r>
      <w:r>
        <w:rPr>
          <w:rFonts w:hint="eastAsia" w:ascii="仿宋_GB2312" w:hAnsi="仿宋_GB2312" w:eastAsia="仿宋_GB2312" w:cs="仿宋_GB2312"/>
          <w:sz w:val="28"/>
          <w:szCs w:val="28"/>
          <w:lang w:eastAsia="zh-Hans"/>
        </w:rPr>
        <w:t>设备，要求内置</w:t>
      </w:r>
      <w:r>
        <w:rPr>
          <w:rFonts w:ascii="仿宋_GB2312" w:hAnsi="仿宋_GB2312" w:eastAsia="仿宋_GB2312" w:cs="仿宋_GB2312"/>
          <w:sz w:val="28"/>
          <w:szCs w:val="28"/>
          <w:lang w:eastAsia="zh-Hans"/>
        </w:rPr>
        <w:t>4</w:t>
      </w:r>
      <w:r>
        <w:rPr>
          <w:rFonts w:hint="eastAsia" w:ascii="仿宋_GB2312" w:hAnsi="仿宋_GB2312" w:eastAsia="仿宋_GB2312" w:cs="仿宋_GB2312"/>
          <w:sz w:val="28"/>
          <w:szCs w:val="28"/>
          <w:lang w:eastAsia="zh-Hans"/>
        </w:rPr>
        <w:t>G模组，要求内置</w:t>
      </w:r>
      <w:r>
        <w:rPr>
          <w:rFonts w:ascii="仿宋_GB2312" w:hAnsi="仿宋_GB2312" w:eastAsia="仿宋_GB2312" w:cs="仿宋_GB2312"/>
          <w:sz w:val="28"/>
          <w:szCs w:val="28"/>
          <w:lang w:eastAsia="zh-Hans"/>
        </w:rPr>
        <w:t>4</w:t>
      </w:r>
      <w:r>
        <w:rPr>
          <w:rFonts w:hint="eastAsia" w:ascii="仿宋_GB2312" w:hAnsi="仿宋_GB2312" w:eastAsia="仿宋_GB2312" w:cs="仿宋_GB2312"/>
          <w:sz w:val="28"/>
          <w:szCs w:val="28"/>
          <w:lang w:eastAsia="zh-Hans"/>
        </w:rPr>
        <w:t>G流量卡（含</w:t>
      </w:r>
      <w:r>
        <w:rPr>
          <w:rFonts w:ascii="仿宋_GB2312" w:hAnsi="仿宋_GB2312" w:eastAsia="仿宋_GB2312" w:cs="仿宋_GB2312"/>
          <w:sz w:val="28"/>
          <w:szCs w:val="28"/>
          <w:lang w:eastAsia="zh-Hans"/>
        </w:rPr>
        <w:t>1</w:t>
      </w:r>
      <w:r>
        <w:rPr>
          <w:rFonts w:hint="eastAsia" w:ascii="仿宋_GB2312" w:hAnsi="仿宋_GB2312" w:eastAsia="仿宋_GB2312" w:cs="仿宋_GB2312"/>
          <w:sz w:val="28"/>
          <w:szCs w:val="28"/>
          <w:lang w:eastAsia="zh-Hans"/>
        </w:rPr>
        <w:t>年流量）。</w:t>
      </w:r>
    </w:p>
    <w:p>
      <w:pPr>
        <w:pStyle w:val="2"/>
        <w:ind w:left="840"/>
        <w:rPr>
          <w:color w:val="auto"/>
          <w:lang w:eastAsia="zh-Hans"/>
        </w:rPr>
      </w:pPr>
      <w:r>
        <w:rPr>
          <w:rFonts w:hint="eastAsia" w:ascii="仿宋_GB2312" w:hAnsi="仿宋_GB2312" w:eastAsia="仿宋_GB2312" w:cs="仿宋_GB2312"/>
          <w:color w:val="auto"/>
          <w:sz w:val="28"/>
          <w:szCs w:val="28"/>
          <w:lang w:eastAsia="zh-Hans"/>
        </w:rPr>
        <w:t>要求终端对接数字广东的电子哨兵粤康码数据接口，非其他渠道的数据接口（譬如：国康码或其他省份健康码数据接口）。</w:t>
      </w:r>
    </w:p>
    <w:p>
      <w:pPr>
        <w:numPr>
          <w:ilvl w:val="0"/>
          <w:numId w:val="6"/>
        </w:numPr>
        <w:autoSpaceDE w:val="0"/>
        <w:autoSpaceDN w:val="0"/>
        <w:ind w:firstLine="560" w:firstLineChars="200"/>
        <w:rPr>
          <w:rFonts w:ascii="仿宋_GB2312" w:hAnsi="仿宋_GB2312" w:eastAsia="仿宋_GB2312" w:cs="仿宋_GB2312"/>
          <w:sz w:val="28"/>
          <w:szCs w:val="28"/>
        </w:rPr>
      </w:pPr>
      <w:r>
        <w:rPr>
          <w:rFonts w:hint="eastAsia" w:ascii="仿宋" w:hAnsi="仿宋" w:eastAsia="仿宋" w:cs="仿宋"/>
          <w:sz w:val="28"/>
          <w:szCs w:val="28"/>
        </w:rPr>
        <w:t>疫情防控终端功能要求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终端能够接入广州市净水公司疫情防控大数据查验分析系统（简称净水疫情防控平台），并满足：</w:t>
      </w:r>
    </w:p>
    <w:p>
      <w:pPr>
        <w:numPr>
          <w:ilvl w:val="0"/>
          <w:numId w:val="7"/>
        </w:numPr>
        <w:autoSpaceDE w:val="0"/>
        <w:autoSpaceDN w:val="0"/>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终端支持四种健康码核验方式：白名单用户刷脸核验方式、白名单用户刷卡核验方式、刷身份证核验方式、刷健康码核验方式；并支持实时测温功能</w:t>
      </w:r>
      <w:r>
        <w:rPr>
          <w:rFonts w:hint="eastAsia" w:ascii="仿宋_GB2312" w:hAnsi="仿宋_GB2312" w:eastAsia="仿宋_GB2312" w:cs="仿宋_GB2312"/>
          <w:sz w:val="28"/>
          <w:szCs w:val="28"/>
          <w:lang w:eastAsia="zh-Hans"/>
        </w:rPr>
        <w:t>。</w:t>
      </w:r>
    </w:p>
    <w:p>
      <w:pPr>
        <w:numPr>
          <w:ilvl w:val="0"/>
          <w:numId w:val="7"/>
        </w:num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终端能实时通过数字广东电子哨兵粤康码数据接口，查询</w:t>
      </w:r>
      <w:r>
        <w:rPr>
          <w:rFonts w:hint="eastAsia" w:ascii="仿宋_GB2312" w:hAnsi="仿宋_GB2312" w:eastAsia="仿宋_GB2312" w:cs="仿宋_GB2312"/>
          <w:sz w:val="28"/>
          <w:szCs w:val="28"/>
        </w:rPr>
        <w:t>健康码状态、核酸检查及疫苗接种情况的核验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并实时将从核验记录上传到净水疫情防控平台，内容包括人员信息、抓拍照片、健康码颜色、核酸时间和结果、疫苗信息、核验方式（刷脸、刷卡、身份证、健康码）等；</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(3)能通过净水疫情防控平台对终端的员工信息及脸库等数据进行实时远程下发及维护。</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（4）能通过净水疫情防控平台对终端下发设备开门条件（[1].绿码+核酸阴性;[2].绿码+24小时内核酸阴性;[3].绿码+48小时内核酸阴性;[4].绿码+72小时内核酸阴性）。</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（5）能通过净水疫情防控平台查询终端是否在线。</w:t>
      </w:r>
    </w:p>
    <w:p>
      <w:pPr>
        <w:numPr>
          <w:ilvl w:val="0"/>
          <w:numId w:val="6"/>
        </w:numPr>
        <w:autoSpaceDE w:val="0"/>
        <w:autoSpaceDN w:val="0"/>
        <w:ind w:firstLine="560" w:firstLineChars="200"/>
        <w:rPr>
          <w:rFonts w:ascii="仿宋_GB2312" w:hAnsi="仿宋_GB2312" w:eastAsia="仿宋_GB2312" w:cs="仿宋_GB2312"/>
          <w:sz w:val="28"/>
          <w:szCs w:val="28"/>
        </w:rPr>
      </w:pPr>
      <w:r>
        <w:rPr>
          <w:rFonts w:hint="eastAsia" w:ascii="仿宋" w:hAnsi="仿宋" w:eastAsia="仿宋" w:cs="仿宋"/>
          <w:sz w:val="28"/>
          <w:szCs w:val="28"/>
        </w:rPr>
        <w:t>疫情防控终端</w:t>
      </w:r>
      <w:r>
        <w:rPr>
          <w:rFonts w:hint="eastAsia" w:ascii="仿宋_GB2312" w:hAnsi="仿宋_GB2312" w:eastAsia="仿宋_GB2312" w:cs="仿宋_GB2312"/>
          <w:sz w:val="28"/>
          <w:szCs w:val="28"/>
        </w:rPr>
        <w:t>保修要求：1年免费维修（非人为损坏）</w:t>
      </w:r>
    </w:p>
    <w:p>
      <w:pPr>
        <w:pStyle w:val="2"/>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4、供应商应当具备质量管理体系认证证书，递交响应文件时提供证书复印件，加盖单位公章。</w:t>
      </w:r>
    </w:p>
    <w:p>
      <w:pPr>
        <w:pStyle w:val="2"/>
        <w:rPr>
          <w:rFonts w:ascii="仿宋_GB2312" w:hAnsi="仿宋_GB2312" w:eastAsia="仿宋_GB2312" w:cs="仿宋_GB2312"/>
          <w:color w:val="FF0000"/>
          <w:sz w:val="28"/>
          <w:szCs w:val="28"/>
          <w:lang w:eastAsia="zh-Hans"/>
        </w:rPr>
      </w:pPr>
      <w:r>
        <w:rPr>
          <w:rFonts w:hint="eastAsia" w:ascii="仿宋" w:hAnsi="仿宋" w:eastAsia="仿宋" w:cs="仿宋"/>
          <w:color w:val="auto"/>
          <w:kern w:val="2"/>
          <w:sz w:val="28"/>
          <w:szCs w:val="28"/>
          <w:lang w:val="en-US" w:eastAsia="zh-Hans" w:bidi="ar-SA"/>
        </w:rPr>
        <w:t>重要说明：</w:t>
      </w:r>
      <w:r>
        <w:rPr>
          <w:rFonts w:hint="eastAsia" w:ascii="仿宋" w:hAnsi="仿宋" w:eastAsia="仿宋" w:cs="仿宋"/>
          <w:color w:val="auto"/>
          <w:sz w:val="28"/>
          <w:szCs w:val="28"/>
        </w:rPr>
        <w:t>疫情防控终端</w:t>
      </w:r>
      <w:r>
        <w:rPr>
          <w:rFonts w:hint="eastAsia" w:ascii="仿宋_GB2312" w:hAnsi="仿宋_GB2312" w:eastAsia="仿宋_GB2312" w:cs="仿宋_GB2312"/>
          <w:color w:val="auto"/>
          <w:sz w:val="28"/>
          <w:szCs w:val="28"/>
        </w:rPr>
        <w:t>参数要求</w:t>
      </w:r>
      <w:r>
        <w:rPr>
          <w:rFonts w:hint="eastAsia" w:ascii="仿宋_GB2312" w:hAnsi="仿宋_GB2312" w:eastAsia="仿宋_GB2312" w:cs="仿宋_GB2312"/>
          <w:color w:val="auto"/>
          <w:sz w:val="28"/>
          <w:szCs w:val="28"/>
          <w:lang w:eastAsia="zh-Hans"/>
        </w:rPr>
        <w:t>、</w:t>
      </w:r>
      <w:r>
        <w:rPr>
          <w:rFonts w:hint="eastAsia" w:ascii="仿宋" w:hAnsi="仿宋" w:eastAsia="仿宋" w:cs="仿宋"/>
          <w:color w:val="auto"/>
          <w:sz w:val="28"/>
          <w:szCs w:val="28"/>
        </w:rPr>
        <w:t>疫情防控终端功能要求</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疫情防控终端</w:t>
      </w:r>
      <w:r>
        <w:rPr>
          <w:rFonts w:hint="eastAsia" w:ascii="仿宋_GB2312" w:hAnsi="仿宋_GB2312" w:eastAsia="仿宋_GB2312" w:cs="仿宋_GB2312"/>
          <w:color w:val="auto"/>
          <w:sz w:val="28"/>
          <w:szCs w:val="28"/>
        </w:rPr>
        <w:t>保修要求</w:t>
      </w:r>
      <w:r>
        <w:rPr>
          <w:rFonts w:hint="eastAsia" w:ascii="仿宋_GB2312" w:hAnsi="仿宋_GB2312" w:eastAsia="仿宋_GB2312" w:cs="仿宋_GB2312"/>
          <w:color w:val="auto"/>
          <w:sz w:val="28"/>
          <w:szCs w:val="28"/>
          <w:lang w:eastAsia="zh-Hans"/>
        </w:rPr>
        <w:t>，均要求全满足。任何一项不满足，视作产品不满足需求。</w:t>
      </w:r>
    </w:p>
    <w:p>
      <w:pPr>
        <w:pStyle w:val="13"/>
        <w:numPr>
          <w:ilvl w:val="0"/>
          <w:numId w:val="5"/>
        </w:numPr>
        <w:autoSpaceDE w:val="0"/>
        <w:autoSpaceDN w:val="0"/>
        <w:adjustRightInd w:val="0"/>
        <w:snapToGrid w:val="0"/>
        <w:spacing w:line="300" w:lineRule="auto"/>
        <w:ind w:firstLine="562" w:firstLineChars="200"/>
        <w:rPr>
          <w:rFonts w:ascii="仿宋" w:hAnsi="仿宋" w:eastAsia="仿宋" w:cs="仿宋"/>
          <w:sz w:val="28"/>
          <w:szCs w:val="28"/>
          <w:lang w:val="zh-CN"/>
        </w:rPr>
      </w:pPr>
      <w:r>
        <w:rPr>
          <w:rFonts w:hint="eastAsia" w:ascii="仿宋" w:hAnsi="仿宋" w:eastAsia="仿宋" w:cs="仿宋_GB2312"/>
          <w:b/>
          <w:sz w:val="28"/>
          <w:szCs w:val="28"/>
          <w:lang w:val="zh-CN"/>
        </w:rPr>
        <w:t>设备需求清单</w:t>
      </w:r>
      <w:r>
        <w:rPr>
          <w:rFonts w:hint="eastAsia" w:ascii="仿宋" w:hAnsi="仿宋" w:eastAsia="仿宋" w:cs="仿宋"/>
          <w:sz w:val="28"/>
          <w:szCs w:val="28"/>
          <w:lang w:val="zh-CN"/>
        </w:rPr>
        <w:t>（</w:t>
      </w:r>
      <w:r>
        <w:rPr>
          <w:rFonts w:hint="eastAsia" w:ascii="仿宋" w:hAnsi="仿宋" w:eastAsia="仿宋" w:cs="仿宋"/>
          <w:sz w:val="28"/>
          <w:szCs w:val="28"/>
        </w:rPr>
        <w:t>套</w:t>
      </w:r>
      <w:r>
        <w:rPr>
          <w:rFonts w:hint="eastAsia" w:ascii="仿宋" w:hAnsi="仿宋" w:eastAsia="仿宋" w:cs="仿宋"/>
          <w:sz w:val="28"/>
          <w:szCs w:val="28"/>
          <w:lang w:val="zh-CN"/>
        </w:rPr>
        <w:t>）：</w:t>
      </w:r>
    </w:p>
    <w:tbl>
      <w:tblPr>
        <w:tblStyle w:val="23"/>
        <w:tblW w:w="866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525"/>
        <w:gridCol w:w="1150"/>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525"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150"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3050"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大坦沙厂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4</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猎德厂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沥滘厂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3</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大沙地厂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京溪厂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均禾厂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7</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龙归厂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8</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竹料厂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9</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石井净水厂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3</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10</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大观厂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11</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江高厂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12</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健康城厂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13</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西朗厂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4</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3" w:type="dxa"/>
            <w:gridSpan w:val="2"/>
            <w:vAlign w:val="center"/>
          </w:tcPr>
          <w:p>
            <w:pPr>
              <w:widowControl/>
              <w:spacing w:line="360" w:lineRule="auto"/>
              <w:jc w:val="center"/>
              <w:textAlignment w:val="center"/>
            </w:pPr>
            <w:bookmarkStart w:id="73" w:name="_Toc12135"/>
            <w:bookmarkStart w:id="74" w:name="_Toc23330"/>
            <w:bookmarkStart w:id="75" w:name="_Toc4680"/>
            <w:bookmarkStart w:id="76" w:name="_Toc537"/>
            <w:bookmarkStart w:id="77" w:name="_Toc29835"/>
            <w:bookmarkStart w:id="78" w:name="_Toc15570"/>
            <w:bookmarkStart w:id="79" w:name="_Toc1496"/>
            <w:bookmarkStart w:id="80" w:name="_Toc23353"/>
            <w:bookmarkStart w:id="81" w:name="_Toc18538"/>
            <w:bookmarkStart w:id="82" w:name="_Toc25925"/>
            <w:bookmarkStart w:id="83" w:name="_Toc1284"/>
            <w:r>
              <w:rPr>
                <w:rFonts w:hint="eastAsia"/>
              </w:rPr>
              <w:t>合计</w:t>
            </w:r>
          </w:p>
        </w:tc>
        <w:tc>
          <w:tcPr>
            <w:tcW w:w="1150" w:type="dxa"/>
            <w:vAlign w:val="center"/>
          </w:tcPr>
          <w:p>
            <w:pPr>
              <w:widowControl/>
              <w:spacing w:line="360" w:lineRule="auto"/>
              <w:jc w:val="center"/>
              <w:textAlignment w:val="center"/>
            </w:pPr>
            <w:r>
              <w:rPr>
                <w:rFonts w:hint="eastAsia"/>
              </w:rPr>
              <w:t>27</w:t>
            </w:r>
          </w:p>
        </w:tc>
        <w:tc>
          <w:tcPr>
            <w:tcW w:w="3050" w:type="dxa"/>
            <w:vAlign w:val="center"/>
          </w:tcPr>
          <w:p>
            <w:pPr>
              <w:widowControl/>
              <w:spacing w:line="360" w:lineRule="auto"/>
              <w:jc w:val="center"/>
              <w:textAlignment w:val="center"/>
              <w:rPr>
                <w:rFonts w:ascii="仿宋" w:hAnsi="仿宋" w:eastAsia="仿宋" w:cs="仿宋"/>
                <w:sz w:val="24"/>
                <w:szCs w:val="24"/>
              </w:rPr>
            </w:pPr>
          </w:p>
        </w:tc>
      </w:tr>
    </w:tbl>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sz w:val="21"/>
          <w:szCs w:val="21"/>
        </w:rPr>
      </w:pPr>
    </w:p>
    <w:p>
      <w:pPr>
        <w:rPr>
          <w:rFonts w:hint="eastAsia"/>
        </w:rPr>
      </w:pPr>
    </w:p>
    <w:p>
      <w:pPr>
        <w:pStyle w:val="4"/>
        <w:rPr>
          <w:rFonts w:hint="eastAsia"/>
        </w:rPr>
      </w:pPr>
    </w:p>
    <w:p>
      <w:pPr>
        <w:pStyle w:val="4"/>
        <w:rPr>
          <w:rFonts w:hint="eastAsia"/>
        </w:rPr>
      </w:pPr>
    </w:p>
    <w:p>
      <w:pPr>
        <w:pStyle w:val="4"/>
        <w:jc w:val="center"/>
      </w:pP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
      </w:pPr>
      <w:bookmarkStart w:id="84" w:name="_Toc12980"/>
      <w:bookmarkStart w:id="85" w:name="_Toc87616386"/>
      <w:bookmarkStart w:id="86" w:name="_Toc22797"/>
      <w:bookmarkStart w:id="87" w:name="_Toc88209949"/>
      <w:bookmarkStart w:id="88" w:name="_Toc323"/>
      <w:bookmarkStart w:id="89" w:name="_Toc13309"/>
      <w:bookmarkStart w:id="90" w:name="_Toc1375"/>
      <w:bookmarkStart w:id="91" w:name="_Toc12968"/>
      <w:bookmarkStart w:id="92" w:name="_Toc22501"/>
      <w:bookmarkStart w:id="93" w:name="_Toc19686"/>
      <w:bookmarkStart w:id="94" w:name="_Toc12721"/>
      <w:bookmarkStart w:id="95" w:name="_Toc19088"/>
      <w:bookmarkStart w:id="96" w:name="_Toc8183"/>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jc w:val="right"/>
        <w:rPr>
          <w:rFonts w:ascii="宋体" w:hAnsi="宋体"/>
          <w:b/>
          <w:szCs w:val="21"/>
        </w:rPr>
      </w:pPr>
    </w:p>
    <w:p>
      <w:pPr>
        <w:jc w:val="right"/>
        <w:rPr>
          <w:rFonts w:ascii="宋体" w:hAnsi="宋体"/>
          <w:b/>
          <w:szCs w:val="21"/>
        </w:rPr>
      </w:pPr>
    </w:p>
    <w:p>
      <w:pPr>
        <w:rPr>
          <w:rFonts w:ascii="宋体" w:hAnsi="宋体"/>
          <w:b/>
          <w:szCs w:val="21"/>
        </w:rPr>
      </w:pPr>
      <w:r>
        <w:rPr>
          <w:rFonts w:hint="eastAsia" w:ascii="宋体" w:hAnsi="宋体"/>
          <w:b/>
          <w:szCs w:val="21"/>
        </w:rPr>
        <w:br w:type="page"/>
      </w:r>
    </w:p>
    <w:p>
      <w:pPr>
        <w:jc w:val="right"/>
        <w:rPr>
          <w:rFonts w:ascii="宋体" w:hAnsi="宋体" w:cs="Times New Roman"/>
          <w:b/>
          <w:sz w:val="44"/>
        </w:rPr>
      </w:pPr>
    </w:p>
    <w:p>
      <w:pPr>
        <w:rPr>
          <w:rFonts w:ascii="宋体" w:hAnsi="宋体" w:cs="Times New Roman"/>
          <w:b/>
          <w:sz w:val="44"/>
        </w:rPr>
      </w:pPr>
    </w:p>
    <w:p>
      <w:pPr>
        <w:spacing w:line="400" w:lineRule="atLeast"/>
        <w:jc w:val="center"/>
        <w:rPr>
          <w:rFonts w:ascii="宋体" w:hAnsi="宋体" w:cs="Times New Roman"/>
          <w:b/>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cs="Times New Roman"/>
          <w:b/>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项目名称：广州市净水有限公司2022年度公司健康码核验终端设备购置项目</w:t>
      </w:r>
    </w:p>
    <w:p>
      <w:pPr>
        <w:widowControl/>
        <w:jc w:val="left"/>
      </w:pPr>
      <w:r>
        <w:rPr>
          <w:rFonts w:hint="eastAsia" w:ascii="宋体" w:hAnsi="宋体" w:cs="宋体"/>
          <w:b/>
          <w:bCs/>
          <w:sz w:val="30"/>
        </w:rPr>
        <w:t>项目编号：</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spacing w:line="460" w:lineRule="exact"/>
        <w:ind w:firstLine="480" w:firstLineChars="200"/>
        <w:rPr>
          <w:rFonts w:hint="eastAsia" w:ascii="宋体" w:hAnsi="宋体" w:cs="宋体"/>
          <w:sz w:val="24"/>
          <w:szCs w:val="24"/>
        </w:rPr>
      </w:pPr>
    </w:p>
    <w:p>
      <w:pPr>
        <w:spacing w:line="460" w:lineRule="exact"/>
        <w:ind w:firstLine="480" w:firstLineChars="200"/>
        <w:rPr>
          <w:rFonts w:hint="eastAsia" w:ascii="宋体" w:hAnsi="宋体" w:cs="宋体"/>
          <w:sz w:val="24"/>
          <w:szCs w:val="24"/>
        </w:rPr>
      </w:pPr>
    </w:p>
    <w:p>
      <w:pPr>
        <w:spacing w:line="460" w:lineRule="exact"/>
        <w:rPr>
          <w:rFonts w:hint="eastAsia" w:ascii="宋体" w:hAnsi="宋体" w:cs="宋体"/>
          <w:sz w:val="24"/>
          <w:szCs w:val="24"/>
        </w:rPr>
      </w:pPr>
    </w:p>
    <w:p>
      <w:pPr>
        <w:spacing w:line="460" w:lineRule="exact"/>
        <w:ind w:firstLine="480" w:firstLineChars="200"/>
        <w:rPr>
          <w:rFonts w:ascii="宋体" w:hAnsi="宋体" w:cs="宋体"/>
          <w:sz w:val="24"/>
          <w:szCs w:val="24"/>
        </w:rPr>
      </w:pP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rPr>
        <w:t xml:space="preserve"> （以下简称“乙方”）就广州市净水有限公司树木资源普查及”身份证“制定项目，遵循平等、自愿、公平和诚实信用的原则，双方协商一致，订立本合同。</w:t>
      </w:r>
      <w:bookmarkStart w:id="97" w:name="_Toc518992986"/>
      <w:bookmarkStart w:id="98" w:name="_Toc520190026"/>
      <w:bookmarkStart w:id="99" w:name="_Toc1018"/>
      <w:bookmarkStart w:id="100" w:name="_Toc474245210"/>
      <w:bookmarkStart w:id="101" w:name="_Toc183666513"/>
    </w:p>
    <w:p>
      <w:pPr>
        <w:pStyle w:val="10"/>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0"/>
        <w:tabs>
          <w:tab w:val="left" w:pos="720"/>
        </w:tabs>
        <w:spacing w:line="440" w:lineRule="exact"/>
        <w:ind w:firstLine="480" w:firstLineChars="200"/>
        <w:rPr>
          <w:rFonts w:hAnsi="宋体" w:cs="宋体"/>
          <w:sz w:val="24"/>
          <w:szCs w:val="24"/>
        </w:rPr>
      </w:pPr>
      <w:r>
        <w:rPr>
          <w:rFonts w:hint="eastAsia" w:hAnsi="宋体" w:cs="宋体"/>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szCs w:val="24"/>
        </w:rPr>
      </w:pPr>
      <w:r>
        <w:rPr>
          <w:rFonts w:hint="eastAsia" w:ascii="宋体" w:hAnsi="宋体" w:cs="宋体"/>
          <w:sz w:val="24"/>
          <w:szCs w:val="24"/>
        </w:rPr>
        <w:t>⑴</w:t>
      </w:r>
      <w:r>
        <w:rPr>
          <w:rFonts w:ascii="宋体" w:hAnsi="宋体" w:cs="宋体"/>
          <w:sz w:val="24"/>
          <w:szCs w:val="24"/>
        </w:rPr>
        <w:t xml:space="preserve"> </w:t>
      </w:r>
      <w:r>
        <w:rPr>
          <w:rFonts w:hint="eastAsia" w:ascii="宋体" w:hAnsi="宋体" w:cs="宋体"/>
          <w:sz w:val="24"/>
          <w:szCs w:val="24"/>
        </w:rPr>
        <w:t>在本合同实施过程双方签署的补充与修正文件；</w:t>
      </w:r>
    </w:p>
    <w:p>
      <w:pPr>
        <w:spacing w:line="320" w:lineRule="exact"/>
        <w:ind w:firstLine="482"/>
        <w:rPr>
          <w:rFonts w:ascii="宋体" w:hAnsi="宋体" w:cs="宋体"/>
          <w:sz w:val="24"/>
          <w:szCs w:val="24"/>
        </w:rPr>
      </w:pPr>
      <w:r>
        <w:rPr>
          <w:rFonts w:hint="eastAsia" w:ascii="宋体" w:hAnsi="宋体" w:cs="宋体"/>
          <w:sz w:val="24"/>
          <w:szCs w:val="24"/>
        </w:rPr>
        <w:t>⑵</w:t>
      </w:r>
      <w:r>
        <w:rPr>
          <w:rFonts w:ascii="宋体" w:hAnsi="宋体" w:cs="宋体"/>
          <w:sz w:val="24"/>
          <w:szCs w:val="24"/>
        </w:rPr>
        <w:t xml:space="preserve"> </w:t>
      </w:r>
      <w:r>
        <w:rPr>
          <w:rFonts w:hint="eastAsia" w:ascii="宋体" w:hAnsi="宋体" w:cs="宋体"/>
          <w:sz w:val="24"/>
          <w:szCs w:val="24"/>
        </w:rPr>
        <w:t>本合同书；</w:t>
      </w:r>
    </w:p>
    <w:p>
      <w:pPr>
        <w:spacing w:line="320" w:lineRule="exact"/>
        <w:ind w:firstLine="482"/>
        <w:rPr>
          <w:rFonts w:ascii="宋体" w:hAnsi="宋体" w:cs="宋体"/>
          <w:bCs/>
          <w:sz w:val="24"/>
        </w:rPr>
      </w:pPr>
      <w:r>
        <w:rPr>
          <w:rFonts w:hint="eastAsia" w:ascii="宋体" w:hAnsi="宋体" w:cs="宋体"/>
          <w:bCs/>
          <w:sz w:val="24"/>
        </w:rPr>
        <w:t>⑶ 发包通知书/成交通知书/委托函；</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szCs w:val="24"/>
        </w:rPr>
      </w:pPr>
      <w:r>
        <w:rPr>
          <w:rFonts w:hint="eastAsia" w:ascii="宋体" w:hAnsi="宋体" w:cs="宋体"/>
          <w:bCs/>
          <w:sz w:val="24"/>
        </w:rPr>
        <w:t>⑼ 本合同其他附件；</w:t>
      </w:r>
    </w:p>
    <w:bookmarkEnd w:id="97"/>
    <w:bookmarkEnd w:id="98"/>
    <w:bookmarkEnd w:id="99"/>
    <w:bookmarkEnd w:id="100"/>
    <w:bookmarkEnd w:id="101"/>
    <w:p>
      <w:pPr>
        <w:numPr>
          <w:ilvl w:val="0"/>
          <w:numId w:val="8"/>
        </w:numPr>
        <w:spacing w:line="460" w:lineRule="exact"/>
        <w:ind w:firstLine="482" w:firstLineChars="200"/>
        <w:rPr>
          <w:rFonts w:ascii="宋体" w:hAnsi="宋体" w:cs="宋体"/>
          <w:b/>
          <w:sz w:val="24"/>
          <w:szCs w:val="24"/>
        </w:rPr>
      </w:pPr>
      <w:r>
        <w:rPr>
          <w:rFonts w:hint="eastAsia" w:ascii="宋体" w:hAnsi="宋体" w:cs="宋体"/>
          <w:b/>
          <w:sz w:val="24"/>
          <w:szCs w:val="24"/>
        </w:rPr>
        <w:t>合同标的</w:t>
      </w:r>
    </w:p>
    <w:tbl>
      <w:tblPr>
        <w:tblStyle w:val="23"/>
        <w:tblW w:w="866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525"/>
        <w:gridCol w:w="1498"/>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525"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498" w:type="dxa"/>
          </w:tcPr>
          <w:p>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数量</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台</w:t>
            </w:r>
            <w:r>
              <w:rPr>
                <w:rFonts w:hint="eastAsia" w:ascii="仿宋" w:hAnsi="仿宋" w:eastAsia="仿宋" w:cs="仿宋"/>
                <w:b/>
                <w:bCs/>
                <w:sz w:val="24"/>
                <w:szCs w:val="24"/>
                <w:lang w:eastAsia="zh-CN"/>
              </w:rPr>
              <w:t>）</w:t>
            </w:r>
          </w:p>
        </w:tc>
        <w:tc>
          <w:tcPr>
            <w:tcW w:w="2702"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大坦沙厂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4</w:t>
            </w:r>
          </w:p>
        </w:tc>
        <w:tc>
          <w:tcPr>
            <w:tcW w:w="2702"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猎德厂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2702"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沥滘厂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3</w:t>
            </w:r>
          </w:p>
        </w:tc>
        <w:tc>
          <w:tcPr>
            <w:tcW w:w="2702"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大沙地厂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2702"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京溪厂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2702"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均禾厂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2702"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7</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龙归厂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2702"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8</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竹料厂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2702"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9</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石井净水厂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3</w:t>
            </w:r>
          </w:p>
        </w:tc>
        <w:tc>
          <w:tcPr>
            <w:tcW w:w="2702"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10</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大观厂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2702"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11</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江高厂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2702"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12</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健康城厂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2702"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13</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西朗厂</w:t>
            </w:r>
          </w:p>
        </w:tc>
        <w:tc>
          <w:tcPr>
            <w:tcW w:w="1498" w:type="dxa"/>
            <w:vAlign w:val="center"/>
          </w:tcPr>
          <w:p>
            <w:pPr>
              <w:widowControl/>
              <w:spacing w:line="360" w:lineRule="auto"/>
              <w:jc w:val="center"/>
              <w:textAlignment w:val="center"/>
              <w:rPr>
                <w:rFonts w:ascii="仿宋" w:hAnsi="仿宋" w:eastAsia="仿宋" w:cs="仿宋"/>
                <w:sz w:val="24"/>
                <w:szCs w:val="24"/>
              </w:rPr>
            </w:pPr>
            <w:r>
              <w:rPr>
                <w:rFonts w:hint="eastAsia"/>
              </w:rPr>
              <w:t>4</w:t>
            </w:r>
          </w:p>
        </w:tc>
        <w:tc>
          <w:tcPr>
            <w:tcW w:w="2702"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3" w:type="dxa"/>
            <w:gridSpan w:val="2"/>
            <w:vAlign w:val="center"/>
          </w:tcPr>
          <w:p>
            <w:pPr>
              <w:widowControl/>
              <w:spacing w:line="360" w:lineRule="auto"/>
              <w:jc w:val="center"/>
              <w:textAlignment w:val="center"/>
            </w:pPr>
            <w:r>
              <w:rPr>
                <w:rFonts w:hint="eastAsia"/>
              </w:rPr>
              <w:t>合计</w:t>
            </w:r>
          </w:p>
        </w:tc>
        <w:tc>
          <w:tcPr>
            <w:tcW w:w="1498" w:type="dxa"/>
            <w:vAlign w:val="center"/>
          </w:tcPr>
          <w:p>
            <w:pPr>
              <w:widowControl/>
              <w:spacing w:line="360" w:lineRule="auto"/>
              <w:jc w:val="center"/>
              <w:textAlignment w:val="center"/>
            </w:pPr>
            <w:r>
              <w:rPr>
                <w:rFonts w:hint="eastAsia"/>
              </w:rPr>
              <w:t>27</w:t>
            </w:r>
          </w:p>
        </w:tc>
        <w:tc>
          <w:tcPr>
            <w:tcW w:w="2702" w:type="dxa"/>
            <w:vAlign w:val="center"/>
          </w:tcPr>
          <w:p>
            <w:pPr>
              <w:widowControl/>
              <w:spacing w:line="360" w:lineRule="auto"/>
              <w:jc w:val="center"/>
              <w:textAlignment w:val="center"/>
              <w:rPr>
                <w:rFonts w:ascii="仿宋" w:hAnsi="仿宋" w:eastAsia="仿宋" w:cs="仿宋"/>
                <w:sz w:val="24"/>
                <w:szCs w:val="24"/>
              </w:rPr>
            </w:pPr>
          </w:p>
        </w:tc>
      </w:tr>
    </w:tbl>
    <w:p>
      <w:pPr>
        <w:pStyle w:val="2"/>
      </w:pPr>
    </w:p>
    <w:p>
      <w:pPr>
        <w:spacing w:after="120" w:line="460" w:lineRule="exact"/>
        <w:rPr>
          <w:rFonts w:ascii="宋体" w:hAnsi="宋体" w:cs="宋体"/>
          <w:kern w:val="0"/>
          <w:sz w:val="24"/>
          <w:szCs w:val="24"/>
          <w:lang w:val="zh-CN"/>
        </w:rPr>
      </w:pPr>
      <w:r>
        <w:rPr>
          <w:rFonts w:hint="eastAsia" w:ascii="宋体" w:hAnsi="宋体" w:cs="宋体"/>
          <w:kern w:val="0"/>
          <w:sz w:val="24"/>
          <w:szCs w:val="24"/>
          <w:lang w:val="zh-CN"/>
        </w:rPr>
        <w:t>其他</w:t>
      </w:r>
      <w:r>
        <w:rPr>
          <w:rFonts w:hint="eastAsia" w:ascii="宋体" w:hAnsi="宋体" w:cs="宋体"/>
          <w:kern w:val="0"/>
          <w:sz w:val="24"/>
          <w:szCs w:val="24"/>
        </w:rPr>
        <w:t>采购</w:t>
      </w:r>
      <w:r>
        <w:rPr>
          <w:rFonts w:hint="eastAsia" w:ascii="宋体" w:hAnsi="宋体" w:cs="宋体"/>
          <w:kern w:val="0"/>
          <w:sz w:val="24"/>
          <w:szCs w:val="24"/>
          <w:lang w:val="zh-CN"/>
        </w:rPr>
        <w:t>需求见附件（如</w:t>
      </w:r>
      <w:r>
        <w:rPr>
          <w:rFonts w:hint="eastAsia" w:ascii="宋体" w:hAnsi="宋体" w:cs="宋体"/>
          <w:kern w:val="0"/>
          <w:sz w:val="24"/>
          <w:szCs w:val="24"/>
        </w:rPr>
        <w:t>有</w:t>
      </w:r>
      <w:r>
        <w:rPr>
          <w:rFonts w:hint="eastAsia" w:ascii="宋体" w:hAnsi="宋体" w:cs="宋体"/>
          <w:kern w:val="0"/>
          <w:sz w:val="24"/>
          <w:szCs w:val="24"/>
          <w:lang w:val="zh-CN"/>
        </w:rPr>
        <w:t>）。</w:t>
      </w:r>
    </w:p>
    <w:p>
      <w:pPr>
        <w:adjustRightInd w:val="0"/>
        <w:snapToGrid w:val="0"/>
        <w:spacing w:line="460" w:lineRule="exact"/>
        <w:ind w:firstLine="482" w:firstLineChars="200"/>
        <w:rPr>
          <w:rFonts w:ascii="宋体" w:hAnsi="宋体" w:cs="宋体"/>
          <w:b/>
          <w:bCs/>
          <w:kern w:val="0"/>
          <w:sz w:val="24"/>
          <w:szCs w:val="24"/>
          <w:lang w:val="zh-CN"/>
        </w:rPr>
      </w:pPr>
      <w:r>
        <w:rPr>
          <w:rFonts w:hint="eastAsia" w:ascii="宋体" w:hAnsi="宋体" w:cs="宋体"/>
          <w:b/>
          <w:bCs/>
          <w:kern w:val="0"/>
          <w:sz w:val="24"/>
          <w:szCs w:val="24"/>
          <w:lang w:val="zh-CN"/>
        </w:rPr>
        <w:t>第三条 交货日期及地点</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3.1乙方按以下第</w:t>
      </w:r>
      <w:r>
        <w:rPr>
          <w:rFonts w:hint="eastAsia" w:ascii="宋体" w:hAnsi="宋体" w:cs="宋体"/>
          <w:sz w:val="24"/>
          <w:szCs w:val="24"/>
          <w:u w:val="single"/>
        </w:rPr>
        <w:t>（1）</w:t>
      </w:r>
      <w:r>
        <w:rPr>
          <w:rFonts w:hint="eastAsia" w:ascii="宋体" w:hAnsi="宋体" w:cs="宋体"/>
          <w:sz w:val="24"/>
          <w:szCs w:val="24"/>
        </w:rPr>
        <w:t>种供货期供货。</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(1)合同生效之日起</w:t>
      </w:r>
      <w:r>
        <w:rPr>
          <w:rFonts w:ascii="宋体" w:hAnsi="宋体" w:cs="宋体"/>
          <w:sz w:val="24"/>
          <w:szCs w:val="24"/>
          <w:u w:val="single"/>
        </w:rPr>
        <w:t>3个日历日内完成设备到货签收</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（2)设备到货后在</w:t>
      </w:r>
      <w:r>
        <w:rPr>
          <w:rFonts w:hint="eastAsia" w:ascii="宋体" w:hAnsi="宋体" w:cs="宋体"/>
          <w:sz w:val="24"/>
          <w:szCs w:val="24"/>
          <w:u w:val="single"/>
        </w:rPr>
        <w:t>2个日历日内完成设备安装及平台接入调测及用户验收测试</w:t>
      </w:r>
      <w:r>
        <w:rPr>
          <w:rFonts w:hint="eastAsia" w:ascii="宋体" w:hAnsi="宋体" w:cs="宋体"/>
          <w:sz w:val="24"/>
          <w:szCs w:val="24"/>
        </w:rPr>
        <w:t>。</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合同有效期为</w:t>
      </w:r>
      <w:r>
        <w:rPr>
          <w:rFonts w:hint="eastAsia" w:ascii="宋体" w:hAnsi="宋体" w:cs="宋体"/>
          <w:sz w:val="24"/>
          <w:szCs w:val="24"/>
          <w:u w:val="single"/>
        </w:rPr>
        <w:t xml:space="preserve">    </w:t>
      </w:r>
      <w:r>
        <w:rPr>
          <w:rFonts w:hint="eastAsia" w:ascii="宋体" w:hAnsi="宋体" w:cs="宋体"/>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szCs w:val="24"/>
        </w:rPr>
      </w:pPr>
      <w:r>
        <w:rPr>
          <w:rFonts w:hint="eastAsia" w:ascii="宋体" w:hAnsi="宋体" w:cs="宋体"/>
          <w:sz w:val="24"/>
          <w:szCs w:val="24"/>
        </w:rPr>
        <w:t>（3）其它供货期要求：</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after="120" w:line="460" w:lineRule="exact"/>
        <w:ind w:firstLine="480" w:firstLineChars="200"/>
        <w:rPr>
          <w:rFonts w:ascii="宋体" w:hAnsi="宋体" w:cs="宋体"/>
          <w:sz w:val="24"/>
          <w:szCs w:val="24"/>
        </w:rPr>
      </w:pPr>
      <w:r>
        <w:rPr>
          <w:rFonts w:hint="eastAsia" w:ascii="宋体" w:hAnsi="宋体" w:cs="宋体"/>
          <w:sz w:val="24"/>
          <w:szCs w:val="24"/>
        </w:rPr>
        <w:t>3.2</w:t>
      </w:r>
      <w:r>
        <w:rPr>
          <w:rFonts w:hint="eastAsia" w:ascii="宋体" w:hAnsi="宋体" w:cs="宋体"/>
          <w:bCs/>
          <w:sz w:val="24"/>
          <w:szCs w:val="24"/>
        </w:rPr>
        <w:t>交货地点：</w:t>
      </w:r>
      <w:r>
        <w:rPr>
          <w:rFonts w:hint="eastAsia" w:ascii="宋体" w:hAnsi="宋体" w:cs="宋体"/>
          <w:bCs/>
          <w:sz w:val="24"/>
          <w:szCs w:val="24"/>
          <w:u w:val="single"/>
        </w:rPr>
        <w:t>广州净水公司各厂区</w:t>
      </w:r>
      <w:r>
        <w:rPr>
          <w:rFonts w:hint="eastAsia" w:ascii="宋体" w:hAnsi="宋体" w:cs="宋体"/>
          <w:bCs/>
          <w:sz w:val="24"/>
          <w:szCs w:val="24"/>
        </w:rPr>
        <w:t>（包括甲方指定的任一收货点），最终具体交货地点以甲方通知为准。</w:t>
      </w:r>
      <w:r>
        <w:rPr>
          <w:rFonts w:hint="eastAsia" w:ascii="宋体" w:hAnsi="宋体" w:cs="宋体"/>
          <w:sz w:val="24"/>
          <w:szCs w:val="24"/>
        </w:rPr>
        <w:t xml:space="preserve"> </w:t>
      </w:r>
    </w:p>
    <w:p>
      <w:pPr>
        <w:numPr>
          <w:ilvl w:val="0"/>
          <w:numId w:val="9"/>
        </w:numPr>
        <w:adjustRightInd w:val="0"/>
        <w:snapToGrid w:val="0"/>
        <w:spacing w:line="460" w:lineRule="exact"/>
        <w:ind w:firstLine="480" w:firstLineChars="200"/>
        <w:rPr>
          <w:rFonts w:ascii="宋体" w:hAnsi="宋体" w:cs="宋体"/>
          <w:b/>
          <w:sz w:val="24"/>
          <w:szCs w:val="24"/>
        </w:rPr>
      </w:pPr>
      <w:r>
        <w:rPr>
          <w:rFonts w:hint="eastAsia" w:ascii="宋体" w:hAnsi="宋体" w:cs="宋体"/>
          <w:kern w:val="0"/>
          <w:sz w:val="24"/>
          <w:szCs w:val="24"/>
        </w:rPr>
        <w:t>合同</w:t>
      </w:r>
      <w:r>
        <w:rPr>
          <w:rFonts w:hint="eastAsia" w:ascii="宋体" w:hAnsi="宋体" w:cs="宋体"/>
          <w:sz w:val="24"/>
          <w:szCs w:val="24"/>
        </w:rPr>
        <w:t>单价为综合单价，指货物运到甲方指定地点的交货价，该价格包括但不限于：货物的生产、产品检验（含出厂及到货验收）、运输（含转运）、包装、装卸（含卸车费用）、安装调试</w:t>
      </w:r>
      <w:r>
        <w:rPr>
          <w:rFonts w:hint="eastAsia" w:ascii="宋体" w:hAnsi="宋体" w:cs="宋体"/>
          <w:b/>
          <w:sz w:val="24"/>
          <w:szCs w:val="24"/>
        </w:rPr>
        <w:t>（具体按“采购需求”）</w:t>
      </w:r>
      <w:r>
        <w:rPr>
          <w:rFonts w:hint="eastAsia" w:ascii="宋体" w:hAnsi="宋体" w:cs="宋体"/>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02" w:name="_Toc27425"/>
      <w:bookmarkStart w:id="103" w:name="_Toc520190028"/>
      <w:bookmarkStart w:id="104" w:name="_Toc518992988"/>
      <w:bookmarkStart w:id="105" w:name="_Toc474245212"/>
      <w:bookmarkStart w:id="106" w:name="_Toc107447236"/>
      <w:bookmarkStart w:id="107" w:name="_Toc107446843"/>
    </w:p>
    <w:bookmarkEnd w:id="102"/>
    <w:bookmarkEnd w:id="103"/>
    <w:bookmarkEnd w:id="104"/>
    <w:bookmarkEnd w:id="105"/>
    <w:p>
      <w:pPr>
        <w:autoSpaceDE w:val="0"/>
        <w:autoSpaceDN w:val="0"/>
        <w:adjustRightInd w:val="0"/>
        <w:spacing w:line="460" w:lineRule="exact"/>
        <w:ind w:left="420"/>
        <w:rPr>
          <w:rFonts w:ascii="宋体" w:hAnsi="宋体" w:cs="宋体"/>
          <w:bCs/>
          <w:sz w:val="24"/>
          <w:szCs w:val="24"/>
        </w:rPr>
      </w:pPr>
      <w:bookmarkStart w:id="108" w:name="_Toc520190029"/>
      <w:bookmarkStart w:id="109" w:name="_Toc474245213"/>
      <w:bookmarkStart w:id="110" w:name="_Toc518992989"/>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w:t>
      </w:r>
      <w:bookmarkEnd w:id="108"/>
      <w:bookmarkEnd w:id="109"/>
      <w:bookmarkEnd w:id="110"/>
      <w:r>
        <w:rPr>
          <w:rFonts w:hint="eastAsia" w:ascii="宋体" w:hAnsi="宋体" w:cs="宋体"/>
          <w:b/>
          <w:sz w:val="24"/>
          <w:szCs w:val="24"/>
        </w:rPr>
        <w:t>方式</w:t>
      </w:r>
    </w:p>
    <w:bookmarkEnd w:id="106"/>
    <w:bookmarkEnd w:id="107"/>
    <w:p>
      <w:pPr>
        <w:spacing w:line="460" w:lineRule="exact"/>
        <w:ind w:firstLine="480" w:firstLineChars="200"/>
        <w:rPr>
          <w:rFonts w:ascii="宋体" w:hAnsi="宋体" w:cs="宋体"/>
          <w:sz w:val="24"/>
          <w:szCs w:val="24"/>
          <w:u w:val="single"/>
        </w:rPr>
      </w:pPr>
      <w:bookmarkStart w:id="111" w:name="_Toc14703"/>
      <w:bookmarkStart w:id="112" w:name="_Toc183666516"/>
      <w:r>
        <w:rPr>
          <w:rFonts w:ascii="宋体" w:hAnsi="宋体" w:cs="宋体"/>
          <w:sz w:val="24"/>
          <w:szCs w:val="24"/>
        </w:rPr>
        <w:t>5.1</w:t>
      </w:r>
      <w:r>
        <w:rPr>
          <w:rFonts w:hint="eastAsia" w:ascii="宋体" w:hAnsi="宋体" w:cs="宋体"/>
          <w:bCs/>
          <w:sz w:val="24"/>
          <w:szCs w:val="24"/>
        </w:rPr>
        <w:t>预付款支付：</w:t>
      </w:r>
      <w:r>
        <w:rPr>
          <w:rFonts w:ascii="宋体" w:hAnsi="宋体" w:cs="宋体"/>
          <w:bCs/>
          <w:sz w:val="24"/>
          <w:szCs w:val="24"/>
        </w:rPr>
        <w:sym w:font="Wingdings" w:char="00FE"/>
      </w:r>
      <w:r>
        <w:rPr>
          <w:rFonts w:hint="eastAsia" w:ascii="宋体" w:hAnsi="宋体" w:cs="宋体"/>
          <w:bCs/>
          <w:sz w:val="24"/>
          <w:szCs w:val="24"/>
        </w:rPr>
        <w:t>无；</w:t>
      </w:r>
      <w:r>
        <w:rPr>
          <w:rFonts w:ascii="宋体" w:hAnsi="宋体" w:cs="宋体"/>
          <w:bCs/>
          <w:sz w:val="24"/>
          <w:szCs w:val="24"/>
        </w:rPr>
        <w:t xml:space="preserve">     </w:t>
      </w:r>
      <w:r>
        <w:rPr>
          <w:rFonts w:ascii="宋体" w:hAnsi="宋体" w:cs="宋体"/>
          <w:bCs/>
          <w:sz w:val="24"/>
          <w:szCs w:val="24"/>
        </w:rPr>
        <w:sym w:font="Wingdings" w:char="00A8"/>
      </w:r>
      <w:r>
        <w:rPr>
          <w:rFonts w:hint="eastAsia" w:ascii="宋体" w:hAnsi="宋体" w:cs="宋体"/>
          <w:bCs/>
          <w:sz w:val="24"/>
          <w:szCs w:val="24"/>
        </w:rPr>
        <w:t>有，合同签订后，乙方开具</w:t>
      </w:r>
      <w:r>
        <w:rPr>
          <w:rFonts w:hint="eastAsia" w:ascii="宋体" w:hAnsi="宋体" w:cs="宋体"/>
          <w:sz w:val="24"/>
          <w:szCs w:val="24"/>
        </w:rPr>
        <w:t>等额</w:t>
      </w:r>
      <w:r>
        <w:rPr>
          <w:rFonts w:hint="eastAsia" w:ascii="宋体" w:hAnsi="宋体" w:cs="宋体"/>
          <w:bCs/>
          <w:sz w:val="24"/>
          <w:szCs w:val="24"/>
        </w:rPr>
        <w:t>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w:t>
      </w:r>
      <w:r>
        <w:rPr>
          <w:rFonts w:hint="eastAsia" w:ascii="宋体" w:hAnsi="宋体" w:cs="宋体"/>
          <w:sz w:val="24"/>
          <w:szCs w:val="24"/>
          <w:u w:val="single"/>
        </w:rPr>
        <w:t>合同暂定总价</w:t>
      </w:r>
      <w:r>
        <w:rPr>
          <w:rFonts w:hint="eastAsia" w:ascii="宋体" w:hAnsi="宋体" w:cs="宋体"/>
          <w:bCs/>
          <w:sz w:val="24"/>
          <w:szCs w:val="24"/>
          <w:u w:val="single"/>
        </w:rPr>
        <w:t>的</w:t>
      </w:r>
      <w:r>
        <w:rPr>
          <w:rFonts w:ascii="宋体" w:hAnsi="宋体" w:cs="宋体"/>
          <w:bCs/>
          <w:sz w:val="24"/>
          <w:szCs w:val="24"/>
          <w:u w:val="single"/>
        </w:rPr>
        <w:t xml:space="preserve"> 30%  </w:t>
      </w:r>
      <w:r>
        <w:rPr>
          <w:rFonts w:hint="eastAsia" w:ascii="宋体" w:hAnsi="宋体" w:cs="宋体"/>
          <w:sz w:val="24"/>
          <w:szCs w:val="24"/>
        </w:rPr>
        <w:t>即</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w:t>
      </w:r>
      <w:r>
        <w:rPr>
          <w:rFonts w:hint="eastAsia" w:ascii="宋体" w:hAnsi="宋体" w:cs="宋体"/>
          <w:bCs/>
          <w:kern w:val="0"/>
          <w:sz w:val="24"/>
          <w:szCs w:val="24"/>
        </w:rPr>
        <w:t>（无息）</w:t>
      </w:r>
      <w:r>
        <w:rPr>
          <w:rFonts w:hint="eastAsia" w:ascii="宋体" w:hAnsi="宋体" w:cs="宋体"/>
          <w:sz w:val="24"/>
          <w:szCs w:val="24"/>
        </w:rPr>
        <w:t>。</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ascii="宋体" w:hAnsi="宋体" w:cs="宋体"/>
          <w:sz w:val="24"/>
          <w:szCs w:val="24"/>
        </w:rPr>
        <w:t>5.2</w:t>
      </w:r>
      <w:r>
        <w:rPr>
          <w:rFonts w:hint="eastAsia" w:ascii="宋体" w:hAnsi="宋体" w:cs="宋体"/>
          <w:sz w:val="24"/>
          <w:szCs w:val="24"/>
        </w:rPr>
        <w:t>支付方式：本合同款项按以下第</w:t>
      </w:r>
      <w:r>
        <w:rPr>
          <w:rFonts w:hint="eastAsia" w:ascii="宋体" w:hAnsi="宋体" w:cs="宋体"/>
          <w:sz w:val="24"/>
          <w:szCs w:val="24"/>
          <w:u w:val="single"/>
        </w:rPr>
        <w:t>（2）</w:t>
      </w:r>
      <w:r>
        <w:rPr>
          <w:rFonts w:hint="eastAsia" w:ascii="宋体" w:hAnsi="宋体" w:cs="宋体"/>
          <w:sz w:val="24"/>
          <w:szCs w:val="24"/>
        </w:rPr>
        <w:t>种方式支付。</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）本合同生效后，甲方支付乙方</w:t>
      </w:r>
      <w:r>
        <w:rPr>
          <w:rFonts w:hint="eastAsia" w:ascii="宋体" w:hAnsi="宋体" w:cs="宋体"/>
          <w:sz w:val="24"/>
          <w:szCs w:val="24"/>
          <w:u w:val="single"/>
        </w:rPr>
        <w:t>合同暂定总价</w:t>
      </w:r>
      <w:r>
        <w:rPr>
          <w:rFonts w:ascii="宋体" w:hAnsi="宋体" w:cs="宋体"/>
          <w:sz w:val="24"/>
          <w:szCs w:val="24"/>
          <w:u w:val="single"/>
        </w:rPr>
        <w:t>30%</w:t>
      </w:r>
      <w:r>
        <w:rPr>
          <w:rFonts w:hint="eastAsia" w:ascii="宋体" w:hAnsi="宋体" w:cs="宋体"/>
          <w:sz w:val="24"/>
          <w:szCs w:val="24"/>
        </w:rPr>
        <w:t>预付款，乙方按时供货，货物到齐且经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验收合格，经甲方相关部门结算且乙方提交请款资料及等额增值税专用发票后</w:t>
      </w:r>
      <w:r>
        <w:rPr>
          <w:rFonts w:ascii="宋体" w:hAnsi="宋体" w:cs="宋体"/>
          <w:sz w:val="24"/>
          <w:szCs w:val="24"/>
          <w:u w:val="single"/>
        </w:rPr>
        <w:t>15</w:t>
      </w:r>
      <w:r>
        <w:rPr>
          <w:rFonts w:hint="eastAsia" w:ascii="宋体" w:hAnsi="宋体" w:cs="宋体"/>
          <w:sz w:val="24"/>
          <w:szCs w:val="24"/>
        </w:rPr>
        <w:t>个工作日内，甲方向乙方支付至结算审定价总额的</w:t>
      </w:r>
      <w:r>
        <w:rPr>
          <w:rFonts w:ascii="宋体" w:hAnsi="宋体" w:cs="宋体"/>
          <w:sz w:val="24"/>
          <w:szCs w:val="24"/>
        </w:rPr>
        <w:t>95%</w:t>
      </w:r>
      <w:r>
        <w:rPr>
          <w:rFonts w:hint="eastAsia" w:ascii="宋体" w:hAnsi="宋体" w:cs="宋体"/>
          <w:sz w:val="24"/>
          <w:szCs w:val="24"/>
        </w:rPr>
        <w:t>（含预付款），余款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1</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）本合同生效后，乙方按时供货，货物到齐</w:t>
      </w:r>
      <w:r>
        <w:rPr>
          <w:rFonts w:hint="eastAsia" w:ascii="宋体" w:hAnsi="宋体" w:cs="宋体"/>
          <w:sz w:val="24"/>
          <w:szCs w:val="24"/>
          <w:highlight w:val="none"/>
        </w:rPr>
        <w:t>且经</w:t>
      </w:r>
      <w:r>
        <w:rPr>
          <w:rFonts w:hint="eastAsia" w:ascii="宋体" w:hAnsi="宋体" w:cs="宋体"/>
          <w:sz w:val="24"/>
          <w:szCs w:val="24"/>
          <w:highlight w:val="none"/>
          <w:u w:val="single"/>
        </w:rPr>
        <w:t>试运行</w:t>
      </w:r>
      <w:r>
        <w:rPr>
          <w:rFonts w:hint="eastAsia" w:ascii="宋体" w:hAnsi="宋体" w:cs="宋体"/>
          <w:sz w:val="24"/>
          <w:szCs w:val="24"/>
          <w:highlight w:val="none"/>
        </w:rPr>
        <w:t>验收</w:t>
      </w:r>
      <w:r>
        <w:rPr>
          <w:rFonts w:hint="eastAsia" w:ascii="宋体" w:hAnsi="宋体" w:cs="宋体"/>
          <w:sz w:val="24"/>
          <w:szCs w:val="24"/>
        </w:rPr>
        <w:t>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95%</w:t>
      </w:r>
      <w:r>
        <w:rPr>
          <w:rFonts w:hint="eastAsia" w:ascii="宋体" w:hAnsi="宋体" w:cs="宋体"/>
          <w:sz w:val="24"/>
          <w:szCs w:val="24"/>
        </w:rPr>
        <w:t>。余款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货物试运行</w:t>
      </w:r>
      <w:r>
        <w:rPr>
          <w:rFonts w:hint="eastAsia" w:ascii="宋体" w:hAnsi="宋体" w:cs="宋体"/>
          <w:sz w:val="24"/>
          <w:szCs w:val="24"/>
        </w:rPr>
        <w:t>验收合格之日起</w:t>
      </w:r>
      <w:r>
        <w:rPr>
          <w:rFonts w:hint="eastAsia" w:ascii="宋体" w:hAnsi="宋体" w:cs="宋体"/>
          <w:sz w:val="24"/>
          <w:szCs w:val="24"/>
          <w:u w:val="single"/>
        </w:rPr>
        <w:t>1</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100%</w:t>
      </w:r>
      <w:r>
        <w:rPr>
          <w:rFonts w:hint="eastAsia" w:ascii="宋体" w:hAnsi="宋体" w:cs="宋体"/>
          <w:sz w:val="24"/>
          <w:szCs w:val="24"/>
        </w:rPr>
        <w:t>（适用于即时结清采购）。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）本合同生效后，乙方按时分批供货，每批货物到齐且经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个工作日内向乙方支付至该批货款总额的</w:t>
      </w:r>
      <w:r>
        <w:rPr>
          <w:rFonts w:ascii="宋体" w:hAnsi="宋体" w:cs="宋体"/>
          <w:sz w:val="24"/>
          <w:szCs w:val="24"/>
        </w:rPr>
        <w:t>100%</w:t>
      </w:r>
      <w:r>
        <w:rPr>
          <w:rFonts w:hint="eastAsia" w:ascii="宋体" w:hAnsi="宋体" w:cs="宋体"/>
          <w:sz w:val="24"/>
          <w:szCs w:val="24"/>
        </w:rPr>
        <w:t>（适用于分批供货且即时结清采购）。</w:t>
      </w:r>
    </w:p>
    <w:p>
      <w:pPr>
        <w:adjustRightInd w:val="0"/>
        <w:snapToGrid w:val="0"/>
        <w:spacing w:line="460" w:lineRule="exact"/>
        <w:ind w:firstLine="240" w:firstLineChars="10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）其它支付方式：</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rPr>
        <w:t>；</w:t>
      </w:r>
    </w:p>
    <w:p>
      <w:pPr>
        <w:spacing w:line="400" w:lineRule="exact"/>
        <w:ind w:firstLine="480" w:firstLineChars="200"/>
        <w:rPr>
          <w:rFonts w:ascii="宋体" w:hAnsi="宋体" w:cs="宋体"/>
          <w:sz w:val="24"/>
          <w:szCs w:val="24"/>
        </w:rPr>
      </w:pPr>
      <w:r>
        <w:rPr>
          <w:rFonts w:hint="eastAsia" w:ascii="宋体" w:hAnsi="宋体" w:cs="宋体"/>
          <w:sz w:val="24"/>
          <w:szCs w:val="24"/>
        </w:rPr>
        <w:t>乙方在收款前需向甲方提交等额增值税专用发票，增值税专用发票信息：</w:t>
      </w:r>
    </w:p>
    <w:p>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名称：广州市净水有限公司</w:t>
      </w:r>
    </w:p>
    <w:p>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税号：91440101755584729Q </w:t>
      </w:r>
    </w:p>
    <w:p>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地址/电话：广州市天河区临江大道501号/020-38890283 </w:t>
      </w:r>
    </w:p>
    <w:p>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开户行及账号：民生银行广州分行0301014140006932</w:t>
      </w:r>
    </w:p>
    <w:p>
      <w:pPr>
        <w:spacing w:line="460" w:lineRule="exact"/>
        <w:ind w:firstLine="480" w:firstLineChars="200"/>
        <w:rPr>
          <w:rFonts w:ascii="宋体" w:hAnsi="宋体" w:cs="宋体"/>
          <w:sz w:val="24"/>
          <w:szCs w:val="24"/>
        </w:rPr>
      </w:pPr>
      <w:r>
        <w:rPr>
          <w:rFonts w:ascii="宋体" w:hAnsi="宋体" w:cs="宋体"/>
          <w:sz w:val="24"/>
          <w:szCs w:val="24"/>
        </w:rPr>
        <w:t>5.4</w:t>
      </w:r>
      <w:r>
        <w:rPr>
          <w:rFonts w:hint="eastAsia" w:ascii="宋体" w:hAnsi="宋体" w:cs="宋体"/>
          <w:sz w:val="24"/>
          <w:szCs w:val="24"/>
        </w:rPr>
        <w:t>付款方式：</w:t>
      </w:r>
      <w:r>
        <w:rPr>
          <w:rFonts w:ascii="宋体" w:hAnsi="宋体" w:cs="宋体"/>
          <w:sz w:val="24"/>
          <w:szCs w:val="24"/>
        </w:rPr>
        <w:t xml:space="preserve"> </w:t>
      </w:r>
      <w:r>
        <w:rPr>
          <w:rFonts w:ascii="宋体" w:hAnsi="宋体" w:cs="宋体"/>
          <w:sz w:val="24"/>
          <w:szCs w:val="24"/>
        </w:rPr>
        <w:sym w:font="Wingdings" w:char="00FE"/>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spacing w:line="460" w:lineRule="exact"/>
        <w:ind w:firstLine="720" w:firstLineChars="300"/>
        <w:outlineLvl w:val="1"/>
        <w:rPr>
          <w:rFonts w:hAnsi="宋体" w:cs="宋体"/>
          <w:szCs w:val="24"/>
        </w:rPr>
      </w:pPr>
      <w:r>
        <w:rPr>
          <w:rFonts w:hint="eastAsia" w:ascii="宋体" w:hAnsi="宋体" w:cs="宋体"/>
          <w:sz w:val="24"/>
          <w:szCs w:val="24"/>
        </w:rPr>
        <w:t>（建议采用网银支付、支票两种形式中之一）。</w:t>
      </w:r>
    </w:p>
    <w:bookmarkEnd w:id="111"/>
    <w:bookmarkEnd w:id="112"/>
    <w:p>
      <w:pPr>
        <w:adjustRightInd w:val="0"/>
        <w:snapToGrid w:val="0"/>
        <w:spacing w:line="460" w:lineRule="exact"/>
        <w:ind w:firstLine="482" w:firstLineChars="200"/>
        <w:rPr>
          <w:rFonts w:ascii="宋体" w:hAnsi="宋体" w:cs="宋体"/>
          <w:sz w:val="24"/>
          <w:szCs w:val="24"/>
        </w:rPr>
      </w:pPr>
      <w:bookmarkStart w:id="113" w:name="_Toc520190038"/>
      <w:bookmarkStart w:id="114" w:name="_Toc107446860"/>
      <w:bookmarkStart w:id="115" w:name="_Toc107447254"/>
      <w:bookmarkStart w:id="116" w:name="_Toc474245224"/>
      <w:bookmarkStart w:id="117" w:name="_Toc183666534"/>
      <w:bookmarkStart w:id="118" w:name="_Toc518992998"/>
      <w:bookmarkStart w:id="119" w:name="_Toc257"/>
      <w:bookmarkStart w:id="120" w:name="_Toc118086592"/>
      <w:bookmarkStart w:id="121" w:name="_Toc107447253"/>
      <w:bookmarkStart w:id="122" w:name="_Toc306350465"/>
      <w:bookmarkStart w:id="123" w:name="_Toc5166"/>
      <w:bookmarkStart w:id="124" w:name="_Toc183666529"/>
      <w:bookmarkStart w:id="125" w:name="_Toc107446861"/>
      <w:r>
        <w:rPr>
          <w:rFonts w:hint="eastAsia" w:ascii="宋体" w:hAnsi="宋体" w:cs="宋体"/>
          <w:b/>
          <w:bCs/>
          <w:sz w:val="24"/>
          <w:szCs w:val="24"/>
        </w:rPr>
        <w:t>第六条</w:t>
      </w:r>
      <w:r>
        <w:rPr>
          <w:rFonts w:ascii="宋体" w:hAnsi="宋体" w:cs="宋体"/>
          <w:b/>
          <w:bCs/>
          <w:sz w:val="24"/>
          <w:szCs w:val="24"/>
        </w:rPr>
        <w:t xml:space="preserve"> </w:t>
      </w:r>
      <w:r>
        <w:rPr>
          <w:rFonts w:hint="eastAsia" w:ascii="宋体" w:hAnsi="宋体" w:cs="宋体"/>
          <w:b/>
          <w:bCs/>
          <w:sz w:val="24"/>
          <w:szCs w:val="24"/>
        </w:rPr>
        <w:t>违约责任</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单方面取消合同：任意一方未经对方同意单方面取消合同，应按</w:t>
      </w:r>
      <w:r>
        <w:rPr>
          <w:rFonts w:hint="eastAsia" w:ascii="宋体" w:hAnsi="宋体" w:cs="宋体"/>
          <w:sz w:val="24"/>
          <w:szCs w:val="24"/>
          <w:u w:val="single"/>
        </w:rPr>
        <w:t>合同总价的</w:t>
      </w:r>
      <w:r>
        <w:rPr>
          <w:rFonts w:ascii="宋体" w:hAnsi="宋体" w:cs="宋体"/>
          <w:sz w:val="24"/>
          <w:szCs w:val="24"/>
          <w:u w:val="single"/>
        </w:rPr>
        <w:t>30%</w:t>
      </w:r>
      <w:r>
        <w:rPr>
          <w:rFonts w:hint="eastAsia" w:ascii="宋体" w:hAnsi="宋体" w:cs="宋体"/>
          <w:sz w:val="24"/>
          <w:szCs w:val="24"/>
        </w:rPr>
        <w:t>向对方赔偿。</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乙方不能按时交货的，每逾期</w:t>
      </w:r>
      <w:r>
        <w:rPr>
          <w:rFonts w:ascii="宋体" w:hAnsi="宋体" w:cs="宋体"/>
          <w:sz w:val="24"/>
          <w:szCs w:val="24"/>
        </w:rPr>
        <w:t>1</w:t>
      </w:r>
      <w:r>
        <w:rPr>
          <w:rFonts w:hint="eastAsia" w:ascii="宋体" w:hAnsi="宋体" w:cs="宋体"/>
          <w:sz w:val="24"/>
          <w:szCs w:val="24"/>
        </w:rPr>
        <w:t>日，按</w:t>
      </w:r>
      <w:r>
        <w:rPr>
          <w:rFonts w:hint="eastAsia" w:ascii="宋体" w:hAnsi="宋体" w:cs="宋体"/>
          <w:sz w:val="24"/>
          <w:szCs w:val="24"/>
          <w:u w:val="single"/>
        </w:rPr>
        <w:t>迟交货物总价的</w:t>
      </w:r>
      <w:r>
        <w:rPr>
          <w:rFonts w:ascii="宋体" w:hAnsi="宋体" w:cs="宋体"/>
          <w:sz w:val="24"/>
          <w:szCs w:val="24"/>
          <w:u w:val="single"/>
        </w:rPr>
        <w:t xml:space="preserve"> 2%支付违约金</w:t>
      </w:r>
      <w:r>
        <w:rPr>
          <w:rFonts w:hint="eastAsia" w:ascii="宋体" w:hAnsi="宋体" w:cs="宋体"/>
          <w:sz w:val="24"/>
          <w:szCs w:val="24"/>
        </w:rPr>
        <w:t>，逾期达到</w:t>
      </w:r>
      <w:r>
        <w:rPr>
          <w:rFonts w:ascii="宋体" w:hAnsi="宋体" w:cs="宋体"/>
          <w:sz w:val="24"/>
          <w:szCs w:val="24"/>
          <w:u w:val="single"/>
        </w:rPr>
        <w:t>5</w:t>
      </w:r>
      <w:r>
        <w:rPr>
          <w:rFonts w:hint="eastAsia" w:ascii="宋体" w:hAnsi="宋体" w:cs="宋体"/>
          <w:sz w:val="24"/>
          <w:szCs w:val="24"/>
        </w:rPr>
        <w:t>天及以上的，甲方有权解除合同</w:t>
      </w:r>
      <w:r>
        <w:rPr>
          <w:rFonts w:hint="eastAsia" w:ascii="宋体" w:hAnsi="宋体" w:cs="宋体"/>
          <w:sz w:val="24"/>
          <w:szCs w:val="24"/>
          <w:lang w:eastAsia="zh-Hans"/>
        </w:rPr>
        <w:t>，违约金不予退还</w:t>
      </w:r>
      <w:r>
        <w:rPr>
          <w:rFonts w:hint="eastAsia" w:ascii="宋体" w:hAnsi="宋体" w:cs="宋体"/>
          <w:sz w:val="24"/>
          <w:szCs w:val="24"/>
        </w:rPr>
        <w:t>。</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货物</w:t>
      </w:r>
      <w:r>
        <w:rPr>
          <w:rFonts w:hint="eastAsia" w:ascii="宋体" w:hAnsi="宋体" w:cs="宋体"/>
          <w:sz w:val="24"/>
          <w:szCs w:val="24"/>
          <w:u w:val="single"/>
        </w:rPr>
        <w:t>试运行</w:t>
      </w:r>
      <w:r>
        <w:rPr>
          <w:rFonts w:hint="eastAsia" w:ascii="宋体" w:hAnsi="宋体" w:cs="宋体"/>
          <w:sz w:val="24"/>
          <w:szCs w:val="24"/>
        </w:rPr>
        <w:t>验收不合格或货物在</w:t>
      </w:r>
      <w:r>
        <w:rPr>
          <w:rFonts w:hint="eastAsia" w:ascii="宋体" w:hAnsi="宋体" w:cs="宋体"/>
          <w:sz w:val="24"/>
          <w:szCs w:val="24"/>
          <w:u w:val="single"/>
        </w:rPr>
        <w:t>试运行</w:t>
      </w:r>
      <w:r>
        <w:rPr>
          <w:rFonts w:hint="eastAsia" w:ascii="宋体" w:hAnsi="宋体" w:cs="宋体"/>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hint="eastAsia" w:ascii="宋体" w:hAnsi="宋体" w:cs="宋体"/>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hint="eastAsia" w:ascii="宋体" w:hAnsi="宋体" w:cs="宋体"/>
          <w:sz w:val="24"/>
          <w:szCs w:val="24"/>
        </w:rPr>
        <w:t>日内重新交货并按</w:t>
      </w:r>
      <w:r>
        <w:rPr>
          <w:rFonts w:hint="eastAsia" w:ascii="宋体" w:hAnsi="宋体" w:cs="宋体"/>
          <w:sz w:val="24"/>
          <w:szCs w:val="24"/>
          <w:u w:val="single"/>
        </w:rPr>
        <w:t>更换货物总价的</w:t>
      </w:r>
      <w:r>
        <w:rPr>
          <w:rFonts w:ascii="宋体" w:hAnsi="宋体" w:cs="宋体"/>
          <w:sz w:val="24"/>
          <w:szCs w:val="24"/>
          <w:u w:val="single"/>
        </w:rPr>
        <w:t>10%</w:t>
      </w:r>
      <w:r>
        <w:rPr>
          <w:rFonts w:hint="eastAsia" w:ascii="宋体" w:hAnsi="宋体" w:cs="宋体"/>
          <w:sz w:val="24"/>
          <w:szCs w:val="24"/>
        </w:rPr>
        <w:t>支付违约金，乙方承担由此产生的一切损失和费用。</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乙方不履行合同义务、或履行合同义务不符合合同约定、或违反国家、省、市行业标准的，甲方有权要求乙方限期整改。乙方逾期未完成整改的，每项每超过</w:t>
      </w:r>
      <w:r>
        <w:rPr>
          <w:rFonts w:ascii="宋体" w:hAnsi="宋体" w:cs="宋体"/>
          <w:sz w:val="24"/>
          <w:szCs w:val="24"/>
        </w:rPr>
        <w:t>1日支付违约金人民币1万元，超过5</w:t>
      </w:r>
      <w:r>
        <w:rPr>
          <w:rFonts w:hint="eastAsia" w:ascii="宋体" w:hAnsi="宋体" w:cs="宋体"/>
          <w:sz w:val="24"/>
          <w:szCs w:val="24"/>
        </w:rPr>
        <w:t>日，甲方有权解除合同并要求乙方支付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hint="eastAsia" w:ascii="宋体" w:hAnsi="宋体" w:cs="宋体"/>
          <w:sz w:val="24"/>
          <w:szCs w:val="24"/>
        </w:rPr>
        <w:t>（</w:t>
      </w:r>
      <w:r>
        <w:rPr>
          <w:rFonts w:hint="eastAsia" w:cs="宋体"/>
          <w:sz w:val="24"/>
        </w:rPr>
        <w:t>如合同另行约定违约责任，从其约定</w:t>
      </w:r>
      <w:r>
        <w:rPr>
          <w:rFonts w:hint="eastAsia" w:ascii="宋体" w:hAnsi="宋体" w:cs="宋体"/>
          <w:sz w:val="24"/>
          <w:szCs w:val="24"/>
        </w:rPr>
        <w:t>）</w:t>
      </w:r>
      <w:r>
        <w:rPr>
          <w:rFonts w:ascii="宋体" w:hAnsi="宋体" w:cs="宋体"/>
          <w:sz w:val="24"/>
          <w:szCs w:val="24"/>
        </w:rPr>
        <w:t>。</w:t>
      </w:r>
    </w:p>
    <w:p>
      <w:pPr>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6.5</w:t>
      </w:r>
      <w:r>
        <w:rPr>
          <w:rFonts w:hint="eastAsia" w:ascii="宋体" w:hAnsi="宋体" w:eastAsia="宋体" w:cs="宋体"/>
          <w:bCs/>
          <w:sz w:val="24"/>
        </w:rPr>
        <w:t>在合同有效期内，若乙方发生不诚信行为情形的，乙方自愿接受甲方按《广州市净水有限公司经营建设项目参建企业不诚信行为管理办法》处理。</w:t>
      </w:r>
      <w:r>
        <w:rPr>
          <w:rFonts w:hint="eastAsia" w:ascii="宋体" w:hAnsi="宋体" w:cs="宋体"/>
          <w:bCs/>
          <w:sz w:val="24"/>
        </w:rPr>
        <w:t>具体处理标准详见附件3。</w:t>
      </w:r>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szCs w:val="24"/>
        </w:rPr>
      </w:pP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争议解决</w:t>
      </w:r>
    </w:p>
    <w:p>
      <w:pPr>
        <w:spacing w:line="460" w:lineRule="exact"/>
        <w:ind w:firstLine="720" w:firstLineChars="300"/>
        <w:rPr>
          <w:rFonts w:ascii="宋体" w:hAnsi="宋体" w:cs="宋体"/>
          <w:sz w:val="24"/>
          <w:szCs w:val="24"/>
        </w:rPr>
      </w:pPr>
      <w:r>
        <w:rPr>
          <w:rFonts w:ascii="宋体" w:hAnsi="宋体" w:cs="宋体"/>
          <w:bCs/>
          <w:sz w:val="24"/>
          <w:szCs w:val="24"/>
        </w:rPr>
        <w:t>8.1</w:t>
      </w:r>
      <w:r>
        <w:rPr>
          <w:rFonts w:hint="eastAsia" w:ascii="宋体" w:hAnsi="宋体" w:cs="宋体"/>
          <w:bCs/>
          <w:sz w:val="24"/>
          <w:szCs w:val="24"/>
        </w:rPr>
        <w:t>因本合同引起的或与本合同有关的任何争议，甲乙双方应友好协商解决，如协商不成，任何一方可依法向甲方所在地</w:t>
      </w:r>
      <w:r>
        <w:rPr>
          <w:rFonts w:hint="eastAsia" w:ascii="宋体" w:hAnsi="宋体" w:cs="宋体"/>
          <w:bCs/>
          <w:sz w:val="24"/>
          <w:szCs w:val="24"/>
          <w:u w:val="single"/>
        </w:rPr>
        <w:t>人民法院</w:t>
      </w:r>
      <w:r>
        <w:rPr>
          <w:rFonts w:hint="eastAsia" w:ascii="宋体" w:hAnsi="宋体" w:cs="宋体"/>
          <w:bCs/>
          <w:sz w:val="24"/>
          <w:szCs w:val="24"/>
        </w:rPr>
        <w:t>提起诉讼</w:t>
      </w:r>
      <w:r>
        <w:rPr>
          <w:rFonts w:hint="eastAsia" w:ascii="宋体" w:hAnsi="宋体" w:cs="宋体"/>
          <w:sz w:val="24"/>
          <w:szCs w:val="24"/>
        </w:rPr>
        <w:t>。</w:t>
      </w:r>
    </w:p>
    <w:p>
      <w:pPr>
        <w:spacing w:line="460" w:lineRule="exact"/>
        <w:ind w:firstLine="720" w:firstLineChars="300"/>
        <w:rPr>
          <w:rFonts w:ascii="宋体" w:hAnsi="宋体" w:cs="宋体"/>
          <w:sz w:val="24"/>
          <w:szCs w:val="24"/>
        </w:rPr>
      </w:pPr>
      <w:r>
        <w:rPr>
          <w:rFonts w:ascii="宋体" w:hAnsi="宋体" w:cs="宋体"/>
          <w:sz w:val="24"/>
          <w:szCs w:val="24"/>
        </w:rPr>
        <w:t>8.2</w:t>
      </w:r>
      <w:r>
        <w:rPr>
          <w:rFonts w:hint="eastAsia" w:ascii="宋体" w:hAnsi="宋体" w:cs="宋体"/>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其他</w:t>
      </w:r>
    </w:p>
    <w:p>
      <w:pPr>
        <w:spacing w:line="460" w:lineRule="exact"/>
        <w:ind w:firstLine="638" w:firstLineChars="266"/>
        <w:rPr>
          <w:rFonts w:ascii="宋体" w:hAnsi="宋体" w:cs="宋体"/>
          <w:b/>
          <w:sz w:val="24"/>
          <w:szCs w:val="24"/>
        </w:rPr>
      </w:pPr>
      <w:r>
        <w:rPr>
          <w:rFonts w:ascii="宋体" w:hAnsi="宋体" w:cs="宋体"/>
          <w:sz w:val="24"/>
          <w:szCs w:val="24"/>
        </w:rPr>
        <w:t>9.1</w:t>
      </w:r>
      <w:r>
        <w:rPr>
          <w:rFonts w:hint="eastAsia" w:ascii="宋体" w:hAnsi="宋体" w:cs="宋体"/>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sz w:val="24"/>
          <w:szCs w:val="24"/>
        </w:rPr>
      </w:pPr>
      <w:r>
        <w:rPr>
          <w:rFonts w:ascii="宋体" w:hAnsi="宋体" w:cs="宋体"/>
          <w:sz w:val="24"/>
          <w:szCs w:val="24"/>
        </w:rPr>
        <w:t>9.2</w:t>
      </w:r>
      <w:r>
        <w:rPr>
          <w:rFonts w:hint="eastAsia" w:ascii="宋体" w:hAnsi="宋体" w:cs="宋体"/>
          <w:sz w:val="24"/>
          <w:szCs w:val="24"/>
        </w:rPr>
        <w:t>本合同自甲乙双方法定代表人或授权代理人签字并加盖公章之日起生效。</w:t>
      </w:r>
    </w:p>
    <w:p>
      <w:pPr>
        <w:spacing w:line="460" w:lineRule="exact"/>
        <w:ind w:firstLine="638" w:firstLineChars="266"/>
        <w:rPr>
          <w:rFonts w:ascii="宋体" w:hAnsi="宋体" w:cs="宋体"/>
          <w:sz w:val="24"/>
          <w:szCs w:val="24"/>
        </w:rPr>
      </w:pPr>
      <w:r>
        <w:rPr>
          <w:rFonts w:ascii="宋体" w:hAnsi="宋体" w:cs="宋体"/>
          <w:sz w:val="24"/>
          <w:szCs w:val="24"/>
        </w:rPr>
        <w:t>9.3</w:t>
      </w:r>
      <w:r>
        <w:rPr>
          <w:rFonts w:hint="eastAsia" w:ascii="宋体" w:hAnsi="宋体" w:cs="宋体"/>
          <w:sz w:val="24"/>
          <w:szCs w:val="24"/>
        </w:rPr>
        <w:t>本合同一式  份，甲方执</w:t>
      </w:r>
      <w:r>
        <w:rPr>
          <w:rFonts w:ascii="宋体" w:hAnsi="宋体" w:cs="宋体"/>
          <w:sz w:val="24"/>
          <w:szCs w:val="24"/>
          <w:u w:val="single"/>
        </w:rPr>
        <w:t xml:space="preserve">    </w:t>
      </w:r>
      <w:r>
        <w:rPr>
          <w:rFonts w:hint="eastAsia" w:ascii="宋体" w:hAnsi="宋体" w:cs="宋体"/>
          <w:sz w:val="24"/>
          <w:szCs w:val="24"/>
        </w:rPr>
        <w:t>份，乙方执</w:t>
      </w:r>
      <w:r>
        <w:rPr>
          <w:rFonts w:ascii="宋体" w:hAnsi="宋体" w:cs="宋体"/>
          <w:sz w:val="24"/>
          <w:szCs w:val="24"/>
          <w:u w:val="single"/>
        </w:rPr>
        <w:t xml:space="preserve">    </w:t>
      </w:r>
      <w:r>
        <w:rPr>
          <w:rFonts w:hint="eastAsia" w:ascii="宋体" w:hAnsi="宋体" w:cs="宋体"/>
          <w:sz w:val="24"/>
          <w:szCs w:val="24"/>
        </w:rPr>
        <w:t>份。均具有同等法律效力。</w:t>
      </w:r>
    </w:p>
    <w:bookmarkEnd w:id="113"/>
    <w:bookmarkEnd w:id="114"/>
    <w:bookmarkEnd w:id="115"/>
    <w:bookmarkEnd w:id="116"/>
    <w:bookmarkEnd w:id="117"/>
    <w:bookmarkEnd w:id="118"/>
    <w:bookmarkEnd w:id="119"/>
    <w:bookmarkEnd w:id="120"/>
    <w:bookmarkEnd w:id="121"/>
    <w:bookmarkEnd w:id="122"/>
    <w:bookmarkEnd w:id="123"/>
    <w:bookmarkEnd w:id="124"/>
    <w:bookmarkEnd w:id="125"/>
    <w:p>
      <w:pPr>
        <w:spacing w:line="460" w:lineRule="exact"/>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.成交通知书</w:t>
      </w:r>
    </w:p>
    <w:p>
      <w:pPr>
        <w:numPr>
          <w:ilvl w:val="255"/>
          <w:numId w:val="0"/>
        </w:numPr>
        <w:spacing w:line="460" w:lineRule="exact"/>
        <w:ind w:left="1200"/>
        <w:rPr>
          <w:rFonts w:ascii="宋体" w:hAnsi="宋体" w:cs="宋体"/>
          <w:sz w:val="24"/>
          <w:szCs w:val="24"/>
        </w:rPr>
      </w:pPr>
      <w:r>
        <w:rPr>
          <w:rFonts w:hint="eastAsia" w:ascii="宋体" w:hAnsi="宋体" w:cs="宋体"/>
          <w:sz w:val="24"/>
          <w:szCs w:val="24"/>
        </w:rPr>
        <w:t>2.廉洁协议</w:t>
      </w:r>
    </w:p>
    <w:p>
      <w:pPr>
        <w:numPr>
          <w:ilvl w:val="255"/>
          <w:numId w:val="0"/>
        </w:numPr>
        <w:spacing w:line="460" w:lineRule="exact"/>
        <w:ind w:left="1200"/>
        <w:rPr>
          <w:rFonts w:hint="eastAsia" w:ascii="宋体" w:hAnsi="宋体" w:eastAsia="宋体" w:cs="宋体"/>
          <w:sz w:val="24"/>
          <w:szCs w:val="24"/>
        </w:rPr>
      </w:pPr>
      <w:r>
        <w:rPr>
          <w:rFonts w:hint="eastAsia" w:ascii="宋体" w:hAnsi="宋体" w:eastAsia="宋体" w:cs="宋体"/>
          <w:sz w:val="24"/>
          <w:szCs w:val="24"/>
        </w:rPr>
        <w:t>3.不诚信行为的情形及相应被暂停参与投标活动的处理标准</w:t>
      </w:r>
    </w:p>
    <w:p>
      <w:pPr>
        <w:numPr>
          <w:ilvl w:val="255"/>
          <w:numId w:val="0"/>
        </w:numPr>
        <w:spacing w:line="460" w:lineRule="exact"/>
        <w:ind w:left="1200"/>
        <w:rPr>
          <w:rFonts w:hint="default" w:eastAsia="宋体"/>
          <w:lang w:val="en-US" w:eastAsia="zh-CN"/>
        </w:rPr>
      </w:pPr>
      <w:r>
        <w:rPr>
          <w:rFonts w:hint="eastAsia" w:eastAsia="宋体" w:cs="宋体"/>
          <w:sz w:val="24"/>
          <w:szCs w:val="24"/>
          <w:lang w:val="en-US" w:eastAsia="zh-CN"/>
        </w:rPr>
        <w:t>4.物品采购安全协议书</w:t>
      </w:r>
    </w:p>
    <w:p>
      <w:pPr>
        <w:numPr>
          <w:ilvl w:val="255"/>
          <w:numId w:val="0"/>
        </w:numPr>
        <w:spacing w:line="460" w:lineRule="exact"/>
        <w:ind w:left="1200"/>
        <w:rPr>
          <w:rFonts w:ascii="宋体" w:hAnsi="宋体" w:cs="宋体"/>
          <w:kern w:val="0"/>
          <w:sz w:val="24"/>
          <w:szCs w:val="24"/>
          <w:lang w:val="zh-CN"/>
        </w:rPr>
      </w:pPr>
      <w:r>
        <w:rPr>
          <w:rFonts w:hint="eastAsia" w:ascii="宋体" w:hAnsi="宋体" w:cs="宋体"/>
          <w:kern w:val="0"/>
          <w:sz w:val="24"/>
          <w:szCs w:val="24"/>
          <w:lang w:val="en-US" w:eastAsia="zh-CN"/>
        </w:rPr>
        <w:t>5</w:t>
      </w:r>
      <w:r>
        <w:rPr>
          <w:rFonts w:hint="eastAsia" w:ascii="宋体" w:hAnsi="宋体" w:cs="宋体"/>
          <w:kern w:val="0"/>
          <w:sz w:val="24"/>
          <w:szCs w:val="24"/>
        </w:rPr>
        <w:t>.采购</w:t>
      </w:r>
      <w:r>
        <w:rPr>
          <w:rFonts w:hint="eastAsia" w:ascii="宋体" w:hAnsi="宋体" w:cs="宋体"/>
          <w:kern w:val="0"/>
          <w:sz w:val="24"/>
          <w:szCs w:val="24"/>
          <w:lang w:val="zh-CN"/>
        </w:rPr>
        <w:t>需求</w:t>
      </w:r>
    </w:p>
    <w:p>
      <w:pPr>
        <w:spacing w:line="460" w:lineRule="exact"/>
        <w:ind w:left="1200"/>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w:t>
      </w:r>
      <w:r>
        <w:rPr>
          <w:rFonts w:hint="eastAsia" w:ascii="宋体" w:hAnsi="宋体" w:eastAsia="宋体" w:cs="宋体"/>
          <w:color w:val="000000"/>
          <w:sz w:val="24"/>
          <w:szCs w:val="24"/>
        </w:rPr>
        <w:t>防疫管理协议书</w:t>
      </w:r>
    </w:p>
    <w:p>
      <w:pPr>
        <w:pStyle w:val="2"/>
      </w:pPr>
    </w:p>
    <w:tbl>
      <w:tblPr>
        <w:tblStyle w:val="22"/>
        <w:tblpPr w:leftFromText="180" w:rightFromText="180" w:vertAnchor="text" w:horzAnchor="page" w:tblpX="1450" w:tblpY="447"/>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：广州市净水有限公司（盖章）</w:t>
            </w:r>
          </w:p>
        </w:tc>
        <w:tc>
          <w:tcPr>
            <w:tcW w:w="430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c>
          <w:tcPr>
            <w:tcW w:w="430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eastAsia" w:ascii="宋体" w:hAnsi="宋体" w:cs="宋体" w:eastAsiaTheme="minorEastAsia"/>
                <w:sz w:val="24"/>
                <w:szCs w:val="24"/>
                <w:lang w:val="en-US" w:eastAsia="zh-CN"/>
              </w:rPr>
            </w:pPr>
            <w:r>
              <w:rPr>
                <w:rFonts w:hint="eastAsia" w:ascii="宋体" w:hAnsi="宋体" w:cs="宋体"/>
                <w:sz w:val="24"/>
                <w:szCs w:val="24"/>
              </w:rPr>
              <w:t>经办人：</w:t>
            </w:r>
            <w:r>
              <w:rPr>
                <w:rFonts w:hint="eastAsia" w:ascii="宋体" w:hAnsi="宋体" w:cs="宋体"/>
                <w:sz w:val="24"/>
                <w:szCs w:val="24"/>
                <w:lang w:val="en-US" w:eastAsia="zh-CN"/>
              </w:rPr>
              <w:t>樊庆欣</w:t>
            </w:r>
          </w:p>
        </w:tc>
        <w:tc>
          <w:tcPr>
            <w:tcW w:w="430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hint="default" w:ascii="宋体" w:hAnsi="宋体" w:cs="宋体" w:eastAsiaTheme="minorEastAsia"/>
                <w:sz w:val="24"/>
                <w:szCs w:val="24"/>
                <w:lang w:val="en-US" w:eastAsia="zh-CN"/>
              </w:rPr>
            </w:pPr>
            <w:r>
              <w:rPr>
                <w:rFonts w:hint="eastAsia" w:ascii="宋体" w:hAnsi="宋体" w:cs="宋体"/>
                <w:sz w:val="24"/>
                <w:szCs w:val="24"/>
              </w:rPr>
              <w:t>电话：020-38890</w:t>
            </w:r>
            <w:r>
              <w:rPr>
                <w:rFonts w:hint="eastAsia" w:ascii="宋体" w:hAnsi="宋体" w:cs="宋体"/>
                <w:sz w:val="24"/>
                <w:szCs w:val="24"/>
                <w:lang w:val="en-US" w:eastAsia="zh-CN"/>
              </w:rPr>
              <w:t>581</w:t>
            </w:r>
          </w:p>
        </w:tc>
        <w:tc>
          <w:tcPr>
            <w:tcW w:w="430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c>
          <w:tcPr>
            <w:tcW w:w="4304"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c>
          <w:tcPr>
            <w:tcW w:w="4304" w:type="dxa"/>
            <w:tcBorders>
              <w:top w:val="nil"/>
              <w:left w:val="nil"/>
              <w:bottom w:val="nil"/>
              <w:right w:val="nil"/>
            </w:tcBorders>
            <w:vAlign w:val="bottom"/>
          </w:tcPr>
          <w:p>
            <w:pPr>
              <w:adjustRightInd w:val="0"/>
              <w:snapToGrid w:val="0"/>
              <w:spacing w:line="460" w:lineRule="exact"/>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jc w:val="left"/>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2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4"/>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34"/>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tabs>
          <w:tab w:val="left" w:pos="4170"/>
        </w:tabs>
        <w:spacing w:line="360" w:lineRule="auto"/>
        <w:rPr>
          <w:rFonts w:ascii="宋体" w:hAnsi="宋体"/>
        </w:rPr>
      </w:pPr>
    </w:p>
    <w:p>
      <w:pPr>
        <w:spacing w:line="360" w:lineRule="auto"/>
        <w:rPr>
          <w:rFonts w:ascii="仿宋_GB2312" w:eastAsia="仿宋_GB2312"/>
          <w:sz w:val="24"/>
          <w:szCs w:val="24"/>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pStyle w:val="2"/>
        <w:rPr>
          <w:rFonts w:ascii="仿宋_GB2312" w:eastAsia="仿宋_GB2312"/>
          <w:color w:val="auto"/>
        </w:rPr>
      </w:pPr>
    </w:p>
    <w:p>
      <w:pPr>
        <w:jc w:val="left"/>
        <w:rPr>
          <w:rFonts w:ascii="宋体" w:hAnsi="宋体" w:eastAsia="宋体" w:cs="宋体"/>
          <w:b/>
          <w:bCs/>
          <w:szCs w:val="21"/>
        </w:rPr>
      </w:pPr>
      <w:r>
        <w:rPr>
          <w:rFonts w:hint="eastAsia" w:ascii="宋体" w:hAnsi="宋体" w:eastAsia="宋体" w:cs="宋体"/>
          <w:b/>
          <w:bCs/>
          <w:szCs w:val="21"/>
        </w:rPr>
        <w:br w:type="page"/>
      </w:r>
    </w:p>
    <w:p>
      <w:pPr>
        <w:adjustRightInd w:val="0"/>
        <w:snapToGrid w:val="0"/>
        <w:rPr>
          <w:rFonts w:ascii="宋体" w:hAnsi="宋体" w:eastAsia="宋体" w:cs="宋体"/>
          <w:szCs w:val="21"/>
        </w:rPr>
      </w:pPr>
      <w:r>
        <w:rPr>
          <w:rFonts w:hint="eastAsia" w:ascii="宋体" w:hAnsi="宋体" w:eastAsia="宋体" w:cs="宋体"/>
          <w:b/>
          <w:bCs/>
          <w:szCs w:val="21"/>
        </w:rPr>
        <w:t>附件3.</w:t>
      </w:r>
      <w:r>
        <w:rPr>
          <w:rFonts w:hint="eastAsia" w:ascii="宋体" w:hAnsi="宋体" w:eastAsia="宋体" w:cs="宋体"/>
          <w:szCs w:val="21"/>
        </w:rPr>
        <w:t>不诚信行为的情形及相应被暂停参与投标活动的处理标准</w:t>
      </w:r>
    </w:p>
    <w:p>
      <w:pPr>
        <w:pStyle w:val="2"/>
      </w:pP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tbl>
      <w:tblPr>
        <w:tblStyle w:val="22"/>
        <w:tblpPr w:leftFromText="180" w:rightFromText="180" w:vertAnchor="text" w:horzAnchor="page" w:tblpX="411" w:tblpY="409"/>
        <w:tblOverlap w:val="never"/>
        <w:tblW w:w="10694" w:type="dxa"/>
        <w:tblInd w:w="0" w:type="dxa"/>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4452"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或2000～3000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89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缺安全架构扣合同金额的10%或2000；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缺安全架构扣合同金额的2%或1万；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缺安全架构扣合同金额的1%或2万；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89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或300～500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或1000～2000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扣合同金额的0.5%～1%；</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或2500～4500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扣合同金额的0.3%～0.4%；</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2.本处理标准出自《</w:t>
            </w:r>
            <w:r>
              <w:rPr>
                <w:rFonts w:hint="eastAsia" w:ascii="宋体" w:hAnsi="宋体" w:eastAsia="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pPr>
          </w:p>
        </w:tc>
      </w:tr>
    </w:tbl>
    <w:p>
      <w:pPr>
        <w:widowControl/>
        <w:jc w:val="left"/>
        <w:rPr>
          <w:rFonts w:ascii="宋体" w:hAnsi="宋体" w:cs="宋体"/>
          <w:color w:val="000000" w:themeColor="text1"/>
          <w:szCs w:val="21"/>
          <w14:textFill>
            <w14:solidFill>
              <w14:schemeClr w14:val="tx1"/>
            </w14:solidFill>
          </w14:textFill>
        </w:rPr>
      </w:pPr>
    </w:p>
    <w:p>
      <w:pPr>
        <w:autoSpaceDE w:val="0"/>
        <w:autoSpaceDN w:val="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附件4</w:t>
      </w:r>
    </w:p>
    <w:p>
      <w:pPr>
        <w:spacing w:line="560" w:lineRule="exact"/>
        <w:jc w:val="center"/>
        <w:rPr>
          <w:rFonts w:ascii="黑体" w:hAnsi="宋体" w:eastAsia="黑体" w:cs="宋体"/>
          <w:bCs/>
          <w:sz w:val="44"/>
          <w:szCs w:val="44"/>
        </w:rPr>
      </w:pPr>
      <w:r>
        <w:rPr>
          <w:rFonts w:hint="eastAsia" w:ascii="黑体" w:hAnsi="宋体" w:eastAsia="黑体" w:cs="宋体"/>
          <w:bCs/>
          <w:sz w:val="44"/>
          <w:szCs w:val="44"/>
        </w:rPr>
        <w:t>物品采购</w:t>
      </w:r>
      <w:r>
        <w:rPr>
          <w:rFonts w:hint="eastAsia" w:ascii="黑体" w:hAnsi="Batang" w:eastAsia="黑体" w:cs="Batang"/>
          <w:bCs/>
          <w:sz w:val="44"/>
          <w:szCs w:val="44"/>
        </w:rPr>
        <w:t>安全协议</w:t>
      </w:r>
      <w:r>
        <w:rPr>
          <w:rFonts w:hint="eastAsia" w:ascii="黑体" w:hAnsi="宋体" w:eastAsia="黑体" w:cs="宋体"/>
          <w:bCs/>
          <w:sz w:val="44"/>
          <w:szCs w:val="44"/>
        </w:rPr>
        <w:t>书</w:t>
      </w:r>
    </w:p>
    <w:p>
      <w:pPr>
        <w:spacing w:line="560" w:lineRule="exact"/>
        <w:rPr>
          <w:rFonts w:ascii="宋体" w:hAnsi="宋体" w:cs="Arial"/>
          <w:sz w:val="24"/>
        </w:rPr>
      </w:pPr>
    </w:p>
    <w:p>
      <w:pPr>
        <w:spacing w:line="560" w:lineRule="exact"/>
        <w:rPr>
          <w:rFonts w:ascii="宋体" w:hAnsi="宋体" w:cs="Arial"/>
          <w:sz w:val="24"/>
        </w:rPr>
      </w:pPr>
      <w:r>
        <w:rPr>
          <w:rFonts w:hint="eastAsia" w:ascii="宋体" w:hAnsi="宋体" w:cs="Arial"/>
          <w:sz w:val="24"/>
        </w:rPr>
        <w:t>甲方：</w:t>
      </w:r>
      <w:r>
        <w:rPr>
          <w:rFonts w:hint="eastAsia"/>
          <w:sz w:val="24"/>
        </w:rPr>
        <w:t>广州市净水有限公司</w:t>
      </w:r>
    </w:p>
    <w:p>
      <w:pPr>
        <w:spacing w:line="560" w:lineRule="exact"/>
        <w:rPr>
          <w:rFonts w:ascii="宋体" w:hAnsi="宋体" w:cs="Arial"/>
          <w:sz w:val="24"/>
        </w:rPr>
      </w:pPr>
      <w:r>
        <w:rPr>
          <w:rFonts w:hint="eastAsia" w:ascii="宋体" w:hAnsi="宋体" w:cs="Arial"/>
          <w:sz w:val="24"/>
        </w:rPr>
        <w:t xml:space="preserve">乙方： </w:t>
      </w:r>
    </w:p>
    <w:p>
      <w:pPr>
        <w:spacing w:line="560" w:lineRule="exact"/>
        <w:rPr>
          <w:rFonts w:ascii="宋体" w:hAnsi="宋体" w:cs="Arial"/>
          <w:sz w:val="24"/>
        </w:rPr>
      </w:pPr>
    </w:p>
    <w:p>
      <w:pPr>
        <w:spacing w:line="560" w:lineRule="exact"/>
        <w:ind w:firstLine="480" w:firstLineChars="200"/>
        <w:rPr>
          <w:rFonts w:ascii="宋体" w:hAnsi="宋体" w:cs="Arial"/>
          <w:sz w:val="24"/>
        </w:rPr>
      </w:pPr>
      <w:r>
        <w:rPr>
          <w:rFonts w:hint="eastAsia" w:ascii="宋体" w:hAnsi="宋体" w:cs="Arial"/>
          <w:sz w:val="24"/>
        </w:rPr>
        <w:t>为加强物品采购过程安全管理，根据《中华人民共和国安全生产法》、《生产安全事故报告和调查处理条例》等国家及地方有关安全生产法律法规</w:t>
      </w:r>
      <w:r>
        <w:rPr>
          <w:rFonts w:ascii="宋体" w:hAnsi="宋体" w:cs="Arial"/>
          <w:sz w:val="24"/>
        </w:rPr>
        <w:t>，甲乙双方就</w:t>
      </w:r>
      <w:r>
        <w:rPr>
          <w:rFonts w:hint="eastAsia" w:ascii="宋体" w:hAnsi="宋体" w:cs="Arial"/>
          <w:sz w:val="24"/>
        </w:rPr>
        <w:t>物品采购的安全</w:t>
      </w:r>
      <w:r>
        <w:rPr>
          <w:rFonts w:ascii="宋体" w:hAnsi="宋体" w:cs="Arial"/>
          <w:sz w:val="24"/>
        </w:rPr>
        <w:t>事宜，经双方友好协商，达成如下协议。</w:t>
      </w:r>
    </w:p>
    <w:p>
      <w:pPr>
        <w:adjustRightInd w:val="0"/>
        <w:snapToGrid w:val="0"/>
        <w:spacing w:line="560" w:lineRule="exact"/>
        <w:ind w:firstLine="482" w:firstLineChars="200"/>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rPr>
          <w:rFonts w:ascii="宋体" w:hAnsi="宋体"/>
          <w:sz w:val="24"/>
        </w:rPr>
      </w:pPr>
      <w:r>
        <w:rPr>
          <w:rFonts w:hint="eastAsia" w:ascii="宋体" w:hAnsi="宋体"/>
          <w:sz w:val="24"/>
        </w:rPr>
        <w:t>本协议作为</w:t>
      </w:r>
      <w:r>
        <w:rPr>
          <w:rFonts w:hint="eastAsia" w:ascii="宋体" w:hAnsi="宋体"/>
          <w:sz w:val="24"/>
          <w:u w:val="single"/>
        </w:rPr>
        <w:t xml:space="preserve">                          </w:t>
      </w:r>
      <w:r>
        <w:rPr>
          <w:rFonts w:hint="eastAsia" w:ascii="宋体" w:hAnsi="宋体"/>
          <w:sz w:val="24"/>
        </w:rPr>
        <w:t>的组成部分，与主合同具有同等法律效力。</w:t>
      </w:r>
    </w:p>
    <w:p>
      <w:pPr>
        <w:spacing w:line="560" w:lineRule="exact"/>
        <w:ind w:firstLine="482" w:firstLineChars="200"/>
        <w:rPr>
          <w:rFonts w:ascii="宋体" w:hAnsi="宋体" w:cs="Arial"/>
          <w:b/>
          <w:sz w:val="24"/>
        </w:rPr>
      </w:pPr>
      <w:r>
        <w:rPr>
          <w:rFonts w:hint="eastAsia" w:ascii="宋体" w:hAnsi="宋体" w:cs="Arial"/>
          <w:b/>
          <w:sz w:val="24"/>
        </w:rPr>
        <w:t>二、甲方权责</w:t>
      </w:r>
    </w:p>
    <w:p>
      <w:pPr>
        <w:spacing w:line="560" w:lineRule="exact"/>
        <w:ind w:firstLine="480" w:firstLineChars="200"/>
        <w:rPr>
          <w:rFonts w:ascii="宋体" w:hAnsi="宋体" w:cs="Arial"/>
          <w:sz w:val="24"/>
        </w:rPr>
      </w:pPr>
      <w:r>
        <w:rPr>
          <w:rFonts w:hint="eastAsia" w:ascii="宋体" w:hAnsi="宋体" w:cs="Arial"/>
          <w:sz w:val="24"/>
        </w:rPr>
        <w:t>（一）甲方进行物品采购时，应贯彻落实国家、地方有关安全管理的法律法规和规章制度。</w:t>
      </w:r>
    </w:p>
    <w:p>
      <w:pPr>
        <w:spacing w:line="560" w:lineRule="exact"/>
        <w:ind w:firstLine="480" w:firstLineChars="200"/>
        <w:rPr>
          <w:rFonts w:ascii="宋体" w:hAnsi="宋体" w:cs="Arial"/>
          <w:sz w:val="24"/>
        </w:rPr>
      </w:pPr>
      <w:r>
        <w:rPr>
          <w:rFonts w:hint="eastAsia" w:ascii="宋体" w:hAnsi="宋体" w:cs="Arial"/>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sz w:val="24"/>
        </w:rPr>
      </w:pPr>
      <w:r>
        <w:rPr>
          <w:rFonts w:hint="eastAsia" w:ascii="宋体" w:hAnsi="宋体" w:cs="Arial"/>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sz w:val="24"/>
        </w:rPr>
      </w:pPr>
      <w:r>
        <w:rPr>
          <w:rFonts w:hint="eastAsia" w:ascii="宋体" w:hAnsi="宋体" w:cs="Arial"/>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sz w:val="24"/>
        </w:rPr>
      </w:pPr>
      <w:r>
        <w:rPr>
          <w:rFonts w:hint="eastAsia" w:ascii="宋体" w:hAnsi="宋体" w:cs="Arial"/>
          <w:sz w:val="24"/>
        </w:rPr>
        <w:t>（五）告知乙方在甲方应当遵守的安全管理要求。</w:t>
      </w:r>
    </w:p>
    <w:p>
      <w:pPr>
        <w:spacing w:line="560" w:lineRule="exact"/>
        <w:ind w:firstLine="482" w:firstLineChars="200"/>
        <w:rPr>
          <w:rFonts w:ascii="宋体" w:hAnsi="宋体" w:cs="Arial"/>
          <w:b/>
          <w:sz w:val="24"/>
        </w:rPr>
      </w:pPr>
      <w:r>
        <w:rPr>
          <w:rFonts w:hint="eastAsia" w:ascii="宋体" w:hAnsi="宋体" w:cs="Arial"/>
          <w:b/>
          <w:sz w:val="24"/>
        </w:rPr>
        <w:t>三、乙方权责</w:t>
      </w:r>
    </w:p>
    <w:p>
      <w:pPr>
        <w:spacing w:line="560" w:lineRule="exact"/>
        <w:ind w:firstLine="480" w:firstLineChars="200"/>
        <w:rPr>
          <w:rFonts w:ascii="宋体" w:hAnsi="宋体" w:cs="Arial"/>
          <w:sz w:val="24"/>
        </w:rPr>
      </w:pPr>
      <w:r>
        <w:rPr>
          <w:rFonts w:hint="eastAsia" w:ascii="宋体" w:hAnsi="宋体" w:cs="Arial"/>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sz w:val="24"/>
        </w:rPr>
      </w:pPr>
      <w:r>
        <w:rPr>
          <w:rFonts w:hint="eastAsia" w:ascii="宋体" w:hAnsi="宋体" w:cs="Arial"/>
          <w:sz w:val="24"/>
        </w:rPr>
        <w:t>（二）</w:t>
      </w:r>
      <w:r>
        <w:rPr>
          <w:rFonts w:hint="eastAsia" w:ascii="宋体" w:hAnsi="宋体" w:cs="宋体"/>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sz w:val="24"/>
        </w:rPr>
        <w:t>物品</w:t>
      </w:r>
      <w:r>
        <w:rPr>
          <w:rFonts w:hint="eastAsia" w:ascii="宋体" w:hAnsi="宋体" w:cs="宋体"/>
          <w:sz w:val="24"/>
        </w:rPr>
        <w:t>安全运输责任人，负责安全运输和装卸及安全教育工作，同时督促检查，确保</w:t>
      </w:r>
      <w:r>
        <w:rPr>
          <w:rFonts w:hint="eastAsia" w:ascii="宋体" w:hAnsi="宋体" w:cs="Arial"/>
          <w:sz w:val="24"/>
        </w:rPr>
        <w:t>物品</w:t>
      </w:r>
      <w:r>
        <w:rPr>
          <w:rFonts w:hint="eastAsia" w:ascii="宋体" w:hAnsi="宋体" w:cs="宋体"/>
          <w:sz w:val="24"/>
        </w:rPr>
        <w:t>的安全送运。</w:t>
      </w:r>
    </w:p>
    <w:p>
      <w:pPr>
        <w:spacing w:line="560" w:lineRule="exact"/>
        <w:ind w:firstLine="480" w:firstLineChars="200"/>
        <w:rPr>
          <w:rFonts w:ascii="宋体" w:hAnsi="宋体" w:cs="宋体"/>
          <w:sz w:val="24"/>
        </w:rPr>
      </w:pPr>
      <w:r>
        <w:rPr>
          <w:rFonts w:hint="eastAsia" w:ascii="宋体" w:hAnsi="宋体" w:cs="宋体"/>
          <w:sz w:val="24"/>
        </w:rPr>
        <w:t>（三）乙方应承诺所售</w:t>
      </w:r>
      <w:r>
        <w:rPr>
          <w:rFonts w:hint="eastAsia" w:ascii="宋体" w:hAnsi="宋体" w:cs="Arial"/>
          <w:sz w:val="24"/>
        </w:rPr>
        <w:t>物品</w:t>
      </w:r>
      <w:r>
        <w:rPr>
          <w:rFonts w:hint="eastAsia" w:ascii="宋体" w:hAnsi="宋体" w:cs="宋体"/>
          <w:sz w:val="24"/>
        </w:rPr>
        <w:t>质量符合现行国家规范要求，保证</w:t>
      </w:r>
      <w:r>
        <w:rPr>
          <w:rFonts w:hint="eastAsia" w:ascii="宋体" w:hAnsi="宋体" w:cs="Arial"/>
          <w:sz w:val="24"/>
        </w:rPr>
        <w:t>所售物品为正品。设备类物品应提供与设备型号一致的使用说明书（进口设备应有中文说明书），如物品有保质期要求的应在保质期范围内，</w:t>
      </w:r>
      <w:r>
        <w:rPr>
          <w:rFonts w:hint="eastAsia" w:ascii="宋体" w:hAnsi="宋体" w:cs="宋体"/>
          <w:sz w:val="24"/>
        </w:rPr>
        <w:t>特殊设备应在运输前做好定检工作，包装要完整完好。</w:t>
      </w:r>
    </w:p>
    <w:p>
      <w:pPr>
        <w:spacing w:line="560" w:lineRule="exact"/>
        <w:ind w:firstLine="480" w:firstLineChars="200"/>
        <w:rPr>
          <w:rFonts w:ascii="宋体" w:hAnsi="宋体" w:cs="宋体"/>
          <w:sz w:val="24"/>
        </w:rPr>
      </w:pPr>
      <w:r>
        <w:rPr>
          <w:rFonts w:hint="eastAsia" w:ascii="宋体" w:hAnsi="宋体" w:cs="宋体"/>
          <w:sz w:val="24"/>
        </w:rPr>
        <w:t>（四）乙方对</w:t>
      </w:r>
      <w:r>
        <w:rPr>
          <w:rFonts w:hint="eastAsia" w:ascii="宋体" w:hAnsi="宋体" w:cs="Arial"/>
          <w:sz w:val="24"/>
        </w:rPr>
        <w:t>物品</w:t>
      </w:r>
      <w:r>
        <w:rPr>
          <w:rFonts w:hint="eastAsia" w:ascii="宋体" w:hAnsi="宋体" w:cs="宋体"/>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sz w:val="24"/>
        </w:rPr>
      </w:pPr>
      <w:r>
        <w:rPr>
          <w:rFonts w:hint="eastAsia" w:ascii="宋体" w:hAnsi="宋体" w:cs="宋体"/>
          <w:sz w:val="24"/>
        </w:rPr>
        <w:t>（五）乙方须加强物品运输车辆的安全管理，用于运输</w:t>
      </w:r>
      <w:r>
        <w:rPr>
          <w:rFonts w:hint="eastAsia" w:ascii="宋体" w:hAnsi="宋体" w:cs="Arial"/>
          <w:sz w:val="24"/>
        </w:rPr>
        <w:t>物品</w:t>
      </w:r>
      <w:r>
        <w:rPr>
          <w:rFonts w:hint="eastAsia" w:ascii="宋体" w:hAnsi="宋体" w:cs="宋体"/>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sz w:val="24"/>
        </w:rPr>
      </w:pPr>
      <w:r>
        <w:rPr>
          <w:rFonts w:hint="eastAsia" w:ascii="宋体" w:hAnsi="宋体" w:cs="宋体"/>
          <w:sz w:val="24"/>
        </w:rPr>
        <w:t>（六）人员管理</w:t>
      </w:r>
    </w:p>
    <w:p>
      <w:pPr>
        <w:spacing w:line="560" w:lineRule="exact"/>
        <w:ind w:firstLine="480" w:firstLineChars="200"/>
        <w:rPr>
          <w:rFonts w:ascii="宋体" w:hAnsi="宋体" w:cs="宋体"/>
          <w:sz w:val="24"/>
        </w:rPr>
      </w:pPr>
      <w:r>
        <w:rPr>
          <w:rFonts w:hint="eastAsia" w:ascii="宋体" w:hAnsi="宋体" w:cs="宋体"/>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sz w:val="24"/>
        </w:rPr>
      </w:pPr>
      <w:r>
        <w:rPr>
          <w:rFonts w:hint="eastAsia" w:ascii="宋体" w:hAnsi="宋体" w:cs="宋体"/>
          <w:sz w:val="24"/>
        </w:rPr>
        <w:t>乙方聘请其他单位运输的，乙方应对运输单位的安全管理负责。</w:t>
      </w:r>
    </w:p>
    <w:p>
      <w:pPr>
        <w:spacing w:line="560" w:lineRule="exact"/>
        <w:ind w:firstLine="480" w:firstLineChars="200"/>
        <w:rPr>
          <w:rFonts w:ascii="宋体" w:hAnsi="宋体" w:cs="宋体"/>
          <w:sz w:val="24"/>
        </w:rPr>
      </w:pPr>
      <w:r>
        <w:rPr>
          <w:rFonts w:hint="eastAsia" w:ascii="宋体" w:hAnsi="宋体" w:cs="宋体"/>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sz w:val="24"/>
          <w:u w:val="single"/>
        </w:rPr>
        <w:t xml:space="preserve">      </w:t>
      </w:r>
      <w:r>
        <w:rPr>
          <w:rFonts w:hint="eastAsia" w:ascii="宋体" w:hAnsi="宋体" w:cs="宋体"/>
          <w:sz w:val="24"/>
        </w:rPr>
        <w:t>元/次。</w:t>
      </w:r>
    </w:p>
    <w:p>
      <w:pPr>
        <w:spacing w:line="560" w:lineRule="exact"/>
        <w:ind w:firstLine="480" w:firstLineChars="200"/>
        <w:rPr>
          <w:rFonts w:ascii="宋体" w:hAnsi="宋体" w:cs="宋体"/>
          <w:sz w:val="24"/>
        </w:rPr>
      </w:pPr>
      <w:r>
        <w:rPr>
          <w:rFonts w:hint="eastAsia" w:ascii="宋体" w:hAnsi="宋体" w:cs="宋体"/>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cs="宋体"/>
          <w:sz w:val="24"/>
        </w:rPr>
      </w:pPr>
      <w:r>
        <w:rPr>
          <w:rFonts w:hint="eastAsia" w:ascii="宋体" w:hAnsi="宋体" w:cs="宋体"/>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sz w:val="24"/>
        </w:rPr>
      </w:pPr>
      <w:r>
        <w:rPr>
          <w:rFonts w:hint="eastAsia" w:ascii="宋体" w:hAnsi="宋体" w:cs="宋体"/>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sz w:val="24"/>
        </w:rPr>
      </w:pPr>
      <w:r>
        <w:rPr>
          <w:rFonts w:hint="eastAsia" w:ascii="宋体" w:hAnsi="宋体" w:cs="宋体"/>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sz w:val="24"/>
        </w:rPr>
      </w:pPr>
      <w:r>
        <w:rPr>
          <w:rFonts w:hint="eastAsia" w:ascii="宋体" w:hAnsi="宋体" w:cs="宋体"/>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sz w:val="24"/>
        </w:rPr>
      </w:pPr>
      <w:r>
        <w:rPr>
          <w:rFonts w:hint="eastAsia" w:ascii="宋体" w:hAnsi="宋体" w:cs="宋体"/>
          <w:sz w:val="24"/>
        </w:rPr>
        <w:t>（十）乙方委托的第三方运输单位或个人，违反本协议的，全部责任均由乙方承担。</w:t>
      </w:r>
    </w:p>
    <w:p>
      <w:pPr>
        <w:pStyle w:val="37"/>
        <w:spacing w:line="560" w:lineRule="exact"/>
        <w:ind w:firstLine="482" w:firstLineChars="200"/>
        <w:rPr>
          <w:rFonts w:ascii="宋体" w:hAnsi="宋体"/>
          <w:sz w:val="24"/>
        </w:rPr>
      </w:pPr>
      <w:r>
        <w:rPr>
          <w:rFonts w:hint="eastAsia" w:ascii="宋体" w:hAnsi="宋体"/>
          <w:b/>
          <w:sz w:val="24"/>
        </w:rPr>
        <w:t>四、补充条款：</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rPr>
          <w:rFonts w:ascii="宋体" w:hAnsi="宋体"/>
          <w:b/>
          <w:sz w:val="24"/>
        </w:rPr>
      </w:pPr>
      <w:r>
        <w:rPr>
          <w:rFonts w:hint="eastAsia" w:ascii="宋体" w:hAnsi="宋体"/>
          <w:b/>
          <w:sz w:val="24"/>
        </w:rPr>
        <w:t>五、附则</w:t>
      </w:r>
    </w:p>
    <w:p>
      <w:pPr>
        <w:adjustRightInd w:val="0"/>
        <w:snapToGrid w:val="0"/>
        <w:spacing w:line="560" w:lineRule="exact"/>
        <w:ind w:firstLine="480" w:firstLineChars="200"/>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宋体" w:hAnsi="宋体"/>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宋体" w:hAnsi="宋体"/>
                <w:sz w:val="24"/>
              </w:rPr>
            </w:pPr>
            <w:r>
              <w:rPr>
                <w:rFonts w:hint="eastAsia" w:ascii="宋体" w:hAnsi="宋体"/>
                <w:sz w:val="24"/>
              </w:rPr>
              <w:t>甲方：</w:t>
            </w:r>
          </w:p>
          <w:p>
            <w:pPr>
              <w:widowControl w:val="0"/>
              <w:adjustRightInd w:val="0"/>
              <w:snapToGrid w:val="0"/>
              <w:spacing w:line="560" w:lineRule="exact"/>
              <w:jc w:val="both"/>
              <w:textAlignment w:val="baseline"/>
              <w:rPr>
                <w:rFonts w:ascii="宋体" w:hAnsi="宋体"/>
                <w:sz w:val="24"/>
              </w:rPr>
            </w:pPr>
            <w:r>
              <w:rPr>
                <w:rFonts w:hint="eastAsia" w:ascii="宋体" w:hAnsi="宋体"/>
                <w:sz w:val="24"/>
              </w:rPr>
              <w:t>签约代表：</w:t>
            </w:r>
          </w:p>
          <w:p>
            <w:pPr>
              <w:widowControl w:val="0"/>
              <w:adjustRightInd w:val="0"/>
              <w:snapToGrid w:val="0"/>
              <w:spacing w:line="560" w:lineRule="exact"/>
              <w:jc w:val="both"/>
              <w:textAlignment w:val="baseline"/>
              <w:rPr>
                <w:rFonts w:ascii="宋体" w:hAnsi="宋体"/>
                <w:sz w:val="24"/>
              </w:rPr>
            </w:pPr>
            <w:r>
              <w:rPr>
                <w:rFonts w:hint="eastAsia" w:ascii="宋体" w:hAnsi="宋体"/>
                <w:sz w:val="24"/>
              </w:rPr>
              <w:t>联系电话：</w:t>
            </w:r>
          </w:p>
          <w:p>
            <w:pPr>
              <w:widowControl w:val="0"/>
              <w:adjustRightInd w:val="0"/>
              <w:snapToGrid w:val="0"/>
              <w:spacing w:line="560" w:lineRule="exact"/>
              <w:ind w:firstLine="240" w:firstLineChars="100"/>
              <w:jc w:val="right"/>
              <w:textAlignment w:val="baseline"/>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noWrap w:val="0"/>
            <w:vAlign w:val="top"/>
          </w:tcPr>
          <w:p>
            <w:pPr>
              <w:widowControl w:val="0"/>
              <w:adjustRightInd w:val="0"/>
              <w:snapToGrid w:val="0"/>
              <w:spacing w:line="560" w:lineRule="exact"/>
              <w:jc w:val="both"/>
              <w:textAlignment w:val="baseline"/>
              <w:rPr>
                <w:rFonts w:ascii="宋体" w:hAnsi="宋体"/>
                <w:sz w:val="24"/>
              </w:rPr>
            </w:pPr>
            <w:r>
              <w:rPr>
                <w:rFonts w:hint="eastAsia" w:ascii="宋体" w:hAnsi="宋体"/>
                <w:sz w:val="24"/>
              </w:rPr>
              <w:t>乙方：</w:t>
            </w:r>
          </w:p>
          <w:p>
            <w:pPr>
              <w:widowControl w:val="0"/>
              <w:adjustRightInd w:val="0"/>
              <w:snapToGrid w:val="0"/>
              <w:spacing w:line="560" w:lineRule="exact"/>
              <w:jc w:val="both"/>
              <w:textAlignment w:val="baseline"/>
              <w:rPr>
                <w:rFonts w:ascii="宋体" w:hAnsi="宋体"/>
                <w:sz w:val="24"/>
              </w:rPr>
            </w:pPr>
            <w:r>
              <w:rPr>
                <w:rFonts w:hint="eastAsia" w:ascii="宋体" w:hAnsi="宋体"/>
                <w:sz w:val="24"/>
              </w:rPr>
              <w:t>签约代表：</w:t>
            </w:r>
          </w:p>
          <w:p>
            <w:pPr>
              <w:widowControl w:val="0"/>
              <w:adjustRightInd w:val="0"/>
              <w:snapToGrid w:val="0"/>
              <w:spacing w:line="560" w:lineRule="exact"/>
              <w:jc w:val="both"/>
              <w:textAlignment w:val="baseline"/>
              <w:rPr>
                <w:rFonts w:ascii="宋体" w:hAnsi="宋体"/>
                <w:sz w:val="24"/>
              </w:rPr>
            </w:pPr>
            <w:r>
              <w:rPr>
                <w:rFonts w:hint="eastAsia" w:ascii="宋体" w:hAnsi="宋体"/>
                <w:sz w:val="24"/>
              </w:rPr>
              <w:t>联系电话：</w:t>
            </w:r>
          </w:p>
          <w:p>
            <w:pPr>
              <w:widowControl w:val="0"/>
              <w:adjustRightInd w:val="0"/>
              <w:snapToGrid w:val="0"/>
              <w:spacing w:line="560" w:lineRule="exact"/>
              <w:jc w:val="right"/>
              <w:textAlignment w:val="baseline"/>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pStyle w:val="2"/>
        <w:rPr>
          <w:rFonts w:hint="default"/>
          <w:lang w:val="en-US" w:eastAsia="zh-CN"/>
        </w:rPr>
      </w:pPr>
    </w:p>
    <w:p>
      <w:pPr>
        <w:autoSpaceDE w:val="0"/>
        <w:autoSpaceDN w:val="0"/>
        <w:rPr>
          <w:rFonts w:ascii="宋体" w:hAnsi="宋体" w:cs="宋体"/>
          <w:b/>
          <w:bCs/>
          <w:kern w:val="0"/>
          <w:sz w:val="24"/>
          <w:szCs w:val="24"/>
          <w:lang w:val="zh-CN"/>
        </w:rPr>
      </w:pPr>
      <w:r>
        <w:rPr>
          <w:rFonts w:hint="eastAsia" w:ascii="仿宋_GB2312" w:eastAsia="仿宋_GB2312"/>
          <w:b/>
          <w:bCs/>
          <w:sz w:val="28"/>
          <w:szCs w:val="28"/>
        </w:rPr>
        <w:t>附件</w:t>
      </w:r>
      <w:r>
        <w:rPr>
          <w:rFonts w:hint="eastAsia" w:ascii="仿宋_GB2312" w:eastAsia="仿宋_GB2312"/>
          <w:b/>
          <w:bCs/>
          <w:sz w:val="28"/>
          <w:szCs w:val="28"/>
          <w:lang w:val="en-US" w:eastAsia="zh-CN"/>
        </w:rPr>
        <w:t>5</w:t>
      </w:r>
      <w:r>
        <w:rPr>
          <w:rFonts w:hint="eastAsia" w:ascii="仿宋_GB2312" w:eastAsia="仿宋_GB2312"/>
          <w:b/>
          <w:bCs/>
          <w:sz w:val="28"/>
          <w:szCs w:val="28"/>
        </w:rPr>
        <w:t>：</w:t>
      </w:r>
      <w:r>
        <w:rPr>
          <w:rFonts w:hint="eastAsia" w:ascii="宋体" w:hAnsi="宋体" w:cs="宋体"/>
          <w:b/>
          <w:bCs/>
          <w:kern w:val="0"/>
          <w:sz w:val="24"/>
          <w:szCs w:val="24"/>
        </w:rPr>
        <w:t>采购</w:t>
      </w:r>
      <w:r>
        <w:rPr>
          <w:rFonts w:hint="eastAsia" w:ascii="宋体" w:hAnsi="宋体" w:cs="宋体"/>
          <w:b/>
          <w:bCs/>
          <w:kern w:val="0"/>
          <w:sz w:val="24"/>
          <w:szCs w:val="24"/>
          <w:lang w:val="zh-CN"/>
        </w:rPr>
        <w:t>需求</w:t>
      </w:r>
    </w:p>
    <w:p>
      <w:pPr>
        <w:pStyle w:val="13"/>
        <w:numPr>
          <w:ilvl w:val="0"/>
          <w:numId w:val="10"/>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13"/>
        <w:adjustRightInd w:val="0"/>
        <w:snapToGrid w:val="0"/>
        <w:spacing w:line="300" w:lineRule="auto"/>
        <w:ind w:firstLine="562"/>
      </w:pPr>
      <w:r>
        <w:rPr>
          <w:rFonts w:hint="eastAsia" w:ascii="仿宋" w:hAnsi="仿宋" w:eastAsia="仿宋" w:cs="仿宋"/>
          <w:sz w:val="28"/>
          <w:szCs w:val="28"/>
        </w:rPr>
        <w:t>随着公司发展以及疫情防控大数据查验系统完成全面实施， 公司员工、 第三方常驻人员、临时访客数量增多，现有健康码核验终端数量已不能满足日常需要，为更有效提高防疫日常管控水平，需要增加健康码核验终端数量。本项目涵盖13个厂区，共增设27套疫情防控终端，完成对进厂人员（包括员工、常驻人员、访客）的实时健康信息和核酸、疫苗信息的核验以及数据上传至</w:t>
      </w:r>
      <w:r>
        <w:rPr>
          <w:rFonts w:hint="eastAsia" w:ascii="仿宋_GB2312" w:hAnsi="仿宋_GB2312" w:eastAsia="仿宋_GB2312" w:cs="仿宋_GB2312"/>
          <w:sz w:val="28"/>
          <w:szCs w:val="28"/>
        </w:rPr>
        <w:t>广州净水公司疫情防控大数据查验分析系统</w:t>
      </w:r>
      <w:r>
        <w:rPr>
          <w:rFonts w:hint="eastAsia" w:ascii="仿宋" w:hAnsi="仿宋" w:eastAsia="仿宋" w:cs="仿宋"/>
          <w:sz w:val="28"/>
          <w:szCs w:val="28"/>
        </w:rPr>
        <w:t>供数据统计汇总，</w:t>
      </w:r>
      <w:r>
        <w:rPr>
          <w:rFonts w:ascii="仿宋" w:hAnsi="仿宋" w:eastAsia="仿宋" w:cs="仿宋"/>
          <w:sz w:val="28"/>
          <w:szCs w:val="28"/>
          <w:lang w:eastAsia="zh-Hans"/>
        </w:rPr>
        <w:t>更全面的</w:t>
      </w:r>
      <w:r>
        <w:rPr>
          <w:rFonts w:hint="eastAsia" w:ascii="仿宋" w:hAnsi="仿宋" w:eastAsia="仿宋" w:cs="仿宋"/>
          <w:sz w:val="28"/>
          <w:szCs w:val="28"/>
        </w:rPr>
        <w:t>、</w:t>
      </w:r>
      <w:r>
        <w:rPr>
          <w:rFonts w:ascii="仿宋" w:hAnsi="仿宋" w:eastAsia="仿宋" w:cs="仿宋"/>
          <w:sz w:val="28"/>
          <w:szCs w:val="28"/>
          <w:lang w:eastAsia="zh-Hans"/>
        </w:rPr>
        <w:t>更科学的掌握进场人员的健康情况，为公司疫情管理提供依据</w:t>
      </w:r>
      <w:r>
        <w:rPr>
          <w:rFonts w:hint="eastAsia" w:ascii="仿宋" w:hAnsi="仿宋" w:eastAsia="仿宋" w:cs="仿宋"/>
          <w:sz w:val="28"/>
          <w:szCs w:val="28"/>
        </w:rPr>
        <w:t>，从而达到疫情防控目标</w:t>
      </w:r>
      <w:r>
        <w:rPr>
          <w:rFonts w:ascii="仿宋" w:hAnsi="仿宋" w:eastAsia="仿宋" w:cs="仿宋"/>
          <w:sz w:val="28"/>
          <w:szCs w:val="28"/>
          <w:lang w:eastAsia="zh-Hans"/>
        </w:rPr>
        <w:t>。</w:t>
      </w:r>
    </w:p>
    <w:p>
      <w:pPr>
        <w:pStyle w:val="13"/>
        <w:numPr>
          <w:ilvl w:val="0"/>
          <w:numId w:val="10"/>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项目技术要求</w:t>
      </w:r>
    </w:p>
    <w:p>
      <w:pPr>
        <w:numPr>
          <w:ilvl w:val="0"/>
          <w:numId w:val="11"/>
        </w:numPr>
        <w:autoSpaceDE w:val="0"/>
        <w:autoSpaceDN w:val="0"/>
        <w:ind w:firstLine="560" w:firstLineChars="200"/>
        <w:rPr>
          <w:rFonts w:ascii="仿宋_GB2312" w:hAnsi="仿宋_GB2312" w:eastAsia="仿宋_GB2312" w:cs="仿宋_GB2312"/>
          <w:sz w:val="28"/>
          <w:szCs w:val="28"/>
        </w:rPr>
      </w:pPr>
      <w:r>
        <w:rPr>
          <w:rFonts w:hint="eastAsia" w:ascii="仿宋" w:hAnsi="仿宋" w:eastAsia="仿宋" w:cs="仿宋"/>
          <w:sz w:val="28"/>
          <w:szCs w:val="28"/>
        </w:rPr>
        <w:t>疫情防控终端</w:t>
      </w:r>
      <w:r>
        <w:rPr>
          <w:rFonts w:hint="eastAsia" w:ascii="仿宋_GB2312" w:hAnsi="仿宋_GB2312" w:eastAsia="仿宋_GB2312" w:cs="仿宋_GB2312"/>
          <w:sz w:val="28"/>
          <w:szCs w:val="28"/>
        </w:rPr>
        <w:t>参数要求：</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屏幕参数： 7英寸触摸显示屏，屏幕比例9:16，屏幕分辨率600*1024；</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摄像头参数：采用宽动态200万双目摄像头；</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测温功能：集成热成像测温模组，测温距离在0.5m-1.5m之间，测温范围30℃-45℃，精度±0.5℃（无黑体）；支持身份认证（刷脸、刷卡等）+测温模式、仅测温模式；</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人脸识别：采用深度学习算法，支持单人或多人识别（最多5人同时认证）功能；支持照片、视频防假；1:N人脸识别速度≤0.2s，人脸验证准确率≥99%；</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存储容量：本地支持10000人脸库、50000张卡，15万条事件记录；</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认证结果语音自定义：集成文字转语音（TTS）和语音合成技术，认证成功和认证失败的语音可以分别配置4个时间段进行自定义播报，同时认证成功的语音可叠加播报姓名；</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黑名单核验：支持中心下发黑名单人员信息，实现本地黑名单核验；</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报警功能：设备支持防拆报警、门被外力开起报警、胁迫卡和胁迫密码报警、黑名单报警等；</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事件上传：在线状态下将设备认证结果信息及联动抓拍照片实时上传给平台，支持断网续传功能，设备离线状态下产生事件在与平台连接后会重新上传；</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单机使用：设备可进行本地管理，支持本地注册人脸、查询、设置、管理设备参数等；</w:t>
      </w:r>
    </w:p>
    <w:p>
      <w:pPr>
        <w:numPr>
          <w:ilvl w:val="255"/>
          <w:numId w:val="0"/>
        </w:numPr>
        <w:autoSpaceDE w:val="0"/>
        <w:autoSpaceDN w:val="0"/>
        <w:ind w:left="636" w:leftChars="303" w:firstLine="621" w:firstLineChars="222"/>
        <w:rPr>
          <w:rFonts w:ascii="仿宋_GB2312" w:hAnsi="仿宋_GB2312" w:eastAsia="仿宋_GB2312" w:cs="仿宋_GB2312"/>
          <w:sz w:val="28"/>
          <w:szCs w:val="28"/>
        </w:rPr>
      </w:pPr>
      <w:r>
        <w:rPr>
          <w:rFonts w:hint="eastAsia" w:ascii="仿宋_GB2312" w:hAnsi="仿宋_GB2312" w:eastAsia="仿宋_GB2312" w:cs="仿宋_GB2312"/>
          <w:sz w:val="28"/>
          <w:szCs w:val="28"/>
        </w:rPr>
        <w:t>WEB管理：支持Web端管理，可进行人员管理、参数配置、事件查询、系统维护等操作。</w:t>
      </w:r>
    </w:p>
    <w:p>
      <w:pPr>
        <w:numPr>
          <w:ilvl w:val="255"/>
          <w:numId w:val="0"/>
        </w:numPr>
        <w:autoSpaceDE w:val="0"/>
        <w:autoSpaceDN w:val="0"/>
        <w:ind w:left="636" w:leftChars="303" w:firstLine="621" w:firstLineChars="222"/>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要求配套立柱支架</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电源</w:t>
      </w:r>
      <w:r>
        <w:rPr>
          <w:rFonts w:hint="eastAsia" w:ascii="仿宋_GB2312" w:hAnsi="仿宋_GB2312" w:eastAsia="仿宋_GB2312" w:cs="仿宋_GB2312"/>
          <w:sz w:val="28"/>
          <w:szCs w:val="28"/>
        </w:rPr>
        <w:t>和UPS</w:t>
      </w:r>
      <w:r>
        <w:rPr>
          <w:rFonts w:hint="eastAsia" w:ascii="仿宋_GB2312" w:hAnsi="仿宋_GB2312" w:eastAsia="仿宋_GB2312" w:cs="仿宋_GB2312"/>
          <w:sz w:val="28"/>
          <w:szCs w:val="28"/>
          <w:lang w:eastAsia="zh-Hans"/>
        </w:rPr>
        <w:t>设备，要求内置</w:t>
      </w:r>
      <w:r>
        <w:rPr>
          <w:rFonts w:ascii="仿宋_GB2312" w:hAnsi="仿宋_GB2312" w:eastAsia="仿宋_GB2312" w:cs="仿宋_GB2312"/>
          <w:sz w:val="28"/>
          <w:szCs w:val="28"/>
          <w:lang w:eastAsia="zh-Hans"/>
        </w:rPr>
        <w:t>4</w:t>
      </w:r>
      <w:r>
        <w:rPr>
          <w:rFonts w:hint="eastAsia" w:ascii="仿宋_GB2312" w:hAnsi="仿宋_GB2312" w:eastAsia="仿宋_GB2312" w:cs="仿宋_GB2312"/>
          <w:sz w:val="28"/>
          <w:szCs w:val="28"/>
          <w:lang w:eastAsia="zh-Hans"/>
        </w:rPr>
        <w:t>G模组，要求内置</w:t>
      </w:r>
      <w:r>
        <w:rPr>
          <w:rFonts w:ascii="仿宋_GB2312" w:hAnsi="仿宋_GB2312" w:eastAsia="仿宋_GB2312" w:cs="仿宋_GB2312"/>
          <w:sz w:val="28"/>
          <w:szCs w:val="28"/>
          <w:lang w:eastAsia="zh-Hans"/>
        </w:rPr>
        <w:t>4</w:t>
      </w:r>
      <w:r>
        <w:rPr>
          <w:rFonts w:hint="eastAsia" w:ascii="仿宋_GB2312" w:hAnsi="仿宋_GB2312" w:eastAsia="仿宋_GB2312" w:cs="仿宋_GB2312"/>
          <w:sz w:val="28"/>
          <w:szCs w:val="28"/>
          <w:lang w:eastAsia="zh-Hans"/>
        </w:rPr>
        <w:t>G流量卡（含</w:t>
      </w:r>
      <w:r>
        <w:rPr>
          <w:rFonts w:ascii="仿宋_GB2312" w:hAnsi="仿宋_GB2312" w:eastAsia="仿宋_GB2312" w:cs="仿宋_GB2312"/>
          <w:sz w:val="28"/>
          <w:szCs w:val="28"/>
          <w:lang w:eastAsia="zh-Hans"/>
        </w:rPr>
        <w:t>1</w:t>
      </w:r>
      <w:r>
        <w:rPr>
          <w:rFonts w:hint="eastAsia" w:ascii="仿宋_GB2312" w:hAnsi="仿宋_GB2312" w:eastAsia="仿宋_GB2312" w:cs="仿宋_GB2312"/>
          <w:sz w:val="28"/>
          <w:szCs w:val="28"/>
          <w:lang w:eastAsia="zh-Hans"/>
        </w:rPr>
        <w:t>年流量）。</w:t>
      </w:r>
    </w:p>
    <w:p>
      <w:pPr>
        <w:pStyle w:val="2"/>
        <w:ind w:left="840"/>
        <w:rPr>
          <w:color w:val="auto"/>
          <w:lang w:eastAsia="zh-Hans"/>
        </w:rPr>
      </w:pPr>
      <w:r>
        <w:rPr>
          <w:rFonts w:hint="eastAsia" w:ascii="仿宋_GB2312" w:hAnsi="仿宋_GB2312" w:eastAsia="仿宋_GB2312" w:cs="仿宋_GB2312"/>
          <w:color w:val="auto"/>
          <w:sz w:val="28"/>
          <w:szCs w:val="28"/>
          <w:lang w:eastAsia="zh-Hans"/>
        </w:rPr>
        <w:t>要求终端对接数字广东的电子哨兵粤康码数据接口，非其他渠道的数据接口（譬如：国康码或其他省份健康码数据接口）。</w:t>
      </w:r>
    </w:p>
    <w:p>
      <w:pPr>
        <w:numPr>
          <w:ilvl w:val="0"/>
          <w:numId w:val="11"/>
        </w:numPr>
        <w:autoSpaceDE w:val="0"/>
        <w:autoSpaceDN w:val="0"/>
        <w:ind w:firstLine="560" w:firstLineChars="200"/>
        <w:rPr>
          <w:rFonts w:ascii="仿宋_GB2312" w:hAnsi="仿宋_GB2312" w:eastAsia="仿宋_GB2312" w:cs="仿宋_GB2312"/>
          <w:sz w:val="28"/>
          <w:szCs w:val="28"/>
        </w:rPr>
      </w:pPr>
      <w:r>
        <w:rPr>
          <w:rFonts w:hint="eastAsia" w:ascii="仿宋" w:hAnsi="仿宋" w:eastAsia="仿宋" w:cs="仿宋"/>
          <w:sz w:val="28"/>
          <w:szCs w:val="28"/>
        </w:rPr>
        <w:t>疫情防控终端功能要求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终端能够接入广州市净水公司疫情防控大数据查验分析系统（简称净水疫情防控平台），并满足：</w:t>
      </w:r>
    </w:p>
    <w:p>
      <w:pPr>
        <w:numPr>
          <w:ilvl w:val="0"/>
          <w:numId w:val="12"/>
        </w:numPr>
        <w:autoSpaceDE w:val="0"/>
        <w:autoSpaceDN w:val="0"/>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终端支持四种健康码核验方式：白名单用户刷脸核验方式、白名单用户刷卡核验方式、刷身份证核验方式、刷健康码核验方式；并支持实时测温功能</w:t>
      </w:r>
      <w:r>
        <w:rPr>
          <w:rFonts w:hint="eastAsia" w:ascii="仿宋_GB2312" w:hAnsi="仿宋_GB2312" w:eastAsia="仿宋_GB2312" w:cs="仿宋_GB2312"/>
          <w:sz w:val="28"/>
          <w:szCs w:val="28"/>
          <w:lang w:eastAsia="zh-Hans"/>
        </w:rPr>
        <w:t>。</w:t>
      </w:r>
    </w:p>
    <w:p>
      <w:pPr>
        <w:numPr>
          <w:ilvl w:val="0"/>
          <w:numId w:val="12"/>
        </w:num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终端能实时通过数字广东电子哨兵粤康码数据接口，查询</w:t>
      </w:r>
      <w:r>
        <w:rPr>
          <w:rFonts w:hint="eastAsia" w:ascii="仿宋_GB2312" w:hAnsi="仿宋_GB2312" w:eastAsia="仿宋_GB2312" w:cs="仿宋_GB2312"/>
          <w:sz w:val="28"/>
          <w:szCs w:val="28"/>
        </w:rPr>
        <w:t>健康码状态、核酸检查及疫苗接种情况的核验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并实时将从核验记录上传到净水疫情防控平台，内容包括人员信息、抓拍照片、健康码颜色、核酸时间和结果、疫苗信息、核验方式（刷脸、刷卡、身份证、健康码）等；</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(3)能通过净水疫情防控平台对终端的员工信息及脸库等数据进行实时远程下发及维护。</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（4）能通过净水疫情防控平台对终端下发设备开门条件（[1].绿码+核酸阴性;[2].绿码+24小时内核酸阴性;[3].绿码+48小时内核酸阴性;[4].绿码+72小时内核酸阴性）。</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（5）能通过净水疫情防控平台查询终端是否在线。</w:t>
      </w:r>
    </w:p>
    <w:p>
      <w:pPr>
        <w:numPr>
          <w:ilvl w:val="0"/>
          <w:numId w:val="11"/>
        </w:numPr>
        <w:autoSpaceDE w:val="0"/>
        <w:autoSpaceDN w:val="0"/>
        <w:ind w:firstLine="560" w:firstLineChars="200"/>
        <w:rPr>
          <w:rFonts w:ascii="仿宋_GB2312" w:hAnsi="仿宋_GB2312" w:eastAsia="仿宋_GB2312" w:cs="仿宋_GB2312"/>
          <w:sz w:val="28"/>
          <w:szCs w:val="28"/>
        </w:rPr>
      </w:pPr>
      <w:r>
        <w:rPr>
          <w:rFonts w:hint="eastAsia" w:ascii="仿宋" w:hAnsi="仿宋" w:eastAsia="仿宋" w:cs="仿宋"/>
          <w:sz w:val="28"/>
          <w:szCs w:val="28"/>
        </w:rPr>
        <w:t>疫情防控终端</w:t>
      </w:r>
      <w:r>
        <w:rPr>
          <w:rFonts w:hint="eastAsia" w:ascii="仿宋_GB2312" w:hAnsi="仿宋_GB2312" w:eastAsia="仿宋_GB2312" w:cs="仿宋_GB2312"/>
          <w:sz w:val="28"/>
          <w:szCs w:val="28"/>
        </w:rPr>
        <w:t>保修要求：1年免费维修（非人为损坏）</w:t>
      </w:r>
    </w:p>
    <w:p>
      <w:pPr>
        <w:pStyle w:val="2"/>
        <w:rPr>
          <w:rFonts w:ascii="仿宋_GB2312" w:hAnsi="仿宋_GB2312" w:eastAsia="仿宋_GB2312" w:cs="仿宋_GB2312"/>
          <w:color w:val="FF0000"/>
          <w:sz w:val="28"/>
          <w:szCs w:val="28"/>
          <w:lang w:eastAsia="zh-Hans"/>
        </w:rPr>
      </w:pPr>
      <w:r>
        <w:rPr>
          <w:rFonts w:hint="eastAsia" w:ascii="仿宋_GB2312" w:hAnsi="仿宋_GB2312" w:eastAsia="仿宋_GB2312" w:cs="仿宋_GB2312"/>
          <w:color w:val="auto"/>
          <w:kern w:val="2"/>
          <w:sz w:val="28"/>
          <w:szCs w:val="28"/>
          <w:lang w:val="en-US" w:eastAsia="zh-Hans" w:bidi="ar-SA"/>
        </w:rPr>
        <w:t>重要说明：</w:t>
      </w:r>
      <w:r>
        <w:rPr>
          <w:rFonts w:hint="eastAsia" w:ascii="仿宋" w:hAnsi="仿宋" w:eastAsia="仿宋" w:cs="仿宋"/>
          <w:color w:val="auto"/>
          <w:sz w:val="28"/>
          <w:szCs w:val="28"/>
        </w:rPr>
        <w:t>疫情防控终端</w:t>
      </w:r>
      <w:r>
        <w:rPr>
          <w:rFonts w:hint="eastAsia" w:ascii="仿宋_GB2312" w:hAnsi="仿宋_GB2312" w:eastAsia="仿宋_GB2312" w:cs="仿宋_GB2312"/>
          <w:color w:val="auto"/>
          <w:sz w:val="28"/>
          <w:szCs w:val="28"/>
        </w:rPr>
        <w:t>参数要求</w:t>
      </w:r>
      <w:r>
        <w:rPr>
          <w:rFonts w:hint="eastAsia" w:ascii="仿宋_GB2312" w:hAnsi="仿宋_GB2312" w:eastAsia="仿宋_GB2312" w:cs="仿宋_GB2312"/>
          <w:color w:val="auto"/>
          <w:sz w:val="28"/>
          <w:szCs w:val="28"/>
          <w:lang w:eastAsia="zh-Hans"/>
        </w:rPr>
        <w:t>、</w:t>
      </w:r>
      <w:r>
        <w:rPr>
          <w:rFonts w:hint="eastAsia" w:ascii="仿宋" w:hAnsi="仿宋" w:eastAsia="仿宋" w:cs="仿宋"/>
          <w:color w:val="auto"/>
          <w:sz w:val="28"/>
          <w:szCs w:val="28"/>
        </w:rPr>
        <w:t>疫情防控终端功能要求</w:t>
      </w:r>
      <w:r>
        <w:rPr>
          <w:rFonts w:hint="eastAsia" w:ascii="仿宋" w:hAnsi="仿宋" w:eastAsia="仿宋" w:cs="仿宋"/>
          <w:color w:val="auto"/>
          <w:sz w:val="28"/>
          <w:szCs w:val="28"/>
          <w:lang w:eastAsia="zh-Hans"/>
        </w:rPr>
        <w:t>、</w:t>
      </w:r>
      <w:r>
        <w:rPr>
          <w:rFonts w:hint="eastAsia" w:ascii="仿宋" w:hAnsi="仿宋" w:eastAsia="仿宋" w:cs="仿宋"/>
          <w:color w:val="auto"/>
          <w:sz w:val="28"/>
          <w:szCs w:val="28"/>
        </w:rPr>
        <w:t>疫情防控终端</w:t>
      </w:r>
      <w:r>
        <w:rPr>
          <w:rFonts w:hint="eastAsia" w:ascii="仿宋_GB2312" w:hAnsi="仿宋_GB2312" w:eastAsia="仿宋_GB2312" w:cs="仿宋_GB2312"/>
          <w:color w:val="auto"/>
          <w:sz w:val="28"/>
          <w:szCs w:val="28"/>
        </w:rPr>
        <w:t>保修要求</w:t>
      </w:r>
      <w:r>
        <w:rPr>
          <w:rFonts w:hint="eastAsia" w:ascii="仿宋_GB2312" w:hAnsi="仿宋_GB2312" w:eastAsia="仿宋_GB2312" w:cs="仿宋_GB2312"/>
          <w:color w:val="auto"/>
          <w:sz w:val="28"/>
          <w:szCs w:val="28"/>
          <w:lang w:eastAsia="zh-Hans"/>
        </w:rPr>
        <w:t>，均要求全满足。任何一项不满足，视作产品不满足需求。</w:t>
      </w:r>
    </w:p>
    <w:p>
      <w:pPr>
        <w:pStyle w:val="13"/>
        <w:numPr>
          <w:ilvl w:val="0"/>
          <w:numId w:val="10"/>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设备需求清单（套）：</w:t>
      </w:r>
    </w:p>
    <w:tbl>
      <w:tblPr>
        <w:tblStyle w:val="23"/>
        <w:tblW w:w="866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525"/>
        <w:gridCol w:w="1150"/>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525"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150"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3050" w:type="dxa"/>
          </w:tcPr>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大坦沙厂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4</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猎德厂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沥滘厂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3</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大沙地厂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京溪厂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均禾厂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7</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龙归厂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8</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竹料厂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9</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石井净水厂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3</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10</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大观厂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11</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江高厂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1</w:t>
            </w:r>
          </w:p>
        </w:tc>
        <w:tc>
          <w:tcPr>
            <w:tcW w:w="3050"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12</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健康城厂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2</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13</w:t>
            </w:r>
          </w:p>
        </w:tc>
        <w:tc>
          <w:tcPr>
            <w:tcW w:w="3525" w:type="dxa"/>
            <w:vAlign w:val="center"/>
          </w:tcPr>
          <w:p>
            <w:pPr>
              <w:widowControl/>
              <w:spacing w:line="360" w:lineRule="auto"/>
              <w:jc w:val="center"/>
              <w:textAlignment w:val="center"/>
              <w:rPr>
                <w:rFonts w:ascii="仿宋" w:hAnsi="仿宋" w:eastAsia="仿宋" w:cs="仿宋"/>
                <w:sz w:val="24"/>
                <w:szCs w:val="24"/>
              </w:rPr>
            </w:pPr>
            <w:r>
              <w:rPr>
                <w:rFonts w:hint="eastAsia"/>
              </w:rPr>
              <w:t>西朗厂</w:t>
            </w:r>
          </w:p>
        </w:tc>
        <w:tc>
          <w:tcPr>
            <w:tcW w:w="1150" w:type="dxa"/>
            <w:vAlign w:val="center"/>
          </w:tcPr>
          <w:p>
            <w:pPr>
              <w:widowControl/>
              <w:spacing w:line="360" w:lineRule="auto"/>
              <w:jc w:val="center"/>
              <w:textAlignment w:val="center"/>
              <w:rPr>
                <w:rFonts w:ascii="仿宋" w:hAnsi="仿宋" w:eastAsia="仿宋" w:cs="仿宋"/>
                <w:sz w:val="24"/>
                <w:szCs w:val="24"/>
              </w:rPr>
            </w:pPr>
            <w:r>
              <w:rPr>
                <w:rFonts w:hint="eastAsia"/>
              </w:rPr>
              <w:t>4</w:t>
            </w:r>
          </w:p>
        </w:tc>
        <w:tc>
          <w:tcPr>
            <w:tcW w:w="3050" w:type="dxa"/>
            <w:vAlign w:val="center"/>
          </w:tcPr>
          <w:p>
            <w:pPr>
              <w:widowControl/>
              <w:spacing w:line="360" w:lineRule="auto"/>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3" w:type="dxa"/>
            <w:gridSpan w:val="2"/>
            <w:vAlign w:val="center"/>
          </w:tcPr>
          <w:p>
            <w:pPr>
              <w:widowControl/>
              <w:spacing w:line="360" w:lineRule="auto"/>
              <w:jc w:val="center"/>
              <w:textAlignment w:val="center"/>
            </w:pPr>
            <w:r>
              <w:rPr>
                <w:rFonts w:hint="eastAsia"/>
              </w:rPr>
              <w:t>合计</w:t>
            </w:r>
          </w:p>
        </w:tc>
        <w:tc>
          <w:tcPr>
            <w:tcW w:w="1150" w:type="dxa"/>
            <w:vAlign w:val="center"/>
          </w:tcPr>
          <w:p>
            <w:pPr>
              <w:widowControl/>
              <w:spacing w:line="360" w:lineRule="auto"/>
              <w:jc w:val="center"/>
              <w:textAlignment w:val="center"/>
            </w:pPr>
            <w:r>
              <w:rPr>
                <w:rFonts w:hint="eastAsia"/>
              </w:rPr>
              <w:t>27</w:t>
            </w:r>
          </w:p>
        </w:tc>
        <w:tc>
          <w:tcPr>
            <w:tcW w:w="3050" w:type="dxa"/>
            <w:vAlign w:val="center"/>
          </w:tcPr>
          <w:p>
            <w:pPr>
              <w:widowControl/>
              <w:spacing w:line="360" w:lineRule="auto"/>
              <w:jc w:val="center"/>
              <w:textAlignment w:val="center"/>
              <w:rPr>
                <w:rFonts w:ascii="仿宋" w:hAnsi="仿宋" w:eastAsia="仿宋" w:cs="仿宋"/>
                <w:sz w:val="24"/>
                <w:szCs w:val="24"/>
              </w:rPr>
            </w:pPr>
          </w:p>
        </w:tc>
      </w:tr>
    </w:tbl>
    <w:p/>
    <w:p>
      <w:pPr>
        <w:rPr>
          <w:rFonts w:ascii="宋体" w:hAnsi="宋体" w:eastAsia="宋体" w:cs="宋体"/>
          <w:b/>
          <w:color w:val="000000"/>
          <w:sz w:val="24"/>
          <w:szCs w:val="24"/>
        </w:rPr>
      </w:pPr>
    </w:p>
    <w:p>
      <w:pPr>
        <w:rPr>
          <w:rFonts w:ascii="宋体" w:hAnsi="宋体" w:eastAsia="宋体" w:cs="宋体"/>
          <w:b/>
          <w:color w:val="000000"/>
          <w:sz w:val="24"/>
          <w:szCs w:val="24"/>
        </w:rPr>
      </w:pPr>
      <w:r>
        <w:rPr>
          <w:rFonts w:hint="eastAsia" w:ascii="宋体" w:hAnsi="宋体" w:eastAsia="宋体" w:cs="宋体"/>
          <w:b/>
          <w:color w:val="000000"/>
          <w:sz w:val="24"/>
          <w:szCs w:val="24"/>
        </w:rPr>
        <w:br w:type="page"/>
      </w:r>
    </w:p>
    <w:p>
      <w:pPr>
        <w:spacing w:line="500" w:lineRule="exact"/>
        <w:jc w:val="left"/>
        <w:rPr>
          <w:rFonts w:ascii="宋体" w:hAnsi="宋体" w:eastAsia="宋体" w:cs="宋体"/>
          <w:b/>
          <w:bCs/>
          <w:color w:val="000000"/>
          <w:sz w:val="24"/>
          <w:szCs w:val="24"/>
        </w:rPr>
      </w:pPr>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6</w:t>
      </w:r>
      <w:bookmarkStart w:id="174" w:name="_GoBack"/>
      <w:bookmarkEnd w:id="174"/>
      <w:r>
        <w:rPr>
          <w:rFonts w:hint="eastAsia" w:ascii="宋体" w:hAnsi="宋体" w:eastAsia="宋体" w:cs="宋体"/>
          <w:b/>
          <w:color w:val="000000"/>
          <w:sz w:val="24"/>
          <w:szCs w:val="24"/>
        </w:rPr>
        <w:t>：</w:t>
      </w:r>
      <w:r>
        <w:rPr>
          <w:rFonts w:hint="eastAsia" w:ascii="宋体" w:hAnsi="宋体" w:eastAsia="宋体" w:cs="宋体"/>
          <w:b/>
          <w:bCs/>
          <w:color w:val="000000"/>
          <w:sz w:val="24"/>
          <w:szCs w:val="24"/>
        </w:rPr>
        <w:t>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甲方：广州市净水有限公司</w:t>
      </w:r>
    </w:p>
    <w:p>
      <w:pPr>
        <w:adjustRightInd w:val="0"/>
        <w:snapToGrid w:val="0"/>
        <w:spacing w:line="500" w:lineRule="exact"/>
        <w:ind w:firstLine="480" w:firstLineChars="200"/>
        <w:jc w:val="left"/>
        <w:rPr>
          <w:rStyle w:val="25"/>
          <w:rFonts w:ascii="宋体" w:hAnsi="宋体" w:cs="宋体"/>
          <w:b w:val="0"/>
          <w:color w:val="000000"/>
        </w:rPr>
      </w:pPr>
      <w:r>
        <w:rPr>
          <w:rFonts w:hint="eastAsia" w:ascii="宋体" w:hAnsi="宋体" w:eastAsia="宋体" w:cs="宋体"/>
          <w:color w:val="000000"/>
          <w:sz w:val="24"/>
          <w:szCs w:val="24"/>
        </w:rPr>
        <w:t>乙方:</w:t>
      </w:r>
    </w:p>
    <w:p>
      <w:pPr>
        <w:widowControl/>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一、本协议与主协议的关系</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本协议作为</w:t>
      </w:r>
      <w:r>
        <w:rPr>
          <w:rFonts w:hint="eastAsia" w:ascii="宋体" w:hAnsi="宋体" w:eastAsia="宋体" w:cs="宋体"/>
          <w:sz w:val="24"/>
          <w:szCs w:val="24"/>
          <w:u w:val="single"/>
        </w:rPr>
        <w:t>广州市净水有限公司2022年度公司健康码核验终端设备购置项目</w:t>
      </w:r>
      <w:r>
        <w:rPr>
          <w:rFonts w:hint="eastAsia" w:ascii="宋体" w:hAnsi="宋体" w:eastAsia="宋体" w:cs="宋体"/>
          <w:color w:val="000000"/>
          <w:sz w:val="24"/>
          <w:szCs w:val="24"/>
        </w:rPr>
        <w:t>的组成部分，与主合同具有同等法律</w:t>
      </w:r>
    </w:p>
    <w:p>
      <w:pPr>
        <w:widowControl/>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二、甲方的义务</w:t>
      </w:r>
    </w:p>
    <w:p>
      <w:pPr>
        <w:widowControl/>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（一）与建设主管部门和属地疫情防控指挥部门形成联防联控机制，建立快速有效的处置工作流程。</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（二）对乙方防控工作的落实情况进行监督。</w:t>
      </w:r>
    </w:p>
    <w:p>
      <w:pPr>
        <w:widowControl/>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三、乙方的义务</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（一）开展疫情防控宣传教育，提高乙方人员自我防护意识，最大限度减少人员暴露和感染的风险。</w:t>
      </w:r>
    </w:p>
    <w:p>
      <w:pPr>
        <w:adjustRightInd w:val="0"/>
        <w:snapToGrid w:val="0"/>
        <w:spacing w:line="500" w:lineRule="exact"/>
        <w:rPr>
          <w:rFonts w:ascii="宋体" w:hAnsi="宋体" w:eastAsia="宋体" w:cs="宋体"/>
          <w:color w:val="000000"/>
          <w:sz w:val="24"/>
          <w:szCs w:val="24"/>
        </w:rPr>
      </w:pPr>
      <w:r>
        <w:rPr>
          <w:rFonts w:hint="eastAsia" w:ascii="宋体" w:hAnsi="宋体" w:eastAsia="宋体" w:cs="宋体"/>
          <w:color w:val="000000"/>
          <w:sz w:val="24"/>
          <w:szCs w:val="24"/>
        </w:rPr>
        <w:t>（二）做好乙方人员防控工作管理，及时提交防疫资料，落实疫情防控备案，必要时需编制防控管理工作方案。</w:t>
      </w:r>
    </w:p>
    <w:p>
      <w:pPr>
        <w:widowControl/>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（三）乙方人员须按照甲方各厂区进厂门岗防控要求进行疫苗接种及核酸检测，未满足相关要求的人员甲方有权限制进入厂区。</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（四）建立畅通的信息传输渠道和严格的信息上报机制，出现问题及时采取应急响应措施，迅速妥善处置项目施工场所普通发热病例、可疑病例和突发新冠肺炎疫情，并第一时间报送甲方。</w:t>
      </w:r>
    </w:p>
    <w:p>
      <w:pPr>
        <w:widowControl/>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（五）各级政府、有关部门及甲方的其他防控要求。</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四、违约责任</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乙方需按照甲方服务要求执行，未达到疫情防控要求的，需按下列条款执行：</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（一）乙方人员及其密接亲属有重点区域、重点场所旅居史未报备的，每发现一人，从乙方当月服务费中扣500元；</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（二）乙方人员未按照甲方要求进行核酸检测的或有瞒报、虚报的，每发现一人，从乙方当月服务费中扣50元；</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（三）乙方项目维修施工人员拒不配合甲方疫情防控要求或不满足甲方防疫工作要求的，甲方有权要求乙方3天内更换服务人员。</w:t>
      </w:r>
    </w:p>
    <w:p>
      <w:pPr>
        <w:adjustRightInd w:val="0"/>
        <w:snapToGrid w:val="0"/>
        <w:spacing w:line="500" w:lineRule="exact"/>
        <w:ind w:firstLine="480" w:firstLineChars="200"/>
        <w:jc w:val="left"/>
        <w:rPr>
          <w:rFonts w:ascii="宋体" w:hAnsi="宋体" w:eastAsia="宋体" w:cs="宋体"/>
          <w:color w:val="000000"/>
          <w:sz w:val="24"/>
          <w:szCs w:val="24"/>
        </w:rPr>
      </w:pP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五、补充条款：         /       。</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六、附则</w:t>
      </w:r>
    </w:p>
    <w:p>
      <w:pPr>
        <w:adjustRightInd w:val="0"/>
        <w:snapToGrid w:val="0"/>
        <w:spacing w:line="500" w:lineRule="exact"/>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本协议与合同同时签订、同时终止、同时生效，具有相同的法律效力。合同由甲乙双方签字、盖章生效，甲乙双方各  份。</w:t>
      </w:r>
    </w:p>
    <w:p>
      <w:pPr>
        <w:adjustRightInd w:val="0"/>
        <w:snapToGrid w:val="0"/>
        <w:spacing w:line="500" w:lineRule="exact"/>
        <w:ind w:firstLine="480" w:firstLineChars="200"/>
        <w:rPr>
          <w:rFonts w:ascii="宋体" w:hAnsi="宋体" w:eastAsia="宋体" w:cs="宋体"/>
          <w:color w:val="000000"/>
          <w:sz w:val="24"/>
          <w:szCs w:val="24"/>
        </w:rPr>
      </w:pP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  甲方代表 （章）：                       乙方代表（章）：                                                           　　              　　　　　　　</w:t>
      </w:r>
    </w:p>
    <w:p>
      <w:pPr>
        <w:adjustRightInd w:val="0"/>
        <w:snapToGrid w:val="0"/>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     年 　月　  日　　　　　                 年   月  　日</w:t>
      </w:r>
    </w:p>
    <w:p/>
    <w:p>
      <w:pPr>
        <w:widowControl/>
        <w:spacing w:line="500" w:lineRule="exact"/>
        <w:jc w:val="left"/>
        <w:rPr>
          <w:rFonts w:ascii="宋体" w:hAnsi="宋体" w:eastAsia="宋体" w:cs="宋体"/>
          <w:b/>
          <w:color w:val="000000"/>
          <w:sz w:val="24"/>
        </w:rPr>
      </w:pPr>
    </w:p>
    <w:p>
      <w:pPr>
        <w:pStyle w:val="7"/>
        <w:rPr>
          <w:rFonts w:ascii="宋体" w:hAnsi="宋体" w:eastAsia="宋体" w:cs="宋体"/>
          <w:b/>
          <w:color w:val="000000"/>
          <w:sz w:val="24"/>
          <w:szCs w:val="22"/>
        </w:rPr>
      </w:pPr>
    </w:p>
    <w:p>
      <w:pPr>
        <w:pStyle w:val="7"/>
        <w:rPr>
          <w:rFonts w:ascii="宋体" w:hAnsi="宋体" w:eastAsia="宋体" w:cs="宋体"/>
          <w:b/>
          <w:color w:val="000000"/>
          <w:sz w:val="24"/>
          <w:szCs w:val="22"/>
        </w:rPr>
      </w:pPr>
    </w:p>
    <w:p>
      <w:pPr>
        <w:pStyle w:val="7"/>
        <w:rPr>
          <w:rFonts w:ascii="宋体" w:hAnsi="宋体" w:eastAsia="宋体" w:cs="宋体"/>
          <w:b/>
          <w:color w:val="000000"/>
          <w:sz w:val="24"/>
          <w:szCs w:val="22"/>
        </w:rPr>
      </w:pPr>
    </w:p>
    <w:p>
      <w:pPr>
        <w:pStyle w:val="7"/>
        <w:rPr>
          <w:rFonts w:ascii="宋体" w:hAnsi="宋体" w:eastAsia="宋体" w:cs="宋体"/>
          <w:b/>
          <w:color w:val="000000"/>
          <w:sz w:val="24"/>
          <w:szCs w:val="22"/>
        </w:rPr>
      </w:pPr>
    </w:p>
    <w:p>
      <w:pPr>
        <w:pStyle w:val="7"/>
        <w:rPr>
          <w:rFonts w:ascii="宋体" w:hAnsi="宋体" w:eastAsia="宋体" w:cs="宋体"/>
          <w:b/>
          <w:color w:val="000000"/>
          <w:sz w:val="24"/>
          <w:szCs w:val="22"/>
        </w:rPr>
      </w:pPr>
    </w:p>
    <w:p>
      <w:pPr>
        <w:pStyle w:val="7"/>
        <w:rPr>
          <w:rFonts w:ascii="宋体" w:hAnsi="宋体" w:eastAsia="宋体" w:cs="宋体"/>
          <w:b/>
          <w:color w:val="000000"/>
          <w:sz w:val="24"/>
          <w:szCs w:val="22"/>
        </w:rPr>
      </w:pPr>
    </w:p>
    <w:p>
      <w:pPr>
        <w:pStyle w:val="7"/>
        <w:rPr>
          <w:rFonts w:ascii="宋体" w:hAnsi="宋体" w:eastAsia="宋体" w:cs="宋体"/>
          <w:b/>
          <w:color w:val="000000"/>
          <w:sz w:val="24"/>
          <w:szCs w:val="22"/>
        </w:rPr>
      </w:pPr>
    </w:p>
    <w:p>
      <w:pPr>
        <w:pStyle w:val="7"/>
        <w:rPr>
          <w:rFonts w:ascii="宋体" w:hAnsi="宋体" w:eastAsia="宋体" w:cs="宋体"/>
          <w:color w:val="000000"/>
          <w:sz w:val="21"/>
          <w:szCs w:val="21"/>
        </w:rPr>
        <w:sectPr>
          <w:footerReference r:id="rId3" w:type="default"/>
          <w:pgSz w:w="11906" w:h="16838"/>
          <w:pgMar w:top="1418" w:right="1247" w:bottom="993" w:left="1247" w:header="851" w:footer="684" w:gutter="0"/>
          <w:cols w:space="720" w:num="1"/>
          <w:titlePg/>
          <w:docGrid w:type="lines" w:linePitch="312" w:charSpace="0"/>
        </w:sectPr>
      </w:pPr>
    </w:p>
    <w:p>
      <w:pPr>
        <w:pStyle w:val="4"/>
      </w:pPr>
      <w:bookmarkStart w:id="126" w:name="_Toc5129"/>
      <w:bookmarkStart w:id="127" w:name="_Toc23515"/>
      <w:bookmarkStart w:id="128" w:name="_Toc28358"/>
      <w:bookmarkStart w:id="129" w:name="_Toc1563"/>
      <w:bookmarkStart w:id="130" w:name="_Toc12169"/>
      <w:bookmarkStart w:id="131" w:name="_Toc21847"/>
      <w:bookmarkStart w:id="132" w:name="_Toc8147"/>
      <w:bookmarkStart w:id="133" w:name="_Toc3723"/>
      <w:bookmarkStart w:id="134" w:name="_Toc16552"/>
      <w:bookmarkStart w:id="135" w:name="_Toc30824"/>
      <w:bookmarkStart w:id="136" w:name="_Toc6230"/>
      <w:r>
        <w:rPr>
          <w:rFonts w:hint="eastAsia"/>
        </w:rPr>
        <w:t>第七章</w:t>
      </w:r>
      <w:bookmarkEnd w:id="126"/>
      <w:bookmarkEnd w:id="127"/>
      <w:bookmarkEnd w:id="128"/>
      <w:bookmarkEnd w:id="129"/>
      <w:bookmarkEnd w:id="130"/>
      <w:bookmarkEnd w:id="131"/>
      <w:bookmarkEnd w:id="132"/>
      <w:bookmarkEnd w:id="133"/>
      <w:bookmarkEnd w:id="134"/>
      <w:bookmarkEnd w:id="135"/>
      <w:bookmarkEnd w:id="136"/>
    </w:p>
    <w:p>
      <w:pPr>
        <w:pStyle w:val="37"/>
      </w:pPr>
    </w:p>
    <w:p>
      <w:pPr>
        <w:pStyle w:val="4"/>
      </w:pPr>
      <w:bookmarkStart w:id="137" w:name="_Toc12769"/>
      <w:bookmarkStart w:id="138" w:name="_Toc22764"/>
      <w:bookmarkStart w:id="139" w:name="_Toc30157"/>
      <w:bookmarkStart w:id="140" w:name="_Toc24490"/>
      <w:bookmarkStart w:id="141" w:name="_Toc88209951"/>
      <w:bookmarkStart w:id="142" w:name="_Toc12610"/>
      <w:bookmarkStart w:id="143" w:name="_Toc24815"/>
      <w:bookmarkStart w:id="144" w:name="_Toc21675"/>
      <w:bookmarkStart w:id="145" w:name="_Toc87616388"/>
      <w:bookmarkStart w:id="146" w:name="_Toc31564"/>
      <w:bookmarkStart w:id="147" w:name="_Toc5342"/>
      <w:bookmarkStart w:id="148" w:name="_Toc17119"/>
      <w:bookmarkStart w:id="149" w:name="_Toc10840"/>
      <w:r>
        <w:rPr>
          <w:rFonts w:hint="eastAsia"/>
        </w:rPr>
        <w:t>响应文件格式要求</w:t>
      </w:r>
      <w:bookmarkEnd w:id="137"/>
      <w:bookmarkEnd w:id="138"/>
      <w:bookmarkEnd w:id="139"/>
      <w:bookmarkEnd w:id="140"/>
      <w:bookmarkEnd w:id="141"/>
      <w:bookmarkEnd w:id="142"/>
      <w:bookmarkEnd w:id="143"/>
      <w:bookmarkEnd w:id="144"/>
      <w:bookmarkEnd w:id="145"/>
      <w:bookmarkEnd w:id="146"/>
      <w:bookmarkEnd w:id="147"/>
      <w:bookmarkEnd w:id="148"/>
      <w:bookmarkEnd w:id="14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jc w:val="left"/>
        <w:rPr>
          <w:rFonts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0" w:name="_Toc88209952"/>
      <w:bookmarkStart w:id="151" w:name="_Toc87616389"/>
      <w:r>
        <w:rPr>
          <w:rFonts w:hint="eastAsia" w:ascii="仿宋_GB2312" w:eastAsia="仿宋_GB2312"/>
          <w:sz w:val="28"/>
          <w:szCs w:val="28"/>
        </w:rPr>
        <w:t>1.响应函</w:t>
      </w:r>
      <w:bookmarkEnd w:id="150"/>
      <w:bookmarkEnd w:id="151"/>
    </w:p>
    <w:p>
      <w:pPr>
        <w:spacing w:line="600" w:lineRule="exact"/>
        <w:rPr>
          <w:rFonts w:ascii="仿宋_GB2312" w:eastAsia="仿宋_GB2312"/>
          <w:sz w:val="28"/>
          <w:szCs w:val="28"/>
        </w:rPr>
      </w:pPr>
      <w:bookmarkStart w:id="152" w:name="_Toc88209953"/>
      <w:bookmarkStart w:id="153" w:name="_Toc87616390"/>
      <w:r>
        <w:rPr>
          <w:rFonts w:hint="eastAsia" w:ascii="仿宋_GB2312" w:eastAsia="仿宋_GB2312"/>
          <w:sz w:val="28"/>
          <w:szCs w:val="28"/>
        </w:rPr>
        <w:t>2.法定代表人证明或授权委托书</w:t>
      </w:r>
      <w:bookmarkEnd w:id="152"/>
      <w:bookmarkEnd w:id="153"/>
      <w:bookmarkStart w:id="154" w:name="_Toc87616393"/>
      <w:bookmarkStart w:id="155"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5.采购需求响应偏离表</w:t>
      </w:r>
    </w:p>
    <w:p>
      <w:pPr>
        <w:spacing w:line="600" w:lineRule="exact"/>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w:t>
      </w:r>
      <w:r>
        <w:rPr>
          <w:rFonts w:hint="eastAsia" w:ascii="仿宋_GB2312" w:eastAsia="仿宋_GB2312"/>
          <w:sz w:val="28"/>
          <w:szCs w:val="28"/>
        </w:rPr>
        <w:t xml:space="preserve"> 项目工期响应偏离表</w:t>
      </w:r>
    </w:p>
    <w:p>
      <w:pPr>
        <w:spacing w:line="600" w:lineRule="exac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报价一览表</w:t>
      </w:r>
    </w:p>
    <w:p>
      <w:pPr>
        <w:spacing w:line="600" w:lineRule="exact"/>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其他资料</w:t>
      </w:r>
      <w:bookmarkEnd w:id="154"/>
      <w:bookmarkEnd w:id="155"/>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rPr>
          <w:rFonts w:asciiTheme="minorEastAsia" w:hAnsiTheme="minorEastAsia"/>
          <w:sz w:val="28"/>
          <w:szCs w:val="28"/>
        </w:rPr>
      </w:pPr>
      <w:bookmarkStart w:id="156" w:name="_Toc87616394"/>
      <w:bookmarkStart w:id="157" w:name="_Toc88209957"/>
      <w:bookmarkStart w:id="158" w:name="_Toc12665"/>
      <w:bookmarkStart w:id="159" w:name="_Toc28619645"/>
      <w:bookmarkStart w:id="160" w:name="_Toc6313"/>
      <w:r>
        <w:rPr>
          <w:rFonts w:hint="eastAsia" w:asciiTheme="minorEastAsia" w:hAnsiTheme="minorEastAsia"/>
          <w:sz w:val="28"/>
          <w:szCs w:val="28"/>
        </w:rP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56"/>
      <w:bookmarkEnd w:id="157"/>
      <w:bookmarkEnd w:id="158"/>
      <w:bookmarkEnd w:id="159"/>
      <w:bookmarkEnd w:id="16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sym w:font="Wingdings 2" w:char="F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color w:val="auto"/>
          <w:sz w:val="28"/>
          <w:szCs w:val="28"/>
          <w:highlight w:val="none"/>
          <w:lang w:eastAsia="zh-Hans"/>
        </w:rPr>
      </w:pPr>
      <w:r>
        <w:rPr>
          <w:rFonts w:hint="eastAsia" w:ascii="仿宋_GB2312" w:hAnsi="黑体" w:eastAsia="仿宋_GB2312"/>
          <w:color w:val="auto"/>
          <w:sz w:val="28"/>
          <w:szCs w:val="28"/>
          <w:highlight w:val="none"/>
        </w:rPr>
        <w:t>（5）</w:t>
      </w:r>
      <w:r>
        <w:rPr>
          <w:rFonts w:hint="eastAsia" w:ascii="仿宋_GB2312" w:hAnsi="黑体" w:eastAsia="仿宋_GB2312"/>
          <w:color w:val="auto"/>
          <w:sz w:val="28"/>
          <w:szCs w:val="28"/>
          <w:highlight w:val="none"/>
          <w:lang w:eastAsia="zh-Hans"/>
        </w:rPr>
        <w:t>采购需求</w:t>
      </w:r>
      <w:r>
        <w:rPr>
          <w:rFonts w:hint="eastAsia" w:ascii="仿宋_GB2312" w:hAnsi="黑体" w:eastAsia="仿宋_GB2312"/>
          <w:color w:val="auto"/>
          <w:sz w:val="28"/>
          <w:szCs w:val="28"/>
          <w:highlight w:val="none"/>
        </w:rPr>
        <w:t>响应偏离</w:t>
      </w:r>
      <w:r>
        <w:rPr>
          <w:rFonts w:hint="eastAsia" w:ascii="仿宋_GB2312" w:hAnsi="黑体" w:eastAsia="仿宋_GB2312"/>
          <w:color w:val="auto"/>
          <w:sz w:val="28"/>
          <w:szCs w:val="28"/>
          <w:highlight w:val="none"/>
          <w:lang w:eastAsia="zh-Hans"/>
        </w:rPr>
        <w:t>表</w:t>
      </w:r>
    </w:p>
    <w:p>
      <w:pPr>
        <w:spacing w:line="360" w:lineRule="auto"/>
        <w:ind w:firstLine="560" w:firstLineChars="200"/>
        <w:rPr>
          <w:rFonts w:ascii="仿宋_GB2312" w:hAnsi="黑体" w:eastAsia="仿宋_GB2312"/>
          <w:color w:val="auto"/>
          <w:sz w:val="28"/>
          <w:szCs w:val="28"/>
          <w:highlight w:val="none"/>
          <w:lang w:eastAsia="zh-Hans"/>
        </w:rPr>
      </w:pPr>
      <w:r>
        <w:rPr>
          <w:rFonts w:hint="eastAsia" w:ascii="仿宋_GB2312" w:hAnsi="黑体" w:eastAsia="仿宋_GB2312"/>
          <w:color w:val="auto"/>
          <w:sz w:val="28"/>
          <w:szCs w:val="28"/>
          <w:highlight w:val="none"/>
          <w:lang w:eastAsia="zh-Hans"/>
        </w:rPr>
        <w:t>（</w:t>
      </w:r>
      <w:r>
        <w:rPr>
          <w:rFonts w:ascii="仿宋_GB2312" w:hAnsi="黑体" w:eastAsia="仿宋_GB2312"/>
          <w:color w:val="auto"/>
          <w:sz w:val="28"/>
          <w:szCs w:val="28"/>
          <w:highlight w:val="none"/>
          <w:lang w:eastAsia="zh-Hans"/>
        </w:rPr>
        <w:t>6</w:t>
      </w:r>
      <w:r>
        <w:rPr>
          <w:rFonts w:hint="eastAsia" w:ascii="仿宋_GB2312" w:hAnsi="黑体" w:eastAsia="仿宋_GB2312"/>
          <w:color w:val="auto"/>
          <w:sz w:val="28"/>
          <w:szCs w:val="28"/>
          <w:highlight w:val="none"/>
          <w:lang w:eastAsia="zh-Hans"/>
        </w:rPr>
        <w:t>）项目工期响应偏离表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）报价一览表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8</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asciiTheme="minorEastAsia" w:hAnsiTheme="minorEastAsia" w:eastAsiaTheme="minorEastAsia"/>
          <w:sz w:val="28"/>
          <w:szCs w:val="28"/>
        </w:rPr>
      </w:pPr>
      <w:bookmarkStart w:id="161" w:name="_Toc88209958"/>
      <w:bookmarkStart w:id="162" w:name="_Toc87616395"/>
      <w:bookmarkStart w:id="163" w:name="_Toc22527"/>
      <w:bookmarkStart w:id="164" w:name="_Toc29833"/>
      <w:r>
        <w:rPr>
          <w:rFonts w:hint="eastAsia" w:asciiTheme="minorEastAsia" w:hAnsiTheme="minorEastAsia" w:eastAsiaTheme="minorEastAsia"/>
          <w:sz w:val="28"/>
          <w:szCs w:val="28"/>
        </w:rPr>
        <w:t>2.法定代表人证明或授权委托书</w:t>
      </w:r>
      <w:bookmarkEnd w:id="161"/>
      <w:bookmarkEnd w:id="162"/>
      <w:bookmarkEnd w:id="163"/>
      <w:bookmarkEnd w:id="164"/>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28"/>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2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2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2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2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2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28"/>
        <w:snapToGrid w:val="0"/>
        <w:spacing w:line="600" w:lineRule="exact"/>
        <w:ind w:firstLine="3907" w:firstLineChars="1221"/>
        <w:rPr>
          <w:rFonts w:ascii="仿宋_GB2312" w:hAnsi="宋体" w:eastAsia="仿宋_GB2312" w:cs="Times New Roman"/>
          <w:sz w:val="32"/>
          <w:szCs w:val="32"/>
        </w:rPr>
      </w:pPr>
    </w:p>
    <w:p>
      <w:pPr>
        <w:pStyle w:val="28"/>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397510</wp:posOffset>
                </wp:positionH>
                <wp:positionV relativeFrom="paragraph">
                  <wp:posOffset>84455</wp:posOffset>
                </wp:positionV>
                <wp:extent cx="3771900" cy="1287780"/>
                <wp:effectExtent l="4445" t="5080" r="18415" b="1778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1.3pt;margin-top:6.65pt;height:101.4pt;width:297pt;mso-wrap-distance-bottom:0pt;mso-wrap-distance-left:9pt;mso-wrap-distance-right:9pt;mso-wrap-distance-top:0pt;z-index:251662336;mso-width-relative:page;mso-height-relative:page;" fillcolor="#FFFFFF" filled="t" stroked="t" coordsize="21600,21600" o:gfxdata="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C01H9cAAAAJAQAADwAAAAAAAAABACAAAAAiAAAAZHJzL2Rvd25yZXYueG1sUEsBAhQA&#10;FAAAAAgAh07iQCN4GxUsAgAASQQAAA4AAAAAAAAAAQAgAAAAJgEAAGRycy9lMm9Eb2MueG1sUEsF&#10;BgAAAAAGAAYAWQEAAMQ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7"/>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28"/>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28"/>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28"/>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3360" behindDoc="0" locked="0" layoutInCell="1" allowOverlap="1">
                <wp:simplePos x="0" y="0"/>
                <wp:positionH relativeFrom="column">
                  <wp:posOffset>615950</wp:posOffset>
                </wp:positionH>
                <wp:positionV relativeFrom="paragraph">
                  <wp:posOffset>200025</wp:posOffset>
                </wp:positionV>
                <wp:extent cx="3771900" cy="1287780"/>
                <wp:effectExtent l="4445" t="5080" r="18415" b="1778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336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E2JzO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bookmarkStart w:id="165" w:name="_Toc88209963"/>
      <w:bookmarkStart w:id="166" w:name="_Toc87616400"/>
      <w:bookmarkStart w:id="167" w:name="_Toc19830"/>
      <w:bookmarkStart w:id="168" w:name="_Toc8086"/>
      <w:r>
        <w:rPr>
          <w:rFonts w:hint="eastAsia" w:asciiTheme="minorEastAsia" w:hAnsiTheme="minorEastAsia" w:eastAsiaTheme="minorEastAsia"/>
          <w:sz w:val="28"/>
          <w:szCs w:val="28"/>
        </w:rPr>
        <w:t>3.资格审查资料</w:t>
      </w:r>
      <w:bookmarkEnd w:id="165"/>
      <w:bookmarkEnd w:id="166"/>
      <w:bookmarkEnd w:id="167"/>
      <w:bookmarkEnd w:id="168"/>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jc w:val="left"/>
        <w:rPr>
          <w:rFonts w:cs="Times New Roman" w:asciiTheme="minorEastAsia" w:hAnsiTheme="minorEastAsia"/>
          <w:b/>
          <w:bCs/>
          <w:sz w:val="28"/>
          <w:szCs w:val="28"/>
        </w:rPr>
      </w:pPr>
      <w:bookmarkStart w:id="169" w:name="_Hlk59025866"/>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69"/>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广州市净水有限公司2022年度公司健康码核验终端设备购置项目</w:t>
      </w:r>
      <w:r>
        <w:rPr>
          <w:rFonts w:hint="eastAsia" w:ascii="宋体" w:hAnsi="宋体" w:eastAsia="宋体" w:cs="宋体"/>
          <w:sz w:val="24"/>
          <w:szCs w:val="24"/>
          <w:u w:val="single"/>
          <w:lang w:val="en-GB"/>
        </w:rPr>
        <w:t xml:space="preserve">（项目编号：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4.拟投入本项目的项目负责人情况表</w:t>
      </w:r>
    </w:p>
    <w:p>
      <w:pPr>
        <w:pStyle w:val="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证书等级和专业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Theme="majorEastAsia" w:hAnsiTheme="majorEastAsia" w:eastAsiaTheme="majorEastAsia"/>
          <w:b/>
          <w:bCs/>
          <w:color w:val="auto"/>
          <w:kern w:val="2"/>
          <w:sz w:val="28"/>
          <w:szCs w:val="28"/>
        </w:rPr>
      </w:pPr>
    </w:p>
    <w:p>
      <w:pPr>
        <w:jc w:val="left"/>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5.采购需求响应偏离表</w:t>
      </w:r>
    </w:p>
    <w:p>
      <w:pPr>
        <w:spacing w:line="500" w:lineRule="exact"/>
        <w:jc w:val="center"/>
        <w:rPr>
          <w:rFonts w:ascii="Times New Roman" w:hAnsi="Times New Roman"/>
          <w:b/>
          <w:bCs/>
          <w:sz w:val="24"/>
          <w:szCs w:val="24"/>
        </w:rPr>
      </w:pPr>
      <w:r>
        <w:rPr>
          <w:rFonts w:hint="eastAsia" w:ascii="宋体" w:hAnsi="宋体"/>
          <w:b/>
          <w:bCs/>
          <w:sz w:val="24"/>
          <w:szCs w:val="24"/>
        </w:rPr>
        <w:t>采购需求响应偏离表</w:t>
      </w:r>
    </w:p>
    <w:p>
      <w:pPr>
        <w:spacing w:line="500" w:lineRule="exact"/>
        <w:jc w:val="center"/>
        <w:rPr>
          <w:b/>
          <w:bCs/>
          <w:sz w:val="24"/>
          <w:szCs w:val="24"/>
        </w:rPr>
      </w:pPr>
      <w:r>
        <w:rPr>
          <w:b/>
          <w:bCs/>
          <w:sz w:val="24"/>
          <w:szCs w:val="24"/>
        </w:rPr>
        <w:t xml:space="preserve"> </w:t>
      </w:r>
    </w:p>
    <w:p>
      <w:pPr>
        <w:spacing w:line="500" w:lineRule="exact"/>
        <w:ind w:firstLine="480" w:firstLineChars="200"/>
        <w:jc w:val="left"/>
        <w:rPr>
          <w:rFonts w:ascii="仿宋_GB2312" w:hAnsi="黑体" w:eastAsia="仿宋_GB2312"/>
          <w:sz w:val="24"/>
          <w:szCs w:val="28"/>
        </w:rPr>
      </w:pPr>
      <w:r>
        <w:rPr>
          <w:rFonts w:hint="eastAsia" w:ascii="仿宋_GB2312" w:hAnsi="黑体" w:eastAsia="仿宋_GB2312"/>
          <w:sz w:val="24"/>
          <w:szCs w:val="28"/>
        </w:rPr>
        <w:t>请对第五章采购需求内容按下述格式进行汇总应答。</w:t>
      </w:r>
    </w:p>
    <w:p>
      <w:pPr>
        <w:spacing w:line="500" w:lineRule="exact"/>
        <w:ind w:firstLine="480" w:firstLineChars="200"/>
        <w:jc w:val="left"/>
        <w:rPr>
          <w:rFonts w:ascii="仿宋_GB2312" w:hAnsi="黑体" w:eastAsia="仿宋_GB2312"/>
          <w:sz w:val="24"/>
          <w:szCs w:val="28"/>
        </w:rPr>
      </w:pPr>
      <w:r>
        <w:rPr>
          <w:rFonts w:hint="eastAsia" w:ascii="仿宋_GB2312" w:hAnsi="黑体" w:eastAsia="仿宋_GB2312"/>
          <w:sz w:val="24"/>
          <w:szCs w:val="28"/>
        </w:rPr>
        <w:t>1、若对第五章采购需求条款“全部满足”，请在下方应答“全部满足”。</w:t>
      </w:r>
    </w:p>
    <w:p>
      <w:pPr>
        <w:spacing w:line="500" w:lineRule="exact"/>
        <w:ind w:firstLine="480" w:firstLineChars="200"/>
        <w:jc w:val="left"/>
        <w:rPr>
          <w:rFonts w:ascii="仿宋_GB2312" w:hAnsi="黑体" w:eastAsia="仿宋_GB2312"/>
          <w:sz w:val="24"/>
          <w:szCs w:val="28"/>
        </w:rPr>
      </w:pPr>
      <w:r>
        <w:rPr>
          <w:rFonts w:hint="eastAsia" w:ascii="仿宋_GB2312" w:hAnsi="黑体" w:eastAsia="仿宋_GB2312"/>
          <w:sz w:val="24"/>
          <w:szCs w:val="28"/>
        </w:rPr>
        <w:t>对第五章采购需求条款应答：</w:t>
      </w:r>
      <w:r>
        <w:rPr>
          <w:rFonts w:hint="eastAsia" w:ascii="仿宋_GB2312" w:hAnsi="黑体" w:eastAsia="仿宋_GB2312"/>
          <w:sz w:val="24"/>
          <w:szCs w:val="28"/>
          <w:u w:val="single"/>
        </w:rPr>
        <w:t xml:space="preserve">    </w:t>
      </w:r>
      <w:r>
        <w:rPr>
          <w:rFonts w:ascii="仿宋_GB2312" w:hAnsi="黑体" w:eastAsia="仿宋_GB2312"/>
          <w:sz w:val="24"/>
          <w:szCs w:val="28"/>
          <w:u w:val="single"/>
        </w:rPr>
        <w:t xml:space="preserve">   </w:t>
      </w:r>
      <w:r>
        <w:rPr>
          <w:rFonts w:hint="eastAsia" w:ascii="仿宋_GB2312" w:hAnsi="黑体" w:eastAsia="仿宋_GB2312"/>
          <w:sz w:val="24"/>
          <w:szCs w:val="28"/>
          <w:u w:val="single"/>
        </w:rPr>
        <w:t xml:space="preserve">   </w:t>
      </w:r>
      <w:r>
        <w:rPr>
          <w:rFonts w:hint="eastAsia" w:ascii="仿宋_GB2312" w:hAnsi="黑体" w:eastAsia="仿宋_GB2312"/>
          <w:sz w:val="24"/>
          <w:szCs w:val="28"/>
        </w:rPr>
        <w:t xml:space="preserve"> 。</w:t>
      </w:r>
    </w:p>
    <w:p>
      <w:pPr>
        <w:spacing w:line="500" w:lineRule="exact"/>
        <w:ind w:firstLine="480" w:firstLineChars="200"/>
        <w:jc w:val="left"/>
        <w:rPr>
          <w:rFonts w:ascii="仿宋_GB2312" w:hAnsi="黑体" w:eastAsia="仿宋_GB2312"/>
          <w:sz w:val="24"/>
          <w:szCs w:val="28"/>
        </w:rPr>
      </w:pPr>
      <w:r>
        <w:rPr>
          <w:rFonts w:hint="eastAsia" w:ascii="仿宋_GB2312" w:hAnsi="黑体" w:eastAsia="仿宋_GB2312"/>
          <w:sz w:val="24"/>
          <w:szCs w:val="28"/>
        </w:rPr>
        <w:t>2、若对第五章采购需求主要条款的基本要求不满足，请在下列详细列明，若优于基本要求下表无需填写，但本表格式需保留。</w:t>
      </w:r>
    </w:p>
    <w:tbl>
      <w:tblPr>
        <w:tblStyle w:val="22"/>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7"/>
        <w:gridCol w:w="3494"/>
        <w:gridCol w:w="1682"/>
        <w:gridCol w:w="30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98" w:hRule="atLeast"/>
          <w:jc w:val="center"/>
        </w:trPr>
        <w:tc>
          <w:tcPr>
            <w:tcW w:w="8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r>
              <w:rPr>
                <w:rFonts w:hint="eastAsia" w:ascii="仿宋_GB2312" w:hAnsi="黑体" w:eastAsia="仿宋_GB2312"/>
                <w:sz w:val="24"/>
                <w:szCs w:val="28"/>
              </w:rPr>
              <w:t>序号</w:t>
            </w:r>
          </w:p>
        </w:tc>
        <w:tc>
          <w:tcPr>
            <w:tcW w:w="349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r>
              <w:rPr>
                <w:rFonts w:hint="eastAsia" w:ascii="仿宋_GB2312" w:hAnsi="黑体" w:eastAsia="仿宋_GB2312"/>
                <w:sz w:val="24"/>
                <w:szCs w:val="28"/>
              </w:rPr>
              <w:t>第五章采购需求条款条目号第  条第  款</w:t>
            </w:r>
          </w:p>
        </w:tc>
        <w:tc>
          <w:tcPr>
            <w:tcW w:w="16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r>
              <w:rPr>
                <w:rFonts w:hint="eastAsia" w:ascii="仿宋_GB2312" w:hAnsi="黑体" w:eastAsia="仿宋_GB2312"/>
                <w:sz w:val="24"/>
                <w:szCs w:val="28"/>
              </w:rPr>
              <w:t>采购需求条款描述</w:t>
            </w:r>
          </w:p>
        </w:tc>
        <w:tc>
          <w:tcPr>
            <w:tcW w:w="30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r>
              <w:rPr>
                <w:rFonts w:hint="eastAsia" w:ascii="仿宋_GB2312" w:hAnsi="黑体" w:eastAsia="仿宋_GB2312"/>
                <w:sz w:val="24"/>
                <w:szCs w:val="28"/>
              </w:rPr>
              <w:t>不满足采购需求条款规定的说明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8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349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16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30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6" w:hRule="atLeast"/>
          <w:jc w:val="center"/>
        </w:trPr>
        <w:tc>
          <w:tcPr>
            <w:tcW w:w="8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349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16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30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r>
    </w:tbl>
    <w:p>
      <w:pPr>
        <w:spacing w:line="500" w:lineRule="atLeast"/>
        <w:ind w:firstLine="480" w:firstLineChars="200"/>
        <w:jc w:val="left"/>
        <w:rPr>
          <w:rFonts w:ascii="仿宋_GB2312" w:hAnsi="黑体" w:eastAsia="仿宋_GB2312"/>
          <w:sz w:val="24"/>
          <w:szCs w:val="28"/>
        </w:rPr>
      </w:pPr>
      <w:r>
        <w:rPr>
          <w:rFonts w:hint="eastAsia" w:ascii="仿宋_GB2312" w:hAnsi="黑体" w:eastAsia="仿宋_GB2312"/>
          <w:sz w:val="24"/>
          <w:szCs w:val="28"/>
        </w:rPr>
        <w:t>3、若供应商对第五章采购需求主要条款要求提出优于采购人的服务条款，请在下表详细列明，若只是满足合同基本要求，下表无需填写，但本表格式需保留。</w:t>
      </w:r>
    </w:p>
    <w:tbl>
      <w:tblPr>
        <w:tblStyle w:val="22"/>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7"/>
        <w:gridCol w:w="3494"/>
        <w:gridCol w:w="1682"/>
        <w:gridCol w:w="30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8" w:hRule="atLeast"/>
          <w:jc w:val="center"/>
        </w:trPr>
        <w:tc>
          <w:tcPr>
            <w:tcW w:w="8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r>
              <w:rPr>
                <w:rFonts w:hint="eastAsia" w:ascii="仿宋_GB2312" w:hAnsi="黑体" w:eastAsia="仿宋_GB2312"/>
                <w:sz w:val="24"/>
                <w:szCs w:val="28"/>
              </w:rPr>
              <w:t>序号</w:t>
            </w:r>
          </w:p>
        </w:tc>
        <w:tc>
          <w:tcPr>
            <w:tcW w:w="349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r>
              <w:rPr>
                <w:rFonts w:hint="eastAsia" w:ascii="仿宋_GB2312" w:hAnsi="黑体" w:eastAsia="仿宋_GB2312"/>
                <w:sz w:val="24"/>
                <w:szCs w:val="28"/>
              </w:rPr>
              <w:t>第五章采购需求条款条目号第  条第  款</w:t>
            </w:r>
          </w:p>
        </w:tc>
        <w:tc>
          <w:tcPr>
            <w:tcW w:w="16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r>
              <w:rPr>
                <w:rFonts w:hint="eastAsia" w:ascii="仿宋_GB2312" w:hAnsi="黑体" w:eastAsia="仿宋_GB2312"/>
                <w:sz w:val="24"/>
                <w:szCs w:val="28"/>
              </w:rPr>
              <w:t>采购需求条款描述</w:t>
            </w:r>
          </w:p>
        </w:tc>
        <w:tc>
          <w:tcPr>
            <w:tcW w:w="30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r>
              <w:rPr>
                <w:rFonts w:hint="eastAsia" w:ascii="仿宋_GB2312" w:hAnsi="黑体" w:eastAsia="仿宋_GB2312"/>
                <w:sz w:val="24"/>
                <w:szCs w:val="28"/>
              </w:rPr>
              <w:t>优于采购需求条款规定的说明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8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349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16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30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6" w:hRule="atLeast"/>
          <w:jc w:val="center"/>
        </w:trPr>
        <w:tc>
          <w:tcPr>
            <w:tcW w:w="8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349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168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c>
          <w:tcPr>
            <w:tcW w:w="30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黑体" w:eastAsia="仿宋_GB2312"/>
                <w:sz w:val="24"/>
                <w:szCs w:val="28"/>
              </w:rPr>
            </w:pPr>
          </w:p>
        </w:tc>
      </w:tr>
    </w:tbl>
    <w:p>
      <w:pPr>
        <w:spacing w:line="360" w:lineRule="auto"/>
        <w:ind w:firstLine="480" w:firstLineChars="200"/>
        <w:jc w:val="left"/>
        <w:rPr>
          <w:rFonts w:ascii="仿宋_GB2312" w:hAnsi="黑体" w:eastAsia="仿宋_GB2312"/>
          <w:sz w:val="24"/>
          <w:szCs w:val="28"/>
        </w:rPr>
      </w:pPr>
      <w:r>
        <w:rPr>
          <w:rFonts w:hint="eastAsia" w:ascii="仿宋_GB2312" w:hAnsi="黑体" w:eastAsia="仿宋_GB2312"/>
          <w:sz w:val="24"/>
          <w:szCs w:val="28"/>
        </w:rPr>
        <w:t xml:space="preserve"> </w:t>
      </w:r>
    </w:p>
    <w:p>
      <w:pPr>
        <w:spacing w:line="360" w:lineRule="auto"/>
        <w:jc w:val="left"/>
        <w:rPr>
          <w:rFonts w:ascii="仿宋_GB2312" w:hAnsi="黑体" w:eastAsia="仿宋_GB2312"/>
          <w:sz w:val="24"/>
          <w:szCs w:val="28"/>
        </w:rPr>
      </w:pPr>
      <w:r>
        <w:rPr>
          <w:rFonts w:hint="eastAsia" w:ascii="仿宋_GB2312" w:hAnsi="黑体" w:eastAsia="仿宋_GB2312"/>
          <w:sz w:val="24"/>
          <w:szCs w:val="28"/>
        </w:rPr>
        <w:t xml:space="preserve"> </w:t>
      </w:r>
    </w:p>
    <w:p>
      <w:pPr>
        <w:adjustRightInd w:val="0"/>
        <w:snapToGrid w:val="0"/>
        <w:spacing w:line="360" w:lineRule="auto"/>
        <w:jc w:val="right"/>
        <w:rPr>
          <w:rFonts w:ascii="仿宋_GB2312" w:hAnsi="黑体" w:eastAsia="仿宋_GB2312"/>
          <w:sz w:val="24"/>
          <w:szCs w:val="28"/>
        </w:rPr>
      </w:pPr>
      <w:r>
        <w:rPr>
          <w:rFonts w:hint="eastAsia" w:ascii="仿宋_GB2312" w:hAnsi="黑体" w:eastAsia="仿宋_GB2312"/>
          <w:sz w:val="24"/>
          <w:szCs w:val="28"/>
        </w:rPr>
        <w:t xml:space="preserve">供应商名称（加盖公章）： </w:t>
      </w:r>
    </w:p>
    <w:p>
      <w:pPr>
        <w:adjustRightInd w:val="0"/>
        <w:snapToGrid w:val="0"/>
        <w:spacing w:line="360" w:lineRule="auto"/>
        <w:jc w:val="right"/>
        <w:rPr>
          <w:rFonts w:ascii="仿宋_GB2312" w:hAnsi="黑体" w:eastAsia="仿宋_GB2312"/>
          <w:sz w:val="24"/>
          <w:szCs w:val="28"/>
        </w:rPr>
      </w:pPr>
      <w:r>
        <w:rPr>
          <w:rFonts w:hint="eastAsia" w:ascii="仿宋_GB2312" w:hAnsi="黑体" w:eastAsia="仿宋_GB2312"/>
          <w:sz w:val="24"/>
          <w:szCs w:val="28"/>
        </w:rPr>
        <w:t>年  月  日</w:t>
      </w:r>
    </w:p>
    <w:p>
      <w:pPr>
        <w:widowControl/>
        <w:jc w:val="left"/>
        <w:rPr>
          <w:rFonts w:cs="Times New Roman" w:asciiTheme="majorEastAsia" w:hAnsiTheme="majorEastAsia" w:eastAsiaTheme="majorEastAsia"/>
          <w:b/>
          <w:bCs/>
          <w:sz w:val="28"/>
          <w:szCs w:val="28"/>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6.项目工期响应偏离表</w:t>
      </w:r>
    </w:p>
    <w:p>
      <w:pPr>
        <w:pStyle w:val="34"/>
        <w:snapToGrid w:val="0"/>
        <w:spacing w:line="440" w:lineRule="exact"/>
        <w:ind w:left="420" w:firstLine="0" w:firstLineChars="0"/>
        <w:jc w:val="center"/>
        <w:rPr>
          <w:rFonts w:ascii="仿宋_GB2312" w:hAnsi="黑体" w:eastAsia="仿宋_GB2312"/>
          <w:sz w:val="24"/>
          <w:szCs w:val="28"/>
        </w:rPr>
      </w:pPr>
      <w:r>
        <w:rPr>
          <w:rFonts w:hint="eastAsia" w:asciiTheme="minorEastAsia" w:hAnsiTheme="minorEastAsia"/>
          <w:sz w:val="28"/>
          <w:szCs w:val="28"/>
        </w:rPr>
        <w:t>项目工期响应偏离表</w:t>
      </w:r>
    </w:p>
    <w:p>
      <w:pPr>
        <w:pStyle w:val="34"/>
        <w:snapToGrid w:val="0"/>
        <w:spacing w:line="440" w:lineRule="exact"/>
        <w:ind w:left="420" w:firstLine="0" w:firstLineChars="0"/>
        <w:rPr>
          <w:rFonts w:ascii="仿宋_GB2312" w:hAnsi="黑体" w:eastAsia="仿宋_GB2312"/>
          <w:sz w:val="24"/>
          <w:szCs w:val="28"/>
        </w:rPr>
      </w:pPr>
      <w:r>
        <w:rPr>
          <w:rFonts w:hint="eastAsia" w:ascii="仿宋_GB2312" w:hAnsi="黑体" w:eastAsia="仿宋_GB2312"/>
          <w:sz w:val="24"/>
          <w:szCs w:val="28"/>
        </w:rPr>
        <w:t xml:space="preserve">项目名称： </w:t>
      </w:r>
    </w:p>
    <w:p>
      <w:pPr>
        <w:pStyle w:val="34"/>
        <w:snapToGrid w:val="0"/>
        <w:spacing w:line="440" w:lineRule="exact"/>
        <w:ind w:left="420" w:firstLine="0" w:firstLineChars="0"/>
        <w:rPr>
          <w:rFonts w:ascii="仿宋_GB2312" w:hAnsi="黑体" w:eastAsia="仿宋_GB2312"/>
          <w:sz w:val="24"/>
          <w:szCs w:val="28"/>
        </w:rPr>
      </w:pPr>
      <w:r>
        <w:rPr>
          <w:rFonts w:hint="eastAsia" w:ascii="仿宋_GB2312" w:hAnsi="黑体" w:eastAsia="仿宋_GB2312"/>
          <w:sz w:val="24"/>
          <w:szCs w:val="28"/>
        </w:rPr>
        <w:t>项目编号：</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80"/>
        <w:gridCol w:w="2176"/>
        <w:gridCol w:w="150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序号</w:t>
            </w:r>
          </w:p>
        </w:tc>
        <w:tc>
          <w:tcPr>
            <w:tcW w:w="2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采购文件项目工期内容</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供应商响应情况</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偏离情况说明（无偏离/正偏离/负偏离）</w:t>
            </w: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sz w:val="24"/>
                <w:szCs w:val="28"/>
              </w:rPr>
            </w:pPr>
            <w:r>
              <w:rPr>
                <w:rFonts w:hint="eastAsia" w:ascii="仿宋_GB2312" w:hAnsi="黑体"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1</w:t>
            </w:r>
          </w:p>
        </w:tc>
        <w:tc>
          <w:tcPr>
            <w:tcW w:w="2086"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黑体" w:eastAsia="仿宋_GB2312"/>
                <w:sz w:val="24"/>
                <w:szCs w:val="28"/>
              </w:rPr>
            </w:pPr>
            <w:r>
              <w:rPr>
                <w:rFonts w:hint="eastAsia" w:ascii="仿宋_GB2312" w:hAnsi="黑体" w:eastAsia="仿宋_GB2312"/>
                <w:sz w:val="24"/>
                <w:szCs w:val="28"/>
              </w:rPr>
              <w:t>项目工期：计划工期共</w:t>
            </w:r>
            <w:r>
              <w:rPr>
                <w:rFonts w:ascii="仿宋_GB2312" w:hAnsi="黑体" w:eastAsia="仿宋_GB2312"/>
                <w:sz w:val="24"/>
                <w:szCs w:val="28"/>
              </w:rPr>
              <w:t>5</w:t>
            </w:r>
            <w:r>
              <w:rPr>
                <w:rFonts w:hint="eastAsia" w:ascii="仿宋_GB2312" w:hAnsi="黑体" w:eastAsia="仿宋_GB2312"/>
                <w:sz w:val="24"/>
                <w:szCs w:val="28"/>
              </w:rPr>
              <w:t>天（日历日），要求</w:t>
            </w:r>
            <w:r>
              <w:rPr>
                <w:rFonts w:ascii="仿宋_GB2312" w:hAnsi="黑体" w:eastAsia="仿宋_GB2312"/>
                <w:sz w:val="24"/>
                <w:szCs w:val="28"/>
              </w:rPr>
              <w:t>3</w:t>
            </w:r>
            <w:r>
              <w:rPr>
                <w:rFonts w:hint="eastAsia" w:ascii="仿宋_GB2312" w:hAnsi="黑体" w:eastAsia="仿宋_GB2312"/>
                <w:sz w:val="24"/>
                <w:szCs w:val="28"/>
              </w:rPr>
              <w:t>天内完成设备到货签收；到货后</w:t>
            </w:r>
            <w:r>
              <w:rPr>
                <w:rFonts w:ascii="仿宋_GB2312" w:hAnsi="黑体" w:eastAsia="仿宋_GB2312"/>
                <w:sz w:val="24"/>
                <w:szCs w:val="28"/>
              </w:rPr>
              <w:t>2</w:t>
            </w:r>
            <w:r>
              <w:rPr>
                <w:rFonts w:hint="eastAsia" w:ascii="仿宋_GB2312" w:hAnsi="黑体" w:eastAsia="仿宋_GB2312"/>
                <w:sz w:val="24"/>
                <w:szCs w:val="28"/>
              </w:rPr>
              <w:t>天完成设备安装及验收。</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sz w:val="24"/>
                <w:szCs w:val="28"/>
              </w:rPr>
            </w:pPr>
          </w:p>
        </w:tc>
      </w:tr>
    </w:tbl>
    <w:p>
      <w:pPr>
        <w:widowControl/>
        <w:jc w:val="left"/>
      </w:pPr>
    </w:p>
    <w:p>
      <w:pPr>
        <w:pStyle w:val="28"/>
        <w:snapToGrid w:val="0"/>
        <w:spacing w:line="600" w:lineRule="exact"/>
        <w:ind w:firstLine="5040" w:firstLineChars="2100"/>
        <w:rPr>
          <w:rFonts w:ascii="仿宋_GB2312" w:hAnsi="黑体" w:eastAsia="仿宋_GB2312" w:cstheme="minorBidi"/>
          <w:color w:val="auto"/>
          <w:kern w:val="2"/>
          <w:szCs w:val="28"/>
        </w:rPr>
      </w:pPr>
    </w:p>
    <w:p>
      <w:pPr>
        <w:pStyle w:val="28"/>
        <w:snapToGrid w:val="0"/>
        <w:spacing w:line="600" w:lineRule="exact"/>
        <w:ind w:firstLine="5040" w:firstLineChars="2100"/>
        <w:rPr>
          <w:rFonts w:ascii="仿宋_GB2312" w:hAnsi="黑体" w:eastAsia="仿宋_GB2312" w:cstheme="minorBidi"/>
          <w:color w:val="auto"/>
          <w:kern w:val="2"/>
          <w:szCs w:val="28"/>
        </w:rPr>
      </w:pPr>
    </w:p>
    <w:p>
      <w:pPr>
        <w:pStyle w:val="28"/>
        <w:snapToGrid w:val="0"/>
        <w:spacing w:line="600" w:lineRule="exact"/>
        <w:ind w:firstLine="5040" w:firstLineChars="2100"/>
        <w:rPr>
          <w:rFonts w:ascii="仿宋_GB2312" w:hAnsi="黑体" w:eastAsia="仿宋_GB2312" w:cstheme="minorBidi"/>
          <w:color w:val="auto"/>
          <w:kern w:val="2"/>
          <w:szCs w:val="28"/>
        </w:rPr>
      </w:pPr>
    </w:p>
    <w:p>
      <w:pPr>
        <w:pStyle w:val="28"/>
        <w:snapToGrid w:val="0"/>
        <w:spacing w:line="600" w:lineRule="exact"/>
        <w:ind w:firstLine="5040" w:firstLineChars="2100"/>
        <w:rPr>
          <w:rFonts w:ascii="仿宋_GB2312" w:hAnsi="黑体" w:eastAsia="仿宋_GB2312" w:cstheme="minorBidi"/>
          <w:color w:val="auto"/>
          <w:kern w:val="2"/>
          <w:szCs w:val="28"/>
        </w:rPr>
      </w:pPr>
    </w:p>
    <w:p>
      <w:pPr>
        <w:pStyle w:val="28"/>
        <w:snapToGrid w:val="0"/>
        <w:spacing w:line="600" w:lineRule="exact"/>
        <w:ind w:firstLine="5040" w:firstLineChars="2100"/>
        <w:rPr>
          <w:rFonts w:ascii="仿宋_GB2312" w:hAnsi="黑体" w:eastAsia="仿宋_GB2312" w:cstheme="minorBidi"/>
          <w:color w:val="auto"/>
          <w:kern w:val="2"/>
          <w:szCs w:val="28"/>
        </w:rPr>
      </w:pPr>
      <w:r>
        <w:rPr>
          <w:rFonts w:hint="eastAsia" w:ascii="仿宋_GB2312" w:hAnsi="黑体" w:eastAsia="仿宋_GB2312" w:cstheme="minorBidi"/>
          <w:color w:val="auto"/>
          <w:kern w:val="2"/>
          <w:szCs w:val="28"/>
        </w:rPr>
        <w:t xml:space="preserve">供应商：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黑体" w:eastAsia="仿宋_GB2312"/>
          <w:sz w:val="24"/>
          <w:szCs w:val="28"/>
        </w:rPr>
        <w:t>日  期：          年    月    日</w:t>
      </w:r>
    </w:p>
    <w:p>
      <w:pPr>
        <w:widowControl/>
        <w:jc w:val="left"/>
        <w:rPr>
          <w:rFonts w:ascii="宋体" w:hAnsi="宋体" w:eastAsia="等线" w:cs="Times New Roman"/>
          <w:color w:val="000000"/>
          <w:kern w:val="0"/>
          <w:sz w:val="24"/>
          <w:szCs w:val="24"/>
        </w:rPr>
      </w:pPr>
      <w: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7.报价一览表</w:t>
      </w:r>
    </w:p>
    <w:p>
      <w:pPr>
        <w:spacing w:line="360" w:lineRule="auto"/>
        <w:jc w:val="center"/>
        <w:rPr>
          <w:rFonts w:ascii="仿宋_GB2312" w:hAnsi="黑体" w:eastAsia="仿宋_GB2312"/>
          <w:sz w:val="28"/>
          <w:szCs w:val="28"/>
        </w:rPr>
      </w:pPr>
      <w:r>
        <w:rPr>
          <w:rFonts w:hint="eastAsia" w:ascii="仿宋_GB2312" w:hAnsi="黑体" w:eastAsia="仿宋_GB2312"/>
          <w:sz w:val="28"/>
          <w:szCs w:val="28"/>
        </w:rPr>
        <w:t>报价一览表</w:t>
      </w:r>
    </w:p>
    <w:p>
      <w:pPr>
        <w:snapToGrid w:val="0"/>
        <w:spacing w:line="440" w:lineRule="exact"/>
        <w:rPr>
          <w:rFonts w:hint="default" w:ascii="仿宋_GB2312" w:hAnsi="黑体" w:eastAsia="仿宋_GB2312"/>
          <w:sz w:val="24"/>
          <w:szCs w:val="28"/>
          <w:lang w:val="en-US" w:eastAsia="zh-CN"/>
        </w:rPr>
      </w:pPr>
      <w:r>
        <w:rPr>
          <w:rFonts w:hint="eastAsia" w:ascii="仿宋_GB2312" w:hAnsi="黑体" w:eastAsia="仿宋_GB2312"/>
          <w:sz w:val="24"/>
          <w:szCs w:val="28"/>
        </w:rPr>
        <w:t>项目名称： 广州市净水有限公司2022年度公司健康码核验终端设备</w:t>
      </w:r>
      <w:r>
        <w:rPr>
          <w:rFonts w:hint="eastAsia" w:ascii="仿宋_GB2312" w:hAnsi="黑体" w:eastAsia="仿宋_GB2312"/>
          <w:sz w:val="24"/>
          <w:szCs w:val="28"/>
          <w:lang w:val="en-US" w:eastAsia="zh-CN"/>
        </w:rPr>
        <w:t>购置项目</w:t>
      </w:r>
    </w:p>
    <w:p>
      <w:pPr>
        <w:snapToGrid w:val="0"/>
        <w:spacing w:line="440" w:lineRule="exact"/>
        <w:rPr>
          <w:rFonts w:ascii="仿宋_GB2312" w:hAnsi="黑体" w:eastAsia="仿宋_GB2312"/>
          <w:sz w:val="24"/>
          <w:szCs w:val="28"/>
        </w:rPr>
      </w:pPr>
      <w:r>
        <w:rPr>
          <w:rFonts w:hint="eastAsia" w:ascii="仿宋_GB2312" w:hAnsi="黑体" w:eastAsia="仿宋_GB2312"/>
          <w:sz w:val="24"/>
          <w:szCs w:val="28"/>
        </w:rPr>
        <w:t>项目编号：</w:t>
      </w:r>
    </w:p>
    <w:tbl>
      <w:tblPr>
        <w:tblStyle w:val="22"/>
        <w:tblW w:w="46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125"/>
        <w:gridCol w:w="993"/>
        <w:gridCol w:w="694"/>
        <w:gridCol w:w="1521"/>
        <w:gridCol w:w="118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序号</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报价内容</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单位</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数量</w:t>
            </w:r>
          </w:p>
        </w:tc>
        <w:tc>
          <w:tcPr>
            <w:tcW w:w="90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黑体" w:eastAsia="仿宋_GB2312"/>
                <w:sz w:val="24"/>
                <w:szCs w:val="28"/>
                <w:lang w:val="en-US" w:eastAsia="zh-CN"/>
              </w:rPr>
            </w:pPr>
            <w:r>
              <w:rPr>
                <w:rFonts w:hint="eastAsia" w:ascii="仿宋_GB2312" w:hAnsi="黑体" w:eastAsia="仿宋_GB2312"/>
                <w:sz w:val="24"/>
                <w:szCs w:val="28"/>
                <w:lang w:val="en-US" w:eastAsia="zh-CN"/>
              </w:rPr>
              <w:t>含税单价（元）</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含税总价（元）</w:t>
            </w:r>
          </w:p>
        </w:tc>
        <w:tc>
          <w:tcPr>
            <w:tcW w:w="62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sz w:val="24"/>
                <w:szCs w:val="28"/>
              </w:rPr>
            </w:pPr>
            <w:r>
              <w:rPr>
                <w:rFonts w:hint="eastAsia" w:ascii="仿宋_GB2312" w:hAnsi="黑体"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r>
              <w:rPr>
                <w:rFonts w:hint="eastAsia" w:ascii="仿宋_GB2312" w:hAnsi="黑体" w:eastAsia="仿宋_GB2312"/>
                <w:sz w:val="24"/>
                <w:szCs w:val="28"/>
              </w:rPr>
              <w:t>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黑体" w:eastAsia="仿宋_GB2312"/>
                <w:sz w:val="24"/>
                <w:szCs w:val="28"/>
                <w:lang w:eastAsia="zh-CN"/>
              </w:rPr>
            </w:pPr>
            <w:r>
              <w:rPr>
                <w:rFonts w:hint="eastAsia" w:ascii="仿宋_GB2312" w:hAnsi="黑体" w:eastAsia="仿宋_GB2312"/>
                <w:sz w:val="24"/>
                <w:szCs w:val="28"/>
              </w:rPr>
              <w:t>广州市净水有限公司2022年度公司健康码核验终端设备</w:t>
            </w:r>
            <w:r>
              <w:rPr>
                <w:rFonts w:hint="eastAsia" w:ascii="仿宋_GB2312" w:hAnsi="黑体" w:eastAsia="仿宋_GB2312"/>
                <w:sz w:val="24"/>
                <w:szCs w:val="28"/>
                <w:lang w:val="en-US" w:eastAsia="zh-CN"/>
              </w:rPr>
              <w:t>终端</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黑体" w:eastAsia="仿宋_GB2312"/>
                <w:sz w:val="24"/>
                <w:szCs w:val="28"/>
                <w:lang w:val="en-US" w:eastAsia="zh-CN"/>
              </w:rPr>
            </w:pPr>
            <w:r>
              <w:rPr>
                <w:rFonts w:hint="eastAsia" w:ascii="仿宋_GB2312" w:hAnsi="黑体" w:eastAsia="仿宋_GB2312"/>
                <w:sz w:val="24"/>
                <w:szCs w:val="28"/>
                <w:lang w:val="en-US" w:eastAsia="zh-CN"/>
              </w:rPr>
              <w:t>台</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黑体" w:eastAsia="仿宋_GB2312"/>
                <w:sz w:val="24"/>
                <w:szCs w:val="28"/>
                <w:lang w:val="en-US" w:eastAsia="zh-CN"/>
              </w:rPr>
            </w:pPr>
            <w:r>
              <w:rPr>
                <w:rFonts w:hint="eastAsia" w:ascii="仿宋_GB2312" w:hAnsi="黑体" w:eastAsia="仿宋_GB2312"/>
                <w:sz w:val="24"/>
                <w:szCs w:val="28"/>
                <w:lang w:val="en-US" w:eastAsia="zh-CN"/>
              </w:rPr>
              <w:t>27</w:t>
            </w:r>
          </w:p>
        </w:tc>
        <w:tc>
          <w:tcPr>
            <w:tcW w:w="90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黑体" w:eastAsia="仿宋_GB2312"/>
                <w:sz w:val="24"/>
                <w:szCs w:val="28"/>
              </w:rPr>
            </w:pPr>
          </w:p>
        </w:tc>
        <w:tc>
          <w:tcPr>
            <w:tcW w:w="62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sz w:val="24"/>
                <w:szCs w:val="28"/>
              </w:rPr>
            </w:pPr>
            <w:r>
              <w:rPr>
                <w:rFonts w:hint="eastAsia" w:ascii="仿宋_GB2312" w:hAnsi="黑体" w:eastAsia="仿宋_GB2312"/>
                <w:sz w:val="24"/>
                <w:szCs w:val="28"/>
              </w:rPr>
              <w:t>含1年免费维修（非人为损坏）</w:t>
            </w:r>
          </w:p>
        </w:tc>
      </w:tr>
    </w:tbl>
    <w:p>
      <w:pPr>
        <w:spacing w:line="360" w:lineRule="auto"/>
        <w:rPr>
          <w:rFonts w:ascii="仿宋_GB2312" w:hAnsi="黑体" w:eastAsia="仿宋_GB2312"/>
          <w:sz w:val="28"/>
          <w:szCs w:val="28"/>
        </w:rPr>
      </w:pPr>
    </w:p>
    <w:p>
      <w:pPr>
        <w:pStyle w:val="28"/>
        <w:snapToGrid w:val="0"/>
        <w:spacing w:line="600" w:lineRule="exact"/>
        <w:ind w:firstLine="2930" w:firstLineChars="1221"/>
        <w:rPr>
          <w:rFonts w:hint="eastAsia" w:ascii="仿宋_GB2312" w:hAnsi="黑体" w:eastAsia="仿宋_GB2312" w:cstheme="minorBidi"/>
          <w:color w:val="auto"/>
          <w:kern w:val="2"/>
          <w:szCs w:val="28"/>
        </w:rPr>
      </w:pPr>
    </w:p>
    <w:p>
      <w:pPr>
        <w:pStyle w:val="28"/>
        <w:snapToGrid w:val="0"/>
        <w:spacing w:line="600" w:lineRule="exact"/>
        <w:ind w:firstLine="2930" w:firstLineChars="1221"/>
        <w:rPr>
          <w:rFonts w:ascii="仿宋_GB2312" w:hAnsi="黑体" w:eastAsia="仿宋_GB2312" w:cstheme="minorBidi"/>
          <w:color w:val="auto"/>
          <w:kern w:val="2"/>
          <w:szCs w:val="28"/>
        </w:rPr>
      </w:pPr>
      <w:r>
        <w:rPr>
          <w:rFonts w:hint="eastAsia" w:ascii="仿宋_GB2312" w:hAnsi="黑体" w:eastAsia="仿宋_GB2312" w:cstheme="minorBidi"/>
          <w:color w:val="auto"/>
          <w:kern w:val="2"/>
          <w:szCs w:val="28"/>
        </w:rPr>
        <w:t xml:space="preserve"> </w:t>
      </w:r>
      <w:r>
        <w:rPr>
          <w:rFonts w:ascii="仿宋_GB2312" w:hAnsi="黑体" w:eastAsia="仿宋_GB2312" w:cstheme="minorBidi"/>
          <w:color w:val="auto"/>
          <w:kern w:val="2"/>
          <w:szCs w:val="28"/>
        </w:rPr>
        <w:t xml:space="preserve">            </w:t>
      </w:r>
    </w:p>
    <w:p>
      <w:pPr>
        <w:pStyle w:val="28"/>
        <w:snapToGrid w:val="0"/>
        <w:spacing w:line="600" w:lineRule="exact"/>
        <w:ind w:firstLine="4850" w:firstLineChars="2021"/>
        <w:rPr>
          <w:rFonts w:ascii="仿宋_GB2312" w:hAnsi="黑体" w:eastAsia="仿宋_GB2312" w:cstheme="minorBidi"/>
          <w:color w:val="auto"/>
          <w:kern w:val="2"/>
          <w:szCs w:val="28"/>
        </w:rPr>
      </w:pPr>
      <w:r>
        <w:rPr>
          <w:rFonts w:ascii="仿宋_GB2312" w:hAnsi="黑体" w:eastAsia="仿宋_GB2312" w:cstheme="minorBidi"/>
          <w:color w:val="auto"/>
          <w:kern w:val="2"/>
          <w:szCs w:val="28"/>
        </w:rPr>
        <w:t xml:space="preserve"> </w:t>
      </w:r>
      <w:r>
        <w:rPr>
          <w:rFonts w:hint="eastAsia" w:ascii="仿宋_GB2312" w:hAnsi="黑体" w:eastAsia="仿宋_GB2312" w:cstheme="minorBidi"/>
          <w:color w:val="auto"/>
          <w:kern w:val="2"/>
          <w:szCs w:val="28"/>
        </w:rPr>
        <w:t xml:space="preserve">供应商：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黑体" w:eastAsia="仿宋_GB2312"/>
          <w:sz w:val="24"/>
          <w:szCs w:val="28"/>
        </w:rPr>
        <w:t>日  期：          年    月    日</w:t>
      </w:r>
    </w:p>
    <w:p>
      <w:pPr>
        <w:widowControl/>
        <w:jc w:val="left"/>
      </w:pPr>
      <w:r>
        <w:br w:type="page"/>
      </w:r>
    </w:p>
    <w:p>
      <w:pPr>
        <w:pStyle w:val="6"/>
        <w:rPr>
          <w:rFonts w:asciiTheme="minorEastAsia" w:hAnsiTheme="minorEastAsia" w:eastAsiaTheme="minorEastAsia"/>
          <w:sz w:val="28"/>
          <w:szCs w:val="28"/>
        </w:rPr>
      </w:pPr>
      <w:bookmarkStart w:id="170" w:name="_Toc6058"/>
      <w:bookmarkStart w:id="171" w:name="_Toc88209965"/>
      <w:bookmarkStart w:id="172" w:name="_Toc16386"/>
      <w:bookmarkStart w:id="173" w:name="_Toc87616402"/>
      <w:r>
        <w:rPr>
          <w:rFonts w:hint="eastAsia" w:asciiTheme="minorEastAsia" w:hAnsiTheme="minorEastAsia" w:eastAsiaTheme="minorEastAsia"/>
          <w:sz w:val="28"/>
          <w:szCs w:val="28"/>
        </w:rPr>
        <w:t>8</w:t>
      </w:r>
      <w:r>
        <w:rPr>
          <w:rFonts w:asciiTheme="minorEastAsia" w:hAnsiTheme="minorEastAsia" w:eastAsiaTheme="minorEastAsia"/>
          <w:sz w:val="28"/>
          <w:szCs w:val="28"/>
        </w:rPr>
        <w:t>.</w:t>
      </w:r>
      <w:r>
        <w:rPr>
          <w:rFonts w:hint="eastAsia" w:asciiTheme="minorEastAsia" w:hAnsiTheme="minorEastAsia" w:eastAsiaTheme="minorEastAsia"/>
          <w:sz w:val="28"/>
          <w:szCs w:val="28"/>
        </w:rPr>
        <w:t>其他资料</w:t>
      </w:r>
      <w:bookmarkEnd w:id="170"/>
      <w:bookmarkEnd w:id="171"/>
      <w:bookmarkEnd w:id="172"/>
      <w:bookmarkEnd w:id="173"/>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p/>
    <w:p/>
    <w:sectPr>
      <w:headerReference r:id="rId4" w:type="first"/>
      <w:footerReference r:id="rId7" w:type="first"/>
      <w:footerReference r:id="rId5" w:type="default"/>
      <w:footerReference r:id="rId6"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g848XAgAAFgQAAA4AAABkcnMvZTJvRG9jLnhtbK1TzY7TMBC+I/EO&#10;lu80aVes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7mDzjxcCAAAWBAAADgAAAAAA&#10;AAABACAAAAAfAQAAZHJzL2Uyb0RvYy54bWxQSwUGAAAAAAYABgBZAQAAqA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0yJZqcBAABAAwAADgAAAGRycy9lMm9Eb2MueG1srVLNahsxEL4X8g5C&#10;91hrB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NnQxp8RxizM6/Pp5+P338OeRXGR9+gA1pt0FTEzDZz/gnCc/oDPTHlS0+UZC&#10;BOOo9P6krhwSEfnTcrFcVhgSGJseiM+ev4cI6Yv0lmSjoRHHV1Tlu6+QjqlTSq7m/LU2pozQuFcO&#10;xMwelns/9pitNGyGkdDGt3vk0+PkG+pwNSkxNw6FzUsyGXEyNqORa0D49JCwcOknox6hxmI4psJo&#10;XKm8By/fJet58d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EdMiWa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FDCacBAABAAwAADgAAAGRycy9lMm9Eb2MueG1srVJLbhsxDN0XyB0E&#10;7WNNjCJ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B4xQwm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C+lNFKYBAABAAwAADgAAAAAA&#10;AAABACAAAAAeAQAAZHJzL2Uyb0RvYy54bWxQSwUGAAAAAAYABgBZAQAAN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0391B"/>
    <w:multiLevelType w:val="singleLevel"/>
    <w:tmpl w:val="A160391B"/>
    <w:lvl w:ilvl="0" w:tentative="0">
      <w:start w:val="2"/>
      <w:numFmt w:val="chineseCounting"/>
      <w:suff w:val="space"/>
      <w:lvlText w:val="第%1条"/>
      <w:lvlJc w:val="left"/>
      <w:rPr>
        <w:rFonts w:hint="eastAsia"/>
      </w:rPr>
    </w:lvl>
  </w:abstractNum>
  <w:abstractNum w:abstractNumId="1">
    <w:nsid w:val="BF427A44"/>
    <w:multiLevelType w:val="multilevel"/>
    <w:tmpl w:val="BF427A44"/>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CF79B2F8"/>
    <w:multiLevelType w:val="singleLevel"/>
    <w:tmpl w:val="CF79B2F8"/>
    <w:lvl w:ilvl="0" w:tentative="0">
      <w:start w:val="1"/>
      <w:numFmt w:val="decimal"/>
      <w:lvlText w:val="(%1)"/>
      <w:lvlJc w:val="left"/>
      <w:pPr>
        <w:tabs>
          <w:tab w:val="left" w:pos="312"/>
        </w:tabs>
      </w:pPr>
    </w:lvl>
  </w:abstractNum>
  <w:abstractNum w:abstractNumId="4">
    <w:nsid w:val="E7B275FA"/>
    <w:multiLevelType w:val="singleLevel"/>
    <w:tmpl w:val="E7B275FA"/>
    <w:lvl w:ilvl="0" w:tentative="0">
      <w:start w:val="1"/>
      <w:numFmt w:val="decimal"/>
      <w:suff w:val="nothing"/>
      <w:lvlText w:val="%1、"/>
      <w:lvlJc w:val="left"/>
    </w:lvl>
  </w:abstractNum>
  <w:abstractNum w:abstractNumId="5">
    <w:nsid w:val="0210F5D5"/>
    <w:multiLevelType w:val="singleLevel"/>
    <w:tmpl w:val="0210F5D5"/>
    <w:lvl w:ilvl="0" w:tentative="0">
      <w:start w:val="1"/>
      <w:numFmt w:val="decimal"/>
      <w:suff w:val="nothing"/>
      <w:lvlText w:val="%1、"/>
      <w:lvlJc w:val="left"/>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46076B9"/>
    <w:multiLevelType w:val="singleLevel"/>
    <w:tmpl w:val="546076B9"/>
    <w:lvl w:ilvl="0" w:tentative="0">
      <w:start w:val="2"/>
      <w:numFmt w:val="chineseCounting"/>
      <w:suff w:val="nothing"/>
      <w:lvlText w:val="%1、"/>
      <w:lvlJc w:val="left"/>
    </w:lvl>
  </w:abstractNum>
  <w:abstractNum w:abstractNumId="8">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5D32C3"/>
    <w:multiLevelType w:val="singleLevel"/>
    <w:tmpl w:val="705D32C3"/>
    <w:lvl w:ilvl="0" w:tentative="0">
      <w:start w:val="5"/>
      <w:numFmt w:val="decimal"/>
      <w:lvlText w:val="%1."/>
      <w:lvlJc w:val="left"/>
      <w:pPr>
        <w:tabs>
          <w:tab w:val="left" w:pos="312"/>
        </w:tabs>
      </w:pPr>
    </w:lvl>
  </w:abstractNum>
  <w:abstractNum w:abstractNumId="10">
    <w:nsid w:val="74D9A68B"/>
    <w:multiLevelType w:val="singleLevel"/>
    <w:tmpl w:val="74D9A68B"/>
    <w:lvl w:ilvl="0" w:tentative="0">
      <w:start w:val="1"/>
      <w:numFmt w:val="decimal"/>
      <w:lvlText w:val="(%1)"/>
      <w:lvlJc w:val="left"/>
      <w:pPr>
        <w:tabs>
          <w:tab w:val="left" w:pos="312"/>
        </w:tabs>
      </w:pPr>
    </w:lvl>
  </w:abstractNum>
  <w:abstractNum w:abstractNumId="11">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9"/>
  </w:num>
  <w:num w:numId="3">
    <w:abstractNumId w:val="6"/>
  </w:num>
  <w:num w:numId="4">
    <w:abstractNumId w:val="8"/>
  </w:num>
  <w:num w:numId="5">
    <w:abstractNumId w:val="7"/>
  </w:num>
  <w:num w:numId="6">
    <w:abstractNumId w:val="4"/>
  </w:num>
  <w:num w:numId="7">
    <w:abstractNumId w:val="3"/>
  </w:num>
  <w:num w:numId="8">
    <w:abstractNumId w:val="0"/>
  </w:num>
  <w:num w:numId="9">
    <w:abstractNumId w:val="11"/>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ZDE0OGUyYTJkYjFkOTAyM2VkMjJmZTZlZTVlZjQifQ=="/>
  </w:docVars>
  <w:rsids>
    <w:rsidRoot w:val="005D618A"/>
    <w:rsid w:val="0009605A"/>
    <w:rsid w:val="001708ED"/>
    <w:rsid w:val="001B1EB0"/>
    <w:rsid w:val="00201D03"/>
    <w:rsid w:val="00202259"/>
    <w:rsid w:val="00217EEE"/>
    <w:rsid w:val="003A06DA"/>
    <w:rsid w:val="003D60BA"/>
    <w:rsid w:val="003E4B1E"/>
    <w:rsid w:val="004061B0"/>
    <w:rsid w:val="00410359"/>
    <w:rsid w:val="00411689"/>
    <w:rsid w:val="00432913"/>
    <w:rsid w:val="004D0D71"/>
    <w:rsid w:val="005561B3"/>
    <w:rsid w:val="00575F6A"/>
    <w:rsid w:val="005D618A"/>
    <w:rsid w:val="0081600E"/>
    <w:rsid w:val="008D3A36"/>
    <w:rsid w:val="00911ECD"/>
    <w:rsid w:val="00996C43"/>
    <w:rsid w:val="00A042E0"/>
    <w:rsid w:val="00AC27C7"/>
    <w:rsid w:val="00B049B8"/>
    <w:rsid w:val="00B20B29"/>
    <w:rsid w:val="00B26BB1"/>
    <w:rsid w:val="00B26E21"/>
    <w:rsid w:val="00B67B97"/>
    <w:rsid w:val="00BC615F"/>
    <w:rsid w:val="00BF0EBD"/>
    <w:rsid w:val="00BF4C68"/>
    <w:rsid w:val="00CC219D"/>
    <w:rsid w:val="00DB701B"/>
    <w:rsid w:val="00DC5B7E"/>
    <w:rsid w:val="00DF2428"/>
    <w:rsid w:val="00E856D1"/>
    <w:rsid w:val="00F022B7"/>
    <w:rsid w:val="00F83B64"/>
    <w:rsid w:val="02090C75"/>
    <w:rsid w:val="02A23A3C"/>
    <w:rsid w:val="02CC41FA"/>
    <w:rsid w:val="03AC246A"/>
    <w:rsid w:val="03B23056"/>
    <w:rsid w:val="03DC3EBA"/>
    <w:rsid w:val="03F9794D"/>
    <w:rsid w:val="040138B7"/>
    <w:rsid w:val="046A2461"/>
    <w:rsid w:val="06447B94"/>
    <w:rsid w:val="06C64829"/>
    <w:rsid w:val="077D16D2"/>
    <w:rsid w:val="08675FC8"/>
    <w:rsid w:val="09403878"/>
    <w:rsid w:val="09B713FD"/>
    <w:rsid w:val="09EF6ACC"/>
    <w:rsid w:val="0A2D1285"/>
    <w:rsid w:val="0A315056"/>
    <w:rsid w:val="0AA02CB1"/>
    <w:rsid w:val="0AFB45AD"/>
    <w:rsid w:val="0B351E9B"/>
    <w:rsid w:val="0B4C50D3"/>
    <w:rsid w:val="0B806B92"/>
    <w:rsid w:val="0B827E94"/>
    <w:rsid w:val="0C247926"/>
    <w:rsid w:val="0D794204"/>
    <w:rsid w:val="0DD1693F"/>
    <w:rsid w:val="0E2125D1"/>
    <w:rsid w:val="0E214211"/>
    <w:rsid w:val="0E5F2769"/>
    <w:rsid w:val="0E772A66"/>
    <w:rsid w:val="0EC55373"/>
    <w:rsid w:val="0F2E5232"/>
    <w:rsid w:val="0F4D75A3"/>
    <w:rsid w:val="0F5B2DCA"/>
    <w:rsid w:val="0FED051E"/>
    <w:rsid w:val="0FEE4C29"/>
    <w:rsid w:val="10046082"/>
    <w:rsid w:val="112B101A"/>
    <w:rsid w:val="113977BA"/>
    <w:rsid w:val="119B53FC"/>
    <w:rsid w:val="12424CDC"/>
    <w:rsid w:val="129A2738"/>
    <w:rsid w:val="12B56BF1"/>
    <w:rsid w:val="12CB1A89"/>
    <w:rsid w:val="131840FB"/>
    <w:rsid w:val="13467417"/>
    <w:rsid w:val="136E76CF"/>
    <w:rsid w:val="144A5757"/>
    <w:rsid w:val="14BB58EF"/>
    <w:rsid w:val="14CC2FE4"/>
    <w:rsid w:val="14FE3DE7"/>
    <w:rsid w:val="15BC6B3C"/>
    <w:rsid w:val="161E0ED4"/>
    <w:rsid w:val="1694429A"/>
    <w:rsid w:val="16B30E3A"/>
    <w:rsid w:val="17635326"/>
    <w:rsid w:val="18236EFD"/>
    <w:rsid w:val="189D5B1F"/>
    <w:rsid w:val="18A34CD0"/>
    <w:rsid w:val="18AA2CDE"/>
    <w:rsid w:val="19B64DBC"/>
    <w:rsid w:val="1A1A481D"/>
    <w:rsid w:val="1A373ACF"/>
    <w:rsid w:val="1A895341"/>
    <w:rsid w:val="1AFE43FA"/>
    <w:rsid w:val="1B0D071F"/>
    <w:rsid w:val="1B4568CE"/>
    <w:rsid w:val="1B9015B7"/>
    <w:rsid w:val="1BF11846"/>
    <w:rsid w:val="1D5A79EE"/>
    <w:rsid w:val="1E0E2CD0"/>
    <w:rsid w:val="1E831280"/>
    <w:rsid w:val="1EBC4704"/>
    <w:rsid w:val="1F172EB5"/>
    <w:rsid w:val="1F94592D"/>
    <w:rsid w:val="1FB860DE"/>
    <w:rsid w:val="203C5A02"/>
    <w:rsid w:val="206D6FAE"/>
    <w:rsid w:val="209D4C94"/>
    <w:rsid w:val="20C73D9D"/>
    <w:rsid w:val="212F7B0F"/>
    <w:rsid w:val="218400BA"/>
    <w:rsid w:val="21AB1E2F"/>
    <w:rsid w:val="21D40498"/>
    <w:rsid w:val="22767047"/>
    <w:rsid w:val="23A05588"/>
    <w:rsid w:val="23CC51D4"/>
    <w:rsid w:val="25431AEB"/>
    <w:rsid w:val="257302A1"/>
    <w:rsid w:val="25BF43FD"/>
    <w:rsid w:val="25F86BCD"/>
    <w:rsid w:val="269E416A"/>
    <w:rsid w:val="272100D3"/>
    <w:rsid w:val="272C72FC"/>
    <w:rsid w:val="27EB149D"/>
    <w:rsid w:val="27EC3C97"/>
    <w:rsid w:val="28176F5A"/>
    <w:rsid w:val="283B343B"/>
    <w:rsid w:val="28B76B44"/>
    <w:rsid w:val="28E11370"/>
    <w:rsid w:val="294A756A"/>
    <w:rsid w:val="29D07E1F"/>
    <w:rsid w:val="29D5322D"/>
    <w:rsid w:val="2A025DD9"/>
    <w:rsid w:val="2A7C2231"/>
    <w:rsid w:val="2ABB753D"/>
    <w:rsid w:val="2B2B38EE"/>
    <w:rsid w:val="2B7A49FA"/>
    <w:rsid w:val="2C615D26"/>
    <w:rsid w:val="2C7818E8"/>
    <w:rsid w:val="2CB679ED"/>
    <w:rsid w:val="2D173C07"/>
    <w:rsid w:val="2D424A86"/>
    <w:rsid w:val="2E7B52DB"/>
    <w:rsid w:val="2F324CFE"/>
    <w:rsid w:val="2FBA09F1"/>
    <w:rsid w:val="2FEF2ACF"/>
    <w:rsid w:val="30540211"/>
    <w:rsid w:val="306B59E0"/>
    <w:rsid w:val="31083589"/>
    <w:rsid w:val="312D7741"/>
    <w:rsid w:val="316F137F"/>
    <w:rsid w:val="31CB6E32"/>
    <w:rsid w:val="31DF525F"/>
    <w:rsid w:val="327171DF"/>
    <w:rsid w:val="32E06240"/>
    <w:rsid w:val="33FB9C8E"/>
    <w:rsid w:val="341E3434"/>
    <w:rsid w:val="360B7EBA"/>
    <w:rsid w:val="360F55EA"/>
    <w:rsid w:val="36375226"/>
    <w:rsid w:val="369C32FD"/>
    <w:rsid w:val="37666E72"/>
    <w:rsid w:val="38167A04"/>
    <w:rsid w:val="394B167A"/>
    <w:rsid w:val="3A4E4336"/>
    <w:rsid w:val="3A6007FE"/>
    <w:rsid w:val="3AEFC730"/>
    <w:rsid w:val="3B3A20F8"/>
    <w:rsid w:val="3B7C2CE4"/>
    <w:rsid w:val="3B7CE841"/>
    <w:rsid w:val="3C0B5355"/>
    <w:rsid w:val="3CD4176B"/>
    <w:rsid w:val="3D1F44D9"/>
    <w:rsid w:val="3D5C38CD"/>
    <w:rsid w:val="3E5070F1"/>
    <w:rsid w:val="3E631BDF"/>
    <w:rsid w:val="3F6C3589"/>
    <w:rsid w:val="3F6F6696"/>
    <w:rsid w:val="3F850180"/>
    <w:rsid w:val="3F9004D6"/>
    <w:rsid w:val="400E4D5E"/>
    <w:rsid w:val="40E1138C"/>
    <w:rsid w:val="413814BA"/>
    <w:rsid w:val="41872511"/>
    <w:rsid w:val="420D6D5B"/>
    <w:rsid w:val="42466655"/>
    <w:rsid w:val="42C82F57"/>
    <w:rsid w:val="43C76AF7"/>
    <w:rsid w:val="446828F0"/>
    <w:rsid w:val="454460D1"/>
    <w:rsid w:val="45577B9F"/>
    <w:rsid w:val="45C13B4D"/>
    <w:rsid w:val="46054BCA"/>
    <w:rsid w:val="464C6AFC"/>
    <w:rsid w:val="46A107C3"/>
    <w:rsid w:val="46B15CE2"/>
    <w:rsid w:val="46BE113D"/>
    <w:rsid w:val="46E44B13"/>
    <w:rsid w:val="4703508A"/>
    <w:rsid w:val="471B7F21"/>
    <w:rsid w:val="47333D53"/>
    <w:rsid w:val="475023F8"/>
    <w:rsid w:val="479D361E"/>
    <w:rsid w:val="47B74789"/>
    <w:rsid w:val="480F2B9D"/>
    <w:rsid w:val="48282920"/>
    <w:rsid w:val="485321E0"/>
    <w:rsid w:val="48546AD3"/>
    <w:rsid w:val="48CA4868"/>
    <w:rsid w:val="48D75B50"/>
    <w:rsid w:val="48F005D3"/>
    <w:rsid w:val="49C05787"/>
    <w:rsid w:val="49CF518D"/>
    <w:rsid w:val="4ADA1F63"/>
    <w:rsid w:val="4AE23D89"/>
    <w:rsid w:val="4B2038D0"/>
    <w:rsid w:val="4B296E7D"/>
    <w:rsid w:val="4B877F28"/>
    <w:rsid w:val="4C447A73"/>
    <w:rsid w:val="4D916BA6"/>
    <w:rsid w:val="4DC44169"/>
    <w:rsid w:val="4EF0709E"/>
    <w:rsid w:val="4F061885"/>
    <w:rsid w:val="513C6A7B"/>
    <w:rsid w:val="522A5477"/>
    <w:rsid w:val="5333545B"/>
    <w:rsid w:val="5450213C"/>
    <w:rsid w:val="547A0233"/>
    <w:rsid w:val="54C427BC"/>
    <w:rsid w:val="54D24048"/>
    <w:rsid w:val="54D64CD5"/>
    <w:rsid w:val="55887D69"/>
    <w:rsid w:val="561A0928"/>
    <w:rsid w:val="563D0AFA"/>
    <w:rsid w:val="56423872"/>
    <w:rsid w:val="56B279F0"/>
    <w:rsid w:val="57FD8E31"/>
    <w:rsid w:val="581F22F6"/>
    <w:rsid w:val="586E1E17"/>
    <w:rsid w:val="58862C35"/>
    <w:rsid w:val="58C14957"/>
    <w:rsid w:val="592866D1"/>
    <w:rsid w:val="59ED7B56"/>
    <w:rsid w:val="5AE83A50"/>
    <w:rsid w:val="5BAB2917"/>
    <w:rsid w:val="5BCE3CAA"/>
    <w:rsid w:val="5BFC33FA"/>
    <w:rsid w:val="5C3107A4"/>
    <w:rsid w:val="5C3B1B93"/>
    <w:rsid w:val="5C9220DF"/>
    <w:rsid w:val="5D4A15F3"/>
    <w:rsid w:val="5D69542A"/>
    <w:rsid w:val="5E0930EF"/>
    <w:rsid w:val="5E3D4D53"/>
    <w:rsid w:val="5E4717E6"/>
    <w:rsid w:val="5E55774C"/>
    <w:rsid w:val="5E653F23"/>
    <w:rsid w:val="5F504E44"/>
    <w:rsid w:val="60104DDC"/>
    <w:rsid w:val="605C0804"/>
    <w:rsid w:val="6189617B"/>
    <w:rsid w:val="61B52BB6"/>
    <w:rsid w:val="61B749C2"/>
    <w:rsid w:val="62280D20"/>
    <w:rsid w:val="626C7940"/>
    <w:rsid w:val="62B40067"/>
    <w:rsid w:val="62CA2457"/>
    <w:rsid w:val="638240A1"/>
    <w:rsid w:val="63A5257B"/>
    <w:rsid w:val="63BD3DCC"/>
    <w:rsid w:val="63C61741"/>
    <w:rsid w:val="644041C6"/>
    <w:rsid w:val="64560967"/>
    <w:rsid w:val="656B1D10"/>
    <w:rsid w:val="66022B28"/>
    <w:rsid w:val="66581E87"/>
    <w:rsid w:val="668A57FF"/>
    <w:rsid w:val="669202CC"/>
    <w:rsid w:val="66F87C3B"/>
    <w:rsid w:val="66FA11D5"/>
    <w:rsid w:val="67192C97"/>
    <w:rsid w:val="674302C7"/>
    <w:rsid w:val="67FFC7FB"/>
    <w:rsid w:val="680A5986"/>
    <w:rsid w:val="680D5F4B"/>
    <w:rsid w:val="68113F51"/>
    <w:rsid w:val="68E94770"/>
    <w:rsid w:val="68F949C9"/>
    <w:rsid w:val="695A4290"/>
    <w:rsid w:val="69D6627D"/>
    <w:rsid w:val="6A334932"/>
    <w:rsid w:val="6A3353FF"/>
    <w:rsid w:val="6A5D63E6"/>
    <w:rsid w:val="6A5F24D1"/>
    <w:rsid w:val="6AE347EB"/>
    <w:rsid w:val="6B434AF0"/>
    <w:rsid w:val="6B57675A"/>
    <w:rsid w:val="6BDD7B4D"/>
    <w:rsid w:val="6BFD0DBE"/>
    <w:rsid w:val="6CBD3341"/>
    <w:rsid w:val="6D776BF0"/>
    <w:rsid w:val="6DF9FDD7"/>
    <w:rsid w:val="6E850AE2"/>
    <w:rsid w:val="6EBC0B3A"/>
    <w:rsid w:val="6EF51C7D"/>
    <w:rsid w:val="6F8363E5"/>
    <w:rsid w:val="6FC746F5"/>
    <w:rsid w:val="70317AC6"/>
    <w:rsid w:val="70863262"/>
    <w:rsid w:val="70A76ED3"/>
    <w:rsid w:val="715A2270"/>
    <w:rsid w:val="71860B17"/>
    <w:rsid w:val="723B27CC"/>
    <w:rsid w:val="72687227"/>
    <w:rsid w:val="72A03FD9"/>
    <w:rsid w:val="73406CFF"/>
    <w:rsid w:val="7383028C"/>
    <w:rsid w:val="738F6708"/>
    <w:rsid w:val="73A25E44"/>
    <w:rsid w:val="741F68CF"/>
    <w:rsid w:val="749D43DD"/>
    <w:rsid w:val="75252DF3"/>
    <w:rsid w:val="75621536"/>
    <w:rsid w:val="75BF3154"/>
    <w:rsid w:val="75DC4420"/>
    <w:rsid w:val="764A07CF"/>
    <w:rsid w:val="764F6B3D"/>
    <w:rsid w:val="76CD2B7B"/>
    <w:rsid w:val="76D80645"/>
    <w:rsid w:val="76E03371"/>
    <w:rsid w:val="7777D18B"/>
    <w:rsid w:val="780E5898"/>
    <w:rsid w:val="782642CC"/>
    <w:rsid w:val="782D797C"/>
    <w:rsid w:val="7894095E"/>
    <w:rsid w:val="7897745C"/>
    <w:rsid w:val="79000679"/>
    <w:rsid w:val="79A416F0"/>
    <w:rsid w:val="79B03EB6"/>
    <w:rsid w:val="7AF37579"/>
    <w:rsid w:val="7AF87F64"/>
    <w:rsid w:val="7B1C0C84"/>
    <w:rsid w:val="7B5A62DF"/>
    <w:rsid w:val="7B7A04A8"/>
    <w:rsid w:val="7BE6509B"/>
    <w:rsid w:val="7C22163C"/>
    <w:rsid w:val="7C595075"/>
    <w:rsid w:val="7C6B07B2"/>
    <w:rsid w:val="7D133243"/>
    <w:rsid w:val="7D1E5332"/>
    <w:rsid w:val="7DF324F4"/>
    <w:rsid w:val="7E394207"/>
    <w:rsid w:val="7E4007A2"/>
    <w:rsid w:val="7E791CAD"/>
    <w:rsid w:val="7EA50DFB"/>
    <w:rsid w:val="7EC86878"/>
    <w:rsid w:val="7F0B1D5B"/>
    <w:rsid w:val="7F16390D"/>
    <w:rsid w:val="7F752917"/>
    <w:rsid w:val="7FB30192"/>
    <w:rsid w:val="7FCD692D"/>
    <w:rsid w:val="7FE37961"/>
    <w:rsid w:val="7FF633F9"/>
    <w:rsid w:val="7FFBB4E9"/>
    <w:rsid w:val="A69EF6CF"/>
    <w:rsid w:val="BD7B0BE8"/>
    <w:rsid w:val="C5FE7312"/>
    <w:rsid w:val="CF1F5542"/>
    <w:rsid w:val="EBFBD799"/>
    <w:rsid w:val="F0EB4734"/>
    <w:rsid w:val="FDF7333C"/>
    <w:rsid w:val="FFA7B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paragraph" w:customStyle="1" w:styleId="28">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页眉 字符"/>
    <w:basedOn w:val="24"/>
    <w:link w:val="17"/>
    <w:qFormat/>
    <w:uiPriority w:val="99"/>
    <w:rPr>
      <w:sz w:val="18"/>
      <w:szCs w:val="18"/>
    </w:rPr>
  </w:style>
  <w:style w:type="character" w:customStyle="1" w:styleId="30">
    <w:name w:val="页脚 字符"/>
    <w:basedOn w:val="24"/>
    <w:link w:val="16"/>
    <w:qFormat/>
    <w:uiPriority w:val="99"/>
    <w:rPr>
      <w:sz w:val="18"/>
      <w:szCs w:val="18"/>
    </w:rPr>
  </w:style>
  <w:style w:type="character" w:customStyle="1" w:styleId="31">
    <w:name w:val="标题 1 字符"/>
    <w:basedOn w:val="24"/>
    <w:link w:val="4"/>
    <w:qFormat/>
    <w:uiPriority w:val="9"/>
    <w:rPr>
      <w:rFonts w:eastAsia="方正小标宋简体"/>
      <w:bCs/>
      <w:kern w:val="44"/>
      <w:sz w:val="44"/>
      <w:szCs w:val="44"/>
    </w:rPr>
  </w:style>
  <w:style w:type="character" w:customStyle="1" w:styleId="32">
    <w:name w:val="标题 2 字符"/>
    <w:basedOn w:val="24"/>
    <w:link w:val="5"/>
    <w:qFormat/>
    <w:uiPriority w:val="9"/>
    <w:rPr>
      <w:rFonts w:eastAsia="方正小标宋简体" w:asciiTheme="majorHAnsi" w:hAnsiTheme="majorHAnsi" w:cstheme="majorBidi"/>
      <w:bCs/>
      <w:sz w:val="36"/>
      <w:szCs w:val="32"/>
    </w:rPr>
  </w:style>
  <w:style w:type="character" w:customStyle="1" w:styleId="33">
    <w:name w:val="标题 3 字符"/>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4"/>
    <w:link w:val="9"/>
    <w:semiHidden/>
    <w:qFormat/>
    <w:uiPriority w:val="99"/>
    <w:rPr>
      <w:sz w:val="16"/>
      <w:szCs w:val="16"/>
    </w:rPr>
  </w:style>
  <w:style w:type="character" w:customStyle="1" w:styleId="42">
    <w:name w:val="列出段落 字符"/>
    <w:link w:val="34"/>
    <w:qFormat/>
    <w:uiPriority w:val="34"/>
  </w:style>
  <w:style w:type="paragraph" w:customStyle="1" w:styleId="43">
    <w:name w:val="1"/>
    <w:basedOn w:val="1"/>
    <w:next w:val="13"/>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21864</Words>
  <Characters>23102</Characters>
  <Lines>196</Lines>
  <Paragraphs>55</Paragraphs>
  <TotalTime>1</TotalTime>
  <ScaleCrop>false</ScaleCrop>
  <LinksUpToDate>false</LinksUpToDate>
  <CharactersWithSpaces>25136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2022-04-29T08:15:00Z</dcterms:created>
  <dc:creator>陈义春</dc:creator>
  <cp:lastModifiedBy>林煜韩</cp:lastModifiedBy>
  <cp:lastPrinted>2022-05-21T02:58:00Z</cp:lastPrinted>
  <dcterms:modified xsi:type="dcterms:W3CDTF">2022-07-13T09:09:28Z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FAD1AEC7C5219FF097049F62C7001C1D</vt:lpwstr>
  </property>
</Properties>
</file>