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2022年</w:t>
      </w:r>
      <w:r>
        <w:rPr>
          <w:rFonts w:hint="eastAsia" w:ascii="宋体" w:hAnsi="宋体" w:eastAsia="宋体" w:cs="宋体"/>
          <w:b/>
          <w:bCs/>
          <w:color w:val="auto"/>
          <w:sz w:val="52"/>
          <w:szCs w:val="52"/>
          <w:highlight w:val="none"/>
        </w:rPr>
        <w:t>除臭</w:t>
      </w:r>
      <w:r>
        <w:rPr>
          <w:rFonts w:hint="eastAsia" w:ascii="宋体" w:hAnsi="宋体" w:eastAsia="宋体" w:cs="宋体"/>
          <w:b/>
          <w:bCs/>
          <w:color w:val="auto"/>
          <w:sz w:val="52"/>
          <w:szCs w:val="52"/>
          <w:highlight w:val="none"/>
          <w:lang w:val="en-US" w:eastAsia="zh-CN"/>
        </w:rPr>
        <w:t>设备</w:t>
      </w:r>
      <w:r>
        <w:rPr>
          <w:rFonts w:hint="eastAsia" w:ascii="宋体" w:hAnsi="宋体" w:eastAsia="宋体" w:cs="宋体"/>
          <w:b/>
          <w:bCs/>
          <w:color w:val="auto"/>
          <w:sz w:val="52"/>
          <w:szCs w:val="52"/>
          <w:highlight w:val="none"/>
        </w:rPr>
        <w:t>填料采购</w:t>
      </w:r>
      <w:r>
        <w:rPr>
          <w:rFonts w:hint="eastAsia" w:ascii="宋体" w:hAnsi="宋体" w:eastAsia="宋体" w:cs="宋体"/>
          <w:b/>
          <w:bCs/>
          <w:color w:val="auto"/>
          <w:sz w:val="52"/>
          <w:szCs w:val="52"/>
          <w:highlight w:val="none"/>
          <w:lang w:val="en-US" w:eastAsia="zh-CN"/>
        </w:rPr>
        <w:t>项目</w:t>
      </w: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二〇二二年六月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26148"/>
      <w:bookmarkStart w:id="1" w:name="_Toc18145"/>
    </w:p>
    <w:p>
      <w:pPr>
        <w:rPr>
          <w:rFonts w:ascii="宋体" w:hAnsi="宋体" w:eastAsia="宋体" w:cs="宋体"/>
          <w:color w:val="auto"/>
          <w:highlight w:val="none"/>
        </w:rPr>
      </w:pPr>
    </w:p>
    <w:p>
      <w:pPr>
        <w:rPr>
          <w:rFonts w:ascii="宋体" w:hAnsi="宋体" w:eastAsia="宋体" w:cs="宋体"/>
          <w:color w:val="auto"/>
          <w:highlight w:val="none"/>
        </w:rPr>
      </w:pPr>
      <w:bookmarkStart w:id="2" w:name="_Toc17696"/>
      <w:bookmarkStart w:id="3" w:name="_Toc1711"/>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4" w:name="_Toc11322"/>
      <w:bookmarkStart w:id="5" w:name="_Toc19609"/>
      <w:bookmarkStart w:id="6" w:name="_Toc1669"/>
      <w:bookmarkStart w:id="7" w:name="_Toc31938"/>
      <w:bookmarkStart w:id="8" w:name="_Toc17801"/>
      <w:bookmarkStart w:id="9" w:name="_Toc4275"/>
      <w:bookmarkStart w:id="10" w:name="_Toc7519"/>
    </w:p>
    <w:p>
      <w:pPr>
        <w:pStyle w:val="2"/>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1" w:name="_Toc10122"/>
      <w:bookmarkStart w:id="12" w:name="_Toc30131"/>
      <w:bookmarkStart w:id="13" w:name="_Toc999"/>
      <w:bookmarkStart w:id="14" w:name="_Toc88209924"/>
      <w:bookmarkStart w:id="15" w:name="_Toc26363"/>
      <w:bookmarkStart w:id="16" w:name="_Toc8201"/>
      <w:bookmarkStart w:id="17" w:name="_Toc15709"/>
      <w:bookmarkStart w:id="18" w:name="_Toc28995"/>
      <w:bookmarkStart w:id="19" w:name="_Toc5230"/>
      <w:bookmarkStart w:id="20" w:name="_Toc14238"/>
      <w:bookmarkStart w:id="21" w:name="_Toc2659"/>
      <w:bookmarkStart w:id="22" w:name="_Toc30989"/>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5"/>
        <w:spacing w:line="600" w:lineRule="exact"/>
        <w:rPr>
          <w:rFonts w:hint="eastAsia" w:ascii="宋体" w:hAnsi="宋体" w:eastAsia="宋体" w:cs="宋体"/>
          <w:color w:val="auto"/>
          <w:highlight w:val="none"/>
        </w:rPr>
      </w:pPr>
      <w:bookmarkStart w:id="23" w:name="_Toc9680"/>
      <w:bookmarkStart w:id="24" w:name="_Toc21373"/>
      <w:r>
        <w:rPr>
          <w:rFonts w:hint="eastAsia" w:ascii="宋体" w:hAnsi="宋体" w:eastAsia="宋体" w:cs="宋体"/>
          <w:color w:val="auto"/>
          <w:highlight w:val="none"/>
          <w:lang w:val="en-US" w:eastAsia="zh-CN"/>
        </w:rPr>
        <w:t>2022年</w:t>
      </w:r>
      <w:r>
        <w:rPr>
          <w:rFonts w:hint="eastAsia" w:ascii="宋体" w:hAnsi="宋体" w:eastAsia="宋体" w:cs="宋体"/>
          <w:color w:val="auto"/>
          <w:highlight w:val="none"/>
        </w:rPr>
        <w:t>除臭</w:t>
      </w:r>
      <w:r>
        <w:rPr>
          <w:rFonts w:hint="eastAsia" w:ascii="宋体" w:hAnsi="宋体" w:eastAsia="宋体" w:cs="宋体"/>
          <w:color w:val="auto"/>
          <w:highlight w:val="none"/>
          <w:lang w:val="en-US" w:eastAsia="zh-CN"/>
        </w:rPr>
        <w:t>设备</w:t>
      </w:r>
      <w:r>
        <w:rPr>
          <w:rFonts w:hint="eastAsia" w:ascii="宋体" w:hAnsi="宋体" w:eastAsia="宋体" w:cs="宋体"/>
          <w:color w:val="auto"/>
          <w:highlight w:val="none"/>
        </w:rPr>
        <w:t>填料采购</w:t>
      </w:r>
      <w:r>
        <w:rPr>
          <w:rFonts w:hint="eastAsia" w:ascii="宋体" w:hAnsi="宋体" w:eastAsia="宋体" w:cs="宋体"/>
          <w:color w:val="auto"/>
          <w:highlight w:val="none"/>
          <w:lang w:val="en-US" w:eastAsia="zh-CN"/>
        </w:rPr>
        <w:t>项目</w:t>
      </w:r>
    </w:p>
    <w:p>
      <w:pPr>
        <w:pStyle w:val="5"/>
        <w:spacing w:line="600" w:lineRule="exact"/>
        <w:rPr>
          <w:rFonts w:ascii="宋体" w:hAnsi="宋体" w:eastAsia="宋体" w:cs="宋体"/>
          <w:color w:val="auto"/>
          <w:highlight w:val="none"/>
        </w:rPr>
      </w:pP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2022年除臭设备填料采购项目</w:t>
      </w:r>
      <w:r>
        <w:rPr>
          <w:rFonts w:hint="eastAsia" w:ascii="宋体" w:hAnsi="宋体" w:eastAsia="宋体" w:cs="宋体"/>
          <w:color w:val="auto"/>
          <w:sz w:val="28"/>
          <w:szCs w:val="28"/>
          <w:highlight w:val="none"/>
        </w:rPr>
        <w:t>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w:t>
      </w:r>
      <w:r>
        <w:rPr>
          <w:rFonts w:hint="eastAsia" w:ascii="宋体" w:hAnsi="宋体" w:eastAsia="宋体" w:cs="宋体"/>
          <w:color w:val="auto"/>
          <w:sz w:val="28"/>
          <w:szCs w:val="28"/>
          <w:highlight w:val="none"/>
          <w:lang w:val="en-US" w:eastAsia="zh-CN"/>
        </w:rPr>
        <w:t>2022年除臭设备填料采购</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1.2项目编号：</w:t>
      </w:r>
      <w:r>
        <w:rPr>
          <w:rFonts w:hint="eastAsia" w:ascii="宋体" w:hAnsi="宋体" w:eastAsia="宋体" w:cs="宋体"/>
          <w:color w:val="auto"/>
          <w:sz w:val="28"/>
          <w:szCs w:val="28"/>
          <w:highlight w:val="none"/>
          <w:lang w:val="en-US" w:eastAsia="zh-CN"/>
        </w:rPr>
        <w:t>穗净水设备询[2022]004号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rPr>
        <w:t>9</w:t>
      </w:r>
      <w:r>
        <w:rPr>
          <w:rFonts w:hint="eastAsia" w:ascii="宋体" w:hAnsi="宋体" w:eastAsia="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0000.00元，其中不含税价为</w:t>
      </w:r>
      <w:r>
        <w:rPr>
          <w:rFonts w:hint="eastAsia" w:ascii="宋体" w:hAnsi="宋体" w:eastAsia="宋体" w:cs="宋体"/>
          <w:color w:val="auto"/>
          <w:sz w:val="28"/>
          <w:szCs w:val="28"/>
          <w:highlight w:val="none"/>
          <w:u w:val="single"/>
          <w:lang w:val="en-US" w:eastAsia="zh-CN"/>
        </w:rPr>
        <w:t>84.07</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4"/>
        <w:tblW w:w="9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845"/>
        <w:gridCol w:w="2355"/>
        <w:gridCol w:w="1338"/>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序号</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名称</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规格</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数量（m</w:t>
            </w:r>
            <w:r>
              <w:rPr>
                <w:rFonts w:hint="eastAsia" w:ascii="宋体" w:hAnsi="宋体" w:eastAsia="宋体" w:cs="宋体"/>
                <w:b/>
                <w:color w:val="auto"/>
                <w:kern w:val="0"/>
                <w:sz w:val="28"/>
                <w:szCs w:val="28"/>
                <w:highlight w:val="none"/>
                <w:vertAlign w:val="superscript"/>
                <w:lang w:bidi="ar"/>
              </w:rPr>
              <w:t>3</w:t>
            </w:r>
            <w:r>
              <w:rPr>
                <w:rFonts w:hint="eastAsia" w:ascii="宋体" w:hAnsi="宋体" w:eastAsia="宋体" w:cs="宋体"/>
                <w:b/>
                <w:color w:val="auto"/>
                <w:kern w:val="0"/>
                <w:sz w:val="28"/>
                <w:szCs w:val="28"/>
                <w:highlight w:val="none"/>
                <w:lang w:bidi="ar"/>
              </w:rPr>
              <w:t>）</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备注</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填料（猎德）</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炭基质生物填料</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130</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含新填料供货、回填，旧填料开挖、打包、处置。</w:t>
            </w:r>
          </w:p>
        </w:tc>
        <w:tc>
          <w:tcPr>
            <w:tcW w:w="1770" w:type="dxa"/>
            <w:vMerge w:val="restart"/>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Cs w:val="21"/>
                <w:highlight w:val="none"/>
                <w:lang w:bidi="ar"/>
              </w:rPr>
              <w:t>合同签订后45天内完成全部配件供货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2</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填料（石井净）</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炭基质生物填料</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850</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挖出及回填生物填料至原高度，总工程量为估算量，以实际为准</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3</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填料（大坦沙）</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1、补充生物填料投加</w:t>
            </w:r>
          </w:p>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2.除臭装置生物填料，市政臭气处理专用</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165</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含新填料供货、部分旧料外运处理</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4</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填料处理</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660</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含填料开挖、打包、回填</w:t>
            </w:r>
          </w:p>
        </w:tc>
        <w:tc>
          <w:tcPr>
            <w:tcW w:w="1770"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Cs w:val="21"/>
                <w:highlight w:val="none"/>
                <w:lang w:bidi="ar"/>
              </w:rPr>
            </w:pPr>
          </w:p>
        </w:tc>
      </w:tr>
    </w:tbl>
    <w:p>
      <w:pPr>
        <w:pStyle w:val="10"/>
        <w:ind w:firstLine="560" w:firstLineChars="200"/>
        <w:rPr>
          <w:rFonts w:ascii="宋体" w:hAnsi="宋体" w:eastAsia="宋体" w:cs="宋体"/>
          <w:color w:val="auto"/>
          <w:sz w:val="28"/>
          <w:szCs w:val="28"/>
          <w:highlight w:val="none"/>
        </w:rPr>
      </w:pP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45</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服从</w:t>
      </w:r>
      <w:r>
        <w:rPr>
          <w:rFonts w:hint="eastAsia" w:ascii="宋体" w:hAnsi="宋体" w:eastAsia="宋体" w:cs="宋体"/>
          <w:color w:val="auto"/>
          <w:sz w:val="28"/>
          <w:szCs w:val="28"/>
          <w:highlight w:val="none"/>
          <w:u w:val="single"/>
        </w:rPr>
        <w:t>广州城市水处理设备有限公司</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广州市净水有限公司</w:t>
      </w:r>
      <w:r>
        <w:rPr>
          <w:rFonts w:hint="eastAsia" w:ascii="宋体" w:hAnsi="宋体" w:eastAsia="宋体" w:cs="宋体"/>
          <w:color w:val="auto"/>
          <w:sz w:val="28"/>
          <w:szCs w:val="28"/>
          <w:highlight w:val="none"/>
          <w:u w:val="none"/>
          <w:lang w:val="en-US" w:eastAsia="zh-CN"/>
        </w:rPr>
        <w:t xml:space="preserve">的具体施工安排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w:t>
      </w:r>
      <w:r>
        <w:rPr>
          <w:rFonts w:hint="eastAsia" w:ascii="宋体" w:hAnsi="宋体" w:eastAsia="宋体" w:cs="宋体"/>
          <w:color w:val="auto"/>
          <w:sz w:val="28"/>
          <w:szCs w:val="28"/>
          <w:highlight w:val="none"/>
          <w:lang w:val="en-US" w:eastAsia="zh-CN"/>
        </w:rPr>
        <w:t>同类型产品</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）供应商需是本询价项目原除臭设备制造商或取得本询价项目原除臭设备制造商之一的授权的除臭系统制造单位，并承诺中选后所提供的产品必须与现有除臭设备的所有参数相匹配。（</w:t>
      </w:r>
      <w:r>
        <w:rPr>
          <w:rFonts w:hint="eastAsia" w:ascii="宋体" w:hAnsi="宋体" w:eastAsia="宋体" w:cs="宋体"/>
          <w:color w:val="auto"/>
          <w:sz w:val="28"/>
          <w:szCs w:val="28"/>
          <w:highlight w:val="none"/>
          <w:lang w:val="en-US" w:eastAsia="zh-CN"/>
        </w:rPr>
        <w:t>提交书面承诺书</w:t>
      </w:r>
      <w:r>
        <w:rPr>
          <w:rFonts w:hint="eastAsia" w:ascii="宋体" w:hAnsi="宋体" w:eastAsia="宋体" w:cs="宋体"/>
          <w:color w:val="auto"/>
          <w:sz w:val="28"/>
          <w:szCs w:val="28"/>
          <w:highlight w:val="none"/>
          <w:lang w:val="zh-CN"/>
        </w:rPr>
        <w:t>）</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）供应商需自行获取现有除臭设备相关参数/图纸/资料文件等信息。</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从2022年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日至2022年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6.1递交响应文件截止时间：2022年7月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日10时00分前（北京时间）。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净水有限公司</w:t>
      </w:r>
      <w:r>
        <w:rPr>
          <w:rFonts w:hint="eastAsia" w:ascii="宋体" w:hAnsi="宋体" w:eastAsia="宋体" w:cs="宋体"/>
          <w:color w:val="auto"/>
          <w:sz w:val="28"/>
          <w:szCs w:val="28"/>
          <w:highlight w:val="none"/>
        </w:rPr>
        <w:t>大坦沙净水厂。</w:t>
      </w:r>
    </w:p>
    <w:p>
      <w:pPr>
        <w:pStyle w:val="2"/>
        <w:ind w:firstLine="560" w:firstLineChars="200"/>
        <w:rPr>
          <w:rFonts w:hint="eastAsia" w:eastAsia="宋体" w:cs="宋体"/>
          <w:color w:val="auto"/>
          <w:highlight w:val="none"/>
          <w:lang w:eastAsia="zh-CN"/>
        </w:rPr>
      </w:pPr>
      <w:r>
        <w:rPr>
          <w:rFonts w:hint="eastAsia" w:eastAsia="宋体" w:cs="宋体"/>
          <w:color w:val="auto"/>
          <w:sz w:val="28"/>
          <w:szCs w:val="28"/>
          <w:highlight w:val="none"/>
        </w:rPr>
        <w:t>防疫要求：基于疫情防控形势，授权委托人须通过“广州净水公司”微信公众号（提前）预约，填写访客预约信息（包括：1.近14天内行程有异地中高风险地区及所在的地级市（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盟、州、直辖市的区）旅居史的来（返）穗人员拒绝来访；2.近14天行程内有异地本土疫情报告的地级市（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eastAsia="宋体" w:cs="宋体"/>
          <w:color w:val="auto"/>
          <w:sz w:val="28"/>
          <w:szCs w:val="28"/>
          <w:highlight w:val="none"/>
          <w:lang w:eastAsia="zh-CN"/>
        </w:rPr>
        <w:t>。</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val="en-US" w:eastAsia="zh-CN"/>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020-81761207</w:t>
      </w:r>
      <w:r>
        <w:rPr>
          <w:rFonts w:hint="eastAsia" w:ascii="宋体" w:hAnsi="宋体" w:eastAsia="宋体" w:cs="宋体"/>
          <w:color w:val="auto"/>
          <w:sz w:val="28"/>
          <w:szCs w:val="28"/>
          <w:highlight w:val="none"/>
        </w:rPr>
        <w:t>。</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
        <w:ind w:firstLine="0"/>
        <w:rPr>
          <w:rFonts w:hint="default" w:eastAsia="宋体" w:cs="宋体"/>
          <w:color w:val="auto"/>
          <w:sz w:val="28"/>
          <w:szCs w:val="28"/>
          <w:highlight w:val="none"/>
          <w:lang w:val="en-US" w:eastAsia="zh-CN"/>
        </w:rPr>
      </w:pPr>
      <w:r>
        <w:rPr>
          <w:rFonts w:hint="eastAsia" w:eastAsia="宋体" w:cs="宋体"/>
          <w:color w:val="auto"/>
          <w:sz w:val="28"/>
          <w:szCs w:val="28"/>
          <w:highlight w:val="none"/>
        </w:rPr>
        <w:t>电  话：1</w:t>
      </w:r>
      <w:r>
        <w:rPr>
          <w:rFonts w:hint="eastAsia" w:eastAsia="宋体" w:cs="宋体"/>
          <w:color w:val="auto"/>
          <w:sz w:val="28"/>
          <w:szCs w:val="28"/>
          <w:highlight w:val="none"/>
          <w:lang w:val="en-US" w:eastAsia="zh-CN"/>
        </w:rPr>
        <w:t>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2022年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eastAsia="宋体" w:cs="宋体"/>
          <w:color w:val="auto"/>
          <w:highlight w:val="none"/>
        </w:rPr>
      </w:pPr>
    </w:p>
    <w:p>
      <w:pPr>
        <w:pStyle w:val="4"/>
        <w:rPr>
          <w:rFonts w:ascii="宋体" w:hAnsi="宋体" w:eastAsia="宋体" w:cs="宋体"/>
          <w:color w:val="auto"/>
          <w:highlight w:val="none"/>
        </w:rPr>
      </w:pPr>
      <w:bookmarkStart w:id="26" w:name="_Toc2331"/>
      <w:bookmarkStart w:id="27" w:name="_Toc9448"/>
      <w:bookmarkStart w:id="28" w:name="_Toc16557"/>
      <w:bookmarkStart w:id="29" w:name="_Toc7340"/>
      <w:bookmarkStart w:id="30" w:name="_Toc16705"/>
      <w:bookmarkStart w:id="31" w:name="_Toc2324"/>
      <w:bookmarkStart w:id="32" w:name="_Toc25603"/>
      <w:bookmarkStart w:id="33" w:name="_Toc19295"/>
      <w:bookmarkStart w:id="34" w:name="_Toc23749"/>
      <w:bookmarkStart w:id="35" w:name="_Toc32588"/>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eastAsia="宋体" w:cs="宋体"/>
          <w:color w:val="auto"/>
          <w:highlight w:val="none"/>
        </w:rPr>
      </w:pPr>
    </w:p>
    <w:p>
      <w:pPr>
        <w:pStyle w:val="5"/>
        <w:rPr>
          <w:rFonts w:ascii="宋体" w:hAnsi="宋体" w:eastAsia="宋体" w:cs="宋体"/>
          <w:color w:val="auto"/>
          <w:highlight w:val="none"/>
        </w:rPr>
      </w:pPr>
      <w:bookmarkStart w:id="36" w:name="_Toc2339"/>
      <w:bookmarkStart w:id="37" w:name="_Toc3416"/>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2022年除臭设备填料采购项目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2022年除臭设备填料采购项目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color w:val="auto"/>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2022年除臭设备填料采购项目</w:t>
      </w:r>
      <w:r>
        <w:rPr>
          <w:rFonts w:hint="eastAsia" w:ascii="宋体" w:hAnsi="宋体" w:eastAsia="宋体" w:cs="宋体"/>
          <w:color w:val="auto"/>
          <w:sz w:val="28"/>
          <w:szCs w:val="28"/>
          <w:highlight w:val="none"/>
        </w:rPr>
        <w:t>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5"/>
        <w:rPr>
          <w:rFonts w:ascii="宋体" w:hAnsi="宋体" w:eastAsia="宋体" w:cs="宋体"/>
          <w:color w:val="auto"/>
          <w:kern w:val="44"/>
          <w:sz w:val="44"/>
          <w:szCs w:val="44"/>
          <w:highlight w:val="none"/>
        </w:rPr>
      </w:pPr>
      <w:bookmarkStart w:id="38" w:name="_Toc2867"/>
      <w:bookmarkStart w:id="39" w:name="_Toc21455"/>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5"/>
        <w:rPr>
          <w:rFonts w:ascii="宋体" w:hAnsi="宋体" w:eastAsia="宋体" w:cs="宋体"/>
          <w:color w:val="auto"/>
          <w:highlight w:val="none"/>
        </w:rPr>
      </w:pPr>
      <w:bookmarkStart w:id="40" w:name="_Toc87616371"/>
      <w:bookmarkStart w:id="41" w:name="_Toc7303"/>
      <w:bookmarkStart w:id="42" w:name="_Toc7040"/>
      <w:bookmarkStart w:id="43" w:name="_Toc88209934"/>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adjustRightInd w:val="0"/>
        <w:snapToGrid w:val="0"/>
        <w:spacing w:line="600" w:lineRule="exact"/>
        <w:jc w:val="left"/>
        <w:rPr>
          <w:rFonts w:hint="eastAsia"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询比地址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2"/>
        <w:rPr>
          <w:rFonts w:eastAsia="宋体" w:cs="宋体"/>
          <w:color w:val="auto"/>
          <w:sz w:val="28"/>
          <w:szCs w:val="28"/>
          <w:highlight w:val="none"/>
        </w:rPr>
      </w:pPr>
    </w:p>
    <w:p>
      <w:pPr>
        <w:pStyle w:val="4"/>
        <w:rPr>
          <w:rFonts w:ascii="宋体" w:hAnsi="宋体" w:eastAsia="宋体" w:cs="宋体"/>
          <w:color w:val="auto"/>
          <w:highlight w:val="none"/>
        </w:rPr>
      </w:pPr>
      <w:bookmarkStart w:id="44" w:name="_Toc20594"/>
      <w:bookmarkStart w:id="45" w:name="_Toc3156"/>
      <w:bookmarkStart w:id="46" w:name="_Toc19050"/>
      <w:bookmarkStart w:id="47" w:name="_Toc14870"/>
      <w:bookmarkStart w:id="48" w:name="_Toc7118"/>
      <w:bookmarkStart w:id="49" w:name="_Toc7437"/>
      <w:bookmarkStart w:id="50" w:name="_Toc14552"/>
      <w:bookmarkStart w:id="51" w:name="_Toc10930"/>
      <w:bookmarkStart w:id="52" w:name="_Toc4952"/>
      <w:bookmarkStart w:id="53" w:name="_Toc19759"/>
      <w:bookmarkStart w:id="54" w:name="_Toc23581"/>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55" w:name="_Toc7831"/>
      <w:bookmarkStart w:id="56" w:name="_Toc30530"/>
      <w:bookmarkStart w:id="57" w:name="_Toc87616378"/>
      <w:bookmarkStart w:id="58" w:name="_Toc29484"/>
      <w:bookmarkStart w:id="59" w:name="_Toc13898"/>
      <w:bookmarkStart w:id="60" w:name="_Toc21840"/>
      <w:bookmarkStart w:id="61" w:name="_Toc32607"/>
      <w:bookmarkStart w:id="62" w:name="_Toc22212"/>
      <w:bookmarkStart w:id="63" w:name="_Toc6308"/>
      <w:bookmarkStart w:id="64" w:name="_Toc21079"/>
      <w:bookmarkStart w:id="65" w:name="_Toc12177"/>
      <w:bookmarkStart w:id="66" w:name="_Toc29345"/>
      <w:bookmarkStart w:id="67" w:name="_Toc88209941"/>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3033"/>
      <w:bookmarkStart w:id="69" w:name="_Toc26826"/>
      <w:r>
        <w:rPr>
          <w:rFonts w:hint="eastAsia" w:ascii="宋体" w:hAnsi="宋体" w:eastAsia="宋体" w:cs="宋体"/>
          <w:color w:val="auto"/>
          <w:highlight w:val="none"/>
        </w:rPr>
        <w:br w:type="page"/>
      </w:r>
    </w:p>
    <w:p>
      <w:pPr>
        <w:pStyle w:val="5"/>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5"/>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
        <w:rPr>
          <w:rFonts w:eastAsia="宋体" w:cs="宋体"/>
          <w:color w:val="auto"/>
          <w:szCs w:val="44"/>
          <w:highlight w:val="none"/>
        </w:rPr>
      </w:pPr>
    </w:p>
    <w:p>
      <w:pPr>
        <w:pStyle w:val="2"/>
        <w:rPr>
          <w:rFonts w:eastAsia="宋体" w:cs="宋体"/>
          <w:color w:val="auto"/>
          <w:szCs w:val="44"/>
          <w:highlight w:val="none"/>
        </w:rPr>
      </w:pPr>
    </w:p>
    <w:p>
      <w:pPr>
        <w:pStyle w:val="2"/>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3"/>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我司承接的除臭装置维修需采购填料，采购内容及和范围见第一部分。</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各除臭设备的原制造商为：</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大坦沙、猎德净水厂：广东省南方环保生物科技有限公司；石井净水分公司：杭州楚天科技有限公司。</w:t>
      </w:r>
    </w:p>
    <w:p>
      <w:pPr>
        <w:pStyle w:val="13"/>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供应商所供填料材质选用无机及有机复合填料，单位体积填料H</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S负荷&lt;5g/m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.h，</w:t>
      </w:r>
      <w:r>
        <w:rPr>
          <w:color w:val="auto"/>
          <w:sz w:val="24"/>
          <w:szCs w:val="24"/>
          <w:highlight w:val="none"/>
        </w:rPr>
        <w:t>复合填料比表面积大于400m</w:t>
      </w:r>
      <w:r>
        <w:rPr>
          <w:color w:val="auto"/>
          <w:sz w:val="24"/>
          <w:szCs w:val="24"/>
          <w:highlight w:val="none"/>
          <w:vertAlign w:val="superscript"/>
        </w:rPr>
        <w:t>2</w:t>
      </w:r>
      <w:r>
        <w:rPr>
          <w:color w:val="auto"/>
          <w:sz w:val="24"/>
          <w:szCs w:val="24"/>
          <w:highlight w:val="none"/>
        </w:rPr>
        <w:t>/g，能提供比表面积证明材料</w:t>
      </w:r>
      <w:r>
        <w:rPr>
          <w:rFonts w:hint="eastAsia" w:ascii="宋体" w:hAnsi="宋体" w:eastAsia="宋体" w:cs="宋体"/>
          <w:color w:val="auto"/>
          <w:sz w:val="24"/>
          <w:szCs w:val="24"/>
          <w:highlight w:val="none"/>
        </w:rPr>
        <w:t>；其中：有机填料不易腐烂、</w:t>
      </w:r>
      <w:r>
        <w:rPr>
          <w:color w:val="auto"/>
          <w:sz w:val="24"/>
          <w:szCs w:val="24"/>
          <w:highlight w:val="none"/>
        </w:rPr>
        <w:t>且有良好的吸附功能，确保微生物的生长</w:t>
      </w:r>
      <w:r>
        <w:rPr>
          <w:rFonts w:hint="eastAsia"/>
          <w:color w:val="auto"/>
          <w:sz w:val="24"/>
          <w:szCs w:val="24"/>
          <w:highlight w:val="none"/>
        </w:rPr>
        <w:t>环境；</w:t>
      </w:r>
      <w:r>
        <w:rPr>
          <w:rFonts w:hint="eastAsia" w:ascii="宋体" w:hAnsi="宋体" w:eastAsia="宋体" w:cs="宋体"/>
          <w:color w:val="auto"/>
          <w:sz w:val="24"/>
          <w:szCs w:val="24"/>
          <w:highlight w:val="none"/>
        </w:rPr>
        <w:t>无机填料表面营养层BET比表面积大于120m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/g，全颗粒比表面积大于30 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/g</w:t>
      </w:r>
      <w:r>
        <w:rPr>
          <w:rFonts w:hint="eastAsia" w:ascii="宋体" w:hAnsi="宋体" w:eastAsia="宋体" w:cs="宋体"/>
          <w:color w:val="auto"/>
          <w:sz w:val="24"/>
          <w:szCs w:val="24"/>
          <w:highlight w:val="none"/>
          <w:lang w:eastAsia="zh-CN"/>
        </w:rPr>
        <w:t>。</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供应商须提供具有CMA检测检验机构资质认证的第三方检测报告；</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填料层结构稳定，抗酸碱腐蚀性好、耐压实。</w:t>
      </w:r>
    </w:p>
    <w:p>
      <w:pPr>
        <w:pStyle w:val="37"/>
        <w:numPr>
          <w:ilvl w:val="0"/>
          <w:numId w:val="6"/>
        </w:numPr>
        <w:adjustRightInd w:val="0"/>
        <w:snapToGrid w:val="0"/>
        <w:spacing w:line="360" w:lineRule="auto"/>
        <w:ind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填料能防板结、过滤阻力小、机械强度高、化学性质稳定、持水能力强、微生物易附着；</w:t>
      </w:r>
    </w:p>
    <w:p>
      <w:pPr>
        <w:pStyle w:val="37"/>
        <w:numPr>
          <w:ilvl w:val="0"/>
          <w:numId w:val="6"/>
        </w:numPr>
        <w:adjustRightInd w:val="0"/>
        <w:snapToGrid w:val="0"/>
        <w:spacing w:line="360" w:lineRule="auto"/>
        <w:ind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生物填料本身应具备耐酸碱和调节酸碱的功能，需另外添加调节溶液的方案将不被接受；</w:t>
      </w:r>
    </w:p>
    <w:p>
      <w:pPr>
        <w:pStyle w:val="37"/>
        <w:numPr>
          <w:ilvl w:val="0"/>
          <w:numId w:val="6"/>
        </w:numPr>
        <w:adjustRightInd w:val="0"/>
        <w:snapToGrid w:val="0"/>
        <w:spacing w:line="360" w:lineRule="auto"/>
        <w:ind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填料要具有良好的保湿性和透气性，要求载体表面为亲水性，不可连续喷淋散水。抗强酸耐腐蚀、无压密。通风抵抗小，正常运行状况下，阻抗小于400pa/m。整塔风阻小于800pa。</w:t>
      </w:r>
    </w:p>
    <w:p>
      <w:pPr>
        <w:pStyle w:val="37"/>
        <w:numPr>
          <w:ilvl w:val="0"/>
          <w:numId w:val="6"/>
        </w:numPr>
        <w:adjustRightInd w:val="0"/>
        <w:snapToGrid w:val="0"/>
        <w:spacing w:line="360" w:lineRule="auto"/>
        <w:ind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设备商所供填料在正常运行过程中需不断补充营养液以维持生物生长的方案将不被接受，臭气处理过程中无需投加营养液。</w:t>
      </w:r>
    </w:p>
    <w:p>
      <w:pPr>
        <w:pStyle w:val="13"/>
        <w:numPr>
          <w:ilvl w:val="0"/>
          <w:numId w:val="5"/>
        </w:numPr>
        <w:adjustRightInd w:val="0"/>
        <w:snapToGrid w:val="0"/>
        <w:spacing w:line="300" w:lineRule="auto"/>
        <w:ind w:firstLineChars="0"/>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t>其他要求</w:t>
      </w:r>
    </w:p>
    <w:p>
      <w:pPr>
        <w:pStyle w:val="37"/>
        <w:numPr>
          <w:ilvl w:val="-1"/>
          <w:numId w:val="0"/>
        </w:numPr>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    采购人</w:t>
      </w:r>
      <w:r>
        <w:rPr>
          <w:rFonts w:hint="eastAsia" w:ascii="宋体" w:hAnsi="宋体" w:eastAsia="宋体" w:cs="宋体"/>
          <w:color w:val="auto"/>
          <w:sz w:val="24"/>
          <w:szCs w:val="24"/>
          <w:highlight w:val="none"/>
          <w:lang w:val="zh-CN" w:eastAsia="zh-CN"/>
        </w:rPr>
        <w:t>遇到使用技术问题，电话咨询不能解决的，</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小时内到达现场进行处理，确保产品正常工作；无法在2小时内解决的，应该在24小时内提供设备备用配件，使询价人能够正常使用。（报价时须出具承诺函并盖公章）</w:t>
      </w:r>
    </w:p>
    <w:p>
      <w:pPr>
        <w:ind w:firstLine="560" w:firstLineChars="200"/>
        <w:rPr>
          <w:rFonts w:ascii="宋体" w:hAnsi="宋体" w:eastAsia="宋体" w:cs="宋体"/>
          <w:b/>
          <w:bCs/>
          <w:color w:val="auto"/>
          <w:sz w:val="28"/>
          <w:szCs w:val="28"/>
          <w:highlight w:val="none"/>
        </w:rPr>
      </w:pPr>
    </w:p>
    <w:p>
      <w:pPr>
        <w:pStyle w:val="13"/>
        <w:keepNext w:val="0"/>
        <w:keepLines w:val="0"/>
        <w:widowControl/>
        <w:numPr>
          <w:ilvl w:val="0"/>
          <w:numId w:val="5"/>
        </w:numPr>
        <w:suppressLineNumbers w:val="0"/>
        <w:spacing w:line="300" w:lineRule="auto"/>
        <w:ind w:left="0" w:firstLine="0"/>
        <w:rPr>
          <w:rFonts w:hint="eastAsia" w:ascii="宋体" w:hAnsi="宋体" w:eastAsia="宋体" w:cs="宋体"/>
          <w:b/>
          <w:i w:val="0"/>
          <w:caps w:val="0"/>
          <w:color w:val="auto"/>
          <w:spacing w:val="0"/>
          <w:sz w:val="28"/>
          <w:szCs w:val="28"/>
          <w:highlight w:val="none"/>
          <w:lang w:val="zh-CN"/>
        </w:rPr>
      </w:pPr>
      <w:r>
        <w:rPr>
          <w:rFonts w:hint="eastAsia" w:ascii="宋体" w:hAnsi="宋体" w:eastAsia="宋体" w:cs="宋体"/>
          <w:b/>
          <w:i w:val="0"/>
          <w:caps w:val="0"/>
          <w:color w:val="auto"/>
          <w:spacing w:val="0"/>
          <w:sz w:val="28"/>
          <w:szCs w:val="28"/>
          <w:highlight w:val="none"/>
          <w:lang w:val="zh-CN"/>
        </w:rPr>
        <w:t>项目商务要求</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及保管、保险：</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包装须符合同等相关标准，因包装不良造成的损失由报价人负责。</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送到现场过程中的全部运输，包括装卸车、货物现场的搬运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bidi w:val="0"/>
        <w:adjustRightInd w:val="0"/>
        <w:snapToGrid w:val="0"/>
        <w:spacing w:line="360" w:lineRule="auto"/>
        <w:ind w:left="420" w:lef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合同签订后45天内到货</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广州城市水处理设备有限公司指定位置。（具体位置供货前由广州城市水处理设备有限公司通知）</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val="en-US" w:eastAsia="zh-CN"/>
        </w:rPr>
        <w:t>货物为原装未拆封或未使用的产品</w:t>
      </w:r>
      <w:r>
        <w:rPr>
          <w:rFonts w:hint="eastAsia" w:ascii="宋体" w:hAnsi="宋体" w:eastAsia="宋体" w:cs="宋体"/>
          <w:color w:val="auto"/>
          <w:sz w:val="24"/>
          <w:szCs w:val="24"/>
          <w:highlight w:val="none"/>
          <w:lang w:eastAsia="zh-CN"/>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）货物在质保期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为自供货验收合格之日起1年内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如有质量问题</w:t>
      </w:r>
      <w:r>
        <w:rPr>
          <w:rFonts w:hint="eastAsia" w:ascii="宋体" w:hAnsi="宋体" w:eastAsia="宋体" w:cs="宋体"/>
          <w:color w:val="auto"/>
          <w:sz w:val="24"/>
          <w:szCs w:val="24"/>
          <w:highlight w:val="none"/>
          <w:lang w:val="en-US" w:eastAsia="zh-CN"/>
        </w:rPr>
        <w:t>或未能适配原有设备</w:t>
      </w:r>
      <w:r>
        <w:rPr>
          <w:rFonts w:hint="eastAsia" w:ascii="宋体" w:hAnsi="宋体" w:eastAsia="宋体" w:cs="宋体"/>
          <w:color w:val="auto"/>
          <w:sz w:val="24"/>
          <w:szCs w:val="24"/>
          <w:highlight w:val="none"/>
        </w:rPr>
        <w:t>时，报价人必须</w:t>
      </w:r>
      <w:r>
        <w:rPr>
          <w:rFonts w:hint="eastAsia" w:ascii="宋体" w:hAnsi="宋体" w:eastAsia="宋体" w:cs="宋体"/>
          <w:color w:val="auto"/>
          <w:sz w:val="24"/>
          <w:szCs w:val="24"/>
          <w:highlight w:val="none"/>
          <w:lang w:val="en-US" w:eastAsia="zh-CN"/>
        </w:rPr>
        <w:t>2小时内派技术人员到现场免费进行维修</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w:t>
      </w:r>
      <w:r>
        <w:rPr>
          <w:rFonts w:hint="eastAsia" w:ascii="宋体" w:hAnsi="宋体" w:eastAsia="宋体" w:cs="宋体"/>
          <w:color w:val="auto"/>
          <w:sz w:val="24"/>
          <w:szCs w:val="24"/>
          <w:highlight w:val="none"/>
          <w:lang w:eastAsia="zh-CN"/>
        </w:rPr>
        <w:t>、分包</w:t>
      </w:r>
      <w:r>
        <w:rPr>
          <w:rFonts w:hint="eastAsia" w:ascii="宋体" w:hAnsi="宋体" w:eastAsia="宋体" w:cs="宋体"/>
          <w:color w:val="auto"/>
          <w:sz w:val="24"/>
          <w:szCs w:val="24"/>
          <w:highlight w:val="none"/>
        </w:rPr>
        <w:t>。否则，甲方有权单方面终止合同，</w:t>
      </w:r>
      <w:r>
        <w:rPr>
          <w:rFonts w:hint="eastAsia" w:ascii="宋体" w:hAnsi="宋体" w:eastAsia="宋体" w:cs="宋体"/>
          <w:color w:val="auto"/>
          <w:sz w:val="24"/>
          <w:szCs w:val="24"/>
          <w:highlight w:val="none"/>
          <w:lang w:val="en-US" w:eastAsia="zh-CN"/>
        </w:rPr>
        <w:t>拒收其货物</w:t>
      </w:r>
      <w:r>
        <w:rPr>
          <w:rFonts w:hint="eastAsia" w:ascii="宋体" w:hAnsi="宋体" w:eastAsia="宋体" w:cs="宋体"/>
          <w:color w:val="auto"/>
          <w:sz w:val="24"/>
          <w:szCs w:val="24"/>
          <w:highlight w:val="none"/>
        </w:rPr>
        <w:t>，由此而造成的经济损失由乙方负责赔偿。</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.付款方式：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w:t>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rPr>
        <w:t>银行汇票形式。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w:t>
      </w:r>
      <w:r>
        <w:rPr>
          <w:rFonts w:hint="eastAsia" w:ascii="宋体" w:hAnsi="宋体" w:eastAsia="宋体" w:cs="宋体"/>
          <w:color w:val="auto"/>
          <w:sz w:val="24"/>
          <w:szCs w:val="24"/>
          <w:highlight w:val="none"/>
          <w:lang w:val="en-US" w:eastAsia="zh-CN"/>
        </w:rPr>
        <w:t>需求单位</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单价包干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pPr>
        <w:pStyle w:val="2"/>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71" w:name="_Toc4680"/>
      <w:bookmarkStart w:id="72" w:name="_Toc25925"/>
      <w:bookmarkStart w:id="73" w:name="_Toc537"/>
      <w:bookmarkStart w:id="74" w:name="_Toc1496"/>
      <w:bookmarkStart w:id="75" w:name="_Toc23353"/>
      <w:bookmarkStart w:id="76" w:name="_Toc23330"/>
      <w:bookmarkStart w:id="77" w:name="_Toc18538"/>
      <w:bookmarkStart w:id="78" w:name="_Toc1284"/>
      <w:bookmarkStart w:id="79" w:name="_Toc29835"/>
      <w:bookmarkStart w:id="80" w:name="_Toc15570"/>
      <w:bookmarkStart w:id="81" w:name="_Toc12135"/>
    </w:p>
    <w:p>
      <w:pPr>
        <w:pStyle w:val="4"/>
        <w:rPr>
          <w:rFonts w:hint="eastAsia"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82" w:name="_Toc13309"/>
      <w:bookmarkStart w:id="83" w:name="_Toc88209949"/>
      <w:bookmarkStart w:id="84" w:name="_Toc87616386"/>
      <w:bookmarkStart w:id="85" w:name="_Toc22797"/>
      <w:bookmarkStart w:id="86" w:name="_Toc12980"/>
      <w:bookmarkStart w:id="87" w:name="_Toc12721"/>
      <w:bookmarkStart w:id="88" w:name="_Toc323"/>
      <w:bookmarkStart w:id="89" w:name="_Toc12968"/>
      <w:bookmarkStart w:id="90" w:name="_Toc19088"/>
      <w:bookmarkStart w:id="91" w:name="_Toc8183"/>
      <w:bookmarkStart w:id="92" w:name="_Toc22501"/>
      <w:bookmarkStart w:id="93" w:name="_Toc1375"/>
      <w:bookmarkStart w:id="94" w:name="_Toc19686"/>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
        <w:rPr>
          <w:rFonts w:eastAsia="宋体" w:cs="宋体"/>
          <w:color w:val="auto"/>
          <w:highlight w:val="none"/>
        </w:rPr>
      </w:pPr>
    </w:p>
    <w:p>
      <w:pPr>
        <w:spacing w:line="400" w:lineRule="atLeast"/>
        <w:jc w:val="center"/>
        <w:rPr>
          <w:rFonts w:ascii="宋体" w:hAnsi="宋体" w:eastAsia="宋体" w:cs="宋体"/>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color w:val="auto"/>
          <w:sz w:val="48"/>
          <w:szCs w:val="48"/>
          <w:highlight w:val="none"/>
          <w14:shadow w14:blurRad="50800" w14:dist="38100" w14:dir="2700000" w14:sx="100000" w14:sy="100000" w14:kx="0" w14:ky="0" w14:algn="tl">
            <w14:srgbClr w14:val="000000">
              <w14:alpha w14:val="60000"/>
            </w14:srgbClr>
          </w14:shadow>
        </w:rPr>
        <w:t xml:space="preserve"> 货物采购合同</w:t>
      </w:r>
    </w:p>
    <w:p>
      <w:pPr>
        <w:jc w:val="center"/>
        <w:rPr>
          <w:rFonts w:ascii="宋体" w:hAnsi="宋体" w:eastAsia="宋体" w:cs="宋体"/>
          <w:color w:val="auto"/>
          <w:sz w:val="30"/>
          <w:highlight w:val="none"/>
        </w:rPr>
      </w:pPr>
    </w:p>
    <w:p>
      <w:pPr>
        <w:rPr>
          <w:rFonts w:ascii="宋体" w:hAnsi="宋体" w:eastAsia="宋体" w:cs="宋体"/>
          <w:b/>
          <w:bCs/>
          <w:color w:val="auto"/>
          <w:sz w:val="30"/>
          <w:highlight w:val="none"/>
        </w:rPr>
      </w:pPr>
    </w:p>
    <w:p>
      <w:pPr>
        <w:spacing w:line="480" w:lineRule="auto"/>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项目名称：</w:t>
      </w:r>
      <w:r>
        <w:rPr>
          <w:rFonts w:hint="eastAsia" w:ascii="宋体" w:hAnsi="宋体" w:eastAsia="宋体" w:cs="宋体"/>
          <w:b/>
          <w:bCs/>
          <w:color w:val="auto"/>
          <w:sz w:val="30"/>
          <w:highlight w:val="none"/>
          <w:lang w:val="en-US" w:eastAsia="zh-CN"/>
        </w:rPr>
        <w:t>2022年除臭设备填料采购项目</w:t>
      </w:r>
    </w:p>
    <w:p>
      <w:pPr>
        <w:spacing w:line="480" w:lineRule="auto"/>
        <w:rPr>
          <w:rFonts w:ascii="宋体" w:hAnsi="宋体" w:eastAsia="宋体" w:cs="宋体"/>
          <w:b/>
          <w:bCs/>
          <w:color w:val="auto"/>
          <w:sz w:val="30"/>
          <w:highlight w:val="none"/>
        </w:rPr>
      </w:pP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项目编号：</w:t>
      </w:r>
    </w:p>
    <w:p>
      <w:pPr>
        <w:spacing w:line="480" w:lineRule="auto"/>
        <w:rPr>
          <w:rFonts w:ascii="宋体" w:hAnsi="宋体" w:eastAsia="宋体" w:cs="宋体"/>
          <w:b/>
          <w:bCs/>
          <w:color w:val="auto"/>
          <w:sz w:val="30"/>
          <w:highlight w:val="none"/>
        </w:rPr>
      </w:pP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合同编号：</w:t>
      </w:r>
    </w:p>
    <w:p>
      <w:pPr>
        <w:pStyle w:val="2"/>
        <w:rPr>
          <w:rFonts w:eastAsia="宋体" w:cs="宋体"/>
          <w:color w:val="auto"/>
          <w:highlight w:val="none"/>
        </w:rPr>
      </w:pP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甲方（买方）：广州城市水处理设备有限公司</w:t>
      </w: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乙方（卖方）：</w:t>
      </w:r>
      <w:r>
        <w:rPr>
          <w:rFonts w:hint="eastAsia" w:ascii="宋体" w:hAnsi="宋体" w:eastAsia="宋体" w:cs="宋体"/>
          <w:b/>
          <w:bCs/>
          <w:color w:val="auto"/>
          <w:sz w:val="30"/>
          <w:highlight w:val="none"/>
          <w:u w:val="single"/>
        </w:rPr>
        <w:t xml:space="preserve">                                          </w:t>
      </w:r>
      <w:r>
        <w:rPr>
          <w:rFonts w:hint="eastAsia" w:ascii="宋体" w:hAnsi="宋体" w:eastAsia="宋体" w:cs="宋体"/>
          <w:b/>
          <w:bCs/>
          <w:color w:val="auto"/>
          <w:sz w:val="30"/>
          <w:highlight w:val="none"/>
        </w:rPr>
        <w:t xml:space="preserve"> </w:t>
      </w: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签订日期：    年  月  日</w:t>
      </w: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签约地点：广州市</w:t>
      </w:r>
    </w:p>
    <w:p>
      <w:pPr>
        <w:rPr>
          <w:rFonts w:ascii="宋体" w:hAnsi="宋体" w:eastAsia="宋体" w:cs="宋体"/>
          <w:color w:val="auto"/>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广州城市水处理设备有限公司</w:t>
      </w:r>
      <w:r>
        <w:rPr>
          <w:rFonts w:hint="eastAsia" w:ascii="宋体" w:hAnsi="宋体" w:eastAsia="宋体" w:cs="宋体"/>
          <w:color w:val="auto"/>
          <w:sz w:val="24"/>
          <w:szCs w:val="24"/>
          <w:highlight w:val="none"/>
        </w:rPr>
        <w:t xml:space="preserve"> （以下简称“甲方”）与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（以下简称“乙方”）就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采购事宜，遵循平等、自愿、公平和诚实信用的原则，双方协商一致，订立本合同。 </w:t>
      </w:r>
    </w:p>
    <w:p>
      <w:pPr>
        <w:pStyle w:val="10"/>
        <w:tabs>
          <w:tab w:val="left" w:pos="720"/>
        </w:tabs>
        <w:spacing w:line="44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pStyle w:val="10"/>
        <w:tabs>
          <w:tab w:val="left" w:pos="720"/>
        </w:tabs>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⑴ 在本合同实施过程双方签署的补充与修正文件；</w:t>
      </w:r>
    </w:p>
    <w:p>
      <w:pPr>
        <w:spacing w:line="320" w:lineRule="exact"/>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⑵ 本合同书；</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⑶ 发包通知书；</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⑷ 询价文件；</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⑸ 响应文件；</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⑹ 标准、规范及有关技术性文件；</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⑺ 图纸；</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⑻ 工程量清单/</w:t>
      </w:r>
      <w:r>
        <w:rPr>
          <w:rFonts w:hint="eastAsia" w:ascii="宋体" w:hAnsi="宋体" w:eastAsia="宋体" w:cs="宋体"/>
          <w:color w:val="auto"/>
          <w:sz w:val="24"/>
          <w:highlight w:val="none"/>
        </w:rPr>
        <w:t>工程报价单或预算书</w:t>
      </w:r>
    </w:p>
    <w:p>
      <w:pPr>
        <w:numPr>
          <w:ilvl w:val="255"/>
          <w:numId w:val="0"/>
        </w:numPr>
        <w:spacing w:line="320" w:lineRule="exact"/>
        <w:ind w:firstLine="480" w:firstLineChars="200"/>
        <w:rPr>
          <w:rFonts w:ascii="宋体" w:hAnsi="宋体" w:eastAsia="宋体" w:cs="宋体"/>
          <w:b/>
          <w:color w:val="auto"/>
          <w:sz w:val="24"/>
          <w:szCs w:val="24"/>
          <w:highlight w:val="none"/>
        </w:rPr>
      </w:pPr>
      <w:r>
        <w:rPr>
          <w:rFonts w:hint="eastAsia" w:ascii="宋体" w:hAnsi="宋体" w:eastAsia="宋体" w:cs="宋体"/>
          <w:bCs/>
          <w:color w:val="auto"/>
          <w:sz w:val="24"/>
          <w:highlight w:val="none"/>
        </w:rPr>
        <w:t>⑼ 本合同其他附件；</w:t>
      </w:r>
    </w:p>
    <w:p>
      <w:pPr>
        <w:numPr>
          <w:ilvl w:val="255"/>
          <w:numId w:val="0"/>
        </w:numPr>
        <w:adjustRightInd w:val="0"/>
        <w:snapToGrid w:val="0"/>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合同标的</w:t>
      </w:r>
    </w:p>
    <w:tbl>
      <w:tblPr>
        <w:tblStyle w:val="24"/>
        <w:tblW w:w="0" w:type="auto"/>
        <w:jc w:val="center"/>
        <w:tblLayout w:type="fixed"/>
        <w:tblCellMar>
          <w:top w:w="0" w:type="dxa"/>
          <w:left w:w="108" w:type="dxa"/>
          <w:bottom w:w="0" w:type="dxa"/>
          <w:right w:w="108" w:type="dxa"/>
        </w:tblCellMar>
      </w:tblPr>
      <w:tblGrid>
        <w:gridCol w:w="548"/>
        <w:gridCol w:w="1531"/>
        <w:gridCol w:w="1078"/>
        <w:gridCol w:w="477"/>
        <w:gridCol w:w="588"/>
        <w:gridCol w:w="799"/>
        <w:gridCol w:w="1065"/>
        <w:gridCol w:w="840"/>
        <w:gridCol w:w="946"/>
        <w:gridCol w:w="1159"/>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序号</w:t>
            </w:r>
          </w:p>
        </w:tc>
        <w:tc>
          <w:tcPr>
            <w:tcW w:w="1531"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名称</w:t>
            </w:r>
          </w:p>
        </w:tc>
        <w:tc>
          <w:tcPr>
            <w:tcW w:w="10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生产厂家及</w:t>
            </w:r>
            <w:r>
              <w:rPr>
                <w:rFonts w:hint="eastAsia" w:ascii="宋体" w:hAnsi="宋体" w:eastAsia="宋体" w:cs="宋体"/>
                <w:color w:val="auto"/>
                <w:kern w:val="0"/>
                <w:sz w:val="24"/>
                <w:szCs w:val="24"/>
                <w:highlight w:val="none"/>
              </w:rPr>
              <w:t>型号</w:t>
            </w:r>
          </w:p>
        </w:tc>
        <w:tc>
          <w:tcPr>
            <w:tcW w:w="477"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单位</w:t>
            </w:r>
          </w:p>
        </w:tc>
        <w:tc>
          <w:tcPr>
            <w:tcW w:w="5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1531"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10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477"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5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1</w:t>
            </w:r>
          </w:p>
        </w:tc>
        <w:tc>
          <w:tcPr>
            <w:tcW w:w="1531"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bidi="ar"/>
              </w:rPr>
              <w:t>填料（猎德）</w:t>
            </w:r>
          </w:p>
        </w:tc>
        <w:tc>
          <w:tcPr>
            <w:tcW w:w="10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p>
        </w:tc>
        <w:tc>
          <w:tcPr>
            <w:tcW w:w="4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58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bidi="ar"/>
              </w:rPr>
              <w:t>130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2</w:t>
            </w:r>
          </w:p>
        </w:tc>
        <w:tc>
          <w:tcPr>
            <w:tcW w:w="1531"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bidi="ar"/>
              </w:rPr>
              <w:t>填料（石井净）</w:t>
            </w:r>
          </w:p>
        </w:tc>
        <w:tc>
          <w:tcPr>
            <w:tcW w:w="10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p>
        </w:tc>
        <w:tc>
          <w:tcPr>
            <w:tcW w:w="4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58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bidi="ar"/>
              </w:rPr>
              <w:t>850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w:t>
            </w:r>
          </w:p>
        </w:tc>
        <w:tc>
          <w:tcPr>
            <w:tcW w:w="1531"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bidi="ar"/>
              </w:rPr>
              <w:t>填料（大坦沙）</w:t>
            </w:r>
          </w:p>
        </w:tc>
        <w:tc>
          <w:tcPr>
            <w:tcW w:w="10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p>
        </w:tc>
        <w:tc>
          <w:tcPr>
            <w:tcW w:w="4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58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bidi="ar"/>
              </w:rPr>
              <w:t>165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w:t>
            </w:r>
          </w:p>
        </w:tc>
        <w:tc>
          <w:tcPr>
            <w:tcW w:w="1531"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bidi="ar"/>
              </w:rPr>
              <w:t>填料处理</w:t>
            </w:r>
          </w:p>
        </w:tc>
        <w:tc>
          <w:tcPr>
            <w:tcW w:w="10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p>
        </w:tc>
        <w:tc>
          <w:tcPr>
            <w:tcW w:w="4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58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bidi="ar"/>
              </w:rPr>
              <w:t>660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 xml:space="preserve">   元（含税13%）</w:t>
            </w:r>
          </w:p>
        </w:tc>
      </w:tr>
    </w:tbl>
    <w:p>
      <w:pPr>
        <w:spacing w:after="120" w:line="460" w:lineRule="exac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其他</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zh-CN"/>
        </w:rPr>
        <w:t>需求见附件（如</w:t>
      </w:r>
      <w:r>
        <w:rPr>
          <w:rFonts w:hint="eastAsia" w:ascii="宋体" w:hAnsi="宋体" w:eastAsia="宋体" w:cs="宋体"/>
          <w:color w:val="auto"/>
          <w:kern w:val="0"/>
          <w:sz w:val="24"/>
          <w:szCs w:val="24"/>
          <w:highlight w:val="none"/>
        </w:rPr>
        <w:t>有</w:t>
      </w:r>
      <w:r>
        <w:rPr>
          <w:rFonts w:hint="eastAsia" w:ascii="宋体" w:hAnsi="宋体" w:eastAsia="宋体" w:cs="宋体"/>
          <w:color w:val="auto"/>
          <w:kern w:val="0"/>
          <w:sz w:val="24"/>
          <w:szCs w:val="24"/>
          <w:highlight w:val="none"/>
          <w:lang w:val="zh-CN"/>
        </w:rPr>
        <w:t>）。</w:t>
      </w:r>
    </w:p>
    <w:p>
      <w:pPr>
        <w:adjustRightInd w:val="0"/>
        <w:snapToGrid w:val="0"/>
        <w:spacing w:line="460" w:lineRule="exact"/>
        <w:ind w:firstLine="482" w:firstLineChars="200"/>
        <w:rPr>
          <w:rFonts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第三条 交货日期及地点</w:t>
      </w:r>
    </w:p>
    <w:p>
      <w:pPr>
        <w:pStyle w:val="2"/>
        <w:rPr>
          <w:rFonts w:eastAsia="宋体" w:cs="宋体"/>
          <w:color w:val="auto"/>
          <w:highlight w:val="none"/>
          <w:lang w:val="zh-CN"/>
        </w:rPr>
      </w:pP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3.1乙方按以下第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种供货期供货。</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(1)合同生效之日起</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rPr>
        <w:t>日内到货，并</w:t>
      </w:r>
      <w:r>
        <w:rPr>
          <w:rFonts w:hint="eastAsia" w:ascii="宋体" w:hAnsi="宋体" w:eastAsia="宋体" w:cs="宋体"/>
          <w:color w:val="auto"/>
          <w:sz w:val="24"/>
          <w:szCs w:val="24"/>
          <w:highlight w:val="none"/>
          <w:u w:val="single"/>
          <w:lang w:val="en-US" w:eastAsia="zh-CN"/>
        </w:rPr>
        <w:t>开箱</w:t>
      </w:r>
      <w:r>
        <w:rPr>
          <w:rFonts w:hint="eastAsia" w:ascii="宋体" w:hAnsi="宋体" w:eastAsia="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（2)乙方按甲方要求，按时间计划逐批（次）供货，并</w:t>
      </w:r>
      <w:r>
        <w:rPr>
          <w:rFonts w:hint="eastAsia" w:ascii="宋体" w:hAnsi="宋体" w:eastAsia="宋体" w:cs="宋体"/>
          <w:color w:val="auto"/>
          <w:sz w:val="21"/>
          <w:szCs w:val="21"/>
          <w:highlight w:val="none"/>
          <w:u w:val="single"/>
        </w:rPr>
        <w:t>开箱/</w:t>
      </w:r>
      <w:r>
        <w:rPr>
          <w:rFonts w:hint="eastAsia" w:ascii="宋体" w:hAnsi="宋体" w:eastAsia="宋体" w:cs="宋体"/>
          <w:color w:val="auto"/>
          <w:sz w:val="24"/>
          <w:szCs w:val="24"/>
          <w:highlight w:val="none"/>
          <w:u w:val="single"/>
        </w:rPr>
        <w:t>试运行验</w:t>
      </w:r>
      <w:r>
        <w:rPr>
          <w:rFonts w:hint="eastAsia" w:ascii="宋体" w:hAnsi="宋体" w:eastAsia="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合同有效期为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（3）其它供货期要求：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after="120"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bCs/>
          <w:color w:val="auto"/>
          <w:sz w:val="24"/>
          <w:szCs w:val="24"/>
          <w:highlight w:val="none"/>
        </w:rPr>
        <w:t>交货地点：</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（包括甲方指定的任一收货点），最终具体交货地点以甲方通知为准。</w:t>
      </w:r>
    </w:p>
    <w:p>
      <w:pPr>
        <w:numPr>
          <w:ilvl w:val="0"/>
          <w:numId w:val="7"/>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val="0"/>
          <w:bCs/>
          <w:color w:val="auto"/>
          <w:sz w:val="24"/>
          <w:szCs w:val="24"/>
          <w:highlight w:val="none"/>
        </w:rPr>
        <w:t>（</w:t>
      </w:r>
      <w:r>
        <w:rPr>
          <w:rFonts w:hint="eastAsia" w:ascii="宋体" w:hAnsi="宋体" w:cs="宋体"/>
          <w:b/>
          <w:bCs w:val="0"/>
          <w:color w:val="auto"/>
          <w:sz w:val="24"/>
          <w:szCs w:val="24"/>
          <w:highlight w:val="none"/>
        </w:rPr>
        <w:t>具体按“采购需求”</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第五条 支付方式</w:t>
      </w:r>
    </w:p>
    <w:p>
      <w:pPr>
        <w:spacing w:line="46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w:t>
      </w:r>
      <w:r>
        <w:rPr>
          <w:rFonts w:hint="eastAsia" w:ascii="宋体" w:hAnsi="宋体" w:eastAsia="宋体" w:cs="宋体"/>
          <w:bCs/>
          <w:color w:val="auto"/>
          <w:sz w:val="24"/>
          <w:szCs w:val="24"/>
          <w:highlight w:val="none"/>
        </w:rPr>
        <w:t>预付款支付：</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有，合同签订后，乙方开具</w:t>
      </w:r>
      <w:r>
        <w:rPr>
          <w:rFonts w:hint="eastAsia" w:ascii="宋体" w:hAnsi="宋体" w:eastAsia="宋体" w:cs="宋体"/>
          <w:color w:val="auto"/>
          <w:sz w:val="24"/>
          <w:szCs w:val="24"/>
          <w:highlight w:val="none"/>
        </w:rPr>
        <w:t>等额</w:t>
      </w:r>
      <w:r>
        <w:rPr>
          <w:rFonts w:hint="eastAsia" w:ascii="宋体" w:hAnsi="宋体" w:eastAsia="宋体" w:cs="宋体"/>
          <w:bCs/>
          <w:color w:val="auto"/>
          <w:sz w:val="24"/>
          <w:szCs w:val="24"/>
          <w:highlight w:val="none"/>
        </w:rPr>
        <w:t>增值税专用发票及提交履约担保（如有）后</w:t>
      </w:r>
      <w:r>
        <w:rPr>
          <w:rFonts w:hint="eastAsia"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rPr>
        <w:t>个工作日内，甲方支付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 xml:space="preserve">的 </w:t>
      </w:r>
      <w:r>
        <w:rPr>
          <w:rFonts w:hint="eastAsia" w:ascii="宋体" w:hAnsi="宋体" w:eastAsia="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 xml:space="preserve">0%  </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元，（大写： ）</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作为预付款。</w:t>
      </w:r>
      <w:r>
        <w:rPr>
          <w:rFonts w:hint="eastAsia" w:ascii="宋体" w:hAnsi="宋体" w:eastAsia="宋体" w:cs="宋体"/>
          <w:color w:val="auto"/>
          <w:sz w:val="24"/>
          <w:szCs w:val="24"/>
          <w:highlight w:val="none"/>
        </w:rPr>
        <w:t>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w:t>
      </w:r>
      <w:r>
        <w:rPr>
          <w:rFonts w:hint="eastAsia" w:ascii="宋体" w:hAnsi="宋体" w:eastAsia="宋体" w:cs="宋体"/>
          <w:bCs/>
          <w:color w:val="auto"/>
          <w:kern w:val="0"/>
          <w:sz w:val="24"/>
          <w:szCs w:val="24"/>
          <w:highlight w:val="none"/>
        </w:rPr>
        <w:t>（无息）</w:t>
      </w:r>
      <w:r>
        <w:rPr>
          <w:rFonts w:hint="eastAsia" w:ascii="宋体" w:hAnsi="宋体" w:eastAsia="宋体" w:cs="宋体"/>
          <w:color w:val="auto"/>
          <w:sz w:val="24"/>
          <w:szCs w:val="24"/>
          <w:highlight w:val="none"/>
        </w:rPr>
        <w:t>。</w:t>
      </w:r>
      <w:r>
        <w:rPr>
          <w:rFonts w:hint="eastAsia" w:ascii="宋体" w:hAnsi="宋体" w:eastAsia="宋体" w:cs="宋体"/>
          <w:bCs/>
          <w:color w:val="auto"/>
          <w:kern w:val="0"/>
          <w:sz w:val="24"/>
          <w:szCs w:val="24"/>
          <w:highlight w:val="none"/>
        </w:rPr>
        <w:t>逾期未返还，每逾期一天，乙方应按合同暂定总价的</w:t>
      </w:r>
      <w:r>
        <w:rPr>
          <w:rFonts w:hint="eastAsia" w:ascii="宋体" w:hAnsi="宋体" w:eastAsia="宋体" w:cs="宋体"/>
          <w:bCs/>
          <w:color w:val="auto"/>
          <w:kern w:val="0"/>
          <w:sz w:val="24"/>
          <w:szCs w:val="24"/>
          <w:highlight w:val="none"/>
          <w:u w:val="single"/>
        </w:rPr>
        <w:t>万分之五/天</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5.2支付方式：本合同款项按以下第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种方式支付。</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（1）本合同生效后，甲方支付乙方</w:t>
      </w:r>
      <w:r>
        <w:rPr>
          <w:rFonts w:hint="eastAsia" w:ascii="宋体" w:hAnsi="宋体" w:eastAsia="宋体" w:cs="宋体"/>
          <w:color w:val="auto"/>
          <w:sz w:val="24"/>
          <w:szCs w:val="24"/>
          <w:highlight w:val="none"/>
          <w:u w:val="single"/>
        </w:rPr>
        <w:t>合同暂定总价</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预付款，乙方按时供货，货物到齐且经</w:t>
      </w:r>
      <w:r>
        <w:rPr>
          <w:rFonts w:hint="eastAsia" w:ascii="宋体" w:hAnsi="宋体" w:eastAsia="宋体" w:cs="宋体"/>
          <w:color w:val="auto"/>
          <w:sz w:val="24"/>
          <w:szCs w:val="24"/>
          <w:highlight w:val="none"/>
          <w:u w:val="single"/>
          <w:lang w:val="en-US" w:eastAsia="zh-CN"/>
        </w:rPr>
        <w:t>开箱</w:t>
      </w:r>
      <w:r>
        <w:rPr>
          <w:rFonts w:hint="eastAsia" w:ascii="宋体" w:hAnsi="宋体" w:eastAsia="宋体" w:cs="宋体"/>
          <w:color w:val="auto"/>
          <w:sz w:val="24"/>
          <w:szCs w:val="24"/>
          <w:highlight w:val="none"/>
        </w:rPr>
        <w:t>验收合格，经甲方相关部门结算且乙方提交请款资料及等额增值税专用发票后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个工作日内，甲方向乙方支付至结算审定价总额的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%（含预付款）。质保期自</w:t>
      </w:r>
      <w:r>
        <w:rPr>
          <w:rFonts w:hint="eastAsia" w:ascii="宋体" w:hAnsi="宋体" w:eastAsia="宋体" w:cs="宋体"/>
          <w:color w:val="auto"/>
          <w:sz w:val="24"/>
          <w:szCs w:val="24"/>
          <w:highlight w:val="none"/>
          <w:u w:val="single"/>
        </w:rPr>
        <w:t>货物开箱</w:t>
      </w:r>
      <w:r>
        <w:rPr>
          <w:rFonts w:hint="eastAsia" w:ascii="宋体" w:hAnsi="宋体" w:eastAsia="宋体" w:cs="宋体"/>
          <w:color w:val="auto"/>
          <w:sz w:val="24"/>
          <w:szCs w:val="24"/>
          <w:highlight w:val="none"/>
        </w:rPr>
        <w:t>验收合格之日起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年。（适用于需支付预付款采购）。</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（2）本合同生效后，乙方按时供</w:t>
      </w:r>
      <w:bookmarkStart w:id="145" w:name="_GoBack"/>
      <w:bookmarkEnd w:id="145"/>
      <w:r>
        <w:rPr>
          <w:rFonts w:hint="eastAsia" w:ascii="宋体" w:hAnsi="宋体" w:eastAsia="宋体" w:cs="宋体"/>
          <w:color w:val="auto"/>
          <w:sz w:val="24"/>
          <w:szCs w:val="24"/>
          <w:highlight w:val="none"/>
        </w:rPr>
        <w:t>货，货物到齐且经</w:t>
      </w:r>
      <w:r>
        <w:rPr>
          <w:rFonts w:hint="eastAsia" w:ascii="宋体" w:hAnsi="宋体" w:eastAsia="宋体" w:cs="宋体"/>
          <w:color w:val="auto"/>
          <w:sz w:val="24"/>
          <w:szCs w:val="24"/>
          <w:highlight w:val="none"/>
          <w:u w:val="single"/>
        </w:rPr>
        <w:t>开箱/试运行</w:t>
      </w:r>
      <w:r>
        <w:rPr>
          <w:rFonts w:hint="eastAsia" w:ascii="宋体" w:hAnsi="宋体" w:eastAsia="宋体" w:cs="宋体"/>
          <w:color w:val="auto"/>
          <w:sz w:val="24"/>
          <w:szCs w:val="24"/>
          <w:highlight w:val="none"/>
        </w:rPr>
        <w:t>验收合格后，甲方在收到乙方提交的请款资料及等额增值税专用发票后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个工作日内向乙方支付至货款总额的95%。余款5%作为质量保证金。质保期自</w:t>
      </w:r>
      <w:r>
        <w:rPr>
          <w:rFonts w:hint="eastAsia" w:ascii="宋体" w:hAnsi="宋体" w:eastAsia="宋体" w:cs="宋体"/>
          <w:color w:val="auto"/>
          <w:sz w:val="24"/>
          <w:szCs w:val="24"/>
          <w:highlight w:val="none"/>
          <w:u w:val="single"/>
        </w:rPr>
        <w:t>货物开箱/试运行</w:t>
      </w:r>
      <w:r>
        <w:rPr>
          <w:rFonts w:hint="eastAsia" w:ascii="宋体" w:hAnsi="宋体" w:eastAsia="宋体" w:cs="宋体"/>
          <w:color w:val="auto"/>
          <w:sz w:val="24"/>
          <w:szCs w:val="24"/>
          <w:highlight w:val="none"/>
        </w:rPr>
        <w:t>验收合格之日起</w:t>
      </w:r>
      <w:r>
        <w:rPr>
          <w:rFonts w:hint="eastAsia" w:ascii="宋体" w:hAnsi="宋体" w:eastAsia="宋体" w:cs="宋体"/>
          <w:color w:val="auto"/>
          <w:sz w:val="24"/>
          <w:szCs w:val="24"/>
          <w:highlight w:val="none"/>
          <w:u w:val="single"/>
        </w:rPr>
        <w:t xml:space="preserve"> X </w:t>
      </w:r>
      <w:r>
        <w:rPr>
          <w:rFonts w:hint="eastAsia" w:ascii="宋体" w:hAnsi="宋体" w:eastAsia="宋体" w:cs="宋体"/>
          <w:color w:val="auto"/>
          <w:sz w:val="24"/>
          <w:szCs w:val="24"/>
          <w:highlight w:val="none"/>
        </w:rPr>
        <w:t>年。质保期满后，乙方申请退还质保金并提供相关资料后的</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（3）本合同生效后，乙方按时供货，货物到齐且经</w:t>
      </w:r>
      <w:r>
        <w:rPr>
          <w:rFonts w:hint="eastAsia" w:ascii="宋体" w:hAnsi="宋体" w:eastAsia="宋体" w:cs="宋体"/>
          <w:color w:val="auto"/>
          <w:sz w:val="24"/>
          <w:szCs w:val="24"/>
          <w:highlight w:val="none"/>
          <w:u w:val="single"/>
        </w:rPr>
        <w:t>开箱/</w:t>
      </w:r>
      <w:r>
        <w:rPr>
          <w:rFonts w:hint="eastAsia" w:ascii="宋体" w:hAnsi="宋体" w:eastAsia="宋体" w:cs="宋体"/>
          <w:color w:val="auto"/>
          <w:sz w:val="24"/>
          <w:szCs w:val="24"/>
          <w:highlight w:val="none"/>
          <w:u w:val="single"/>
          <w:lang w:val="en-US" w:eastAsia="zh-CN"/>
        </w:rPr>
        <w:t>试运行</w:t>
      </w:r>
      <w:r>
        <w:rPr>
          <w:rFonts w:hint="eastAsia" w:ascii="宋体" w:hAnsi="宋体" w:eastAsia="宋体" w:cs="宋体"/>
          <w:color w:val="auto"/>
          <w:sz w:val="24"/>
          <w:szCs w:val="24"/>
          <w:highlight w:val="none"/>
        </w:rPr>
        <w:t>验收合格后，甲方在收到乙方提交的请款资料及等额增值税专用发票后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（4）本合同生效后，乙方按时分批供货，每批货物到齐且经</w:t>
      </w:r>
      <w:r>
        <w:rPr>
          <w:rFonts w:hint="eastAsia" w:ascii="宋体" w:hAnsi="宋体" w:eastAsia="宋体" w:cs="宋体"/>
          <w:color w:val="auto"/>
          <w:sz w:val="24"/>
          <w:szCs w:val="24"/>
          <w:highlight w:val="none"/>
          <w:u w:val="single"/>
        </w:rPr>
        <w:t>开箱/试运行</w:t>
      </w:r>
      <w:r>
        <w:rPr>
          <w:rFonts w:hint="eastAsia" w:ascii="宋体" w:hAnsi="宋体" w:eastAsia="宋体" w:cs="宋体"/>
          <w:color w:val="auto"/>
          <w:sz w:val="24"/>
          <w:szCs w:val="24"/>
          <w:highlight w:val="none"/>
        </w:rPr>
        <w:t>验收合格后，甲方在收到乙方提交的请款资料及等额增值税专用发票后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（5）其它支付方式：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5.3乙方收款账户：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其他：       </w:t>
      </w:r>
    </w:p>
    <w:p>
      <w:pPr>
        <w:spacing w:line="460" w:lineRule="exact"/>
        <w:ind w:firstLine="720" w:firstLineChars="300"/>
        <w:outlineLvl w:val="1"/>
        <w:rPr>
          <w:rFonts w:ascii="宋体" w:hAnsi="宋体" w:eastAsia="宋体" w:cs="宋体"/>
          <w:color w:val="auto"/>
          <w:szCs w:val="24"/>
          <w:highlight w:val="none"/>
        </w:rPr>
      </w:pPr>
      <w:r>
        <w:rPr>
          <w:rFonts w:hint="eastAsia" w:ascii="宋体" w:hAnsi="宋体" w:eastAsia="宋体" w:cs="宋体"/>
          <w:color w:val="auto"/>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违约责任</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6.1单方面取消合同：任意一方未经对方同意单方面取消合同，应按</w:t>
      </w:r>
      <w:r>
        <w:rPr>
          <w:rFonts w:hint="eastAsia" w:ascii="宋体" w:hAnsi="宋体" w:eastAsia="宋体" w:cs="宋体"/>
          <w:color w:val="auto"/>
          <w:sz w:val="24"/>
          <w:szCs w:val="24"/>
          <w:highlight w:val="none"/>
          <w:u w:val="single"/>
        </w:rPr>
        <w:t>合同暂定总价的30%</w:t>
      </w:r>
      <w:r>
        <w:rPr>
          <w:rFonts w:hint="eastAsia" w:ascii="宋体" w:hAnsi="宋体" w:eastAsia="宋体" w:cs="宋体"/>
          <w:color w:val="auto"/>
          <w:sz w:val="24"/>
          <w:szCs w:val="24"/>
          <w:highlight w:val="none"/>
        </w:rPr>
        <w:t>向对方赔偿。</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6.2乙方不能按时交货的，每逾期1日，按</w:t>
      </w:r>
      <w:r>
        <w:rPr>
          <w:rFonts w:hint="eastAsia" w:ascii="宋体" w:hAnsi="宋体" w:eastAsia="宋体" w:cs="宋体"/>
          <w:color w:val="auto"/>
          <w:sz w:val="24"/>
          <w:szCs w:val="24"/>
          <w:highlight w:val="none"/>
          <w:u w:val="single"/>
        </w:rPr>
        <w:t>迟交货物总价的 1%支付违约金</w:t>
      </w:r>
      <w:r>
        <w:rPr>
          <w:rFonts w:hint="eastAsia" w:ascii="宋体" w:hAnsi="宋体" w:eastAsia="宋体" w:cs="宋体"/>
          <w:color w:val="auto"/>
          <w:sz w:val="24"/>
          <w:szCs w:val="24"/>
          <w:highlight w:val="none"/>
        </w:rPr>
        <w:t>，逾期达到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 货物</w:t>
      </w:r>
      <w:r>
        <w:rPr>
          <w:rFonts w:hint="eastAsia" w:ascii="宋体" w:hAnsi="宋体" w:eastAsia="宋体" w:cs="宋体"/>
          <w:color w:val="auto"/>
          <w:sz w:val="24"/>
          <w:szCs w:val="24"/>
          <w:highlight w:val="none"/>
          <w:u w:val="single"/>
        </w:rPr>
        <w:t>试运行</w:t>
      </w:r>
      <w:r>
        <w:rPr>
          <w:rFonts w:hint="eastAsia" w:ascii="宋体" w:hAnsi="宋体" w:eastAsia="宋体" w:cs="宋体"/>
          <w:color w:val="auto"/>
          <w:sz w:val="24"/>
          <w:szCs w:val="24"/>
          <w:highlight w:val="none"/>
        </w:rPr>
        <w:t>验收不合格或货物在</w:t>
      </w:r>
      <w:r>
        <w:rPr>
          <w:rFonts w:hint="eastAsia" w:ascii="宋体" w:hAnsi="宋体" w:eastAsia="宋体" w:cs="宋体"/>
          <w:color w:val="auto"/>
          <w:sz w:val="24"/>
          <w:szCs w:val="24"/>
          <w:highlight w:val="none"/>
          <w:u w:val="single"/>
        </w:rPr>
        <w:t>试运行</w:t>
      </w:r>
      <w:r>
        <w:rPr>
          <w:rFonts w:hint="eastAsia" w:ascii="宋体" w:hAnsi="宋体" w:eastAsia="宋体" w:cs="宋体"/>
          <w:color w:val="auto"/>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color w:val="auto"/>
          <w:sz w:val="24"/>
          <w:szCs w:val="24"/>
          <w:highlight w:val="none"/>
          <w:u w:val="single"/>
        </w:rPr>
        <w:t>更换货物总价的10%</w:t>
      </w:r>
      <w:r>
        <w:rPr>
          <w:rFonts w:hint="eastAsia" w:ascii="宋体" w:hAnsi="宋体" w:eastAsia="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color w:val="auto"/>
          <w:sz w:val="24"/>
          <w:szCs w:val="24"/>
          <w:highlight w:val="none"/>
          <w:u w:val="single"/>
        </w:rPr>
        <w:t xml:space="preserve">_15 </w:t>
      </w:r>
      <w:r>
        <w:rPr>
          <w:rFonts w:hint="eastAsia" w:ascii="宋体" w:hAnsi="宋体" w:eastAsia="宋体" w:cs="宋体"/>
          <w:color w:val="auto"/>
          <w:sz w:val="24"/>
          <w:szCs w:val="24"/>
          <w:highlight w:val="none"/>
        </w:rPr>
        <w:t>日，甲方有权解除合同并要求乙方支付</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作为违约金（</w:t>
      </w:r>
      <w:r>
        <w:rPr>
          <w:rFonts w:hint="eastAsia" w:ascii="宋体" w:hAnsi="宋体" w:eastAsia="宋体" w:cs="宋体"/>
          <w:color w:val="auto"/>
          <w:sz w:val="24"/>
          <w:highlight w:val="none"/>
        </w:rPr>
        <w:t>如合同另行约定违约责任，从其约定</w:t>
      </w:r>
      <w:r>
        <w:rPr>
          <w:rFonts w:hint="eastAsia" w:ascii="宋体" w:hAnsi="宋体" w:eastAsia="宋体" w:cs="宋体"/>
          <w:color w:val="auto"/>
          <w:sz w:val="24"/>
          <w:szCs w:val="24"/>
          <w:highlight w:val="none"/>
        </w:rPr>
        <w:t>）。</w:t>
      </w:r>
    </w:p>
    <w:p>
      <w:pPr>
        <w:topLinePunct/>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r>
        <w:rPr>
          <w:rFonts w:hint="eastAsia" w:ascii="宋体" w:hAnsi="宋体" w:eastAsia="宋体" w:cs="宋体"/>
          <w:bCs/>
          <w:color w:val="auto"/>
          <w:sz w:val="24"/>
          <w:highlight w:val="none"/>
        </w:rPr>
        <w:t>在合同有效期内，若乙方发生不诚信行为情形的，乙方自愿接受甲方按《广州市净水有限公司经营建设项目参建企业不诚信行为管理办法》处理。具体处理标准详见附件3。</w:t>
      </w:r>
    </w:p>
    <w:p>
      <w:pPr>
        <w:adjustRightInd w:val="0"/>
        <w:snapToGrid w:val="0"/>
        <w:spacing w:line="46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第八条 争议解决</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color w:val="auto"/>
          <w:sz w:val="24"/>
          <w:szCs w:val="24"/>
          <w:highlight w:val="none"/>
          <w:u w:val="single"/>
        </w:rPr>
        <w:t>人民法院</w:t>
      </w:r>
      <w:r>
        <w:rPr>
          <w:rFonts w:hint="eastAsia" w:ascii="宋体" w:hAnsi="宋体" w:eastAsia="宋体" w:cs="宋体"/>
          <w:bCs/>
          <w:color w:val="auto"/>
          <w:sz w:val="24"/>
          <w:szCs w:val="24"/>
          <w:highlight w:val="none"/>
        </w:rPr>
        <w:t>提起诉讼</w:t>
      </w:r>
      <w:r>
        <w:rPr>
          <w:rFonts w:hint="eastAsia" w:ascii="宋体" w:hAnsi="宋体" w:eastAsia="宋体" w:cs="宋体"/>
          <w:color w:val="auto"/>
          <w:sz w:val="24"/>
          <w:szCs w:val="24"/>
          <w:highlight w:val="none"/>
        </w:rPr>
        <w:t>。</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 其他</w:t>
      </w:r>
    </w:p>
    <w:p>
      <w:pPr>
        <w:spacing w:line="460" w:lineRule="exact"/>
        <w:ind w:firstLine="638" w:firstLineChars="26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line="460" w:lineRule="exact"/>
        <w:ind w:right="521" w:rightChars="248" w:firstLine="440" w:firstLineChars="100"/>
        <w:rPr>
          <w:rFonts w:ascii="宋体" w:hAnsi="宋体" w:eastAsia="宋体" w:cs="宋体"/>
          <w:color w:val="auto"/>
          <w:sz w:val="24"/>
          <w:szCs w:val="24"/>
          <w:highlight w:val="none"/>
        </w:rPr>
      </w:pPr>
      <w:r>
        <w:rPr>
          <w:rFonts w:hint="eastAsia" w:ascii="宋体" w:hAnsi="宋体" w:eastAsia="宋体" w:cs="宋体"/>
          <w:color w:val="auto"/>
          <w:sz w:val="44"/>
          <w:szCs w:val="44"/>
          <w:highlight w:val="none"/>
          <w:lang w:val="en-US" w:eastAsia="zh-CN"/>
        </w:rPr>
        <w:t>*</w:t>
      </w:r>
      <w:r>
        <w:rPr>
          <w:rFonts w:hint="eastAsia" w:ascii="宋体" w:hAnsi="宋体" w:eastAsia="宋体" w:cs="宋体"/>
          <w:color w:val="auto"/>
          <w:sz w:val="24"/>
          <w:szCs w:val="24"/>
          <w:highlight w:val="none"/>
        </w:rPr>
        <w:t>9.4补充条款：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开箱验收合格的标准为提供货物出厂时的符合询价技术文件要求的第三方有资质CMA认证证书</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附件：1.发包通知书/成交通知书/委托函（如有）</w:t>
      </w:r>
    </w:p>
    <w:p>
      <w:pPr>
        <w:spacing w:line="460" w:lineRule="exact"/>
        <w:ind w:left="1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2.安全协议书</w:t>
      </w:r>
    </w:p>
    <w:p>
      <w:pPr>
        <w:spacing w:line="460" w:lineRule="exact"/>
        <w:ind w:left="1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spacing w:line="460" w:lineRule="exact"/>
        <w:ind w:left="1200"/>
        <w:rPr>
          <w:rFonts w:ascii="宋体" w:hAnsi="宋体" w:eastAsia="宋体" w:cs="宋体"/>
          <w:color w:val="auto"/>
          <w:highlight w:val="none"/>
        </w:rPr>
      </w:pPr>
      <w:r>
        <w:rPr>
          <w:rFonts w:hint="eastAsia" w:ascii="宋体" w:hAnsi="宋体" w:eastAsia="宋体" w:cs="宋体"/>
          <w:color w:val="auto"/>
          <w:sz w:val="24"/>
          <w:szCs w:val="24"/>
          <w:highlight w:val="none"/>
        </w:rPr>
        <w:t>4.不诚信行为的情形及相应被暂停参与投标活动的处理标准</w:t>
      </w:r>
    </w:p>
    <w:p>
      <w:pPr>
        <w:spacing w:line="460" w:lineRule="exact"/>
        <w:rPr>
          <w:rFonts w:ascii="宋体" w:hAnsi="宋体" w:eastAsia="宋体" w:cs="宋体"/>
          <w:color w:val="auto"/>
          <w:kern w:val="0"/>
          <w:sz w:val="24"/>
          <w:szCs w:val="24"/>
          <w:highlight w:val="none"/>
          <w:lang w:val="zh-CN"/>
        </w:rPr>
      </w:pPr>
    </w:p>
    <w:p>
      <w:pPr>
        <w:spacing w:line="460" w:lineRule="exact"/>
        <w:ind w:left="1200"/>
        <w:rPr>
          <w:rFonts w:ascii="宋体" w:hAnsi="宋体" w:eastAsia="宋体" w:cs="宋体"/>
          <w:color w:val="auto"/>
          <w:kern w:val="0"/>
          <w:sz w:val="24"/>
          <w:szCs w:val="24"/>
          <w:highlight w:val="none"/>
          <w:lang w:val="zh-CN"/>
        </w:rPr>
      </w:pPr>
    </w:p>
    <w:tbl>
      <w:tblPr>
        <w:tblStyle w:val="24"/>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甲方</w:t>
            </w:r>
            <w:r>
              <w:rPr>
                <w:rFonts w:hint="eastAsia" w:ascii="宋体" w:hAnsi="宋体" w:eastAsia="宋体" w:cs="宋体"/>
                <w:color w:val="auto"/>
                <w:sz w:val="24"/>
                <w:szCs w:val="24"/>
                <w:highlight w:val="none"/>
              </w:rPr>
              <w:t>：广州城市水处理设备有限公司（盖章）</w:t>
            </w:r>
          </w:p>
          <w:p>
            <w:pPr>
              <w:adjustRightInd w:val="0"/>
              <w:snapToGrid w:val="0"/>
              <w:spacing w:line="460" w:lineRule="exact"/>
              <w:rPr>
                <w:rFonts w:ascii="宋体" w:hAnsi="宋体" w:eastAsia="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乙方</w:t>
            </w:r>
            <w:r>
              <w:rPr>
                <w:rFonts w:hint="eastAsia" w:ascii="宋体" w:hAnsi="宋体" w:eastAsia="宋体" w:cs="宋体"/>
                <w:color w:val="auto"/>
                <w:sz w:val="24"/>
                <w:szCs w:val="24"/>
                <w:highlight w:val="none"/>
              </w:rPr>
              <w:t>：                 （盖章）</w:t>
            </w:r>
          </w:p>
          <w:p>
            <w:pPr>
              <w:adjustRightInd w:val="0"/>
              <w:snapToGrid w:val="0"/>
              <w:spacing w:line="460" w:lineRule="exact"/>
              <w:ind w:firstLine="240" w:firstLineChars="100"/>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     年   月   日 </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3"/>
        <w:tabs>
          <w:tab w:val="left" w:pos="1260"/>
        </w:tabs>
        <w:spacing w:line="500" w:lineRule="exact"/>
        <w:jc w:val="left"/>
        <w:rPr>
          <w:rFonts w:hAnsi="宋体" w:eastAsia="宋体" w:cs="宋体"/>
          <w:color w:val="auto"/>
          <w:sz w:val="24"/>
          <w:szCs w:val="24"/>
          <w:highlight w:val="none"/>
        </w:rPr>
      </w:pPr>
      <w:r>
        <w:rPr>
          <w:rFonts w:hint="eastAsia" w:hAnsi="宋体" w:eastAsia="宋体" w:cs="宋体"/>
          <w:color w:val="auto"/>
          <w:sz w:val="24"/>
          <w:szCs w:val="24"/>
          <w:highlight w:val="none"/>
        </w:rPr>
        <w:t>附件5：</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rPr>
          <w:rFonts w:ascii="宋体" w:hAnsi="宋体" w:eastAsia="宋体" w:cs="宋体"/>
          <w:b/>
          <w:bCs/>
          <w:color w:val="auto"/>
          <w:sz w:val="24"/>
          <w:szCs w:val="24"/>
          <w:highlight w:val="none"/>
        </w:rPr>
      </w:pPr>
    </w:p>
    <w:p>
      <w:pPr>
        <w:pStyle w:val="2"/>
        <w:rPr>
          <w:rFonts w:eastAsia="宋体" w:cs="宋体"/>
          <w:b/>
          <w:bCs/>
          <w:color w:val="auto"/>
          <w:highlight w:val="none"/>
        </w:rPr>
      </w:pPr>
    </w:p>
    <w:p>
      <w:pPr>
        <w:pStyle w:val="2"/>
        <w:rPr>
          <w:rFonts w:eastAsia="宋体" w:cs="宋体"/>
          <w:b/>
          <w:bCs/>
          <w:color w:val="auto"/>
          <w:highlight w:val="none"/>
        </w:rPr>
      </w:pPr>
    </w:p>
    <w:p>
      <w:pPr>
        <w:pStyle w:val="2"/>
        <w:rPr>
          <w:rFonts w:eastAsia="宋体" w:cs="宋体"/>
          <w:b/>
          <w:bCs/>
          <w:color w:val="auto"/>
          <w:highlight w:val="none"/>
        </w:rPr>
      </w:pPr>
    </w:p>
    <w:p>
      <w:pPr>
        <w:pStyle w:val="2"/>
        <w:rPr>
          <w:rFonts w:eastAsia="宋体" w:cs="宋体"/>
          <w:b/>
          <w:bCs/>
          <w:color w:val="auto"/>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
        <w:ind w:firstLine="0"/>
        <w:rPr>
          <w:rFonts w:eastAsia="宋体" w:cs="宋体"/>
          <w:color w:val="auto"/>
          <w:sz w:val="28"/>
          <w:szCs w:val="28"/>
          <w:highlight w:val="none"/>
        </w:rPr>
      </w:pPr>
    </w:p>
    <w:p>
      <w:pPr>
        <w:pStyle w:val="4"/>
        <w:rPr>
          <w:rFonts w:ascii="宋体" w:hAnsi="宋体" w:eastAsia="宋体" w:cs="宋体"/>
          <w:color w:val="auto"/>
          <w:highlight w:val="none"/>
        </w:rPr>
      </w:pPr>
      <w:bookmarkStart w:id="95" w:name="_Toc5129"/>
      <w:bookmarkStart w:id="96" w:name="_Toc23515"/>
      <w:bookmarkStart w:id="97" w:name="_Toc1563"/>
      <w:bookmarkStart w:id="98" w:name="_Toc21847"/>
      <w:bookmarkStart w:id="99" w:name="_Toc16552"/>
      <w:bookmarkStart w:id="100" w:name="_Toc3723"/>
      <w:bookmarkStart w:id="101" w:name="_Toc28358"/>
      <w:bookmarkStart w:id="102" w:name="_Toc6230"/>
      <w:bookmarkStart w:id="103" w:name="_Toc30824"/>
      <w:bookmarkStart w:id="104" w:name="_Toc12169"/>
      <w:bookmarkStart w:id="105" w:name="_Toc8147"/>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95"/>
      <w:bookmarkEnd w:id="96"/>
      <w:bookmarkEnd w:id="97"/>
      <w:bookmarkEnd w:id="98"/>
      <w:bookmarkEnd w:id="99"/>
      <w:bookmarkEnd w:id="100"/>
      <w:bookmarkEnd w:id="101"/>
      <w:bookmarkEnd w:id="102"/>
      <w:bookmarkEnd w:id="103"/>
      <w:bookmarkEnd w:id="104"/>
      <w:bookmarkEnd w:id="105"/>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06" w:name="_Toc31564"/>
      <w:bookmarkStart w:id="107" w:name="_Toc88209951"/>
      <w:bookmarkStart w:id="108" w:name="_Toc24490"/>
      <w:bookmarkStart w:id="109" w:name="_Toc10840"/>
      <w:bookmarkStart w:id="110" w:name="_Toc12610"/>
      <w:bookmarkStart w:id="111" w:name="_Toc5342"/>
      <w:bookmarkStart w:id="112" w:name="_Toc21675"/>
      <w:bookmarkStart w:id="113" w:name="_Toc22764"/>
      <w:bookmarkStart w:id="114" w:name="_Toc17119"/>
      <w:bookmarkStart w:id="115" w:name="_Toc87616388"/>
      <w:bookmarkStart w:id="116" w:name="_Toc12769"/>
      <w:bookmarkStart w:id="117" w:name="_Toc30157"/>
      <w:bookmarkStart w:id="118" w:name="_Toc24815"/>
      <w:r>
        <w:rPr>
          <w:rFonts w:hint="eastAsia" w:ascii="宋体" w:hAnsi="宋体" w:eastAsia="宋体" w:cs="宋体"/>
          <w:color w:val="auto"/>
          <w:highlight w:val="none"/>
        </w:rPr>
        <w:t>响应文件格式要求</w:t>
      </w:r>
      <w:bookmarkEnd w:id="106"/>
      <w:bookmarkEnd w:id="107"/>
      <w:bookmarkEnd w:id="108"/>
      <w:bookmarkEnd w:id="109"/>
      <w:bookmarkEnd w:id="110"/>
      <w:bookmarkEnd w:id="111"/>
      <w:bookmarkEnd w:id="112"/>
      <w:bookmarkEnd w:id="113"/>
      <w:bookmarkEnd w:id="114"/>
      <w:bookmarkEnd w:id="115"/>
      <w:bookmarkEnd w:id="116"/>
      <w:bookmarkEnd w:id="117"/>
      <w:bookmarkEnd w:id="118"/>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color w:val="auto"/>
          <w:highlight w:val="none"/>
        </w:rPr>
      </w:pPr>
      <w:r>
        <w:rPr>
          <w:rFonts w:hint="eastAsia" w:ascii="宋体" w:hAnsi="宋体" w:eastAsia="宋体" w:cs="宋体"/>
          <w:b w:val="0"/>
          <w:bCs w:val="0"/>
          <w:color w:val="auto"/>
          <w:sz w:val="44"/>
          <w:szCs w:val="44"/>
          <w:highlight w:val="none"/>
          <w:u w:val="single"/>
          <w:lang w:val="en-US" w:eastAsia="zh-CN"/>
        </w:rPr>
        <w:t>2022年除臭设备填料采购项目</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19" w:name="_Toc88209952"/>
      <w:bookmarkStart w:id="120" w:name="_Toc87616389"/>
      <w:r>
        <w:rPr>
          <w:rFonts w:hint="eastAsia" w:ascii="宋体" w:hAnsi="宋体" w:eastAsia="宋体" w:cs="宋体"/>
          <w:color w:val="auto"/>
          <w:sz w:val="28"/>
          <w:szCs w:val="28"/>
          <w:highlight w:val="none"/>
        </w:rPr>
        <w:t>1.响应函</w:t>
      </w:r>
      <w:bookmarkEnd w:id="119"/>
      <w:bookmarkEnd w:id="120"/>
    </w:p>
    <w:p>
      <w:pPr>
        <w:spacing w:line="600" w:lineRule="exact"/>
        <w:rPr>
          <w:rFonts w:ascii="宋体" w:hAnsi="宋体" w:eastAsia="宋体" w:cs="宋体"/>
          <w:color w:val="auto"/>
          <w:sz w:val="28"/>
          <w:szCs w:val="28"/>
          <w:highlight w:val="none"/>
        </w:rPr>
      </w:pPr>
      <w:bookmarkStart w:id="121" w:name="_Toc87616390"/>
      <w:bookmarkStart w:id="122" w:name="_Toc88209953"/>
      <w:r>
        <w:rPr>
          <w:rFonts w:hint="eastAsia" w:ascii="宋体" w:hAnsi="宋体" w:eastAsia="宋体" w:cs="宋体"/>
          <w:color w:val="auto"/>
          <w:sz w:val="28"/>
          <w:szCs w:val="28"/>
          <w:highlight w:val="none"/>
        </w:rPr>
        <w:t>2.法定代表人证明或授权委托书</w:t>
      </w:r>
      <w:bookmarkEnd w:id="121"/>
      <w:bookmarkEnd w:id="122"/>
      <w:bookmarkStart w:id="123" w:name="_Toc88209956"/>
      <w:bookmarkStart w:id="124" w:name="_Toc87616393"/>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其他资料</w:t>
      </w:r>
      <w:bookmarkEnd w:id="123"/>
      <w:bookmarkEnd w:id="124"/>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2"/>
        <w:ind w:firstLine="0"/>
        <w:rPr>
          <w:rFonts w:eastAsia="宋体" w:cs="宋体"/>
          <w:color w:val="auto"/>
          <w:sz w:val="44"/>
          <w:szCs w:val="44"/>
          <w:highlight w:val="none"/>
        </w:rPr>
      </w:pPr>
    </w:p>
    <w:p>
      <w:pPr>
        <w:pStyle w:val="6"/>
        <w:rPr>
          <w:rFonts w:ascii="宋体" w:hAnsi="宋体" w:cs="宋体"/>
          <w:color w:val="auto"/>
          <w:sz w:val="28"/>
          <w:szCs w:val="28"/>
          <w:highlight w:val="none"/>
        </w:rPr>
      </w:pPr>
      <w:bookmarkStart w:id="125" w:name="_Toc28619645"/>
      <w:bookmarkStart w:id="126" w:name="_Toc12665"/>
      <w:bookmarkStart w:id="127" w:name="_Toc6313"/>
      <w:bookmarkStart w:id="128" w:name="_Toc87616394"/>
      <w:bookmarkStart w:id="129" w:name="_Toc88209957"/>
      <w:r>
        <w:rPr>
          <w:rFonts w:hint="eastAsia" w:ascii="宋体" w:hAnsi="宋体" w:cs="宋体"/>
          <w:color w:val="auto"/>
          <w:sz w:val="28"/>
          <w:szCs w:val="28"/>
          <w:highlight w:val="none"/>
        </w:rPr>
        <w:t>1.响应函</w:t>
      </w:r>
      <w:bookmarkEnd w:id="125"/>
      <w:bookmarkEnd w:id="126"/>
      <w:bookmarkEnd w:id="127"/>
      <w:bookmarkEnd w:id="128"/>
      <w:bookmarkEnd w:id="129"/>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Style w:val="6"/>
        <w:spacing w:before="0"/>
        <w:rPr>
          <w:rFonts w:hint="eastAsia" w:ascii="宋体" w:hAnsi="宋体" w:cs="宋体"/>
          <w:color w:val="auto"/>
          <w:sz w:val="28"/>
          <w:szCs w:val="28"/>
          <w:highlight w:val="none"/>
        </w:rPr>
      </w:pPr>
      <w:bookmarkStart w:id="130" w:name="_Toc88209958"/>
      <w:bookmarkStart w:id="131" w:name="_Toc29833"/>
      <w:bookmarkStart w:id="132" w:name="_Toc22527"/>
      <w:bookmarkStart w:id="133" w:name="_Toc87616395"/>
    </w:p>
    <w:p>
      <w:pPr>
        <w:pStyle w:val="6"/>
        <w:spacing w:before="0"/>
        <w:rPr>
          <w:rFonts w:hint="eastAsia" w:ascii="宋体" w:hAnsi="宋体" w:cs="宋体"/>
          <w:color w:val="auto"/>
          <w:sz w:val="28"/>
          <w:szCs w:val="28"/>
          <w:highlight w:val="none"/>
        </w:rPr>
      </w:pPr>
    </w:p>
    <w:p>
      <w:pPr>
        <w:pStyle w:val="6"/>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30"/>
      <w:bookmarkEnd w:id="131"/>
      <w:bookmarkEnd w:id="132"/>
      <w:bookmarkEnd w:id="133"/>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7"/>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34" w:name="_Toc87616400"/>
      <w:bookmarkStart w:id="135" w:name="_Toc88209963"/>
      <w:bookmarkStart w:id="136" w:name="_Toc8086"/>
      <w:bookmarkStart w:id="137" w:name="_Toc19830"/>
      <w:r>
        <w:rPr>
          <w:rFonts w:hint="eastAsia" w:ascii="宋体" w:hAnsi="宋体" w:cs="宋体"/>
          <w:color w:val="auto"/>
          <w:sz w:val="28"/>
          <w:szCs w:val="28"/>
          <w:highlight w:val="none"/>
        </w:rPr>
        <w:t>3.资格审查资料</w:t>
      </w:r>
      <w:bookmarkEnd w:id="134"/>
      <w:bookmarkEnd w:id="135"/>
      <w:bookmarkEnd w:id="136"/>
      <w:bookmarkEnd w:id="137"/>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38"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38"/>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GB" w:eastAsia="zh-CN"/>
        </w:rPr>
        <w:t>2022年除臭设备填料采购项目</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宋体" w:hAnsi="宋体" w:eastAsia="宋体" w:cs="宋体"/>
          <w:color w:val="auto"/>
          <w:sz w:val="28"/>
          <w:szCs w:val="28"/>
          <w:highlight w:val="none"/>
        </w:rPr>
        <w:t>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rFonts w:eastAsia="宋体" w:cs="宋体"/>
          <w:color w:val="auto"/>
          <w:highlight w:val="none"/>
        </w:rPr>
      </w:pP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6"/>
        <w:rPr>
          <w:rFonts w:ascii="宋体" w:hAnsi="宋体" w:cs="宋体"/>
          <w:color w:val="auto"/>
          <w:sz w:val="28"/>
          <w:szCs w:val="28"/>
          <w:highlight w:val="none"/>
        </w:rPr>
      </w:pPr>
      <w:bookmarkStart w:id="139" w:name="_Toc32430"/>
      <w:bookmarkStart w:id="140" w:name="_Toc19423"/>
      <w:r>
        <w:rPr>
          <w:rFonts w:hint="eastAsia" w:ascii="宋体" w:hAnsi="宋体" w:cs="宋体"/>
          <w:color w:val="auto"/>
          <w:sz w:val="28"/>
          <w:szCs w:val="28"/>
          <w:highlight w:val="none"/>
        </w:rPr>
        <w:t>5.报价表</w:t>
      </w:r>
      <w:bookmarkEnd w:id="139"/>
      <w:bookmarkEnd w:id="140"/>
    </w:p>
    <w:tbl>
      <w:tblPr>
        <w:tblStyle w:val="24"/>
        <w:tblW w:w="0" w:type="auto"/>
        <w:jc w:val="center"/>
        <w:tblLayout w:type="fixed"/>
        <w:tblCellMar>
          <w:top w:w="0" w:type="dxa"/>
          <w:left w:w="108" w:type="dxa"/>
          <w:bottom w:w="0" w:type="dxa"/>
          <w:right w:w="108" w:type="dxa"/>
        </w:tblCellMar>
      </w:tblPr>
      <w:tblGrid>
        <w:gridCol w:w="548"/>
        <w:gridCol w:w="1572"/>
        <w:gridCol w:w="888"/>
        <w:gridCol w:w="536"/>
        <w:gridCol w:w="678"/>
        <w:gridCol w:w="799"/>
        <w:gridCol w:w="1065"/>
        <w:gridCol w:w="840"/>
        <w:gridCol w:w="946"/>
        <w:gridCol w:w="1159"/>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1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名称</w:t>
            </w:r>
          </w:p>
        </w:tc>
        <w:tc>
          <w:tcPr>
            <w:tcW w:w="8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生产厂家及</w:t>
            </w:r>
            <w:r>
              <w:rPr>
                <w:rFonts w:hint="eastAsia" w:ascii="宋体" w:hAnsi="宋体" w:eastAsia="宋体" w:cs="宋体"/>
                <w:color w:val="auto"/>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8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1</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b/>
                <w:color w:val="auto"/>
                <w:kern w:val="0"/>
                <w:szCs w:val="21"/>
                <w:highlight w:val="none"/>
                <w:lang w:bidi="ar"/>
              </w:rPr>
              <w:t>填料（猎德）</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m</w:t>
            </w:r>
            <w:r>
              <w:rPr>
                <w:rFonts w:hint="eastAsia" w:ascii="宋体" w:hAnsi="宋体" w:eastAsia="宋体" w:cs="宋体"/>
                <w:color w:val="auto"/>
                <w:kern w:val="0"/>
                <w:sz w:val="24"/>
                <w:highlight w:val="none"/>
                <w:vertAlign w:val="superscript"/>
              </w:rPr>
              <w:t>3</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b/>
                <w:color w:val="auto"/>
                <w:kern w:val="0"/>
                <w:szCs w:val="21"/>
                <w:highlight w:val="none"/>
                <w:lang w:bidi="ar"/>
              </w:rPr>
              <w:t>130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2</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b/>
                <w:color w:val="auto"/>
                <w:kern w:val="0"/>
                <w:szCs w:val="21"/>
                <w:highlight w:val="none"/>
                <w:lang w:bidi="ar"/>
              </w:rPr>
              <w:t>填料（石井净）</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m</w:t>
            </w:r>
            <w:r>
              <w:rPr>
                <w:rFonts w:hint="eastAsia" w:ascii="宋体" w:hAnsi="宋体" w:eastAsia="宋体" w:cs="宋体"/>
                <w:color w:val="auto"/>
                <w:kern w:val="0"/>
                <w:sz w:val="24"/>
                <w:highlight w:val="none"/>
                <w:vertAlign w:val="superscript"/>
              </w:rPr>
              <w:t>3</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b/>
                <w:color w:val="auto"/>
                <w:kern w:val="0"/>
                <w:szCs w:val="21"/>
                <w:highlight w:val="none"/>
                <w:lang w:bidi="ar"/>
              </w:rPr>
              <w:t>850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color w:val="auto"/>
                <w:kern w:val="0"/>
                <w:sz w:val="20"/>
                <w:szCs w:val="15"/>
                <w:highlight w:val="none"/>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color w:val="auto"/>
                <w:sz w:val="24"/>
                <w:szCs w:val="24"/>
                <w:highlight w:val="none"/>
              </w:rPr>
              <w:t>3</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b/>
                <w:color w:val="auto"/>
                <w:kern w:val="0"/>
                <w:szCs w:val="21"/>
                <w:highlight w:val="none"/>
                <w:lang w:bidi="ar"/>
              </w:rPr>
              <w:t>填料（大坦沙）</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m</w:t>
            </w:r>
            <w:r>
              <w:rPr>
                <w:rFonts w:hint="eastAsia" w:ascii="宋体" w:hAnsi="宋体" w:eastAsia="宋体" w:cs="宋体"/>
                <w:color w:val="auto"/>
                <w:kern w:val="0"/>
                <w:sz w:val="24"/>
                <w:highlight w:val="none"/>
                <w:vertAlign w:val="superscript"/>
              </w:rPr>
              <w:t>3</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b/>
                <w:color w:val="auto"/>
                <w:kern w:val="0"/>
                <w:szCs w:val="21"/>
                <w:highlight w:val="none"/>
                <w:lang w:bidi="ar"/>
              </w:rPr>
              <w:t>165</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color w:val="auto"/>
                <w:highlight w:val="none"/>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color w:val="auto"/>
                <w:sz w:val="24"/>
                <w:szCs w:val="24"/>
                <w:highlight w:val="none"/>
              </w:rPr>
              <w:t>4</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b/>
                <w:color w:val="auto"/>
                <w:kern w:val="0"/>
                <w:szCs w:val="21"/>
                <w:highlight w:val="none"/>
                <w:lang w:bidi="ar"/>
              </w:rPr>
              <w:t>填料处理</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m</w:t>
            </w:r>
            <w:r>
              <w:rPr>
                <w:rFonts w:hint="eastAsia" w:ascii="宋体" w:hAnsi="宋体" w:eastAsia="宋体" w:cs="宋体"/>
                <w:color w:val="auto"/>
                <w:kern w:val="0"/>
                <w:sz w:val="24"/>
                <w:highlight w:val="none"/>
                <w:vertAlign w:val="superscript"/>
              </w:rPr>
              <w:t>3</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rPr>
            </w:pPr>
            <w:r>
              <w:rPr>
                <w:rFonts w:hint="eastAsia" w:ascii="宋体" w:hAnsi="宋体" w:eastAsia="宋体" w:cs="宋体"/>
                <w:b/>
                <w:color w:val="auto"/>
                <w:kern w:val="0"/>
                <w:szCs w:val="21"/>
                <w:highlight w:val="none"/>
                <w:lang w:bidi="ar"/>
              </w:rPr>
              <w:t>660</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color w:val="auto"/>
                <w:highlight w:val="none"/>
              </w:rPr>
            </w:pP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 xml:space="preserve">   元（含税13%）</w:t>
            </w:r>
          </w:p>
        </w:tc>
      </w:tr>
    </w:tbl>
    <w:p>
      <w:pPr>
        <w:rPr>
          <w:rFonts w:ascii="宋体" w:hAnsi="宋体" w:eastAsia="宋体" w:cs="宋体"/>
          <w:color w:val="auto"/>
          <w:highlight w:val="none"/>
        </w:rPr>
      </w:pPr>
    </w:p>
    <w:p>
      <w:pPr>
        <w:pStyle w:val="50"/>
        <w:rPr>
          <w:rFonts w:hint="eastAsia" w:ascii="宋体" w:hAnsi="宋体" w:cs="宋体"/>
          <w:color w:val="auto"/>
          <w:highlight w:val="none"/>
        </w:rPr>
      </w:pPr>
      <w:bookmarkStart w:id="141" w:name="_Toc88209965"/>
      <w:bookmarkStart w:id="142" w:name="_Toc16386"/>
      <w:bookmarkStart w:id="143" w:name="_Toc6058"/>
      <w:bookmarkStart w:id="144" w:name="_Toc87616402"/>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6"/>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6.</w:t>
      </w:r>
    </w:p>
    <w:p>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响应承诺书 </w:t>
      </w:r>
    </w:p>
    <w:p>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广州城市水处理设备有限公司：</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auto"/>
          <w:sz w:val="28"/>
          <w:szCs w:val="28"/>
          <w:highlight w:val="none"/>
          <w:u w:val="none"/>
        </w:rPr>
        <w:t>所提供报价</w:t>
      </w:r>
      <w:r>
        <w:rPr>
          <w:rFonts w:hint="eastAsia" w:ascii="仿宋" w:hAnsi="仿宋" w:eastAsia="仿宋" w:cs="仿宋"/>
          <w:color w:val="auto"/>
          <w:sz w:val="28"/>
          <w:szCs w:val="28"/>
          <w:highlight w:val="none"/>
          <w:u w:val="none"/>
          <w:lang w:eastAsia="zh-CN"/>
        </w:rPr>
        <w:t>备品</w:t>
      </w:r>
      <w:r>
        <w:rPr>
          <w:rFonts w:hint="eastAsia" w:ascii="仿宋" w:hAnsi="仿宋" w:eastAsia="仿宋" w:cs="仿宋"/>
          <w:color w:val="auto"/>
          <w:sz w:val="28"/>
          <w:szCs w:val="28"/>
          <w:highlight w:val="none"/>
          <w:u w:val="none"/>
          <w:lang w:val="en-US" w:eastAsia="zh-CN"/>
        </w:rPr>
        <w:t>备件</w:t>
      </w:r>
      <w:r>
        <w:rPr>
          <w:rFonts w:hint="eastAsia" w:ascii="仿宋" w:hAnsi="仿宋" w:eastAsia="仿宋" w:cs="仿宋"/>
          <w:color w:val="auto"/>
          <w:sz w:val="28"/>
          <w:szCs w:val="28"/>
          <w:highlight w:val="none"/>
          <w:u w:val="none"/>
        </w:rPr>
        <w:t>均为</w:t>
      </w:r>
      <w:r>
        <w:rPr>
          <w:rFonts w:hint="eastAsia" w:ascii="仿宋_GB2312" w:hAnsi="宋体" w:eastAsia="仿宋_GB2312" w:cs="宋体"/>
          <w:color w:val="auto"/>
          <w:kern w:val="0"/>
          <w:sz w:val="28"/>
          <w:szCs w:val="28"/>
          <w:highlight w:val="none"/>
          <w:lang w:val="en-US" w:eastAsia="zh-CN"/>
        </w:rPr>
        <w:t>符合询价文件的</w:t>
      </w:r>
      <w:r>
        <w:rPr>
          <w:rFonts w:hint="eastAsia" w:ascii="仿宋" w:hAnsi="仿宋" w:eastAsia="仿宋" w:cs="仿宋"/>
          <w:color w:val="auto"/>
          <w:sz w:val="28"/>
          <w:szCs w:val="28"/>
          <w:highlight w:val="none"/>
          <w:u w:val="none"/>
          <w:lang w:val="en-US" w:eastAsia="zh-CN"/>
        </w:rPr>
        <w:t>全新</w:t>
      </w:r>
      <w:r>
        <w:rPr>
          <w:rFonts w:hint="eastAsia" w:ascii="仿宋" w:hAnsi="仿宋" w:eastAsia="仿宋" w:cs="仿宋"/>
          <w:color w:val="auto"/>
          <w:sz w:val="28"/>
          <w:szCs w:val="28"/>
          <w:highlight w:val="none"/>
          <w:u w:val="none"/>
        </w:rPr>
        <w:t>原装产品</w:t>
      </w:r>
      <w:r>
        <w:rPr>
          <w:rFonts w:hint="eastAsia" w:ascii="仿宋" w:hAnsi="仿宋" w:eastAsia="仿宋" w:cs="仿宋"/>
          <w:color w:val="auto"/>
          <w:sz w:val="28"/>
          <w:szCs w:val="28"/>
          <w:highlight w:val="none"/>
          <w:u w:val="none"/>
          <w:lang w:eastAsia="zh-CN"/>
        </w:rPr>
        <w:t>，货物在质保期(为自供货验收合格之日起1年内）如有质量问题或未能适配原有设备时，</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lang w:eastAsia="zh-CN"/>
        </w:rPr>
        <w:t>小时内派技术人员到现场免费进行维修。</w:t>
      </w:r>
      <w:r>
        <w:rPr>
          <w:rFonts w:hint="eastAsia" w:ascii="仿宋" w:hAnsi="仿宋" w:eastAsia="仿宋" w:cs="仿宋"/>
          <w:color w:val="auto"/>
          <w:sz w:val="28"/>
          <w:szCs w:val="28"/>
          <w:highlight w:val="none"/>
          <w:u w:val="none"/>
          <w:lang w:val="en-US" w:eastAsia="zh-CN"/>
        </w:rPr>
        <w:t xml:space="preserve">                     </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（报价单位）</w:t>
      </w:r>
      <w:r>
        <w:rPr>
          <w:rFonts w:hint="eastAsia" w:ascii="仿宋" w:hAnsi="仿宋" w:eastAsia="仿宋" w:cs="仿宋"/>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年  月  日</w:t>
      </w:r>
    </w:p>
    <w:p>
      <w:pPr>
        <w:pStyle w:val="6"/>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pStyle w:val="2"/>
        <w:rPr>
          <w:rFonts w:hint="eastAsia" w:ascii="宋体" w:hAnsi="宋体" w:cs="宋体"/>
          <w:color w:val="auto"/>
          <w:sz w:val="28"/>
          <w:szCs w:val="28"/>
          <w:highlight w:val="none"/>
        </w:rPr>
      </w:pPr>
    </w:p>
    <w:p>
      <w:pPr>
        <w:pStyle w:val="2"/>
        <w:rPr>
          <w:rFonts w:hint="eastAsia" w:ascii="宋体" w:hAnsi="宋体" w:cs="宋体"/>
          <w:color w:val="auto"/>
          <w:sz w:val="28"/>
          <w:szCs w:val="28"/>
          <w:highlight w:val="none"/>
        </w:rPr>
      </w:pPr>
    </w:p>
    <w:p>
      <w:pPr>
        <w:pStyle w:val="2"/>
        <w:rPr>
          <w:rFonts w:hint="eastAsia" w:ascii="宋体" w:hAnsi="宋体" w:cs="宋体"/>
          <w:color w:val="auto"/>
          <w:sz w:val="28"/>
          <w:szCs w:val="28"/>
          <w:highlight w:val="none"/>
        </w:rPr>
      </w:pPr>
    </w:p>
    <w:p>
      <w:pPr>
        <w:pStyle w:val="2"/>
        <w:rPr>
          <w:rFonts w:hint="eastAsia" w:ascii="宋体" w:hAnsi="宋体" w:cs="宋体"/>
          <w:color w:val="auto"/>
          <w:sz w:val="28"/>
          <w:szCs w:val="28"/>
          <w:highlight w:val="none"/>
        </w:rPr>
      </w:pPr>
    </w:p>
    <w:p>
      <w:pPr>
        <w:pStyle w:val="2"/>
        <w:rPr>
          <w:rFonts w:hint="eastAsia" w:ascii="宋体" w:hAnsi="宋体" w:cs="宋体"/>
          <w:color w:val="auto"/>
          <w:sz w:val="28"/>
          <w:szCs w:val="28"/>
          <w:highlight w:val="none"/>
        </w:rPr>
      </w:pPr>
    </w:p>
    <w:p>
      <w:pPr>
        <w:pStyle w:val="2"/>
        <w:rPr>
          <w:rFonts w:hint="eastAsia" w:ascii="宋体" w:hAnsi="宋体" w:cs="宋体"/>
          <w:color w:val="auto"/>
          <w:sz w:val="28"/>
          <w:szCs w:val="28"/>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其他资料</w:t>
      </w:r>
      <w:bookmarkEnd w:id="141"/>
      <w:bookmarkEnd w:id="142"/>
      <w:bookmarkEnd w:id="143"/>
      <w:bookmarkEnd w:id="144"/>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footerReference r:id="rId8" w:type="default"/>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1DF5B17"/>
    <w:multiLevelType w:val="multilevel"/>
    <w:tmpl w:val="71DF5B17"/>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5D618A"/>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540211"/>
    <w:rsid w:val="30682355"/>
    <w:rsid w:val="31000D25"/>
    <w:rsid w:val="312D7741"/>
    <w:rsid w:val="316F137F"/>
    <w:rsid w:val="31836839"/>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C1155A4"/>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94095E"/>
    <w:rsid w:val="78D90FF3"/>
    <w:rsid w:val="79000679"/>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3"/>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10"/>
    <w:unhideWhenUsed/>
    <w:qFormat/>
    <w:uiPriority w:val="99"/>
    <w:pPr>
      <w:widowControl w:val="0"/>
      <w:spacing w:after="120" w:line="240" w:lineRule="auto"/>
      <w:ind w:firstLine="420"/>
    </w:pPr>
    <w:rPr>
      <w:kern w:val="2"/>
      <w:sz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paragraph" w:customStyle="1" w:styleId="32">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6"/>
    <w:link w:val="17"/>
    <w:qFormat/>
    <w:uiPriority w:val="99"/>
    <w:rPr>
      <w:sz w:val="18"/>
      <w:szCs w:val="18"/>
    </w:rPr>
  </w:style>
  <w:style w:type="character" w:customStyle="1" w:styleId="34">
    <w:name w:val="页脚 Char"/>
    <w:basedOn w:val="26"/>
    <w:link w:val="16"/>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Char"/>
    <w:basedOn w:val="26"/>
    <w:link w:val="8"/>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2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55</Pages>
  <Words>17734</Words>
  <Characters>18360</Characters>
  <Lines>155</Lines>
  <Paragraphs>43</Paragraphs>
  <TotalTime>46</TotalTime>
  <ScaleCrop>false</ScaleCrop>
  <LinksUpToDate>false</LinksUpToDate>
  <CharactersWithSpaces>20269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2022-07-04T00:54:00Z</cp:lastPrinted>
  <dcterms:modified xsi:type="dcterms:W3CDTF">2022-07-07T06:52:05Z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