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广州市净水有限公司沥滘污水处理厂</w:t>
      </w: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三期加征地块社会稳定风险评估</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lang w:val="en-US" w:eastAsia="zh-CN"/>
        </w:rPr>
        <w:t>项目</w:t>
      </w: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1669"/>
      <w:bookmarkStart w:id="6" w:name="_Toc4275"/>
      <w:bookmarkStart w:id="7" w:name="_Toc31938"/>
      <w:bookmarkStart w:id="8" w:name="_Toc17801"/>
      <w:bookmarkStart w:id="9" w:name="_Toc11322"/>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 xml:space="preserve">沥滘污水处理厂三期项目加征地块社会稳定风险评估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沥滘污水处理厂三期项目加征地块社会稳定风险评估</w:t>
      </w:r>
      <w:bookmarkStart w:id="135" w:name="_GoBack"/>
      <w:bookmarkEnd w:id="135"/>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XJ-20220706-3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10.8万元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负责开展</w:t>
      </w:r>
      <w:r>
        <w:rPr>
          <w:rFonts w:hint="eastAsia" w:ascii="仿宋_GB2312" w:eastAsia="仿宋_GB2312"/>
          <w:color w:val="auto"/>
          <w:sz w:val="28"/>
          <w:szCs w:val="28"/>
          <w:highlight w:val="none"/>
          <w:u w:val="single"/>
        </w:rPr>
        <w:t xml:space="preserve">沥滘污水处理厂三期项目加征地块社会稳定风险评估工作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签订合同后7个工作日提交成果</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广州市海珠区南洲路北侧</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通过广州市规划和自然资源局和广州市规划和自然资源局海珠分局的审查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土地规划乙</w:t>
      </w:r>
      <w:r>
        <w:rPr>
          <w:rFonts w:hint="eastAsia" w:ascii="仿宋_GB2312" w:eastAsia="仿宋_GB2312"/>
          <w:color w:val="auto"/>
          <w:sz w:val="28"/>
          <w:szCs w:val="28"/>
          <w:highlight w:val="none"/>
        </w:rPr>
        <w:t>级</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或以上级别</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一项用地报批社会风险评估</w:t>
      </w:r>
      <w:r>
        <w:rPr>
          <w:rFonts w:hint="eastAsia" w:ascii="仿宋_GB2312" w:eastAsia="仿宋_GB2312"/>
          <w:color w:val="auto"/>
          <w:sz w:val="28"/>
          <w:szCs w:val="28"/>
          <w:highlight w:val="none"/>
        </w:rPr>
        <w:t>项目的业绩。（提供合同复印件证明，包括但不限于项目名称、金额及实施内容、合同签字盖章、</w:t>
      </w:r>
      <w:r>
        <w:rPr>
          <w:rFonts w:hint="eastAsia" w:ascii="仿宋_GB2312" w:eastAsia="仿宋_GB2312"/>
          <w:color w:val="auto"/>
          <w:sz w:val="28"/>
          <w:szCs w:val="28"/>
          <w:highlight w:val="none"/>
          <w:lang w:val="en-US" w:eastAsia="zh-CN"/>
        </w:rPr>
        <w:t>批复报告、</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预约信息填写：</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或：找黄XX，进行“XX项目询价”。</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16557"/>
      <w:bookmarkStart w:id="16" w:name="_Toc32588"/>
      <w:bookmarkStart w:id="17" w:name="_Toc19295"/>
      <w:bookmarkStart w:id="18" w:name="_Toc23749"/>
      <w:bookmarkStart w:id="19" w:name="_Toc7340"/>
      <w:bookmarkStart w:id="20" w:name="_Toc9448"/>
      <w:bookmarkStart w:id="21" w:name="_Toc2324"/>
      <w:bookmarkStart w:id="22" w:name="_Toc2331"/>
      <w:bookmarkStart w:id="23" w:name="_Toc25603"/>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23581"/>
      <w:bookmarkStart w:id="36" w:name="_Toc7118"/>
      <w:bookmarkStart w:id="37" w:name="_Toc3156"/>
      <w:bookmarkStart w:id="38" w:name="_Toc10930"/>
      <w:bookmarkStart w:id="39" w:name="_Toc14552"/>
      <w:bookmarkStart w:id="40" w:name="_Toc4952"/>
      <w:bookmarkStart w:id="41" w:name="_Toc20594"/>
      <w:bookmarkStart w:id="42" w:name="_Toc19050"/>
      <w:bookmarkStart w:id="43" w:name="_Toc7437"/>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1840"/>
      <w:bookmarkStart w:id="46" w:name="_Toc29345"/>
      <w:bookmarkStart w:id="47" w:name="_Toc30530"/>
      <w:bookmarkStart w:id="48" w:name="_Toc7831"/>
      <w:bookmarkStart w:id="49" w:name="_Toc22212"/>
      <w:bookmarkStart w:id="50" w:name="_Toc29484"/>
      <w:bookmarkStart w:id="51" w:name="_Toc6308"/>
      <w:bookmarkStart w:id="52" w:name="_Toc12177"/>
      <w:bookmarkStart w:id="53" w:name="_Toc13898"/>
      <w:bookmarkStart w:id="54" w:name="_Toc88209941"/>
      <w:bookmarkStart w:id="55" w:name="_Toc87616378"/>
      <w:bookmarkStart w:id="56" w:name="_Toc32607"/>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pStyle w:val="2"/>
        <w:ind w:firstLine="0" w:firstLineChars="0"/>
        <w:rPr>
          <w:rFonts w:hint="eastAsia" w:ascii="仿宋_GB2312" w:hAnsi="宋体" w:eastAsia="仿宋_GB2312" w:cs="Times New Roman"/>
          <w:color w:val="auto"/>
          <w:sz w:val="28"/>
          <w:szCs w:val="28"/>
          <w:highlight w:val="none"/>
          <w:lang w:eastAsia="zh-CN"/>
        </w:rPr>
      </w:pPr>
      <w:r>
        <w:rPr>
          <w:rFonts w:hint="eastAsia" w:ascii="仿宋_GB2312" w:hAnsi="宋体" w:eastAsia="仿宋_GB2312" w:cs="Times New Roman"/>
          <w:color w:val="auto"/>
          <w:sz w:val="28"/>
          <w:szCs w:val="28"/>
          <w:highlight w:val="none"/>
        </w:rPr>
        <w:t>项目内容及需求</w:t>
      </w:r>
      <w:r>
        <w:rPr>
          <w:rFonts w:hint="eastAsia" w:ascii="仿宋_GB2312" w:hAnsi="宋体" w:eastAsia="仿宋_GB2312" w:cs="Times New Roman"/>
          <w:color w:val="auto"/>
          <w:sz w:val="28"/>
          <w:szCs w:val="28"/>
          <w:highlight w:val="none"/>
          <w:lang w:eastAsia="zh-CN"/>
        </w:rPr>
        <w:t>：</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在可保障外部条件基本稳定的前提下，在区相关职能部门、基层政府、基层组织等的协助下，通过座谈、访谈、公示、问卷等多种方式相结合，充分听取利益相关群体（群众、企事业单位）等的意见和建议，分门别类梳理各方意见和情况，通过风险识别和估计，研判项目风险等级并提出风险防范化解的综合措施、专项措施及应急预案，再次研判项目风险等级并最终提出结论和建议，形成成果文件《沥滘污水处理厂三期</w:t>
      </w:r>
      <w:r>
        <w:rPr>
          <w:rFonts w:hint="eastAsia" w:ascii="仿宋_GB2312" w:eastAsia="仿宋_GB2312"/>
          <w:color w:val="auto"/>
          <w:sz w:val="28"/>
          <w:szCs w:val="28"/>
          <w:highlight w:val="none"/>
          <w:lang w:val="en-US" w:eastAsia="zh-CN"/>
        </w:rPr>
        <w:t>工程</w:t>
      </w:r>
      <w:r>
        <w:rPr>
          <w:rFonts w:hint="eastAsia" w:ascii="仿宋_GB2312" w:eastAsia="仿宋_GB2312"/>
          <w:color w:val="auto"/>
          <w:sz w:val="28"/>
          <w:szCs w:val="28"/>
          <w:highlight w:val="none"/>
        </w:rPr>
        <w:t>加征地块项目社会稳定风险评估报告》。</w:t>
      </w: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1" w:name="_Toc23353"/>
      <w:bookmarkStart w:id="62" w:name="_Toc23330"/>
      <w:bookmarkStart w:id="63" w:name="_Toc4680"/>
      <w:bookmarkStart w:id="64" w:name="_Toc1496"/>
      <w:bookmarkStart w:id="65" w:name="_Toc18538"/>
      <w:bookmarkStart w:id="66" w:name="_Toc15570"/>
      <w:bookmarkStart w:id="67" w:name="_Toc29835"/>
      <w:bookmarkStart w:id="68" w:name="_Toc25925"/>
      <w:bookmarkStart w:id="69" w:name="_Toc1284"/>
      <w:bookmarkStart w:id="70" w:name="_Toc12135"/>
      <w:bookmarkStart w:id="71" w:name="_Toc53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4"/>
        <w:rPr>
          <w:rFonts w:hint="eastAsia"/>
          <w:color w:val="auto"/>
          <w:highlight w:val="none"/>
        </w:rPr>
      </w:pPr>
      <w:bookmarkStart w:id="72" w:name="_Toc12968"/>
      <w:bookmarkStart w:id="73" w:name="_Toc19686"/>
      <w:bookmarkStart w:id="74" w:name="_Toc22501"/>
      <w:bookmarkStart w:id="75" w:name="_Toc12980"/>
      <w:bookmarkStart w:id="76" w:name="_Toc323"/>
      <w:bookmarkStart w:id="77" w:name="_Toc88209949"/>
      <w:bookmarkStart w:id="78" w:name="_Toc13309"/>
      <w:bookmarkStart w:id="79" w:name="_Toc1375"/>
      <w:bookmarkStart w:id="80" w:name="_Toc12721"/>
      <w:bookmarkStart w:id="81" w:name="_Toc87616386"/>
      <w:bookmarkStart w:id="82" w:name="_Toc19088"/>
      <w:bookmarkStart w:id="83" w:name="_Toc8183"/>
      <w:bookmarkStart w:id="84" w:name="_Toc22797"/>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
      <w:pPr>
        <w:adjustRightInd w:val="0"/>
        <w:snapToGrid w:val="0"/>
        <w:spacing w:line="360" w:lineRule="auto"/>
        <w:ind w:right="560"/>
        <w:rPr>
          <w:b/>
          <w:bCs/>
          <w:sz w:val="28"/>
        </w:rPr>
      </w:pPr>
      <w:r>
        <w:rPr>
          <w:b/>
          <w:bCs/>
          <w:sz w:val="28"/>
        </w:rPr>
        <w:t>合同编号：</w:t>
      </w: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jc w:val="center"/>
        <w:rPr>
          <w:rFonts w:hint="eastAsia" w:eastAsia="楷体"/>
          <w:b/>
          <w:bCs/>
          <w:sz w:val="52"/>
          <w:szCs w:val="52"/>
        </w:rPr>
      </w:pPr>
      <w:r>
        <w:rPr>
          <w:rFonts w:hint="eastAsia" w:eastAsia="楷体"/>
          <w:b/>
          <w:bCs/>
          <w:sz w:val="52"/>
          <w:szCs w:val="52"/>
        </w:rPr>
        <w:t>沥滘污水处理厂三期工程加征地块社会稳定风险评估项目</w:t>
      </w:r>
    </w:p>
    <w:p>
      <w:pPr>
        <w:adjustRightInd w:val="0"/>
        <w:snapToGrid w:val="0"/>
        <w:spacing w:line="360" w:lineRule="auto"/>
        <w:jc w:val="center"/>
        <w:rPr>
          <w:rFonts w:eastAsia="楷体"/>
          <w:b/>
          <w:bCs/>
          <w:sz w:val="52"/>
          <w:szCs w:val="52"/>
        </w:rPr>
      </w:pPr>
      <w:r>
        <w:rPr>
          <w:rFonts w:eastAsia="楷体"/>
          <w:b/>
          <w:bCs/>
          <w:sz w:val="52"/>
          <w:szCs w:val="52"/>
        </w:rPr>
        <w:t>技术</w:t>
      </w:r>
      <w:r>
        <w:rPr>
          <w:rFonts w:hint="eastAsia" w:eastAsia="楷体"/>
          <w:b/>
          <w:bCs/>
          <w:sz w:val="52"/>
          <w:szCs w:val="52"/>
          <w:lang w:val="en-US" w:eastAsia="zh-CN"/>
        </w:rPr>
        <w:t>咨询服务</w:t>
      </w:r>
      <w:r>
        <w:rPr>
          <w:rFonts w:eastAsia="楷体"/>
          <w:b/>
          <w:bCs/>
          <w:sz w:val="52"/>
          <w:szCs w:val="52"/>
        </w:rPr>
        <w:t>合同</w:t>
      </w:r>
    </w:p>
    <w:p>
      <w:pPr>
        <w:adjustRightInd w:val="0"/>
        <w:snapToGrid w:val="0"/>
        <w:spacing w:line="360" w:lineRule="auto"/>
        <w:jc w:val="center"/>
        <w:rPr>
          <w:rFonts w:hint="default" w:eastAsiaTheme="minorEastAsia"/>
          <w:sz w:val="28"/>
          <w:lang w:val="en-US" w:eastAsia="zh-CN"/>
        </w:rPr>
      </w:pPr>
      <w:r>
        <w:rPr>
          <w:rFonts w:hint="eastAsia"/>
          <w:sz w:val="28"/>
          <w:lang w:val="en-US" w:eastAsia="zh-CN"/>
        </w:rPr>
        <w:t>合同编号：穗净水合[2022]   号</w:t>
      </w:r>
    </w:p>
    <w:p>
      <w:pPr>
        <w:adjustRightInd w:val="0"/>
        <w:snapToGrid w:val="0"/>
        <w:spacing w:line="360" w:lineRule="auto"/>
        <w:ind w:left="1605" w:leftChars="258" w:hanging="1063" w:hangingChars="331"/>
        <w:rPr>
          <w:b/>
          <w:bCs/>
          <w:sz w:val="32"/>
        </w:rPr>
      </w:pPr>
    </w:p>
    <w:p>
      <w:pPr>
        <w:adjustRightInd w:val="0"/>
        <w:snapToGrid w:val="0"/>
        <w:spacing w:line="360" w:lineRule="auto"/>
        <w:ind w:left="1605" w:leftChars="258" w:hanging="1063" w:hangingChars="331"/>
        <w:rPr>
          <w:b/>
          <w:bCs/>
          <w:sz w:val="32"/>
        </w:rPr>
      </w:pPr>
    </w:p>
    <w:p>
      <w:pPr>
        <w:adjustRightInd w:val="0"/>
        <w:snapToGrid w:val="0"/>
        <w:spacing w:line="360" w:lineRule="auto"/>
        <w:ind w:left="1605" w:leftChars="258" w:hanging="1063" w:hangingChars="331"/>
        <w:rPr>
          <w:b/>
          <w:bCs/>
          <w:sz w:val="32"/>
        </w:rPr>
      </w:pPr>
    </w:p>
    <w:p>
      <w:pPr>
        <w:tabs>
          <w:tab w:val="left" w:pos="7513"/>
        </w:tabs>
        <w:adjustRightInd w:val="0"/>
        <w:snapToGrid w:val="0"/>
        <w:spacing w:line="480" w:lineRule="auto"/>
        <w:ind w:left="1605" w:leftChars="258" w:hanging="1063" w:hangingChars="331"/>
        <w:rPr>
          <w:kern w:val="28"/>
          <w:sz w:val="32"/>
          <w:szCs w:val="32"/>
          <w:u w:val="single"/>
        </w:rPr>
      </w:pPr>
      <w:r>
        <w:rPr>
          <w:b/>
          <w:bCs/>
          <w:kern w:val="28"/>
          <w:sz w:val="32"/>
          <w:szCs w:val="32"/>
        </w:rPr>
        <w:t>委托方（甲方）：</w:t>
      </w:r>
      <w:r>
        <w:rPr>
          <w:rFonts w:hint="eastAsia"/>
          <w:kern w:val="28"/>
          <w:sz w:val="32"/>
          <w:szCs w:val="32"/>
          <w:u w:val="single"/>
        </w:rPr>
        <w:t>广州</w:t>
      </w:r>
      <w:r>
        <w:rPr>
          <w:kern w:val="28"/>
          <w:sz w:val="32"/>
          <w:szCs w:val="32"/>
          <w:u w:val="single"/>
        </w:rPr>
        <w:t>市净水有限公司</w:t>
      </w:r>
      <w:r>
        <w:rPr>
          <w:rFonts w:hint="eastAsia"/>
          <w:kern w:val="28"/>
          <w:sz w:val="32"/>
          <w:szCs w:val="32"/>
          <w:u w:val="single"/>
        </w:rPr>
        <w:t xml:space="preserve">                  </w:t>
      </w:r>
    </w:p>
    <w:p>
      <w:pPr>
        <w:tabs>
          <w:tab w:val="left" w:pos="7513"/>
        </w:tabs>
        <w:adjustRightInd w:val="0"/>
        <w:snapToGrid w:val="0"/>
        <w:spacing w:line="480" w:lineRule="auto"/>
        <w:ind w:left="1605" w:leftChars="258" w:hanging="1063" w:hangingChars="331"/>
        <w:rPr>
          <w:kern w:val="28"/>
          <w:sz w:val="32"/>
          <w:szCs w:val="32"/>
          <w:u w:val="single"/>
        </w:rPr>
      </w:pPr>
      <w:r>
        <w:rPr>
          <w:b/>
          <w:bCs/>
          <w:kern w:val="28"/>
          <w:sz w:val="32"/>
          <w:szCs w:val="32"/>
        </w:rPr>
        <w:t>受托方（乙方）：</w:t>
      </w:r>
      <w:r>
        <w:rPr>
          <w:rFonts w:hint="eastAsia"/>
          <w:kern w:val="28"/>
          <w:sz w:val="32"/>
          <w:szCs w:val="32"/>
          <w:u w:val="single"/>
          <w:lang w:val="en-US" w:eastAsia="zh-CN"/>
        </w:rPr>
        <w:t xml:space="preserve">                      </w:t>
      </w:r>
      <w:r>
        <w:rPr>
          <w:rFonts w:hint="eastAsia"/>
          <w:kern w:val="28"/>
          <w:sz w:val="32"/>
          <w:szCs w:val="32"/>
          <w:u w:val="single"/>
        </w:rPr>
        <w:t xml:space="preserve">    </w:t>
      </w:r>
      <w:r>
        <w:rPr>
          <w:kern w:val="28"/>
          <w:sz w:val="32"/>
          <w:szCs w:val="32"/>
          <w:u w:val="single"/>
        </w:rPr>
        <w:t xml:space="preserve">   </w:t>
      </w:r>
      <w:r>
        <w:rPr>
          <w:rFonts w:hint="eastAsia"/>
          <w:kern w:val="28"/>
          <w:sz w:val="32"/>
          <w:szCs w:val="32"/>
          <w:u w:val="single"/>
        </w:rPr>
        <w:t xml:space="preserve"> </w:t>
      </w:r>
      <w:r>
        <w:rPr>
          <w:kern w:val="28"/>
          <w:sz w:val="32"/>
          <w:szCs w:val="32"/>
          <w:u w:val="single"/>
        </w:rPr>
        <w:t xml:space="preserve">  </w:t>
      </w:r>
      <w:r>
        <w:rPr>
          <w:rFonts w:hint="eastAsia"/>
          <w:kern w:val="28"/>
          <w:sz w:val="32"/>
          <w:szCs w:val="32"/>
          <w:u w:val="single"/>
        </w:rPr>
        <w:t xml:space="preserve">    </w:t>
      </w:r>
    </w:p>
    <w:p>
      <w:pPr>
        <w:tabs>
          <w:tab w:val="left" w:pos="7513"/>
        </w:tabs>
        <w:adjustRightInd w:val="0"/>
        <w:snapToGrid w:val="0"/>
        <w:spacing w:line="360" w:lineRule="auto"/>
        <w:rPr>
          <w:kern w:val="28"/>
          <w:sz w:val="32"/>
          <w:szCs w:val="32"/>
          <w:u w:val="single"/>
        </w:rPr>
      </w:pPr>
    </w:p>
    <w:p>
      <w:pPr>
        <w:tabs>
          <w:tab w:val="left" w:pos="1418"/>
          <w:tab w:val="left" w:pos="7513"/>
        </w:tabs>
        <w:adjustRightInd w:val="0"/>
        <w:snapToGrid w:val="0"/>
        <w:spacing w:line="360" w:lineRule="auto"/>
        <w:rPr>
          <w:b/>
          <w:bCs/>
          <w:sz w:val="32"/>
        </w:rPr>
      </w:pPr>
    </w:p>
    <w:p>
      <w:pPr>
        <w:adjustRightInd w:val="0"/>
        <w:snapToGrid w:val="0"/>
        <w:spacing w:line="360" w:lineRule="auto"/>
        <w:rPr>
          <w:b/>
          <w:bCs/>
          <w:sz w:val="32"/>
        </w:rPr>
      </w:pPr>
    </w:p>
    <w:p>
      <w:pPr>
        <w:adjustRightInd w:val="0"/>
        <w:snapToGrid w:val="0"/>
        <w:spacing w:line="480" w:lineRule="auto"/>
        <w:ind w:left="540" w:leftChars="257"/>
        <w:rPr>
          <w:sz w:val="32"/>
          <w:u w:val="single"/>
        </w:rPr>
      </w:pPr>
      <w:r>
        <w:rPr>
          <w:b/>
          <w:bCs/>
          <w:sz w:val="32"/>
        </w:rPr>
        <w:t>签  订  时  间：</w:t>
      </w:r>
      <w:r>
        <w:rPr>
          <w:rFonts w:hint="eastAsia"/>
          <w:sz w:val="32"/>
          <w:u w:val="single"/>
        </w:rPr>
        <w:t xml:space="preserve">      年     月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pPr>
        <w:tabs>
          <w:tab w:val="left" w:pos="7655"/>
        </w:tabs>
        <w:adjustRightInd w:val="0"/>
        <w:snapToGrid w:val="0"/>
        <w:spacing w:line="480" w:lineRule="auto"/>
        <w:ind w:left="540" w:leftChars="257"/>
        <w:rPr>
          <w:b/>
          <w:bCs/>
          <w:sz w:val="30"/>
          <w:szCs w:val="30"/>
          <w:u w:val="single"/>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680" w:footer="680" w:gutter="0"/>
          <w:cols w:space="720" w:num="1"/>
          <w:titlePg/>
          <w:docGrid w:linePitch="558" w:charSpace="27140"/>
        </w:sectPr>
      </w:pPr>
      <w:r>
        <w:rPr>
          <w:b/>
          <w:bCs/>
          <w:sz w:val="32"/>
        </w:rPr>
        <w:t>签  订  地  点：</w:t>
      </w:r>
      <w:r>
        <w:rPr>
          <w:rFonts w:hint="eastAsia"/>
          <w:b/>
          <w:bCs/>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pPr>
        <w:adjustRightInd w:val="0"/>
        <w:snapToGrid w:val="0"/>
        <w:spacing w:before="24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甲方委托乙方承担</w:t>
      </w:r>
      <w:r>
        <w:rPr>
          <w:rFonts w:hint="eastAsia" w:ascii="仿宋" w:hAnsi="仿宋" w:eastAsia="仿宋" w:cs="仿宋"/>
          <w:sz w:val="32"/>
          <w:szCs w:val="32"/>
          <w:u w:val="single"/>
        </w:rPr>
        <w:t>沥滘污水处理厂三期工程加征地块社会稳定风险评估报告编制</w:t>
      </w:r>
      <w:r>
        <w:rPr>
          <w:rFonts w:hint="eastAsia" w:ascii="仿宋" w:hAnsi="仿宋" w:eastAsia="仿宋" w:cs="仿宋"/>
          <w:sz w:val="32"/>
          <w:szCs w:val="32"/>
        </w:rPr>
        <w:t>工作</w:t>
      </w:r>
      <w:r>
        <w:rPr>
          <w:rFonts w:hint="eastAsia" w:ascii="仿宋" w:hAnsi="仿宋" w:eastAsia="仿宋" w:cs="仿宋"/>
          <w:sz w:val="32"/>
          <w:szCs w:val="32"/>
          <w:lang w:val="en-US" w:eastAsia="zh-CN"/>
        </w:rPr>
        <w:t>事宜</w:t>
      </w:r>
      <w:r>
        <w:rPr>
          <w:rFonts w:hint="eastAsia" w:ascii="仿宋" w:hAnsi="仿宋" w:eastAsia="仿宋" w:cs="仿宋"/>
          <w:sz w:val="32"/>
          <w:szCs w:val="32"/>
        </w:rPr>
        <w:t>，双方经过平等协商，在真实、充分地表达各自意愿的基础上，根据《中华人民共和国民法典》的规定，达成如下协议，并由双方共同恪守。</w:t>
      </w:r>
    </w:p>
    <w:p>
      <w:pPr>
        <w:spacing w:before="240" w:beforeLines="100" w:line="360" w:lineRule="auto"/>
        <w:ind w:firstLine="643" w:firstLineChars="200"/>
        <w:outlineLvl w:val="0"/>
        <w:rPr>
          <w:rFonts w:hint="eastAsia" w:ascii="仿宋" w:hAnsi="仿宋" w:eastAsia="仿宋" w:cs="仿宋"/>
          <w:sz w:val="32"/>
          <w:szCs w:val="32"/>
        </w:rPr>
      </w:pPr>
      <w:r>
        <w:rPr>
          <w:rFonts w:hint="eastAsia" w:ascii="仿宋" w:hAnsi="仿宋" w:eastAsia="仿宋" w:cs="仿宋"/>
          <w:b/>
          <w:bCs/>
          <w:sz w:val="32"/>
          <w:szCs w:val="32"/>
        </w:rPr>
        <w:t>第一条 技术目标</w:t>
      </w:r>
    </w:p>
    <w:p>
      <w:pPr>
        <w:spacing w:before="240" w:beforeLines="10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照《中华人民共和国土地管理法》（2019年修订）、《关于建立广东省重大事项社会稳定风险评估工作机制的意见》（粤办发〔2011〕3号）和《关于印发国有土地上房屋征收社会稳定风险评估指导意见的通知》（粤建房〔2011〕64号）等相关文件要求，甲方委托乙方完成沥滘污水处理厂三期工程加征地块社会稳定风险评估报告编制工作。</w:t>
      </w:r>
    </w:p>
    <w:p>
      <w:pPr>
        <w:spacing w:before="240" w:beforeLines="100" w:line="360" w:lineRule="auto"/>
        <w:ind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rPr>
        <w:t>第二条 工作范围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u w:val="single"/>
        </w:rPr>
        <w:t>沥滘污水处理厂三期工程加征地块报批范围（具体面积以勘测定界报告为准）</w:t>
      </w:r>
      <w:r>
        <w:rPr>
          <w:rFonts w:hint="eastAsia" w:ascii="仿宋" w:hAnsi="仿宋" w:eastAsia="仿宋" w:cs="仿宋"/>
          <w:sz w:val="32"/>
          <w:szCs w:val="32"/>
        </w:rPr>
        <w:t>。</w:t>
      </w:r>
    </w:p>
    <w:p>
      <w:pPr>
        <w:spacing w:before="240" w:beforeLines="100" w:line="360" w:lineRule="auto"/>
        <w:ind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rPr>
        <w:t>第三条 工作内容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乙方按照相关文件规定和社会稳定风险评估报告编制要求，完成</w:t>
      </w:r>
      <w:r>
        <w:rPr>
          <w:rFonts w:hint="eastAsia" w:ascii="仿宋" w:hAnsi="仿宋" w:eastAsia="仿宋" w:cs="仿宋"/>
          <w:sz w:val="32"/>
          <w:szCs w:val="32"/>
          <w:u w:val="single"/>
        </w:rPr>
        <w:t>沥滘污水处理厂三期工程加征地块社会稳定风险评估报告</w:t>
      </w:r>
      <w:r>
        <w:rPr>
          <w:rFonts w:hint="eastAsia" w:ascii="仿宋" w:hAnsi="仿宋" w:eastAsia="仿宋" w:cs="仿宋"/>
          <w:sz w:val="32"/>
          <w:szCs w:val="32"/>
        </w:rPr>
        <w:t>。</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第四条 工作进度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乙方应按以下进度完成本项目：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1、签订合同后 2 个工作日内，完成基础资料收集工作；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2、在资料收集工作完</w:t>
      </w:r>
      <w:r>
        <w:rPr>
          <w:rFonts w:hint="eastAsia" w:ascii="仿宋" w:hAnsi="仿宋" w:eastAsia="仿宋" w:cs="仿宋"/>
          <w:sz w:val="32"/>
          <w:szCs w:val="32"/>
          <w:lang w:val="en-US" w:eastAsia="zh-CN"/>
        </w:rPr>
        <w:t>成</w:t>
      </w:r>
      <w:r>
        <w:rPr>
          <w:rFonts w:hint="eastAsia" w:ascii="仿宋" w:hAnsi="仿宋" w:eastAsia="仿宋" w:cs="仿宋"/>
          <w:sz w:val="32"/>
          <w:szCs w:val="32"/>
        </w:rPr>
        <w:t>后 2 个工作日内，完成成果编制工作并向甲方提供初稿；甲方如对成果有异议时，应自收到初稿之日起15个工作日内向乙方提出书面意见。否则，即视为甲方无意见。</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如甲方提出修改意见，乙方应于</w:t>
      </w:r>
      <w:r>
        <w:rPr>
          <w:rFonts w:hint="eastAsia" w:ascii="仿宋" w:hAnsi="仿宋" w:eastAsia="仿宋" w:cs="仿宋"/>
          <w:sz w:val="32"/>
          <w:szCs w:val="32"/>
        </w:rPr>
        <w:t>收到甲方意见后 3个工作日内</w:t>
      </w:r>
      <w:r>
        <w:rPr>
          <w:rFonts w:hint="eastAsia" w:ascii="仿宋" w:hAnsi="仿宋" w:eastAsia="仿宋" w:cs="仿宋"/>
          <w:sz w:val="32"/>
          <w:szCs w:val="32"/>
          <w:lang w:val="en-US" w:eastAsia="zh-CN"/>
        </w:rPr>
        <w:t>修改完毕并</w:t>
      </w:r>
      <w:r>
        <w:rPr>
          <w:rFonts w:hint="eastAsia" w:ascii="仿宋" w:hAnsi="仿宋" w:eastAsia="仿宋" w:cs="仿宋"/>
          <w:sz w:val="32"/>
          <w:szCs w:val="32"/>
        </w:rPr>
        <w:t>向广州市规划和自然资源局和广州市规划和自然资源局</w:t>
      </w:r>
      <w:r>
        <w:rPr>
          <w:rFonts w:hint="eastAsia" w:ascii="仿宋" w:hAnsi="仿宋" w:eastAsia="仿宋" w:cs="仿宋"/>
          <w:sz w:val="32"/>
          <w:szCs w:val="32"/>
          <w:lang w:val="en-US" w:eastAsia="zh-CN"/>
        </w:rPr>
        <w:t>海珠</w:t>
      </w:r>
      <w:r>
        <w:rPr>
          <w:rFonts w:hint="eastAsia" w:ascii="仿宋" w:hAnsi="仿宋" w:eastAsia="仿宋" w:cs="仿宋"/>
          <w:sz w:val="32"/>
          <w:szCs w:val="32"/>
        </w:rPr>
        <w:t>分局提交正式成</w:t>
      </w:r>
      <w:r>
        <w:rPr>
          <w:rFonts w:hint="eastAsia" w:ascii="仿宋" w:hAnsi="仿宋" w:eastAsia="仿宋" w:cs="仿宋"/>
          <w:color w:val="000000"/>
          <w:sz w:val="32"/>
          <w:szCs w:val="32"/>
        </w:rPr>
        <w:t>果。</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自然资源部和广东省自然资源厅另有规定的，从其规定。</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第五条 甲方权利、义务</w:t>
      </w:r>
    </w:p>
    <w:p>
      <w:pPr>
        <w:numPr>
          <w:ilvl w:val="0"/>
          <w:numId w:val="4"/>
        </w:numPr>
        <w:adjustRightInd w:val="0"/>
        <w:snapToGrid w:val="0"/>
        <w:spacing w:before="24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甲方权利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1、有权要求乙方按照本合同约定提交技术服务成果；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2、有权随时对乙方的服务进行监督检查；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3、有权要求乙方对其服务过程中存在的问题进行整改；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4、有权要求乙方提供相关的技术资料和必要的技术指导；</w:t>
      </w:r>
    </w:p>
    <w:p>
      <w:pPr>
        <w:numPr>
          <w:ilvl w:val="0"/>
          <w:numId w:val="4"/>
        </w:numPr>
        <w:adjustRightInd w:val="0"/>
        <w:snapToGrid w:val="0"/>
        <w:spacing w:before="24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甲方义务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1、按约定支付本项目技术服务报酬；</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2、甲方应向乙方提供并允许其使用本项目必需的相关信息、数据等资料；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3、甲方应为执行本项目的需要向乙方提供必要协助和配合；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4、甲方应指派一名代表，与乙方进行及时联络；</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第六条 乙方权利、义务</w:t>
      </w:r>
    </w:p>
    <w:p>
      <w:pPr>
        <w:numPr>
          <w:ilvl w:val="0"/>
          <w:numId w:val="5"/>
        </w:numPr>
        <w:spacing w:before="240" w:beforeLines="100" w:line="360" w:lineRule="auto"/>
        <w:outlineLvl w:val="0"/>
        <w:rPr>
          <w:rFonts w:hint="eastAsia" w:ascii="仿宋" w:hAnsi="仿宋" w:eastAsia="仿宋" w:cs="仿宋"/>
          <w:color w:val="000000"/>
          <w:sz w:val="32"/>
          <w:szCs w:val="32"/>
        </w:rPr>
      </w:pPr>
      <w:r>
        <w:rPr>
          <w:rFonts w:hint="eastAsia" w:ascii="仿宋" w:hAnsi="仿宋" w:eastAsia="仿宋" w:cs="仿宋"/>
          <w:color w:val="000000"/>
          <w:sz w:val="32"/>
          <w:szCs w:val="32"/>
        </w:rPr>
        <w:t>乙方权利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1、乙方有权依据本合同约定获取相应的报酬；</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2、发现甲方提供的技术资料、数据不符合合同约定时，有权在接到上述资料的后 5 天内，通知甲方改进或者更换。超过上述期限不提出改进或更换要求的，视为甲方提供的资料和工作条件已符合合同约定。</w:t>
      </w:r>
    </w:p>
    <w:p>
      <w:pPr>
        <w:numPr>
          <w:ilvl w:val="0"/>
          <w:numId w:val="5"/>
        </w:numPr>
        <w:spacing w:before="240" w:beforeLines="100" w:line="360" w:lineRule="auto"/>
        <w:outlineLvl w:val="0"/>
        <w:rPr>
          <w:rFonts w:hint="eastAsia" w:ascii="仿宋" w:hAnsi="仿宋" w:eastAsia="仿宋" w:cs="仿宋"/>
          <w:color w:val="000000"/>
          <w:sz w:val="32"/>
          <w:szCs w:val="32"/>
        </w:rPr>
      </w:pPr>
      <w:r>
        <w:rPr>
          <w:rFonts w:hint="eastAsia" w:ascii="仿宋" w:hAnsi="仿宋" w:eastAsia="仿宋" w:cs="仿宋"/>
          <w:color w:val="000000"/>
          <w:sz w:val="32"/>
          <w:szCs w:val="32"/>
        </w:rPr>
        <w:t>乙方义务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1、按照约定完成本项目所要求的工作内容，保证工作质量；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2、乙方应指派一名代表监督、协调技术服务的执行情况；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3、乙方应及时向甲方汇报项目进展状况，甲方有权定期检查并监督乙方的工作进度，乙方应予以配合；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4、按本合同要求承担保密及知识产权方面的义务；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5、乙方应提供真实有效发票。</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第七条 成果要求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文字材料：沥滘污水处理厂三期工程加征地块社会稳定风险评估报告。</w:t>
      </w:r>
    </w:p>
    <w:p>
      <w:pPr>
        <w:spacing w:before="240" w:beforeLines="100"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以上成果内容需符合广州市规划和自然资源局和广州市规划和自然资源局白云分局的审查要求，如被上级主管部门退回或要求修改完善，由乙方负责修订和重新上报直至获批，费用已包含在合同总价中。若被上级主管部门退回或要求修改完善达两次以上，甲方有权要求乙方退还已支付的合同款项并按合同总价的 10%支付违约金</w:t>
      </w:r>
      <w:r>
        <w:rPr>
          <w:rFonts w:hint="eastAsia" w:ascii="仿宋" w:hAnsi="仿宋" w:eastAsia="仿宋" w:cs="仿宋"/>
          <w:sz w:val="32"/>
          <w:szCs w:val="32"/>
          <w:lang w:val="en-US" w:eastAsia="zh-CN"/>
        </w:rPr>
        <w:t>并</w:t>
      </w:r>
      <w:r>
        <w:rPr>
          <w:rFonts w:hint="eastAsia" w:ascii="仿宋" w:hAnsi="仿宋" w:eastAsia="仿宋" w:cs="仿宋"/>
          <w:sz w:val="32"/>
          <w:szCs w:val="32"/>
        </w:rPr>
        <w:t>解除合同。</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第八条 成果验收方式</w:t>
      </w:r>
    </w:p>
    <w:p>
      <w:pPr>
        <w:adjustRightInd w:val="0"/>
        <w:snapToGrid w:val="0"/>
        <w:spacing w:before="24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乙方应当按以下方式向甲方交付成果：</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1、成果交付的形式及数量：按广州市规划和自然资源局和广州市规划和自然资源局</w:t>
      </w:r>
      <w:r>
        <w:rPr>
          <w:rFonts w:hint="eastAsia" w:ascii="仿宋" w:hAnsi="仿宋" w:eastAsia="仿宋" w:cs="仿宋"/>
          <w:sz w:val="32"/>
          <w:szCs w:val="32"/>
          <w:lang w:val="en-US" w:eastAsia="zh-CN"/>
        </w:rPr>
        <w:t>海珠</w:t>
      </w:r>
      <w:r>
        <w:rPr>
          <w:rFonts w:hint="eastAsia" w:ascii="仿宋" w:hAnsi="仿宋" w:eastAsia="仿宋" w:cs="仿宋"/>
          <w:sz w:val="32"/>
          <w:szCs w:val="32"/>
        </w:rPr>
        <w:t>分局的有关要求交付经最终审批通过后的成果，提交数量应能满足甲方上报要求。并</w:t>
      </w:r>
      <w:r>
        <w:rPr>
          <w:rFonts w:hint="eastAsia" w:ascii="仿宋" w:hAnsi="仿宋" w:eastAsia="仿宋" w:cs="仿宋"/>
          <w:color w:val="000000"/>
          <w:sz w:val="32"/>
          <w:szCs w:val="32"/>
        </w:rPr>
        <w:t>于</w:t>
      </w:r>
      <w:r>
        <w:rPr>
          <w:rFonts w:hint="eastAsia" w:ascii="仿宋" w:hAnsi="仿宋" w:eastAsia="仿宋" w:cs="仿宋"/>
          <w:color w:val="000000"/>
          <w:sz w:val="32"/>
          <w:szCs w:val="32"/>
          <w:highlight w:val="yellow"/>
        </w:rPr>
        <w:t>202</w:t>
      </w:r>
      <w:r>
        <w:rPr>
          <w:rFonts w:hint="eastAsia" w:ascii="仿宋" w:hAnsi="仿宋" w:eastAsia="仿宋" w:cs="仿宋"/>
          <w:color w:val="000000"/>
          <w:sz w:val="32"/>
          <w:szCs w:val="32"/>
          <w:highlight w:val="yellow"/>
          <w:lang w:val="en-US" w:eastAsia="zh-CN"/>
        </w:rPr>
        <w:t>2</w:t>
      </w:r>
      <w:r>
        <w:rPr>
          <w:rFonts w:hint="eastAsia" w:ascii="仿宋" w:hAnsi="仿宋" w:eastAsia="仿宋" w:cs="仿宋"/>
          <w:color w:val="000000"/>
          <w:sz w:val="32"/>
          <w:szCs w:val="32"/>
          <w:highlight w:val="yellow"/>
        </w:rPr>
        <w:t>年</w:t>
      </w:r>
      <w:r>
        <w:rPr>
          <w:rFonts w:hint="eastAsia" w:ascii="仿宋" w:hAnsi="仿宋" w:eastAsia="仿宋" w:cs="仿宋"/>
          <w:color w:val="000000"/>
          <w:sz w:val="32"/>
          <w:szCs w:val="32"/>
          <w:highlight w:val="yellow"/>
          <w:lang w:val="en-US" w:eastAsia="zh-CN"/>
        </w:rPr>
        <w:t xml:space="preserve">  </w:t>
      </w:r>
      <w:r>
        <w:rPr>
          <w:rFonts w:hint="eastAsia" w:ascii="仿宋" w:hAnsi="仿宋" w:eastAsia="仿宋" w:cs="仿宋"/>
          <w:color w:val="000000"/>
          <w:sz w:val="32"/>
          <w:szCs w:val="32"/>
          <w:highlight w:val="yellow"/>
        </w:rPr>
        <w:t>月</w:t>
      </w:r>
      <w:r>
        <w:rPr>
          <w:rFonts w:hint="eastAsia" w:ascii="仿宋" w:hAnsi="仿宋" w:eastAsia="仿宋" w:cs="仿宋"/>
          <w:color w:val="000000"/>
          <w:sz w:val="32"/>
          <w:szCs w:val="32"/>
          <w:highlight w:val="yellow"/>
          <w:lang w:val="en-US" w:eastAsia="zh-CN"/>
        </w:rPr>
        <w:t xml:space="preserve">  </w:t>
      </w:r>
      <w:r>
        <w:rPr>
          <w:rFonts w:hint="eastAsia" w:ascii="仿宋" w:hAnsi="仿宋" w:eastAsia="仿宋" w:cs="仿宋"/>
          <w:color w:val="000000"/>
          <w:sz w:val="32"/>
          <w:szCs w:val="32"/>
          <w:highlight w:val="yellow"/>
        </w:rPr>
        <w:t>日</w:t>
      </w:r>
      <w:r>
        <w:rPr>
          <w:rFonts w:hint="eastAsia" w:ascii="仿宋" w:hAnsi="仿宋" w:eastAsia="仿宋" w:cs="仿宋"/>
          <w:color w:val="000000"/>
          <w:sz w:val="32"/>
          <w:szCs w:val="32"/>
        </w:rPr>
        <w:t>前提交正式成果。</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2、成果验收标准：按省、市相关验收标准。</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3、验收方法：</w:t>
      </w:r>
      <w:r>
        <w:rPr>
          <w:rFonts w:hint="eastAsia" w:ascii="仿宋" w:hAnsi="仿宋" w:eastAsia="仿宋" w:cs="仿宋"/>
          <w:color w:val="000000"/>
          <w:sz w:val="32"/>
          <w:szCs w:val="32"/>
        </w:rPr>
        <w:t>通过</w:t>
      </w:r>
      <w:r>
        <w:rPr>
          <w:rFonts w:hint="eastAsia" w:ascii="仿宋" w:hAnsi="仿宋" w:eastAsia="仿宋" w:cs="仿宋"/>
          <w:sz w:val="32"/>
          <w:szCs w:val="32"/>
        </w:rPr>
        <w:t>广州市规划和自然资源局和广州市规划和自然资源局</w:t>
      </w:r>
      <w:r>
        <w:rPr>
          <w:rFonts w:hint="eastAsia" w:ascii="仿宋" w:hAnsi="仿宋" w:eastAsia="仿宋" w:cs="仿宋"/>
          <w:sz w:val="32"/>
          <w:szCs w:val="32"/>
          <w:lang w:val="en-US" w:eastAsia="zh-CN"/>
        </w:rPr>
        <w:t>海珠</w:t>
      </w:r>
      <w:r>
        <w:rPr>
          <w:rFonts w:hint="eastAsia" w:ascii="仿宋" w:hAnsi="仿宋" w:eastAsia="仿宋" w:cs="仿宋"/>
          <w:sz w:val="32"/>
          <w:szCs w:val="32"/>
        </w:rPr>
        <w:t>分局的</w:t>
      </w:r>
      <w:r>
        <w:rPr>
          <w:rFonts w:hint="eastAsia" w:ascii="仿宋" w:hAnsi="仿宋" w:eastAsia="仿宋" w:cs="仿宋"/>
          <w:color w:val="000000"/>
          <w:sz w:val="32"/>
          <w:szCs w:val="32"/>
        </w:rPr>
        <w:t>审查。</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第九条 费用支付</w:t>
      </w:r>
    </w:p>
    <w:p>
      <w:pPr>
        <w:adjustRightInd w:val="0"/>
        <w:snapToGrid w:val="0"/>
        <w:spacing w:before="24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本合同</w:t>
      </w:r>
      <w:r>
        <w:rPr>
          <w:rFonts w:hint="eastAsia" w:ascii="仿宋" w:hAnsi="仿宋" w:eastAsia="仿宋" w:cs="仿宋"/>
          <w:color w:val="000000"/>
          <w:sz w:val="32"/>
          <w:szCs w:val="32"/>
        </w:rPr>
        <w:t>为固定总价包干，</w:t>
      </w:r>
      <w:r>
        <w:rPr>
          <w:rFonts w:hint="eastAsia" w:ascii="仿宋" w:hAnsi="仿宋" w:eastAsia="仿宋" w:cs="仿宋"/>
          <w:color w:val="000000"/>
          <w:sz w:val="32"/>
          <w:szCs w:val="32"/>
          <w:lang w:val="en-US" w:eastAsia="zh-CN"/>
        </w:rPr>
        <w:t>合同金额</w:t>
      </w:r>
      <w:r>
        <w:rPr>
          <w:rFonts w:hint="eastAsia" w:ascii="仿宋" w:hAnsi="仿宋" w:eastAsia="仿宋" w:cs="仿宋"/>
          <w:color w:val="000000"/>
          <w:sz w:val="32"/>
          <w:szCs w:val="32"/>
        </w:rPr>
        <w:t>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含税</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（大写：</w:t>
      </w:r>
      <w:r>
        <w:rPr>
          <w:rFonts w:hint="eastAsia" w:ascii="仿宋" w:hAnsi="仿宋" w:eastAsia="仿宋" w:cs="仿宋"/>
          <w:color w:val="000000"/>
          <w:sz w:val="32"/>
          <w:szCs w:val="32"/>
          <w:u w:val="single"/>
          <w:lang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元整）。双方协议技术服务费按以下方式支付：</w:t>
      </w:r>
    </w:p>
    <w:p>
      <w:pPr>
        <w:adjustRightInd w:val="0"/>
        <w:snapToGrid w:val="0"/>
        <w:spacing w:line="360" w:lineRule="auto"/>
        <w:ind w:firstLine="640" w:firstLineChars="200"/>
        <w:rPr>
          <w:rFonts w:hint="eastAsia"/>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1</w:t>
      </w:r>
      <w:r>
        <w:rPr>
          <w:rFonts w:hint="eastAsia" w:ascii="仿宋" w:hAnsi="仿宋" w:eastAsia="仿宋" w:cs="仿宋"/>
          <w:sz w:val="32"/>
          <w:szCs w:val="32"/>
        </w:rPr>
        <w:t>）</w:t>
      </w:r>
      <w:r>
        <w:rPr>
          <w:rFonts w:hint="eastAsia" w:ascii="仿宋" w:hAnsi="仿宋" w:eastAsia="仿宋" w:cs="仿宋"/>
          <w:sz w:val="32"/>
          <w:szCs w:val="32"/>
          <w:u w:val="single"/>
          <w:lang w:val="en-US" w:eastAsia="zh-CN" w:bidi="ar"/>
        </w:rPr>
        <w:t>乙方向甲方</w:t>
      </w:r>
      <w:r>
        <w:rPr>
          <w:rFonts w:hint="eastAsia"/>
          <w:sz w:val="32"/>
          <w:szCs w:val="32"/>
          <w:lang w:bidi="ar"/>
        </w:rPr>
        <w:t>提交初稿后，由乙方提交申请支付资料后20个工作日内</w:t>
      </w:r>
      <w:r>
        <w:rPr>
          <w:rFonts w:hint="eastAsia"/>
          <w:sz w:val="32"/>
          <w:szCs w:val="32"/>
          <w:lang w:eastAsia="zh-CN" w:bidi="ar"/>
        </w:rPr>
        <w:t>，甲方支付合同暂定总价的</w:t>
      </w:r>
      <w:r>
        <w:rPr>
          <w:rFonts w:hint="eastAsia"/>
          <w:sz w:val="32"/>
          <w:szCs w:val="32"/>
          <w:u w:val="single"/>
          <w:lang w:val="en-US" w:eastAsia="zh-CN" w:bidi="ar"/>
        </w:rPr>
        <w:t xml:space="preserve">    %</w:t>
      </w:r>
      <w:r>
        <w:rPr>
          <w:rFonts w:hint="eastAsia"/>
          <w:sz w:val="32"/>
          <w:szCs w:val="32"/>
          <w:lang w:eastAsia="zh-CN" w:bidi="ar"/>
        </w:rPr>
        <w:t>即</w:t>
      </w:r>
      <w:r>
        <w:rPr>
          <w:rFonts w:hint="eastAsia"/>
          <w:sz w:val="32"/>
          <w:szCs w:val="32"/>
          <w:u w:val="single"/>
          <w:lang w:val="en-US" w:eastAsia="zh-CN" w:bidi="ar"/>
        </w:rPr>
        <w:t xml:space="preserve">   </w:t>
      </w:r>
      <w:r>
        <w:rPr>
          <w:rFonts w:hint="eastAsia"/>
          <w:sz w:val="32"/>
          <w:szCs w:val="32"/>
          <w:lang w:eastAsia="zh-CN" w:bidi="ar"/>
        </w:rPr>
        <w:t>元，（大写：…）</w:t>
      </w:r>
      <w:r>
        <w:rPr>
          <w:rFonts w:hint="eastAsia"/>
          <w:sz w:val="32"/>
          <w:szCs w:val="32"/>
        </w:rPr>
        <w:t>；</w:t>
      </w:r>
    </w:p>
    <w:p>
      <w:pPr>
        <w:adjustRightInd w:val="0"/>
        <w:snapToGrid w:val="0"/>
        <w:spacing w:line="360" w:lineRule="auto"/>
        <w:ind w:firstLine="640" w:firstLineChars="200"/>
        <w:rPr>
          <w:rFonts w:hint="eastAsia"/>
          <w:sz w:val="32"/>
          <w:szCs w:val="32"/>
          <w:lang w:bidi="ar"/>
        </w:rPr>
      </w:pPr>
      <w:r>
        <w:rPr>
          <w:rFonts w:hint="eastAsia"/>
          <w:sz w:val="32"/>
          <w:szCs w:val="32"/>
        </w:rPr>
        <w:t>（</w:t>
      </w:r>
      <w:r>
        <w:rPr>
          <w:rFonts w:hint="eastAsia"/>
          <w:sz w:val="32"/>
          <w:szCs w:val="32"/>
          <w:lang w:val="en-US" w:eastAsia="zh-CN"/>
        </w:rPr>
        <w:t>2</w:t>
      </w:r>
      <w:r>
        <w:rPr>
          <w:rFonts w:hint="eastAsia"/>
          <w:sz w:val="32"/>
          <w:szCs w:val="32"/>
        </w:rPr>
        <w:t>）</w:t>
      </w:r>
      <w:r>
        <w:rPr>
          <w:rFonts w:hint="eastAsia"/>
          <w:sz w:val="32"/>
          <w:szCs w:val="32"/>
          <w:lang w:val="en-US" w:eastAsia="zh-CN"/>
        </w:rPr>
        <w:t>评估报告</w:t>
      </w:r>
      <w:r>
        <w:rPr>
          <w:rFonts w:hint="eastAsia"/>
          <w:sz w:val="32"/>
          <w:szCs w:val="32"/>
          <w:lang w:bidi="ar"/>
        </w:rPr>
        <w:t>通过</w:t>
      </w:r>
      <w:r>
        <w:rPr>
          <w:rFonts w:hint="eastAsia"/>
          <w:sz w:val="32"/>
          <w:szCs w:val="32"/>
        </w:rPr>
        <w:t>广州市规划和自然资源局和广州市规划和自然资源局</w:t>
      </w:r>
      <w:r>
        <w:rPr>
          <w:rFonts w:hint="eastAsia"/>
          <w:sz w:val="32"/>
          <w:szCs w:val="32"/>
          <w:lang w:val="en-US" w:eastAsia="zh-CN"/>
        </w:rPr>
        <w:t>海珠</w:t>
      </w:r>
      <w:r>
        <w:rPr>
          <w:rFonts w:hint="eastAsia"/>
          <w:sz w:val="32"/>
          <w:szCs w:val="32"/>
        </w:rPr>
        <w:t>分局</w:t>
      </w:r>
      <w:r>
        <w:rPr>
          <w:rFonts w:hint="eastAsia"/>
          <w:sz w:val="32"/>
          <w:szCs w:val="32"/>
          <w:lang w:bidi="ar"/>
        </w:rPr>
        <w:t>审查后</w:t>
      </w:r>
      <w:r>
        <w:rPr>
          <w:rFonts w:hint="eastAsia"/>
          <w:sz w:val="32"/>
          <w:szCs w:val="32"/>
          <w:lang w:eastAsia="zh-CN" w:bidi="ar"/>
        </w:rPr>
        <w:t>，</w:t>
      </w:r>
      <w:r>
        <w:rPr>
          <w:rFonts w:hint="eastAsia"/>
          <w:sz w:val="32"/>
          <w:szCs w:val="32"/>
          <w:lang w:bidi="ar"/>
        </w:rPr>
        <w:t>由乙方提交申请支付资料后20个工作日内</w:t>
      </w:r>
      <w:r>
        <w:rPr>
          <w:rFonts w:hint="eastAsia"/>
          <w:sz w:val="32"/>
          <w:szCs w:val="32"/>
          <w:lang w:eastAsia="zh-CN" w:bidi="ar"/>
        </w:rPr>
        <w:t>，</w:t>
      </w:r>
      <w:r>
        <w:rPr>
          <w:rFonts w:hint="eastAsia"/>
          <w:sz w:val="32"/>
          <w:szCs w:val="32"/>
          <w:lang w:bidi="ar"/>
        </w:rPr>
        <w:t>甲方</w:t>
      </w:r>
      <w:r>
        <w:rPr>
          <w:rFonts w:hint="eastAsia"/>
          <w:sz w:val="32"/>
          <w:szCs w:val="32"/>
          <w:lang w:val="en-US" w:eastAsia="zh-CN" w:bidi="ar"/>
        </w:rPr>
        <w:t>向乙方</w:t>
      </w:r>
      <w:r>
        <w:rPr>
          <w:rFonts w:hint="eastAsia"/>
          <w:sz w:val="32"/>
          <w:szCs w:val="32"/>
          <w:lang w:bidi="ar"/>
        </w:rPr>
        <w:t>支付剩余</w:t>
      </w:r>
      <w:r>
        <w:rPr>
          <w:rFonts w:hint="eastAsia"/>
          <w:sz w:val="32"/>
          <w:szCs w:val="32"/>
          <w:lang w:val="en-US" w:eastAsia="zh-CN" w:bidi="ar"/>
        </w:rPr>
        <w:t>款项即</w:t>
      </w:r>
      <w:r>
        <w:rPr>
          <w:rFonts w:hint="eastAsia"/>
          <w:color w:val="000000"/>
          <w:sz w:val="32"/>
          <w:szCs w:val="32"/>
        </w:rPr>
        <w:t>￥</w:t>
      </w:r>
      <w:r>
        <w:rPr>
          <w:rFonts w:hint="eastAsia"/>
          <w:color w:val="000000"/>
          <w:sz w:val="32"/>
          <w:szCs w:val="32"/>
          <w:u w:val="single"/>
        </w:rPr>
        <w:t xml:space="preserve"> </w:t>
      </w:r>
      <w:r>
        <w:rPr>
          <w:rFonts w:hint="eastAsia"/>
          <w:color w:val="000000"/>
          <w:sz w:val="32"/>
          <w:szCs w:val="32"/>
          <w:u w:val="single"/>
          <w:lang w:val="en-US" w:eastAsia="zh-CN"/>
        </w:rPr>
        <w:t xml:space="preserve">   </w:t>
      </w:r>
      <w:r>
        <w:rPr>
          <w:rFonts w:hint="eastAsia"/>
          <w:color w:val="000000"/>
          <w:sz w:val="32"/>
          <w:szCs w:val="32"/>
          <w:u w:val="single"/>
        </w:rPr>
        <w:t xml:space="preserve"> </w:t>
      </w:r>
      <w:r>
        <w:rPr>
          <w:rFonts w:hint="eastAsia"/>
          <w:color w:val="000000"/>
          <w:sz w:val="32"/>
          <w:szCs w:val="32"/>
        </w:rPr>
        <w:t>元（大写：</w:t>
      </w:r>
      <w:r>
        <w:rPr>
          <w:rFonts w:hint="eastAsia"/>
          <w:color w:val="000000"/>
          <w:sz w:val="32"/>
          <w:szCs w:val="32"/>
          <w:u w:val="single"/>
        </w:rPr>
        <w:t>人民币</w:t>
      </w:r>
      <w:r>
        <w:rPr>
          <w:rFonts w:hint="eastAsia"/>
          <w:color w:val="000000"/>
          <w:sz w:val="32"/>
          <w:szCs w:val="32"/>
          <w:u w:val="single"/>
          <w:lang w:val="en-US" w:eastAsia="zh-CN"/>
        </w:rPr>
        <w:t xml:space="preserve">   </w:t>
      </w:r>
      <w:r>
        <w:rPr>
          <w:rFonts w:hint="eastAsia"/>
          <w:sz w:val="32"/>
          <w:szCs w:val="32"/>
          <w:lang w:bidi="ar"/>
        </w:rPr>
        <w:t>）。</w:t>
      </w:r>
    </w:p>
    <w:p>
      <w:pPr>
        <w:adjustRightInd w:val="0"/>
        <w:snapToGrid w:val="0"/>
        <w:spacing w:line="360" w:lineRule="auto"/>
        <w:ind w:firstLine="640" w:firstLineChars="200"/>
        <w:rPr>
          <w:rFonts w:hint="eastAsia"/>
          <w:sz w:val="32"/>
          <w:szCs w:val="32"/>
          <w:lang w:bidi="ar"/>
        </w:rPr>
      </w:pPr>
      <w:r>
        <w:rPr>
          <w:rFonts w:hint="eastAsia"/>
          <w:sz w:val="32"/>
          <w:szCs w:val="32"/>
          <w:lang w:bidi="ar"/>
        </w:rPr>
        <w:t>乙方每次收款前应提供等额合法有效的</w:t>
      </w:r>
      <w:r>
        <w:rPr>
          <w:rFonts w:hint="eastAsia"/>
          <w:sz w:val="32"/>
          <w:szCs w:val="32"/>
          <w:lang w:val="en-US" w:eastAsia="zh-CN" w:bidi="ar"/>
        </w:rPr>
        <w:t>发票</w:t>
      </w:r>
      <w:r>
        <w:rPr>
          <w:rFonts w:hint="eastAsia"/>
          <w:sz w:val="32"/>
          <w:szCs w:val="32"/>
          <w:lang w:bidi="ar"/>
        </w:rPr>
        <w:t>给甲方。</w:t>
      </w:r>
    </w:p>
    <w:p>
      <w:pPr>
        <w:adjustRightInd w:val="0"/>
        <w:snapToGrid w:val="0"/>
        <w:spacing w:line="360" w:lineRule="auto"/>
        <w:ind w:firstLine="640" w:firstLineChars="200"/>
        <w:rPr>
          <w:rFonts w:hint="eastAsia"/>
          <w:color w:val="000000"/>
          <w:sz w:val="32"/>
          <w:szCs w:val="32"/>
        </w:rPr>
      </w:pPr>
      <w:r>
        <w:rPr>
          <w:rFonts w:hint="eastAsia"/>
          <w:color w:val="000000"/>
          <w:sz w:val="32"/>
          <w:szCs w:val="32"/>
        </w:rPr>
        <w:t>乙方开户银行及帐户：</w:t>
      </w:r>
    </w:p>
    <w:p>
      <w:pPr>
        <w:adjustRightInd w:val="0"/>
        <w:snapToGrid w:val="0"/>
        <w:spacing w:line="360" w:lineRule="auto"/>
        <w:ind w:firstLine="640" w:firstLineChars="200"/>
        <w:rPr>
          <w:rFonts w:hint="eastAsia"/>
          <w:color w:val="000000"/>
          <w:sz w:val="32"/>
          <w:szCs w:val="32"/>
        </w:rPr>
      </w:pPr>
      <w:r>
        <w:rPr>
          <w:rFonts w:hint="eastAsia"/>
          <w:color w:val="000000"/>
          <w:sz w:val="32"/>
          <w:szCs w:val="32"/>
        </w:rPr>
        <w:t>开户银行：</w:t>
      </w:r>
    </w:p>
    <w:p>
      <w:pPr>
        <w:adjustRightInd w:val="0"/>
        <w:snapToGrid w:val="0"/>
        <w:spacing w:line="360" w:lineRule="auto"/>
        <w:ind w:firstLine="640" w:firstLineChars="200"/>
        <w:rPr>
          <w:rFonts w:hint="eastAsia"/>
          <w:b/>
          <w:color w:val="000000"/>
          <w:sz w:val="32"/>
          <w:szCs w:val="32"/>
        </w:rPr>
      </w:pPr>
      <w:r>
        <w:rPr>
          <w:rFonts w:hint="eastAsia"/>
          <w:color w:val="000000"/>
          <w:sz w:val="32"/>
          <w:szCs w:val="32"/>
        </w:rPr>
        <w:t>开 户 名：</w:t>
      </w:r>
    </w:p>
    <w:p>
      <w:pPr>
        <w:adjustRightInd w:val="0"/>
        <w:snapToGrid w:val="0"/>
        <w:spacing w:line="360" w:lineRule="auto"/>
        <w:ind w:firstLine="640" w:firstLineChars="200"/>
        <w:rPr>
          <w:rFonts w:hint="eastAsia"/>
          <w:color w:val="000000"/>
          <w:sz w:val="32"/>
          <w:szCs w:val="32"/>
        </w:rPr>
      </w:pPr>
      <w:r>
        <w:rPr>
          <w:rFonts w:hint="eastAsia"/>
          <w:color w:val="000000"/>
          <w:sz w:val="32"/>
          <w:szCs w:val="32"/>
        </w:rPr>
        <w:t>帐    号：</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乙方帐户如有变动，应在</w:t>
      </w:r>
      <w:r>
        <w:rPr>
          <w:rFonts w:hint="eastAsia"/>
          <w:color w:val="000000"/>
          <w:sz w:val="32"/>
          <w:szCs w:val="32"/>
          <w:lang w:val="en-US" w:eastAsia="zh-CN"/>
        </w:rPr>
        <w:t>提交请款资料时</w:t>
      </w:r>
      <w:r>
        <w:rPr>
          <w:rFonts w:hint="eastAsia"/>
          <w:color w:val="000000"/>
          <w:sz w:val="32"/>
          <w:szCs w:val="32"/>
        </w:rPr>
        <w:t>以书面形式通知甲方，否则由此造成的付款错误责任，由乙方自行承担。</w:t>
      </w:r>
    </w:p>
    <w:p>
      <w:pPr>
        <w:spacing w:before="240" w:beforeLines="100" w:line="360" w:lineRule="auto"/>
        <w:ind w:firstLine="643" w:firstLineChars="200"/>
        <w:outlineLvl w:val="0"/>
        <w:rPr>
          <w:rFonts w:hint="eastAsia"/>
          <w:b/>
          <w:bCs/>
          <w:color w:val="000000"/>
          <w:sz w:val="32"/>
          <w:szCs w:val="32"/>
        </w:rPr>
      </w:pPr>
      <w:r>
        <w:rPr>
          <w:rFonts w:hint="eastAsia"/>
          <w:b/>
          <w:bCs/>
          <w:color w:val="000000"/>
          <w:sz w:val="32"/>
          <w:szCs w:val="32"/>
        </w:rPr>
        <w:t>第十条 保密义务</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1、保密范围：甲方的工作背景等基础数据和研究方法，乙方的技术信息和经营信息。</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2、保密涉及人员：本项目双方的工作人员。</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3、保密期限：十年。</w:t>
      </w:r>
    </w:p>
    <w:p>
      <w:pPr>
        <w:spacing w:before="240" w:beforeLines="100" w:line="360" w:lineRule="auto"/>
        <w:ind w:firstLine="643" w:firstLineChars="200"/>
        <w:outlineLvl w:val="0"/>
        <w:rPr>
          <w:rFonts w:hint="eastAsia"/>
          <w:b/>
          <w:bCs/>
          <w:color w:val="000000"/>
          <w:sz w:val="32"/>
          <w:szCs w:val="32"/>
        </w:rPr>
      </w:pPr>
      <w:r>
        <w:rPr>
          <w:rFonts w:hint="eastAsia"/>
          <w:b/>
          <w:bCs/>
          <w:color w:val="000000"/>
          <w:sz w:val="32"/>
          <w:szCs w:val="32"/>
        </w:rPr>
        <w:t>第十</w:t>
      </w:r>
      <w:r>
        <w:rPr>
          <w:rFonts w:hint="eastAsia"/>
          <w:b/>
          <w:bCs/>
          <w:color w:val="000000"/>
          <w:sz w:val="32"/>
          <w:szCs w:val="32"/>
          <w:lang w:val="en-US" w:eastAsia="zh-CN"/>
        </w:rPr>
        <w:t>一</w:t>
      </w:r>
      <w:r>
        <w:rPr>
          <w:rFonts w:hint="eastAsia"/>
          <w:b/>
          <w:bCs/>
          <w:color w:val="000000"/>
          <w:sz w:val="32"/>
          <w:szCs w:val="32"/>
        </w:rPr>
        <w:t>条 违约责任</w:t>
      </w:r>
    </w:p>
    <w:p>
      <w:pPr>
        <w:adjustRightInd w:val="0"/>
        <w:snapToGrid w:val="0"/>
        <w:spacing w:before="240" w:line="360" w:lineRule="auto"/>
        <w:ind w:firstLine="640" w:firstLineChars="200"/>
        <w:rPr>
          <w:rFonts w:hint="eastAsia"/>
          <w:color w:val="000000"/>
          <w:sz w:val="32"/>
          <w:szCs w:val="32"/>
        </w:rPr>
      </w:pPr>
      <w:r>
        <w:rPr>
          <w:rFonts w:hint="eastAsia"/>
          <w:color w:val="000000"/>
          <w:sz w:val="32"/>
          <w:szCs w:val="32"/>
        </w:rPr>
        <w:t>1、乙方违反本合同第四条约定，延迟交付成果</w:t>
      </w:r>
      <w:r>
        <w:rPr>
          <w:rFonts w:hint="eastAsia"/>
          <w:color w:val="000000"/>
          <w:sz w:val="32"/>
          <w:szCs w:val="32"/>
          <w:lang w:val="en-US" w:eastAsia="zh-CN"/>
        </w:rPr>
        <w:t>的，每迟延一天应向甲方支付合同金额千分之五的违约金，</w:t>
      </w:r>
      <w:r>
        <w:rPr>
          <w:rFonts w:hint="eastAsia"/>
          <w:color w:val="000000"/>
          <w:sz w:val="32"/>
          <w:szCs w:val="32"/>
        </w:rPr>
        <w:t>达20天及以上，甲方有权要求退还已付合同款项并解除合同。</w:t>
      </w:r>
    </w:p>
    <w:p>
      <w:pPr>
        <w:spacing w:line="360" w:lineRule="auto"/>
        <w:ind w:firstLine="640" w:firstLineChars="200"/>
        <w:rPr>
          <w:rFonts w:hint="eastAsia"/>
          <w:color w:val="000000"/>
          <w:sz w:val="32"/>
          <w:szCs w:val="32"/>
        </w:rPr>
      </w:pPr>
      <w:r>
        <w:rPr>
          <w:rFonts w:hint="eastAsia"/>
          <w:color w:val="000000"/>
          <w:sz w:val="32"/>
          <w:szCs w:val="32"/>
        </w:rPr>
        <w:t>2、若因甲方的原因造成合同终止，乙方根据合同终止时完成的工作量收取相应的服务费用，具体金额由根据乙方完成的工作量通过协商确定，但不得超过甲方已付服务费用。</w:t>
      </w:r>
    </w:p>
    <w:p>
      <w:pPr>
        <w:spacing w:before="240"/>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3、在合同有效期内，乙方自愿接受甲方按《广州市净水有限公司经营建设项目参建企业不诚信行为管理办法》处理，具体处罚标准详见附件2。</w:t>
      </w:r>
    </w:p>
    <w:p>
      <w:pPr>
        <w:adjustRightInd w:val="0"/>
        <w:snapToGrid w:val="0"/>
        <w:spacing w:before="240" w:line="360" w:lineRule="auto"/>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第十</w:t>
      </w:r>
      <w:r>
        <w:rPr>
          <w:rFonts w:hint="eastAsia" w:ascii="仿宋" w:hAnsi="仿宋" w:eastAsia="仿宋" w:cs="仿宋"/>
          <w:b/>
          <w:color w:val="000000"/>
          <w:sz w:val="32"/>
          <w:szCs w:val="32"/>
          <w:lang w:val="en-US" w:eastAsia="zh-CN"/>
        </w:rPr>
        <w:t>二</w:t>
      </w:r>
      <w:r>
        <w:rPr>
          <w:rFonts w:hint="eastAsia" w:ascii="仿宋" w:hAnsi="仿宋" w:eastAsia="仿宋" w:cs="仿宋"/>
          <w:b/>
          <w:color w:val="000000"/>
          <w:sz w:val="32"/>
          <w:szCs w:val="32"/>
        </w:rPr>
        <w:t>条 不可抗力</w:t>
      </w:r>
    </w:p>
    <w:p>
      <w:pPr>
        <w:adjustRightInd w:val="0"/>
        <w:snapToGrid w:val="0"/>
        <w:spacing w:before="24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双方确定，因发生不可抗力或技术风险，致使本合同的履行成为不必要或不可能的，一方可以通知另一方解除本合同。</w:t>
      </w:r>
    </w:p>
    <w:p>
      <w:pPr>
        <w:adjustRightInd w:val="0"/>
        <w:snapToGrid w:val="0"/>
        <w:spacing w:before="240"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1、任一方因发生不可抗力致使本合同的履行成为不必要或不可能的，该方有权全部或部分中止履行本合同项下的义务，并不承担违约责任。</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2、声称受到不可抗力影响的一方， 应在发生不可抗力或知道发生不可抗力之后5日内书面通知另一方,详细描述不可抗力的发生情况和对该方履行在本合同项下义务的影响,同时附上此种不可抗力事件及其持续时间的有效证明文件。</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before="240" w:line="360" w:lineRule="auto"/>
        <w:ind w:firstLine="640" w:firstLineChars="200"/>
        <w:rPr>
          <w:rFonts w:hint="eastAsia" w:ascii="仿宋" w:hAnsi="仿宋" w:eastAsia="仿宋" w:cs="仿宋"/>
          <w:color w:val="000000"/>
          <w:sz w:val="32"/>
          <w:szCs w:val="32"/>
        </w:rPr>
      </w:pP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条 争议的解决</w:t>
      </w:r>
    </w:p>
    <w:p>
      <w:pPr>
        <w:adjustRightInd w:val="0"/>
        <w:snapToGrid w:val="0"/>
        <w:spacing w:before="240" w:line="360" w:lineRule="auto"/>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1、合同履行过程中发生的任何争议，如双方未能通过友好协</w:t>
      </w:r>
      <w:r>
        <w:rPr>
          <w:rFonts w:hint="eastAsia" w:ascii="仿宋" w:hAnsi="仿宋" w:eastAsia="仿宋" w:cs="仿宋"/>
          <w:sz w:val="32"/>
          <w:szCs w:val="32"/>
        </w:rPr>
        <w:t>商解决，</w:t>
      </w:r>
      <w:r>
        <w:rPr>
          <w:rFonts w:hint="eastAsia" w:ascii="仿宋" w:hAnsi="仿宋" w:eastAsia="仿宋" w:cs="仿宋"/>
          <w:sz w:val="32"/>
          <w:szCs w:val="32"/>
          <w:lang w:val="en-US" w:eastAsia="zh-CN"/>
        </w:rPr>
        <w:t>双方均可</w:t>
      </w:r>
      <w:r>
        <w:rPr>
          <w:rFonts w:hint="eastAsia" w:ascii="仿宋" w:hAnsi="仿宋" w:eastAsia="仿宋" w:cs="仿宋"/>
          <w:sz w:val="32"/>
          <w:szCs w:val="32"/>
        </w:rPr>
        <w:t>向甲方所在地的人民法院提起诉讼。</w:t>
      </w:r>
    </w:p>
    <w:p>
      <w:pPr>
        <w:adjustRightInd w:val="0"/>
        <w:snapToGrid w:val="0"/>
        <w:spacing w:before="24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2、法院审理期间，除提交法院审理的事项外，合同其他事项和条款仍应继续履行。</w:t>
      </w: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条 名词解释</w:t>
      </w:r>
    </w:p>
    <w:p>
      <w:pPr>
        <w:adjustRightInd w:val="0"/>
        <w:snapToGrid w:val="0"/>
        <w:spacing w:before="24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本合同书未尽事项，</w:t>
      </w:r>
      <w:r>
        <w:rPr>
          <w:rFonts w:hint="eastAsia" w:ascii="仿宋" w:hAnsi="仿宋" w:eastAsia="仿宋" w:cs="仿宋"/>
          <w:color w:val="000000"/>
          <w:sz w:val="32"/>
          <w:szCs w:val="32"/>
          <w:lang w:val="en-US" w:eastAsia="zh-CN"/>
        </w:rPr>
        <w:t>双方可</w:t>
      </w:r>
      <w:r>
        <w:rPr>
          <w:rFonts w:hint="eastAsia" w:ascii="仿宋" w:hAnsi="仿宋" w:eastAsia="仿宋" w:cs="仿宋"/>
          <w:color w:val="000000"/>
          <w:sz w:val="32"/>
          <w:szCs w:val="32"/>
        </w:rPr>
        <w:t>另行</w:t>
      </w:r>
      <w:r>
        <w:rPr>
          <w:rFonts w:hint="eastAsia" w:ascii="仿宋" w:hAnsi="仿宋" w:eastAsia="仿宋" w:cs="仿宋"/>
          <w:color w:val="000000"/>
          <w:sz w:val="32"/>
          <w:szCs w:val="32"/>
          <w:lang w:val="en-US" w:eastAsia="zh-CN"/>
        </w:rPr>
        <w:t>签订补充协议</w:t>
      </w:r>
      <w:r>
        <w:rPr>
          <w:rFonts w:hint="eastAsia" w:ascii="仿宋" w:hAnsi="仿宋" w:eastAsia="仿宋" w:cs="仿宋"/>
          <w:color w:val="000000"/>
          <w:sz w:val="32"/>
          <w:szCs w:val="32"/>
        </w:rPr>
        <w:t>。</w:t>
      </w:r>
    </w:p>
    <w:p>
      <w:pPr>
        <w:pStyle w:val="2"/>
        <w:rPr>
          <w:rFonts w:hint="eastAsia"/>
          <w:b w:val="0"/>
          <w:bCs w:val="0"/>
          <w:color w:val="000000"/>
          <w:sz w:val="24"/>
          <w:szCs w:val="24"/>
        </w:rPr>
      </w:pPr>
    </w:p>
    <w:p>
      <w:pPr>
        <w:spacing w:before="240" w:beforeLines="100" w:line="360" w:lineRule="auto"/>
        <w:ind w:firstLine="643" w:firstLineChars="2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 xml:space="preserve">条  </w:t>
      </w:r>
      <w:r>
        <w:rPr>
          <w:rFonts w:hint="eastAsia" w:ascii="仿宋" w:hAnsi="仿宋" w:eastAsia="仿宋" w:cs="仿宋"/>
          <w:bCs/>
          <w:color w:val="000000"/>
          <w:sz w:val="32"/>
          <w:szCs w:val="32"/>
        </w:rPr>
        <w:t>本合同经甲方、乙方签</w:t>
      </w:r>
      <w:r>
        <w:rPr>
          <w:rFonts w:hint="eastAsia" w:ascii="仿宋" w:hAnsi="仿宋" w:eastAsia="仿宋" w:cs="仿宋"/>
          <w:bCs/>
          <w:color w:val="000000"/>
          <w:sz w:val="32"/>
          <w:szCs w:val="32"/>
          <w:lang w:val="en-US" w:eastAsia="zh-CN"/>
        </w:rPr>
        <w:t>名</w:t>
      </w:r>
      <w:r>
        <w:rPr>
          <w:rFonts w:hint="eastAsia" w:ascii="仿宋" w:hAnsi="仿宋" w:eastAsia="仿宋" w:cs="仿宋"/>
          <w:bCs/>
          <w:color w:val="000000"/>
          <w:sz w:val="32"/>
          <w:szCs w:val="32"/>
        </w:rPr>
        <w:t>盖章后生效</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本合同一式</w:t>
      </w:r>
      <w:r>
        <w:rPr>
          <w:rFonts w:hint="eastAsia" w:ascii="仿宋" w:hAnsi="仿宋" w:eastAsia="仿宋" w:cs="仿宋"/>
          <w:bCs/>
          <w:color w:val="000000"/>
          <w:sz w:val="32"/>
          <w:szCs w:val="32"/>
          <w:u w:val="single"/>
        </w:rPr>
        <w:t xml:space="preserve"> 捌 </w:t>
      </w:r>
      <w:r>
        <w:rPr>
          <w:rFonts w:hint="eastAsia" w:ascii="仿宋" w:hAnsi="仿宋" w:eastAsia="仿宋" w:cs="仿宋"/>
          <w:bCs/>
          <w:color w:val="000000"/>
          <w:sz w:val="32"/>
          <w:szCs w:val="32"/>
        </w:rPr>
        <w:t>份，甲方执</w:t>
      </w:r>
      <w:r>
        <w:rPr>
          <w:rFonts w:hint="eastAsia" w:ascii="仿宋" w:hAnsi="仿宋" w:eastAsia="仿宋" w:cs="仿宋"/>
          <w:bCs/>
          <w:color w:val="000000"/>
          <w:sz w:val="32"/>
          <w:szCs w:val="32"/>
          <w:u w:val="single"/>
        </w:rPr>
        <w:t xml:space="preserve"> 伍</w:t>
      </w:r>
      <w:r>
        <w:rPr>
          <w:rFonts w:hint="eastAsia" w:ascii="仿宋" w:hAnsi="仿宋" w:eastAsia="仿宋" w:cs="仿宋"/>
          <w:bCs/>
          <w:color w:val="000000"/>
          <w:sz w:val="32"/>
          <w:szCs w:val="32"/>
        </w:rPr>
        <w:t>份，乙方执</w:t>
      </w:r>
      <w:r>
        <w:rPr>
          <w:rFonts w:hint="eastAsia" w:ascii="仿宋" w:hAnsi="仿宋" w:eastAsia="仿宋" w:cs="仿宋"/>
          <w:bCs/>
          <w:color w:val="000000"/>
          <w:sz w:val="32"/>
          <w:szCs w:val="32"/>
          <w:u w:val="single"/>
        </w:rPr>
        <w:t xml:space="preserve"> 叁 </w:t>
      </w:r>
      <w:r>
        <w:rPr>
          <w:rFonts w:hint="eastAsia" w:ascii="仿宋" w:hAnsi="仿宋" w:eastAsia="仿宋" w:cs="仿宋"/>
          <w:bCs/>
          <w:color w:val="000000"/>
          <w:sz w:val="32"/>
          <w:szCs w:val="32"/>
        </w:rPr>
        <w:t>份，具有同等法律效力。</w:t>
      </w:r>
    </w:p>
    <w:p>
      <w:pPr>
        <w:numPr>
          <w:ilvl w:val="0"/>
          <w:numId w:val="6"/>
        </w:numPr>
        <w:adjustRightInd w:val="0"/>
        <w:snapToGrid w:val="0"/>
        <w:spacing w:before="0" w:beforeLines="-2147483648" w:line="560" w:lineRule="exact"/>
        <w:ind w:firstLine="0" w:firstLineChars="0"/>
        <w:jc w:val="left"/>
        <w:outlineLvl w:val="9"/>
        <w:rPr>
          <w:rFonts w:hint="eastAsia" w:ascii="仿宋" w:hAnsi="仿宋" w:eastAsia="仿宋" w:cs="仿宋"/>
          <w:bCs/>
          <w:color w:val="000000"/>
          <w:sz w:val="32"/>
          <w:szCs w:val="32"/>
        </w:rPr>
      </w:pPr>
      <w:r>
        <w:rPr>
          <w:rFonts w:hint="eastAsia" w:ascii="仿宋" w:hAnsi="仿宋" w:eastAsia="仿宋" w:cs="仿宋"/>
          <w:b/>
          <w:bCs/>
          <w:color w:val="000000"/>
          <w:sz w:val="32"/>
          <w:szCs w:val="32"/>
        </w:rPr>
        <w:t>第十</w:t>
      </w:r>
      <w:r>
        <w:rPr>
          <w:rFonts w:hint="eastAsia" w:ascii="仿宋" w:hAnsi="仿宋" w:eastAsia="仿宋" w:cs="仿宋"/>
          <w:b/>
          <w:bCs/>
          <w:color w:val="000000"/>
          <w:sz w:val="32"/>
          <w:szCs w:val="32"/>
          <w:lang w:val="en-US" w:eastAsia="zh-CN"/>
        </w:rPr>
        <w:t>六</w:t>
      </w:r>
      <w:r>
        <w:rPr>
          <w:rFonts w:hint="eastAsia" w:ascii="仿宋" w:hAnsi="仿宋" w:eastAsia="仿宋" w:cs="仿宋"/>
          <w:b/>
          <w:bCs/>
          <w:color w:val="000000"/>
          <w:sz w:val="32"/>
          <w:szCs w:val="32"/>
        </w:rPr>
        <w:t>条</w:t>
      </w:r>
      <w:r>
        <w:rPr>
          <w:rFonts w:hint="eastAsia" w:ascii="仿宋" w:hAnsi="仿宋" w:eastAsia="仿宋" w:cs="仿宋"/>
          <w:bCs/>
          <w:color w:val="000000"/>
          <w:sz w:val="32"/>
          <w:szCs w:val="32"/>
          <w:lang w:val="en-US" w:eastAsia="zh-CN"/>
        </w:rPr>
        <w:t>本合同附件是合同不可分割的一部分，具有相同的法律效力，具体附件如下：</w:t>
      </w:r>
    </w:p>
    <w:p>
      <w:pPr>
        <w:spacing w:line="36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附件：</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廉洁协议</w:t>
      </w:r>
    </w:p>
    <w:p>
      <w:pPr>
        <w:pStyle w:val="2"/>
        <w:ind w:firstLine="1600" w:firstLineChars="500"/>
        <w:rPr>
          <w:rFonts w:hint="eastAsia" w:ascii="仿宋" w:hAnsi="仿宋" w:eastAsia="仿宋" w:cs="仿宋"/>
          <w:sz w:val="32"/>
          <w:szCs w:val="32"/>
          <w:lang w:val="en-US" w:eastAsia="zh-CN"/>
        </w:rPr>
      </w:pPr>
      <w:r>
        <w:rPr>
          <w:rFonts w:hint="eastAsia" w:ascii="仿宋" w:hAnsi="仿宋" w:eastAsia="仿宋" w:cs="仿宋"/>
          <w:bCs/>
          <w:color w:val="000000"/>
          <w:sz w:val="32"/>
          <w:szCs w:val="32"/>
          <w:lang w:val="en-US" w:eastAsia="zh-CN"/>
        </w:rPr>
        <w:t>2.不诚信行为的情形及相应被暂停参与投标活动的处理标准</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（以下无正文）</w:t>
      </w:r>
    </w:p>
    <w:p>
      <w:pPr>
        <w:spacing w:line="360" w:lineRule="auto"/>
        <w:ind w:firstLine="640" w:firstLineChars="200"/>
        <w:rPr>
          <w:rFonts w:hint="eastAsia" w:ascii="仿宋" w:hAnsi="仿宋" w:eastAsia="仿宋" w:cs="仿宋"/>
          <w:b/>
          <w:bCs/>
          <w:color w:val="000000"/>
          <w:sz w:val="32"/>
          <w:szCs w:val="32"/>
        </w:rPr>
      </w:pPr>
      <w:r>
        <w:rPr>
          <w:rFonts w:hint="eastAsia" w:ascii="仿宋" w:hAnsi="仿宋" w:eastAsia="仿宋" w:cs="仿宋"/>
          <w:sz w:val="32"/>
          <w:szCs w:val="32"/>
        </w:rPr>
        <w:br w:type="page"/>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（本页无正文，为</w:t>
      </w:r>
      <w:r>
        <w:rPr>
          <w:rFonts w:hint="eastAsia" w:ascii="仿宋" w:hAnsi="仿宋" w:eastAsia="仿宋" w:cs="仿宋"/>
          <w:sz w:val="32"/>
          <w:szCs w:val="32"/>
          <w:u w:val="single"/>
        </w:rPr>
        <w:t xml:space="preserve"> 沥滘污水处理厂三期工程加征地块社会稳定风险评估项目</w:t>
      </w:r>
      <w:r>
        <w:rPr>
          <w:rFonts w:hint="eastAsia" w:ascii="仿宋" w:hAnsi="仿宋" w:eastAsia="仿宋" w:cs="仿宋"/>
          <w:sz w:val="32"/>
          <w:szCs w:val="32"/>
        </w:rPr>
        <w:t>的签署页）</w:t>
      </w:r>
    </w:p>
    <w:p>
      <w:pPr>
        <w:adjustRightInd w:val="0"/>
        <w:snapToGrid w:val="0"/>
        <w:spacing w:line="360" w:lineRule="auto"/>
        <w:jc w:val="left"/>
        <w:rPr>
          <w:rFonts w:hint="eastAsia" w:ascii="仿宋" w:hAnsi="仿宋" w:eastAsia="仿宋" w:cs="仿宋"/>
          <w:b/>
          <w:bCs/>
          <w:sz w:val="32"/>
          <w:szCs w:val="32"/>
        </w:rPr>
      </w:pPr>
    </w:p>
    <w:p>
      <w:pPr>
        <w:adjustRightInd w:val="0"/>
        <w:snapToGrid w:val="0"/>
        <w:spacing w:line="800" w:lineRule="exact"/>
        <w:rPr>
          <w:rFonts w:hint="eastAsia" w:ascii="仿宋" w:hAnsi="仿宋" w:eastAsia="仿宋" w:cs="仿宋"/>
          <w:color w:val="000000"/>
          <w:sz w:val="32"/>
          <w:szCs w:val="32"/>
        </w:rPr>
      </w:pPr>
      <w:r>
        <w:rPr>
          <w:rFonts w:hint="eastAsia" w:ascii="仿宋" w:hAnsi="仿宋" w:eastAsia="仿宋" w:cs="仿宋"/>
          <w:b/>
          <w:bCs/>
          <w:color w:val="000000"/>
          <w:sz w:val="32"/>
          <w:szCs w:val="32"/>
        </w:rPr>
        <w:t>甲方</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rPr>
        <w:t xml:space="preserve">  广州市净水有限公司                     </w:t>
      </w:r>
      <w:r>
        <w:rPr>
          <w:rFonts w:hint="eastAsia" w:ascii="仿宋" w:hAnsi="仿宋" w:eastAsia="仿宋" w:cs="仿宋"/>
          <w:color w:val="000000"/>
          <w:sz w:val="32"/>
          <w:szCs w:val="32"/>
        </w:rPr>
        <w:t>（盖章）</w:t>
      </w:r>
    </w:p>
    <w:p>
      <w:pPr>
        <w:adjustRightInd w:val="0"/>
        <w:snapToGrid w:val="0"/>
        <w:spacing w:line="800" w:lineRule="exact"/>
        <w:rPr>
          <w:rFonts w:hint="eastAsia" w:ascii="仿宋" w:hAnsi="仿宋" w:eastAsia="仿宋" w:cs="仿宋"/>
          <w:color w:val="000000"/>
          <w:sz w:val="32"/>
          <w:szCs w:val="32"/>
          <w:u w:val="single"/>
        </w:rPr>
      </w:pPr>
      <w:r>
        <w:rPr>
          <w:rFonts w:hint="eastAsia" w:ascii="仿宋" w:hAnsi="仿宋" w:eastAsia="仿宋" w:cs="仿宋"/>
          <w:b/>
          <w:bCs/>
          <w:color w:val="000000"/>
          <w:sz w:val="32"/>
          <w:szCs w:val="32"/>
        </w:rPr>
        <w:t>法定代表人/委托代理人</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rPr>
        <w:t xml:space="preserve">                    （签字或盖章）</w:t>
      </w:r>
    </w:p>
    <w:p>
      <w:pPr>
        <w:widowControl/>
        <w:adjustRightInd w:val="0"/>
        <w:snapToGrid w:val="0"/>
        <w:spacing w:line="800" w:lineRule="exact"/>
        <w:rPr>
          <w:rFonts w:hint="eastAsia" w:ascii="仿宋" w:hAnsi="仿宋" w:eastAsia="仿宋" w:cs="仿宋"/>
          <w:sz w:val="32"/>
          <w:szCs w:val="32"/>
          <w:u w:val="single"/>
        </w:rPr>
      </w:pPr>
      <w:r>
        <w:rPr>
          <w:rFonts w:hint="eastAsia" w:ascii="仿宋" w:hAnsi="仿宋" w:eastAsia="仿宋" w:cs="仿宋"/>
          <w:b/>
          <w:sz w:val="32"/>
          <w:szCs w:val="32"/>
        </w:rPr>
        <w:t>通讯地址</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广州市天河区临江大道501号</w:t>
      </w:r>
      <w:r>
        <w:rPr>
          <w:rFonts w:hint="eastAsia" w:ascii="仿宋" w:hAnsi="仿宋" w:eastAsia="仿宋" w:cs="仿宋"/>
          <w:sz w:val="32"/>
          <w:szCs w:val="32"/>
          <w:u w:val="single"/>
        </w:rPr>
        <w:t xml:space="preserve">                                           </w:t>
      </w:r>
    </w:p>
    <w:p>
      <w:pPr>
        <w:widowControl/>
        <w:adjustRightInd w:val="0"/>
        <w:snapToGrid w:val="0"/>
        <w:spacing w:line="800" w:lineRule="exact"/>
        <w:rPr>
          <w:rFonts w:hint="eastAsia" w:ascii="仿宋" w:hAnsi="仿宋" w:eastAsia="仿宋" w:cs="仿宋"/>
          <w:sz w:val="32"/>
          <w:szCs w:val="32"/>
        </w:rPr>
      </w:pPr>
      <w:r>
        <w:rPr>
          <w:rFonts w:hint="eastAsia" w:ascii="仿宋" w:hAnsi="仿宋" w:eastAsia="仿宋" w:cs="仿宋"/>
          <w:b/>
          <w:sz w:val="32"/>
          <w:szCs w:val="32"/>
        </w:rPr>
        <w:t>电    话</w:t>
      </w:r>
      <w:r>
        <w:rPr>
          <w:rFonts w:hint="eastAsia" w:ascii="仿宋" w:hAnsi="仿宋" w:eastAsia="仿宋" w:cs="仿宋"/>
          <w:sz w:val="32"/>
          <w:szCs w:val="32"/>
        </w:rPr>
        <w:t>：</w:t>
      </w:r>
      <w:r>
        <w:rPr>
          <w:rFonts w:hint="eastAsia" w:ascii="仿宋" w:hAnsi="仿宋" w:eastAsia="仿宋" w:cs="仿宋"/>
          <w:sz w:val="32"/>
          <w:szCs w:val="32"/>
          <w:u w:val="single"/>
        </w:rPr>
        <w:t xml:space="preserve">  020-38890</w:t>
      </w:r>
      <w:r>
        <w:rPr>
          <w:rFonts w:hint="eastAsia" w:ascii="仿宋" w:hAnsi="仿宋" w:eastAsia="仿宋" w:cs="仿宋"/>
          <w:sz w:val="32"/>
          <w:szCs w:val="32"/>
          <w:u w:val="single"/>
          <w:lang w:val="en-US" w:eastAsia="zh-CN"/>
        </w:rPr>
        <w:t xml:space="preserve">822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传  真：</w:t>
      </w:r>
      <w:r>
        <w:rPr>
          <w:rFonts w:hint="eastAsia" w:ascii="仿宋" w:hAnsi="仿宋" w:eastAsia="仿宋" w:cs="仿宋"/>
          <w:sz w:val="32"/>
          <w:szCs w:val="32"/>
          <w:u w:val="single"/>
        </w:rPr>
        <w:t xml:space="preserve">                  </w:t>
      </w:r>
    </w:p>
    <w:p>
      <w:pPr>
        <w:adjustRightInd w:val="0"/>
        <w:snapToGrid w:val="0"/>
        <w:spacing w:line="800" w:lineRule="exact"/>
        <w:rPr>
          <w:rFonts w:hint="eastAsia" w:ascii="仿宋" w:hAnsi="仿宋" w:eastAsia="仿宋" w:cs="仿宋"/>
          <w:color w:val="000000"/>
          <w:sz w:val="32"/>
          <w:szCs w:val="32"/>
        </w:rPr>
      </w:pPr>
      <w:r>
        <w:rPr>
          <w:rFonts w:hint="eastAsia" w:ascii="仿宋" w:hAnsi="仿宋" w:eastAsia="仿宋" w:cs="仿宋"/>
          <w:b/>
          <w:color w:val="000000"/>
          <w:sz w:val="32"/>
          <w:szCs w:val="32"/>
        </w:rPr>
        <w:t>签订日期</w:t>
      </w:r>
      <w:r>
        <w:rPr>
          <w:rFonts w:hint="eastAsia" w:ascii="仿宋" w:hAnsi="仿宋" w:eastAsia="仿宋" w:cs="仿宋"/>
          <w:color w:val="000000"/>
          <w:sz w:val="32"/>
          <w:szCs w:val="32"/>
        </w:rPr>
        <w:t>：     年    月   日</w:t>
      </w:r>
    </w:p>
    <w:p>
      <w:pPr>
        <w:adjustRightInd w:val="0"/>
        <w:snapToGrid w:val="0"/>
        <w:spacing w:line="800" w:lineRule="exact"/>
        <w:rPr>
          <w:rFonts w:hint="eastAsia" w:ascii="仿宋" w:hAnsi="仿宋" w:eastAsia="仿宋" w:cs="仿宋"/>
          <w:color w:val="000000"/>
          <w:sz w:val="32"/>
          <w:szCs w:val="32"/>
        </w:rPr>
      </w:pPr>
    </w:p>
    <w:p>
      <w:pPr>
        <w:adjustRightInd w:val="0"/>
        <w:snapToGrid w:val="0"/>
        <w:spacing w:line="800" w:lineRule="exact"/>
        <w:rPr>
          <w:rFonts w:hint="eastAsia" w:ascii="仿宋" w:hAnsi="仿宋" w:eastAsia="仿宋" w:cs="仿宋"/>
          <w:color w:val="000000"/>
          <w:sz w:val="32"/>
          <w:szCs w:val="32"/>
        </w:rPr>
      </w:pPr>
      <w:r>
        <w:rPr>
          <w:rFonts w:hint="eastAsia" w:ascii="仿宋" w:hAnsi="仿宋" w:eastAsia="仿宋" w:cs="仿宋"/>
          <w:b/>
          <w:bCs/>
          <w:color w:val="000000"/>
          <w:sz w:val="32"/>
          <w:szCs w:val="32"/>
        </w:rPr>
        <w:t>乙方</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（盖章）</w:t>
      </w:r>
    </w:p>
    <w:p>
      <w:pPr>
        <w:adjustRightInd w:val="0"/>
        <w:snapToGrid w:val="0"/>
        <w:spacing w:line="800" w:lineRule="exact"/>
        <w:rPr>
          <w:rFonts w:hint="eastAsia" w:ascii="仿宋" w:hAnsi="仿宋" w:eastAsia="仿宋" w:cs="仿宋"/>
          <w:color w:val="000000"/>
          <w:sz w:val="32"/>
          <w:szCs w:val="32"/>
          <w:u w:val="single"/>
        </w:rPr>
      </w:pPr>
      <w:r>
        <w:rPr>
          <w:rFonts w:hint="eastAsia" w:ascii="仿宋" w:hAnsi="仿宋" w:eastAsia="仿宋" w:cs="仿宋"/>
          <w:b/>
          <w:bCs/>
          <w:color w:val="000000"/>
          <w:sz w:val="32"/>
          <w:szCs w:val="32"/>
        </w:rPr>
        <w:t>法定代表人/委托代理人</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 xml:space="preserve">                  （签字或盖章）</w:t>
      </w:r>
    </w:p>
    <w:p>
      <w:pPr>
        <w:widowControl/>
        <w:adjustRightInd w:val="0"/>
        <w:snapToGrid w:val="0"/>
        <w:spacing w:line="800" w:lineRule="exact"/>
        <w:rPr>
          <w:rFonts w:hint="eastAsia" w:ascii="仿宋" w:hAnsi="仿宋" w:eastAsia="仿宋" w:cs="仿宋"/>
          <w:sz w:val="32"/>
          <w:szCs w:val="32"/>
          <w:u w:val="single"/>
        </w:rPr>
      </w:pPr>
      <w:r>
        <w:rPr>
          <w:rFonts w:hint="eastAsia" w:ascii="仿宋" w:hAnsi="仿宋" w:eastAsia="仿宋" w:cs="仿宋"/>
          <w:b/>
          <w:sz w:val="32"/>
          <w:szCs w:val="32"/>
        </w:rPr>
        <w:t>通讯地址</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widowControl/>
        <w:adjustRightInd w:val="0"/>
        <w:snapToGrid w:val="0"/>
        <w:spacing w:line="800" w:lineRule="exact"/>
        <w:rPr>
          <w:rFonts w:hint="eastAsia" w:ascii="仿宋" w:hAnsi="仿宋" w:eastAsia="仿宋" w:cs="仿宋"/>
          <w:sz w:val="32"/>
          <w:szCs w:val="32"/>
        </w:rPr>
      </w:pPr>
      <w:r>
        <w:rPr>
          <w:rFonts w:hint="eastAsia" w:ascii="仿宋" w:hAnsi="仿宋" w:eastAsia="仿宋" w:cs="仿宋"/>
          <w:b/>
          <w:sz w:val="32"/>
          <w:szCs w:val="32"/>
        </w:rPr>
        <w:t>电    话</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传  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adjustRightInd w:val="0"/>
        <w:snapToGrid w:val="0"/>
        <w:spacing w:line="800" w:lineRule="exact"/>
        <w:rPr>
          <w:rFonts w:hint="eastAsia" w:ascii="仿宋" w:hAnsi="仿宋" w:eastAsia="仿宋" w:cs="仿宋"/>
          <w:b/>
          <w:bCs/>
          <w:color w:val="000000"/>
          <w:sz w:val="32"/>
          <w:szCs w:val="32"/>
        </w:rPr>
      </w:pPr>
      <w:r>
        <w:rPr>
          <w:rFonts w:hint="eastAsia" w:ascii="仿宋" w:hAnsi="仿宋" w:eastAsia="仿宋" w:cs="仿宋"/>
          <w:b/>
          <w:color w:val="000000"/>
          <w:sz w:val="32"/>
          <w:szCs w:val="32"/>
        </w:rPr>
        <w:t>签订日期</w:t>
      </w:r>
      <w:r>
        <w:rPr>
          <w:rFonts w:hint="eastAsia" w:ascii="仿宋" w:hAnsi="仿宋" w:eastAsia="仿宋" w:cs="仿宋"/>
          <w:color w:val="000000"/>
          <w:sz w:val="32"/>
          <w:szCs w:val="32"/>
        </w:rPr>
        <w:t>：     年   月   日</w:t>
      </w:r>
    </w:p>
    <w:p>
      <w:pPr>
        <w:adjustRightInd w:val="0"/>
        <w:snapToGrid w:val="0"/>
        <w:spacing w:line="360" w:lineRule="auto"/>
        <w:ind w:left="342" w:leftChars="163" w:firstLine="321" w:firstLineChars="100"/>
        <w:outlineLvl w:val="0"/>
        <w:rPr>
          <w:rFonts w:hint="eastAsia" w:ascii="仿宋" w:hAnsi="仿宋" w:eastAsia="仿宋" w:cs="仿宋"/>
          <w:b/>
          <w:bCs/>
          <w:color w:val="000000"/>
          <w:sz w:val="32"/>
          <w:szCs w:val="32"/>
        </w:rPr>
      </w:pPr>
    </w:p>
    <w:p>
      <w:pPr>
        <w:adjustRightInd w:val="0"/>
        <w:snapToGrid w:val="0"/>
        <w:spacing w:beforeLines="50" w:afterLines="50" w:line="600" w:lineRule="exact"/>
        <w:jc w:val="center"/>
        <w:rPr>
          <w:rFonts w:hint="eastAsia" w:ascii="仿宋" w:hAnsi="仿宋" w:eastAsia="仿宋" w:cs="仿宋"/>
          <w:color w:val="auto"/>
          <w:sz w:val="32"/>
          <w:szCs w:val="32"/>
          <w:highlight w:val="none"/>
        </w:rPr>
      </w:pPr>
    </w:p>
    <w:p>
      <w:pPr>
        <w:spacing w:line="360" w:lineRule="auto"/>
        <w:jc w:val="left"/>
        <w:rPr>
          <w:rFonts w:hint="eastAsia" w:ascii="仿宋" w:hAnsi="仿宋" w:eastAsia="仿宋" w:cs="仿宋"/>
          <w:b w:val="0"/>
          <w:bCs/>
          <w:color w:val="auto"/>
          <w:sz w:val="32"/>
          <w:szCs w:val="32"/>
          <w:highlight w:val="none"/>
          <w:lang w:val="en-US" w:eastAsia="zh-CN"/>
        </w:rPr>
      </w:pPr>
    </w:p>
    <w:p>
      <w:pPr>
        <w:spacing w:line="360" w:lineRule="auto"/>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附件1</w:t>
      </w:r>
      <w:r>
        <w:rPr>
          <w:rFonts w:hint="eastAsia" w:ascii="仿宋" w:hAnsi="仿宋" w:eastAsia="仿宋" w:cs="仿宋"/>
          <w:b w:val="0"/>
          <w:bCs/>
          <w:color w:val="auto"/>
          <w:sz w:val="32"/>
          <w:szCs w:val="32"/>
          <w:highlight w:val="none"/>
        </w:rPr>
        <w:t xml:space="preserve">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720" w:firstLineChars="225"/>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32"/>
          <w:szCs w:val="32"/>
          <w:highlight w:val="none"/>
          <w:u w:val="single"/>
        </w:rPr>
        <w:t>广州市净水有限公司</w:t>
      </w:r>
      <w:r>
        <w:rPr>
          <w:rFonts w:hint="eastAsia" w:ascii="仿宋" w:hAnsi="仿宋" w:eastAsia="仿宋" w:cs="仿宋"/>
          <w:b w:val="0"/>
          <w:bCs/>
          <w:color w:val="auto"/>
          <w:sz w:val="32"/>
          <w:szCs w:val="32"/>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（二）严格执行</w:t>
      </w:r>
      <w:r>
        <w:rPr>
          <w:rFonts w:hint="eastAsia" w:ascii="仿宋" w:hAnsi="仿宋" w:eastAsia="仿宋" w:cs="仿宋"/>
          <w:b w:val="0"/>
          <w:bCs/>
          <w:color w:val="auto"/>
          <w:sz w:val="32"/>
          <w:szCs w:val="32"/>
          <w:highlight w:val="none"/>
          <w:u w:val="single"/>
        </w:rPr>
        <w:t xml:space="preserve">       </w:t>
      </w:r>
      <w:r>
        <w:rPr>
          <w:rFonts w:hint="eastAsia" w:ascii="仿宋" w:hAnsi="仿宋" w:eastAsia="仿宋" w:cs="仿宋"/>
          <w:b w:val="0"/>
          <w:bCs/>
          <w:color w:val="auto"/>
          <w:sz w:val="32"/>
          <w:szCs w:val="32"/>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80" w:firstLineChars="15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rPr>
        <w:t>（五）发现对方在业务活动中有不廉洁行为，应及时提醒对方纠正。情节严重的，应向其有关监督部门</w:t>
      </w:r>
      <w:r>
        <w:rPr>
          <w:rFonts w:hint="eastAsia" w:ascii="仿宋" w:hAnsi="仿宋" w:eastAsia="仿宋" w:cs="仿宋"/>
          <w:b w:val="0"/>
          <w:bCs/>
          <w:color w:val="auto"/>
          <w:sz w:val="32"/>
          <w:szCs w:val="32"/>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（五）乙方不得擅自与甲方工作人员就</w:t>
      </w:r>
      <w:r>
        <w:rPr>
          <w:rFonts w:hint="eastAsia" w:ascii="仿宋" w:hAnsi="仿宋" w:eastAsia="仿宋" w:cs="仿宋"/>
          <w:b w:val="0"/>
          <w:bCs/>
          <w:color w:val="auto"/>
          <w:sz w:val="32"/>
          <w:szCs w:val="32"/>
          <w:highlight w:val="none"/>
          <w:lang w:val="en-US" w:eastAsia="zh-CN"/>
        </w:rPr>
        <w:t>主</w:t>
      </w:r>
      <w:r>
        <w:rPr>
          <w:rFonts w:hint="eastAsia" w:ascii="仿宋" w:hAnsi="仿宋" w:eastAsia="仿宋" w:cs="仿宋"/>
          <w:b w:val="0"/>
          <w:bCs/>
          <w:color w:val="auto"/>
          <w:sz w:val="32"/>
          <w:szCs w:val="32"/>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甲方举报投诉联系部门：广州市净水有限公司</w:t>
      </w:r>
      <w:r>
        <w:rPr>
          <w:rFonts w:hint="eastAsia" w:ascii="仿宋" w:hAnsi="仿宋" w:eastAsia="仿宋" w:cs="仿宋"/>
          <w:b w:val="0"/>
          <w:bCs/>
          <w:color w:val="auto"/>
          <w:sz w:val="32"/>
          <w:szCs w:val="32"/>
          <w:highlight w:val="none"/>
          <w:u w:val="single"/>
        </w:rPr>
        <w:t>纪检室</w:t>
      </w:r>
      <w:r>
        <w:rPr>
          <w:rFonts w:hint="eastAsia" w:ascii="仿宋" w:hAnsi="仿宋" w:eastAsia="仿宋" w:cs="仿宋"/>
          <w:b w:val="0"/>
          <w:bCs/>
          <w:color w:val="auto"/>
          <w:sz w:val="32"/>
          <w:szCs w:val="32"/>
          <w:highlight w:val="none"/>
        </w:rPr>
        <w:t>，联系电话：</w:t>
      </w:r>
      <w:r>
        <w:rPr>
          <w:rFonts w:hint="eastAsia" w:ascii="仿宋" w:hAnsi="仿宋" w:eastAsia="仿宋" w:cs="仿宋"/>
          <w:b w:val="0"/>
          <w:bCs/>
          <w:color w:val="auto"/>
          <w:sz w:val="32"/>
          <w:szCs w:val="32"/>
          <w:highlight w:val="none"/>
          <w:u w:val="single"/>
        </w:rPr>
        <w:t xml:space="preserve"> 020-38890265 </w:t>
      </w:r>
      <w:r>
        <w:rPr>
          <w:rFonts w:hint="eastAsia" w:ascii="仿宋" w:hAnsi="仿宋" w:eastAsia="仿宋" w:cs="仿宋"/>
          <w:b w:val="0"/>
          <w:bCs/>
          <w:color w:val="auto"/>
          <w:sz w:val="32"/>
          <w:szCs w:val="32"/>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（二）乙方及其工作人员</w:t>
      </w:r>
      <w:r>
        <w:rPr>
          <w:rFonts w:hint="eastAsia" w:ascii="仿宋" w:hAnsi="仿宋" w:eastAsia="仿宋" w:cs="仿宋"/>
          <w:b w:val="0"/>
          <w:bCs/>
          <w:i w:val="0"/>
          <w:iCs w:val="0"/>
          <w:caps w:val="0"/>
          <w:color w:val="auto"/>
          <w:spacing w:val="0"/>
          <w:sz w:val="32"/>
          <w:szCs w:val="32"/>
          <w:highlight w:val="none"/>
          <w:lang w:val="en-US" w:eastAsia="zh-CN"/>
        </w:rPr>
        <w:t>存在</w:t>
      </w:r>
      <w:r>
        <w:rPr>
          <w:rFonts w:hint="eastAsia" w:ascii="仿宋" w:hAnsi="仿宋" w:eastAsia="仿宋" w:cs="仿宋"/>
          <w:b w:val="0"/>
          <w:bCs/>
          <w:i w:val="0"/>
          <w:iCs w:val="0"/>
          <w:caps w:val="0"/>
          <w:color w:val="auto"/>
          <w:spacing w:val="0"/>
          <w:sz w:val="32"/>
          <w:szCs w:val="32"/>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32"/>
          <w:szCs w:val="32"/>
          <w:highlight w:val="none"/>
          <w:lang w:val="en-US" w:eastAsia="zh-CN"/>
        </w:rPr>
        <w:t>的行为</w:t>
      </w:r>
      <w:r>
        <w:rPr>
          <w:rFonts w:hint="eastAsia" w:ascii="仿宋" w:hAnsi="仿宋" w:eastAsia="仿宋" w:cs="仿宋"/>
          <w:b w:val="0"/>
          <w:bCs/>
          <w:i w:val="0"/>
          <w:iCs w:val="0"/>
          <w:caps w:val="0"/>
          <w:color w:val="auto"/>
          <w:spacing w:val="0"/>
          <w:sz w:val="32"/>
          <w:szCs w:val="32"/>
          <w:highlight w:val="none"/>
        </w:rPr>
        <w:t>，</w:t>
      </w:r>
      <w:r>
        <w:rPr>
          <w:rFonts w:hint="eastAsia" w:ascii="仿宋" w:hAnsi="仿宋" w:eastAsia="仿宋" w:cs="仿宋"/>
          <w:b w:val="0"/>
          <w:bCs/>
          <w:i w:val="0"/>
          <w:iCs w:val="0"/>
          <w:caps w:val="0"/>
          <w:color w:val="auto"/>
          <w:spacing w:val="0"/>
          <w:sz w:val="32"/>
          <w:szCs w:val="32"/>
          <w:highlight w:val="none"/>
          <w:lang w:val="en-US" w:eastAsia="zh-CN"/>
        </w:rPr>
        <w:t>无论该行为是否与主合同有关，</w:t>
      </w:r>
      <w:r>
        <w:rPr>
          <w:rFonts w:hint="eastAsia" w:ascii="仿宋" w:hAnsi="仿宋" w:eastAsia="仿宋" w:cs="仿宋"/>
          <w:b w:val="0"/>
          <w:bCs/>
          <w:i w:val="0"/>
          <w:iCs w:val="0"/>
          <w:caps w:val="0"/>
          <w:color w:val="auto"/>
          <w:spacing w:val="0"/>
          <w:sz w:val="32"/>
          <w:szCs w:val="32"/>
          <w:highlight w:val="none"/>
        </w:rPr>
        <w:t>甲方</w:t>
      </w:r>
      <w:r>
        <w:rPr>
          <w:rFonts w:hint="eastAsia" w:ascii="仿宋" w:hAnsi="仿宋" w:eastAsia="仿宋" w:cs="仿宋"/>
          <w:b w:val="0"/>
          <w:bCs/>
          <w:i w:val="0"/>
          <w:iCs w:val="0"/>
          <w:caps w:val="0"/>
          <w:color w:val="auto"/>
          <w:spacing w:val="0"/>
          <w:sz w:val="32"/>
          <w:szCs w:val="32"/>
          <w:highlight w:val="none"/>
          <w:lang w:val="en-US" w:eastAsia="zh-CN"/>
        </w:rPr>
        <w:t>均</w:t>
      </w:r>
      <w:r>
        <w:rPr>
          <w:rFonts w:hint="eastAsia" w:ascii="仿宋" w:hAnsi="仿宋" w:eastAsia="仿宋" w:cs="仿宋"/>
          <w:b w:val="0"/>
          <w:bCs/>
          <w:i w:val="0"/>
          <w:iCs w:val="0"/>
          <w:caps w:val="0"/>
          <w:color w:val="auto"/>
          <w:spacing w:val="0"/>
          <w:sz w:val="32"/>
          <w:szCs w:val="32"/>
          <w:highlight w:val="none"/>
        </w:rPr>
        <w:t>有权根据具体情节和造成的后果，对乙方采取以下处理</w:t>
      </w:r>
      <w:r>
        <w:rPr>
          <w:rFonts w:hint="eastAsia" w:ascii="仿宋" w:hAnsi="仿宋" w:eastAsia="仿宋" w:cs="仿宋"/>
          <w:b w:val="0"/>
          <w:bCs/>
          <w:i w:val="0"/>
          <w:iCs w:val="0"/>
          <w:caps w:val="0"/>
          <w:color w:val="auto"/>
          <w:spacing w:val="0"/>
          <w:sz w:val="32"/>
          <w:szCs w:val="32"/>
          <w:highlight w:val="none"/>
          <w:lang w:val="en-US" w:eastAsia="zh-CN"/>
        </w:rPr>
        <w:t>方式</w:t>
      </w:r>
      <w:r>
        <w:rPr>
          <w:rFonts w:hint="eastAsia" w:ascii="仿宋" w:hAnsi="仿宋" w:eastAsia="仿宋" w:cs="仿宋"/>
          <w:b w:val="0"/>
          <w:bCs/>
          <w:i w:val="0"/>
          <w:iCs w:val="0"/>
          <w:caps w:val="0"/>
          <w:color w:val="auto"/>
          <w:spacing w:val="0"/>
          <w:sz w:val="32"/>
          <w:szCs w:val="32"/>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2、解除</w:t>
      </w:r>
      <w:r>
        <w:rPr>
          <w:rFonts w:hint="eastAsia" w:ascii="仿宋" w:hAnsi="仿宋" w:eastAsia="仿宋" w:cs="仿宋"/>
          <w:b w:val="0"/>
          <w:bCs/>
          <w:i w:val="0"/>
          <w:iCs w:val="0"/>
          <w:caps w:val="0"/>
          <w:color w:val="auto"/>
          <w:spacing w:val="0"/>
          <w:sz w:val="32"/>
          <w:szCs w:val="32"/>
          <w:highlight w:val="none"/>
          <w:lang w:val="en-US" w:eastAsia="zh-CN"/>
        </w:rPr>
        <w:t>主合同</w:t>
      </w:r>
      <w:r>
        <w:rPr>
          <w:rFonts w:hint="eastAsia" w:ascii="仿宋" w:hAnsi="仿宋" w:eastAsia="仿宋" w:cs="仿宋"/>
          <w:b w:val="0"/>
          <w:bCs/>
          <w:i w:val="0"/>
          <w:iCs w:val="0"/>
          <w:caps w:val="0"/>
          <w:color w:val="auto"/>
          <w:spacing w:val="0"/>
          <w:sz w:val="32"/>
          <w:szCs w:val="32"/>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32"/>
          <w:szCs w:val="32"/>
          <w:highlight w:val="none"/>
        </w:rPr>
      </w:pPr>
      <w:r>
        <w:rPr>
          <w:rFonts w:hint="eastAsia" w:ascii="仿宋" w:hAnsi="仿宋" w:eastAsia="仿宋" w:cs="仿宋"/>
          <w:b w:val="0"/>
          <w:bCs/>
          <w:i w:val="0"/>
          <w:iCs w:val="0"/>
          <w:caps w:val="0"/>
          <w:color w:val="auto"/>
          <w:spacing w:val="0"/>
          <w:sz w:val="32"/>
          <w:szCs w:val="32"/>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i w:val="0"/>
          <w:iCs w:val="0"/>
          <w:caps w:val="0"/>
          <w:color w:val="auto"/>
          <w:spacing w:val="0"/>
          <w:sz w:val="32"/>
          <w:szCs w:val="32"/>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640" w:firstLineChars="200"/>
        <w:rPr>
          <w:rFonts w:hint="eastAsia" w:ascii="仿宋" w:hAnsi="仿宋" w:eastAsia="仿宋" w:cs="仿宋"/>
          <w:b w:val="0"/>
          <w:bCs/>
          <w:color w:val="auto"/>
          <w:kern w:val="0"/>
          <w:sz w:val="32"/>
          <w:szCs w:val="32"/>
          <w:highlight w:val="none"/>
        </w:rPr>
      </w:pPr>
      <w:r>
        <w:rPr>
          <w:rFonts w:hint="eastAsia" w:ascii="仿宋" w:hAnsi="仿宋" w:eastAsia="仿宋" w:cs="仿宋"/>
          <w:b w:val="0"/>
          <w:bCs/>
          <w:color w:val="auto"/>
          <w:sz w:val="32"/>
          <w:szCs w:val="32"/>
          <w:highlight w:val="none"/>
        </w:rPr>
        <w:t xml:space="preserve">第五条 </w:t>
      </w:r>
      <w:r>
        <w:rPr>
          <w:rFonts w:hint="eastAsia" w:ascii="仿宋" w:hAnsi="仿宋" w:eastAsia="仿宋" w:cs="仿宋"/>
          <w:b w:val="0"/>
          <w:bCs/>
          <w:color w:val="auto"/>
          <w:kern w:val="0"/>
          <w:sz w:val="32"/>
          <w:szCs w:val="32"/>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第六条本协议作为</w:t>
      </w:r>
      <w:r>
        <w:rPr>
          <w:rFonts w:hint="eastAsia" w:ascii="仿宋" w:hAnsi="仿宋" w:eastAsia="仿宋" w:cs="仿宋"/>
          <w:b w:val="0"/>
          <w:bCs/>
          <w:color w:val="auto"/>
          <w:sz w:val="32"/>
          <w:szCs w:val="32"/>
          <w:highlight w:val="none"/>
          <w:u w:val="single"/>
        </w:rPr>
        <w:t>（合同名称）+（合同编号）</w:t>
      </w:r>
      <w:r>
        <w:rPr>
          <w:rFonts w:hint="eastAsia" w:ascii="仿宋" w:hAnsi="仿宋" w:eastAsia="仿宋" w:cs="仿宋"/>
          <w:b w:val="0"/>
          <w:bCs/>
          <w:color w:val="auto"/>
          <w:sz w:val="32"/>
          <w:szCs w:val="32"/>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第七条本协议一式</w:t>
      </w:r>
      <w:r>
        <w:rPr>
          <w:rFonts w:hint="eastAsia" w:ascii="仿宋" w:hAnsi="仿宋" w:eastAsia="仿宋" w:cs="仿宋"/>
          <w:b w:val="0"/>
          <w:bCs/>
          <w:color w:val="auto"/>
          <w:sz w:val="32"/>
          <w:szCs w:val="32"/>
          <w:highlight w:val="none"/>
          <w:u w:val="single"/>
        </w:rPr>
        <w:t>…</w:t>
      </w:r>
      <w:r>
        <w:rPr>
          <w:rFonts w:hint="eastAsia" w:ascii="仿宋" w:hAnsi="仿宋" w:eastAsia="仿宋" w:cs="仿宋"/>
          <w:b w:val="0"/>
          <w:bCs/>
          <w:color w:val="auto"/>
          <w:sz w:val="32"/>
          <w:szCs w:val="32"/>
          <w:highlight w:val="none"/>
        </w:rPr>
        <w:t>份，甲方</w:t>
      </w:r>
      <w:r>
        <w:rPr>
          <w:rFonts w:hint="eastAsia" w:ascii="仿宋" w:hAnsi="仿宋" w:eastAsia="仿宋" w:cs="仿宋"/>
          <w:b w:val="0"/>
          <w:bCs/>
          <w:color w:val="auto"/>
          <w:sz w:val="32"/>
          <w:szCs w:val="32"/>
          <w:highlight w:val="none"/>
          <w:u w:val="single"/>
        </w:rPr>
        <w:t>…</w:t>
      </w:r>
      <w:r>
        <w:rPr>
          <w:rFonts w:hint="eastAsia" w:ascii="仿宋" w:hAnsi="仿宋" w:eastAsia="仿宋" w:cs="仿宋"/>
          <w:b w:val="0"/>
          <w:bCs/>
          <w:color w:val="auto"/>
          <w:sz w:val="32"/>
          <w:szCs w:val="32"/>
          <w:highlight w:val="none"/>
        </w:rPr>
        <w:t>份，乙方</w:t>
      </w:r>
      <w:r>
        <w:rPr>
          <w:rFonts w:hint="eastAsia" w:ascii="仿宋" w:hAnsi="仿宋" w:eastAsia="仿宋" w:cs="仿宋"/>
          <w:b w:val="0"/>
          <w:bCs/>
          <w:color w:val="auto"/>
          <w:sz w:val="32"/>
          <w:szCs w:val="32"/>
          <w:highlight w:val="none"/>
          <w:u w:val="single"/>
        </w:rPr>
        <w:t>…</w:t>
      </w:r>
      <w:r>
        <w:rPr>
          <w:rFonts w:hint="eastAsia" w:ascii="仿宋" w:hAnsi="仿宋" w:eastAsia="仿宋" w:cs="仿宋"/>
          <w:b w:val="0"/>
          <w:bCs/>
          <w:color w:val="auto"/>
          <w:sz w:val="32"/>
          <w:szCs w:val="32"/>
          <w:highlight w:val="none"/>
        </w:rPr>
        <w:t>份。</w:t>
      </w:r>
    </w:p>
    <w:p>
      <w:pPr>
        <w:keepNext w:val="0"/>
        <w:keepLines w:val="0"/>
        <w:pageBreakBefore w:val="0"/>
        <w:kinsoku/>
        <w:wordWrap/>
        <w:overflowPunct/>
        <w:topLinePunct w:val="0"/>
        <w:autoSpaceDE/>
        <w:autoSpaceDN/>
        <w:bidi w:val="0"/>
        <w:snapToGrid/>
        <w:spacing w:beforeAutospacing="0" w:line="520" w:lineRule="exact"/>
        <w:ind w:firstLine="640" w:firstLineChars="200"/>
        <w:rPr>
          <w:rFonts w:hint="eastAsia" w:ascii="仿宋" w:hAnsi="仿宋" w:eastAsia="仿宋" w:cs="仿宋"/>
          <w:b w:val="0"/>
          <w:bCs/>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br w:type="textWrapping"/>
      </w:r>
      <w:r>
        <w:rPr>
          <w:rFonts w:hint="eastAsia" w:ascii="仿宋" w:hAnsi="仿宋" w:eastAsia="仿宋" w:cs="仿宋"/>
          <w:b w:val="0"/>
          <w:bCs/>
          <w:color w:val="auto"/>
          <w:sz w:val="32"/>
          <w:szCs w:val="32"/>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 w:hAnsi="仿宋" w:eastAsia="仿宋" w:cs="仿宋"/>
          <w:b w:val="0"/>
          <w:bCs/>
          <w:color w:val="auto"/>
          <w:sz w:val="32"/>
          <w:szCs w:val="32"/>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9600" w:hangingChars="30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日期:    年  月  日</w:t>
      </w:r>
      <w:r>
        <w:rPr>
          <w:rFonts w:hint="eastAsia" w:ascii="仿宋" w:hAnsi="仿宋" w:eastAsia="仿宋" w:cs="仿宋"/>
          <w:b w:val="0"/>
          <w:bCs/>
          <w:color w:val="auto"/>
          <w:sz w:val="32"/>
          <w:szCs w:val="32"/>
          <w:highlight w:val="none"/>
        </w:rPr>
        <w:tab/>
      </w:r>
      <w:r>
        <w:rPr>
          <w:rFonts w:hint="eastAsia" w:ascii="仿宋" w:hAnsi="仿宋" w:eastAsia="仿宋" w:cs="仿宋"/>
          <w:b w:val="0"/>
          <w:bCs/>
          <w:color w:val="auto"/>
          <w:sz w:val="32"/>
          <w:szCs w:val="32"/>
          <w:highlight w:val="none"/>
        </w:rPr>
        <w:t>日期：  年  月  日</w:t>
      </w:r>
    </w:p>
    <w:p>
      <w:pPr>
        <w:rPr>
          <w:rFonts w:hint="eastAsia" w:ascii="仿宋_GB2312" w:hAnsi="仿宋_GB2312" w:eastAsia="仿宋_GB2312" w:cs="仿宋_GB2312"/>
          <w:b w:val="0"/>
          <w:bCs/>
          <w:color w:val="auto"/>
          <w:sz w:val="30"/>
          <w:szCs w:val="30"/>
          <w:highlight w:val="none"/>
        </w:rPr>
      </w:pPr>
    </w:p>
    <w:p>
      <w:pPr>
        <w:tabs>
          <w:tab w:val="left" w:pos="4170"/>
        </w:tabs>
        <w:adjustRightInd/>
        <w:spacing w:line="520" w:lineRule="exact"/>
        <w:rPr>
          <w:rFonts w:hint="default" w:ascii="宋体" w:hAnsi="宋体" w:eastAsia="仿宋_GB2312" w:cs="宋体"/>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b/>
          <w:bCs w:val="0"/>
          <w:color w:val="auto"/>
          <w:sz w:val="28"/>
          <w:szCs w:val="28"/>
          <w:highlight w:val="none"/>
          <w:lang w:val="en-US" w:eastAsia="zh-CN"/>
        </w:rPr>
        <w:t>附件2</w:t>
      </w:r>
    </w:p>
    <w:p>
      <w:pPr>
        <w:pStyle w:val="46"/>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85" w:name="_Toc21847"/>
      <w:bookmarkStart w:id="86" w:name="_Toc16552"/>
      <w:bookmarkStart w:id="87" w:name="_Toc3723"/>
      <w:bookmarkStart w:id="88" w:name="_Toc23515"/>
      <w:bookmarkStart w:id="89" w:name="_Toc8147"/>
      <w:bookmarkStart w:id="90" w:name="_Toc28358"/>
      <w:bookmarkStart w:id="91" w:name="_Toc1563"/>
      <w:bookmarkStart w:id="92" w:name="_Toc12169"/>
      <w:bookmarkStart w:id="93" w:name="_Toc5129"/>
      <w:bookmarkStart w:id="94" w:name="_Toc30824"/>
      <w:bookmarkStart w:id="95" w:name="_Toc6230"/>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4"/>
        <w:rPr>
          <w:color w:val="auto"/>
          <w:highlight w:val="none"/>
        </w:rPr>
      </w:pPr>
      <w:bookmarkStart w:id="96" w:name="_Toc17119"/>
      <w:bookmarkStart w:id="97" w:name="_Toc31564"/>
      <w:bookmarkStart w:id="98" w:name="_Toc24490"/>
      <w:bookmarkStart w:id="99" w:name="_Toc5342"/>
      <w:bookmarkStart w:id="100" w:name="_Toc12769"/>
      <w:bookmarkStart w:id="101" w:name="_Toc12610"/>
      <w:bookmarkStart w:id="102" w:name="_Toc30157"/>
      <w:bookmarkStart w:id="103" w:name="_Toc21675"/>
      <w:bookmarkStart w:id="104" w:name="_Toc88209951"/>
      <w:bookmarkStart w:id="105" w:name="_Toc10840"/>
      <w:bookmarkStart w:id="106" w:name="_Toc87616388"/>
      <w:bookmarkStart w:id="107" w:name="_Toc24815"/>
      <w:bookmarkStart w:id="108" w:name="_Toc22764"/>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12665"/>
      <w:bookmarkStart w:id="116" w:name="_Toc6313"/>
      <w:bookmarkStart w:id="117" w:name="_Toc88209957"/>
      <w:bookmarkStart w:id="118" w:name="_Toc87616394"/>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87616395"/>
      <w:bookmarkStart w:id="122" w:name="_Toc88209958"/>
      <w:bookmarkStart w:id="123"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19830"/>
      <w:bookmarkStart w:id="125" w:name="_Toc87616400"/>
      <w:bookmarkStart w:id="126" w:name="_Toc8086"/>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6"/>
        <w:rPr>
          <w:rFonts w:hint="default" w:asciiTheme="minorEastAsia" w:hAnsiTheme="minorEastAsia" w:eastAsiaTheme="minorEastAsia"/>
          <w:color w:val="auto"/>
          <w:sz w:val="28"/>
          <w:szCs w:val="28"/>
          <w:highlight w:val="none"/>
          <w:lang w:val="en-US" w:eastAsia="zh-CN"/>
        </w:rPr>
      </w:pPr>
      <w:bookmarkStart w:id="129" w:name="_Toc32430"/>
      <w:bookmarkStart w:id="130"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若有）</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1" w:name="_Toc16386"/>
      <w:bookmarkStart w:id="132" w:name="_Toc87616402"/>
      <w:bookmarkStart w:id="133" w:name="_Toc88209965"/>
      <w:bookmarkStart w:id="13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18"/>
      <w:rPr>
        <w:rFonts w:hint="eastAsia"/>
      </w:rP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2F937BE"/>
    <w:multiLevelType w:val="singleLevel"/>
    <w:tmpl w:val="02F937BE"/>
    <w:lvl w:ilvl="0" w:tentative="0">
      <w:start w:val="4"/>
      <w:numFmt w:val="decimal"/>
      <w:lvlText w:val="%1."/>
      <w:lvlJc w:val="left"/>
      <w:pPr>
        <w:tabs>
          <w:tab w:val="left" w:pos="312"/>
        </w:tabs>
      </w:pPr>
    </w:lvl>
  </w:abstractNum>
  <w:abstractNum w:abstractNumId="2">
    <w:nsid w:val="3C210B0B"/>
    <w:multiLevelType w:val="multilevel"/>
    <w:tmpl w:val="3C210B0B"/>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23D57FE"/>
    <w:multiLevelType w:val="multilevel"/>
    <w:tmpl w:val="723D57FE"/>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13E3461"/>
    <w:rsid w:val="02090C75"/>
    <w:rsid w:val="027415C0"/>
    <w:rsid w:val="02A23A3C"/>
    <w:rsid w:val="035D130A"/>
    <w:rsid w:val="039110A9"/>
    <w:rsid w:val="03AC246A"/>
    <w:rsid w:val="03B23056"/>
    <w:rsid w:val="03DC3EBA"/>
    <w:rsid w:val="03F9794D"/>
    <w:rsid w:val="046A2461"/>
    <w:rsid w:val="051C2970"/>
    <w:rsid w:val="056C0B99"/>
    <w:rsid w:val="05B57C66"/>
    <w:rsid w:val="05C1283B"/>
    <w:rsid w:val="060C3611"/>
    <w:rsid w:val="06C64829"/>
    <w:rsid w:val="070E7B6E"/>
    <w:rsid w:val="077D16D2"/>
    <w:rsid w:val="082A69F3"/>
    <w:rsid w:val="08426C33"/>
    <w:rsid w:val="08675FC8"/>
    <w:rsid w:val="09804CE5"/>
    <w:rsid w:val="09B713FD"/>
    <w:rsid w:val="09EF6ACC"/>
    <w:rsid w:val="0A315056"/>
    <w:rsid w:val="0AA213B4"/>
    <w:rsid w:val="0AC36EB4"/>
    <w:rsid w:val="0AF61C7E"/>
    <w:rsid w:val="0AFB45AD"/>
    <w:rsid w:val="0B351E9B"/>
    <w:rsid w:val="0B4C50D3"/>
    <w:rsid w:val="0B806B92"/>
    <w:rsid w:val="0B827E94"/>
    <w:rsid w:val="0B842F76"/>
    <w:rsid w:val="0BD070E1"/>
    <w:rsid w:val="0C247926"/>
    <w:rsid w:val="0C9A758B"/>
    <w:rsid w:val="0CB664D3"/>
    <w:rsid w:val="0CE34DE3"/>
    <w:rsid w:val="0D794204"/>
    <w:rsid w:val="0E2125D1"/>
    <w:rsid w:val="0E214211"/>
    <w:rsid w:val="0E5F2769"/>
    <w:rsid w:val="0F4D75A3"/>
    <w:rsid w:val="0F5B2DCA"/>
    <w:rsid w:val="0FED051E"/>
    <w:rsid w:val="0FEE4C29"/>
    <w:rsid w:val="10031608"/>
    <w:rsid w:val="10046082"/>
    <w:rsid w:val="104974DD"/>
    <w:rsid w:val="111703D2"/>
    <w:rsid w:val="112B101A"/>
    <w:rsid w:val="119B53FC"/>
    <w:rsid w:val="1215733B"/>
    <w:rsid w:val="12424CDC"/>
    <w:rsid w:val="129A2738"/>
    <w:rsid w:val="12AD5719"/>
    <w:rsid w:val="12B56BF1"/>
    <w:rsid w:val="12CB1A89"/>
    <w:rsid w:val="131840FB"/>
    <w:rsid w:val="13467417"/>
    <w:rsid w:val="136E76CF"/>
    <w:rsid w:val="13F8343E"/>
    <w:rsid w:val="145F08C6"/>
    <w:rsid w:val="15751BCD"/>
    <w:rsid w:val="15776308"/>
    <w:rsid w:val="15BC6B3C"/>
    <w:rsid w:val="160A541D"/>
    <w:rsid w:val="16360A7B"/>
    <w:rsid w:val="164B0A0F"/>
    <w:rsid w:val="164D40B0"/>
    <w:rsid w:val="1694429A"/>
    <w:rsid w:val="171A61B0"/>
    <w:rsid w:val="17635326"/>
    <w:rsid w:val="17B803EA"/>
    <w:rsid w:val="1815096B"/>
    <w:rsid w:val="18236EFD"/>
    <w:rsid w:val="18837FF7"/>
    <w:rsid w:val="189D5B1F"/>
    <w:rsid w:val="18A34CD0"/>
    <w:rsid w:val="18C773D4"/>
    <w:rsid w:val="19A53EA8"/>
    <w:rsid w:val="19B64DBC"/>
    <w:rsid w:val="19EC6A4A"/>
    <w:rsid w:val="1A373ACF"/>
    <w:rsid w:val="1A895341"/>
    <w:rsid w:val="1B0D071F"/>
    <w:rsid w:val="1B4568CE"/>
    <w:rsid w:val="1B9015B7"/>
    <w:rsid w:val="1B950DA6"/>
    <w:rsid w:val="1BF54245"/>
    <w:rsid w:val="1D0E6976"/>
    <w:rsid w:val="1D163A3F"/>
    <w:rsid w:val="1D4564E9"/>
    <w:rsid w:val="1D5A79EE"/>
    <w:rsid w:val="1E0E2CD0"/>
    <w:rsid w:val="1E831280"/>
    <w:rsid w:val="1E8E3FD2"/>
    <w:rsid w:val="1E947498"/>
    <w:rsid w:val="1EBC4704"/>
    <w:rsid w:val="1F172EB5"/>
    <w:rsid w:val="1F7467DB"/>
    <w:rsid w:val="1F94592D"/>
    <w:rsid w:val="1FB860DE"/>
    <w:rsid w:val="203C5A02"/>
    <w:rsid w:val="209D4C94"/>
    <w:rsid w:val="20E84705"/>
    <w:rsid w:val="214A3F2E"/>
    <w:rsid w:val="218400BA"/>
    <w:rsid w:val="21AB1E2F"/>
    <w:rsid w:val="21D40498"/>
    <w:rsid w:val="21F37BA8"/>
    <w:rsid w:val="22767047"/>
    <w:rsid w:val="23A05588"/>
    <w:rsid w:val="240476A1"/>
    <w:rsid w:val="24231158"/>
    <w:rsid w:val="25431AEB"/>
    <w:rsid w:val="25BE3BFB"/>
    <w:rsid w:val="25BF43FD"/>
    <w:rsid w:val="25CD2E4C"/>
    <w:rsid w:val="25F86BCD"/>
    <w:rsid w:val="2605748B"/>
    <w:rsid w:val="264544A6"/>
    <w:rsid w:val="26697D8F"/>
    <w:rsid w:val="269E416A"/>
    <w:rsid w:val="26C11C6B"/>
    <w:rsid w:val="27020755"/>
    <w:rsid w:val="272100D3"/>
    <w:rsid w:val="272C72FC"/>
    <w:rsid w:val="275131CB"/>
    <w:rsid w:val="27EB149D"/>
    <w:rsid w:val="27FD3E52"/>
    <w:rsid w:val="28174AFB"/>
    <w:rsid w:val="28E11370"/>
    <w:rsid w:val="294A756A"/>
    <w:rsid w:val="29781BF8"/>
    <w:rsid w:val="29C33ED0"/>
    <w:rsid w:val="29D5322D"/>
    <w:rsid w:val="2A025DD9"/>
    <w:rsid w:val="2A2619CB"/>
    <w:rsid w:val="2A7C2231"/>
    <w:rsid w:val="2ABB753D"/>
    <w:rsid w:val="2AFE6EC4"/>
    <w:rsid w:val="2B7A49FA"/>
    <w:rsid w:val="2C615D26"/>
    <w:rsid w:val="2CB679ED"/>
    <w:rsid w:val="2D173C07"/>
    <w:rsid w:val="2D266E69"/>
    <w:rsid w:val="2D424A86"/>
    <w:rsid w:val="2DDA66B7"/>
    <w:rsid w:val="2DF33C9D"/>
    <w:rsid w:val="2E073FFE"/>
    <w:rsid w:val="2E355E86"/>
    <w:rsid w:val="2E7B52DB"/>
    <w:rsid w:val="2ED60115"/>
    <w:rsid w:val="2F324CFE"/>
    <w:rsid w:val="2FBA09F1"/>
    <w:rsid w:val="2FEF2ACF"/>
    <w:rsid w:val="30540211"/>
    <w:rsid w:val="308317C9"/>
    <w:rsid w:val="31112A0D"/>
    <w:rsid w:val="311C0D75"/>
    <w:rsid w:val="311F4B20"/>
    <w:rsid w:val="312D7741"/>
    <w:rsid w:val="316F137F"/>
    <w:rsid w:val="31DF525F"/>
    <w:rsid w:val="31EC162B"/>
    <w:rsid w:val="320D14EB"/>
    <w:rsid w:val="32324C2E"/>
    <w:rsid w:val="327171DF"/>
    <w:rsid w:val="33957634"/>
    <w:rsid w:val="341E3434"/>
    <w:rsid w:val="34BB4442"/>
    <w:rsid w:val="34C80E1E"/>
    <w:rsid w:val="360B7EBA"/>
    <w:rsid w:val="36416867"/>
    <w:rsid w:val="369C32FD"/>
    <w:rsid w:val="37666E72"/>
    <w:rsid w:val="38081EA3"/>
    <w:rsid w:val="38167A04"/>
    <w:rsid w:val="381C3783"/>
    <w:rsid w:val="394B167A"/>
    <w:rsid w:val="39DA2868"/>
    <w:rsid w:val="3A055F4B"/>
    <w:rsid w:val="3A4E4336"/>
    <w:rsid w:val="3A6007FE"/>
    <w:rsid w:val="3AF93D6C"/>
    <w:rsid w:val="3B7C2CE4"/>
    <w:rsid w:val="3BAF716B"/>
    <w:rsid w:val="3C0B5355"/>
    <w:rsid w:val="3CA369A3"/>
    <w:rsid w:val="3CD4176B"/>
    <w:rsid w:val="3D1F44D9"/>
    <w:rsid w:val="3D5C38CD"/>
    <w:rsid w:val="3E5070F1"/>
    <w:rsid w:val="3EC370CB"/>
    <w:rsid w:val="3F6C3589"/>
    <w:rsid w:val="3F850180"/>
    <w:rsid w:val="3F9004D6"/>
    <w:rsid w:val="3FBC6CFE"/>
    <w:rsid w:val="400E4D5E"/>
    <w:rsid w:val="403A5C15"/>
    <w:rsid w:val="40E1138C"/>
    <w:rsid w:val="413814BA"/>
    <w:rsid w:val="413E4FA8"/>
    <w:rsid w:val="41872511"/>
    <w:rsid w:val="41DF1251"/>
    <w:rsid w:val="41FD3971"/>
    <w:rsid w:val="424236D9"/>
    <w:rsid w:val="42466655"/>
    <w:rsid w:val="42C82F57"/>
    <w:rsid w:val="435707E5"/>
    <w:rsid w:val="43C76AF7"/>
    <w:rsid w:val="43E97E4A"/>
    <w:rsid w:val="446828F0"/>
    <w:rsid w:val="448848CA"/>
    <w:rsid w:val="45093E85"/>
    <w:rsid w:val="45C13B4D"/>
    <w:rsid w:val="45D24B39"/>
    <w:rsid w:val="46054BCA"/>
    <w:rsid w:val="46326BDB"/>
    <w:rsid w:val="464C6AFC"/>
    <w:rsid w:val="46580A7D"/>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5D7A33"/>
    <w:rsid w:val="49732351"/>
    <w:rsid w:val="498F4AF1"/>
    <w:rsid w:val="49C05787"/>
    <w:rsid w:val="49CF518D"/>
    <w:rsid w:val="4A2139CA"/>
    <w:rsid w:val="4ADA1F63"/>
    <w:rsid w:val="4AE23D89"/>
    <w:rsid w:val="4B2038D0"/>
    <w:rsid w:val="4B296E7D"/>
    <w:rsid w:val="4B79394E"/>
    <w:rsid w:val="4B877F28"/>
    <w:rsid w:val="4C704672"/>
    <w:rsid w:val="4D916BA6"/>
    <w:rsid w:val="4DC44169"/>
    <w:rsid w:val="4DE24E21"/>
    <w:rsid w:val="4E1B19A3"/>
    <w:rsid w:val="4E48787F"/>
    <w:rsid w:val="4EF0709E"/>
    <w:rsid w:val="4F0469A4"/>
    <w:rsid w:val="50540C73"/>
    <w:rsid w:val="51012F4F"/>
    <w:rsid w:val="513C6A7B"/>
    <w:rsid w:val="51697DF7"/>
    <w:rsid w:val="517764BB"/>
    <w:rsid w:val="519C4558"/>
    <w:rsid w:val="52060B2C"/>
    <w:rsid w:val="532D486F"/>
    <w:rsid w:val="5333545B"/>
    <w:rsid w:val="538D0E89"/>
    <w:rsid w:val="5450213C"/>
    <w:rsid w:val="54961309"/>
    <w:rsid w:val="54CF1793"/>
    <w:rsid w:val="54D24048"/>
    <w:rsid w:val="54D64CD5"/>
    <w:rsid w:val="55887D69"/>
    <w:rsid w:val="56141BBC"/>
    <w:rsid w:val="561A0928"/>
    <w:rsid w:val="56423872"/>
    <w:rsid w:val="569E06BC"/>
    <w:rsid w:val="56B279F0"/>
    <w:rsid w:val="56F20F86"/>
    <w:rsid w:val="579D710E"/>
    <w:rsid w:val="581F22F6"/>
    <w:rsid w:val="586E1E17"/>
    <w:rsid w:val="58862C35"/>
    <w:rsid w:val="58C14957"/>
    <w:rsid w:val="58CC23D2"/>
    <w:rsid w:val="58E66050"/>
    <w:rsid w:val="5AE83A50"/>
    <w:rsid w:val="5B353193"/>
    <w:rsid w:val="5B622E70"/>
    <w:rsid w:val="5BAB2917"/>
    <w:rsid w:val="5BFC33FA"/>
    <w:rsid w:val="5C3107A4"/>
    <w:rsid w:val="5C3B1B93"/>
    <w:rsid w:val="5C3F6C24"/>
    <w:rsid w:val="5C9220DF"/>
    <w:rsid w:val="5D452354"/>
    <w:rsid w:val="5D4A15F3"/>
    <w:rsid w:val="5D69542A"/>
    <w:rsid w:val="5D783B72"/>
    <w:rsid w:val="5DB6290D"/>
    <w:rsid w:val="5E0930EF"/>
    <w:rsid w:val="5E3D4D53"/>
    <w:rsid w:val="5E4019C6"/>
    <w:rsid w:val="5E4717E6"/>
    <w:rsid w:val="5E55774C"/>
    <w:rsid w:val="5E8A70FF"/>
    <w:rsid w:val="5EFC225B"/>
    <w:rsid w:val="5F384522"/>
    <w:rsid w:val="5F4F5124"/>
    <w:rsid w:val="60045F96"/>
    <w:rsid w:val="60104DDC"/>
    <w:rsid w:val="605C0804"/>
    <w:rsid w:val="609A6C8B"/>
    <w:rsid w:val="6189617B"/>
    <w:rsid w:val="61B52BB6"/>
    <w:rsid w:val="61B749C2"/>
    <w:rsid w:val="62280D20"/>
    <w:rsid w:val="62CA2457"/>
    <w:rsid w:val="62D83C03"/>
    <w:rsid w:val="638240A1"/>
    <w:rsid w:val="63833423"/>
    <w:rsid w:val="63A5257B"/>
    <w:rsid w:val="63BD3DCC"/>
    <w:rsid w:val="63C61741"/>
    <w:rsid w:val="641D4B31"/>
    <w:rsid w:val="64560967"/>
    <w:rsid w:val="64D84F3A"/>
    <w:rsid w:val="656B1D10"/>
    <w:rsid w:val="65B841F9"/>
    <w:rsid w:val="65E065DA"/>
    <w:rsid w:val="66022B28"/>
    <w:rsid w:val="664A38E2"/>
    <w:rsid w:val="66581E87"/>
    <w:rsid w:val="667322A4"/>
    <w:rsid w:val="66FA11D5"/>
    <w:rsid w:val="67402D73"/>
    <w:rsid w:val="674302C7"/>
    <w:rsid w:val="680A5986"/>
    <w:rsid w:val="680D5F4B"/>
    <w:rsid w:val="68113F51"/>
    <w:rsid w:val="68E94770"/>
    <w:rsid w:val="68F949C9"/>
    <w:rsid w:val="695A4290"/>
    <w:rsid w:val="6A334932"/>
    <w:rsid w:val="6A3353FF"/>
    <w:rsid w:val="6A5D63E6"/>
    <w:rsid w:val="6A5F24D1"/>
    <w:rsid w:val="6A955E86"/>
    <w:rsid w:val="6ACA70C4"/>
    <w:rsid w:val="6AE347EB"/>
    <w:rsid w:val="6B330365"/>
    <w:rsid w:val="6B434AF0"/>
    <w:rsid w:val="6B57675A"/>
    <w:rsid w:val="6B87098A"/>
    <w:rsid w:val="6BDD7B4D"/>
    <w:rsid w:val="6E64082A"/>
    <w:rsid w:val="6EBC0B3A"/>
    <w:rsid w:val="6EF51C7D"/>
    <w:rsid w:val="6F8363E5"/>
    <w:rsid w:val="6FA80CCD"/>
    <w:rsid w:val="6FAC3CC5"/>
    <w:rsid w:val="6FC37E8D"/>
    <w:rsid w:val="6FC746F5"/>
    <w:rsid w:val="70317AC6"/>
    <w:rsid w:val="704B26F7"/>
    <w:rsid w:val="70697B21"/>
    <w:rsid w:val="70703D6B"/>
    <w:rsid w:val="70863262"/>
    <w:rsid w:val="70A76ED3"/>
    <w:rsid w:val="71640F61"/>
    <w:rsid w:val="71860B17"/>
    <w:rsid w:val="71CB15FC"/>
    <w:rsid w:val="723B27CC"/>
    <w:rsid w:val="72687227"/>
    <w:rsid w:val="729E5122"/>
    <w:rsid w:val="72A03FD9"/>
    <w:rsid w:val="73406CFF"/>
    <w:rsid w:val="7383028C"/>
    <w:rsid w:val="73A25E44"/>
    <w:rsid w:val="741F68CF"/>
    <w:rsid w:val="74674648"/>
    <w:rsid w:val="75252DF3"/>
    <w:rsid w:val="75621536"/>
    <w:rsid w:val="7566589D"/>
    <w:rsid w:val="75A65103"/>
    <w:rsid w:val="75BF3154"/>
    <w:rsid w:val="764A07CF"/>
    <w:rsid w:val="764F6B3D"/>
    <w:rsid w:val="76CD2B7B"/>
    <w:rsid w:val="76D80645"/>
    <w:rsid w:val="76E03371"/>
    <w:rsid w:val="77964705"/>
    <w:rsid w:val="780E5898"/>
    <w:rsid w:val="782642CC"/>
    <w:rsid w:val="7894095E"/>
    <w:rsid w:val="78964555"/>
    <w:rsid w:val="78CF4963"/>
    <w:rsid w:val="79000679"/>
    <w:rsid w:val="791C0FE5"/>
    <w:rsid w:val="79A416F0"/>
    <w:rsid w:val="79B03EB6"/>
    <w:rsid w:val="7A433267"/>
    <w:rsid w:val="7AE15A5C"/>
    <w:rsid w:val="7AF37579"/>
    <w:rsid w:val="7AF87F64"/>
    <w:rsid w:val="7B1C0C84"/>
    <w:rsid w:val="7B5A62DF"/>
    <w:rsid w:val="7B7A04A8"/>
    <w:rsid w:val="7B804E6A"/>
    <w:rsid w:val="7C0C3F6D"/>
    <w:rsid w:val="7C22163C"/>
    <w:rsid w:val="7C457B4B"/>
    <w:rsid w:val="7C595075"/>
    <w:rsid w:val="7C6B07B2"/>
    <w:rsid w:val="7D133243"/>
    <w:rsid w:val="7D945420"/>
    <w:rsid w:val="7D972197"/>
    <w:rsid w:val="7E394207"/>
    <w:rsid w:val="7E4007A2"/>
    <w:rsid w:val="7E791CAD"/>
    <w:rsid w:val="7EA50DFB"/>
    <w:rsid w:val="7EC86878"/>
    <w:rsid w:val="7EE9667F"/>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6</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2022-06-23T08:17:00Z</cp:lastPrinted>
  <dcterms:modified xsi:type="dcterms:W3CDTF">2022-07-06T07:38:05Z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