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jc w:val="center"/>
        <w:rPr>
          <w:rFonts w:hint="default" w:ascii="宋体" w:hAnsi="宋体" w:eastAsia="宋体" w:cs="宋体"/>
          <w:b/>
          <w:bCs/>
          <w:color w:val="auto"/>
          <w:sz w:val="52"/>
          <w:szCs w:val="52"/>
          <w:highlight w:val="none"/>
          <w:lang w:val="en-US" w:eastAsia="zh-CN"/>
        </w:rPr>
      </w:pPr>
      <w:r>
        <w:rPr>
          <w:rFonts w:hint="eastAsia" w:ascii="宋体" w:hAnsi="宋体" w:eastAsia="宋体" w:cs="宋体"/>
          <w:b/>
          <w:bCs/>
          <w:color w:val="auto"/>
          <w:sz w:val="52"/>
          <w:szCs w:val="52"/>
          <w:highlight w:val="none"/>
          <w:lang w:val="en-US" w:eastAsia="zh-CN"/>
        </w:rPr>
        <w:t>广州市净水有限公司石井分公司二期初雨增设PAC储存罐项目</w:t>
      </w:r>
    </w:p>
    <w:p>
      <w:pPr>
        <w:jc w:val="center"/>
        <w:rPr>
          <w:rFonts w:hint="eastAsia" w:ascii="宋体" w:hAnsi="宋体" w:eastAsia="宋体" w:cs="宋体"/>
          <w:color w:val="auto"/>
          <w:sz w:val="52"/>
          <w:szCs w:val="52"/>
          <w:highlight w:val="none"/>
          <w:lang w:val="en-US" w:eastAsia="zh-CN"/>
        </w:rPr>
      </w:pPr>
      <w:r>
        <w:rPr>
          <w:rFonts w:hint="eastAsia" w:ascii="宋体" w:hAnsi="宋体" w:eastAsia="宋体" w:cs="宋体"/>
          <w:b/>
          <w:bCs/>
          <w:color w:val="auto"/>
          <w:sz w:val="52"/>
          <w:szCs w:val="52"/>
          <w:highlight w:val="none"/>
          <w:lang w:val="en-US" w:eastAsia="zh-CN"/>
        </w:rPr>
        <w:t>采购文件</w:t>
      </w: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hint="eastAsia"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hint="eastAsia" w:ascii="黑体" w:hAnsi="黑体" w:eastAsia="黑体"/>
          <w:color w:val="auto"/>
          <w:sz w:val="32"/>
          <w:szCs w:val="32"/>
          <w:highlight w:val="none"/>
        </w:rPr>
      </w:pPr>
      <w:r>
        <w:rPr>
          <w:rFonts w:hint="eastAsia" w:ascii="黑体" w:hAnsi="黑体" w:eastAsia="黑体" w:cs="仿宋_GB2312"/>
          <w:color w:val="auto"/>
          <w:sz w:val="32"/>
          <w:szCs w:val="32"/>
          <w:highlight w:val="none"/>
          <w:lang w:val="en-US" w:eastAsia="zh-CN"/>
        </w:rPr>
        <w:t>广州市净水有限公司</w:t>
      </w:r>
    </w:p>
    <w:p>
      <w:pPr>
        <w:jc w:val="center"/>
        <w:rPr>
          <w:rFonts w:hint="eastAsia" w:ascii="黑体" w:hAnsi="黑体" w:eastAsia="黑体" w:cs="仿宋_GB2312"/>
          <w:color w:val="auto"/>
          <w:sz w:val="32"/>
          <w:szCs w:val="32"/>
          <w:highlight w:val="none"/>
        </w:rPr>
      </w:pPr>
      <w:r>
        <w:rPr>
          <w:rFonts w:hint="eastAsia" w:ascii="黑体" w:hAnsi="黑体" w:eastAsia="黑体"/>
          <w:color w:val="auto"/>
          <w:sz w:val="32"/>
          <w:szCs w:val="32"/>
          <w:highlight w:val="none"/>
        </w:rPr>
        <w:t>二</w:t>
      </w:r>
      <w:r>
        <w:rPr>
          <w:rFonts w:hint="eastAsia" w:ascii="黑体" w:hAnsi="黑体" w:eastAsia="黑体" w:cs="宋体"/>
          <w:color w:val="auto"/>
          <w:sz w:val="32"/>
          <w:szCs w:val="32"/>
          <w:highlight w:val="none"/>
        </w:rPr>
        <w:t>〇</w:t>
      </w:r>
      <w:r>
        <w:rPr>
          <w:rFonts w:hint="eastAsia" w:ascii="黑体" w:hAnsi="黑体" w:eastAsia="黑体" w:cs="仿宋_GB2312"/>
          <w:color w:val="auto"/>
          <w:sz w:val="32"/>
          <w:szCs w:val="32"/>
          <w:highlight w:val="none"/>
        </w:rPr>
        <w:t>二二年</w:t>
      </w:r>
      <w:r>
        <w:rPr>
          <w:rFonts w:hint="eastAsia" w:ascii="黑体" w:hAnsi="黑体" w:eastAsia="黑体" w:cs="仿宋_GB2312"/>
          <w:color w:val="auto"/>
          <w:sz w:val="32"/>
          <w:szCs w:val="32"/>
          <w:highlight w:val="none"/>
          <w:lang w:val="en-US" w:eastAsia="zh-CN"/>
        </w:rPr>
        <w:t>六</w:t>
      </w:r>
      <w:r>
        <w:rPr>
          <w:rFonts w:hint="eastAsia" w:ascii="黑体" w:hAnsi="黑体" w:eastAsia="黑体" w:cs="仿宋_GB2312"/>
          <w:color w:val="auto"/>
          <w:sz w:val="32"/>
          <w:szCs w:val="32"/>
          <w:highlight w:val="none"/>
        </w:rPr>
        <w:t>月</w:t>
      </w:r>
    </w:p>
    <w:p>
      <w:pPr>
        <w:jc w:val="center"/>
        <w:rPr>
          <w:rFonts w:ascii="黑体" w:hAnsi="黑体" w:eastAsia="黑体" w:cs="仿宋_GB2312"/>
          <w:color w:val="auto"/>
          <w:sz w:val="32"/>
          <w:szCs w:val="32"/>
          <w:highlight w:val="none"/>
        </w:rPr>
      </w:pPr>
      <w:r>
        <w:rPr>
          <w:rFonts w:ascii="黑体" w:hAnsi="黑体" w:eastAsia="黑体" w:cs="仿宋_GB2312"/>
          <w:color w:val="auto"/>
          <w:sz w:val="32"/>
          <w:szCs w:val="32"/>
          <w:highlight w:val="none"/>
        </w:rPr>
        <w:br w:type="page"/>
      </w:r>
    </w:p>
    <w:p>
      <w:pPr>
        <w:rPr>
          <w:color w:val="auto"/>
          <w:highlight w:val="none"/>
        </w:rPr>
      </w:pPr>
    </w:p>
    <w:p>
      <w:pPr>
        <w:pStyle w:val="35"/>
        <w:adjustRightInd w:val="0"/>
        <w:snapToGrid w:val="0"/>
        <w:spacing w:before="0" w:line="600" w:lineRule="exact"/>
        <w:jc w:val="center"/>
        <w:rPr>
          <w:rFonts w:hint="eastAsia" w:ascii="宋体" w:hAnsi="宋体" w:eastAsia="宋体" w:cs="宋体"/>
          <w:b/>
          <w:color w:val="auto"/>
          <w:sz w:val="44"/>
          <w:szCs w:val="44"/>
          <w:highlight w:val="none"/>
          <w:lang w:val="en-US" w:eastAsia="zh-CN"/>
        </w:rPr>
      </w:pPr>
      <w:r>
        <w:rPr>
          <w:rFonts w:hint="eastAsia" w:ascii="宋体" w:hAnsi="宋体" w:eastAsia="宋体" w:cs="宋体"/>
          <w:b/>
          <w:color w:val="auto"/>
          <w:sz w:val="44"/>
          <w:szCs w:val="44"/>
          <w:highlight w:val="none"/>
          <w:lang w:val="en-US" w:eastAsia="zh-CN"/>
        </w:rPr>
        <w:t>目录</w:t>
      </w:r>
    </w:p>
    <w:p>
      <w:pPr>
        <w:rPr>
          <w:rFonts w:asciiTheme="minorEastAsia" w:hAnsiTheme="minorEastAsia"/>
          <w:color w:val="auto"/>
          <w:sz w:val="24"/>
          <w:szCs w:val="24"/>
          <w:highlight w:val="none"/>
        </w:rPr>
      </w:pPr>
    </w:p>
    <w:p>
      <w:pPr>
        <w:pStyle w:val="21"/>
        <w:numPr>
          <w:ilvl w:val="0"/>
          <w:numId w:val="2"/>
        </w:numPr>
        <w:tabs>
          <w:tab w:val="right" w:pos="8844"/>
        </w:tabs>
        <w:rPr>
          <w:rFonts w:hint="eastAsia"/>
          <w:color w:val="auto"/>
          <w:highlight w:val="none"/>
          <w:lang w:val="en-US" w:eastAsia="zh-CN"/>
        </w:rPr>
      </w:pPr>
      <w:r>
        <w:rPr>
          <w:rFonts w:hint="eastAsia"/>
          <w:color w:val="auto"/>
          <w:highlight w:val="none"/>
          <w:lang w:val="en-US" w:eastAsia="zh-CN"/>
        </w:rPr>
        <w:t>采购公告（采购邀请书）</w:t>
      </w:r>
    </w:p>
    <w:p>
      <w:pPr>
        <w:pStyle w:val="21"/>
        <w:numPr>
          <w:ilvl w:val="0"/>
          <w:numId w:val="2"/>
        </w:numPr>
        <w:tabs>
          <w:tab w:val="right" w:pos="8844"/>
        </w:tabs>
        <w:rPr>
          <w:color w:val="auto"/>
          <w:highlight w:val="none"/>
        </w:rPr>
      </w:pPr>
      <w:r>
        <w:rPr>
          <w:rFonts w:hint="eastAsia"/>
          <w:color w:val="auto"/>
          <w:highlight w:val="none"/>
          <w:lang w:val="en-US" w:eastAsia="zh-CN"/>
        </w:rPr>
        <w:t>供应商须知</w:t>
      </w:r>
    </w:p>
    <w:p>
      <w:pPr>
        <w:pStyle w:val="21"/>
        <w:numPr>
          <w:ilvl w:val="0"/>
          <w:numId w:val="2"/>
        </w:numPr>
        <w:tabs>
          <w:tab w:val="right" w:pos="8844"/>
        </w:tabs>
        <w:rPr>
          <w:color w:val="auto"/>
          <w:highlight w:val="none"/>
        </w:rPr>
      </w:pPr>
      <w:r>
        <w:rPr>
          <w:rFonts w:hint="eastAsia"/>
          <w:color w:val="auto"/>
          <w:highlight w:val="none"/>
          <w:lang w:val="en-US" w:eastAsia="zh-CN"/>
        </w:rPr>
        <w:t>采购方法</w:t>
      </w:r>
    </w:p>
    <w:p>
      <w:pPr>
        <w:pStyle w:val="21"/>
        <w:numPr>
          <w:ilvl w:val="0"/>
          <w:numId w:val="2"/>
        </w:numPr>
        <w:tabs>
          <w:tab w:val="right" w:pos="8844"/>
        </w:tabs>
        <w:rPr>
          <w:color w:val="auto"/>
          <w:highlight w:val="none"/>
        </w:rPr>
      </w:pPr>
      <w:r>
        <w:rPr>
          <w:rFonts w:hint="eastAsia"/>
          <w:color w:val="auto"/>
          <w:highlight w:val="none"/>
          <w:lang w:val="en-US" w:eastAsia="zh-CN"/>
        </w:rPr>
        <w:t>评审方法</w:t>
      </w:r>
    </w:p>
    <w:p>
      <w:pPr>
        <w:pStyle w:val="21"/>
        <w:numPr>
          <w:ilvl w:val="0"/>
          <w:numId w:val="2"/>
        </w:numPr>
        <w:tabs>
          <w:tab w:val="right" w:pos="8844"/>
        </w:tabs>
        <w:rPr>
          <w:color w:val="auto"/>
          <w:highlight w:val="none"/>
        </w:rPr>
      </w:pPr>
      <w:r>
        <w:rPr>
          <w:rFonts w:hint="eastAsia"/>
          <w:color w:val="auto"/>
          <w:highlight w:val="none"/>
          <w:lang w:val="en-US" w:eastAsia="zh-CN"/>
        </w:rPr>
        <w:t>采购需求</w:t>
      </w:r>
    </w:p>
    <w:p>
      <w:pPr>
        <w:pStyle w:val="21"/>
        <w:numPr>
          <w:ilvl w:val="0"/>
          <w:numId w:val="2"/>
        </w:numPr>
        <w:tabs>
          <w:tab w:val="right" w:pos="8844"/>
        </w:tabs>
        <w:rPr>
          <w:color w:val="auto"/>
          <w:highlight w:val="none"/>
        </w:rPr>
      </w:pPr>
      <w:r>
        <w:rPr>
          <w:rFonts w:hint="eastAsia"/>
          <w:color w:val="auto"/>
          <w:highlight w:val="none"/>
        </w:rPr>
        <w:t>合同草案</w:t>
      </w:r>
    </w:p>
    <w:p>
      <w:pPr>
        <w:pStyle w:val="21"/>
        <w:numPr>
          <w:ilvl w:val="0"/>
          <w:numId w:val="2"/>
        </w:numPr>
        <w:tabs>
          <w:tab w:val="right" w:pos="8844"/>
        </w:tabs>
        <w:rPr>
          <w:color w:val="auto"/>
          <w:highlight w:val="none"/>
        </w:rPr>
      </w:pPr>
      <w:r>
        <w:rPr>
          <w:rFonts w:hint="eastAsia"/>
          <w:color w:val="auto"/>
          <w:highlight w:val="none"/>
        </w:rPr>
        <w:t>响应文件格式要求</w:t>
      </w:r>
      <w:r>
        <w:rPr>
          <w:color w:val="auto"/>
          <w:highlight w:val="none"/>
        </w:rPr>
        <w:fldChar w:fldCharType="begin"/>
      </w:r>
      <w:r>
        <w:rPr>
          <w:color w:val="auto"/>
          <w:highlight w:val="none"/>
        </w:rPr>
        <w:instrText xml:space="preserve">TOC \o "1-1" \n  \h \u </w:instrText>
      </w:r>
      <w:r>
        <w:rPr>
          <w:color w:val="auto"/>
          <w:highlight w:val="none"/>
        </w:rPr>
        <w:fldChar w:fldCharType="separate"/>
      </w:r>
      <w:r>
        <w:rPr>
          <w:color w:val="auto"/>
          <w:highlight w:val="none"/>
        </w:rPr>
        <w:fldChar w:fldCharType="begin"/>
      </w:r>
      <w:r>
        <w:rPr>
          <w:color w:val="auto"/>
          <w:highlight w:val="none"/>
        </w:rPr>
        <w:instrText xml:space="preserve"> HYPERLINK \l _Toc18800 </w:instrText>
      </w:r>
      <w:r>
        <w:rPr>
          <w:color w:val="auto"/>
          <w:highlight w:val="none"/>
        </w:rPr>
        <w:fldChar w:fldCharType="separate"/>
      </w:r>
      <w:r>
        <w:rPr>
          <w:color w:val="auto"/>
          <w:highlight w:val="none"/>
        </w:rPr>
        <w:fldChar w:fldCharType="end"/>
      </w:r>
    </w:p>
    <w:p>
      <w:pPr>
        <w:pStyle w:val="21"/>
        <w:tabs>
          <w:tab w:val="right" w:pos="8844"/>
        </w:tabs>
        <w:rPr>
          <w:color w:val="auto"/>
          <w:highlight w:val="none"/>
        </w:rPr>
      </w:pPr>
      <w:r>
        <w:rPr>
          <w:color w:val="auto"/>
          <w:highlight w:val="none"/>
        </w:rPr>
        <w:fldChar w:fldCharType="begin"/>
      </w:r>
      <w:r>
        <w:rPr>
          <w:color w:val="auto"/>
          <w:highlight w:val="none"/>
        </w:rPr>
        <w:instrText xml:space="preserve"> HYPERLINK \l _Toc5817 </w:instrText>
      </w:r>
      <w:r>
        <w:rPr>
          <w:color w:val="auto"/>
          <w:highlight w:val="none"/>
        </w:rPr>
        <w:fldChar w:fldCharType="separate"/>
      </w:r>
      <w:r>
        <w:rPr>
          <w:color w:val="auto"/>
          <w:highlight w:val="none"/>
        </w:rPr>
        <w:fldChar w:fldCharType="end"/>
      </w:r>
    </w:p>
    <w:p>
      <w:pPr>
        <w:pStyle w:val="21"/>
        <w:tabs>
          <w:tab w:val="right" w:pos="8844"/>
        </w:tabs>
        <w:rPr>
          <w:color w:val="auto"/>
          <w:highlight w:val="none"/>
        </w:rPr>
      </w:pPr>
      <w:r>
        <w:rPr>
          <w:color w:val="auto"/>
          <w:highlight w:val="none"/>
        </w:rPr>
        <w:fldChar w:fldCharType="begin"/>
      </w:r>
      <w:r>
        <w:rPr>
          <w:color w:val="auto"/>
          <w:highlight w:val="none"/>
        </w:rPr>
        <w:instrText xml:space="preserve"> HYPERLINK \l _Toc27928 </w:instrText>
      </w:r>
      <w:r>
        <w:rPr>
          <w:color w:val="auto"/>
          <w:highlight w:val="none"/>
        </w:rPr>
        <w:fldChar w:fldCharType="separate"/>
      </w:r>
      <w:r>
        <w:rPr>
          <w:color w:val="auto"/>
          <w:highlight w:val="none"/>
        </w:rPr>
        <w:fldChar w:fldCharType="end"/>
      </w:r>
    </w:p>
    <w:p>
      <w:pPr>
        <w:pStyle w:val="2"/>
        <w:rPr>
          <w:color w:val="auto"/>
          <w:highlight w:val="none"/>
        </w:rPr>
      </w:pPr>
      <w:r>
        <w:rPr>
          <w:color w:val="auto"/>
          <w:highlight w:val="none"/>
        </w:rPr>
        <w:fldChar w:fldCharType="end"/>
      </w: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4"/>
        <w:rPr>
          <w:rFonts w:hint="eastAsia"/>
          <w:color w:val="auto"/>
          <w:highlight w:val="none"/>
        </w:rPr>
      </w:pPr>
      <w:bookmarkStart w:id="0" w:name="_Toc26148"/>
      <w:bookmarkStart w:id="1" w:name="_Toc18145"/>
    </w:p>
    <w:p>
      <w:pPr>
        <w:rPr>
          <w:rFonts w:hint="eastAsia"/>
          <w:color w:val="auto"/>
          <w:highlight w:val="none"/>
        </w:rPr>
      </w:pPr>
    </w:p>
    <w:p>
      <w:pPr>
        <w:pStyle w:val="4"/>
        <w:rPr>
          <w:rFonts w:hint="eastAsia"/>
          <w:color w:val="auto"/>
          <w:highlight w:val="none"/>
        </w:rPr>
      </w:pPr>
      <w:bookmarkStart w:id="2" w:name="_Toc1711"/>
      <w:bookmarkStart w:id="3" w:name="_Toc17696"/>
    </w:p>
    <w:p>
      <w:pPr>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4"/>
        <w:rPr>
          <w:rFonts w:hint="eastAsia"/>
          <w:color w:val="auto"/>
          <w:highlight w:val="none"/>
        </w:rPr>
      </w:pPr>
      <w:bookmarkStart w:id="4" w:name="_Toc11322"/>
      <w:bookmarkStart w:id="5" w:name="_Toc4275"/>
      <w:bookmarkStart w:id="6" w:name="_Toc7519"/>
      <w:bookmarkStart w:id="7" w:name="_Toc19609"/>
      <w:bookmarkStart w:id="8" w:name="_Toc17801"/>
      <w:bookmarkStart w:id="9" w:name="_Toc31938"/>
      <w:bookmarkStart w:id="10" w:name="_Toc1669"/>
    </w:p>
    <w:p>
      <w:pPr>
        <w:pStyle w:val="4"/>
        <w:rPr>
          <w:rFonts w:hint="eastAsia"/>
          <w:color w:val="auto"/>
          <w:highlight w:val="none"/>
        </w:rPr>
      </w:pPr>
    </w:p>
    <w:p>
      <w:pPr>
        <w:pStyle w:val="4"/>
        <w:rPr>
          <w:rFonts w:hint="eastAsia"/>
          <w:color w:val="auto"/>
          <w:highlight w:val="none"/>
        </w:rPr>
      </w:pPr>
    </w:p>
    <w:p>
      <w:pPr>
        <w:pStyle w:val="4"/>
        <w:rPr>
          <w:rFonts w:hint="eastAsia" w:ascii="宋体" w:hAnsi="宋体" w:eastAsia="宋体" w:cs="宋体"/>
          <w:color w:val="auto"/>
          <w:highlight w:val="none"/>
        </w:rPr>
      </w:pPr>
      <w:r>
        <w:rPr>
          <w:rFonts w:hint="eastAsia" w:ascii="宋体" w:hAnsi="宋体" w:eastAsia="宋体" w:cs="宋体"/>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2340610</wp:posOffset>
                </wp:positionH>
                <wp:positionV relativeFrom="paragraph">
                  <wp:posOffset>745490</wp:posOffset>
                </wp:positionV>
                <wp:extent cx="958850" cy="0"/>
                <wp:effectExtent l="0" t="0" r="0" b="0"/>
                <wp:wrapNone/>
                <wp:docPr id="18" name="自选图形 1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margin-left:184.3pt;margin-top:58.7pt;height:0pt;width:75.5pt;z-index:251673600;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AzYCxHXAAAACwEAAA8AAAAAAAAA&#10;AQAgAAAAIgAAAGRycy9kb3ducmV2LnhtbFBLAQIUABQAAAAIAIdO4kApw8wD2QEAAJYDAAAOAAAA&#10;AAAAAAEAIAAAACYBAABkcnMvZTJvRG9jLnhtbFBLBQYAAAAABgAGAFkBAABxBQAAAAA=&#10;">
                <v:fill on="f" focussize="0,0"/>
                <v:stroke color="#000000" joinstyle="round"/>
                <v:imagedata o:title=""/>
                <o:lock v:ext="edit" aspectratio="f"/>
              </v:shape>
            </w:pict>
          </mc:Fallback>
        </mc:AlternateContent>
      </w:r>
      <w:r>
        <w:rPr>
          <w:rFonts w:hint="eastAsia" w:ascii="宋体" w:hAnsi="宋体" w:eastAsia="宋体" w:cs="宋体"/>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17" name="自选图形 1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184.9pt;margin-top:8.5pt;height:0pt;width:75.5pt;z-index:251672576;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Cti3rWAAAACQEAAA8AAAAAAAAA&#10;AQAgAAAAIgAAAGRycy9kb3ducmV2LnhtbFBLAQIUABQAAAAIAIdO4kAhAPJW2gEAAJYDAAAOAAAA&#10;AAAAAAEAIAAAACUBAABkcnMvZTJvRG9jLnhtbFBLBQYAAAAABgAGAFkBAABxBQAAAAA=&#10;">
                <v:fill on="f" focussize="0,0"/>
                <v:stroke color="#000000" joinstyle="round"/>
                <v:imagedata o:title=""/>
                <o:lock v:ext="edit" aspectratio="f"/>
              </v:shape>
            </w:pict>
          </mc:Fallback>
        </mc:AlternateContent>
      </w:r>
      <w:r>
        <w:rPr>
          <w:rFonts w:hint="eastAsia" w:ascii="宋体" w:hAnsi="宋体" w:eastAsia="宋体" w:cs="宋体"/>
          <w:color w:val="auto"/>
          <w:highlight w:val="none"/>
        </w:rPr>
        <w:t>第一章</w:t>
      </w:r>
      <w:bookmarkEnd w:id="0"/>
      <w:bookmarkEnd w:id="1"/>
      <w:bookmarkEnd w:id="2"/>
      <w:bookmarkEnd w:id="3"/>
      <w:bookmarkEnd w:id="4"/>
      <w:bookmarkEnd w:id="5"/>
      <w:bookmarkEnd w:id="6"/>
      <w:bookmarkEnd w:id="7"/>
      <w:bookmarkEnd w:id="8"/>
      <w:bookmarkEnd w:id="9"/>
      <w:bookmarkEnd w:id="10"/>
    </w:p>
    <w:p>
      <w:pPr>
        <w:pStyle w:val="37"/>
        <w:rPr>
          <w:rFonts w:hint="eastAsia" w:ascii="宋体" w:hAnsi="宋体" w:eastAsia="宋体" w:cs="宋体"/>
          <w:color w:val="auto"/>
          <w:highlight w:val="none"/>
        </w:rPr>
      </w:pPr>
    </w:p>
    <w:p>
      <w:pPr>
        <w:pStyle w:val="4"/>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采购公告（采购邀请书）</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仿宋_GB2312" w:eastAsia="仿宋_GB2312"/>
          <w:color w:val="auto"/>
          <w:sz w:val="28"/>
          <w:szCs w:val="28"/>
          <w:highlight w:val="none"/>
        </w:rPr>
      </w:pPr>
    </w:p>
    <w:p>
      <w:pPr>
        <w:adjustRightInd w:val="0"/>
        <w:snapToGrid w:val="0"/>
        <w:spacing w:beforeLines="50" w:afterLines="50" w:line="600" w:lineRule="exact"/>
        <w:jc w:val="left"/>
        <w:rPr>
          <w:color w:val="auto"/>
          <w:highlight w:val="none"/>
        </w:rPr>
      </w:pPr>
      <w:r>
        <w:rPr>
          <w:rFonts w:hint="eastAsia" w:asciiTheme="minorEastAsia" w:hAnsiTheme="minorEastAsia"/>
          <w:color w:val="auto"/>
          <w:sz w:val="24"/>
          <w:szCs w:val="24"/>
          <w:highlight w:val="none"/>
        </w:rPr>
        <w:t>适用于纸质评审的公开采购方式</w:t>
      </w:r>
    </w:p>
    <w:p>
      <w:pPr>
        <w:pStyle w:val="4"/>
        <w:rPr>
          <w:rFonts w:hint="eastAsia" w:eastAsia="方正小标宋简体"/>
          <w:color w:val="auto"/>
          <w:highlight w:val="none"/>
          <w:lang w:eastAsia="zh-CN"/>
        </w:rPr>
      </w:pPr>
      <w:bookmarkStart w:id="11" w:name="_Toc9680"/>
      <w:bookmarkStart w:id="12" w:name="_Toc21373"/>
      <w:r>
        <w:rPr>
          <w:rFonts w:hint="eastAsia"/>
          <w:color w:val="auto"/>
          <w:highlight w:val="none"/>
          <w:lang w:eastAsia="zh-CN"/>
        </w:rPr>
        <w:t>采购公告（采购邀请书）</w:t>
      </w:r>
    </w:p>
    <w:bookmarkEnd w:id="11"/>
    <w:bookmarkEnd w:id="12"/>
    <w:p>
      <w:pPr>
        <w:adjustRightInd w:val="0"/>
        <w:snapToGrid w:val="0"/>
        <w:spacing w:line="600" w:lineRule="exact"/>
        <w:jc w:val="left"/>
        <w:rPr>
          <w:rFonts w:hint="eastAsia" w:ascii="仿宋" w:hAnsi="仿宋" w:eastAsia="仿宋" w:cs="仿宋"/>
          <w:color w:val="auto"/>
          <w:sz w:val="28"/>
          <w:szCs w:val="28"/>
          <w:highlight w:val="none"/>
          <w:u w:val="single"/>
        </w:rPr>
      </w:pP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lang w:val="en-US" w:eastAsia="zh-CN"/>
        </w:rPr>
        <w:t xml:space="preserve">   </w:t>
      </w:r>
      <w:r>
        <w:rPr>
          <w:rFonts w:hint="eastAsia" w:ascii="仿宋" w:hAnsi="仿宋" w:eastAsia="仿宋" w:cs="仿宋"/>
          <w:color w:val="auto"/>
          <w:sz w:val="28"/>
          <w:szCs w:val="28"/>
          <w:highlight w:val="none"/>
          <w:u w:val="single"/>
          <w:lang w:val="en-US" w:eastAsia="zh-CN"/>
        </w:rPr>
        <w:t>广州市净水有限公司</w:t>
      </w:r>
      <w:r>
        <w:rPr>
          <w:rFonts w:hint="eastAsia" w:ascii="仿宋" w:hAnsi="仿宋" w:eastAsia="仿宋" w:cs="仿宋"/>
          <w:b w:val="0"/>
          <w:bCs w:val="0"/>
          <w:color w:val="auto"/>
          <w:sz w:val="28"/>
          <w:szCs w:val="28"/>
          <w:highlight w:val="none"/>
          <w:u w:val="single"/>
        </w:rPr>
        <w:t>石井分公司</w:t>
      </w:r>
      <w:r>
        <w:rPr>
          <w:rFonts w:hint="eastAsia" w:ascii="仿宋" w:hAnsi="仿宋" w:eastAsia="仿宋" w:cs="仿宋"/>
          <w:b w:val="0"/>
          <w:bCs w:val="0"/>
          <w:color w:val="auto"/>
          <w:sz w:val="28"/>
          <w:szCs w:val="28"/>
          <w:highlight w:val="none"/>
          <w:u w:val="single"/>
          <w:lang w:val="en-US" w:eastAsia="zh-CN"/>
        </w:rPr>
        <w:t>二期初雨增设PAC储存罐项目</w:t>
      </w:r>
      <w:r>
        <w:rPr>
          <w:rFonts w:hint="eastAsia" w:ascii="仿宋" w:hAnsi="仿宋" w:eastAsia="仿宋" w:cs="仿宋"/>
          <w:color w:val="auto"/>
          <w:sz w:val="28"/>
          <w:szCs w:val="28"/>
          <w:highlight w:val="none"/>
        </w:rPr>
        <w:t>已具备采购条件，</w:t>
      </w:r>
      <w:r>
        <w:rPr>
          <w:rFonts w:hint="eastAsia" w:ascii="仿宋" w:hAnsi="仿宋" w:eastAsia="仿宋" w:cs="仿宋"/>
          <w:sz w:val="28"/>
          <w:szCs w:val="28"/>
        </w:rPr>
        <w:t>现</w:t>
      </w:r>
      <w:r>
        <w:rPr>
          <w:rFonts w:hint="eastAsia" w:ascii="仿宋" w:hAnsi="仿宋" w:eastAsia="仿宋" w:cs="仿宋"/>
          <w:sz w:val="28"/>
          <w:szCs w:val="28"/>
          <w:lang w:val="en-US" w:eastAsia="zh-CN"/>
        </w:rPr>
        <w:t>邀请合格</w:t>
      </w:r>
      <w:r>
        <w:rPr>
          <w:rFonts w:hint="eastAsia" w:ascii="仿宋" w:hAnsi="仿宋" w:eastAsia="仿宋" w:cs="仿宋"/>
          <w:sz w:val="28"/>
          <w:szCs w:val="28"/>
          <w:u w:val="none"/>
          <w:lang w:val="en-US" w:eastAsia="zh-CN"/>
        </w:rPr>
        <w:t>单位</w:t>
      </w:r>
      <w:r>
        <w:rPr>
          <w:rFonts w:hint="eastAsia" w:ascii="仿宋" w:hAnsi="仿宋" w:eastAsia="仿宋" w:cs="仿宋"/>
          <w:sz w:val="28"/>
          <w:szCs w:val="28"/>
        </w:rPr>
        <w:t>参加本</w:t>
      </w:r>
      <w:r>
        <w:rPr>
          <w:rFonts w:hint="eastAsia" w:ascii="仿宋" w:hAnsi="仿宋" w:eastAsia="仿宋" w:cs="仿宋"/>
          <w:sz w:val="28"/>
          <w:szCs w:val="28"/>
        </w:rPr>
        <w:sym w:font="Wingdings 2" w:char="0052"/>
      </w:r>
      <w:r>
        <w:rPr>
          <w:rFonts w:hint="eastAsia" w:ascii="仿宋" w:hAnsi="仿宋" w:eastAsia="仿宋" w:cs="仿宋"/>
          <w:sz w:val="28"/>
          <w:szCs w:val="28"/>
        </w:rPr>
        <w:t xml:space="preserve">施工  </w:t>
      </w:r>
      <w:r>
        <w:rPr>
          <w:rFonts w:hint="eastAsia" w:ascii="仿宋" w:hAnsi="仿宋" w:eastAsia="仿宋" w:cs="仿宋"/>
          <w:sz w:val="28"/>
          <w:szCs w:val="28"/>
        </w:rPr>
        <w:sym w:font="Wingdings 2" w:char="00A3"/>
      </w:r>
      <w:r>
        <w:rPr>
          <w:rFonts w:hint="eastAsia" w:ascii="仿宋" w:hAnsi="仿宋" w:eastAsia="仿宋" w:cs="仿宋"/>
          <w:sz w:val="28"/>
          <w:szCs w:val="28"/>
        </w:rPr>
        <w:t>货物 □服务项目采购活动，采用</w:t>
      </w:r>
      <w:r>
        <w:rPr>
          <w:rFonts w:hint="eastAsia" w:ascii="仿宋" w:hAnsi="仿宋" w:eastAsia="仿宋" w:cs="仿宋"/>
          <w:sz w:val="28"/>
          <w:szCs w:val="28"/>
          <w:u w:val="single"/>
        </w:rPr>
        <w:sym w:font="Wingdings 2" w:char="00A3"/>
      </w:r>
      <w:r>
        <w:rPr>
          <w:rFonts w:hint="eastAsia" w:ascii="仿宋" w:hAnsi="仿宋" w:eastAsia="仿宋" w:cs="仿宋"/>
          <w:sz w:val="28"/>
          <w:szCs w:val="28"/>
          <w:u w:val="single"/>
          <w:lang w:val="en-US" w:eastAsia="zh-CN"/>
        </w:rPr>
        <w:t>邀请</w:t>
      </w:r>
      <w:r>
        <w:rPr>
          <w:rFonts w:hint="eastAsia" w:ascii="仿宋" w:hAnsi="仿宋" w:eastAsia="仿宋" w:cs="仿宋"/>
          <w:sz w:val="28"/>
          <w:szCs w:val="28"/>
          <w:u w:val="single"/>
        </w:rPr>
        <w:t>询比</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lang w:val="en-US" w:eastAsia="zh-CN"/>
        </w:rPr>
        <w:sym w:font="Wingdings 2" w:char="0052"/>
      </w:r>
      <w:r>
        <w:rPr>
          <w:rFonts w:hint="eastAsia" w:ascii="仿宋" w:hAnsi="仿宋" w:eastAsia="仿宋" w:cs="仿宋"/>
          <w:sz w:val="28"/>
          <w:szCs w:val="28"/>
          <w:u w:val="single"/>
          <w:lang w:val="en-US" w:eastAsia="zh-CN"/>
        </w:rPr>
        <w:t>公开询比</w:t>
      </w:r>
      <w:r>
        <w:rPr>
          <w:rFonts w:hint="eastAsia" w:ascii="仿宋" w:hAnsi="仿宋" w:eastAsia="仿宋" w:cs="仿宋"/>
          <w:sz w:val="28"/>
          <w:szCs w:val="28"/>
        </w:rPr>
        <w:t>的方式邀请合格供应商参加本项目采购活动。</w:t>
      </w:r>
    </w:p>
    <w:p>
      <w:pPr>
        <w:adjustRightInd w:val="0"/>
        <w:snapToGrid w:val="0"/>
        <w:spacing w:line="600" w:lineRule="exact"/>
        <w:jc w:val="left"/>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1.采购项目简介</w:t>
      </w:r>
    </w:p>
    <w:p>
      <w:pPr>
        <w:adjustRightInd w:val="0"/>
        <w:snapToGrid w:val="0"/>
        <w:spacing w:line="60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1.1采购项目名称：</w:t>
      </w:r>
      <w:r>
        <w:rPr>
          <w:rFonts w:hint="eastAsia" w:ascii="仿宋" w:hAnsi="仿宋" w:eastAsia="仿宋" w:cs="仿宋"/>
          <w:color w:val="auto"/>
          <w:sz w:val="28"/>
          <w:szCs w:val="28"/>
          <w:highlight w:val="none"/>
          <w:u w:val="single"/>
          <w:lang w:val="en-US" w:eastAsia="zh-CN"/>
        </w:rPr>
        <w:t>广州市净水有限公司</w:t>
      </w:r>
      <w:r>
        <w:rPr>
          <w:rFonts w:hint="eastAsia" w:ascii="仿宋" w:hAnsi="仿宋" w:eastAsia="仿宋" w:cs="仿宋"/>
          <w:b w:val="0"/>
          <w:bCs w:val="0"/>
          <w:color w:val="auto"/>
          <w:sz w:val="28"/>
          <w:szCs w:val="28"/>
          <w:highlight w:val="none"/>
          <w:u w:val="single"/>
        </w:rPr>
        <w:t>石井分公司</w:t>
      </w:r>
      <w:r>
        <w:rPr>
          <w:rFonts w:hint="eastAsia" w:ascii="仿宋" w:hAnsi="仿宋" w:eastAsia="仿宋" w:cs="仿宋"/>
          <w:b w:val="0"/>
          <w:bCs w:val="0"/>
          <w:color w:val="auto"/>
          <w:sz w:val="28"/>
          <w:szCs w:val="28"/>
          <w:highlight w:val="none"/>
          <w:u w:val="single"/>
          <w:lang w:val="en-US" w:eastAsia="zh-CN"/>
        </w:rPr>
        <w:t>二期初雨增设PAC储存罐项目</w:t>
      </w:r>
      <w:r>
        <w:rPr>
          <w:rFonts w:hint="eastAsia" w:ascii="仿宋" w:hAnsi="仿宋" w:eastAsia="仿宋" w:cs="仿宋"/>
          <w:color w:val="auto"/>
          <w:sz w:val="28"/>
          <w:szCs w:val="28"/>
          <w:highlight w:val="none"/>
        </w:rPr>
        <w:t xml:space="preserve"> </w:t>
      </w:r>
    </w:p>
    <w:p>
      <w:pPr>
        <w:adjustRightInd w:val="0"/>
        <w:snapToGrid w:val="0"/>
        <w:spacing w:line="60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1.2项目编号：</w:t>
      </w:r>
      <w:r>
        <w:rPr>
          <w:rFonts w:hint="eastAsia" w:ascii="仿宋" w:hAnsi="仿宋" w:eastAsia="仿宋" w:cs="仿宋"/>
          <w:color w:val="auto"/>
          <w:sz w:val="28"/>
          <w:szCs w:val="28"/>
          <w:highlight w:val="none"/>
          <w:lang w:val="en-US" w:eastAsia="zh-CN"/>
        </w:rPr>
        <w:t>XJ-20220624-1</w:t>
      </w:r>
    </w:p>
    <w:p>
      <w:pPr>
        <w:adjustRightInd w:val="0"/>
        <w:snapToGrid w:val="0"/>
        <w:spacing w:line="600" w:lineRule="exact"/>
        <w:jc w:val="left"/>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资金来源：</w:t>
      </w:r>
      <w:r>
        <w:rPr>
          <w:rFonts w:hint="eastAsia" w:ascii="仿宋" w:hAnsi="仿宋" w:eastAsia="仿宋" w:cs="仿宋"/>
          <w:color w:val="auto"/>
          <w:sz w:val="28"/>
          <w:szCs w:val="28"/>
          <w:highlight w:val="none"/>
          <w:u w:val="single"/>
          <w:lang w:val="en-US" w:eastAsia="zh-CN"/>
        </w:rPr>
        <w:t xml:space="preserve">自有资金 </w:t>
      </w:r>
      <w:r>
        <w:rPr>
          <w:rFonts w:hint="eastAsia" w:ascii="仿宋" w:hAnsi="仿宋" w:eastAsia="仿宋" w:cs="仿宋"/>
          <w:color w:val="auto"/>
          <w:sz w:val="28"/>
          <w:szCs w:val="28"/>
          <w:highlight w:val="none"/>
          <w:u w:val="single"/>
        </w:rPr>
        <w:t xml:space="preserve"> </w:t>
      </w:r>
    </w:p>
    <w:p>
      <w:pPr>
        <w:keepNext w:val="0"/>
        <w:keepLines w:val="0"/>
        <w:pageBreakBefore w:val="0"/>
        <w:widowControl w:val="0"/>
        <w:kinsoku/>
        <w:wordWrap/>
        <w:overflowPunct/>
        <w:topLinePunct w:val="0"/>
        <w:autoSpaceDE w:val="0"/>
        <w:autoSpaceDN w:val="0"/>
        <w:bidi w:val="0"/>
        <w:adjustRightInd/>
        <w:snapToGrid/>
        <w:spacing w:line="520" w:lineRule="exact"/>
        <w:textAlignment w:val="auto"/>
        <w:rPr>
          <w:rFonts w:hint="eastAsia" w:ascii="仿宋" w:hAnsi="仿宋" w:eastAsia="仿宋" w:cs="仿宋"/>
          <w:sz w:val="28"/>
          <w:szCs w:val="28"/>
          <w:highlight w:val="none"/>
          <w:lang w:val="zh-CN" w:eastAsia="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最高限价</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元</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u w:val="single"/>
        </w:rPr>
        <w:t>303699.04元（人民币）</w:t>
      </w:r>
      <w:r>
        <w:rPr>
          <w:rFonts w:hint="eastAsia" w:ascii="仿宋" w:hAnsi="仿宋" w:eastAsia="仿宋" w:cs="仿宋"/>
          <w:sz w:val="28"/>
          <w:szCs w:val="28"/>
          <w:highlight w:val="none"/>
          <w:lang w:val="zh-CN" w:eastAsia="zh-CN"/>
        </w:rPr>
        <w:t>（其中税前造价293287.34元，税率为9%，绿色</w:t>
      </w:r>
      <w:r>
        <w:rPr>
          <w:rFonts w:hint="eastAsia" w:ascii="仿宋" w:hAnsi="仿宋" w:eastAsia="仿宋" w:cs="仿宋"/>
          <w:sz w:val="28"/>
          <w:szCs w:val="28"/>
          <w:highlight w:val="none"/>
        </w:rPr>
        <w:t>施工安全防护措施</w:t>
      </w:r>
      <w:r>
        <w:rPr>
          <w:rFonts w:hint="eastAsia" w:ascii="仿宋" w:hAnsi="仿宋" w:eastAsia="仿宋" w:cs="仿宋"/>
          <w:sz w:val="28"/>
          <w:szCs w:val="28"/>
          <w:highlight w:val="none"/>
          <w:lang w:val="zh-CN" w:eastAsia="zh-CN"/>
        </w:rPr>
        <w:t>费</w:t>
      </w:r>
      <w:r>
        <w:rPr>
          <w:rFonts w:hint="eastAsia" w:ascii="仿宋" w:hAnsi="仿宋" w:eastAsia="仿宋" w:cs="仿宋"/>
          <w:sz w:val="28"/>
          <w:szCs w:val="28"/>
          <w:highlight w:val="none"/>
          <w:lang w:val="en-US" w:eastAsia="zh-CN"/>
        </w:rPr>
        <w:t>6168.22</w:t>
      </w:r>
      <w:r>
        <w:rPr>
          <w:rFonts w:hint="eastAsia" w:ascii="仿宋" w:hAnsi="仿宋" w:eastAsia="仿宋" w:cs="仿宋"/>
          <w:sz w:val="28"/>
          <w:szCs w:val="28"/>
          <w:highlight w:val="none"/>
          <w:lang w:val="zh-CN" w:eastAsia="zh-CN"/>
        </w:rPr>
        <w:t>元，其中建筑工程绿色</w:t>
      </w:r>
      <w:r>
        <w:rPr>
          <w:rFonts w:hint="eastAsia" w:ascii="仿宋" w:hAnsi="仿宋" w:eastAsia="仿宋" w:cs="仿宋"/>
          <w:sz w:val="28"/>
          <w:szCs w:val="28"/>
          <w:highlight w:val="none"/>
        </w:rPr>
        <w:t>施工安全防护措施</w:t>
      </w:r>
      <w:r>
        <w:rPr>
          <w:rFonts w:hint="eastAsia" w:ascii="仿宋" w:hAnsi="仿宋" w:eastAsia="仿宋" w:cs="仿宋"/>
          <w:sz w:val="28"/>
          <w:szCs w:val="28"/>
          <w:highlight w:val="none"/>
          <w:lang w:val="zh-CN" w:eastAsia="zh-CN"/>
        </w:rPr>
        <w:t>费</w:t>
      </w:r>
      <w:r>
        <w:rPr>
          <w:rFonts w:hint="eastAsia" w:ascii="仿宋" w:hAnsi="仿宋" w:eastAsia="仿宋" w:cs="仿宋"/>
          <w:sz w:val="28"/>
          <w:szCs w:val="28"/>
          <w:highlight w:val="none"/>
          <w:lang w:val="en-US" w:eastAsia="zh-CN"/>
        </w:rPr>
        <w:t>2705.45</w:t>
      </w:r>
      <w:r>
        <w:rPr>
          <w:rFonts w:hint="eastAsia" w:ascii="仿宋" w:hAnsi="仿宋" w:eastAsia="仿宋" w:cs="仿宋"/>
          <w:sz w:val="28"/>
          <w:szCs w:val="28"/>
          <w:highlight w:val="none"/>
          <w:lang w:val="zh-CN" w:eastAsia="zh-CN"/>
        </w:rPr>
        <w:t>元，安装工程绿色</w:t>
      </w:r>
      <w:r>
        <w:rPr>
          <w:rFonts w:hint="eastAsia" w:ascii="仿宋" w:hAnsi="仿宋" w:eastAsia="仿宋" w:cs="仿宋"/>
          <w:sz w:val="28"/>
          <w:szCs w:val="28"/>
          <w:highlight w:val="none"/>
        </w:rPr>
        <w:t>施工安全防护措施</w:t>
      </w:r>
      <w:r>
        <w:rPr>
          <w:rFonts w:hint="eastAsia" w:ascii="仿宋" w:hAnsi="仿宋" w:eastAsia="仿宋" w:cs="仿宋"/>
          <w:sz w:val="28"/>
          <w:szCs w:val="28"/>
          <w:highlight w:val="none"/>
          <w:lang w:val="zh-CN" w:eastAsia="zh-CN"/>
        </w:rPr>
        <w:t>费3462.7</w:t>
      </w:r>
      <w:r>
        <w:rPr>
          <w:rFonts w:hint="eastAsia" w:ascii="仿宋" w:hAnsi="仿宋" w:eastAsia="仿宋" w:cs="仿宋"/>
          <w:sz w:val="28"/>
          <w:szCs w:val="28"/>
          <w:highlight w:val="none"/>
          <w:lang w:val="en-US" w:eastAsia="zh-CN"/>
        </w:rPr>
        <w:t>7</w:t>
      </w:r>
      <w:r>
        <w:rPr>
          <w:rFonts w:hint="eastAsia" w:ascii="仿宋" w:hAnsi="仿宋" w:eastAsia="仿宋" w:cs="仿宋"/>
          <w:sz w:val="28"/>
          <w:szCs w:val="28"/>
          <w:highlight w:val="none"/>
          <w:lang w:val="zh-CN" w:eastAsia="zh-CN"/>
        </w:rPr>
        <w:t>元。</w:t>
      </w:r>
      <w:r>
        <w:rPr>
          <w:rFonts w:hint="eastAsia" w:ascii="仿宋" w:hAnsi="仿宋" w:eastAsia="仿宋" w:cs="仿宋"/>
          <w:sz w:val="28"/>
          <w:szCs w:val="28"/>
          <w:highlight w:val="none"/>
        </w:rPr>
        <w:t>绿色施工安全防护措施费为非竞争性费用，报价时须按询价文件规定的金额填写，不得参与竞争，否则按无效报价处理。</w:t>
      </w:r>
      <w:r>
        <w:rPr>
          <w:rFonts w:hint="eastAsia" w:ascii="仿宋" w:hAnsi="仿宋" w:eastAsia="仿宋" w:cs="仿宋"/>
          <w:sz w:val="28"/>
          <w:szCs w:val="28"/>
          <w:highlight w:val="none"/>
          <w:lang w:val="zh-CN" w:eastAsia="zh-CN"/>
        </w:rPr>
        <w:t>）</w:t>
      </w:r>
    </w:p>
    <w:p>
      <w:pPr>
        <w:adjustRightInd w:val="0"/>
        <w:snapToGrid w:val="0"/>
        <w:spacing w:line="600" w:lineRule="exact"/>
        <w:jc w:val="left"/>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标段划分：</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无</w:t>
      </w:r>
      <w:r>
        <w:rPr>
          <w:rFonts w:hint="eastAsia" w:ascii="仿宋" w:hAnsi="仿宋" w:eastAsia="仿宋" w:cs="仿宋"/>
          <w:color w:val="auto"/>
          <w:sz w:val="28"/>
          <w:szCs w:val="28"/>
          <w:highlight w:val="none"/>
          <w:u w:val="single"/>
        </w:rPr>
        <w:t xml:space="preserve"> </w:t>
      </w:r>
    </w:p>
    <w:p>
      <w:pPr>
        <w:adjustRightInd w:val="0"/>
        <w:snapToGrid w:val="0"/>
        <w:spacing w:line="600" w:lineRule="exact"/>
        <w:jc w:val="left"/>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2.采购内容和范围</w:t>
      </w:r>
    </w:p>
    <w:p>
      <w:pPr>
        <w:pStyle w:val="9"/>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8"/>
          <w:szCs w:val="28"/>
          <w:highlight w:val="none"/>
          <w:u w:val="single"/>
          <w:lang w:val="en-US" w:eastAsia="zh-CN"/>
        </w:rPr>
      </w:pPr>
      <w:r>
        <w:rPr>
          <w:rFonts w:hint="eastAsia" w:ascii="仿宋" w:hAnsi="仿宋" w:eastAsia="仿宋" w:cs="仿宋"/>
          <w:color w:val="auto"/>
          <w:sz w:val="28"/>
          <w:szCs w:val="28"/>
          <w:highlight w:val="none"/>
        </w:rPr>
        <w:t>2.1采购内容和范围：</w:t>
      </w:r>
      <w:r>
        <w:rPr>
          <w:rFonts w:hint="eastAsia" w:ascii="仿宋" w:hAnsi="仿宋" w:eastAsia="仿宋" w:cs="仿宋"/>
          <w:color w:val="auto"/>
          <w:sz w:val="28"/>
          <w:szCs w:val="28"/>
          <w:highlight w:val="none"/>
          <w:u w:val="single"/>
          <w:lang w:val="en-US" w:eastAsia="zh-CN"/>
        </w:rPr>
        <w:t>在石井分公司厂区初雨加药间旁南面空地增设长4.7M、宽2.56M，高2.56M，卧式有效容积20立方玻璃钢（FRP复合材料）罐体2个及其附属药泵、阀门管道一批；该区域地面硬化、围堰、雨棚、护栏等总面积约55㎡。</w:t>
      </w:r>
    </w:p>
    <w:p>
      <w:pPr>
        <w:adjustRightInd w:val="0"/>
        <w:snapToGrid w:val="0"/>
        <w:spacing w:line="60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2.2项目工期：</w:t>
      </w:r>
      <w:r>
        <w:rPr>
          <w:rFonts w:hint="eastAsia" w:ascii="仿宋" w:hAnsi="仿宋" w:eastAsia="仿宋" w:cs="仿宋"/>
          <w:color w:val="auto"/>
          <w:sz w:val="28"/>
          <w:szCs w:val="28"/>
          <w:highlight w:val="none"/>
        </w:rPr>
        <w:sym w:font="Wingdings 2" w:char="0052"/>
      </w:r>
      <w:r>
        <w:rPr>
          <w:rFonts w:hint="eastAsia" w:ascii="仿宋" w:hAnsi="仿宋" w:eastAsia="仿宋" w:cs="仿宋"/>
          <w:color w:val="auto"/>
          <w:sz w:val="28"/>
          <w:szCs w:val="28"/>
          <w:highlight w:val="none"/>
        </w:rPr>
        <w:t>计划工期   □交货期  □服务期为</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68天</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 xml:space="preserve"> </w:t>
      </w:r>
    </w:p>
    <w:p>
      <w:pPr>
        <w:adjustRightInd w:val="0"/>
        <w:snapToGrid w:val="0"/>
        <w:spacing w:line="600" w:lineRule="exact"/>
        <w:jc w:val="left"/>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2.3地点：</w:t>
      </w:r>
      <w:r>
        <w:rPr>
          <w:rFonts w:hint="eastAsia" w:ascii="仿宋" w:hAnsi="仿宋" w:eastAsia="仿宋" w:cs="仿宋"/>
          <w:color w:val="auto"/>
          <w:sz w:val="28"/>
          <w:szCs w:val="28"/>
          <w:highlight w:val="none"/>
        </w:rPr>
        <w:sym w:font="Wingdings 2" w:char="0052"/>
      </w:r>
      <w:r>
        <w:rPr>
          <w:rFonts w:hint="eastAsia" w:ascii="仿宋" w:hAnsi="仿宋" w:eastAsia="仿宋" w:cs="仿宋"/>
          <w:color w:val="auto"/>
          <w:sz w:val="28"/>
          <w:szCs w:val="28"/>
          <w:highlight w:val="none"/>
        </w:rPr>
        <w:t>建设地点  □交货地点  □服务地点位于</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在石井分公司厂区初雨加药间旁南面空地</w:t>
      </w:r>
      <w:r>
        <w:rPr>
          <w:rFonts w:hint="eastAsia" w:ascii="仿宋" w:hAnsi="仿宋" w:eastAsia="仿宋" w:cs="仿宋"/>
          <w:color w:val="auto"/>
          <w:sz w:val="28"/>
          <w:szCs w:val="28"/>
          <w:highlight w:val="none"/>
          <w:u w:val="single"/>
        </w:rPr>
        <w:t xml:space="preserve">        </w:t>
      </w:r>
    </w:p>
    <w:p>
      <w:pPr>
        <w:pStyle w:val="47"/>
        <w:keepNext w:val="0"/>
        <w:keepLines w:val="0"/>
        <w:pageBreakBefore w:val="0"/>
        <w:widowControl w:val="0"/>
        <w:numPr>
          <w:ilvl w:val="0"/>
          <w:numId w:val="0"/>
        </w:numPr>
        <w:kinsoku/>
        <w:wordWrap/>
        <w:overflowPunct/>
        <w:topLinePunct w:val="0"/>
        <w:bidi w:val="0"/>
        <w:spacing w:line="500" w:lineRule="exact"/>
        <w:ind w:firstLine="560" w:firstLineChars="200"/>
        <w:jc w:val="both"/>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2.4质量要求：</w:t>
      </w:r>
      <w:r>
        <w:rPr>
          <w:rFonts w:hint="eastAsia" w:ascii="仿宋" w:hAnsi="仿宋" w:eastAsia="仿宋" w:cs="仿宋"/>
          <w:color w:val="auto"/>
          <w:sz w:val="28"/>
          <w:szCs w:val="28"/>
          <w:highlight w:val="none"/>
        </w:rPr>
        <w:sym w:font="Wingdings 2" w:char="0052"/>
      </w:r>
      <w:r>
        <w:rPr>
          <w:rFonts w:hint="eastAsia" w:ascii="仿宋" w:hAnsi="仿宋" w:eastAsia="仿宋" w:cs="仿宋"/>
          <w:color w:val="auto"/>
          <w:sz w:val="28"/>
          <w:szCs w:val="28"/>
          <w:highlight w:val="none"/>
        </w:rPr>
        <w:t>施工质量要求   □货物质量标准或主要技术性能指标  □服务质量要求或服务标准如下：</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施工质量必须严格遵循施工规范</w:t>
      </w:r>
      <w:r>
        <w:rPr>
          <w:rFonts w:hint="eastAsia" w:ascii="仿宋" w:hAnsi="仿宋" w:eastAsia="仿宋" w:cs="仿宋"/>
          <w:color w:val="auto"/>
          <w:sz w:val="28"/>
          <w:szCs w:val="28"/>
          <w:highlight w:val="none"/>
          <w:u w:val="single"/>
        </w:rPr>
        <w:t>以及国家规范及行业相关规范、标准</w:t>
      </w:r>
      <w:r>
        <w:rPr>
          <w:rFonts w:hint="eastAsia" w:ascii="仿宋" w:hAnsi="仿宋" w:eastAsia="仿宋" w:cs="仿宋"/>
          <w:color w:val="auto"/>
          <w:sz w:val="28"/>
          <w:szCs w:val="28"/>
          <w:highlight w:val="none"/>
          <w:u w:val="single"/>
          <w:lang w:eastAsia="zh-CN"/>
        </w:rPr>
        <w:t>。</w:t>
      </w:r>
      <w:r>
        <w:rPr>
          <w:rFonts w:hint="eastAsia" w:ascii="仿宋" w:hAnsi="仿宋" w:eastAsia="仿宋" w:cs="仿宋"/>
          <w:color w:val="auto"/>
          <w:sz w:val="28"/>
          <w:szCs w:val="28"/>
          <w:highlight w:val="none"/>
        </w:rPr>
        <w:t xml:space="preserve"> </w:t>
      </w:r>
    </w:p>
    <w:p>
      <w:pPr>
        <w:adjustRightInd w:val="0"/>
        <w:snapToGrid w:val="0"/>
        <w:spacing w:line="600" w:lineRule="exact"/>
        <w:ind w:left="420" w:right="-370" w:rightChars="-176" w:hanging="420" w:hangingChars="15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2.5其他：□安全目标如下：</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 xml:space="preserve"> </w:t>
      </w:r>
    </w:p>
    <w:p>
      <w:pPr>
        <w:adjustRightInd w:val="0"/>
        <w:snapToGrid w:val="0"/>
        <w:spacing w:line="600" w:lineRule="exact"/>
        <w:jc w:val="left"/>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3.供应商资格要求</w:t>
      </w:r>
      <w:r>
        <w:rPr>
          <w:rFonts w:hint="eastAsia" w:ascii="仿宋" w:hAnsi="仿宋" w:eastAsia="仿宋" w:cs="仿宋"/>
          <w:b/>
          <w:color w:val="auto"/>
          <w:sz w:val="32"/>
          <w:szCs w:val="32"/>
          <w:highlight w:val="none"/>
          <w:lang w:eastAsia="zh-CN"/>
        </w:rPr>
        <w:t>（</w:t>
      </w:r>
      <w:r>
        <w:rPr>
          <w:rFonts w:hint="eastAsia" w:ascii="仿宋" w:hAnsi="仿宋" w:eastAsia="仿宋" w:cs="仿宋"/>
          <w:b/>
          <w:color w:val="auto"/>
          <w:sz w:val="32"/>
          <w:szCs w:val="32"/>
          <w:highlight w:val="none"/>
          <w:lang w:val="en-US" w:eastAsia="zh-CN"/>
        </w:rPr>
        <w:t>须提供复印件并加盖单位公章</w:t>
      </w:r>
      <w:r>
        <w:rPr>
          <w:rFonts w:hint="eastAsia" w:ascii="仿宋" w:hAnsi="仿宋" w:eastAsia="仿宋" w:cs="仿宋"/>
          <w:b/>
          <w:color w:val="auto"/>
          <w:sz w:val="32"/>
          <w:szCs w:val="32"/>
          <w:highlight w:val="none"/>
          <w:lang w:eastAsia="zh-CN"/>
        </w:rPr>
        <w:t>）</w:t>
      </w:r>
    </w:p>
    <w:p>
      <w:pPr>
        <w:adjustRightInd w:val="0"/>
        <w:snapToGrid w:val="0"/>
        <w:spacing w:line="60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3.1参与本项目采购活动的供应商应当依法设立且满足如下要求：</w:t>
      </w:r>
    </w:p>
    <w:p>
      <w:pPr>
        <w:adjustRightInd w:val="0"/>
        <w:snapToGrid w:val="0"/>
        <w:spacing w:line="600" w:lineRule="exact"/>
        <w:jc w:val="lef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sym w:font="Wingdings 2" w:char="0052"/>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）报价单位须是在中华人民共和国境内注册的法人或其他组织，具有独立法人资格，持有事业单位登记管理部门核发的事业单位法人证书或工商行政管理部门核发的企业法人营业执照，且在有效期内。</w:t>
      </w:r>
    </w:p>
    <w:p>
      <w:pPr>
        <w:keepNext w:val="0"/>
        <w:keepLines w:val="0"/>
        <w:pageBreakBefore w:val="0"/>
        <w:widowControl w:val="0"/>
        <w:numPr>
          <w:ilvl w:val="-1"/>
          <w:numId w:val="0"/>
        </w:numPr>
        <w:kinsoku/>
        <w:wordWrap/>
        <w:overflowPunct/>
        <w:topLinePunct w:val="0"/>
        <w:autoSpaceDE w:val="0"/>
        <w:autoSpaceDN w:val="0"/>
        <w:bidi w:val="0"/>
        <w:adjustRightInd/>
        <w:snapToGrid/>
        <w:spacing w:line="500" w:lineRule="exact"/>
        <w:ind w:firstLine="0" w:firstLineChars="0"/>
        <w:textAlignment w:val="auto"/>
        <w:rPr>
          <w:rFonts w:hint="eastAsia" w:ascii="仿宋" w:hAnsi="仿宋" w:eastAsia="仿宋" w:cs="仿宋"/>
          <w:color w:val="auto"/>
          <w:sz w:val="28"/>
          <w:szCs w:val="28"/>
          <w:highlight w:val="none"/>
          <w:u w:val="none"/>
        </w:rPr>
      </w:pPr>
      <w:r>
        <w:rPr>
          <w:rFonts w:hint="eastAsia" w:ascii="仿宋" w:hAnsi="仿宋" w:eastAsia="仿宋" w:cs="仿宋"/>
          <w:color w:val="auto"/>
          <w:sz w:val="28"/>
          <w:szCs w:val="28"/>
          <w:highlight w:val="none"/>
        </w:rPr>
        <w:sym w:font="Wingdings 2" w:char="0052"/>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供应商应当具备</w:t>
      </w:r>
      <w:r>
        <w:rPr>
          <w:rFonts w:hint="eastAsia" w:ascii="仿宋" w:hAnsi="仿宋" w:eastAsia="仿宋" w:cs="仿宋"/>
          <w:color w:val="auto"/>
          <w:sz w:val="28"/>
          <w:szCs w:val="28"/>
          <w:highlight w:val="none"/>
          <w:u w:val="none"/>
        </w:rPr>
        <w:t>市政工程施工总承包</w:t>
      </w:r>
      <w:r>
        <w:rPr>
          <w:rFonts w:hint="eastAsia" w:ascii="仿宋" w:hAnsi="仿宋" w:eastAsia="仿宋" w:cs="仿宋"/>
          <w:color w:val="auto"/>
          <w:sz w:val="28"/>
          <w:szCs w:val="28"/>
          <w:highlight w:val="none"/>
          <w:u w:val="none"/>
          <w:lang w:val="en-US" w:eastAsia="zh-CN"/>
        </w:rPr>
        <w:t>三</w:t>
      </w:r>
      <w:r>
        <w:rPr>
          <w:rFonts w:hint="eastAsia" w:ascii="仿宋" w:hAnsi="仿宋" w:eastAsia="仿宋" w:cs="仿宋"/>
          <w:color w:val="auto"/>
          <w:sz w:val="28"/>
          <w:szCs w:val="28"/>
          <w:highlight w:val="none"/>
          <w:u w:val="none"/>
        </w:rPr>
        <w:t>级（或以上级别）资质</w:t>
      </w:r>
      <w:r>
        <w:rPr>
          <w:rFonts w:hint="eastAsia" w:ascii="仿宋" w:hAnsi="仿宋" w:eastAsia="仿宋" w:cs="仿宋"/>
          <w:color w:val="auto"/>
          <w:sz w:val="28"/>
          <w:szCs w:val="28"/>
          <w:highlight w:val="none"/>
          <w:u w:val="none"/>
          <w:lang w:eastAsia="zh-CN"/>
        </w:rPr>
        <w:t>；</w:t>
      </w:r>
    </w:p>
    <w:p>
      <w:pPr>
        <w:pStyle w:val="11"/>
        <w:rPr>
          <w:rFonts w:hint="eastAsia" w:ascii="仿宋" w:hAnsi="仿宋" w:eastAsia="仿宋" w:cs="仿宋"/>
          <w:color w:val="auto"/>
          <w:sz w:val="28"/>
          <w:szCs w:val="28"/>
          <w:highlight w:val="none"/>
          <w:u w:val="none"/>
        </w:rPr>
      </w:pPr>
      <w:r>
        <w:rPr>
          <w:rFonts w:hint="eastAsia" w:ascii="仿宋" w:hAnsi="仿宋" w:eastAsia="仿宋" w:cs="仿宋"/>
          <w:color w:val="auto"/>
          <w:sz w:val="28"/>
          <w:szCs w:val="28"/>
          <w:highlight w:val="none"/>
          <w:u w:val="none"/>
          <w:lang w:val="en-US" w:eastAsia="zh-CN"/>
        </w:rPr>
        <w:t>同时持有</w:t>
      </w:r>
      <w:r>
        <w:rPr>
          <w:rFonts w:hint="eastAsia" w:ascii="仿宋" w:hAnsi="仿宋" w:eastAsia="仿宋" w:cs="仿宋"/>
          <w:color w:val="auto"/>
          <w:sz w:val="28"/>
          <w:szCs w:val="28"/>
          <w:highlight w:val="none"/>
          <w:u w:val="none"/>
        </w:rPr>
        <w:t>建设主管部门颁发的《安全生产许可证》并在有效期内。</w:t>
      </w:r>
    </w:p>
    <w:p>
      <w:pPr>
        <w:adjustRightInd w:val="0"/>
        <w:snapToGrid w:val="0"/>
        <w:spacing w:line="60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lang w:val="en-US" w:eastAsia="zh-CN"/>
        </w:rPr>
        <w:t>年1月1日至今，</w:t>
      </w:r>
      <w:r>
        <w:rPr>
          <w:rFonts w:hint="eastAsia" w:ascii="仿宋" w:hAnsi="仿宋" w:eastAsia="仿宋" w:cs="仿宋"/>
          <w:color w:val="auto"/>
          <w:sz w:val="28"/>
          <w:szCs w:val="28"/>
          <w:highlight w:val="none"/>
        </w:rPr>
        <w:t>供应商</w:t>
      </w:r>
      <w:r>
        <w:rPr>
          <w:rFonts w:hint="eastAsia" w:ascii="仿宋" w:hAnsi="仿宋" w:eastAsia="仿宋" w:cs="仿宋"/>
          <w:color w:val="auto"/>
          <w:sz w:val="28"/>
          <w:szCs w:val="28"/>
          <w:highlight w:val="none"/>
          <w:lang w:val="en-US" w:eastAsia="zh-CN"/>
        </w:rPr>
        <w:t>最少</w:t>
      </w:r>
      <w:r>
        <w:rPr>
          <w:rFonts w:hint="eastAsia" w:ascii="仿宋" w:hAnsi="仿宋" w:eastAsia="仿宋" w:cs="仿宋"/>
          <w:color w:val="auto"/>
          <w:sz w:val="28"/>
          <w:szCs w:val="28"/>
          <w:highlight w:val="none"/>
        </w:rPr>
        <w:t>具有</w:t>
      </w:r>
      <w:r>
        <w:rPr>
          <w:rFonts w:hint="eastAsia" w:ascii="仿宋" w:hAnsi="仿宋" w:eastAsia="仿宋" w:cs="仿宋"/>
          <w:color w:val="auto"/>
          <w:sz w:val="28"/>
          <w:szCs w:val="28"/>
          <w:highlight w:val="none"/>
          <w:lang w:val="en-US" w:eastAsia="zh-CN"/>
        </w:rPr>
        <w:t>一项</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rPr>
        <w:t>项目的业绩。（提供合同复印件证明，包括但不限于项目名称、金额及实施内容、合同签字盖章、签订日期，加盖单位公章）</w:t>
      </w:r>
    </w:p>
    <w:p>
      <w:pPr>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sym w:font="Wingdings 2" w:char="0052"/>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）负责人要求：</w:t>
      </w:r>
      <w:r>
        <w:rPr>
          <w:rFonts w:hint="eastAsia" w:ascii="仿宋" w:hAnsi="仿宋" w:eastAsia="仿宋" w:cs="仿宋"/>
          <w:color w:val="auto"/>
          <w:sz w:val="28"/>
          <w:szCs w:val="28"/>
          <w:highlight w:val="none"/>
          <w:lang w:val="en-US" w:eastAsia="zh-CN"/>
        </w:rPr>
        <w:t>市政公用工程专业</w:t>
      </w:r>
      <w:r>
        <w:rPr>
          <w:rFonts w:hint="eastAsia" w:ascii="仿宋" w:hAnsi="仿宋" w:eastAsia="仿宋" w:cs="仿宋"/>
          <w:color w:val="auto"/>
          <w:sz w:val="28"/>
          <w:szCs w:val="28"/>
          <w:highlight w:val="none"/>
        </w:rPr>
        <w:t>二级（或以上级别）的注册建造师（须提供最新电子证书）或具备符合粤建市〔2010〕26号文规定的小型项目负责人资格</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同时持有项目负责人安全生产考核合格证（B类）（或能够提供广东省建筑施工企业管理人员安全生产考核信息系统安全生产管理人员证书信息的网页截图）。（注：注册建造师电子证书须由本人在个人签名处手写签名，未手写签名或与签名图像笔迹不一致的，电子证书无效）</w:t>
      </w:r>
    </w:p>
    <w:p>
      <w:pPr>
        <w:adjustRightInd w:val="0"/>
        <w:snapToGrid w:val="0"/>
        <w:spacing w:line="60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52"/>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6</w:t>
      </w:r>
      <w:r>
        <w:rPr>
          <w:rFonts w:hint="eastAsia" w:ascii="仿宋" w:hAnsi="仿宋" w:eastAsia="仿宋" w:cs="仿宋"/>
          <w:color w:val="auto"/>
          <w:sz w:val="28"/>
          <w:szCs w:val="28"/>
          <w:highlight w:val="none"/>
        </w:rPr>
        <w:t>）其他要求：专职安全人员要求：须具有安全生产考核合格证（C类）（或能够提供广东省建筑施工企业管理人员安全生产考核信息系统安全生产管理人员证书信息的网页截图）。项目负责人不得同时兼任本项目专职安全人员。</w:t>
      </w:r>
    </w:p>
    <w:p>
      <w:pPr>
        <w:adjustRightInd w:val="0"/>
        <w:snapToGrid w:val="0"/>
        <w:spacing w:line="60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3.2供应商在响应文件提交截止日期止不得存在下列情形之一</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须出具承诺函</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w:t>
      </w:r>
    </w:p>
    <w:p>
      <w:pPr>
        <w:adjustRightInd w:val="0"/>
        <w:snapToGrid w:val="0"/>
        <w:spacing w:line="600" w:lineRule="exact"/>
        <w:ind w:firstLine="420" w:firstLineChars="15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（1）与本项目其他供应商的单位负责人为同一人。</w:t>
      </w:r>
    </w:p>
    <w:p>
      <w:pPr>
        <w:adjustRightInd w:val="0"/>
        <w:snapToGrid w:val="0"/>
        <w:spacing w:line="600" w:lineRule="exact"/>
        <w:ind w:firstLine="420" w:firstLineChars="15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（2）与本项目其他供应商存在控股关系。</w:t>
      </w:r>
    </w:p>
    <w:p>
      <w:pPr>
        <w:adjustRightInd w:val="0"/>
        <w:snapToGrid w:val="0"/>
        <w:spacing w:line="600" w:lineRule="exact"/>
        <w:ind w:firstLine="420" w:firstLineChars="15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（3）与本项目其他供应商存在管理关系。</w:t>
      </w:r>
    </w:p>
    <w:p>
      <w:pPr>
        <w:adjustRightInd w:val="0"/>
        <w:snapToGrid w:val="0"/>
        <w:spacing w:line="600" w:lineRule="exact"/>
        <w:ind w:firstLine="420" w:firstLineChars="15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（4）被本项目所在地省级以上行业主管部门依法暂停、取消投标或禁止参加采购活动且处于有效期内的。</w:t>
      </w:r>
    </w:p>
    <w:p>
      <w:pPr>
        <w:adjustRightInd w:val="0"/>
        <w:snapToGrid w:val="0"/>
        <w:spacing w:line="600" w:lineRule="exact"/>
        <w:ind w:firstLine="420" w:firstLineChars="15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（5）处于被责令停产停业、暂扣或者吊销执照、暂扣或者吊销许可证、吊销资质证书状态。</w:t>
      </w:r>
    </w:p>
    <w:p>
      <w:pPr>
        <w:adjustRightInd w:val="0"/>
        <w:snapToGrid w:val="0"/>
        <w:spacing w:line="600" w:lineRule="exact"/>
        <w:ind w:firstLine="420" w:firstLineChars="15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（6）进入清算程序，或被宣告破产，或其他丧失履约能力情形的。</w:t>
      </w:r>
    </w:p>
    <w:p>
      <w:pPr>
        <w:adjustRightInd w:val="0"/>
        <w:snapToGrid w:val="0"/>
        <w:spacing w:line="600" w:lineRule="exact"/>
        <w:ind w:firstLine="420" w:firstLineChars="15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（7）近三年内因发生质量或安全生产事故等受到行政处罚且在处罚期内的。</w:t>
      </w:r>
    </w:p>
    <w:p>
      <w:pPr>
        <w:adjustRightInd w:val="0"/>
        <w:snapToGrid w:val="0"/>
        <w:spacing w:line="600" w:lineRule="exact"/>
        <w:ind w:firstLine="420" w:firstLineChars="15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（8）被最高人民法院在“信用中国”网站（www.creditchina.gov.cn）或各级信用信息共享平台中列入失信被执行人名单。</w:t>
      </w:r>
    </w:p>
    <w:p>
      <w:pPr>
        <w:adjustRightInd w:val="0"/>
        <w:snapToGrid w:val="0"/>
        <w:spacing w:line="600" w:lineRule="exact"/>
        <w:ind w:firstLine="420" w:firstLineChars="15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（9）被“信用广州”网站纳入失信被执行人名单（失信黑名单）。</w:t>
      </w:r>
    </w:p>
    <w:p>
      <w:pPr>
        <w:adjustRightInd w:val="0"/>
        <w:snapToGrid w:val="0"/>
        <w:spacing w:line="600" w:lineRule="exact"/>
        <w:ind w:firstLine="420" w:firstLineChars="15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（10）被纳入本项目采购人（包括市水投集团及相关所属企业）书面限制参与采购活动且处于有效期内的。</w:t>
      </w:r>
    </w:p>
    <w:p>
      <w:pPr>
        <w:adjustRightInd w:val="0"/>
        <w:snapToGrid w:val="0"/>
        <w:spacing w:line="600" w:lineRule="exact"/>
        <w:ind w:firstLine="420" w:firstLineChars="15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（11）其他违法违纪行为，经审查认为不宜被邀请参加采购活动的。</w:t>
      </w:r>
    </w:p>
    <w:p>
      <w:pPr>
        <w:adjustRightInd w:val="0"/>
        <w:snapToGrid w:val="0"/>
        <w:spacing w:line="600" w:lineRule="exact"/>
        <w:ind w:firstLine="420" w:firstLineChars="150"/>
        <w:jc w:val="left"/>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（12）其他禁止情形：</w:t>
      </w:r>
      <w:r>
        <w:rPr>
          <w:rFonts w:hint="eastAsia" w:ascii="仿宋" w:hAnsi="仿宋" w:eastAsia="仿宋" w:cs="仿宋"/>
          <w:color w:val="auto"/>
          <w:sz w:val="28"/>
          <w:szCs w:val="28"/>
          <w:highlight w:val="none"/>
          <w:u w:val="single"/>
        </w:rPr>
        <w:t xml:space="preserve">                                               </w:t>
      </w:r>
    </w:p>
    <w:p>
      <w:pPr>
        <w:adjustRightInd w:val="0"/>
        <w:snapToGrid w:val="0"/>
        <w:spacing w:line="60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3.3本次项目</w:t>
      </w:r>
      <w:r>
        <w:rPr>
          <w:rFonts w:hint="eastAsia" w:ascii="仿宋" w:hAnsi="仿宋" w:eastAsia="仿宋" w:cs="仿宋"/>
          <w:color w:val="auto"/>
          <w:sz w:val="28"/>
          <w:szCs w:val="28"/>
          <w:highlight w:val="none"/>
          <w:u w:val="single"/>
        </w:rPr>
        <w:t>不接受</w:t>
      </w:r>
      <w:r>
        <w:rPr>
          <w:rFonts w:hint="eastAsia" w:ascii="仿宋" w:hAnsi="仿宋" w:eastAsia="仿宋" w:cs="仿宋"/>
          <w:color w:val="auto"/>
          <w:sz w:val="28"/>
          <w:szCs w:val="28"/>
          <w:highlight w:val="none"/>
        </w:rPr>
        <w:t>联合体参加采购活动</w:t>
      </w:r>
    </w:p>
    <w:p>
      <w:pPr>
        <w:adjustRightInd w:val="0"/>
        <w:snapToGrid w:val="0"/>
        <w:spacing w:line="600" w:lineRule="exact"/>
        <w:jc w:val="left"/>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4.采购文件的获取</w:t>
      </w:r>
    </w:p>
    <w:p>
      <w:pPr>
        <w:adjustRightInd w:val="0"/>
        <w:snapToGrid w:val="0"/>
        <w:spacing w:line="60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4.1获取时间</w:t>
      </w:r>
    </w:p>
    <w:p>
      <w:pPr>
        <w:adjustRightInd w:val="0"/>
        <w:snapToGrid w:val="0"/>
        <w:spacing w:line="600" w:lineRule="exact"/>
        <w:ind w:firstLine="555"/>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从</w:t>
      </w:r>
      <w:r>
        <w:rPr>
          <w:rFonts w:hint="eastAsia" w:ascii="仿宋" w:hAnsi="仿宋" w:eastAsia="仿宋" w:cs="仿宋"/>
          <w:color w:val="auto"/>
          <w:sz w:val="28"/>
          <w:szCs w:val="28"/>
          <w:highlight w:val="none"/>
          <w:lang w:val="en-US" w:eastAsia="zh-CN"/>
        </w:rPr>
        <w:t>2022</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6</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25</w:t>
      </w:r>
      <w:r>
        <w:rPr>
          <w:rFonts w:hint="eastAsia" w:ascii="仿宋" w:hAnsi="仿宋" w:eastAsia="仿宋" w:cs="仿宋"/>
          <w:color w:val="auto"/>
          <w:sz w:val="28"/>
          <w:szCs w:val="28"/>
          <w:highlight w:val="none"/>
        </w:rPr>
        <w:t>日至</w:t>
      </w:r>
      <w:r>
        <w:rPr>
          <w:rFonts w:hint="eastAsia" w:ascii="仿宋" w:hAnsi="仿宋" w:eastAsia="仿宋" w:cs="仿宋"/>
          <w:color w:val="auto"/>
          <w:sz w:val="28"/>
          <w:szCs w:val="28"/>
          <w:highlight w:val="none"/>
          <w:lang w:val="en-US" w:eastAsia="zh-CN"/>
        </w:rPr>
        <w:t>2022</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6</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29</w:t>
      </w:r>
      <w:r>
        <w:rPr>
          <w:rFonts w:hint="eastAsia" w:ascii="仿宋" w:hAnsi="仿宋" w:eastAsia="仿宋" w:cs="仿宋"/>
          <w:color w:val="auto"/>
          <w:sz w:val="28"/>
          <w:szCs w:val="28"/>
          <w:highlight w:val="none"/>
        </w:rPr>
        <w:t>日（北京时间）</w:t>
      </w:r>
    </w:p>
    <w:p>
      <w:pPr>
        <w:adjustRightInd w:val="0"/>
        <w:snapToGrid w:val="0"/>
        <w:spacing w:line="60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4.2获取方式</w:t>
      </w:r>
    </w:p>
    <w:p>
      <w:pPr>
        <w:adjustRightInd w:val="0"/>
        <w:snapToGrid w:val="0"/>
        <w:spacing w:line="60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在</w:t>
      </w:r>
      <w:r>
        <w:rPr>
          <w:rFonts w:hint="eastAsia" w:ascii="仿宋" w:hAnsi="仿宋" w:eastAsia="仿宋" w:cs="仿宋"/>
          <w:color w:val="auto"/>
          <w:sz w:val="28"/>
          <w:szCs w:val="28"/>
          <w:highlight w:val="none"/>
          <w:u w:val="single"/>
          <w:lang w:val="en-US" w:eastAsia="zh-CN"/>
        </w:rPr>
        <w:t>广州市净水有限公司门户网站</w:t>
      </w:r>
      <w:r>
        <w:rPr>
          <w:rFonts w:hint="eastAsia" w:ascii="仿宋" w:hAnsi="仿宋" w:eastAsia="仿宋" w:cs="仿宋"/>
          <w:color w:val="auto"/>
          <w:sz w:val="28"/>
          <w:szCs w:val="28"/>
          <w:highlight w:val="none"/>
        </w:rPr>
        <w:t xml:space="preserve">下载采购文件。 </w:t>
      </w:r>
    </w:p>
    <w:p>
      <w:pPr>
        <w:numPr>
          <w:ilvl w:val="0"/>
          <w:numId w:val="3"/>
        </w:numPr>
        <w:adjustRightInd w:val="0"/>
        <w:snapToGrid w:val="0"/>
        <w:spacing w:line="600" w:lineRule="exact"/>
        <w:jc w:val="left"/>
        <w:rPr>
          <w:rFonts w:hint="eastAsia" w:ascii="仿宋" w:hAnsi="仿宋" w:eastAsia="仿宋" w:cs="仿宋"/>
          <w:b/>
          <w:color w:val="auto"/>
          <w:sz w:val="32"/>
          <w:szCs w:val="32"/>
          <w:highlight w:val="none"/>
          <w:lang w:val="en-US" w:eastAsia="zh-CN"/>
        </w:rPr>
      </w:pPr>
      <w:r>
        <w:rPr>
          <w:rFonts w:hint="eastAsia" w:ascii="仿宋" w:hAnsi="仿宋" w:eastAsia="仿宋" w:cs="仿宋"/>
          <w:b/>
          <w:color w:val="auto"/>
          <w:sz w:val="32"/>
          <w:szCs w:val="32"/>
          <w:highlight w:val="none"/>
          <w:lang w:val="en-US" w:eastAsia="zh-CN"/>
        </w:rPr>
        <w:t>踏勘现场</w:t>
      </w:r>
    </w:p>
    <w:p>
      <w:pPr>
        <w:adjustRightInd w:val="0"/>
        <w:snapToGrid w:val="0"/>
        <w:spacing w:line="60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□不组织</w:t>
      </w:r>
    </w:p>
    <w:p>
      <w:pPr>
        <w:adjustRightInd w:val="0"/>
        <w:snapToGrid w:val="0"/>
        <w:spacing w:line="60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sym w:font="Wingdings 2" w:char="0052"/>
      </w:r>
      <w:r>
        <w:rPr>
          <w:rFonts w:hint="eastAsia" w:ascii="仿宋" w:hAnsi="仿宋" w:eastAsia="仿宋" w:cs="仿宋"/>
          <w:color w:val="auto"/>
          <w:sz w:val="28"/>
          <w:szCs w:val="28"/>
          <w:highlight w:val="none"/>
        </w:rPr>
        <w:t>组织</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供应商可</w:t>
      </w:r>
      <w:r>
        <w:rPr>
          <w:rFonts w:hint="eastAsia" w:ascii="仿宋" w:hAnsi="仿宋" w:eastAsia="仿宋" w:cs="仿宋"/>
          <w:color w:val="auto"/>
          <w:sz w:val="28"/>
          <w:szCs w:val="28"/>
          <w:highlight w:val="none"/>
          <w:lang w:val="zh-CN" w:eastAsia="zh-CN"/>
        </w:rPr>
        <w:t>自行</w:t>
      </w:r>
      <w:r>
        <w:rPr>
          <w:rFonts w:hint="eastAsia" w:ascii="仿宋" w:hAnsi="仿宋" w:eastAsia="仿宋" w:cs="仿宋"/>
          <w:color w:val="auto"/>
          <w:sz w:val="28"/>
          <w:szCs w:val="28"/>
          <w:highlight w:val="none"/>
          <w:lang w:val="en-US" w:eastAsia="zh-CN"/>
        </w:rPr>
        <w:t>选择是否前往现场踏勘</w:t>
      </w:r>
      <w:r>
        <w:rPr>
          <w:rFonts w:hint="eastAsia" w:ascii="仿宋" w:hAnsi="仿宋" w:eastAsia="仿宋" w:cs="仿宋"/>
          <w:color w:val="auto"/>
          <w:sz w:val="28"/>
          <w:szCs w:val="28"/>
          <w:highlight w:val="none"/>
          <w:lang w:val="zh-CN" w:eastAsia="zh-CN"/>
        </w:rPr>
        <w:t>，</w:t>
      </w:r>
      <w:r>
        <w:rPr>
          <w:rFonts w:hint="eastAsia" w:ascii="仿宋" w:hAnsi="仿宋" w:eastAsia="仿宋" w:cs="仿宋"/>
          <w:color w:val="auto"/>
          <w:sz w:val="28"/>
          <w:szCs w:val="28"/>
          <w:highlight w:val="none"/>
          <w:lang w:val="en-US" w:eastAsia="zh-CN"/>
        </w:rPr>
        <w:t>若前往现场踏勘须在规定时间内到达集中地点，逾期不再接待</w:t>
      </w:r>
      <w:r>
        <w:rPr>
          <w:rFonts w:hint="eastAsia" w:ascii="仿宋" w:hAnsi="仿宋" w:eastAsia="仿宋" w:cs="仿宋"/>
          <w:color w:val="auto"/>
          <w:sz w:val="28"/>
          <w:szCs w:val="28"/>
          <w:highlight w:val="none"/>
          <w:lang w:val="zh-CN" w:eastAsia="zh-CN"/>
        </w:rPr>
        <w:t>。</w:t>
      </w:r>
    </w:p>
    <w:p>
      <w:pPr>
        <w:adjustRightInd w:val="0"/>
        <w:snapToGrid w:val="0"/>
        <w:spacing w:line="600" w:lineRule="exact"/>
        <w:rPr>
          <w:rFonts w:hint="default" w:ascii="仿宋" w:hAnsi="仿宋" w:eastAsia="仿宋" w:cs="仿宋"/>
          <w:color w:val="auto"/>
          <w:sz w:val="28"/>
          <w:szCs w:val="28"/>
          <w:highlight w:val="none"/>
          <w:u w:val="none"/>
          <w:lang w:val="en-US" w:eastAsia="zh-CN"/>
        </w:rPr>
      </w:pPr>
      <w:r>
        <w:rPr>
          <w:rFonts w:hint="eastAsia" w:ascii="仿宋" w:hAnsi="仿宋" w:eastAsia="仿宋" w:cs="仿宋"/>
          <w:color w:val="auto"/>
          <w:sz w:val="28"/>
          <w:szCs w:val="28"/>
          <w:highlight w:val="none"/>
          <w:u w:val="none"/>
          <w:lang w:val="en-US" w:eastAsia="zh-CN"/>
        </w:rPr>
        <w:t>踏勘现场联系人：方工</w:t>
      </w:r>
    </w:p>
    <w:p>
      <w:pPr>
        <w:adjustRightInd w:val="0"/>
        <w:snapToGrid w:val="0"/>
        <w:spacing w:line="600" w:lineRule="exact"/>
        <w:rPr>
          <w:rFonts w:hint="eastAsia" w:ascii="仿宋" w:hAnsi="仿宋" w:eastAsia="仿宋" w:cs="仿宋"/>
          <w:color w:val="auto"/>
          <w:sz w:val="28"/>
          <w:szCs w:val="28"/>
          <w:highlight w:val="none"/>
          <w:u w:val="none"/>
        </w:rPr>
      </w:pPr>
      <w:r>
        <w:rPr>
          <w:rFonts w:hint="eastAsia" w:ascii="仿宋" w:hAnsi="仿宋" w:eastAsia="仿宋" w:cs="仿宋"/>
          <w:color w:val="auto"/>
          <w:sz w:val="28"/>
          <w:szCs w:val="28"/>
          <w:highlight w:val="none"/>
          <w:u w:val="none"/>
          <w:lang w:val="en-US" w:eastAsia="zh-CN"/>
        </w:rPr>
        <w:t>踏勘现场联系人联系方式：020-66843469-8307</w:t>
      </w:r>
    </w:p>
    <w:p>
      <w:pPr>
        <w:keepNext w:val="0"/>
        <w:keepLines w:val="0"/>
        <w:pageBreakBefore w:val="0"/>
        <w:widowControl w:val="0"/>
        <w:kinsoku/>
        <w:wordWrap/>
        <w:overflowPunct/>
        <w:topLinePunct w:val="0"/>
        <w:autoSpaceDE w:val="0"/>
        <w:autoSpaceDN w:val="0"/>
        <w:bidi w:val="0"/>
        <w:adjustRightInd/>
        <w:spacing w:line="5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踏勘时间：</w:t>
      </w:r>
      <w:r>
        <w:rPr>
          <w:rFonts w:hint="eastAsia" w:ascii="仿宋" w:hAnsi="仿宋" w:eastAsia="仿宋" w:cs="仿宋"/>
          <w:color w:val="auto"/>
          <w:sz w:val="28"/>
          <w:szCs w:val="28"/>
          <w:highlight w:val="none"/>
          <w:lang w:val="en-US" w:eastAsia="zh-CN"/>
        </w:rPr>
        <w:t>2022</w:t>
      </w:r>
      <w:r>
        <w:rPr>
          <w:rFonts w:hint="eastAsia" w:ascii="仿宋" w:hAnsi="仿宋" w:eastAsia="仿宋" w:cs="仿宋"/>
          <w:color w:val="auto"/>
          <w:sz w:val="28"/>
          <w:szCs w:val="28"/>
          <w:highlight w:val="none"/>
          <w:lang w:val="zh-CN"/>
        </w:rPr>
        <w:t>年</w:t>
      </w:r>
      <w:r>
        <w:rPr>
          <w:rFonts w:hint="eastAsia" w:ascii="仿宋" w:hAnsi="仿宋" w:eastAsia="仿宋" w:cs="仿宋"/>
          <w:color w:val="auto"/>
          <w:sz w:val="28"/>
          <w:szCs w:val="28"/>
          <w:highlight w:val="none"/>
          <w:lang w:val="en-US" w:eastAsia="zh-CN"/>
        </w:rPr>
        <w:t>6</w:t>
      </w:r>
      <w:r>
        <w:rPr>
          <w:rFonts w:hint="eastAsia" w:ascii="仿宋" w:hAnsi="仿宋" w:eastAsia="仿宋" w:cs="仿宋"/>
          <w:color w:val="auto"/>
          <w:sz w:val="28"/>
          <w:szCs w:val="28"/>
          <w:highlight w:val="none"/>
          <w:lang w:val="zh-CN"/>
        </w:rPr>
        <w:t>月</w:t>
      </w:r>
      <w:r>
        <w:rPr>
          <w:rFonts w:hint="eastAsia" w:ascii="仿宋" w:hAnsi="仿宋" w:eastAsia="仿宋" w:cs="仿宋"/>
          <w:color w:val="auto"/>
          <w:sz w:val="28"/>
          <w:szCs w:val="28"/>
          <w:highlight w:val="none"/>
          <w:lang w:val="en-US" w:eastAsia="zh-CN"/>
        </w:rPr>
        <w:t>28</w:t>
      </w:r>
      <w:r>
        <w:rPr>
          <w:rFonts w:hint="eastAsia" w:ascii="仿宋" w:hAnsi="仿宋" w:eastAsia="仿宋" w:cs="仿宋"/>
          <w:color w:val="auto"/>
          <w:sz w:val="28"/>
          <w:szCs w:val="28"/>
          <w:highlight w:val="none"/>
          <w:lang w:val="zh-CN"/>
        </w:rPr>
        <w:t>日</w:t>
      </w:r>
      <w:r>
        <w:rPr>
          <w:rFonts w:hint="eastAsia" w:ascii="仿宋" w:hAnsi="仿宋" w:eastAsia="仿宋" w:cs="仿宋"/>
          <w:color w:val="auto"/>
          <w:sz w:val="28"/>
          <w:szCs w:val="28"/>
          <w:highlight w:val="none"/>
          <w:lang w:val="en-US" w:eastAsia="zh-CN"/>
        </w:rPr>
        <w:t>9</w:t>
      </w:r>
      <w:r>
        <w:rPr>
          <w:rFonts w:hint="eastAsia" w:ascii="仿宋" w:hAnsi="仿宋" w:eastAsia="仿宋" w:cs="仿宋"/>
          <w:color w:val="auto"/>
          <w:sz w:val="28"/>
          <w:szCs w:val="28"/>
          <w:highlight w:val="none"/>
          <w:lang w:val="zh-CN"/>
        </w:rPr>
        <w:t>时</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val="zh-CN"/>
        </w:rPr>
        <w:t>0分至</w:t>
      </w:r>
      <w:r>
        <w:rPr>
          <w:rFonts w:hint="eastAsia" w:ascii="仿宋" w:hAnsi="仿宋" w:eastAsia="仿宋" w:cs="仿宋"/>
          <w:color w:val="auto"/>
          <w:sz w:val="28"/>
          <w:szCs w:val="28"/>
          <w:highlight w:val="none"/>
          <w:lang w:val="en-US" w:eastAsia="zh-CN"/>
        </w:rPr>
        <w:t>10</w:t>
      </w:r>
      <w:r>
        <w:rPr>
          <w:rFonts w:hint="eastAsia" w:ascii="仿宋" w:hAnsi="仿宋" w:eastAsia="仿宋" w:cs="仿宋"/>
          <w:color w:val="auto"/>
          <w:sz w:val="28"/>
          <w:szCs w:val="28"/>
          <w:highlight w:val="none"/>
          <w:lang w:val="zh-CN"/>
        </w:rPr>
        <w:t>时0分，逾时不再接待。</w:t>
      </w:r>
      <w:r>
        <w:rPr>
          <w:rFonts w:hint="eastAsia" w:ascii="仿宋" w:hAnsi="仿宋" w:eastAsia="仿宋" w:cs="仿宋"/>
          <w:color w:val="auto"/>
          <w:sz w:val="28"/>
          <w:szCs w:val="28"/>
          <w:highlight w:val="none"/>
          <w:u w:val="none"/>
        </w:rPr>
        <w:t xml:space="preserve">               </w:t>
      </w:r>
      <w:r>
        <w:rPr>
          <w:rFonts w:hint="eastAsia" w:ascii="仿宋" w:hAnsi="仿宋" w:eastAsia="仿宋" w:cs="仿宋"/>
          <w:color w:val="auto"/>
          <w:sz w:val="28"/>
          <w:szCs w:val="28"/>
          <w:highlight w:val="none"/>
        </w:rPr>
        <w:t xml:space="preserve">   </w:t>
      </w:r>
    </w:p>
    <w:p>
      <w:pPr>
        <w:keepNext w:val="0"/>
        <w:keepLines w:val="0"/>
        <w:pageBreakBefore w:val="0"/>
        <w:widowControl w:val="0"/>
        <w:kinsoku/>
        <w:wordWrap/>
        <w:overflowPunct/>
        <w:topLinePunct w:val="0"/>
        <w:autoSpaceDE w:val="0"/>
        <w:autoSpaceDN w:val="0"/>
        <w:bidi w:val="0"/>
        <w:adjustRightInd/>
        <w:snapToGrid w:val="0"/>
        <w:spacing w:line="520" w:lineRule="exact"/>
        <w:textAlignment w:val="auto"/>
        <w:rPr>
          <w:rFonts w:hint="eastAsia" w:ascii="仿宋" w:hAnsi="仿宋" w:eastAsia="仿宋" w:cs="仿宋"/>
          <w:b/>
          <w:color w:val="auto"/>
          <w:sz w:val="32"/>
          <w:szCs w:val="32"/>
          <w:highlight w:val="none"/>
          <w:lang w:val="en-US" w:eastAsia="zh-CN"/>
        </w:rPr>
      </w:pPr>
      <w:r>
        <w:rPr>
          <w:rFonts w:hint="eastAsia" w:ascii="仿宋" w:hAnsi="仿宋" w:eastAsia="仿宋" w:cs="仿宋"/>
          <w:color w:val="auto"/>
          <w:sz w:val="28"/>
          <w:szCs w:val="28"/>
          <w:highlight w:val="none"/>
        </w:rPr>
        <w:t>踏勘集中地点：广州市</w:t>
      </w:r>
      <w:r>
        <w:rPr>
          <w:rFonts w:hint="eastAsia" w:ascii="仿宋" w:hAnsi="仿宋" w:eastAsia="仿宋" w:cs="仿宋"/>
          <w:color w:val="auto"/>
          <w:sz w:val="28"/>
          <w:szCs w:val="28"/>
          <w:highlight w:val="none"/>
          <w:lang w:eastAsia="zh-CN"/>
        </w:rPr>
        <w:t>白云区夏花一路</w:t>
      </w:r>
      <w:r>
        <w:rPr>
          <w:rFonts w:hint="eastAsia" w:ascii="仿宋" w:hAnsi="仿宋" w:eastAsia="仿宋" w:cs="仿宋"/>
          <w:color w:val="auto"/>
          <w:sz w:val="28"/>
          <w:szCs w:val="28"/>
          <w:highlight w:val="none"/>
          <w:lang w:val="en-US" w:eastAsia="zh-CN"/>
        </w:rPr>
        <w:t>551号石井分公司（均禾净水厂）</w:t>
      </w:r>
      <w:r>
        <w:rPr>
          <w:rFonts w:hint="eastAsia" w:ascii="仿宋" w:hAnsi="仿宋" w:eastAsia="仿宋" w:cs="仿宋"/>
          <w:color w:val="auto"/>
          <w:sz w:val="28"/>
          <w:szCs w:val="28"/>
          <w:highlight w:val="none"/>
          <w:u w:val="none"/>
        </w:rPr>
        <w:t xml:space="preserve">              </w:t>
      </w:r>
      <w:r>
        <w:rPr>
          <w:rFonts w:hint="eastAsia" w:ascii="仿宋" w:hAnsi="仿宋" w:eastAsia="仿宋" w:cs="仿宋"/>
          <w:color w:val="auto"/>
          <w:sz w:val="28"/>
          <w:szCs w:val="28"/>
          <w:highlight w:val="none"/>
        </w:rPr>
        <w:t xml:space="preserve">               </w:t>
      </w:r>
    </w:p>
    <w:p>
      <w:pPr>
        <w:numPr>
          <w:ilvl w:val="0"/>
          <w:numId w:val="3"/>
        </w:numPr>
        <w:adjustRightInd w:val="0"/>
        <w:snapToGrid w:val="0"/>
        <w:spacing w:line="600" w:lineRule="exact"/>
        <w:jc w:val="left"/>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响应文件的递交</w:t>
      </w:r>
    </w:p>
    <w:p>
      <w:pPr>
        <w:adjustRightInd w:val="0"/>
        <w:snapToGrid w:val="0"/>
        <w:spacing w:line="60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6</w:t>
      </w:r>
      <w:r>
        <w:rPr>
          <w:rFonts w:hint="eastAsia" w:ascii="仿宋" w:hAnsi="仿宋" w:eastAsia="仿宋" w:cs="仿宋"/>
          <w:color w:val="auto"/>
          <w:sz w:val="28"/>
          <w:szCs w:val="28"/>
          <w:highlight w:val="none"/>
        </w:rPr>
        <w:t>.1递交响应文件截止时间：</w:t>
      </w:r>
      <w:r>
        <w:rPr>
          <w:rFonts w:hint="eastAsia" w:ascii="仿宋" w:hAnsi="仿宋" w:eastAsia="仿宋" w:cs="仿宋"/>
          <w:color w:val="auto"/>
          <w:sz w:val="28"/>
          <w:szCs w:val="28"/>
          <w:highlight w:val="none"/>
          <w:lang w:val="en-US" w:eastAsia="zh-CN"/>
        </w:rPr>
        <w:t>2022</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6</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30</w:t>
      </w:r>
      <w:r>
        <w:rPr>
          <w:rFonts w:hint="eastAsia" w:ascii="仿宋" w:hAnsi="仿宋" w:eastAsia="仿宋" w:cs="仿宋"/>
          <w:color w:val="auto"/>
          <w:sz w:val="28"/>
          <w:szCs w:val="28"/>
          <w:highlight w:val="none"/>
        </w:rPr>
        <w:t>日</w:t>
      </w:r>
      <w:r>
        <w:rPr>
          <w:rFonts w:hint="eastAsia" w:ascii="仿宋" w:hAnsi="仿宋" w:eastAsia="仿宋" w:cs="仿宋"/>
          <w:color w:val="auto"/>
          <w:sz w:val="28"/>
          <w:szCs w:val="28"/>
          <w:highlight w:val="none"/>
          <w:lang w:val="en-US" w:eastAsia="zh-CN"/>
        </w:rPr>
        <w:t>10</w:t>
      </w:r>
      <w:r>
        <w:rPr>
          <w:rFonts w:hint="eastAsia" w:ascii="仿宋" w:hAnsi="仿宋" w:eastAsia="仿宋" w:cs="仿宋"/>
          <w:color w:val="auto"/>
          <w:sz w:val="28"/>
          <w:szCs w:val="28"/>
          <w:highlight w:val="none"/>
        </w:rPr>
        <w:t>时</w:t>
      </w:r>
      <w:r>
        <w:rPr>
          <w:rFonts w:hint="eastAsia" w:ascii="仿宋" w:hAnsi="仿宋" w:eastAsia="仿宋" w:cs="仿宋"/>
          <w:color w:val="auto"/>
          <w:sz w:val="28"/>
          <w:szCs w:val="28"/>
          <w:highlight w:val="none"/>
          <w:lang w:val="en-US" w:eastAsia="zh-CN"/>
        </w:rPr>
        <w:t>00</w:t>
      </w:r>
      <w:r>
        <w:rPr>
          <w:rFonts w:hint="eastAsia" w:ascii="仿宋" w:hAnsi="仿宋" w:eastAsia="仿宋" w:cs="仿宋"/>
          <w:color w:val="auto"/>
          <w:sz w:val="28"/>
          <w:szCs w:val="28"/>
          <w:highlight w:val="none"/>
        </w:rPr>
        <w:t>分</w:t>
      </w:r>
      <w:r>
        <w:rPr>
          <w:rFonts w:hint="eastAsia" w:ascii="仿宋" w:hAnsi="仿宋" w:eastAsia="仿宋" w:cs="仿宋"/>
          <w:color w:val="auto"/>
          <w:sz w:val="28"/>
          <w:szCs w:val="28"/>
          <w:highlight w:val="none"/>
          <w:lang w:val="en-US" w:eastAsia="zh-CN"/>
        </w:rPr>
        <w:t>前</w:t>
      </w:r>
      <w:r>
        <w:rPr>
          <w:rFonts w:hint="eastAsia" w:ascii="仿宋" w:hAnsi="仿宋" w:eastAsia="仿宋" w:cs="仿宋"/>
          <w:color w:val="auto"/>
          <w:sz w:val="28"/>
          <w:szCs w:val="28"/>
          <w:highlight w:val="none"/>
        </w:rPr>
        <w:t>（北京时间）。</w:t>
      </w:r>
    </w:p>
    <w:p>
      <w:pPr>
        <w:adjustRightInd w:val="0"/>
        <w:snapToGrid w:val="0"/>
        <w:spacing w:line="60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6</w:t>
      </w:r>
      <w:r>
        <w:rPr>
          <w:rFonts w:hint="eastAsia" w:ascii="仿宋" w:hAnsi="仿宋" w:eastAsia="仿宋" w:cs="仿宋"/>
          <w:color w:val="auto"/>
          <w:sz w:val="28"/>
          <w:szCs w:val="28"/>
          <w:highlight w:val="none"/>
        </w:rPr>
        <w:t>.2递交</w:t>
      </w:r>
      <w:r>
        <w:rPr>
          <w:rFonts w:hint="eastAsia" w:ascii="仿宋" w:hAnsi="仿宋" w:eastAsia="仿宋" w:cs="仿宋"/>
          <w:color w:val="auto"/>
          <w:sz w:val="28"/>
          <w:szCs w:val="28"/>
          <w:highlight w:val="none"/>
          <w:lang w:val="en-US" w:eastAsia="zh-CN"/>
        </w:rPr>
        <w:t>及快递</w:t>
      </w:r>
      <w:r>
        <w:rPr>
          <w:rFonts w:hint="eastAsia" w:ascii="仿宋" w:hAnsi="仿宋" w:eastAsia="仿宋" w:cs="仿宋"/>
          <w:color w:val="auto"/>
          <w:sz w:val="28"/>
          <w:szCs w:val="28"/>
          <w:highlight w:val="none"/>
        </w:rPr>
        <w:t>地址：</w:t>
      </w:r>
      <w:r>
        <w:rPr>
          <w:rFonts w:hint="eastAsia" w:ascii="仿宋" w:hAnsi="仿宋" w:eastAsia="仿宋" w:cs="仿宋"/>
          <w:color w:val="auto"/>
          <w:sz w:val="28"/>
          <w:szCs w:val="28"/>
          <w:highlight w:val="none"/>
          <w:lang w:val="en-US" w:eastAsia="zh-CN"/>
        </w:rPr>
        <w:t>广州市天河区临江大道501号</w:t>
      </w:r>
      <w:r>
        <w:rPr>
          <w:rFonts w:hint="eastAsia" w:ascii="仿宋" w:hAnsi="仿宋" w:eastAsia="仿宋" w:cs="仿宋"/>
          <w:color w:val="auto"/>
          <w:sz w:val="28"/>
          <w:szCs w:val="28"/>
          <w:highlight w:val="none"/>
          <w:u w:val="none"/>
          <w:lang w:val="en-US" w:eastAsia="zh-CN"/>
        </w:rPr>
        <w:t>广州市净水有限公司6楼招标部</w:t>
      </w:r>
      <w:r>
        <w:rPr>
          <w:rFonts w:hint="eastAsia" w:ascii="仿宋" w:hAnsi="仿宋" w:eastAsia="仿宋" w:cs="仿宋"/>
          <w:color w:val="auto"/>
          <w:sz w:val="28"/>
          <w:szCs w:val="28"/>
          <w:highlight w:val="none"/>
        </w:rPr>
        <w:t>。</w:t>
      </w:r>
    </w:p>
    <w:p>
      <w:pPr>
        <w:pStyle w:val="2"/>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防疫要求：基于疫情防控形势，授权委托人须通过“广州净水公司”微信公众号（提前）预约，填写访客预约信息（包括：1.近14天内行程有异地中高风险地区及所在的地级市（、盟、州、直辖市的区）旅居史的来（返）穗人员拒绝来访；2.近14天行程内有异地本土疫情报告的地级市（、盟、州、直辖市的区）旅居史的来（返）穗人员拒绝来访3.近14天行程内有省外来（返）穗人员应持有抵穗后来访前三天的两次核酸检测证明，即“三天两检”（每次至少间隔24小时）4.如确需工作需要来访，应持有抵穗后来访前48小时内的核酸检测证明）。待被访部室审核员审批通过后，凭访客手机生成的“通行访客码”通行。于门岗处测温并扫码填写调查问卷，手机显示问卷“提交成功”后方可进入厂区。</w:t>
      </w:r>
    </w:p>
    <w:p>
      <w:pPr>
        <w:pStyle w:val="2"/>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响应文件递交预约信息填写（踏勘现场除外）：</w:t>
      </w:r>
    </w:p>
    <w:p>
      <w:pPr>
        <w:pStyle w:val="2"/>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（1）通过“广州净水公司”微信公众号或来访时候，扫码进行访客预约登记。</w:t>
      </w:r>
    </w:p>
    <w:p>
      <w:pPr>
        <w:pStyle w:val="2"/>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（2）“组织”选择“公司本部”，“部门”选择“招投标合同管理部”。</w:t>
      </w:r>
    </w:p>
    <w:p>
      <w:pPr>
        <w:pStyle w:val="2"/>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（3）“被访人员”写“招标部”，“手机号”写“62315524”。</w:t>
      </w:r>
    </w:p>
    <w:p>
      <w:pPr>
        <w:pStyle w:val="2"/>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（4）“详细描述”一定要写清楚找哪位同事，例如：找李XX，开会。    或：找黄XX，进行“XX项目询价”。</w:t>
      </w:r>
    </w:p>
    <w:p>
      <w:pPr>
        <w:pStyle w:val="2"/>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如以快递形式递交响应文件，须在递交截止时间前送达，不参加见证报价开启程序的报价单位视其认可所有报价。</w:t>
      </w:r>
    </w:p>
    <w:p>
      <w:pPr>
        <w:adjustRightInd w:val="0"/>
        <w:snapToGrid w:val="0"/>
        <w:spacing w:line="600" w:lineRule="exact"/>
        <w:jc w:val="left"/>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val="en-US" w:eastAsia="zh-CN"/>
        </w:rPr>
        <w:t>7</w:t>
      </w:r>
      <w:r>
        <w:rPr>
          <w:rFonts w:hint="eastAsia" w:ascii="仿宋" w:hAnsi="仿宋" w:eastAsia="仿宋" w:cs="仿宋"/>
          <w:b/>
          <w:color w:val="auto"/>
          <w:sz w:val="32"/>
          <w:szCs w:val="32"/>
          <w:highlight w:val="none"/>
        </w:rPr>
        <w:t>.其他</w:t>
      </w:r>
    </w:p>
    <w:p>
      <w:pPr>
        <w:adjustRightInd w:val="0"/>
        <w:snapToGrid w:val="0"/>
        <w:spacing w:line="60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w:t>
      </w:r>
      <w:r>
        <w:rPr>
          <w:rFonts w:hint="eastAsia" w:ascii="仿宋" w:hAnsi="仿宋" w:eastAsia="仿宋" w:cs="仿宋"/>
          <w:color w:val="auto"/>
          <w:sz w:val="28"/>
          <w:szCs w:val="28"/>
          <w:highlight w:val="none"/>
        </w:rPr>
        <w:t>.1发布公告的其他媒介</w:t>
      </w:r>
    </w:p>
    <w:p>
      <w:pPr>
        <w:adjustRightInd w:val="0"/>
        <w:snapToGrid w:val="0"/>
        <w:spacing w:line="600" w:lineRule="exact"/>
        <w:ind w:firstLine="555"/>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本项目</w:t>
      </w:r>
      <w:r>
        <w:rPr>
          <w:rFonts w:hint="eastAsia" w:ascii="仿宋" w:hAnsi="仿宋" w:eastAsia="仿宋" w:cs="仿宋"/>
          <w:color w:val="auto"/>
          <w:sz w:val="28"/>
          <w:szCs w:val="28"/>
          <w:highlight w:val="none"/>
          <w:lang w:eastAsia="zh-CN"/>
        </w:rPr>
        <w:t>采购公告（采购邀请书）、</w:t>
      </w:r>
      <w:r>
        <w:rPr>
          <w:rFonts w:hint="eastAsia" w:ascii="仿宋" w:hAnsi="仿宋" w:eastAsia="仿宋" w:cs="仿宋"/>
          <w:color w:val="auto"/>
          <w:sz w:val="28"/>
          <w:szCs w:val="28"/>
          <w:highlight w:val="none"/>
          <w:lang w:val="en-US" w:eastAsia="zh-CN"/>
        </w:rPr>
        <w:t>公告补充及修改</w:t>
      </w:r>
      <w:r>
        <w:rPr>
          <w:rFonts w:hint="eastAsia" w:ascii="仿宋" w:hAnsi="仿宋" w:eastAsia="仿宋" w:cs="仿宋"/>
          <w:color w:val="auto"/>
          <w:sz w:val="28"/>
          <w:szCs w:val="28"/>
          <w:highlight w:val="none"/>
        </w:rPr>
        <w:t>同</w:t>
      </w:r>
      <w:r>
        <w:rPr>
          <w:rFonts w:hint="eastAsia" w:ascii="仿宋" w:hAnsi="仿宋" w:eastAsia="仿宋" w:cs="仿宋"/>
          <w:color w:val="auto"/>
          <w:sz w:val="28"/>
          <w:szCs w:val="28"/>
          <w:highlight w:val="none"/>
          <w:lang w:val="en-US" w:eastAsia="zh-CN"/>
        </w:rPr>
        <w:t>步</w:t>
      </w:r>
      <w:r>
        <w:rPr>
          <w:rFonts w:hint="eastAsia" w:ascii="仿宋" w:hAnsi="仿宋" w:eastAsia="仿宋" w:cs="仿宋"/>
          <w:color w:val="auto"/>
          <w:sz w:val="28"/>
          <w:szCs w:val="28"/>
          <w:highlight w:val="none"/>
        </w:rPr>
        <w:t>在广州净水公司门户网</w:t>
      </w:r>
      <w:r>
        <w:rPr>
          <w:rFonts w:hint="eastAsia" w:ascii="仿宋" w:hAnsi="仿宋" w:eastAsia="仿宋" w:cs="仿宋"/>
          <w:color w:val="auto"/>
          <w:sz w:val="28"/>
          <w:szCs w:val="28"/>
          <w:highlight w:val="none"/>
          <w:lang w:val="en-US" w:eastAsia="zh-CN"/>
        </w:rPr>
        <w:t>站及阳光平台</w:t>
      </w:r>
      <w:r>
        <w:rPr>
          <w:rFonts w:hint="eastAsia" w:ascii="仿宋" w:hAnsi="仿宋" w:eastAsia="仿宋" w:cs="仿宋"/>
          <w:color w:val="auto"/>
          <w:sz w:val="28"/>
          <w:szCs w:val="28"/>
          <w:highlight w:val="none"/>
        </w:rPr>
        <w:t>上发布。本公告在各媒体发布的文本如有不同之处，以</w:t>
      </w:r>
      <w:r>
        <w:rPr>
          <w:rFonts w:hint="eastAsia" w:ascii="仿宋" w:hAnsi="仿宋" w:eastAsia="仿宋" w:cs="仿宋"/>
          <w:color w:val="auto"/>
          <w:sz w:val="28"/>
          <w:szCs w:val="28"/>
          <w:highlight w:val="none"/>
          <w:lang w:val="en-US" w:eastAsia="zh-CN"/>
        </w:rPr>
        <w:t>广州净水公司门户网站</w:t>
      </w:r>
      <w:r>
        <w:rPr>
          <w:rFonts w:hint="eastAsia" w:ascii="仿宋" w:hAnsi="仿宋" w:eastAsia="仿宋" w:cs="仿宋"/>
          <w:color w:val="auto"/>
          <w:sz w:val="28"/>
          <w:szCs w:val="28"/>
          <w:highlight w:val="none"/>
        </w:rPr>
        <w:t>为准。</w:t>
      </w:r>
    </w:p>
    <w:p>
      <w:pPr>
        <w:adjustRightInd w:val="0"/>
        <w:snapToGrid w:val="0"/>
        <w:spacing w:line="60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w:t>
      </w:r>
      <w:r>
        <w:rPr>
          <w:rFonts w:hint="eastAsia" w:ascii="仿宋" w:hAnsi="仿宋" w:eastAsia="仿宋" w:cs="仿宋"/>
          <w:color w:val="auto"/>
          <w:sz w:val="28"/>
          <w:szCs w:val="28"/>
          <w:highlight w:val="none"/>
        </w:rPr>
        <w:t>.2响应文件递交注意事项</w:t>
      </w:r>
    </w:p>
    <w:p>
      <w:pPr>
        <w:adjustRightInd w:val="0"/>
        <w:snapToGrid w:val="0"/>
        <w:spacing w:line="60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（1）逾期送达的、未送达指定地点的响应文件，采购人将予以拒收。</w:t>
      </w:r>
    </w:p>
    <w:p>
      <w:pPr>
        <w:adjustRightInd w:val="0"/>
        <w:snapToGrid w:val="0"/>
        <w:spacing w:line="60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（2）不按照采购文件要求密封的响应文件，采购人将予以拒收。</w:t>
      </w:r>
    </w:p>
    <w:p>
      <w:pPr>
        <w:widowControl/>
        <w:shd w:val="clear" w:color="auto" w:fill="FFFFFF"/>
        <w:adjustRightInd w:val="0"/>
        <w:snapToGrid w:val="0"/>
        <w:spacing w:line="600" w:lineRule="exact"/>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val="en-US" w:eastAsia="zh-CN"/>
        </w:rPr>
        <w:t>8</w:t>
      </w:r>
      <w:r>
        <w:rPr>
          <w:rFonts w:hint="eastAsia" w:ascii="仿宋" w:hAnsi="仿宋" w:eastAsia="仿宋" w:cs="仿宋"/>
          <w:b/>
          <w:color w:val="auto"/>
          <w:sz w:val="32"/>
          <w:szCs w:val="32"/>
          <w:highlight w:val="none"/>
        </w:rPr>
        <w:t>.异议及投诉的受理</w:t>
      </w:r>
    </w:p>
    <w:p>
      <w:pPr>
        <w:widowControl/>
        <w:shd w:val="clear" w:color="auto" w:fill="FFFFFF"/>
        <w:adjustRightInd w:val="0"/>
        <w:snapToGrid w:val="0"/>
        <w:spacing w:line="600" w:lineRule="exact"/>
        <w:ind w:left="1" w:firstLine="618" w:firstLineChars="221"/>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潜在供应商或利害关系人对本采购公告及采购文件中任何违法及不公平内容有异议的，可以在提交响应文件截止之日</w:t>
      </w:r>
      <w:r>
        <w:rPr>
          <w:rFonts w:hint="eastAsia" w:ascii="仿宋" w:hAnsi="仿宋" w:eastAsia="仿宋" w:cs="仿宋"/>
          <w:color w:val="auto"/>
          <w:sz w:val="28"/>
          <w:szCs w:val="28"/>
          <w:highlight w:val="none"/>
          <w:u w:val="single"/>
          <w:lang w:val="en-US" w:eastAsia="zh-CN"/>
        </w:rPr>
        <w:t>2</w:t>
      </w:r>
      <w:r>
        <w:rPr>
          <w:rFonts w:hint="eastAsia" w:ascii="仿宋" w:hAnsi="仿宋" w:eastAsia="仿宋" w:cs="仿宋"/>
          <w:color w:val="auto"/>
          <w:sz w:val="28"/>
          <w:szCs w:val="28"/>
          <w:highlight w:val="none"/>
        </w:rPr>
        <w:t>个工作日前书面提出异议。如潜在响应人或其他利害关系人对采购人答复仍持有异议的，可按相关规定进行投诉。</w:t>
      </w:r>
    </w:p>
    <w:p>
      <w:pPr>
        <w:widowControl/>
        <w:shd w:val="clear" w:color="auto" w:fill="FFFFFF"/>
        <w:adjustRightInd w:val="0"/>
        <w:snapToGrid w:val="0"/>
        <w:spacing w:line="600" w:lineRule="exact"/>
        <w:ind w:left="1"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异议受理部门：</w:t>
      </w:r>
      <w:r>
        <w:rPr>
          <w:rFonts w:hint="eastAsia" w:ascii="仿宋" w:hAnsi="仿宋" w:eastAsia="仿宋" w:cs="仿宋"/>
          <w:color w:val="auto"/>
          <w:sz w:val="28"/>
          <w:szCs w:val="28"/>
          <w:highlight w:val="none"/>
          <w:u w:val="single"/>
          <w:lang w:val="en-US" w:eastAsia="zh-CN"/>
        </w:rPr>
        <w:t>广州市净水有限公司</w:t>
      </w:r>
      <w:r>
        <w:rPr>
          <w:rFonts w:hint="eastAsia" w:ascii="仿宋" w:hAnsi="仿宋" w:eastAsia="仿宋" w:cs="仿宋"/>
          <w:color w:val="auto"/>
          <w:sz w:val="28"/>
          <w:szCs w:val="28"/>
          <w:highlight w:val="none"/>
        </w:rPr>
        <w:t>，电话：</w:t>
      </w:r>
      <w:r>
        <w:rPr>
          <w:rFonts w:hint="eastAsia" w:ascii="仿宋" w:hAnsi="仿宋" w:eastAsia="仿宋" w:cs="仿宋"/>
          <w:color w:val="auto"/>
          <w:sz w:val="28"/>
          <w:szCs w:val="28"/>
          <w:highlight w:val="none"/>
          <w:lang w:val="en-US" w:eastAsia="zh-CN"/>
        </w:rPr>
        <w:t>38890841/</w:t>
      </w:r>
      <w:r>
        <w:rPr>
          <w:rFonts w:hint="eastAsia" w:ascii="仿宋" w:hAnsi="仿宋" w:eastAsia="仿宋" w:cs="仿宋"/>
          <w:color w:val="auto"/>
          <w:sz w:val="28"/>
          <w:szCs w:val="28"/>
          <w:highlight w:val="none"/>
          <w:u w:val="single"/>
          <w:lang w:val="en-US" w:eastAsia="zh-CN"/>
        </w:rPr>
        <w:t>62315524</w:t>
      </w:r>
      <w:r>
        <w:rPr>
          <w:rFonts w:hint="eastAsia" w:ascii="仿宋" w:hAnsi="仿宋" w:eastAsia="仿宋" w:cs="仿宋"/>
          <w:color w:val="auto"/>
          <w:sz w:val="28"/>
          <w:szCs w:val="28"/>
          <w:highlight w:val="none"/>
        </w:rPr>
        <w:t>。</w:t>
      </w:r>
    </w:p>
    <w:p>
      <w:pPr>
        <w:widowControl/>
        <w:shd w:val="clear" w:color="auto" w:fill="FFFFFF"/>
        <w:adjustRightInd w:val="0"/>
        <w:snapToGrid w:val="0"/>
        <w:spacing w:line="600" w:lineRule="exact"/>
        <w:ind w:left="1"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地址：</w:t>
      </w:r>
      <w:r>
        <w:rPr>
          <w:rFonts w:hint="eastAsia" w:ascii="仿宋" w:hAnsi="仿宋" w:eastAsia="仿宋" w:cs="仿宋"/>
          <w:color w:val="auto"/>
          <w:sz w:val="28"/>
          <w:szCs w:val="28"/>
          <w:highlight w:val="none"/>
          <w:u w:val="single"/>
          <w:lang w:val="en-US" w:eastAsia="zh-CN"/>
        </w:rPr>
        <w:t>广州市天河区临江大道501号广州市净水有限公司</w:t>
      </w:r>
      <w:r>
        <w:rPr>
          <w:rFonts w:hint="eastAsia" w:ascii="仿宋" w:hAnsi="仿宋" w:eastAsia="仿宋" w:cs="仿宋"/>
          <w:color w:val="auto"/>
          <w:sz w:val="28"/>
          <w:szCs w:val="28"/>
          <w:highlight w:val="none"/>
        </w:rPr>
        <w:t xml:space="preserve"> 。</w:t>
      </w:r>
    </w:p>
    <w:p>
      <w:pPr>
        <w:adjustRightInd w:val="0"/>
        <w:snapToGrid w:val="0"/>
        <w:spacing w:line="600" w:lineRule="exact"/>
        <w:jc w:val="left"/>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val="en-US" w:eastAsia="zh-CN"/>
        </w:rPr>
        <w:t>9</w:t>
      </w:r>
      <w:r>
        <w:rPr>
          <w:rFonts w:hint="eastAsia" w:ascii="仿宋" w:hAnsi="仿宋" w:eastAsia="仿宋" w:cs="仿宋"/>
          <w:b/>
          <w:color w:val="auto"/>
          <w:sz w:val="32"/>
          <w:szCs w:val="32"/>
          <w:highlight w:val="none"/>
        </w:rPr>
        <w:t>. 被书面限制参与采购活动的企业名单</w:t>
      </w:r>
    </w:p>
    <w:p>
      <w:pPr>
        <w:adjustRightInd w:val="0"/>
        <w:snapToGrid w:val="0"/>
        <w:spacing w:line="600" w:lineRule="exact"/>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本项目采购人（包括市水投集团及其属下子公司）书面限制参与采购活动的企业名单：</w:t>
      </w:r>
    </w:p>
    <w:tbl>
      <w:tblPr>
        <w:tblStyle w:val="25"/>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101"/>
        <w:gridCol w:w="3402"/>
        <w:gridCol w:w="455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tcPr>
          <w:p>
            <w:pPr>
              <w:adjustRightInd w:val="0"/>
              <w:snapToGrid w:val="0"/>
              <w:spacing w:line="60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序号</w:t>
            </w:r>
          </w:p>
        </w:tc>
        <w:tc>
          <w:tcPr>
            <w:tcW w:w="3402" w:type="dxa"/>
          </w:tcPr>
          <w:p>
            <w:pPr>
              <w:adjustRightInd w:val="0"/>
              <w:snapToGrid w:val="0"/>
              <w:spacing w:line="60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单位名称</w:t>
            </w:r>
          </w:p>
        </w:tc>
        <w:tc>
          <w:tcPr>
            <w:tcW w:w="4557" w:type="dxa"/>
          </w:tcPr>
          <w:p>
            <w:pPr>
              <w:adjustRightInd w:val="0"/>
              <w:snapToGrid w:val="0"/>
              <w:spacing w:line="60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被书面限制参与采购活动的期限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hint="eastAsia" w:ascii="仿宋" w:hAnsi="仿宋" w:eastAsia="仿宋" w:cs="仿宋"/>
                <w:color w:val="auto"/>
                <w:kern w:val="2"/>
                <w:sz w:val="24"/>
                <w:szCs w:val="22"/>
                <w:highlight w:val="none"/>
                <w:lang w:val="en-US" w:eastAsia="zh-CN" w:bidi="ar-SA"/>
              </w:rPr>
            </w:pPr>
            <w:r>
              <w:rPr>
                <w:rFonts w:hint="eastAsia" w:ascii="仿宋" w:hAnsi="仿宋" w:eastAsia="仿宋" w:cs="仿宋"/>
                <w:color w:val="auto"/>
                <w:sz w:val="24"/>
                <w:highlight w:val="none"/>
              </w:rPr>
              <w:t>1</w:t>
            </w:r>
          </w:p>
        </w:tc>
        <w:tc>
          <w:tcPr>
            <w:tcW w:w="3402" w:type="dxa"/>
            <w:vAlign w:val="center"/>
          </w:tcPr>
          <w:p>
            <w:pPr>
              <w:jc w:val="center"/>
              <w:rPr>
                <w:rFonts w:hint="eastAsia" w:ascii="仿宋" w:hAnsi="仿宋" w:eastAsia="仿宋" w:cs="仿宋"/>
                <w:color w:val="auto"/>
                <w:kern w:val="2"/>
                <w:sz w:val="24"/>
                <w:szCs w:val="22"/>
                <w:highlight w:val="none"/>
                <w:lang w:val="en-US" w:eastAsia="zh-CN" w:bidi="ar-SA"/>
              </w:rPr>
            </w:pPr>
            <w:r>
              <w:rPr>
                <w:rFonts w:hint="eastAsia" w:ascii="仿宋" w:hAnsi="仿宋" w:eastAsia="仿宋" w:cs="仿宋"/>
                <w:color w:val="auto"/>
                <w:sz w:val="24"/>
                <w:highlight w:val="none"/>
              </w:rPr>
              <w:t>广州市水电建设工程有限公司</w:t>
            </w:r>
          </w:p>
        </w:tc>
        <w:tc>
          <w:tcPr>
            <w:tcW w:w="4557" w:type="dxa"/>
            <w:vAlign w:val="center"/>
          </w:tcPr>
          <w:p>
            <w:pPr>
              <w:jc w:val="center"/>
              <w:rPr>
                <w:rFonts w:hint="eastAsia" w:ascii="仿宋" w:hAnsi="仿宋" w:eastAsia="仿宋" w:cs="仿宋"/>
                <w:color w:val="auto"/>
                <w:kern w:val="2"/>
                <w:sz w:val="24"/>
                <w:szCs w:val="22"/>
                <w:highlight w:val="none"/>
                <w:lang w:val="en-US" w:eastAsia="zh-CN" w:bidi="ar-SA"/>
              </w:rPr>
            </w:pPr>
            <w:r>
              <w:rPr>
                <w:rFonts w:hint="eastAsia" w:ascii="仿宋" w:hAnsi="仿宋" w:eastAsia="仿宋" w:cs="仿宋"/>
                <w:color w:val="auto"/>
                <w:sz w:val="24"/>
                <w:highlight w:val="none"/>
                <w:lang w:val="en-US" w:eastAsia="zh-CN"/>
              </w:rPr>
              <w:t>2021年11月18</w:t>
            </w:r>
            <w:r>
              <w:rPr>
                <w:rFonts w:hint="eastAsia" w:ascii="仿宋" w:hAnsi="仿宋" w:eastAsia="仿宋" w:cs="仿宋"/>
                <w:color w:val="auto"/>
                <w:sz w:val="24"/>
                <w:highlight w:val="none"/>
              </w:rPr>
              <w:t>至202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rPr>
              <w:t>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hint="eastAsia" w:ascii="仿宋" w:hAnsi="仿宋" w:eastAsia="仿宋" w:cs="仿宋"/>
                <w:color w:val="auto"/>
                <w:kern w:val="2"/>
                <w:sz w:val="24"/>
                <w:szCs w:val="22"/>
                <w:highlight w:val="none"/>
                <w:lang w:val="en-US" w:eastAsia="zh-CN" w:bidi="ar-SA"/>
              </w:rPr>
            </w:pPr>
            <w:r>
              <w:rPr>
                <w:rFonts w:hint="eastAsia" w:ascii="仿宋" w:hAnsi="仿宋" w:eastAsia="仿宋" w:cs="仿宋"/>
                <w:color w:val="auto"/>
                <w:sz w:val="24"/>
                <w:highlight w:val="none"/>
              </w:rPr>
              <w:t>2</w:t>
            </w:r>
          </w:p>
        </w:tc>
        <w:tc>
          <w:tcPr>
            <w:tcW w:w="3402" w:type="dxa"/>
            <w:vAlign w:val="center"/>
          </w:tcPr>
          <w:p>
            <w:pPr>
              <w:jc w:val="center"/>
              <w:rPr>
                <w:rFonts w:hint="eastAsia" w:ascii="仿宋" w:hAnsi="仿宋" w:eastAsia="仿宋" w:cs="仿宋"/>
                <w:color w:val="auto"/>
                <w:kern w:val="2"/>
                <w:sz w:val="24"/>
                <w:szCs w:val="22"/>
                <w:highlight w:val="none"/>
                <w:lang w:val="en-US" w:eastAsia="zh-CN" w:bidi="ar-SA"/>
              </w:rPr>
            </w:pPr>
            <w:r>
              <w:rPr>
                <w:rFonts w:hint="eastAsia" w:ascii="仿宋" w:hAnsi="仿宋" w:eastAsia="仿宋" w:cs="仿宋"/>
                <w:color w:val="auto"/>
                <w:sz w:val="24"/>
                <w:highlight w:val="none"/>
              </w:rPr>
              <w:t>广州市南粤工程建设监理有限公司</w:t>
            </w:r>
          </w:p>
        </w:tc>
        <w:tc>
          <w:tcPr>
            <w:tcW w:w="4557" w:type="dxa"/>
            <w:vAlign w:val="center"/>
          </w:tcPr>
          <w:p>
            <w:pPr>
              <w:jc w:val="center"/>
              <w:rPr>
                <w:rFonts w:hint="eastAsia" w:ascii="仿宋" w:hAnsi="仿宋" w:eastAsia="仿宋" w:cs="仿宋"/>
                <w:color w:val="auto"/>
                <w:kern w:val="2"/>
                <w:sz w:val="24"/>
                <w:szCs w:val="22"/>
                <w:highlight w:val="none"/>
                <w:lang w:val="en-US" w:eastAsia="zh-CN" w:bidi="ar-SA"/>
              </w:rPr>
            </w:pPr>
            <w:r>
              <w:rPr>
                <w:rFonts w:hint="eastAsia" w:ascii="仿宋" w:hAnsi="仿宋" w:eastAsia="仿宋" w:cs="仿宋"/>
                <w:color w:val="auto"/>
                <w:sz w:val="24"/>
                <w:highlight w:val="none"/>
                <w:lang w:val="en-US" w:eastAsia="zh-CN"/>
              </w:rPr>
              <w:t>2021年11月18</w:t>
            </w:r>
            <w:r>
              <w:rPr>
                <w:rFonts w:hint="eastAsia" w:ascii="仿宋" w:hAnsi="仿宋" w:eastAsia="仿宋" w:cs="仿宋"/>
                <w:color w:val="auto"/>
                <w:sz w:val="24"/>
                <w:highlight w:val="none"/>
              </w:rPr>
              <w:t>至20</w:t>
            </w:r>
            <w:r>
              <w:rPr>
                <w:rFonts w:hint="eastAsia" w:ascii="仿宋" w:hAnsi="仿宋" w:eastAsia="仿宋" w:cs="仿宋"/>
                <w:color w:val="auto"/>
                <w:sz w:val="24"/>
                <w:highlight w:val="none"/>
                <w:lang w:val="en-US" w:eastAsia="zh-CN"/>
              </w:rPr>
              <w:t>23</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rPr>
              <w:t>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hint="eastAsia" w:ascii="仿宋" w:hAnsi="仿宋" w:eastAsia="仿宋" w:cs="仿宋"/>
                <w:color w:val="auto"/>
                <w:kern w:val="2"/>
                <w:sz w:val="24"/>
                <w:szCs w:val="22"/>
                <w:highlight w:val="none"/>
                <w:lang w:val="en-US" w:eastAsia="zh-CN" w:bidi="ar-SA"/>
              </w:rPr>
            </w:pPr>
            <w:r>
              <w:rPr>
                <w:rFonts w:hint="eastAsia" w:ascii="仿宋" w:hAnsi="仿宋" w:eastAsia="仿宋" w:cs="仿宋"/>
                <w:color w:val="auto"/>
                <w:sz w:val="24"/>
                <w:highlight w:val="none"/>
                <w:lang w:val="en-US" w:eastAsia="zh-CN"/>
              </w:rPr>
              <w:t>3</w:t>
            </w:r>
          </w:p>
        </w:tc>
        <w:tc>
          <w:tcPr>
            <w:tcW w:w="3402" w:type="dxa"/>
            <w:vAlign w:val="center"/>
          </w:tcPr>
          <w:p>
            <w:pPr>
              <w:jc w:val="center"/>
              <w:rPr>
                <w:rFonts w:hint="eastAsia" w:ascii="仿宋" w:hAnsi="仿宋" w:eastAsia="仿宋" w:cs="仿宋"/>
                <w:color w:val="auto"/>
                <w:kern w:val="2"/>
                <w:sz w:val="24"/>
                <w:szCs w:val="22"/>
                <w:highlight w:val="none"/>
                <w:lang w:val="en-US" w:eastAsia="zh-CN" w:bidi="ar-SA"/>
              </w:rPr>
            </w:pPr>
            <w:r>
              <w:rPr>
                <w:rFonts w:hint="eastAsia" w:ascii="仿宋" w:hAnsi="仿宋" w:eastAsia="仿宋" w:cs="仿宋"/>
                <w:color w:val="auto"/>
                <w:sz w:val="24"/>
                <w:szCs w:val="24"/>
                <w:highlight w:val="none"/>
              </w:rPr>
              <w:t>广州市自来水工程有限公司</w:t>
            </w:r>
          </w:p>
        </w:tc>
        <w:tc>
          <w:tcPr>
            <w:tcW w:w="4557" w:type="dxa"/>
            <w:vAlign w:val="center"/>
          </w:tcPr>
          <w:p>
            <w:pPr>
              <w:jc w:val="center"/>
              <w:rPr>
                <w:rFonts w:hint="eastAsia" w:ascii="仿宋" w:hAnsi="仿宋" w:eastAsia="仿宋" w:cs="仿宋"/>
                <w:color w:val="auto"/>
                <w:kern w:val="2"/>
                <w:sz w:val="24"/>
                <w:szCs w:val="22"/>
                <w:highlight w:val="none"/>
                <w:lang w:val="en-US" w:eastAsia="zh-CN" w:bidi="ar-SA"/>
              </w:rPr>
            </w:pPr>
            <w:r>
              <w:rPr>
                <w:rFonts w:hint="eastAsia" w:ascii="仿宋" w:hAnsi="仿宋" w:eastAsia="仿宋" w:cs="仿宋"/>
                <w:color w:val="auto"/>
                <w:sz w:val="24"/>
                <w:highlight w:val="none"/>
                <w:lang w:val="en-US" w:eastAsia="zh-CN"/>
              </w:rPr>
              <w:t>2022年1月1</w:t>
            </w:r>
            <w:r>
              <w:rPr>
                <w:rFonts w:hint="eastAsia" w:ascii="仿宋" w:hAnsi="仿宋" w:eastAsia="仿宋" w:cs="仿宋"/>
                <w:color w:val="auto"/>
                <w:sz w:val="24"/>
                <w:highlight w:val="none"/>
              </w:rPr>
              <w:t>至2022年</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31</w:t>
            </w:r>
            <w:r>
              <w:rPr>
                <w:rFonts w:hint="eastAsia" w:ascii="仿宋" w:hAnsi="仿宋" w:eastAsia="仿宋" w:cs="仿宋"/>
                <w:color w:val="auto"/>
                <w:sz w:val="24"/>
                <w:highlight w:val="none"/>
              </w:rPr>
              <w:t>日</w:t>
            </w:r>
          </w:p>
        </w:tc>
      </w:tr>
    </w:tbl>
    <w:p>
      <w:pPr>
        <w:adjustRightInd w:val="0"/>
        <w:snapToGrid w:val="0"/>
        <w:spacing w:beforeLines="50" w:afterLines="50" w:line="600" w:lineRule="exact"/>
        <w:jc w:val="left"/>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val="en-US" w:eastAsia="zh-CN"/>
        </w:rPr>
        <w:t>10</w:t>
      </w:r>
      <w:r>
        <w:rPr>
          <w:rFonts w:hint="eastAsia" w:ascii="仿宋" w:hAnsi="仿宋" w:eastAsia="仿宋" w:cs="仿宋"/>
          <w:b/>
          <w:color w:val="auto"/>
          <w:sz w:val="32"/>
          <w:szCs w:val="32"/>
          <w:highlight w:val="none"/>
        </w:rPr>
        <w:t>.联系方式</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采购人：</w:t>
            </w:r>
            <w:r>
              <w:rPr>
                <w:rFonts w:hint="eastAsia" w:ascii="仿宋" w:hAnsi="仿宋" w:eastAsia="仿宋" w:cs="仿宋"/>
                <w:color w:val="auto"/>
                <w:sz w:val="28"/>
                <w:szCs w:val="28"/>
                <w:highlight w:val="none"/>
                <w:lang w:val="en-US" w:eastAsia="zh-CN"/>
              </w:rPr>
              <w:t>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地  址：</w:t>
            </w:r>
            <w:r>
              <w:rPr>
                <w:rFonts w:hint="eastAsia" w:ascii="仿宋" w:hAnsi="仿宋" w:eastAsia="仿宋" w:cs="仿宋"/>
                <w:color w:val="auto"/>
                <w:sz w:val="28"/>
                <w:szCs w:val="28"/>
                <w:highlight w:val="none"/>
                <w:lang w:val="en-US" w:eastAsia="zh-CN"/>
              </w:rPr>
              <w:t>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联系人：</w:t>
            </w:r>
            <w:r>
              <w:rPr>
                <w:rFonts w:hint="eastAsia" w:ascii="仿宋" w:hAnsi="仿宋" w:eastAsia="仿宋" w:cs="仿宋"/>
                <w:color w:val="auto"/>
                <w:sz w:val="28"/>
                <w:szCs w:val="28"/>
                <w:highlight w:val="none"/>
                <w:lang w:val="en-US" w:eastAsia="zh-CN"/>
              </w:rPr>
              <w:t>黄工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电  话：</w:t>
            </w:r>
            <w:r>
              <w:rPr>
                <w:rFonts w:hint="eastAsia" w:ascii="仿宋" w:hAnsi="仿宋" w:eastAsia="仿宋" w:cs="仿宋"/>
                <w:color w:val="auto"/>
                <w:sz w:val="28"/>
                <w:szCs w:val="28"/>
                <w:highlight w:val="none"/>
                <w:lang w:val="en-US" w:eastAsia="zh-CN"/>
              </w:rPr>
              <w:t>020-62315524</w:t>
            </w:r>
            <w:bookmarkStart w:id="178" w:name="_GoBack"/>
            <w:bookmarkEnd w:id="178"/>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eastAsia" w:ascii="仿宋" w:hAnsi="仿宋" w:eastAsia="仿宋" w:cs="仿宋"/>
                <w:color w:val="auto"/>
                <w:sz w:val="28"/>
                <w:szCs w:val="28"/>
                <w:highlight w:val="none"/>
              </w:rPr>
            </w:pPr>
          </w:p>
          <w:p>
            <w:pPr>
              <w:adjustRightInd w:val="0"/>
              <w:snapToGrid w:val="0"/>
              <w:spacing w:line="60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r>
              <w:rPr>
                <w:rFonts w:hint="eastAsia" w:ascii="仿宋" w:hAnsi="仿宋" w:eastAsia="仿宋" w:cs="仿宋"/>
                <w:color w:val="auto"/>
                <w:sz w:val="28"/>
                <w:szCs w:val="28"/>
                <w:highlight w:val="none"/>
                <w:lang w:val="en-US" w:eastAsia="zh-CN"/>
              </w:rPr>
              <w:t>2022</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6</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24</w:t>
            </w:r>
            <w:r>
              <w:rPr>
                <w:rFonts w:hint="eastAsia" w:ascii="仿宋" w:hAnsi="仿宋" w:eastAsia="仿宋" w:cs="仿宋"/>
                <w:color w:val="auto"/>
                <w:sz w:val="28"/>
                <w:szCs w:val="28"/>
                <w:highlight w:val="none"/>
              </w:rPr>
              <w:t>日</w:t>
            </w:r>
          </w:p>
        </w:tc>
      </w:tr>
    </w:tbl>
    <w:p>
      <w:pPr>
        <w:adjustRightInd w:val="0"/>
        <w:snapToGrid w:val="0"/>
        <w:spacing w:line="600" w:lineRule="exact"/>
        <w:jc w:val="left"/>
        <w:rPr>
          <w:rFonts w:hint="eastAsia" w:ascii="仿宋_GB2312" w:eastAsia="仿宋_GB2312" w:hAnsiTheme="majorEastAsia"/>
          <w:color w:val="auto"/>
          <w:sz w:val="28"/>
          <w:szCs w:val="28"/>
          <w:highlight w:val="none"/>
        </w:rPr>
      </w:pPr>
    </w:p>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adjustRightInd w:val="0"/>
        <w:snapToGrid w:val="0"/>
        <w:spacing w:beforeLines="50" w:afterLines="50" w:line="600" w:lineRule="exact"/>
        <w:jc w:val="left"/>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适用于纸质评审的采购项目</w:t>
      </w:r>
    </w:p>
    <w:p>
      <w:pPr>
        <w:pStyle w:val="4"/>
        <w:rPr>
          <w:rFonts w:hint="eastAsia"/>
          <w:color w:val="auto"/>
          <w:highlight w:val="none"/>
        </w:rPr>
      </w:pPr>
      <w:bookmarkStart w:id="13" w:name="_Toc10891"/>
    </w:p>
    <w:p>
      <w:pPr>
        <w:pStyle w:val="4"/>
        <w:rPr>
          <w:rFonts w:hint="eastAsia"/>
          <w:color w:val="auto"/>
          <w:highlight w:val="none"/>
        </w:rPr>
      </w:pPr>
      <w:bookmarkStart w:id="14" w:name="_Toc16705"/>
      <w:bookmarkStart w:id="15" w:name="_Toc2324"/>
      <w:bookmarkStart w:id="16" w:name="_Toc16557"/>
      <w:bookmarkStart w:id="17" w:name="_Toc23749"/>
      <w:bookmarkStart w:id="18" w:name="_Toc2331"/>
      <w:bookmarkStart w:id="19" w:name="_Toc9448"/>
      <w:bookmarkStart w:id="20" w:name="_Toc25603"/>
      <w:bookmarkStart w:id="21" w:name="_Toc7340"/>
      <w:bookmarkStart w:id="22" w:name="_Toc19295"/>
      <w:bookmarkStart w:id="23" w:name="_Toc32588"/>
    </w:p>
    <w:p>
      <w:pPr>
        <w:pStyle w:val="4"/>
        <w:rPr>
          <w:rFonts w:hint="eastAsia" w:ascii="宋体" w:hAnsi="宋体" w:eastAsia="宋体" w:cs="宋体"/>
          <w:color w:val="auto"/>
          <w:highlight w:val="none"/>
        </w:rPr>
      </w:pPr>
      <w:r>
        <w:rPr>
          <w:rFonts w:hint="eastAsia" w:ascii="宋体" w:hAnsi="宋体" w:eastAsia="宋体" w:cs="宋体"/>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2340610</wp:posOffset>
                </wp:positionH>
                <wp:positionV relativeFrom="paragraph">
                  <wp:posOffset>745490</wp:posOffset>
                </wp:positionV>
                <wp:extent cx="958850" cy="0"/>
                <wp:effectExtent l="0" t="0" r="0" b="0"/>
                <wp:wrapNone/>
                <wp:docPr id="20" name="自选图形 1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8" o:spid="_x0000_s1026" o:spt="32" type="#_x0000_t32" style="position:absolute;left:0pt;margin-left:184.3pt;margin-top:58.7pt;height:0pt;width:75.5pt;z-index:251675648;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M2AsR1wAAAAsBAAAPAAAAAAAAAAEA&#10;IAAAACIAAABkcnMvZG93bnJldi54bWxQSwECFAAUAAAACACHTuJAArV6+9cBAACWAwAADgAAAAAA&#10;AAABACAAAAAmAQAAZHJzL2Uyb0RvYy54bWxQSwUGAAAAAAYABgBZAQAAbwUAAAAA&#10;">
                <v:fill on="f" focussize="0,0"/>
                <v:stroke color="#000000" joinstyle="round"/>
                <v:imagedata o:title=""/>
                <o:lock v:ext="edit" aspectratio="f"/>
              </v:shape>
            </w:pict>
          </mc:Fallback>
        </mc:AlternateContent>
      </w:r>
      <w:r>
        <w:rPr>
          <w:rFonts w:hint="eastAsia" w:ascii="宋体" w:hAnsi="宋体" w:eastAsia="宋体" w:cs="宋体"/>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19" name="自选图形 1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9" o:spid="_x0000_s1026" o:spt="32" type="#_x0000_t32" style="position:absolute;left:0pt;margin-left:184.9pt;margin-top:8.5pt;height:0pt;width:75.5pt;z-index:251674624;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IK2LetYAAAAJAQAADwAAAAAAAAAB&#10;ACAAAAAiAAAAZHJzL2Rvd25yZXYueG1sUEsBAhQAFAAAAAgAh07iQKVIZY7ZAQAAlgMAAA4AAAAA&#10;AAAAAQAgAAAAJQEAAGRycy9lMm9Eb2MueG1sUEsFBgAAAAAGAAYAWQEAAHAFAAAAAA==&#10;">
                <v:fill on="f" focussize="0,0"/>
                <v:stroke color="#000000" joinstyle="round"/>
                <v:imagedata o:title=""/>
                <o:lock v:ext="edit" aspectratio="f"/>
              </v:shape>
            </w:pict>
          </mc:Fallback>
        </mc:AlternateContent>
      </w:r>
      <w:r>
        <w:rPr>
          <w:rFonts w:hint="eastAsia" w:ascii="宋体" w:hAnsi="宋体" w:eastAsia="宋体" w:cs="宋体"/>
          <w:color w:val="auto"/>
          <w:highlight w:val="none"/>
        </w:rPr>
        <w:t>第</w:t>
      </w:r>
      <w:r>
        <w:rPr>
          <w:rFonts w:hint="eastAsia" w:ascii="宋体" w:hAnsi="宋体" w:eastAsia="宋体" w:cs="宋体"/>
          <w:color w:val="auto"/>
          <w:highlight w:val="none"/>
          <w:lang w:val="en-US" w:eastAsia="zh-CN"/>
        </w:rPr>
        <w:t>二</w:t>
      </w:r>
      <w:r>
        <w:rPr>
          <w:rFonts w:hint="eastAsia" w:ascii="宋体" w:hAnsi="宋体" w:eastAsia="宋体" w:cs="宋体"/>
          <w:color w:val="auto"/>
          <w:highlight w:val="none"/>
        </w:rPr>
        <w:t>章</w:t>
      </w:r>
      <w:bookmarkEnd w:id="13"/>
      <w:bookmarkEnd w:id="14"/>
      <w:bookmarkEnd w:id="15"/>
      <w:bookmarkEnd w:id="16"/>
      <w:bookmarkEnd w:id="17"/>
      <w:bookmarkEnd w:id="18"/>
      <w:bookmarkEnd w:id="19"/>
      <w:bookmarkEnd w:id="20"/>
      <w:bookmarkEnd w:id="21"/>
      <w:bookmarkEnd w:id="22"/>
      <w:bookmarkEnd w:id="23"/>
    </w:p>
    <w:p>
      <w:pPr>
        <w:pStyle w:val="5"/>
        <w:rPr>
          <w:rFonts w:hint="eastAsia" w:ascii="宋体" w:hAnsi="宋体" w:eastAsia="宋体" w:cs="宋体"/>
          <w:color w:val="auto"/>
          <w:highlight w:val="none"/>
        </w:rPr>
      </w:pPr>
    </w:p>
    <w:p>
      <w:pPr>
        <w:pStyle w:val="5"/>
        <w:rPr>
          <w:rFonts w:hint="eastAsia" w:ascii="宋体" w:hAnsi="宋体" w:eastAsia="宋体" w:cs="宋体"/>
          <w:color w:val="auto"/>
          <w:highlight w:val="none"/>
        </w:rPr>
      </w:pPr>
      <w:bookmarkStart w:id="24" w:name="_Toc3416"/>
      <w:bookmarkStart w:id="25" w:name="_Toc2339"/>
      <w:r>
        <w:rPr>
          <w:rFonts w:hint="eastAsia" w:ascii="宋体" w:hAnsi="宋体" w:eastAsia="宋体" w:cs="宋体"/>
          <w:color w:val="auto"/>
          <w:highlight w:val="none"/>
        </w:rPr>
        <w:t>供应商须知</w:t>
      </w:r>
      <w:bookmarkEnd w:id="24"/>
      <w:bookmarkEnd w:id="25"/>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pStyle w:val="2"/>
        <w:rPr>
          <w:rFonts w:hint="eastAsia" w:asciiTheme="minorEastAsia" w:hAnsiTheme="minorEastAsia"/>
          <w:b/>
          <w:color w:val="auto"/>
          <w:sz w:val="32"/>
          <w:szCs w:val="32"/>
          <w:highlight w:val="none"/>
        </w:rPr>
      </w:pPr>
    </w:p>
    <w:p>
      <w:pPr>
        <w:pStyle w:val="2"/>
        <w:rPr>
          <w:rFonts w:hint="eastAsia" w:asciiTheme="minorEastAsia" w:hAnsiTheme="minorEastAsia"/>
          <w:b/>
          <w:color w:val="auto"/>
          <w:sz w:val="32"/>
          <w:szCs w:val="32"/>
          <w:highlight w:val="none"/>
        </w:rPr>
      </w:pPr>
    </w:p>
    <w:p>
      <w:pPr>
        <w:pStyle w:val="2"/>
        <w:rPr>
          <w:rFonts w:hint="eastAsia" w:asciiTheme="minorEastAsia" w:hAnsiTheme="minorEastAsia"/>
          <w:b/>
          <w:color w:val="auto"/>
          <w:sz w:val="32"/>
          <w:szCs w:val="32"/>
          <w:highlight w:val="none"/>
        </w:rPr>
      </w:pPr>
    </w:p>
    <w:p>
      <w:pPr>
        <w:pStyle w:val="2"/>
        <w:rPr>
          <w:rFonts w:hint="eastAsia" w:asciiTheme="minorEastAsia" w:hAnsiTheme="minorEastAsia"/>
          <w:b/>
          <w:color w:val="auto"/>
          <w:sz w:val="32"/>
          <w:szCs w:val="32"/>
          <w:highlight w:val="none"/>
        </w:rPr>
      </w:pPr>
    </w:p>
    <w:p>
      <w:pPr>
        <w:pStyle w:val="2"/>
        <w:rPr>
          <w:rFonts w:hint="eastAsia" w:asciiTheme="minorEastAsia" w:hAnsiTheme="minorEastAsia"/>
          <w:b/>
          <w:color w:val="auto"/>
          <w:sz w:val="32"/>
          <w:szCs w:val="32"/>
          <w:highlight w:val="none"/>
        </w:rPr>
      </w:pPr>
    </w:p>
    <w:p>
      <w:pPr>
        <w:pStyle w:val="2"/>
        <w:rPr>
          <w:rFonts w:hint="eastAsia"/>
        </w:rPr>
      </w:pPr>
    </w:p>
    <w:p>
      <w:pPr>
        <w:numPr>
          <w:ilvl w:val="0"/>
          <w:numId w:val="4"/>
        </w:numPr>
        <w:adjustRightInd w:val="0"/>
        <w:snapToGrid w:val="0"/>
        <w:spacing w:beforeLines="50" w:afterLines="50" w:line="500" w:lineRule="exact"/>
        <w:ind w:left="643" w:hanging="643" w:hangingChars="200"/>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对供应商的资格要求</w:t>
      </w:r>
      <w:r>
        <w:rPr>
          <w:rFonts w:hint="eastAsia" w:asciiTheme="minorEastAsia" w:hAnsiTheme="minorEastAsia"/>
          <w:b/>
          <w:color w:val="auto"/>
          <w:sz w:val="32"/>
          <w:szCs w:val="32"/>
          <w:highlight w:val="none"/>
          <w:lang w:val="en-US" w:eastAsia="zh-CN"/>
        </w:rPr>
        <w:t>.</w:t>
      </w:r>
    </w:p>
    <w:p>
      <w:pPr>
        <w:pStyle w:val="2"/>
        <w:numPr>
          <w:ilvl w:val="-1"/>
          <w:numId w:val="0"/>
        </w:numPr>
        <w:ind w:firstLine="0"/>
        <w:rPr>
          <w:rFonts w:hint="default" w:eastAsia="等线"/>
          <w:color w:val="auto"/>
          <w:highlight w:val="none"/>
          <w:lang w:val="en-US" w:eastAsia="zh-CN"/>
        </w:rPr>
      </w:pPr>
      <w:r>
        <w:rPr>
          <w:rFonts w:hint="eastAsia"/>
          <w:color w:val="auto"/>
          <w:highlight w:val="none"/>
          <w:lang w:val="en-US" w:eastAsia="zh-CN"/>
        </w:rPr>
        <w:t>详见第一章采购公告（采购邀请书）3.供应商资格要求</w:t>
      </w:r>
    </w:p>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hint="eastAsia" w:asciiTheme="minorEastAsia" w:hAnsiTheme="minorEastAsia"/>
          <w:b/>
          <w:color w:val="auto"/>
          <w:sz w:val="32"/>
          <w:szCs w:val="32"/>
          <w:highlight w:val="none"/>
          <w:lang w:val="en-US" w:eastAsia="zh-CN"/>
        </w:rPr>
        <w:t xml:space="preserve">2.  </w:t>
      </w:r>
      <w:r>
        <w:rPr>
          <w:rFonts w:hint="eastAsia" w:asciiTheme="minorEastAsia" w:hAnsiTheme="minorEastAsia"/>
          <w:b/>
          <w:color w:val="auto"/>
          <w:sz w:val="32"/>
          <w:szCs w:val="32"/>
          <w:highlight w:val="none"/>
        </w:rPr>
        <w:t>本次交易一般规则.</w:t>
      </w:r>
      <w:r>
        <w:rPr>
          <w:rFonts w:ascii="仿宋_GB2312" w:eastAsia="仿宋_GB2312"/>
          <w:color w:val="auto"/>
          <w:sz w:val="28"/>
          <w:szCs w:val="28"/>
          <w:highlight w:val="none"/>
        </w:rPr>
        <w:t>表</w:t>
      </w:r>
      <w:r>
        <w:rPr>
          <w:rFonts w:hint="eastAsia" w:ascii="仿宋_GB2312" w:eastAsia="仿宋_GB2312"/>
          <w:color w:val="auto"/>
          <w:sz w:val="28"/>
          <w:szCs w:val="28"/>
          <w:highlight w:val="none"/>
          <w:lang w:val="en-US" w:eastAsia="zh-CN"/>
        </w:rPr>
        <w:t>1.1</w:t>
      </w:r>
    </w:p>
    <w:tbl>
      <w:tblPr>
        <w:tblStyle w:val="25"/>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阶段</w:t>
            </w:r>
          </w:p>
        </w:tc>
        <w:tc>
          <w:tcPr>
            <w:tcW w:w="936"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条款</w:t>
            </w:r>
          </w:p>
        </w:tc>
        <w:tc>
          <w:tcPr>
            <w:tcW w:w="1263"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项目</w:t>
            </w:r>
          </w:p>
        </w:tc>
        <w:tc>
          <w:tcPr>
            <w:tcW w:w="5979" w:type="dxa"/>
            <w:tcBorders>
              <w:righ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rFonts w:ascii="仿宋_GB2312" w:eastAsia="仿宋_GB2312"/>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采购文件组成</w:t>
            </w:r>
          </w:p>
        </w:tc>
        <w:tc>
          <w:tcPr>
            <w:tcW w:w="5979" w:type="dxa"/>
            <w:tcBorders>
              <w:right w:val="nil"/>
            </w:tcBorders>
            <w:vAlign w:val="center"/>
          </w:tcPr>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采购公告（采购邀请书）</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（2）供应商须知</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（3）采购方式</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w:t>
            </w:r>
            <w:r>
              <w:rPr>
                <w:rFonts w:ascii="仿宋_GB2312" w:eastAsia="仿宋_GB2312"/>
                <w:color w:val="auto"/>
                <w:sz w:val="24"/>
                <w:szCs w:val="24"/>
                <w:highlight w:val="none"/>
              </w:rPr>
              <w:t>4</w:t>
            </w:r>
            <w:r>
              <w:rPr>
                <w:rFonts w:hint="eastAsia" w:ascii="仿宋_GB2312" w:eastAsia="仿宋_GB2312"/>
                <w:color w:val="auto"/>
                <w:sz w:val="24"/>
                <w:szCs w:val="24"/>
                <w:highlight w:val="none"/>
              </w:rPr>
              <w:t>）评审办法</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（5）采购需求</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（6）合同草案</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（7）响应文件</w:t>
            </w:r>
          </w:p>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（8）在采购过程中由采购单位发出的修正和补充文件等</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采购文件的澄清和修改</w:t>
            </w:r>
          </w:p>
        </w:tc>
        <w:tc>
          <w:tcPr>
            <w:tcW w:w="5979" w:type="dxa"/>
            <w:tcBorders>
              <w:right w:val="nil"/>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1</w:t>
            </w:r>
            <w:r>
              <w:rPr>
                <w:rFonts w:hint="eastAsia" w:ascii="仿宋_GB2312" w:eastAsia="仿宋_GB2312"/>
                <w:color w:val="auto"/>
                <w:sz w:val="24"/>
                <w:szCs w:val="24"/>
                <w:highlight w:val="none"/>
              </w:rPr>
              <w:t>.2.1供应商对采购文件有疑问的，应当</w:t>
            </w:r>
            <w:r>
              <w:rPr>
                <w:rFonts w:ascii="仿宋_GB2312" w:eastAsia="仿宋_GB2312"/>
                <w:color w:val="auto"/>
                <w:sz w:val="24"/>
                <w:szCs w:val="24"/>
                <w:highlight w:val="none"/>
              </w:rPr>
              <w:t>在提交</w:t>
            </w:r>
            <w:r>
              <w:rPr>
                <w:rFonts w:hint="eastAsia" w:ascii="仿宋_GB2312" w:eastAsia="仿宋_GB2312"/>
                <w:color w:val="auto"/>
                <w:sz w:val="24"/>
                <w:szCs w:val="24"/>
                <w:highlight w:val="none"/>
              </w:rPr>
              <w:t>响应文件截止之日</w:t>
            </w:r>
            <w:r>
              <w:rPr>
                <w:rFonts w:hint="eastAsia" w:ascii="仿宋_GB2312" w:eastAsia="仿宋_GB2312"/>
                <w:color w:val="auto"/>
                <w:sz w:val="24"/>
                <w:szCs w:val="24"/>
                <w:highlight w:val="none"/>
                <w:u w:val="single"/>
                <w:lang w:val="en-US" w:eastAsia="zh-CN"/>
              </w:rPr>
              <w:t>2</w:t>
            </w:r>
            <w:r>
              <w:rPr>
                <w:rFonts w:ascii="仿宋_GB2312" w:eastAsia="仿宋_GB2312"/>
                <w:color w:val="auto"/>
                <w:sz w:val="24"/>
                <w:szCs w:val="24"/>
                <w:highlight w:val="none"/>
              </w:rPr>
              <w:t>个工作日前</w:t>
            </w:r>
            <w:r>
              <w:rPr>
                <w:rFonts w:hint="eastAsia" w:ascii="仿宋_GB2312" w:eastAsia="仿宋_GB2312"/>
                <w:color w:val="auto"/>
                <w:sz w:val="24"/>
                <w:szCs w:val="24"/>
                <w:highlight w:val="none"/>
              </w:rPr>
              <w:t>，以书面形式提出。</w:t>
            </w:r>
          </w:p>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.3</w:t>
            </w:r>
          </w:p>
          <w:p>
            <w:pPr>
              <w:adjustRightInd w:val="0"/>
              <w:snapToGrid w:val="0"/>
              <w:jc w:val="center"/>
              <w:rPr>
                <w:color w:val="auto"/>
                <w:sz w:val="24"/>
                <w:szCs w:val="24"/>
                <w:highlight w:val="none"/>
              </w:rPr>
            </w:pPr>
          </w:p>
        </w:tc>
        <w:tc>
          <w:tcPr>
            <w:tcW w:w="1263" w:type="dxa"/>
            <w:vAlign w:val="center"/>
          </w:tcPr>
          <w:p>
            <w:pPr>
              <w:adjustRightInd w:val="0"/>
              <w:snapToGrid w:val="0"/>
              <w:jc w:val="left"/>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踏勘现场</w:t>
            </w:r>
          </w:p>
        </w:tc>
        <w:tc>
          <w:tcPr>
            <w:tcW w:w="5979" w:type="dxa"/>
            <w:tcBorders>
              <w:right w:val="nil"/>
            </w:tcBorders>
            <w:vAlign w:val="center"/>
          </w:tcPr>
          <w:p>
            <w:pPr>
              <w:adjustRightInd w:val="0"/>
              <w:snapToGrid w:val="0"/>
              <w:ind w:left="0" w:leftChars="0" w:firstLine="0" w:firstLineChars="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详见采购公告（采购邀请书）5.踏勘现场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tcBorders>
              <w:left w:val="nil"/>
            </w:tcBorders>
            <w:vAlign w:val="center"/>
          </w:tcPr>
          <w:p>
            <w:pPr>
              <w:jc w:val="center"/>
              <w:rPr>
                <w:rFonts w:ascii="Calibri" w:hAnsi="Calibri" w:eastAsia="宋体" w:cs="Times New Roman"/>
                <w:b/>
                <w:bCs/>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分包</w:t>
            </w:r>
          </w:p>
        </w:tc>
        <w:tc>
          <w:tcPr>
            <w:tcW w:w="5979" w:type="dxa"/>
            <w:tcBorders>
              <w:right w:val="nil"/>
            </w:tcBorders>
            <w:vAlign w:val="center"/>
          </w:tcPr>
          <w:p>
            <w:pPr>
              <w:adjustRightInd w:val="0"/>
              <w:snapToGrid w:val="0"/>
              <w:ind w:firstLine="0" w:firstLineChars="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本项目</w:t>
            </w:r>
            <w:r>
              <w:rPr>
                <w:rFonts w:hint="eastAsia" w:ascii="仿宋_GB2312" w:eastAsia="仿宋_GB2312"/>
                <w:color w:val="auto"/>
                <w:sz w:val="24"/>
                <w:szCs w:val="24"/>
                <w:highlight w:val="none"/>
              </w:rPr>
              <w:t>不允许</w:t>
            </w:r>
            <w:r>
              <w:rPr>
                <w:rFonts w:hint="eastAsia" w:ascii="仿宋_GB2312" w:eastAsia="仿宋_GB2312"/>
                <w:color w:val="auto"/>
                <w:sz w:val="24"/>
                <w:szCs w:val="24"/>
                <w:highlight w:val="none"/>
                <w:lang w:val="en-US" w:eastAsia="zh-CN"/>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响应截止时间</w:t>
            </w:r>
          </w:p>
        </w:tc>
        <w:tc>
          <w:tcPr>
            <w:tcW w:w="5979" w:type="dxa"/>
            <w:tcBorders>
              <w:right w:val="nil"/>
            </w:tcBorders>
            <w:vAlign w:val="center"/>
          </w:tcPr>
          <w:p>
            <w:pPr>
              <w:adjustRightInd w:val="0"/>
              <w:snapToGrid w:val="0"/>
              <w:jc w:val="left"/>
              <w:rPr>
                <w:rFonts w:hint="eastAsia" w:ascii="仿宋_GB2312" w:eastAsia="仿宋_GB2312" w:hAnsiTheme="minorEastAsia"/>
                <w:color w:val="auto"/>
                <w:sz w:val="24"/>
                <w:szCs w:val="24"/>
                <w:highlight w:val="none"/>
                <w:u w:val="none"/>
                <w:lang w:eastAsia="zh-CN"/>
              </w:rPr>
            </w:pPr>
            <w:r>
              <w:rPr>
                <w:rFonts w:hint="eastAsia" w:ascii="仿宋_GB2312" w:eastAsia="仿宋_GB2312" w:hAnsiTheme="minorEastAsia"/>
                <w:color w:val="auto"/>
                <w:sz w:val="24"/>
                <w:szCs w:val="24"/>
                <w:highlight w:val="none"/>
                <w:lang w:val="en-US" w:eastAsia="zh-CN"/>
              </w:rPr>
              <w:t>详</w:t>
            </w:r>
            <w:r>
              <w:rPr>
                <w:rFonts w:hint="eastAsia" w:ascii="仿宋_GB2312" w:eastAsia="仿宋_GB2312" w:hAnsiTheme="minorEastAsia"/>
                <w:color w:val="auto"/>
                <w:sz w:val="24"/>
                <w:szCs w:val="24"/>
                <w:highlight w:val="none"/>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.6</w:t>
            </w:r>
          </w:p>
        </w:tc>
        <w:tc>
          <w:tcPr>
            <w:tcW w:w="1263" w:type="dxa"/>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最高限价</w:t>
            </w:r>
            <w:r>
              <w:rPr>
                <w:rFonts w:hint="eastAsia" w:ascii="仿宋_GB2312" w:eastAsia="仿宋_GB2312"/>
                <w:color w:val="auto"/>
                <w:sz w:val="24"/>
                <w:szCs w:val="24"/>
                <w:highlight w:val="none"/>
                <w:lang w:val="en-US" w:eastAsia="zh-CN"/>
              </w:rPr>
              <w:t>及低价说明</w:t>
            </w:r>
          </w:p>
        </w:tc>
        <w:tc>
          <w:tcPr>
            <w:tcW w:w="5979" w:type="dxa"/>
            <w:tcBorders>
              <w:right w:val="nil"/>
            </w:tcBorders>
            <w:vAlign w:val="center"/>
          </w:tcPr>
          <w:p>
            <w:pPr>
              <w:adjustRightInd w:val="0"/>
              <w:snapToGrid w:val="0"/>
              <w:ind w:firstLine="0" w:firstLineChars="0"/>
              <w:jc w:val="left"/>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详见采购公告（采购邀请书）；若报价低于本项目最高限价的60%，必须说明报价理由。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.7</w:t>
            </w:r>
          </w:p>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响应文件有效期</w:t>
            </w:r>
          </w:p>
        </w:tc>
        <w:tc>
          <w:tcPr>
            <w:tcW w:w="5979" w:type="dxa"/>
            <w:tcBorders>
              <w:right w:val="nil"/>
            </w:tcBorders>
            <w:vAlign w:val="center"/>
          </w:tcPr>
          <w:p>
            <w:pPr>
              <w:adjustRightInd w:val="0"/>
              <w:snapToGrid w:val="0"/>
              <w:ind w:firstLine="480" w:firstLineChars="20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90个</w:t>
            </w:r>
            <w:r>
              <w:rPr>
                <w:rFonts w:hint="eastAsia" w:ascii="仿宋_GB2312" w:eastAsia="仿宋_GB2312" w:hAnsiTheme="minorEastAsia"/>
                <w:color w:val="auto"/>
                <w:sz w:val="24"/>
                <w:szCs w:val="24"/>
                <w:highlight w:val="none"/>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adjustRightInd w:val="0"/>
              <w:snapToGrid w:val="0"/>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响应文件份数</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纸质文件正本1份，副本 </w:t>
            </w:r>
            <w:r>
              <w:rPr>
                <w:rFonts w:hint="eastAsia" w:ascii="仿宋_GB2312" w:eastAsia="仿宋_GB2312" w:hAnsiTheme="minorEastAsia"/>
                <w:color w:val="auto"/>
                <w:sz w:val="24"/>
                <w:szCs w:val="24"/>
                <w:highlight w:val="none"/>
                <w:u w:val="single"/>
                <w:lang w:val="en-US" w:eastAsia="zh-CN"/>
              </w:rPr>
              <w:t>1</w:t>
            </w:r>
            <w:r>
              <w:rPr>
                <w:rFonts w:hint="eastAsia" w:ascii="仿宋_GB2312" w:eastAsia="仿宋_GB2312" w:hAnsiTheme="minorEastAsia"/>
                <w:color w:val="auto"/>
                <w:sz w:val="24"/>
                <w:szCs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响应文件的密封和标记</w:t>
            </w:r>
          </w:p>
        </w:tc>
        <w:tc>
          <w:tcPr>
            <w:tcW w:w="5979" w:type="dxa"/>
            <w:tcBorders>
              <w:right w:val="nil"/>
            </w:tcBorders>
            <w:vAlign w:val="center"/>
          </w:tcPr>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要求密封，响应文件应在密封处加盖公章，标注正本和副本，封皮应注明：</w:t>
            </w:r>
          </w:p>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项目名称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供应商地址</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联系人及其联系方式</w:t>
            </w:r>
            <w:r>
              <w:rPr>
                <w:rFonts w:hint="eastAsia" w:ascii="仿宋_GB2312" w:eastAsia="仿宋_GB2312" w:hAnsiTheme="minorEastAsia"/>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.10</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响应文件提交</w:t>
            </w:r>
          </w:p>
        </w:tc>
        <w:tc>
          <w:tcPr>
            <w:tcW w:w="5979" w:type="dxa"/>
            <w:tcBorders>
              <w:right w:val="nil"/>
            </w:tcBorders>
            <w:vAlign w:val="center"/>
          </w:tcPr>
          <w:p>
            <w:pPr>
              <w:adjustRightInd w:val="0"/>
              <w:snapToGrid w:val="0"/>
              <w:ind w:left="480" w:hanging="480" w:hangingChars="20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lang w:eastAsia="zh-CN"/>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文件开启及评审</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响应文件开启会议</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举行</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会议时间：同响应截止时间</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会议地点：</w:t>
            </w:r>
            <w:r>
              <w:rPr>
                <w:rFonts w:hint="eastAsia" w:ascii="仿宋_GB2312" w:eastAsia="仿宋_GB2312" w:hAnsiTheme="minorEastAsia"/>
                <w:color w:val="auto"/>
                <w:sz w:val="24"/>
                <w:szCs w:val="24"/>
                <w:highlight w:val="none"/>
                <w:lang w:val="en-US" w:eastAsia="zh-CN"/>
              </w:rPr>
              <w:t>采购公告（采购邀请书）</w:t>
            </w:r>
            <w:r>
              <w:rPr>
                <w:rFonts w:hint="eastAsia" w:ascii="仿宋_GB2312" w:eastAsia="仿宋_GB2312" w:hAnsiTheme="minorEastAsia"/>
                <w:color w:val="auto"/>
                <w:sz w:val="24"/>
                <w:szCs w:val="24"/>
                <w:highlight w:val="none"/>
              </w:rPr>
              <w:t>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开启文件前的密封检查</w:t>
            </w:r>
          </w:p>
        </w:tc>
        <w:tc>
          <w:tcPr>
            <w:tcW w:w="5979" w:type="dxa"/>
            <w:tcBorders>
              <w:right w:val="nil"/>
            </w:tcBorders>
            <w:vAlign w:val="center"/>
          </w:tcPr>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密封情况检查顺序：</w:t>
            </w:r>
            <w:r>
              <w:rPr>
                <w:rFonts w:hint="eastAsia" w:ascii="仿宋_GB2312" w:eastAsia="仿宋_GB2312" w:hAnsiTheme="minorEastAsia"/>
                <w:color w:val="auto"/>
                <w:sz w:val="24"/>
                <w:szCs w:val="24"/>
                <w:highlight w:val="none"/>
                <w:u w:val="none"/>
                <w:lang w:val="en-US" w:eastAsia="zh-CN"/>
              </w:rPr>
              <w:t>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.13</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评审小组</w:t>
            </w:r>
          </w:p>
        </w:tc>
        <w:tc>
          <w:tcPr>
            <w:tcW w:w="5979" w:type="dxa"/>
            <w:tcBorders>
              <w:right w:val="nil"/>
            </w:tcBorders>
            <w:vAlign w:val="center"/>
          </w:tcPr>
          <w:p>
            <w:pPr>
              <w:adjustRightInd w:val="0"/>
              <w:snapToGrid w:val="0"/>
              <w:ind w:firstLine="0" w:firstLineChars="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rPr>
              <w:t>评审小组构成：</w:t>
            </w:r>
            <w:r>
              <w:rPr>
                <w:rFonts w:hint="eastAsia" w:ascii="仿宋_GB2312" w:eastAsia="仿宋_GB2312" w:hAnsiTheme="minorEastAsia"/>
                <w:color w:val="auto"/>
                <w:sz w:val="24"/>
                <w:szCs w:val="24"/>
                <w:highlight w:val="none"/>
                <w:u w:val="single"/>
                <w:lang w:val="en-US" w:eastAsia="zh-CN"/>
              </w:rPr>
              <w:t>3</w:t>
            </w:r>
            <w:r>
              <w:rPr>
                <w:rFonts w:hint="eastAsia" w:ascii="仿宋_GB2312" w:eastAsia="仿宋_GB2312" w:hAnsiTheme="minorEastAsia"/>
                <w:color w:val="auto"/>
                <w:sz w:val="24"/>
                <w:szCs w:val="24"/>
                <w:highlight w:val="none"/>
              </w:rPr>
              <w:t>人</w:t>
            </w:r>
            <w:r>
              <w:rPr>
                <w:rFonts w:hint="eastAsia" w:ascii="仿宋_GB2312" w:eastAsia="仿宋_GB2312" w:hAnsiTheme="minorEastAsia"/>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成交候选人</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确定成交人</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.16</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.17</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签订合同</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履约担保</w:t>
            </w:r>
          </w:p>
        </w:tc>
        <w:tc>
          <w:tcPr>
            <w:tcW w:w="5979" w:type="dxa"/>
            <w:tcBorders>
              <w:right w:val="nil"/>
            </w:tcBorders>
            <w:vAlign w:val="center"/>
          </w:tcPr>
          <w:p>
            <w:pPr>
              <w:adjustRightInd w:val="0"/>
              <w:snapToGrid w:val="0"/>
              <w:ind w:firstLine="480" w:firstLineChars="20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其他</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需要补充的其他内容</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p>
        </w:tc>
      </w:tr>
    </w:tbl>
    <w:p>
      <w:pPr>
        <w:adjustRightInd w:val="0"/>
        <w:snapToGrid w:val="0"/>
        <w:spacing w:beforeLines="50" w:afterLines="50" w:line="560" w:lineRule="exact"/>
        <w:ind w:left="0" w:firstLine="0" w:firstLineChars="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2</w:t>
      </w:r>
      <w:r>
        <w:rPr>
          <w:rFonts w:hint="eastAsia" w:asciiTheme="minorEastAsia" w:hAnsiTheme="minorEastAsia"/>
          <w:b/>
          <w:color w:val="auto"/>
          <w:sz w:val="32"/>
          <w:szCs w:val="32"/>
          <w:highlight w:val="none"/>
        </w:rPr>
        <w:t>.若出现以下情况之一的，采购人将拒绝接收响应文件</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3</w:t>
      </w:r>
      <w:r>
        <w:rPr>
          <w:rFonts w:hint="eastAsia" w:asciiTheme="minorEastAsia" w:hAnsiTheme="minorEastAsia"/>
          <w:b/>
          <w:color w:val="auto"/>
          <w:sz w:val="32"/>
          <w:szCs w:val="32"/>
          <w:highlight w:val="none"/>
        </w:rPr>
        <w:t>.发生下列情况之一者，视为无效响应行为</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（1）响应文件未按规定签字、盖章的。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rPr>
        <w:t>）响应文件未按规定格式填写，或内容与采购文件严重背离的。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）响应文件有两个以上报价的（采购文件允许提交备选方案的除外）。</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）质量标准不符合采购文件要求的。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）服务期不符合采购文件要求的。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）报价超过最高限价的。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）供应商不符合国家或采购文件规定的资格条件。</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8</w:t>
      </w:r>
      <w:r>
        <w:rPr>
          <w:rFonts w:hint="eastAsia" w:ascii="仿宋_GB2312" w:eastAsia="仿宋_GB2312"/>
          <w:color w:val="auto"/>
          <w:sz w:val="28"/>
          <w:szCs w:val="28"/>
          <w:highlight w:val="none"/>
        </w:rPr>
        <w:t>）响应文件没有对采购文件的实质性要求和条件作出响应。</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9</w:t>
      </w:r>
      <w:r>
        <w:rPr>
          <w:rFonts w:hint="eastAsia" w:ascii="仿宋_GB2312" w:eastAsia="仿宋_GB2312"/>
          <w:color w:val="auto"/>
          <w:sz w:val="28"/>
          <w:szCs w:val="28"/>
          <w:highlight w:val="none"/>
        </w:rPr>
        <w:t>）其他不符合采购文件要求的情形。</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4</w:t>
      </w:r>
      <w:r>
        <w:rPr>
          <w:rFonts w:hint="eastAsia" w:asciiTheme="minorEastAsia" w:hAnsiTheme="minorEastAsia"/>
          <w:b/>
          <w:color w:val="auto"/>
          <w:sz w:val="32"/>
          <w:szCs w:val="32"/>
          <w:highlight w:val="none"/>
        </w:rPr>
        <w:t>.响应保证金</w:t>
      </w:r>
    </w:p>
    <w:p>
      <w:pPr>
        <w:adjustRightInd w:val="0"/>
        <w:snapToGrid w:val="0"/>
        <w:spacing w:line="560" w:lineRule="exact"/>
        <w:ind w:firstLine="555"/>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本项目无须递交响应保证金。</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5</w:t>
      </w:r>
      <w:r>
        <w:rPr>
          <w:rFonts w:hint="eastAsia" w:asciiTheme="minorEastAsia" w:hAnsiTheme="minorEastAsia"/>
          <w:b/>
          <w:color w:val="auto"/>
          <w:sz w:val="32"/>
          <w:szCs w:val="32"/>
          <w:highlight w:val="none"/>
        </w:rPr>
        <w:t>.响应文件要求</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.1响应文件包括下列内容</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1.响应函</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2.法定代表人证明或授权委托书</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3.资格审查资料</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4.拟投入本项目的项目负责人情况表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5.报价表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6.其他资料</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6</w:t>
      </w:r>
      <w:r>
        <w:rPr>
          <w:rFonts w:hint="eastAsia" w:asciiTheme="minorEastAsia" w:hAnsiTheme="minorEastAsia"/>
          <w:b/>
          <w:color w:val="auto"/>
          <w:sz w:val="32"/>
          <w:szCs w:val="32"/>
          <w:highlight w:val="none"/>
        </w:rPr>
        <w:t>.异议</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 供应商或其他利害关系人可以对</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rPr>
        <w:t>、采购文件、预成交结果提出异议。异议应在采购公告或文件规定的时间内、预成交结果公示期间通过规定的异议渠道提出，并递交异议函和必要的证明材料。异议函包括但不限于下列内容：</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（1）异议人名称、地址、邮政编码、联系人及联系电话；</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（2）具体、明确的异议事项、事实依据及与异议事项相关的请求。</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异议函应由异议人的法定代表人（单位负责人）或其授权的代理人签字并加盖单位章。</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.3 异议人与采购人对异议事项无法达成一致的，异议人可向采购人的监管部门进行反映。</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.本章附件</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ascii="仿宋_GB2312" w:eastAsia="仿宋_GB2312"/>
          <w:color w:val="auto"/>
          <w:sz w:val="28"/>
          <w:szCs w:val="28"/>
          <w:highlight w:val="none"/>
        </w:rPr>
        <w:t>附件</w:t>
      </w:r>
      <w:r>
        <w:rPr>
          <w:rFonts w:hint="eastAsia" w:ascii="仿宋_GB2312" w:eastAsia="仿宋_GB2312"/>
          <w:color w:val="auto"/>
          <w:sz w:val="28"/>
          <w:szCs w:val="28"/>
          <w:highlight w:val="none"/>
        </w:rPr>
        <w:t>1：响应文件开启表</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附件2：问题澄清通知</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附件3：问题的澄清</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附件4：成交通知书</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rPr>
        <w:t>1</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宋体" w:hAnsi="宋体" w:eastAsia="宋体" w:cs="宋体"/>
          <w:color w:val="auto"/>
          <w:sz w:val="32"/>
          <w:szCs w:val="32"/>
          <w:highlight w:val="none"/>
        </w:rPr>
        <w:t>响应文件开启表</w:t>
      </w:r>
    </w:p>
    <w:p>
      <w:pPr>
        <w:pStyle w:val="37"/>
        <w:rPr>
          <w:color w:val="auto"/>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开启时间：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分</w:t>
      </w:r>
    </w:p>
    <w:tbl>
      <w:tblPr>
        <w:tblStyle w:val="25"/>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2659"/>
        <w:gridCol w:w="1173"/>
        <w:gridCol w:w="1909"/>
        <w:gridCol w:w="1609"/>
        <w:gridCol w:w="66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4"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序号</w:t>
            </w:r>
          </w:p>
        </w:tc>
        <w:tc>
          <w:tcPr>
            <w:tcW w:w="265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w:t>
            </w:r>
          </w:p>
        </w:tc>
        <w:tc>
          <w:tcPr>
            <w:tcW w:w="1173"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密封情况</w:t>
            </w:r>
          </w:p>
        </w:tc>
        <w:tc>
          <w:tcPr>
            <w:tcW w:w="1909" w:type="dxa"/>
            <w:vMerge w:val="restart"/>
            <w:tcBorders>
              <w:top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ascii="仿宋_GB2312" w:eastAsia="仿宋_GB2312"/>
                <w:color w:val="auto"/>
                <w:sz w:val="24"/>
                <w:szCs w:val="24"/>
                <w:highlight w:val="none"/>
              </w:rPr>
              <w:t>报价</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元）</w:t>
            </w:r>
          </w:p>
        </w:tc>
        <w:tc>
          <w:tcPr>
            <w:tcW w:w="160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供应商代表签名</w:t>
            </w:r>
          </w:p>
        </w:tc>
        <w:tc>
          <w:tcPr>
            <w:tcW w:w="668"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54"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668"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bl>
    <w:p>
      <w:pPr>
        <w:adjustRightInd w:val="0"/>
        <w:snapToGrid w:val="0"/>
        <w:spacing w:line="600" w:lineRule="exact"/>
        <w:ind w:firstLine="555"/>
        <w:jc w:val="left"/>
        <w:rPr>
          <w:rFonts w:ascii="仿宋_GB2312" w:eastAsia="仿宋_GB2312" w:hAnsiTheme="majorEastAsia"/>
          <w:color w:val="auto"/>
          <w:sz w:val="28"/>
          <w:szCs w:val="28"/>
          <w:highlight w:val="none"/>
          <w:u w:val="single"/>
        </w:rPr>
      </w:pPr>
      <w:r>
        <w:rPr>
          <w:rFonts w:hint="eastAsia" w:ascii="仿宋_GB2312" w:eastAsia="仿宋_GB2312" w:hAnsiTheme="majorEastAsia"/>
          <w:color w:val="auto"/>
          <w:sz w:val="28"/>
          <w:szCs w:val="28"/>
          <w:highlight w:val="none"/>
        </w:rPr>
        <w:t>采购人代表</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记录人</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附件2</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问题澄清通知</w:t>
      </w:r>
    </w:p>
    <w:p>
      <w:pPr>
        <w:pStyle w:val="37"/>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（供应商名称）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（项目名称） </w:t>
      </w:r>
      <w:r>
        <w:rPr>
          <w:rFonts w:hint="eastAsia" w:ascii="仿宋_GB2312" w:eastAsia="仿宋_GB2312" w:hAnsiTheme="majorEastAsia"/>
          <w:color w:val="auto"/>
          <w:sz w:val="28"/>
          <w:szCs w:val="28"/>
          <w:highlight w:val="none"/>
        </w:rPr>
        <w:t>的评审小组，对你方的响应文件进行了仔细的审查，现需你方对下列问题以书面形式予以澄清：</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请将上述问题的澄清于</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时前递交至</w:t>
      </w:r>
      <w:r>
        <w:rPr>
          <w:rFonts w:hint="eastAsia" w:ascii="仿宋_GB2312" w:eastAsia="仿宋_GB2312" w:hAnsiTheme="majorEastAsia"/>
          <w:color w:val="auto"/>
          <w:sz w:val="28"/>
          <w:szCs w:val="28"/>
          <w:highlight w:val="none"/>
          <w:u w:val="single"/>
        </w:rPr>
        <w:t xml:space="preserve">  （详细地址）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（项目名称） </w:t>
      </w:r>
      <w:r>
        <w:rPr>
          <w:rFonts w:hint="eastAsia" w:ascii="仿宋_GB2312" w:eastAsia="仿宋_GB2312" w:hAnsiTheme="majorEastAsia"/>
          <w:color w:val="auto"/>
          <w:sz w:val="28"/>
          <w:szCs w:val="28"/>
          <w:highlight w:val="none"/>
        </w:rPr>
        <w:t>评审小组</w:t>
      </w: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评审小组：</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4779" w:firstLineChars="1700"/>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
        <w:rPr>
          <w:color w:val="auto"/>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附件3</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问题的澄清</w:t>
      </w:r>
    </w:p>
    <w:p>
      <w:pPr>
        <w:pStyle w:val="37"/>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u w:val="single"/>
        </w:rPr>
        <w:t>（项目名称）</w:t>
      </w:r>
      <w:r>
        <w:rPr>
          <w:rFonts w:hint="eastAsia" w:ascii="仿宋_GB2312" w:eastAsia="仿宋_GB2312" w:hAnsiTheme="majorEastAsia"/>
          <w:color w:val="auto"/>
          <w:sz w:val="28"/>
          <w:szCs w:val="28"/>
          <w:highlight w:val="none"/>
        </w:rPr>
        <w:t>评审小组：</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问题澄清通知（编号：</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）已收悉，现澄清如下：</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70"/>
        <w:jc w:val="left"/>
        <w:rPr>
          <w:rFonts w:asciiTheme="majorEastAsia" w:hAnsiTheme="majorEastAsia" w:eastAsiaTheme="majorEastAsia"/>
          <w:b/>
          <w:color w:val="auto"/>
          <w:sz w:val="28"/>
          <w:szCs w:val="28"/>
          <w:highlight w:val="none"/>
        </w:rPr>
      </w:pP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供应商：</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2520" w:firstLineChars="900"/>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rPr>
        <w:t>或</w:t>
      </w: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法定代表人或委托代理人：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 xml:space="preserve">附件4 </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成交通知书</w:t>
      </w:r>
    </w:p>
    <w:p>
      <w:pPr>
        <w:pStyle w:val="37"/>
        <w:rPr>
          <w:color w:val="auto"/>
          <w:highlight w:val="none"/>
        </w:rPr>
      </w:pPr>
    </w:p>
    <w:p>
      <w:pPr>
        <w:pStyle w:val="37"/>
        <w:ind w:firstLine="3465" w:firstLineChars="1650"/>
        <w:rPr>
          <w:rFonts w:ascii="仿宋_GB2312" w:eastAsia="仿宋_GB2312"/>
          <w:color w:val="auto"/>
          <w:highlight w:val="none"/>
        </w:rPr>
      </w:pPr>
      <w:r>
        <w:rPr>
          <w:rFonts w:hint="eastAsia" w:ascii="仿宋_GB2312" w:eastAsia="仿宋_GB2312"/>
          <w:color w:val="auto"/>
          <w:highlight w:val="none"/>
        </w:rPr>
        <w:t>（编号：</w:t>
      </w:r>
      <w:r>
        <w:rPr>
          <w:rFonts w:ascii="仿宋_GB2312" w:eastAsia="仿宋_GB2312"/>
          <w:color w:val="auto"/>
          <w:highlight w:val="none"/>
        </w:rPr>
        <w:t xml:space="preserve">        </w:t>
      </w:r>
      <w:r>
        <w:rPr>
          <w:rFonts w:hint="eastAsia" w:ascii="仿宋_GB2312" w:eastAsia="仿宋_GB2312"/>
          <w:color w:val="auto"/>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（成交供应商名称）    </w:t>
      </w:r>
      <w:r>
        <w:rPr>
          <w:rFonts w:hint="eastAsia" w:ascii="仿宋_GB2312" w:eastAsia="仿宋_GB2312" w:hAnsiTheme="majorEastAsia"/>
          <w:color w:val="auto"/>
          <w:sz w:val="28"/>
          <w:szCs w:val="28"/>
          <w:highlight w:val="none"/>
        </w:rPr>
        <w:t>：</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你方递交的响应文件已被我方接受，你方已被确认为</w:t>
      </w:r>
      <w:r>
        <w:rPr>
          <w:rFonts w:hint="eastAsia" w:ascii="仿宋_GB2312" w:eastAsia="仿宋_GB2312" w:hAnsiTheme="majorEastAsia"/>
          <w:color w:val="auto"/>
          <w:sz w:val="28"/>
          <w:szCs w:val="28"/>
          <w:highlight w:val="none"/>
          <w:u w:val="single"/>
          <w:lang w:val="en-US" w:eastAsia="zh-CN"/>
        </w:rPr>
        <w:t xml:space="preserve">      项目</w:t>
      </w:r>
      <w:r>
        <w:rPr>
          <w:rFonts w:hint="eastAsia" w:ascii="仿宋_GB2312" w:eastAsia="仿宋_GB2312" w:hAnsiTheme="majorEastAsia"/>
          <w:color w:val="auto"/>
          <w:sz w:val="28"/>
          <w:szCs w:val="28"/>
          <w:highlight w:val="none"/>
          <w:u w:val="none"/>
          <w:lang w:val="en-US" w:eastAsia="zh-CN"/>
        </w:rPr>
        <w:t>的</w:t>
      </w:r>
      <w:r>
        <w:rPr>
          <w:rFonts w:hint="eastAsia" w:ascii="仿宋_GB2312" w:eastAsia="仿宋_GB2312" w:hAnsiTheme="majorEastAsia"/>
          <w:color w:val="auto"/>
          <w:sz w:val="28"/>
          <w:szCs w:val="28"/>
          <w:highlight w:val="none"/>
        </w:rPr>
        <w:t>成交供应商。</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成交金额，大写：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，小写：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jc w:val="left"/>
        <w:rPr>
          <w:rFonts w:hint="eastAsia" w:ascii="仿宋_GB2312" w:eastAsia="仿宋_GB2312" w:hAnsiTheme="majorEastAsia"/>
          <w:color w:val="auto"/>
          <w:sz w:val="28"/>
          <w:szCs w:val="28"/>
          <w:highlight w:val="none"/>
          <w:lang w:eastAsia="zh-CN"/>
        </w:rPr>
      </w:pPr>
      <w:r>
        <w:rPr>
          <w:rFonts w:hint="eastAsia" w:ascii="仿宋_GB2312" w:eastAsia="仿宋_GB2312" w:hAnsiTheme="majorEastAsia"/>
          <w:color w:val="auto"/>
          <w:sz w:val="28"/>
          <w:szCs w:val="28"/>
          <w:highlight w:val="none"/>
        </w:rPr>
        <w:t>请你方在接到本通知书后的</w:t>
      </w:r>
      <w:r>
        <w:rPr>
          <w:rFonts w:hint="eastAsia" w:ascii="仿宋_GB2312" w:eastAsia="仿宋_GB2312" w:hAnsiTheme="majorEastAsia"/>
          <w:color w:val="auto"/>
          <w:sz w:val="28"/>
          <w:szCs w:val="28"/>
          <w:highlight w:val="none"/>
          <w:u w:val="single"/>
          <w:lang w:val="en-US" w:eastAsia="zh-CN"/>
        </w:rPr>
        <w:t>30</w:t>
      </w:r>
      <w:r>
        <w:rPr>
          <w:rFonts w:hint="eastAsia" w:ascii="仿宋_GB2312" w:eastAsia="仿宋_GB2312" w:hAnsiTheme="majorEastAsia"/>
          <w:color w:val="auto"/>
          <w:sz w:val="28"/>
          <w:szCs w:val="28"/>
          <w:highlight w:val="none"/>
        </w:rPr>
        <w:t>日内与我方签订采购合同，逾期视为自动放弃成交资格</w:t>
      </w:r>
      <w:r>
        <w:rPr>
          <w:rFonts w:hint="eastAsia" w:ascii="仿宋_GB2312" w:eastAsia="仿宋_GB2312" w:hAnsiTheme="majorEastAsia"/>
          <w:color w:val="auto"/>
          <w:sz w:val="28"/>
          <w:szCs w:val="28"/>
          <w:highlight w:val="none"/>
          <w:lang w:eastAsia="zh-CN"/>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5"/>
        <w:rPr>
          <w:rFonts w:hint="eastAsia" w:ascii="宋体" w:hAnsi="宋体" w:eastAsia="宋体" w:cs="宋体"/>
          <w:color w:val="auto"/>
          <w:kern w:val="44"/>
          <w:sz w:val="44"/>
          <w:szCs w:val="44"/>
          <w:highlight w:val="none"/>
        </w:rPr>
      </w:pPr>
      <w:bookmarkStart w:id="26" w:name="_Toc21455"/>
      <w:bookmarkStart w:id="27" w:name="_Toc2867"/>
      <w:r>
        <w:rPr>
          <w:rFonts w:hint="eastAsia" w:ascii="宋体" w:hAnsi="宋体" w:eastAsia="宋体" w:cs="宋体"/>
          <w:color w:val="auto"/>
          <w:kern w:val="44"/>
          <w:sz w:val="44"/>
          <w:szCs w:val="44"/>
          <w:highlight w:val="none"/>
        </w:rPr>
        <mc:AlternateContent>
          <mc:Choice Requires="wps">
            <w:drawing>
              <wp:anchor distT="0" distB="0" distL="114300" distR="114300" simplePos="0" relativeHeight="251663360" behindDoc="0" locked="0" layoutInCell="1" allowOverlap="1">
                <wp:simplePos x="0" y="0"/>
                <wp:positionH relativeFrom="column">
                  <wp:posOffset>2318385</wp:posOffset>
                </wp:positionH>
                <wp:positionV relativeFrom="paragraph">
                  <wp:posOffset>587375</wp:posOffset>
                </wp:positionV>
                <wp:extent cx="958850" cy="0"/>
                <wp:effectExtent l="0" t="0" r="0" b="0"/>
                <wp:wrapNone/>
                <wp:docPr id="8" name="自选图形 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 o:spid="_x0000_s1026" o:spt="32" type="#_x0000_t32" style="position:absolute;left:0pt;margin-left:182.55pt;margin-top:46.25pt;height:0pt;width:75.5pt;z-index:251663360;mso-width-relative:page;mso-height-relative:page;" filled="f" stroked="t" coordsize="21600,21600" o:gfxdata="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SWEU7dYAAAAJAQAADwAAAAAAAAABACAA&#10;AAAiAAAAZHJzL2Rvd25yZXYueG1sUEsBAhQAFAAAAAgAh07iQJJkHmnWAQAAlAMAAA4AAAAAAAAA&#10;AQAgAAAAJQEAAGRycy9lMm9Eb2MueG1sUEsFBgAAAAAGAAYAWQEAAG0FAAAAAA==&#10;">
                <v:fill on="f" focussize="0,0"/>
                <v:stroke color="#000000" joinstyle="round"/>
                <v:imagedata o:title=""/>
                <o:lock v:ext="edit" aspectratio="f"/>
              </v:shape>
            </w:pict>
          </mc:Fallback>
        </mc:AlternateContent>
      </w:r>
      <w:r>
        <w:rPr>
          <w:rFonts w:hint="eastAsia" w:ascii="宋体" w:hAnsi="宋体" w:eastAsia="宋体" w:cs="宋体"/>
          <w:color w:val="auto"/>
          <w:kern w:val="44"/>
          <w:sz w:val="44"/>
          <w:szCs w:val="44"/>
          <w:highlight w:val="none"/>
        </w:rPr>
        <mc:AlternateContent>
          <mc:Choice Requires="wps">
            <w:drawing>
              <wp:anchor distT="0" distB="0" distL="114300" distR="114300" simplePos="0" relativeHeight="251662336" behindDoc="0" locked="0" layoutInCell="1" allowOverlap="1">
                <wp:simplePos x="0" y="0"/>
                <wp:positionH relativeFrom="column">
                  <wp:posOffset>2325370</wp:posOffset>
                </wp:positionH>
                <wp:positionV relativeFrom="paragraph">
                  <wp:posOffset>137795</wp:posOffset>
                </wp:positionV>
                <wp:extent cx="958850" cy="0"/>
                <wp:effectExtent l="0" t="0" r="0" b="0"/>
                <wp:wrapNone/>
                <wp:docPr id="7" name="自选图形 3"/>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183.1pt;margin-top:10.85pt;height:0pt;width:75.5pt;z-index:251662336;mso-width-relative:page;mso-height-relative:page;" filled="f" stroked="t" coordsize="21600,21600" o:gfxdata="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wLQ/K1gAAAAkBAAAPAAAAAAAAAAEA&#10;IAAAACIAAABkcnMvZG93bnJldi54bWxQSwECFAAUAAAACACHTuJAxVHhSNgBAACUAwAADgAAAAAA&#10;AAABACAAAAAlAQAAZHJzL2Uyb0RvYy54bWxQSwUGAAAAAAYABgBZAQAAbwUAAAAA&#10;">
                <v:fill on="f" focussize="0,0"/>
                <v:stroke color="#000000" joinstyle="round"/>
                <v:imagedata o:title=""/>
                <o:lock v:ext="edit" aspectratio="f"/>
              </v:shape>
            </w:pict>
          </mc:Fallback>
        </mc:AlternateContent>
      </w:r>
      <w:r>
        <w:rPr>
          <w:rFonts w:hint="eastAsia" w:ascii="宋体" w:hAnsi="宋体" w:eastAsia="宋体" w:cs="宋体"/>
          <w:color w:val="auto"/>
          <w:kern w:val="44"/>
          <w:sz w:val="44"/>
          <w:szCs w:val="44"/>
          <w:highlight w:val="none"/>
        </w:rPr>
        <w:t>第</w:t>
      </w:r>
      <w:r>
        <w:rPr>
          <w:rFonts w:hint="eastAsia" w:ascii="宋体" w:hAnsi="宋体" w:eastAsia="宋体" w:cs="宋体"/>
          <w:color w:val="auto"/>
          <w:kern w:val="44"/>
          <w:sz w:val="44"/>
          <w:szCs w:val="44"/>
          <w:highlight w:val="none"/>
          <w:lang w:eastAsia="zh-CN"/>
        </w:rPr>
        <w:t>三</w:t>
      </w:r>
      <w:r>
        <w:rPr>
          <w:rFonts w:hint="eastAsia" w:ascii="宋体" w:hAnsi="宋体" w:eastAsia="宋体" w:cs="宋体"/>
          <w:color w:val="auto"/>
          <w:kern w:val="44"/>
          <w:sz w:val="44"/>
          <w:szCs w:val="44"/>
          <w:highlight w:val="none"/>
        </w:rPr>
        <w:t>章</w:t>
      </w:r>
      <w:bookmarkEnd w:id="26"/>
      <w:bookmarkEnd w:id="27"/>
    </w:p>
    <w:p>
      <w:pPr>
        <w:pStyle w:val="37"/>
        <w:rPr>
          <w:rFonts w:hint="eastAsia" w:ascii="宋体" w:hAnsi="宋体" w:eastAsia="宋体" w:cs="宋体"/>
          <w:color w:val="auto"/>
          <w:highlight w:val="none"/>
        </w:rPr>
      </w:pPr>
    </w:p>
    <w:p>
      <w:pPr>
        <w:pStyle w:val="5"/>
        <w:rPr>
          <w:rFonts w:hint="eastAsia" w:ascii="宋体" w:hAnsi="宋体" w:eastAsia="宋体" w:cs="宋体"/>
          <w:color w:val="auto"/>
          <w:highlight w:val="none"/>
        </w:rPr>
      </w:pPr>
      <w:bookmarkStart w:id="28" w:name="_Toc7040"/>
      <w:bookmarkStart w:id="29" w:name="_Toc88209934"/>
      <w:bookmarkStart w:id="30" w:name="_Toc7303"/>
      <w:bookmarkStart w:id="31" w:name="_Toc87616371"/>
      <w:r>
        <w:rPr>
          <w:rFonts w:hint="eastAsia" w:ascii="宋体" w:hAnsi="宋体" w:eastAsia="宋体" w:cs="宋体"/>
          <w:color w:val="auto"/>
          <w:highlight w:val="none"/>
        </w:rPr>
        <w:t>采购方法</w:t>
      </w:r>
      <w:bookmarkEnd w:id="28"/>
      <w:bookmarkEnd w:id="29"/>
      <w:bookmarkEnd w:id="30"/>
      <w:bookmarkEnd w:id="31"/>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ind w:firstLine="0"/>
        <w:rPr>
          <w:rFonts w:ascii="方正小标宋简体" w:eastAsia="方正小标宋简体"/>
          <w:color w:val="auto"/>
          <w:sz w:val="44"/>
          <w:szCs w:val="44"/>
          <w:highlight w:val="none"/>
        </w:rPr>
      </w:pPr>
    </w:p>
    <w:p>
      <w:pPr>
        <w:pStyle w:val="5"/>
        <w:rPr>
          <w:rFonts w:hint="eastAsia" w:ascii="宋体" w:hAnsi="宋体" w:eastAsia="宋体" w:cs="宋体"/>
          <w:color w:val="auto"/>
          <w:highlight w:val="none"/>
        </w:rPr>
      </w:pPr>
      <w:bookmarkStart w:id="32" w:name="_Toc3789"/>
      <w:bookmarkStart w:id="33" w:name="_Toc24895"/>
      <w:r>
        <w:rPr>
          <w:rFonts w:hint="eastAsia" w:ascii="宋体" w:hAnsi="宋体" w:eastAsia="宋体" w:cs="宋体"/>
          <w:color w:val="auto"/>
          <w:highlight w:val="none"/>
        </w:rPr>
        <w:t>询比采购</w:t>
      </w:r>
      <w:bookmarkEnd w:id="32"/>
      <w:bookmarkEnd w:id="33"/>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询比</w:t>
      </w:r>
    </w:p>
    <w:tbl>
      <w:tblPr>
        <w:tblStyle w:val="25"/>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op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1.采购准备</w:t>
            </w:r>
          </w:p>
        </w:tc>
        <w:tc>
          <w:tcPr>
            <w:tcW w:w="7938" w:type="dxa"/>
            <w:tcBorders>
              <w:top w:val="single" w:color="auto" w:sz="4" w:space="0"/>
            </w:tcBorders>
            <w:vAlign w:val="center"/>
          </w:tcPr>
          <w:p>
            <w:pPr>
              <w:adjustRightInd w:val="0"/>
              <w:snapToGrid w:val="0"/>
              <w:ind w:left="0" w:firstLine="0"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 </w:t>
            </w:r>
            <w:r>
              <w:rPr>
                <w:rFonts w:hint="eastAsia" w:ascii="仿宋_GB2312" w:eastAsia="仿宋_GB2312" w:hAnsiTheme="minorEastAsia"/>
                <w:color w:val="auto"/>
                <w:sz w:val="24"/>
                <w:szCs w:val="24"/>
                <w:highlight w:val="none"/>
                <w:u w:val="single"/>
                <w:lang w:val="en-US" w:eastAsia="zh-CN"/>
              </w:rPr>
              <w:t xml:space="preserve"> </w:t>
            </w: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 xml:space="preserve"> 在采购文件约定的时间、地点，供应商应向采购人提交响应文件；响应文件按照采购文件第二章供应商须知2.</w:t>
            </w:r>
            <w:r>
              <w:rPr>
                <w:rFonts w:hint="eastAsia" w:ascii="仿宋_GB2312" w:eastAsia="仿宋_GB2312" w:hAnsiTheme="minorEastAsia"/>
                <w:color w:val="auto"/>
                <w:sz w:val="24"/>
                <w:szCs w:val="24"/>
                <w:highlight w:val="none"/>
                <w:lang w:val="en-US" w:eastAsia="zh-CN"/>
              </w:rPr>
              <w:t>9</w:t>
            </w:r>
            <w:r>
              <w:rPr>
                <w:rFonts w:hint="eastAsia" w:ascii="仿宋_GB2312" w:eastAsia="仿宋_GB2312" w:hAnsiTheme="minorEastAsia"/>
                <w:color w:val="auto"/>
                <w:sz w:val="24"/>
                <w:szCs w:val="24"/>
                <w:highlight w:val="none"/>
              </w:rPr>
              <w:t>的要求密封，按照2.</w:t>
            </w:r>
            <w:r>
              <w:rPr>
                <w:rFonts w:hint="eastAsia" w:ascii="仿宋_GB2312" w:eastAsia="仿宋_GB2312" w:hAnsiTheme="minorEastAsia"/>
                <w:color w:val="auto"/>
                <w:sz w:val="24"/>
                <w:szCs w:val="24"/>
                <w:highlight w:val="none"/>
                <w:lang w:val="en-US" w:eastAsia="zh-CN"/>
              </w:rPr>
              <w:t>10</w:t>
            </w:r>
            <w:r>
              <w:rPr>
                <w:rFonts w:hint="eastAsia" w:ascii="仿宋_GB2312" w:eastAsia="仿宋_GB2312" w:hAnsiTheme="minorEastAsia"/>
                <w:color w:val="auto"/>
                <w:sz w:val="24"/>
                <w:szCs w:val="24"/>
                <w:highlight w:val="none"/>
              </w:rPr>
              <w:t>的规定提交</w:t>
            </w:r>
          </w:p>
          <w:p>
            <w:pPr>
              <w:adjustRightInd w:val="0"/>
              <w:snapToGrid w:val="0"/>
              <w:ind w:left="480" w:hanging="480" w:hangingChars="20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2</w:t>
            </w:r>
            <w:r>
              <w:rPr>
                <w:rFonts w:hint="eastAsia" w:ascii="仿宋_GB2312" w:eastAsia="仿宋_GB2312" w:hAnsiTheme="minorEastAsia"/>
                <w:color w:val="auto"/>
                <w:sz w:val="24"/>
                <w:szCs w:val="24"/>
                <w:highlight w:val="none"/>
              </w:rPr>
              <w:t xml:space="preserve"> 资格审查执行第二章供应商须知1</w:t>
            </w:r>
            <w:r>
              <w:rPr>
                <w:rFonts w:hint="eastAsia" w:ascii="仿宋_GB2312" w:eastAsia="仿宋_GB2312" w:hAnsiTheme="minorEastAsia"/>
                <w:color w:val="auto"/>
                <w:sz w:val="24"/>
                <w:szCs w:val="24"/>
                <w:highlight w:val="none"/>
                <w:lang w:val="en-US" w:eastAsia="zh-CN"/>
              </w:rPr>
              <w:t>.</w:t>
            </w:r>
            <w:r>
              <w:rPr>
                <w:rFonts w:hint="eastAsia" w:ascii="仿宋_GB2312" w:eastAsia="仿宋_GB2312" w:hAnsiTheme="minorEastAsia"/>
                <w:color w:val="auto"/>
                <w:sz w:val="24"/>
                <w:szCs w:val="24"/>
                <w:highlight w:val="none"/>
              </w:rPr>
              <w:t>对供应商的资格要求</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3</w:t>
            </w:r>
            <w:r>
              <w:rPr>
                <w:rFonts w:hint="eastAsia" w:ascii="仿宋_GB2312" w:eastAsia="仿宋_GB2312" w:hAnsiTheme="minorEastAsia"/>
                <w:color w:val="auto"/>
                <w:sz w:val="24"/>
                <w:szCs w:val="24"/>
                <w:highlight w:val="none"/>
              </w:rPr>
              <w:t xml:space="preserve"> 响应文件提交截止后，</w:t>
            </w:r>
            <w:r>
              <w:rPr>
                <w:rFonts w:hint="eastAsia" w:ascii="仿宋_GB2312" w:eastAsia="仿宋_GB2312" w:hAnsiTheme="minorEastAsia"/>
                <w:color w:val="auto"/>
                <w:sz w:val="24"/>
                <w:szCs w:val="24"/>
                <w:highlight w:val="none"/>
                <w:lang w:val="en-US" w:eastAsia="zh-CN"/>
              </w:rPr>
              <w:t>递交</w:t>
            </w:r>
            <w:r>
              <w:rPr>
                <w:rFonts w:hint="eastAsia" w:ascii="仿宋_GB2312" w:eastAsia="仿宋_GB2312" w:hAnsiTheme="minorEastAsia"/>
                <w:color w:val="auto"/>
                <w:sz w:val="24"/>
                <w:szCs w:val="24"/>
                <w:highlight w:val="none"/>
              </w:rPr>
              <w:t>响应</w:t>
            </w:r>
            <w:r>
              <w:rPr>
                <w:rFonts w:hint="eastAsia" w:ascii="仿宋_GB2312" w:eastAsia="仿宋_GB2312" w:hAnsiTheme="minorEastAsia"/>
                <w:color w:val="auto"/>
                <w:sz w:val="24"/>
                <w:szCs w:val="24"/>
                <w:highlight w:val="none"/>
                <w:lang w:val="en-US" w:eastAsia="zh-CN"/>
              </w:rPr>
              <w:t>文件</w:t>
            </w:r>
            <w:r>
              <w:rPr>
                <w:rFonts w:hint="eastAsia" w:ascii="仿宋_GB2312" w:eastAsia="仿宋_GB2312" w:hAnsiTheme="minorEastAsia"/>
                <w:color w:val="auto"/>
                <w:sz w:val="24"/>
                <w:szCs w:val="24"/>
                <w:highlight w:val="none"/>
              </w:rPr>
              <w:t>供应商不足3家的</w:t>
            </w:r>
            <w:r>
              <w:rPr>
                <w:rFonts w:hint="eastAsia" w:ascii="仿宋_GB2312" w:eastAsia="仿宋_GB2312" w:hAnsiTheme="minorEastAsia"/>
                <w:color w:val="auto"/>
                <w:sz w:val="24"/>
                <w:szCs w:val="24"/>
                <w:highlight w:val="none"/>
                <w:lang w:val="en-US" w:eastAsia="zh-CN"/>
              </w:rPr>
              <w:t>或有效响应文件供应商不足两家</w:t>
            </w:r>
            <w:r>
              <w:rPr>
                <w:rFonts w:hint="eastAsia" w:ascii="仿宋_GB2312" w:eastAsia="仿宋_GB2312" w:hAnsiTheme="minorEastAsia"/>
                <w:color w:val="auto"/>
                <w:sz w:val="24"/>
                <w:szCs w:val="24"/>
                <w:highlight w:val="none"/>
              </w:rPr>
              <w:t>，应分析原因并重新发出采购公告</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邀请书</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或</w:t>
            </w:r>
            <w:r>
              <w:rPr>
                <w:rFonts w:hint="eastAsia" w:ascii="仿宋_GB2312" w:eastAsia="仿宋_GB2312" w:hAnsiTheme="minorEastAsia"/>
                <w:color w:val="auto"/>
                <w:sz w:val="24"/>
                <w:szCs w:val="24"/>
                <w:highlight w:val="none"/>
                <w:lang w:eastAsia="zh-CN"/>
              </w:rPr>
              <w:t>采取</w:t>
            </w:r>
            <w:r>
              <w:rPr>
                <w:rFonts w:hint="eastAsia" w:ascii="仿宋_GB2312" w:eastAsia="仿宋_GB2312" w:hAnsiTheme="minorEastAsia"/>
                <w:color w:val="auto"/>
                <w:sz w:val="24"/>
                <w:szCs w:val="24"/>
                <w:highlight w:val="none"/>
                <w:lang w:val="en-US" w:eastAsia="zh-CN"/>
              </w:rPr>
              <w:t>其他采购方式</w:t>
            </w:r>
            <w:r>
              <w:rPr>
                <w:rFonts w:hint="eastAsia" w:ascii="仿宋_GB2312" w:eastAsia="仿宋_GB2312" w:hAnsiTheme="minorEastAsia"/>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2.询比规则</w:t>
            </w:r>
          </w:p>
        </w:tc>
        <w:tc>
          <w:tcPr>
            <w:tcW w:w="7938" w:type="dxa"/>
            <w:tcBorders>
              <w:bottom w:val="single" w:color="auto" w:sz="4" w:space="0"/>
            </w:tcBorders>
            <w:vAlign w:val="center"/>
          </w:tcPr>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2.1 报价应包括国家规定的增值税税金，增值税税金按一般计税方法计算。报价范围包括</w:t>
            </w:r>
            <w:r>
              <w:rPr>
                <w:rFonts w:hint="eastAsia" w:ascii="仿宋_GB2312" w:eastAsia="仿宋_GB2312" w:hAnsiTheme="minorEastAsia"/>
                <w:color w:val="auto"/>
                <w:sz w:val="24"/>
                <w:szCs w:val="24"/>
                <w:highlight w:val="none"/>
                <w:u w:val="single"/>
                <w:lang w:val="en-US" w:eastAsia="zh-CN"/>
              </w:rPr>
              <w:t>本项目所有采购内容和范围。</w:t>
            </w:r>
            <w:r>
              <w:rPr>
                <w:rFonts w:hint="eastAsia" w:ascii="仿宋_GB2312" w:eastAsia="仿宋_GB2312"/>
                <w:color w:val="auto"/>
                <w:sz w:val="24"/>
                <w:szCs w:val="24"/>
                <w:highlight w:val="none"/>
              </w:rPr>
              <w:t xml:space="preserve"> </w:t>
            </w:r>
          </w:p>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2.2 询比地址 </w:t>
            </w:r>
          </w:p>
          <w:p>
            <w:pPr>
              <w:adjustRightInd w:val="0"/>
              <w:snapToGrid w:val="0"/>
              <w:ind w:left="456" w:leftChars="217"/>
              <w:rPr>
                <w:rFonts w:ascii="仿宋_GB2312" w:eastAsia="仿宋_GB2312"/>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广州市天河区临江大道501号广州市净水有限公司</w:t>
            </w:r>
          </w:p>
          <w:p>
            <w:pPr>
              <w:adjustRightInd w:val="0"/>
              <w:snapToGrid w:val="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rPr>
              <w:t>2.3 询比开始时间（同响应文件截止时间）</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color w:val="auto"/>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3.成交规则</w:t>
            </w:r>
          </w:p>
        </w:tc>
        <w:tc>
          <w:tcPr>
            <w:tcW w:w="7938" w:type="dxa"/>
            <w:tcBorders>
              <w:bottom w:val="single" w:color="auto" w:sz="4" w:space="0"/>
            </w:tcBorders>
            <w:vAlign w:val="center"/>
          </w:tcPr>
          <w:p>
            <w:pPr>
              <w:adjustRightInd w:val="0"/>
              <w:snapToGrid w:val="0"/>
              <w:ind w:left="360" w:hanging="360" w:hangingChars="15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sym w:font="Wingdings 2" w:char="0052"/>
            </w:r>
            <w:r>
              <w:rPr>
                <w:rFonts w:hint="eastAsia" w:ascii="仿宋_GB2312" w:eastAsia="仿宋_GB2312" w:hAnsiTheme="minorEastAsia"/>
                <w:color w:val="auto"/>
                <w:sz w:val="24"/>
                <w:szCs w:val="24"/>
                <w:highlight w:val="none"/>
              </w:rPr>
              <w:t>采购人确定满足采购文件</w:t>
            </w:r>
            <w:r>
              <w:rPr>
                <w:rFonts w:hint="eastAsia" w:ascii="仿宋_GB2312" w:eastAsia="仿宋_GB2312" w:hAnsiTheme="minorEastAsia"/>
                <w:color w:val="auto"/>
                <w:sz w:val="24"/>
                <w:szCs w:val="24"/>
                <w:highlight w:val="none"/>
                <w:lang w:val="en-US" w:eastAsia="zh-CN"/>
              </w:rPr>
              <w:t>资格性、响应性</w:t>
            </w:r>
            <w:r>
              <w:rPr>
                <w:rFonts w:hint="eastAsia" w:ascii="仿宋_GB2312" w:eastAsia="仿宋_GB2312" w:hAnsiTheme="minorEastAsia"/>
                <w:color w:val="auto"/>
                <w:sz w:val="24"/>
                <w:szCs w:val="24"/>
                <w:highlight w:val="none"/>
              </w:rPr>
              <w:t>要求，并且经评审的报价最低的为成交供应商</w:t>
            </w:r>
          </w:p>
          <w:p>
            <w:pPr>
              <w:adjustRightInd w:val="0"/>
              <w:snapToGrid w:val="0"/>
              <w:ind w:left="360" w:hanging="360" w:hangingChars="15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rPr>
              <w:sym w:font="Wingdings 2" w:char="00A3"/>
            </w:r>
            <w:r>
              <w:rPr>
                <w:rFonts w:hint="eastAsia" w:ascii="仿宋_GB2312" w:eastAsia="仿宋_GB2312" w:hAnsiTheme="minorEastAsia"/>
                <w:color w:val="auto"/>
                <w:sz w:val="24"/>
                <w:szCs w:val="24"/>
                <w:highlight w:val="none"/>
              </w:rPr>
              <w:t>评审小组按照采购文件确定的标准排序，采购人确定排名第一的供应商为成交供应商</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 xml:space="preserve"> </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4.成交候选人公示</w:t>
            </w:r>
          </w:p>
        </w:tc>
        <w:tc>
          <w:tcPr>
            <w:tcW w:w="7938" w:type="dxa"/>
            <w:tcBorders>
              <w:bottom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在评审小组提交评审报告3日内，在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r>
              <w:rPr>
                <w:rFonts w:hint="eastAsia" w:ascii="仿宋_GB2312" w:eastAsia="仿宋_GB2312" w:hAnsiTheme="minorEastAsia"/>
                <w:color w:val="auto"/>
                <w:sz w:val="24"/>
                <w:szCs w:val="24"/>
                <w:highlight w:val="none"/>
                <w:lang w:eastAsia="zh-CN"/>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5.成交结果公告</w:t>
            </w:r>
          </w:p>
        </w:tc>
        <w:tc>
          <w:tcPr>
            <w:tcW w:w="7938" w:type="dxa"/>
            <w:tcBorders>
              <w:top w:val="single" w:color="auto" w:sz="4" w:space="0"/>
              <w:bottom w:val="single" w:color="auto" w:sz="4" w:space="0"/>
            </w:tcBorders>
            <w:vAlign w:val="center"/>
          </w:tcPr>
          <w:p>
            <w:pP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_GB2312"/>
                <w:color w:val="auto"/>
                <w:sz w:val="24"/>
                <w:szCs w:val="24"/>
                <w:highlight w:val="none"/>
              </w:rPr>
              <w:t>成交候选人公示</w:t>
            </w:r>
            <w:r>
              <w:rPr>
                <w:rFonts w:hint="eastAsia" w:ascii="仿宋_GB2312" w:eastAsia="仿宋_GB2312" w:hAnsiTheme="minorEastAsia"/>
                <w:color w:val="auto"/>
                <w:sz w:val="24"/>
                <w:szCs w:val="24"/>
                <w:highlight w:val="none"/>
                <w:lang w:val="en-US" w:eastAsia="zh-CN"/>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6.成交通知书</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7.签订采购合同</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采购人在发出成交通知书后</w:t>
            </w:r>
            <w:r>
              <w:rPr>
                <w:rFonts w:hint="eastAsia" w:ascii="仿宋_GB2312" w:eastAsia="仿宋_GB2312" w:hAnsiTheme="minorEastAsia"/>
                <w:color w:val="auto"/>
                <w:sz w:val="24"/>
                <w:szCs w:val="24"/>
                <w:highlight w:val="none"/>
                <w:lang w:val="en-US" w:eastAsia="zh-CN"/>
              </w:rPr>
              <w:t>30</w:t>
            </w:r>
            <w:r>
              <w:rPr>
                <w:rFonts w:hint="eastAsia" w:ascii="仿宋_GB2312" w:eastAsia="仿宋_GB2312" w:hAnsiTheme="minorEastAsia"/>
                <w:color w:val="auto"/>
                <w:sz w:val="24"/>
                <w:szCs w:val="24"/>
                <w:highlight w:val="none"/>
              </w:rPr>
              <w:t>日内同成交供应商签订书面采购合同</w:t>
            </w:r>
            <w:r>
              <w:rPr>
                <w:rFonts w:hint="eastAsia" w:ascii="仿宋_GB2312" w:eastAsia="仿宋_GB2312" w:hAnsiTheme="minorEastAsia"/>
                <w:color w:val="auto"/>
                <w:sz w:val="24"/>
                <w:szCs w:val="24"/>
                <w:highlight w:val="none"/>
                <w:lang w:val="en-US" w:eastAsia="zh-CN"/>
              </w:rPr>
              <w:t>.</w:t>
            </w:r>
          </w:p>
        </w:tc>
      </w:tr>
    </w:tbl>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4"/>
        <w:rPr>
          <w:rFonts w:hint="eastAsia" w:ascii="宋体" w:hAnsi="宋体" w:eastAsia="宋体" w:cs="宋体"/>
          <w:color w:val="auto"/>
          <w:highlight w:val="none"/>
        </w:rPr>
      </w:pPr>
      <w:bookmarkStart w:id="34" w:name="_Toc4952"/>
      <w:bookmarkStart w:id="35" w:name="_Toc7437"/>
      <w:bookmarkStart w:id="36" w:name="_Toc7118"/>
      <w:bookmarkStart w:id="37" w:name="_Toc14870"/>
      <w:bookmarkStart w:id="38" w:name="_Toc10930"/>
      <w:bookmarkStart w:id="39" w:name="_Toc19759"/>
      <w:bookmarkStart w:id="40" w:name="_Toc23581"/>
      <w:bookmarkStart w:id="41" w:name="_Toc20594"/>
      <w:bookmarkStart w:id="42" w:name="_Toc19050"/>
      <w:bookmarkStart w:id="43" w:name="_Toc14552"/>
      <w:bookmarkStart w:id="44" w:name="_Toc3156"/>
      <w:r>
        <w:rPr>
          <w:rFonts w:hint="eastAsia" w:ascii="宋体" w:hAnsi="宋体" w:eastAsia="宋体" w:cs="宋体"/>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10" name="自选图形 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7" o:spid="_x0000_s1026" o:spt="32" type="#_x0000_t32" style="position:absolute;left:0pt;margin-left:181.6pt;margin-top:56.7pt;height:0pt;width:75.5pt;z-index:251665408;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NWbC+tcAAAALAQAADwAAAAAAAAAB&#10;ACAAAAAiAAAAZHJzL2Rvd25yZXYueG1sUEsBAhQAFAAAAAgAh07iQOU3z8rYAQAAlQMAAA4AAAAA&#10;AAAAAQAgAAAAJgEAAGRycy9lMm9Eb2MueG1sUEsFBgAAAAAGAAYAWQEAAHAFAAAAAA==&#10;">
                <v:fill on="f" focussize="0,0"/>
                <v:stroke color="#000000" joinstyle="round"/>
                <v:imagedata o:title=""/>
                <o:lock v:ext="edit" aspectratio="f"/>
              </v:shape>
            </w:pict>
          </mc:Fallback>
        </mc:AlternateContent>
      </w:r>
      <w:r>
        <w:rPr>
          <w:rFonts w:hint="eastAsia" w:ascii="宋体" w:hAnsi="宋体" w:eastAsia="宋体" w:cs="宋体"/>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9" name="自选图形 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 o:spid="_x0000_s1026" o:spt="32" type="#_x0000_t32" style="position:absolute;left:0pt;margin-left:183.1pt;margin-top:21.3pt;height:0pt;width:75.5pt;z-index:251664384;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nw64ENcAAAAJAQAADwAAAAAAAAAB&#10;ACAAAAAiAAAAZHJzL2Rvd25yZXYueG1sUEsBAhQAFAAAAAgAh07iQLY4VGzYAQAAlAMAAA4AAAAA&#10;AAAAAQAgAAAAJgEAAGRycy9lMm9Eb2MueG1sUEsFBgAAAAAGAAYAWQEAAHAFAAAAAA==&#10;">
                <v:fill on="f" focussize="0,0"/>
                <v:stroke color="#000000" joinstyle="round"/>
                <v:imagedata o:title=""/>
                <o:lock v:ext="edit" aspectratio="f"/>
              </v:shape>
            </w:pict>
          </mc:Fallback>
        </mc:AlternateContent>
      </w:r>
      <w:r>
        <w:rPr>
          <w:rFonts w:hint="eastAsia" w:ascii="宋体" w:hAnsi="宋体" w:eastAsia="宋体" w:cs="宋体"/>
          <w:color w:val="auto"/>
          <w:highlight w:val="none"/>
        </w:rPr>
        <w:t>第</w:t>
      </w:r>
      <w:r>
        <w:rPr>
          <w:rFonts w:hint="eastAsia" w:ascii="宋体" w:hAnsi="宋体" w:eastAsia="宋体" w:cs="宋体"/>
          <w:color w:val="auto"/>
          <w:highlight w:val="none"/>
          <w:lang w:val="en-US" w:eastAsia="zh-CN"/>
        </w:rPr>
        <w:t>四</w:t>
      </w:r>
      <w:r>
        <w:rPr>
          <w:rFonts w:hint="eastAsia" w:ascii="宋体" w:hAnsi="宋体" w:eastAsia="宋体" w:cs="宋体"/>
          <w:color w:val="auto"/>
          <w:highlight w:val="none"/>
        </w:rPr>
        <w:t>章</w:t>
      </w:r>
      <w:bookmarkEnd w:id="34"/>
      <w:bookmarkEnd w:id="35"/>
      <w:bookmarkEnd w:id="36"/>
      <w:bookmarkEnd w:id="37"/>
      <w:bookmarkEnd w:id="38"/>
      <w:bookmarkEnd w:id="39"/>
      <w:bookmarkEnd w:id="40"/>
      <w:bookmarkEnd w:id="41"/>
      <w:bookmarkEnd w:id="42"/>
      <w:bookmarkEnd w:id="43"/>
      <w:bookmarkEnd w:id="44"/>
    </w:p>
    <w:p>
      <w:pPr>
        <w:pStyle w:val="37"/>
        <w:rPr>
          <w:rFonts w:hint="eastAsia" w:ascii="宋体" w:hAnsi="宋体" w:eastAsia="宋体" w:cs="宋体"/>
          <w:color w:val="auto"/>
          <w:highlight w:val="none"/>
        </w:rPr>
      </w:pPr>
    </w:p>
    <w:p>
      <w:pPr>
        <w:pStyle w:val="4"/>
        <w:rPr>
          <w:rFonts w:hint="eastAsia" w:ascii="宋体" w:hAnsi="宋体" w:eastAsia="宋体" w:cs="宋体"/>
          <w:color w:val="auto"/>
          <w:highlight w:val="none"/>
        </w:rPr>
      </w:pPr>
      <w:bookmarkStart w:id="45" w:name="_Toc7831"/>
      <w:bookmarkStart w:id="46" w:name="_Toc88209941"/>
      <w:bookmarkStart w:id="47" w:name="_Toc22212"/>
      <w:bookmarkStart w:id="48" w:name="_Toc30530"/>
      <w:bookmarkStart w:id="49" w:name="_Toc13898"/>
      <w:bookmarkStart w:id="50" w:name="_Toc12177"/>
      <w:bookmarkStart w:id="51" w:name="_Toc29345"/>
      <w:bookmarkStart w:id="52" w:name="_Toc21079"/>
      <w:bookmarkStart w:id="53" w:name="_Toc21840"/>
      <w:bookmarkStart w:id="54" w:name="_Toc87616378"/>
      <w:bookmarkStart w:id="55" w:name="_Toc29484"/>
      <w:bookmarkStart w:id="56" w:name="_Toc32607"/>
      <w:bookmarkStart w:id="57" w:name="_Toc6308"/>
      <w:r>
        <w:rPr>
          <w:rFonts w:hint="eastAsia" w:ascii="宋体" w:hAnsi="宋体" w:eastAsia="宋体" w:cs="宋体"/>
          <w:color w:val="auto"/>
          <w:highlight w:val="none"/>
        </w:rPr>
        <w:t>评审办法</w:t>
      </w:r>
      <w:bookmarkEnd w:id="45"/>
      <w:bookmarkEnd w:id="46"/>
      <w:bookmarkEnd w:id="47"/>
      <w:bookmarkEnd w:id="48"/>
      <w:bookmarkEnd w:id="49"/>
      <w:bookmarkEnd w:id="50"/>
      <w:bookmarkEnd w:id="51"/>
      <w:bookmarkEnd w:id="52"/>
      <w:bookmarkEnd w:id="53"/>
      <w:bookmarkEnd w:id="54"/>
      <w:bookmarkEnd w:id="55"/>
      <w:bookmarkEnd w:id="56"/>
      <w:bookmarkEnd w:id="57"/>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ind w:firstLine="0"/>
        <w:rPr>
          <w:rFonts w:ascii="方正小标宋简体" w:eastAsia="方正小标宋简体"/>
          <w:color w:val="auto"/>
          <w:sz w:val="44"/>
          <w:szCs w:val="44"/>
          <w:highlight w:val="none"/>
        </w:rPr>
      </w:pPr>
    </w:p>
    <w:p>
      <w:pPr>
        <w:pStyle w:val="5"/>
        <w:rPr>
          <w:color w:val="auto"/>
          <w:highlight w:val="none"/>
        </w:rPr>
      </w:pPr>
      <w:bookmarkStart w:id="58" w:name="_Toc23033"/>
      <w:bookmarkStart w:id="59" w:name="_Toc26826"/>
      <w:r>
        <w:rPr>
          <w:rFonts w:hint="eastAsia"/>
          <w:color w:val="auto"/>
          <w:highlight w:val="none"/>
        </w:rPr>
        <w:sym w:font="Wingdings 2" w:char="0052"/>
      </w:r>
      <w:r>
        <w:rPr>
          <w:rFonts w:hint="eastAsia"/>
          <w:color w:val="auto"/>
          <w:highlight w:val="none"/>
        </w:rPr>
        <w:t>经评审的最低价法</w:t>
      </w:r>
      <w:bookmarkEnd w:id="58"/>
      <w:bookmarkEnd w:id="59"/>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1.评审方法</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供应商的报价应当符合采购文件规定的技术要求和标准，但评审小组无须对响应文件的技术部分进行价格评审。</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除报价外，评审还应考虑的商务因素一般有以下几种：</w:t>
      </w:r>
    </w:p>
    <w:p>
      <w:pPr>
        <w:adjustRightInd w:val="0"/>
        <w:snapToGrid w:val="0"/>
        <w:spacing w:line="600" w:lineRule="exact"/>
        <w:ind w:firstLine="420" w:firstLineChars="150"/>
        <w:jc w:val="left"/>
        <w:rPr>
          <w:rFonts w:hint="eastAsia" w:ascii="仿宋_GB2312" w:eastAsia="仿宋_GB2312" w:hAnsiTheme="minorEastAsia"/>
          <w:color w:val="auto"/>
          <w:sz w:val="28"/>
          <w:szCs w:val="28"/>
          <w:highlight w:val="none"/>
          <w:lang w:eastAsia="zh-CN"/>
        </w:rPr>
      </w:pPr>
      <w:r>
        <w:rPr>
          <w:rFonts w:hint="eastAsia" w:ascii="仿宋_GB2312" w:eastAsia="仿宋_GB2312" w:hAnsiTheme="minorEastAsia"/>
          <w:color w:val="auto"/>
          <w:sz w:val="28"/>
          <w:szCs w:val="28"/>
          <w:highlight w:val="none"/>
        </w:rPr>
        <w:t>（1）运输费用及保险费。</w:t>
      </w:r>
      <w:r>
        <w:rPr>
          <w:rFonts w:hint="eastAsia" w:ascii="仿宋_GB2312" w:eastAsia="仿宋_GB2312" w:hAnsiTheme="minorEastAsia"/>
          <w:color w:val="auto"/>
          <w:sz w:val="28"/>
          <w:szCs w:val="28"/>
          <w:highlight w:val="none"/>
          <w:lang w:eastAsia="zh-CN"/>
        </w:rPr>
        <w:t>（如有）</w:t>
      </w:r>
    </w:p>
    <w:p>
      <w:pPr>
        <w:adjustRightInd w:val="0"/>
        <w:snapToGrid w:val="0"/>
        <w:spacing w:line="600" w:lineRule="exact"/>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 xml:space="preserve">   （2）工期、交货期或服务期限。</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（3）支付条件。</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（4）备品备件以及售后服务（如有）。</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（5）价格调整因素。</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经澄清确认后修正的最终报价应当认为是供应商的真实要约，可以作为合同签约价。</w:t>
      </w:r>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2.1 初步评审</w:t>
      </w:r>
    </w:p>
    <w:p>
      <w:pP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4-1                      初步评审标准</w:t>
      </w:r>
    </w:p>
    <w:tbl>
      <w:tblPr>
        <w:tblStyle w:val="25"/>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552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评审环节</w:t>
            </w: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5528"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56"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形式评审</w:t>
            </w: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响应函签字盖章</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有响应函</w:t>
            </w:r>
            <w:r>
              <w:rPr>
                <w:rFonts w:hint="eastAsia" w:ascii="仿宋_GB2312" w:eastAsia="仿宋_GB2312"/>
                <w:color w:val="auto"/>
                <w:sz w:val="24"/>
                <w:szCs w:val="24"/>
                <w:highlight w:val="none"/>
              </w:rPr>
              <w:t>，</w:t>
            </w:r>
            <w:r>
              <w:rPr>
                <w:rFonts w:ascii="仿宋_GB2312" w:eastAsia="仿宋_GB2312"/>
                <w:color w:val="auto"/>
                <w:sz w:val="24"/>
                <w:szCs w:val="24"/>
                <w:highlight w:val="none"/>
              </w:rPr>
              <w:t>有法定代表人或其委托代理人签字并加盖单位章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r>
              <w:rPr>
                <w:rFonts w:ascii="仿宋_GB2312" w:eastAsia="仿宋_GB2312"/>
                <w:color w:val="auto"/>
                <w:sz w:val="24"/>
                <w:szCs w:val="24"/>
                <w:highlight w:val="none"/>
              </w:rPr>
              <w:t>响应文件格式</w:t>
            </w:r>
          </w:p>
        </w:tc>
        <w:tc>
          <w:tcPr>
            <w:tcW w:w="552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r>
              <w:rPr>
                <w:rFonts w:ascii="仿宋_GB2312" w:eastAsia="仿宋_GB2312"/>
                <w:color w:val="auto"/>
                <w:sz w:val="24"/>
                <w:szCs w:val="24"/>
                <w:highlight w:val="none"/>
              </w:rPr>
              <w:t>符合采购文件</w:t>
            </w:r>
            <w:r>
              <w:rPr>
                <w:rFonts w:hint="eastAsia" w:ascii="仿宋_GB2312" w:eastAsia="仿宋_GB2312"/>
                <w:color w:val="auto"/>
                <w:sz w:val="24"/>
                <w:szCs w:val="24"/>
                <w:highlight w:val="none"/>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报价唯一</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只能有一个有效报价</w:t>
            </w:r>
            <w:r>
              <w:rPr>
                <w:rFonts w:hint="eastAsia" w:ascii="仿宋_GB2312" w:eastAsia="仿宋_GB2312"/>
                <w:color w:val="auto"/>
                <w:sz w:val="24"/>
                <w:szCs w:val="24"/>
                <w:highlight w:val="none"/>
              </w:rPr>
              <w:t>，</w:t>
            </w:r>
            <w:r>
              <w:rPr>
                <w:rFonts w:ascii="仿宋_GB2312" w:eastAsia="仿宋_GB2312"/>
                <w:color w:val="auto"/>
                <w:sz w:val="24"/>
                <w:szCs w:val="24"/>
                <w:highlight w:val="none"/>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资格评审</w:t>
            </w: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营业执照</w:t>
            </w:r>
          </w:p>
        </w:tc>
        <w:tc>
          <w:tcPr>
            <w:tcW w:w="5528" w:type="dxa"/>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供应商资格</w:t>
            </w:r>
          </w:p>
        </w:tc>
        <w:tc>
          <w:tcPr>
            <w:tcW w:w="5528" w:type="dxa"/>
            <w:tcBorders>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满足法律法规及采购文件</w:t>
            </w:r>
            <w:r>
              <w:rPr>
                <w:rFonts w:hint="eastAsia" w:ascii="仿宋_GB2312" w:eastAsia="仿宋_GB2312"/>
                <w:color w:val="auto"/>
                <w:sz w:val="24"/>
                <w:szCs w:val="24"/>
                <w:highlight w:val="none"/>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响应性评审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w:t>
            </w:r>
          </w:p>
        </w:tc>
        <w:tc>
          <w:tcPr>
            <w:tcW w:w="5528" w:type="dxa"/>
            <w:tcBorders>
              <w:top w:val="single" w:color="auto" w:sz="4" w:space="0"/>
              <w:bottom w:val="single" w:color="auto" w:sz="4" w:space="0"/>
            </w:tcBorders>
            <w:vAlign w:val="center"/>
          </w:tcPr>
          <w:p>
            <w:pPr>
              <w:adjustRightInd w:val="0"/>
              <w:snapToGrid w:val="0"/>
              <w:rPr>
                <w:rFonts w:hint="eastAsia" w:ascii="仿宋_GB2312" w:eastAsia="仿宋_GB2312"/>
                <w:color w:val="auto"/>
                <w:sz w:val="24"/>
                <w:szCs w:val="24"/>
                <w:highlight w:val="none"/>
                <w:lang w:eastAsia="zh-CN"/>
              </w:rPr>
            </w:pPr>
            <w:r>
              <w:rPr>
                <w:rFonts w:ascii="仿宋_GB2312" w:eastAsia="仿宋_GB2312"/>
                <w:color w:val="auto"/>
                <w:sz w:val="24"/>
                <w:szCs w:val="24"/>
                <w:highlight w:val="none"/>
              </w:rPr>
              <w:t>没有超过最高限价</w:t>
            </w:r>
            <w:r>
              <w:rPr>
                <w:rFonts w:hint="eastAsia" w:ascii="仿宋_GB2312" w:eastAsia="仿宋_GB2312"/>
                <w:color w:val="auto"/>
                <w:sz w:val="24"/>
                <w:szCs w:val="24"/>
                <w:highlight w:val="none"/>
                <w:lang w:eastAsia="zh-CN"/>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其他无效响应</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无法律法规及采购文件规定的其他无效响应内容</w:t>
            </w:r>
          </w:p>
        </w:tc>
      </w:tr>
    </w:tbl>
    <w:p>
      <w:pPr>
        <w:spacing w:line="400" w:lineRule="exact"/>
        <w:jc w:val="left"/>
        <w:rPr>
          <w:color w:val="auto"/>
          <w:highlight w:val="none"/>
        </w:rPr>
      </w:pPr>
      <w:r>
        <w:rPr>
          <w:rFonts w:hint="eastAsia" w:ascii="仿宋_GB2312" w:eastAsia="仿宋_GB2312" w:hAnsiTheme="minorEastAsia"/>
          <w:color w:val="auto"/>
          <w:szCs w:val="21"/>
          <w:highlight w:val="none"/>
        </w:rPr>
        <w:t>说明：初步评审活动依照</w:t>
      </w:r>
      <w:r>
        <w:rPr>
          <w:rFonts w:hint="eastAsia" w:ascii="仿宋_GB2312" w:eastAsia="仿宋_GB2312" w:hAnsiTheme="minorEastAsia"/>
          <w:color w:val="auto"/>
          <w:szCs w:val="21"/>
          <w:highlight w:val="none"/>
          <w:lang w:val="en-US" w:eastAsia="zh-CN"/>
        </w:rPr>
        <w:t>形式评审、</w:t>
      </w:r>
      <w:r>
        <w:rPr>
          <w:rFonts w:hint="eastAsia" w:ascii="仿宋_GB2312" w:eastAsia="仿宋_GB2312" w:hAnsiTheme="minorEastAsia"/>
          <w:color w:val="auto"/>
          <w:szCs w:val="21"/>
          <w:highlight w:val="none"/>
        </w:rPr>
        <w:t>资格评审、响应性评审顺序进行，前一个环节不符合采购文件要求的不得进入下一个环节。</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2.2澄清补正</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（1）响应文件中的大写金额与小写金额不一致的，以大写金额为准。</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（2）总价金额与依据单价计算出的结果不一致的，以单价金额为准修正总价，但单价金额小数点有明显错误的除外。</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2.3评审结果 评审后，评审价格最低的供应商为成交供应商。如评审价格相同，可由评审小组根据评审情况以记名投票方式确定供应商排名，并将推荐理由写入评审报告。</w:t>
      </w:r>
    </w:p>
    <w:p>
      <w:pPr>
        <w:adjustRightInd w:val="0"/>
        <w:snapToGrid w:val="0"/>
        <w:spacing w:line="600" w:lineRule="exact"/>
        <w:jc w:val="left"/>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4"/>
        <w:rPr>
          <w:color w:val="auto"/>
          <w:highlight w:val="none"/>
        </w:rPr>
      </w:pPr>
      <w:bookmarkStart w:id="60" w:name="_Toc88209947"/>
      <w:r>
        <w:rPr>
          <w:color w:val="auto"/>
          <w:highlight w:val="none"/>
        </w:rPr>
        <mc:AlternateContent>
          <mc:Choice Requires="wps">
            <w:drawing>
              <wp:anchor distT="0" distB="0" distL="114300" distR="114300" simplePos="0" relativeHeight="251677696" behindDoc="0" locked="0" layoutInCell="1" allowOverlap="1">
                <wp:simplePos x="0" y="0"/>
                <wp:positionH relativeFrom="column">
                  <wp:posOffset>2340610</wp:posOffset>
                </wp:positionH>
                <wp:positionV relativeFrom="paragraph">
                  <wp:posOffset>745490</wp:posOffset>
                </wp:positionV>
                <wp:extent cx="958850" cy="0"/>
                <wp:effectExtent l="0" t="0" r="0" b="0"/>
                <wp:wrapNone/>
                <wp:docPr id="22" name="自选图形 2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4" o:spid="_x0000_s1026" o:spt="32" type="#_x0000_t32" style="position:absolute;left:0pt;margin-left:184.3pt;margin-top:58.7pt;height:0pt;width:75.5pt;z-index:251677696;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AzYCxHXAAAACwEAAA8AAAAAAAAA&#10;AQAgAAAAIgAAAGRycy9kb3ducmV2LnhtbFBLAQIUABQAAAAIAIdO4kC8nFmR2QEAAJYDAAAOAAAA&#10;AAAAAAEAIAAAACYBAABkcnMvZTJvRG9jLnhtbFBLBQYAAAAABgAGAFkBAABxBQ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6672"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21" name="自选图形 2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5" o:spid="_x0000_s1026" o:spt="32" type="#_x0000_t32" style="position:absolute;left:0pt;margin-left:184.9pt;margin-top:8.5pt;height:0pt;width:75.5pt;z-index:251676672;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grYt61gAAAAkBAAAPAAAAAAAAAAEA&#10;IAAAACIAAABkcnMvZG93bnJldi54bWxQSwECFAAUAAAACACHTuJAydmaftgBAACWAwAADgAAAAAA&#10;AAABACAAAAAlAQAAZHJzL2Uyb0RvYy54bWxQSwUGAAAAAAYABgBZAQAAbw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五</w:t>
      </w:r>
      <w:r>
        <w:rPr>
          <w:rFonts w:hint="eastAsia"/>
          <w:color w:val="auto"/>
          <w:highlight w:val="none"/>
        </w:rPr>
        <w:t>章</w:t>
      </w:r>
    </w:p>
    <w:p>
      <w:pPr>
        <w:pStyle w:val="5"/>
        <w:rPr>
          <w:rFonts w:hint="eastAsia"/>
          <w:color w:val="auto"/>
          <w:highlight w:val="none"/>
        </w:rPr>
      </w:pPr>
    </w:p>
    <w:p>
      <w:pPr>
        <w:pStyle w:val="5"/>
        <w:rPr>
          <w:rFonts w:hint="eastAsia"/>
          <w:color w:val="auto"/>
          <w:szCs w:val="44"/>
          <w:highlight w:val="none"/>
        </w:rPr>
      </w:pPr>
      <w:r>
        <w:rPr>
          <w:rFonts w:hint="eastAsia"/>
          <w:color w:val="auto"/>
          <w:szCs w:val="44"/>
          <w:highlight w:val="none"/>
        </w:rPr>
        <w:t>采购需求</w:t>
      </w:r>
    </w:p>
    <w:p>
      <w:pPr>
        <w:pStyle w:val="5"/>
        <w:rPr>
          <w:rFonts w:hint="eastAsia"/>
          <w:color w:val="auto"/>
          <w:szCs w:val="44"/>
          <w:highlight w:val="none"/>
        </w:rPr>
      </w:pPr>
    </w:p>
    <w:p>
      <w:pPr>
        <w:pStyle w:val="5"/>
        <w:rPr>
          <w:color w:val="auto"/>
          <w:szCs w:val="44"/>
          <w:highlight w:val="none"/>
        </w:rPr>
      </w:pPr>
      <w:r>
        <w:rPr>
          <w:rFonts w:hint="eastAsia"/>
          <w:color w:val="auto"/>
          <w:szCs w:val="44"/>
          <w:highlight w:val="none"/>
        </w:rPr>
        <w:t>采购需求编制说明</w:t>
      </w:r>
      <w:bookmarkEnd w:id="60"/>
    </w:p>
    <w:p>
      <w:pPr>
        <w:pStyle w:val="14"/>
        <w:pageBreakBefore w:val="0"/>
        <w:widowControl w:val="0"/>
        <w:numPr>
          <w:ilvl w:val="0"/>
          <w:numId w:val="0"/>
        </w:numPr>
        <w:tabs>
          <w:tab w:val="left" w:pos="2763"/>
        </w:tabs>
        <w:kinsoku/>
        <w:wordWrap/>
        <w:overflowPunct/>
        <w:topLinePunct w:val="0"/>
        <w:autoSpaceDE/>
        <w:autoSpaceDN/>
        <w:bidi w:val="0"/>
        <w:adjustRightInd w:val="0"/>
        <w:snapToGrid w:val="0"/>
        <w:spacing w:line="500" w:lineRule="exact"/>
        <w:textAlignment w:val="auto"/>
        <w:rPr>
          <w:rFonts w:ascii="仿宋" w:hAnsi="仿宋" w:eastAsia="仿宋" w:cs="仿宋_GB2312"/>
          <w:color w:val="auto"/>
          <w:sz w:val="28"/>
          <w:szCs w:val="28"/>
          <w:highlight w:val="none"/>
          <w:lang w:val="zh-CN"/>
        </w:rPr>
      </w:pPr>
      <w:r>
        <w:rPr>
          <w:rFonts w:hint="eastAsia" w:ascii="仿宋" w:hAnsi="仿宋" w:eastAsia="仿宋" w:cs="仿宋_GB2312"/>
          <w:b/>
          <w:color w:val="auto"/>
          <w:sz w:val="28"/>
          <w:szCs w:val="28"/>
          <w:highlight w:val="none"/>
          <w:lang w:val="en-US" w:eastAsia="zh-CN"/>
        </w:rPr>
        <w:t>一、</w:t>
      </w:r>
      <w:r>
        <w:rPr>
          <w:rFonts w:hint="eastAsia" w:ascii="仿宋" w:hAnsi="仿宋" w:eastAsia="仿宋" w:cs="仿宋_GB2312"/>
          <w:b/>
          <w:color w:val="auto"/>
          <w:sz w:val="28"/>
          <w:szCs w:val="28"/>
          <w:highlight w:val="none"/>
          <w:lang w:val="zh-CN"/>
        </w:rPr>
        <w:t>项目技术要求</w:t>
      </w:r>
      <w:r>
        <w:rPr>
          <w:rFonts w:hint="eastAsia" w:ascii="仿宋" w:hAnsi="仿宋" w:eastAsia="仿宋" w:cs="仿宋_GB2312"/>
          <w:b/>
          <w:color w:val="auto"/>
          <w:sz w:val="28"/>
          <w:szCs w:val="28"/>
          <w:highlight w:val="none"/>
          <w:lang w:val="zh-CN"/>
        </w:rPr>
        <w:tab/>
      </w:r>
    </w:p>
    <w:p>
      <w:pPr>
        <w:pageBreakBefore w:val="0"/>
        <w:widowControl w:val="0"/>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本合同的工作范围应包括提供所有需要的材料、机械、劳力、以及其他设施、完成合同文件里规定的工作和服务，并达到预期的目标。报价人向询价人承诺按照合同约定进行施工、竣工并在质量保修期内承担工程质量保修责任。</w:t>
      </w:r>
    </w:p>
    <w:p>
      <w:pPr>
        <w:pStyle w:val="14"/>
        <w:widowControl/>
        <w:adjustRightInd w:val="0"/>
        <w:snapToGrid w:val="0"/>
        <w:spacing w:line="300" w:lineRule="auto"/>
        <w:ind w:left="420" w:leftChars="200" w:firstLine="420" w:firstLineChars="150"/>
        <w:rPr>
          <w:rFonts w:hint="default" w:ascii="Times New Roman" w:hAnsi="Times New Roman" w:eastAsia="仿宋_GB2312" w:cs="Times New Roman"/>
          <w:b w:val="0"/>
          <w:bCs/>
          <w:color w:val="auto"/>
          <w:kern w:val="2"/>
          <w:sz w:val="28"/>
          <w:szCs w:val="28"/>
          <w:highlight w:val="none"/>
          <w:lang w:val="en-US" w:eastAsia="zh-CN" w:bidi="ar-SA"/>
        </w:rPr>
      </w:pPr>
      <w:r>
        <w:rPr>
          <w:rFonts w:hint="default" w:ascii="Times New Roman" w:hAnsi="Times New Roman" w:eastAsia="仿宋_GB2312" w:cs="Times New Roman"/>
          <w:b w:val="0"/>
          <w:bCs/>
          <w:color w:val="auto"/>
          <w:kern w:val="2"/>
          <w:sz w:val="28"/>
          <w:szCs w:val="28"/>
          <w:highlight w:val="none"/>
          <w:lang w:val="en-US" w:eastAsia="zh-CN" w:bidi="ar-SA"/>
        </w:rPr>
        <w:t>项目说明：</w:t>
      </w:r>
      <w:r>
        <w:rPr>
          <w:rFonts w:hint="eastAsia" w:ascii="Times New Roman" w:hAnsi="Times New Roman" w:eastAsia="仿宋_GB2312" w:cs="Times New Roman"/>
          <w:b w:val="0"/>
          <w:bCs/>
          <w:color w:val="auto"/>
          <w:kern w:val="2"/>
          <w:sz w:val="28"/>
          <w:szCs w:val="28"/>
          <w:highlight w:val="none"/>
          <w:lang w:val="en-US" w:eastAsia="zh-CN" w:bidi="ar-SA"/>
        </w:rPr>
        <w:t>在初雨加药间旁南面空地增设长4.7M、宽2.56M、高2.56M，卧式罐体（玻璃钢FRP复合材料，有效容积20立方）2个及其附属阀门、管道、药泵一批；该区域地面硬化、围堰、护栏等总面积约55㎡</w:t>
      </w:r>
      <w:r>
        <w:rPr>
          <w:rFonts w:hint="default" w:ascii="Times New Roman" w:hAnsi="Times New Roman" w:eastAsia="仿宋_GB2312" w:cs="Times New Roman"/>
          <w:b w:val="0"/>
          <w:bCs/>
          <w:color w:val="auto"/>
          <w:kern w:val="2"/>
          <w:sz w:val="28"/>
          <w:szCs w:val="28"/>
          <w:highlight w:val="none"/>
          <w:lang w:val="en-US" w:eastAsia="zh-CN" w:bidi="ar-SA"/>
        </w:rPr>
        <w:t>；</w:t>
      </w:r>
      <w:r>
        <w:rPr>
          <w:rFonts w:hint="eastAsia" w:ascii="Times New Roman" w:hAnsi="Times New Roman" w:eastAsia="仿宋_GB2312" w:cs="Times New Roman"/>
          <w:b w:val="0"/>
          <w:bCs/>
          <w:color w:val="auto"/>
          <w:kern w:val="2"/>
          <w:sz w:val="28"/>
          <w:szCs w:val="28"/>
          <w:highlight w:val="none"/>
          <w:lang w:val="en-US" w:eastAsia="zh-CN" w:bidi="ar-SA"/>
        </w:rPr>
        <w:t>具体</w:t>
      </w:r>
      <w:r>
        <w:rPr>
          <w:rFonts w:hint="default" w:ascii="Times New Roman" w:hAnsi="Times New Roman" w:eastAsia="仿宋_GB2312" w:cs="Times New Roman"/>
          <w:b w:val="0"/>
          <w:bCs/>
          <w:color w:val="auto"/>
          <w:kern w:val="2"/>
          <w:sz w:val="28"/>
          <w:szCs w:val="28"/>
          <w:highlight w:val="none"/>
          <w:lang w:val="en-US" w:eastAsia="zh-CN" w:bidi="ar-SA"/>
        </w:rPr>
        <w:t>内容如下：</w:t>
      </w:r>
    </w:p>
    <w:p>
      <w:pPr>
        <w:pStyle w:val="14"/>
        <w:widowControl/>
        <w:adjustRightInd w:val="0"/>
        <w:snapToGrid w:val="0"/>
        <w:spacing w:line="300" w:lineRule="auto"/>
        <w:ind w:left="420" w:leftChars="200" w:firstLine="420" w:firstLineChars="150"/>
        <w:rPr>
          <w:rFonts w:hint="eastAsia" w:ascii="Times New Roman" w:hAnsi="Times New Roman" w:eastAsia="仿宋_GB2312" w:cs="Times New Roman"/>
          <w:b w:val="0"/>
          <w:bCs/>
          <w:color w:val="auto"/>
          <w:kern w:val="2"/>
          <w:sz w:val="28"/>
          <w:szCs w:val="28"/>
          <w:highlight w:val="none"/>
          <w:lang w:val="en-US" w:eastAsia="zh-CN" w:bidi="ar-SA"/>
        </w:rPr>
      </w:pPr>
      <w:r>
        <w:rPr>
          <w:rFonts w:hint="eastAsia" w:ascii="Times New Roman" w:hAnsi="Times New Roman" w:eastAsia="仿宋_GB2312" w:cs="Times New Roman"/>
          <w:b w:val="0"/>
          <w:bCs/>
          <w:color w:val="auto"/>
          <w:kern w:val="2"/>
          <w:sz w:val="28"/>
          <w:szCs w:val="28"/>
          <w:highlight w:val="none"/>
          <w:lang w:val="en-US" w:eastAsia="zh-CN" w:bidi="ar-SA"/>
        </w:rPr>
        <w:t>（1）卧式罐体（玻璃钢FRP复合材料，有效容积20立方）制作安装：2个</w:t>
      </w:r>
    </w:p>
    <w:p>
      <w:pPr>
        <w:pStyle w:val="14"/>
        <w:widowControl/>
        <w:adjustRightInd w:val="0"/>
        <w:snapToGrid w:val="0"/>
        <w:spacing w:line="300" w:lineRule="auto"/>
        <w:ind w:left="420" w:leftChars="200" w:firstLine="420" w:firstLineChars="150"/>
        <w:rPr>
          <w:rFonts w:hint="default" w:ascii="Times New Roman" w:hAnsi="Times New Roman" w:eastAsia="仿宋_GB2312" w:cs="Times New Roman"/>
          <w:b w:val="0"/>
          <w:bCs/>
          <w:color w:val="auto"/>
          <w:kern w:val="2"/>
          <w:sz w:val="28"/>
          <w:szCs w:val="28"/>
          <w:highlight w:val="none"/>
          <w:lang w:val="en-US" w:eastAsia="zh-CN" w:bidi="ar-SA"/>
        </w:rPr>
      </w:pPr>
      <w:r>
        <w:rPr>
          <w:rFonts w:hint="eastAsia" w:ascii="Times New Roman" w:hAnsi="Times New Roman" w:eastAsia="仿宋_GB2312" w:cs="Times New Roman"/>
          <w:b w:val="0"/>
          <w:bCs/>
          <w:color w:val="auto"/>
          <w:kern w:val="2"/>
          <w:sz w:val="28"/>
          <w:szCs w:val="28"/>
          <w:highlight w:val="none"/>
          <w:lang w:val="en-US" w:eastAsia="zh-CN" w:bidi="ar-SA"/>
        </w:rPr>
        <w:t>（2）附属阀门、管道、药泵：4套</w:t>
      </w:r>
    </w:p>
    <w:p>
      <w:pPr>
        <w:pStyle w:val="14"/>
        <w:widowControl/>
        <w:adjustRightInd w:val="0"/>
        <w:snapToGrid w:val="0"/>
        <w:spacing w:line="300" w:lineRule="auto"/>
        <w:ind w:left="420" w:leftChars="200" w:firstLine="420" w:firstLineChars="150"/>
        <w:rPr>
          <w:rFonts w:hint="eastAsia" w:ascii="Times New Roman" w:hAnsi="Times New Roman" w:eastAsia="仿宋_GB2312" w:cs="Times New Roman"/>
          <w:b w:val="0"/>
          <w:bCs/>
          <w:color w:val="auto"/>
          <w:kern w:val="2"/>
          <w:sz w:val="28"/>
          <w:szCs w:val="28"/>
          <w:highlight w:val="none"/>
          <w:lang w:val="en-US" w:eastAsia="zh-CN" w:bidi="ar-SA"/>
        </w:rPr>
      </w:pPr>
      <w:r>
        <w:rPr>
          <w:rFonts w:hint="eastAsia" w:ascii="Times New Roman" w:hAnsi="Times New Roman" w:eastAsia="仿宋_GB2312" w:cs="Times New Roman"/>
          <w:b w:val="0"/>
          <w:bCs/>
          <w:color w:val="auto"/>
          <w:kern w:val="2"/>
          <w:sz w:val="28"/>
          <w:szCs w:val="28"/>
          <w:highlight w:val="none"/>
          <w:lang w:val="en-US" w:eastAsia="zh-CN" w:bidi="ar-SA"/>
        </w:rPr>
        <w:t>（3）地面硬化：55平方</w:t>
      </w:r>
    </w:p>
    <w:p>
      <w:pPr>
        <w:pStyle w:val="14"/>
        <w:widowControl/>
        <w:adjustRightInd w:val="0"/>
        <w:snapToGrid w:val="0"/>
        <w:spacing w:line="300" w:lineRule="auto"/>
        <w:ind w:left="420" w:leftChars="200" w:firstLine="420" w:firstLineChars="150"/>
        <w:rPr>
          <w:rFonts w:hint="eastAsia" w:ascii="Times New Roman" w:hAnsi="Times New Roman" w:eastAsia="仿宋_GB2312" w:cs="Times New Roman"/>
          <w:b w:val="0"/>
          <w:bCs/>
          <w:color w:val="auto"/>
          <w:kern w:val="2"/>
          <w:sz w:val="28"/>
          <w:szCs w:val="28"/>
          <w:highlight w:val="none"/>
          <w:lang w:val="en-US" w:eastAsia="zh-CN" w:bidi="ar-SA"/>
        </w:rPr>
      </w:pPr>
      <w:r>
        <w:rPr>
          <w:rFonts w:hint="eastAsia" w:ascii="Times New Roman" w:hAnsi="Times New Roman" w:eastAsia="仿宋_GB2312" w:cs="Times New Roman"/>
          <w:b w:val="0"/>
          <w:bCs/>
          <w:color w:val="auto"/>
          <w:kern w:val="2"/>
          <w:sz w:val="28"/>
          <w:szCs w:val="28"/>
          <w:highlight w:val="none"/>
          <w:lang w:val="en-US" w:eastAsia="zh-CN" w:bidi="ar-SA"/>
        </w:rPr>
        <w:t>（4）围堰（高40cm）：29.8米</w:t>
      </w:r>
    </w:p>
    <w:p>
      <w:pPr>
        <w:pStyle w:val="14"/>
        <w:widowControl/>
        <w:adjustRightInd w:val="0"/>
        <w:snapToGrid w:val="0"/>
        <w:spacing w:line="300" w:lineRule="auto"/>
        <w:ind w:left="420" w:leftChars="200" w:firstLine="420" w:firstLineChars="150"/>
        <w:rPr>
          <w:rFonts w:hint="eastAsia" w:ascii="Times New Roman" w:hAnsi="Times New Roman" w:eastAsia="仿宋_GB2312" w:cs="Times New Roman"/>
          <w:b w:val="0"/>
          <w:bCs/>
          <w:color w:val="auto"/>
          <w:kern w:val="2"/>
          <w:sz w:val="28"/>
          <w:szCs w:val="28"/>
          <w:highlight w:val="none"/>
          <w:lang w:val="en-US" w:eastAsia="zh-CN" w:bidi="ar-SA"/>
        </w:rPr>
      </w:pPr>
      <w:r>
        <w:rPr>
          <w:rFonts w:hint="eastAsia" w:ascii="Times New Roman" w:hAnsi="Times New Roman" w:eastAsia="仿宋_GB2312" w:cs="Times New Roman"/>
          <w:b w:val="0"/>
          <w:bCs/>
          <w:color w:val="auto"/>
          <w:kern w:val="2"/>
          <w:sz w:val="28"/>
          <w:szCs w:val="28"/>
          <w:highlight w:val="none"/>
          <w:lang w:val="en-US" w:eastAsia="zh-CN" w:bidi="ar-SA"/>
        </w:rPr>
        <w:t>（5）钢结构围栏（高2米）：29.8米</w:t>
      </w:r>
    </w:p>
    <w:p>
      <w:pPr>
        <w:pStyle w:val="14"/>
        <w:widowControl/>
        <w:adjustRightInd w:val="0"/>
        <w:snapToGrid w:val="0"/>
        <w:spacing w:line="300" w:lineRule="auto"/>
        <w:ind w:left="420" w:leftChars="200" w:firstLine="420" w:firstLineChars="150"/>
        <w:rPr>
          <w:rFonts w:hint="eastAsia" w:ascii="Times New Roman" w:hAnsi="Times New Roman" w:eastAsia="仿宋_GB2312" w:cs="Times New Roman"/>
          <w:b w:val="0"/>
          <w:bCs/>
          <w:color w:val="auto"/>
          <w:kern w:val="2"/>
          <w:sz w:val="28"/>
          <w:szCs w:val="28"/>
          <w:highlight w:val="none"/>
          <w:lang w:val="en-US" w:eastAsia="zh-CN" w:bidi="ar-SA"/>
        </w:rPr>
      </w:pPr>
      <w:r>
        <w:rPr>
          <w:rFonts w:hint="eastAsia" w:ascii="Times New Roman" w:hAnsi="Times New Roman" w:eastAsia="仿宋_GB2312" w:cs="Times New Roman"/>
          <w:b w:val="0"/>
          <w:bCs/>
          <w:color w:val="auto"/>
          <w:kern w:val="2"/>
          <w:sz w:val="28"/>
          <w:szCs w:val="28"/>
          <w:highlight w:val="none"/>
          <w:lang w:val="en-US" w:eastAsia="zh-CN" w:bidi="ar-SA"/>
        </w:rPr>
        <w:t>（6）钢结构平开门：1樘 </w:t>
      </w:r>
    </w:p>
    <w:p>
      <w:pPr>
        <w:pStyle w:val="14"/>
        <w:widowControl/>
        <w:adjustRightInd w:val="0"/>
        <w:snapToGrid w:val="0"/>
        <w:spacing w:line="300" w:lineRule="auto"/>
        <w:ind w:left="420" w:leftChars="200" w:firstLine="420" w:firstLineChars="150"/>
        <w:rPr>
          <w:rFonts w:hint="eastAsia" w:ascii="Times New Roman" w:hAnsi="Times New Roman" w:eastAsia="仿宋_GB2312" w:cs="Times New Roman"/>
          <w:b w:val="0"/>
          <w:bCs/>
          <w:color w:val="auto"/>
          <w:kern w:val="2"/>
          <w:sz w:val="28"/>
          <w:szCs w:val="28"/>
          <w:highlight w:val="none"/>
          <w:lang w:val="en-US" w:eastAsia="zh-CN" w:bidi="ar-SA"/>
        </w:rPr>
      </w:pPr>
      <w:r>
        <w:rPr>
          <w:rFonts w:hint="eastAsia" w:ascii="Times New Roman" w:hAnsi="Times New Roman" w:eastAsia="仿宋_GB2312" w:cs="Times New Roman"/>
          <w:b w:val="0"/>
          <w:bCs/>
          <w:color w:val="auto"/>
          <w:kern w:val="2"/>
          <w:sz w:val="28"/>
          <w:szCs w:val="28"/>
          <w:highlight w:val="none"/>
          <w:lang w:val="en-US" w:eastAsia="zh-CN" w:bidi="ar-SA"/>
        </w:rPr>
        <w:t>（7）罐体基础：约7.4立方</w:t>
      </w:r>
    </w:p>
    <w:p>
      <w:pPr>
        <w:pStyle w:val="14"/>
        <w:widowControl/>
        <w:adjustRightInd w:val="0"/>
        <w:snapToGrid w:val="0"/>
        <w:spacing w:line="300" w:lineRule="auto"/>
        <w:ind w:left="420" w:leftChars="200" w:firstLine="420" w:firstLineChars="150"/>
        <w:rPr>
          <w:rFonts w:hint="default" w:ascii="Times New Roman" w:hAnsi="Times New Roman" w:eastAsia="仿宋_GB2312" w:cs="Times New Roman"/>
          <w:b w:val="0"/>
          <w:bCs/>
          <w:color w:val="auto"/>
          <w:kern w:val="2"/>
          <w:sz w:val="28"/>
          <w:szCs w:val="28"/>
          <w:highlight w:val="none"/>
          <w:lang w:val="en-US" w:eastAsia="zh-CN" w:bidi="ar-SA"/>
        </w:rPr>
      </w:pPr>
      <w:r>
        <w:rPr>
          <w:rFonts w:hint="eastAsia" w:ascii="Times New Roman" w:hAnsi="Times New Roman" w:eastAsia="仿宋_GB2312" w:cs="Times New Roman"/>
          <w:b w:val="0"/>
          <w:bCs/>
          <w:color w:val="auto"/>
          <w:kern w:val="2"/>
          <w:sz w:val="28"/>
          <w:szCs w:val="28"/>
          <w:highlight w:val="none"/>
          <w:lang w:val="en-US" w:eastAsia="zh-CN" w:bidi="ar-SA"/>
        </w:rPr>
        <w:t>（8）遮阳棚</w:t>
      </w:r>
    </w:p>
    <w:p>
      <w:pPr>
        <w:pStyle w:val="48"/>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b w:val="0"/>
          <w:bCs/>
          <w:color w:val="auto"/>
          <w:kern w:val="2"/>
          <w:sz w:val="28"/>
          <w:szCs w:val="28"/>
          <w:highlight w:val="none"/>
          <w:lang w:val="en-US" w:eastAsia="zh-CN" w:bidi="ar-SA"/>
        </w:rPr>
      </w:pPr>
    </w:p>
    <w:p>
      <w:pPr>
        <w:pStyle w:val="48"/>
        <w:pageBreakBefore w:val="0"/>
        <w:widowControl w:val="0"/>
        <w:numPr>
          <w:ilvl w:val="0"/>
          <w:numId w:val="0"/>
        </w:numPr>
        <w:kinsoku/>
        <w:wordWrap/>
        <w:overflowPunct/>
        <w:topLinePunct w:val="0"/>
        <w:autoSpaceDE/>
        <w:autoSpaceDN/>
        <w:bidi w:val="0"/>
        <w:spacing w:line="240" w:lineRule="auto"/>
        <w:textAlignment w:val="auto"/>
        <w:rPr>
          <w:rFonts w:hint="eastAsia" w:eastAsia="仿宋_GB2312" w:cs="Times New Roman"/>
          <w:b/>
          <w:bCs w:val="0"/>
          <w:color w:val="auto"/>
          <w:kern w:val="2"/>
          <w:sz w:val="28"/>
          <w:szCs w:val="28"/>
          <w:highlight w:val="none"/>
          <w:lang w:val="en-US" w:eastAsia="zh-CN" w:bidi="ar-SA"/>
        </w:rPr>
      </w:pPr>
      <w:r>
        <w:rPr>
          <w:rFonts w:hint="eastAsia" w:eastAsia="仿宋_GB2312" w:cs="Times New Roman"/>
          <w:b/>
          <w:bCs w:val="0"/>
          <w:color w:val="auto"/>
          <w:kern w:val="2"/>
          <w:sz w:val="28"/>
          <w:szCs w:val="28"/>
          <w:highlight w:val="none"/>
          <w:lang w:val="en-US" w:eastAsia="zh-CN" w:bidi="ar-SA"/>
        </w:rPr>
        <w:drawing>
          <wp:inline distT="0" distB="0" distL="114300" distR="114300">
            <wp:extent cx="5614035" cy="3850640"/>
            <wp:effectExtent l="0" t="0" r="5715" b="16510"/>
            <wp:docPr id="4" name="图片 1" descr="罐体图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罐体图纸"/>
                    <pic:cNvPicPr>
                      <a:picLocks noChangeAspect="1"/>
                    </pic:cNvPicPr>
                  </pic:nvPicPr>
                  <pic:blipFill>
                    <a:blip r:embed="rId8"/>
                    <a:stretch>
                      <a:fillRect/>
                    </a:stretch>
                  </pic:blipFill>
                  <pic:spPr>
                    <a:xfrm>
                      <a:off x="0" y="0"/>
                      <a:ext cx="5614035" cy="3850640"/>
                    </a:xfrm>
                    <a:prstGeom prst="rect">
                      <a:avLst/>
                    </a:prstGeom>
                    <a:noFill/>
                    <a:ln>
                      <a:noFill/>
                    </a:ln>
                  </pic:spPr>
                </pic:pic>
              </a:graphicData>
            </a:graphic>
          </wp:inline>
        </w:drawing>
      </w:r>
    </w:p>
    <w:p>
      <w:pPr>
        <w:pStyle w:val="48"/>
        <w:pageBreakBefore w:val="0"/>
        <w:widowControl w:val="0"/>
        <w:numPr>
          <w:ilvl w:val="0"/>
          <w:numId w:val="0"/>
        </w:numPr>
        <w:kinsoku/>
        <w:wordWrap/>
        <w:overflowPunct/>
        <w:topLinePunct w:val="0"/>
        <w:autoSpaceDE/>
        <w:autoSpaceDN/>
        <w:bidi w:val="0"/>
        <w:spacing w:line="500" w:lineRule="exact"/>
        <w:textAlignment w:val="auto"/>
        <w:rPr>
          <w:rFonts w:hint="eastAsia" w:eastAsia="仿宋_GB2312" w:cs="Times New Roman"/>
          <w:b/>
          <w:bCs w:val="0"/>
          <w:color w:val="auto"/>
          <w:kern w:val="2"/>
          <w:sz w:val="28"/>
          <w:szCs w:val="28"/>
          <w:highlight w:val="none"/>
          <w:lang w:val="en-US" w:eastAsia="zh-CN" w:bidi="ar-SA"/>
        </w:rPr>
      </w:pPr>
      <w:r>
        <w:rPr>
          <w:rFonts w:hint="eastAsia" w:eastAsia="仿宋_GB2312" w:cs="Times New Roman"/>
          <w:b/>
          <w:bCs w:val="0"/>
          <w:color w:val="auto"/>
          <w:kern w:val="2"/>
          <w:sz w:val="28"/>
          <w:szCs w:val="28"/>
          <w:highlight w:val="none"/>
          <w:lang w:val="en-US" w:eastAsia="zh-CN" w:bidi="ar-SA"/>
        </w:rPr>
        <w:t xml:space="preserve">                          罐体示意图</w:t>
      </w:r>
    </w:p>
    <w:p>
      <w:pPr>
        <w:pStyle w:val="48"/>
        <w:pageBreakBefore w:val="0"/>
        <w:widowControl w:val="0"/>
        <w:numPr>
          <w:ilvl w:val="0"/>
          <w:numId w:val="0"/>
        </w:numPr>
        <w:kinsoku/>
        <w:wordWrap/>
        <w:overflowPunct/>
        <w:topLinePunct w:val="0"/>
        <w:autoSpaceDE/>
        <w:autoSpaceDN/>
        <w:bidi w:val="0"/>
        <w:spacing w:line="500" w:lineRule="exact"/>
        <w:textAlignment w:val="auto"/>
        <w:rPr>
          <w:rFonts w:hint="eastAsia" w:eastAsia="仿宋_GB2312" w:cs="Times New Roman"/>
          <w:b/>
          <w:bCs w:val="0"/>
          <w:color w:val="auto"/>
          <w:kern w:val="2"/>
          <w:sz w:val="28"/>
          <w:szCs w:val="28"/>
          <w:highlight w:val="none"/>
          <w:lang w:val="en-US" w:eastAsia="zh-CN" w:bidi="ar-SA"/>
        </w:rPr>
      </w:pPr>
    </w:p>
    <w:p>
      <w:pPr>
        <w:pStyle w:val="48"/>
        <w:pageBreakBefore w:val="0"/>
        <w:widowControl w:val="0"/>
        <w:numPr>
          <w:ilvl w:val="0"/>
          <w:numId w:val="0"/>
        </w:numPr>
        <w:kinsoku/>
        <w:wordWrap/>
        <w:overflowPunct/>
        <w:topLinePunct w:val="0"/>
        <w:autoSpaceDE/>
        <w:autoSpaceDN/>
        <w:bidi w:val="0"/>
        <w:spacing w:line="240" w:lineRule="auto"/>
        <w:textAlignment w:val="auto"/>
        <w:rPr>
          <w:rFonts w:hint="default" w:eastAsia="仿宋_GB2312" w:cs="Times New Roman"/>
          <w:b/>
          <w:bCs w:val="0"/>
          <w:color w:val="auto"/>
          <w:kern w:val="2"/>
          <w:sz w:val="28"/>
          <w:szCs w:val="28"/>
          <w:highlight w:val="none"/>
          <w:lang w:val="en-US" w:eastAsia="zh-CN" w:bidi="ar-SA"/>
        </w:rPr>
      </w:pPr>
      <w:r>
        <w:rPr>
          <w:rFonts w:hint="default" w:eastAsia="仿宋_GB2312" w:cs="Times New Roman"/>
          <w:b/>
          <w:bCs w:val="0"/>
          <w:color w:val="auto"/>
          <w:kern w:val="2"/>
          <w:sz w:val="28"/>
          <w:szCs w:val="28"/>
          <w:highlight w:val="none"/>
          <w:lang w:val="en-US" w:eastAsia="zh-CN" w:bidi="ar-SA"/>
        </w:rPr>
        <w:drawing>
          <wp:inline distT="0" distB="0" distL="114300" distR="114300">
            <wp:extent cx="5609590" cy="4207510"/>
            <wp:effectExtent l="0" t="0" r="10160" b="2540"/>
            <wp:docPr id="5" name="图片 2" descr="微信图片_2021121716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微信图片_20211217164808"/>
                    <pic:cNvPicPr>
                      <a:picLocks noChangeAspect="1"/>
                    </pic:cNvPicPr>
                  </pic:nvPicPr>
                  <pic:blipFill>
                    <a:blip r:embed="rId9"/>
                    <a:stretch>
                      <a:fillRect/>
                    </a:stretch>
                  </pic:blipFill>
                  <pic:spPr>
                    <a:xfrm>
                      <a:off x="0" y="0"/>
                      <a:ext cx="5609590" cy="4207510"/>
                    </a:xfrm>
                    <a:prstGeom prst="rect">
                      <a:avLst/>
                    </a:prstGeom>
                    <a:noFill/>
                    <a:ln>
                      <a:noFill/>
                    </a:ln>
                  </pic:spPr>
                </pic:pic>
              </a:graphicData>
            </a:graphic>
          </wp:inline>
        </w:drawing>
      </w:r>
    </w:p>
    <w:p>
      <w:pPr>
        <w:pStyle w:val="48"/>
        <w:pageBreakBefore w:val="0"/>
        <w:widowControl w:val="0"/>
        <w:numPr>
          <w:ilvl w:val="0"/>
          <w:numId w:val="0"/>
        </w:numPr>
        <w:kinsoku/>
        <w:wordWrap/>
        <w:overflowPunct/>
        <w:topLinePunct w:val="0"/>
        <w:autoSpaceDE/>
        <w:autoSpaceDN/>
        <w:bidi w:val="0"/>
        <w:spacing w:line="500" w:lineRule="exact"/>
        <w:ind w:firstLine="3654" w:firstLineChars="1300"/>
        <w:textAlignment w:val="auto"/>
        <w:rPr>
          <w:rFonts w:hint="eastAsia" w:eastAsia="仿宋_GB2312" w:cs="Times New Roman"/>
          <w:b/>
          <w:bCs w:val="0"/>
          <w:color w:val="auto"/>
          <w:kern w:val="2"/>
          <w:sz w:val="28"/>
          <w:szCs w:val="28"/>
          <w:highlight w:val="none"/>
          <w:lang w:val="en-US" w:eastAsia="zh-CN" w:bidi="ar-SA"/>
        </w:rPr>
      </w:pPr>
      <w:r>
        <w:rPr>
          <w:rFonts w:hint="eastAsia" w:eastAsia="仿宋_GB2312" w:cs="Times New Roman"/>
          <w:b/>
          <w:bCs w:val="0"/>
          <w:color w:val="auto"/>
          <w:kern w:val="2"/>
          <w:sz w:val="28"/>
          <w:szCs w:val="28"/>
          <w:highlight w:val="none"/>
          <w:lang w:val="en-US" w:eastAsia="zh-CN" w:bidi="ar-SA"/>
        </w:rPr>
        <w:t>罐体示意图</w:t>
      </w:r>
    </w:p>
    <w:p>
      <w:pPr>
        <w:pStyle w:val="48"/>
        <w:pageBreakBefore w:val="0"/>
        <w:widowControl w:val="0"/>
        <w:numPr>
          <w:ilvl w:val="0"/>
          <w:numId w:val="0"/>
        </w:numPr>
        <w:kinsoku/>
        <w:wordWrap/>
        <w:overflowPunct/>
        <w:topLinePunct w:val="0"/>
        <w:autoSpaceDE/>
        <w:autoSpaceDN/>
        <w:bidi w:val="0"/>
        <w:spacing w:line="240" w:lineRule="auto"/>
        <w:textAlignment w:val="auto"/>
        <w:rPr>
          <w:rFonts w:hint="eastAsia" w:eastAsia="仿宋_GB2312" w:cs="Times New Roman"/>
          <w:b/>
          <w:bCs w:val="0"/>
          <w:color w:val="auto"/>
          <w:kern w:val="2"/>
          <w:sz w:val="28"/>
          <w:szCs w:val="28"/>
          <w:highlight w:val="none"/>
          <w:lang w:val="en-US" w:eastAsia="zh-CN" w:bidi="ar-SA"/>
        </w:rPr>
      </w:pPr>
      <w:r>
        <w:rPr>
          <w:rFonts w:hint="eastAsia" w:eastAsia="仿宋_GB2312" w:cs="Times New Roman"/>
          <w:b/>
          <w:bCs w:val="0"/>
          <w:color w:val="auto"/>
          <w:kern w:val="2"/>
          <w:sz w:val="28"/>
          <w:szCs w:val="28"/>
          <w:highlight w:val="none"/>
          <w:lang w:val="en-US" w:eastAsia="zh-CN" w:bidi="ar-SA"/>
        </w:rPr>
        <w:drawing>
          <wp:inline distT="0" distB="0" distL="114300" distR="114300">
            <wp:extent cx="5614035" cy="3549015"/>
            <wp:effectExtent l="0" t="0" r="5715" b="13335"/>
            <wp:docPr id="2" name="图片 3" descr="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平面图"/>
                    <pic:cNvPicPr>
                      <a:picLocks noChangeAspect="1"/>
                    </pic:cNvPicPr>
                  </pic:nvPicPr>
                  <pic:blipFill>
                    <a:blip r:embed="rId10"/>
                    <a:stretch>
                      <a:fillRect/>
                    </a:stretch>
                  </pic:blipFill>
                  <pic:spPr>
                    <a:xfrm>
                      <a:off x="0" y="0"/>
                      <a:ext cx="5614035" cy="3549015"/>
                    </a:xfrm>
                    <a:prstGeom prst="rect">
                      <a:avLst/>
                    </a:prstGeom>
                    <a:noFill/>
                    <a:ln>
                      <a:noFill/>
                    </a:ln>
                  </pic:spPr>
                </pic:pic>
              </a:graphicData>
            </a:graphic>
          </wp:inline>
        </w:drawing>
      </w:r>
    </w:p>
    <w:p>
      <w:pPr>
        <w:pStyle w:val="48"/>
        <w:pageBreakBefore w:val="0"/>
        <w:widowControl w:val="0"/>
        <w:numPr>
          <w:ilvl w:val="0"/>
          <w:numId w:val="0"/>
        </w:numPr>
        <w:kinsoku/>
        <w:wordWrap/>
        <w:overflowPunct/>
        <w:topLinePunct w:val="0"/>
        <w:autoSpaceDE/>
        <w:autoSpaceDN/>
        <w:bidi w:val="0"/>
        <w:spacing w:line="500" w:lineRule="exact"/>
        <w:ind w:firstLine="3935" w:firstLineChars="1400"/>
        <w:textAlignment w:val="auto"/>
        <w:rPr>
          <w:rFonts w:hint="eastAsia" w:eastAsia="仿宋_GB2312" w:cs="Times New Roman"/>
          <w:b/>
          <w:bCs w:val="0"/>
          <w:color w:val="auto"/>
          <w:kern w:val="2"/>
          <w:sz w:val="28"/>
          <w:szCs w:val="28"/>
          <w:highlight w:val="none"/>
          <w:lang w:val="en-US" w:eastAsia="zh-CN" w:bidi="ar-SA"/>
        </w:rPr>
      </w:pPr>
      <w:r>
        <w:rPr>
          <w:rFonts w:hint="eastAsia" w:eastAsia="仿宋_GB2312" w:cs="Times New Roman"/>
          <w:b/>
          <w:bCs w:val="0"/>
          <w:color w:val="auto"/>
          <w:kern w:val="2"/>
          <w:sz w:val="28"/>
          <w:szCs w:val="28"/>
          <w:highlight w:val="none"/>
          <w:lang w:val="en-US" w:eastAsia="zh-CN" w:bidi="ar-SA"/>
        </w:rPr>
        <w:t>平面图</w:t>
      </w:r>
    </w:p>
    <w:p>
      <w:pPr>
        <w:pStyle w:val="48"/>
        <w:pageBreakBefore w:val="0"/>
        <w:widowControl w:val="0"/>
        <w:numPr>
          <w:ilvl w:val="0"/>
          <w:numId w:val="0"/>
        </w:numPr>
        <w:kinsoku/>
        <w:wordWrap/>
        <w:overflowPunct/>
        <w:topLinePunct w:val="0"/>
        <w:autoSpaceDE/>
        <w:autoSpaceDN/>
        <w:bidi w:val="0"/>
        <w:spacing w:line="240" w:lineRule="auto"/>
        <w:textAlignment w:val="auto"/>
        <w:rPr>
          <w:rFonts w:hint="default" w:eastAsia="仿宋_GB2312" w:cs="Times New Roman"/>
          <w:b/>
          <w:bCs w:val="0"/>
          <w:color w:val="auto"/>
          <w:kern w:val="2"/>
          <w:sz w:val="28"/>
          <w:szCs w:val="28"/>
          <w:highlight w:val="none"/>
          <w:lang w:val="en-US" w:eastAsia="zh-CN" w:bidi="ar-SA"/>
        </w:rPr>
      </w:pPr>
      <w:r>
        <w:rPr>
          <w:rFonts w:hint="default" w:eastAsia="仿宋_GB2312" w:cs="Times New Roman"/>
          <w:b/>
          <w:bCs w:val="0"/>
          <w:color w:val="auto"/>
          <w:kern w:val="2"/>
          <w:sz w:val="28"/>
          <w:szCs w:val="28"/>
          <w:highlight w:val="none"/>
          <w:lang w:val="en-US" w:eastAsia="zh-CN" w:bidi="ar-SA"/>
        </w:rPr>
        <w:drawing>
          <wp:inline distT="0" distB="0" distL="114300" distR="114300">
            <wp:extent cx="5607050" cy="3258820"/>
            <wp:effectExtent l="0" t="0" r="12700" b="17780"/>
            <wp:docPr id="1" name="图片 4" descr="管线路由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管线路由图1"/>
                    <pic:cNvPicPr>
                      <a:picLocks noChangeAspect="1"/>
                    </pic:cNvPicPr>
                  </pic:nvPicPr>
                  <pic:blipFill>
                    <a:blip r:embed="rId11"/>
                    <a:stretch>
                      <a:fillRect/>
                    </a:stretch>
                  </pic:blipFill>
                  <pic:spPr>
                    <a:xfrm>
                      <a:off x="0" y="0"/>
                      <a:ext cx="5607050" cy="3258820"/>
                    </a:xfrm>
                    <a:prstGeom prst="rect">
                      <a:avLst/>
                    </a:prstGeom>
                    <a:noFill/>
                    <a:ln>
                      <a:noFill/>
                    </a:ln>
                  </pic:spPr>
                </pic:pic>
              </a:graphicData>
            </a:graphic>
          </wp:inline>
        </w:drawing>
      </w:r>
    </w:p>
    <w:p>
      <w:pPr>
        <w:pStyle w:val="48"/>
        <w:pageBreakBefore w:val="0"/>
        <w:widowControl w:val="0"/>
        <w:numPr>
          <w:ilvl w:val="0"/>
          <w:numId w:val="0"/>
        </w:numPr>
        <w:kinsoku/>
        <w:wordWrap/>
        <w:overflowPunct/>
        <w:topLinePunct w:val="0"/>
        <w:autoSpaceDE/>
        <w:autoSpaceDN/>
        <w:bidi w:val="0"/>
        <w:spacing w:line="500" w:lineRule="exact"/>
        <w:ind w:firstLine="3373" w:firstLineChars="1200"/>
        <w:textAlignment w:val="auto"/>
        <w:rPr>
          <w:rFonts w:hint="default" w:eastAsia="仿宋_GB2312" w:cs="Times New Roman"/>
          <w:b/>
          <w:bCs w:val="0"/>
          <w:color w:val="auto"/>
          <w:kern w:val="2"/>
          <w:sz w:val="28"/>
          <w:szCs w:val="28"/>
          <w:highlight w:val="none"/>
          <w:lang w:val="en-US" w:eastAsia="zh-CN" w:bidi="ar-SA"/>
        </w:rPr>
      </w:pPr>
      <w:r>
        <w:rPr>
          <w:rFonts w:hint="eastAsia" w:eastAsia="仿宋_GB2312" w:cs="Times New Roman"/>
          <w:b/>
          <w:bCs w:val="0"/>
          <w:color w:val="auto"/>
          <w:kern w:val="2"/>
          <w:sz w:val="28"/>
          <w:szCs w:val="28"/>
          <w:highlight w:val="none"/>
          <w:lang w:val="en-US" w:eastAsia="zh-CN" w:bidi="ar-SA"/>
        </w:rPr>
        <w:t>管道路由图1</w:t>
      </w:r>
    </w:p>
    <w:p>
      <w:pPr>
        <w:pStyle w:val="48"/>
        <w:pageBreakBefore w:val="0"/>
        <w:widowControl w:val="0"/>
        <w:numPr>
          <w:ilvl w:val="0"/>
          <w:numId w:val="0"/>
        </w:numPr>
        <w:kinsoku/>
        <w:wordWrap/>
        <w:overflowPunct/>
        <w:topLinePunct w:val="0"/>
        <w:autoSpaceDE/>
        <w:autoSpaceDN/>
        <w:bidi w:val="0"/>
        <w:spacing w:line="240" w:lineRule="auto"/>
        <w:textAlignment w:val="auto"/>
        <w:rPr>
          <w:rFonts w:hint="eastAsia" w:eastAsia="仿宋_GB2312" w:cs="Times New Roman"/>
          <w:b/>
          <w:bCs w:val="0"/>
          <w:color w:val="auto"/>
          <w:kern w:val="2"/>
          <w:sz w:val="28"/>
          <w:szCs w:val="28"/>
          <w:highlight w:val="none"/>
          <w:lang w:val="en-US" w:eastAsia="zh-CN" w:bidi="ar-SA"/>
        </w:rPr>
      </w:pPr>
      <w:r>
        <w:rPr>
          <w:rFonts w:hint="eastAsia" w:eastAsia="仿宋_GB2312" w:cs="Times New Roman"/>
          <w:b/>
          <w:bCs w:val="0"/>
          <w:color w:val="auto"/>
          <w:kern w:val="2"/>
          <w:sz w:val="28"/>
          <w:szCs w:val="28"/>
          <w:highlight w:val="none"/>
          <w:lang w:val="en-US" w:eastAsia="zh-CN" w:bidi="ar-SA"/>
        </w:rPr>
        <w:drawing>
          <wp:inline distT="0" distB="0" distL="114300" distR="114300">
            <wp:extent cx="5615305" cy="6170930"/>
            <wp:effectExtent l="0" t="0" r="4445" b="1270"/>
            <wp:docPr id="3" name="图片 5" descr="管线路由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管线路由图2"/>
                    <pic:cNvPicPr>
                      <a:picLocks noChangeAspect="1"/>
                    </pic:cNvPicPr>
                  </pic:nvPicPr>
                  <pic:blipFill>
                    <a:blip r:embed="rId12"/>
                    <a:stretch>
                      <a:fillRect/>
                    </a:stretch>
                  </pic:blipFill>
                  <pic:spPr>
                    <a:xfrm>
                      <a:off x="0" y="0"/>
                      <a:ext cx="5615305" cy="6170930"/>
                    </a:xfrm>
                    <a:prstGeom prst="rect">
                      <a:avLst/>
                    </a:prstGeom>
                    <a:noFill/>
                    <a:ln>
                      <a:noFill/>
                    </a:ln>
                  </pic:spPr>
                </pic:pic>
              </a:graphicData>
            </a:graphic>
          </wp:inline>
        </w:drawing>
      </w:r>
    </w:p>
    <w:p>
      <w:pPr>
        <w:pStyle w:val="48"/>
        <w:pageBreakBefore w:val="0"/>
        <w:widowControl w:val="0"/>
        <w:numPr>
          <w:ilvl w:val="0"/>
          <w:numId w:val="0"/>
        </w:numPr>
        <w:kinsoku/>
        <w:wordWrap/>
        <w:overflowPunct/>
        <w:topLinePunct w:val="0"/>
        <w:autoSpaceDE/>
        <w:autoSpaceDN/>
        <w:bidi w:val="0"/>
        <w:spacing w:line="500" w:lineRule="exact"/>
        <w:ind w:firstLine="3373" w:firstLineChars="1200"/>
        <w:textAlignment w:val="auto"/>
        <w:rPr>
          <w:rFonts w:hint="eastAsia" w:eastAsia="仿宋_GB2312" w:cs="Times New Roman"/>
          <w:b/>
          <w:bCs w:val="0"/>
          <w:color w:val="auto"/>
          <w:kern w:val="2"/>
          <w:sz w:val="28"/>
          <w:szCs w:val="28"/>
          <w:highlight w:val="none"/>
          <w:lang w:val="en-US" w:eastAsia="zh-CN" w:bidi="ar-SA"/>
        </w:rPr>
      </w:pPr>
      <w:r>
        <w:rPr>
          <w:rFonts w:hint="eastAsia" w:eastAsia="仿宋_GB2312" w:cs="Times New Roman"/>
          <w:b/>
          <w:bCs w:val="0"/>
          <w:color w:val="auto"/>
          <w:kern w:val="2"/>
          <w:sz w:val="28"/>
          <w:szCs w:val="28"/>
          <w:highlight w:val="none"/>
          <w:lang w:val="en-US" w:eastAsia="zh-CN" w:bidi="ar-SA"/>
        </w:rPr>
        <w:t>罐体路由图2</w:t>
      </w:r>
    </w:p>
    <w:p>
      <w:pPr>
        <w:pStyle w:val="48"/>
        <w:pageBreakBefore w:val="0"/>
        <w:widowControl w:val="0"/>
        <w:numPr>
          <w:ilvl w:val="0"/>
          <w:numId w:val="0"/>
        </w:numPr>
        <w:kinsoku/>
        <w:wordWrap/>
        <w:overflowPunct/>
        <w:topLinePunct w:val="0"/>
        <w:autoSpaceDE/>
        <w:autoSpaceDN/>
        <w:bidi w:val="0"/>
        <w:spacing w:line="500" w:lineRule="exact"/>
        <w:textAlignment w:val="auto"/>
        <w:rPr>
          <w:rFonts w:hint="default" w:eastAsia="仿宋_GB2312" w:cs="Times New Roman"/>
          <w:b/>
          <w:bCs w:val="0"/>
          <w:color w:val="auto"/>
          <w:kern w:val="2"/>
          <w:sz w:val="28"/>
          <w:szCs w:val="28"/>
          <w:highlight w:val="none"/>
          <w:lang w:val="en-US" w:eastAsia="zh-CN" w:bidi="ar-SA"/>
        </w:rPr>
      </w:pPr>
    </w:p>
    <w:p>
      <w:pPr>
        <w:pStyle w:val="48"/>
        <w:pageBreakBefore w:val="0"/>
        <w:widowControl w:val="0"/>
        <w:numPr>
          <w:ilvl w:val="0"/>
          <w:numId w:val="0"/>
        </w:numPr>
        <w:kinsoku/>
        <w:wordWrap/>
        <w:overflowPunct/>
        <w:topLinePunct w:val="0"/>
        <w:autoSpaceDE/>
        <w:autoSpaceDN/>
        <w:bidi w:val="0"/>
        <w:spacing w:line="240" w:lineRule="auto"/>
        <w:textAlignment w:val="auto"/>
        <w:rPr>
          <w:rFonts w:hint="eastAsia" w:eastAsia="仿宋_GB2312" w:cs="Times New Roman"/>
          <w:b/>
          <w:bCs w:val="0"/>
          <w:color w:val="auto"/>
          <w:kern w:val="2"/>
          <w:sz w:val="28"/>
          <w:szCs w:val="28"/>
          <w:highlight w:val="none"/>
          <w:lang w:val="en-US" w:eastAsia="zh-CN" w:bidi="ar-SA"/>
        </w:rPr>
      </w:pPr>
      <w:r>
        <w:rPr>
          <w:rFonts w:hint="eastAsia" w:eastAsia="仿宋_GB2312" w:cs="Times New Roman"/>
          <w:b/>
          <w:bCs w:val="0"/>
          <w:color w:val="auto"/>
          <w:kern w:val="2"/>
          <w:sz w:val="28"/>
          <w:szCs w:val="28"/>
          <w:highlight w:val="none"/>
          <w:lang w:val="en-US" w:eastAsia="zh-CN" w:bidi="ar-SA"/>
        </w:rPr>
        <w:drawing>
          <wp:inline distT="0" distB="0" distL="114300" distR="114300">
            <wp:extent cx="5581650" cy="4185920"/>
            <wp:effectExtent l="0" t="0" r="0" b="5080"/>
            <wp:docPr id="6" name="图片 6" descr="微信图片_20211217164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112171648081"/>
                    <pic:cNvPicPr>
                      <a:picLocks noChangeAspect="1"/>
                    </pic:cNvPicPr>
                  </pic:nvPicPr>
                  <pic:blipFill>
                    <a:blip r:embed="rId13"/>
                    <a:stretch>
                      <a:fillRect/>
                    </a:stretch>
                  </pic:blipFill>
                  <pic:spPr>
                    <a:xfrm>
                      <a:off x="0" y="0"/>
                      <a:ext cx="5581650" cy="4185920"/>
                    </a:xfrm>
                    <a:prstGeom prst="rect">
                      <a:avLst/>
                    </a:prstGeom>
                    <a:noFill/>
                    <a:ln>
                      <a:noFill/>
                    </a:ln>
                  </pic:spPr>
                </pic:pic>
              </a:graphicData>
            </a:graphic>
          </wp:inline>
        </w:drawing>
      </w:r>
    </w:p>
    <w:p>
      <w:pPr>
        <w:pStyle w:val="48"/>
        <w:pageBreakBefore w:val="0"/>
        <w:widowControl w:val="0"/>
        <w:numPr>
          <w:ilvl w:val="0"/>
          <w:numId w:val="0"/>
        </w:numPr>
        <w:kinsoku/>
        <w:wordWrap/>
        <w:overflowPunct/>
        <w:topLinePunct w:val="0"/>
        <w:autoSpaceDE/>
        <w:autoSpaceDN/>
        <w:bidi w:val="0"/>
        <w:spacing w:line="240" w:lineRule="auto"/>
        <w:ind w:firstLine="3654" w:firstLineChars="1300"/>
        <w:textAlignment w:val="auto"/>
        <w:rPr>
          <w:rFonts w:hint="default" w:eastAsia="仿宋_GB2312" w:cs="Times New Roman"/>
          <w:b/>
          <w:bCs w:val="0"/>
          <w:color w:val="auto"/>
          <w:kern w:val="2"/>
          <w:sz w:val="28"/>
          <w:szCs w:val="28"/>
          <w:highlight w:val="none"/>
          <w:lang w:val="en-US" w:eastAsia="zh-CN" w:bidi="ar-SA"/>
        </w:rPr>
      </w:pPr>
      <w:r>
        <w:rPr>
          <w:rFonts w:hint="eastAsia" w:eastAsia="仿宋_GB2312" w:cs="Times New Roman"/>
          <w:b/>
          <w:bCs w:val="0"/>
          <w:color w:val="auto"/>
          <w:kern w:val="2"/>
          <w:sz w:val="28"/>
          <w:szCs w:val="28"/>
          <w:highlight w:val="none"/>
          <w:lang w:val="en-US" w:eastAsia="zh-CN" w:bidi="ar-SA"/>
        </w:rPr>
        <w:t>现场图片</w:t>
      </w:r>
    </w:p>
    <w:p>
      <w:pPr>
        <w:pStyle w:val="48"/>
        <w:pageBreakBefore w:val="0"/>
        <w:widowControl w:val="0"/>
        <w:numPr>
          <w:ilvl w:val="0"/>
          <w:numId w:val="0"/>
        </w:numPr>
        <w:kinsoku/>
        <w:wordWrap/>
        <w:overflowPunct/>
        <w:topLinePunct w:val="0"/>
        <w:autoSpaceDE/>
        <w:autoSpaceDN/>
        <w:bidi w:val="0"/>
        <w:spacing w:line="500" w:lineRule="exact"/>
        <w:textAlignment w:val="auto"/>
        <w:rPr>
          <w:rFonts w:hint="default" w:ascii="Times New Roman" w:hAnsi="Times New Roman" w:eastAsia="仿宋_GB2312" w:cs="Times New Roman"/>
          <w:b/>
          <w:bCs w:val="0"/>
          <w:color w:val="auto"/>
          <w:kern w:val="2"/>
          <w:sz w:val="28"/>
          <w:szCs w:val="28"/>
          <w:highlight w:val="none"/>
          <w:lang w:val="en-US" w:eastAsia="zh-CN" w:bidi="ar-SA"/>
        </w:rPr>
      </w:pPr>
      <w:r>
        <w:rPr>
          <w:rFonts w:hint="eastAsia" w:eastAsia="仿宋_GB2312" w:cs="Times New Roman"/>
          <w:b/>
          <w:bCs w:val="0"/>
          <w:color w:val="auto"/>
          <w:kern w:val="2"/>
          <w:sz w:val="28"/>
          <w:szCs w:val="28"/>
          <w:highlight w:val="none"/>
          <w:lang w:val="en-US" w:eastAsia="zh-CN" w:bidi="ar-SA"/>
        </w:rPr>
        <w:t>（一）</w:t>
      </w:r>
      <w:r>
        <w:rPr>
          <w:rFonts w:hint="eastAsia" w:ascii="Times New Roman" w:hAnsi="Times New Roman" w:eastAsia="仿宋_GB2312" w:cs="Times New Roman"/>
          <w:b/>
          <w:bCs w:val="0"/>
          <w:color w:val="auto"/>
          <w:kern w:val="2"/>
          <w:sz w:val="28"/>
          <w:szCs w:val="28"/>
          <w:highlight w:val="none"/>
          <w:lang w:val="en-US" w:eastAsia="zh-CN" w:bidi="ar-SA"/>
        </w:rPr>
        <w:t>管道</w:t>
      </w:r>
    </w:p>
    <w:p>
      <w:pPr>
        <w:pStyle w:val="49"/>
        <w:pageBreakBefore w:val="0"/>
        <w:numPr>
          <w:ilvl w:val="0"/>
          <w:numId w:val="0"/>
        </w:numPr>
        <w:kinsoku/>
        <w:wordWrap/>
        <w:overflowPunct/>
        <w:topLinePunct w:val="0"/>
        <w:autoSpaceDE/>
        <w:autoSpaceDN/>
        <w:bidi w:val="0"/>
        <w:spacing w:line="500" w:lineRule="exact"/>
        <w:ind w:leftChars="0"/>
        <w:textAlignment w:val="auto"/>
        <w:rPr>
          <w:rFonts w:hint="eastAsia" w:ascii="Times New Roman" w:hAnsi="Times New Roman" w:eastAsia="仿宋_GB2312" w:cs="Times New Roman"/>
          <w:b/>
          <w:bCs w:val="0"/>
          <w:color w:val="auto"/>
          <w:kern w:val="2"/>
          <w:sz w:val="28"/>
          <w:szCs w:val="28"/>
          <w:highlight w:val="none"/>
          <w:lang w:val="en-US" w:eastAsia="zh-CN" w:bidi="ar-SA"/>
        </w:rPr>
      </w:pPr>
      <w:bookmarkStart w:id="61" w:name="_Toc468974527"/>
      <w:bookmarkStart w:id="62" w:name="_Toc376177493"/>
      <w:bookmarkStart w:id="63" w:name="_Toc468974121"/>
      <w:r>
        <w:rPr>
          <w:rFonts w:hint="eastAsia" w:ascii="Times New Roman" w:hAnsi="Times New Roman" w:eastAsia="仿宋_GB2312" w:cs="Times New Roman"/>
          <w:b/>
          <w:bCs w:val="0"/>
          <w:color w:val="auto"/>
          <w:kern w:val="2"/>
          <w:sz w:val="28"/>
          <w:szCs w:val="28"/>
          <w:highlight w:val="none"/>
          <w:lang w:val="en-US" w:eastAsia="zh-CN" w:bidi="ar-SA"/>
        </w:rPr>
        <w:t>1.1管道材质</w:t>
      </w:r>
    </w:p>
    <w:p>
      <w:pPr>
        <w:pStyle w:val="49"/>
        <w:pageBreakBefore w:val="0"/>
        <w:numPr>
          <w:ilvl w:val="0"/>
          <w:numId w:val="0"/>
        </w:numPr>
        <w:kinsoku/>
        <w:wordWrap/>
        <w:overflowPunct/>
        <w:topLinePunct w:val="0"/>
        <w:autoSpaceDE/>
        <w:autoSpaceDN/>
        <w:bidi w:val="0"/>
        <w:spacing w:line="500" w:lineRule="exact"/>
        <w:ind w:leftChars="0"/>
        <w:textAlignment w:val="auto"/>
        <w:rPr>
          <w:rFonts w:hint="eastAsia" w:ascii="Times New Roman" w:hAnsi="Times New Roman" w:eastAsia="仿宋_GB2312" w:cs="Times New Roman"/>
          <w:b w:val="0"/>
          <w:bCs/>
          <w:color w:val="auto"/>
          <w:kern w:val="2"/>
          <w:sz w:val="28"/>
          <w:szCs w:val="28"/>
          <w:highlight w:val="none"/>
          <w:lang w:val="en-US" w:eastAsia="zh-CN" w:bidi="ar-SA"/>
        </w:rPr>
      </w:pPr>
      <w:r>
        <w:rPr>
          <w:rFonts w:hint="eastAsia" w:ascii="Times New Roman" w:hAnsi="Times New Roman" w:eastAsia="仿宋_GB2312" w:cs="Times New Roman"/>
          <w:b w:val="0"/>
          <w:bCs/>
          <w:color w:val="auto"/>
          <w:kern w:val="2"/>
          <w:sz w:val="28"/>
          <w:szCs w:val="28"/>
          <w:highlight w:val="none"/>
          <w:lang w:val="en-US" w:eastAsia="zh-CN" w:bidi="ar-SA"/>
        </w:rPr>
        <w:t>药剂管道：药剂管道采用PVC材质。</w:t>
      </w:r>
    </w:p>
    <w:p>
      <w:pPr>
        <w:pStyle w:val="49"/>
        <w:pageBreakBefore w:val="0"/>
        <w:numPr>
          <w:ilvl w:val="0"/>
          <w:numId w:val="0"/>
        </w:numPr>
        <w:kinsoku/>
        <w:wordWrap/>
        <w:overflowPunct/>
        <w:topLinePunct w:val="0"/>
        <w:autoSpaceDE/>
        <w:autoSpaceDN/>
        <w:bidi w:val="0"/>
        <w:spacing w:line="500" w:lineRule="exact"/>
        <w:ind w:leftChars="0"/>
        <w:textAlignment w:val="auto"/>
        <w:rPr>
          <w:rFonts w:hint="eastAsia" w:ascii="Times New Roman" w:hAnsi="Times New Roman" w:eastAsia="仿宋_GB2312" w:cs="Times New Roman"/>
          <w:b w:val="0"/>
          <w:bCs/>
          <w:color w:val="auto"/>
          <w:kern w:val="2"/>
          <w:sz w:val="28"/>
          <w:szCs w:val="28"/>
          <w:highlight w:val="none"/>
          <w:lang w:val="en-US" w:eastAsia="zh-CN" w:bidi="ar-SA"/>
        </w:rPr>
      </w:pPr>
      <w:r>
        <w:rPr>
          <w:rFonts w:hint="eastAsia" w:ascii="Times New Roman" w:hAnsi="Times New Roman" w:eastAsia="仿宋_GB2312" w:cs="Times New Roman"/>
          <w:b w:val="0"/>
          <w:bCs/>
          <w:color w:val="auto"/>
          <w:kern w:val="2"/>
          <w:sz w:val="28"/>
          <w:szCs w:val="28"/>
          <w:highlight w:val="none"/>
          <w:lang w:val="en-US" w:eastAsia="zh-CN" w:bidi="ar-SA"/>
        </w:rPr>
        <w:t>中水管道：污水管道采用UPVC材质。</w:t>
      </w:r>
    </w:p>
    <w:p>
      <w:pPr>
        <w:pStyle w:val="49"/>
        <w:pageBreakBefore w:val="0"/>
        <w:numPr>
          <w:ilvl w:val="0"/>
          <w:numId w:val="0"/>
        </w:numPr>
        <w:kinsoku/>
        <w:wordWrap/>
        <w:overflowPunct/>
        <w:topLinePunct w:val="0"/>
        <w:autoSpaceDE/>
        <w:autoSpaceDN/>
        <w:bidi w:val="0"/>
        <w:spacing w:line="500" w:lineRule="exact"/>
        <w:ind w:leftChars="0"/>
        <w:textAlignment w:val="auto"/>
        <w:rPr>
          <w:rFonts w:hint="eastAsia" w:ascii="Times New Roman" w:hAnsi="Times New Roman" w:eastAsia="仿宋_GB2312" w:cs="Times New Roman"/>
          <w:b/>
          <w:bCs w:val="0"/>
          <w:color w:val="auto"/>
          <w:kern w:val="2"/>
          <w:sz w:val="28"/>
          <w:szCs w:val="28"/>
          <w:highlight w:val="none"/>
          <w:lang w:val="en-US" w:eastAsia="zh-CN" w:bidi="ar-SA"/>
        </w:rPr>
      </w:pPr>
      <w:r>
        <w:rPr>
          <w:rFonts w:hint="eastAsia" w:ascii="Times New Roman" w:hAnsi="Times New Roman" w:eastAsia="仿宋_GB2312" w:cs="Times New Roman"/>
          <w:b/>
          <w:bCs w:val="0"/>
          <w:color w:val="auto"/>
          <w:kern w:val="2"/>
          <w:sz w:val="28"/>
          <w:szCs w:val="28"/>
          <w:highlight w:val="none"/>
          <w:lang w:val="en-US" w:eastAsia="zh-CN" w:bidi="ar-SA"/>
        </w:rPr>
        <w:t>1.2管线色标</w:t>
      </w:r>
    </w:p>
    <w:p>
      <w:pPr>
        <w:pageBreakBefore w:val="0"/>
        <w:widowControl w:val="0"/>
        <w:kinsoku/>
        <w:wordWrap/>
        <w:overflowPunct/>
        <w:topLinePunct w:val="0"/>
        <w:autoSpaceDE/>
        <w:autoSpaceDN/>
        <w:bidi w:val="0"/>
        <w:spacing w:line="500" w:lineRule="exact"/>
        <w:ind w:firstLine="560" w:firstLineChars="200"/>
        <w:textAlignment w:val="auto"/>
        <w:rPr>
          <w:rFonts w:hint="eastAsia" w:ascii="Times New Roman" w:hAnsi="Times New Roman" w:eastAsia="仿宋_GB2312" w:cs="Times New Roman"/>
          <w:b w:val="0"/>
          <w:bCs/>
          <w:color w:val="auto"/>
          <w:kern w:val="2"/>
          <w:sz w:val="28"/>
          <w:szCs w:val="28"/>
          <w:highlight w:val="none"/>
          <w:lang w:val="en-US" w:eastAsia="zh-CN" w:bidi="ar-SA"/>
        </w:rPr>
      </w:pPr>
      <w:r>
        <w:rPr>
          <w:rFonts w:hint="eastAsia" w:ascii="Times New Roman" w:hAnsi="Times New Roman" w:eastAsia="仿宋_GB2312" w:cs="Times New Roman"/>
          <w:b w:val="0"/>
          <w:bCs/>
          <w:color w:val="auto"/>
          <w:kern w:val="2"/>
          <w:sz w:val="28"/>
          <w:szCs w:val="28"/>
          <w:highlight w:val="none"/>
          <w:lang w:val="en-US" w:eastAsia="zh-CN" w:bidi="ar-SA"/>
        </w:rPr>
        <w:t>根据《城市污水处理厂管道和设备色标》（CJ/T158-2002）对各种管道识别色作如下规定（不包括埋地管道和入水的管道）。</w:t>
      </w:r>
    </w:p>
    <w:p>
      <w:pPr>
        <w:pageBreakBefore w:val="0"/>
        <w:widowControl w:val="0"/>
        <w:kinsoku/>
        <w:wordWrap/>
        <w:overflowPunct/>
        <w:topLinePunct w:val="0"/>
        <w:autoSpaceDE/>
        <w:autoSpaceDN/>
        <w:bidi w:val="0"/>
        <w:spacing w:line="500" w:lineRule="exact"/>
        <w:ind w:firstLine="560" w:firstLineChars="200"/>
        <w:textAlignment w:val="auto"/>
        <w:rPr>
          <w:rFonts w:hint="eastAsia" w:ascii="Times New Roman" w:hAnsi="Times New Roman" w:eastAsia="仿宋_GB2312" w:cs="Times New Roman"/>
          <w:b w:val="0"/>
          <w:bCs/>
          <w:color w:val="auto"/>
          <w:kern w:val="2"/>
          <w:sz w:val="28"/>
          <w:szCs w:val="28"/>
          <w:highlight w:val="none"/>
          <w:lang w:val="en-US" w:eastAsia="zh-CN" w:bidi="ar-SA"/>
        </w:rPr>
      </w:pPr>
      <w:r>
        <w:rPr>
          <w:rFonts w:hint="eastAsia" w:eastAsia="仿宋_GB2312" w:cs="Times New Roman"/>
          <w:b w:val="0"/>
          <w:bCs/>
          <w:color w:val="auto"/>
          <w:kern w:val="2"/>
          <w:sz w:val="28"/>
          <w:szCs w:val="28"/>
          <w:highlight w:val="none"/>
          <w:lang w:val="en-US" w:eastAsia="zh-CN" w:bidi="ar-SA"/>
        </w:rPr>
        <w:t>药剂</w:t>
      </w:r>
      <w:r>
        <w:rPr>
          <w:rFonts w:hint="eastAsia" w:ascii="Times New Roman" w:hAnsi="Times New Roman" w:eastAsia="仿宋_GB2312" w:cs="Times New Roman"/>
          <w:b w:val="0"/>
          <w:bCs/>
          <w:color w:val="auto"/>
          <w:kern w:val="2"/>
          <w:sz w:val="28"/>
          <w:szCs w:val="28"/>
          <w:highlight w:val="none"/>
          <w:lang w:val="en-US" w:eastAsia="zh-CN" w:bidi="ar-SA"/>
        </w:rPr>
        <w:t xml:space="preserve">管线　　　　      </w:t>
      </w:r>
      <w:r>
        <w:rPr>
          <w:rFonts w:hint="eastAsia" w:eastAsia="仿宋_GB2312" w:cs="Times New Roman"/>
          <w:b w:val="0"/>
          <w:bCs/>
          <w:color w:val="auto"/>
          <w:kern w:val="2"/>
          <w:sz w:val="28"/>
          <w:szCs w:val="28"/>
          <w:highlight w:val="none"/>
          <w:lang w:val="en-US" w:eastAsia="zh-CN" w:bidi="ar-SA"/>
        </w:rPr>
        <w:t>蓝</w:t>
      </w:r>
      <w:r>
        <w:rPr>
          <w:rFonts w:hint="eastAsia" w:ascii="Times New Roman" w:hAnsi="Times New Roman" w:eastAsia="仿宋_GB2312" w:cs="Times New Roman"/>
          <w:b w:val="0"/>
          <w:bCs/>
          <w:color w:val="auto"/>
          <w:kern w:val="2"/>
          <w:sz w:val="28"/>
          <w:szCs w:val="28"/>
          <w:highlight w:val="none"/>
          <w:lang w:val="en-US" w:eastAsia="zh-CN" w:bidi="ar-SA"/>
        </w:rPr>
        <w:t>色</w:t>
      </w:r>
    </w:p>
    <w:p>
      <w:pPr>
        <w:pageBreakBefore w:val="0"/>
        <w:widowControl w:val="0"/>
        <w:kinsoku/>
        <w:wordWrap/>
        <w:overflowPunct/>
        <w:topLinePunct w:val="0"/>
        <w:autoSpaceDE/>
        <w:autoSpaceDN/>
        <w:bidi w:val="0"/>
        <w:spacing w:line="500" w:lineRule="exact"/>
        <w:ind w:firstLine="560" w:firstLineChars="200"/>
        <w:textAlignment w:val="auto"/>
        <w:rPr>
          <w:rFonts w:hint="eastAsia" w:ascii="Times New Roman" w:hAnsi="Times New Roman" w:eastAsia="仿宋_GB2312" w:cs="Times New Roman"/>
          <w:b w:val="0"/>
          <w:bCs/>
          <w:color w:val="auto"/>
          <w:kern w:val="2"/>
          <w:sz w:val="28"/>
          <w:szCs w:val="28"/>
          <w:highlight w:val="none"/>
          <w:lang w:val="en-US" w:eastAsia="zh-CN" w:bidi="ar-SA"/>
        </w:rPr>
      </w:pPr>
      <w:r>
        <w:rPr>
          <w:rFonts w:hint="eastAsia" w:ascii="Times New Roman" w:hAnsi="Times New Roman" w:eastAsia="仿宋_GB2312" w:cs="Times New Roman"/>
          <w:b w:val="0"/>
          <w:bCs/>
          <w:color w:val="auto"/>
          <w:kern w:val="2"/>
          <w:sz w:val="28"/>
          <w:szCs w:val="28"/>
          <w:highlight w:val="none"/>
          <w:lang w:val="en-US" w:eastAsia="zh-CN" w:bidi="ar-SA"/>
        </w:rPr>
        <w:t>中水管线　　          UPVC管本色</w:t>
      </w:r>
    </w:p>
    <w:p>
      <w:pPr>
        <w:pStyle w:val="49"/>
        <w:pageBreakBefore w:val="0"/>
        <w:numPr>
          <w:ilvl w:val="0"/>
          <w:numId w:val="0"/>
        </w:numPr>
        <w:kinsoku/>
        <w:wordWrap/>
        <w:overflowPunct/>
        <w:topLinePunct w:val="0"/>
        <w:autoSpaceDE/>
        <w:autoSpaceDN/>
        <w:bidi w:val="0"/>
        <w:spacing w:line="500" w:lineRule="exact"/>
        <w:ind w:leftChars="0"/>
        <w:textAlignment w:val="auto"/>
        <w:rPr>
          <w:rFonts w:hint="eastAsia" w:ascii="Times New Roman" w:hAnsi="Times New Roman" w:eastAsia="仿宋_GB2312" w:cs="Times New Roman"/>
          <w:b/>
          <w:bCs w:val="0"/>
          <w:color w:val="auto"/>
          <w:kern w:val="2"/>
          <w:sz w:val="28"/>
          <w:szCs w:val="28"/>
          <w:highlight w:val="none"/>
          <w:lang w:val="en-US" w:eastAsia="zh-CN" w:bidi="ar-SA"/>
        </w:rPr>
      </w:pPr>
      <w:r>
        <w:rPr>
          <w:rFonts w:hint="eastAsia" w:ascii="Times New Roman" w:hAnsi="Times New Roman" w:eastAsia="仿宋_GB2312" w:cs="Times New Roman"/>
          <w:b/>
          <w:bCs w:val="0"/>
          <w:color w:val="auto"/>
          <w:kern w:val="2"/>
          <w:sz w:val="28"/>
          <w:szCs w:val="28"/>
          <w:highlight w:val="none"/>
          <w:lang w:val="en-US" w:eastAsia="zh-CN" w:bidi="ar-SA"/>
        </w:rPr>
        <w:t>1.3管道防腐</w:t>
      </w:r>
    </w:p>
    <w:p>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eastAsia" w:ascii="Times New Roman" w:hAnsi="Times New Roman" w:eastAsia="仿宋_GB2312" w:cs="Times New Roman"/>
          <w:b w:val="0"/>
          <w:bCs/>
          <w:color w:val="auto"/>
          <w:kern w:val="2"/>
          <w:sz w:val="28"/>
          <w:szCs w:val="28"/>
          <w:highlight w:val="none"/>
          <w:lang w:val="en-US" w:eastAsia="zh-CN" w:bidi="ar-SA"/>
        </w:rPr>
      </w:pPr>
      <w:r>
        <w:rPr>
          <w:rFonts w:hint="eastAsia" w:ascii="Times New Roman" w:hAnsi="Times New Roman" w:eastAsia="仿宋_GB2312" w:cs="Times New Roman"/>
          <w:b w:val="0"/>
          <w:bCs/>
          <w:color w:val="auto"/>
          <w:kern w:val="2"/>
          <w:sz w:val="28"/>
          <w:szCs w:val="28"/>
          <w:highlight w:val="none"/>
          <w:lang w:val="en-US" w:eastAsia="zh-CN" w:bidi="ar-SA"/>
        </w:rPr>
        <w:t>本工程所有管道防腐要求须按照《给水排水管道工程施工及验收规范》（GB50268-2008）</w:t>
      </w:r>
    </w:p>
    <w:bookmarkEnd w:id="61"/>
    <w:bookmarkEnd w:id="62"/>
    <w:bookmarkEnd w:id="63"/>
    <w:p>
      <w:pPr>
        <w:pStyle w:val="50"/>
        <w:pageBreakBefore w:val="0"/>
        <w:widowControl w:val="0"/>
        <w:numPr>
          <w:ilvl w:val="2"/>
          <w:numId w:val="0"/>
        </w:numPr>
        <w:kinsoku/>
        <w:wordWrap/>
        <w:overflowPunct/>
        <w:topLinePunct w:val="0"/>
        <w:autoSpaceDE/>
        <w:autoSpaceDN/>
        <w:bidi w:val="0"/>
        <w:spacing w:line="500" w:lineRule="exact"/>
        <w:textAlignment w:val="auto"/>
        <w:rPr>
          <w:rFonts w:hint="default" w:ascii="Times New Roman" w:hAnsi="Times New Roman" w:eastAsia="仿宋" w:cs="Times New Roman"/>
          <w:b/>
          <w:color w:val="auto"/>
          <w:kern w:val="2"/>
          <w:sz w:val="28"/>
          <w:szCs w:val="28"/>
          <w:highlight w:val="none"/>
          <w:lang w:val="en-US" w:eastAsia="zh-CN" w:bidi="ar-SA"/>
        </w:rPr>
      </w:pPr>
      <w:r>
        <w:rPr>
          <w:rFonts w:hint="eastAsia" w:ascii="Times New Roman" w:hAnsi="Times New Roman" w:eastAsia="仿宋" w:cs="Times New Roman"/>
          <w:b/>
          <w:color w:val="auto"/>
          <w:kern w:val="2"/>
          <w:sz w:val="28"/>
          <w:szCs w:val="28"/>
          <w:highlight w:val="none"/>
          <w:lang w:val="en-US" w:eastAsia="zh-CN" w:bidi="ar-SA"/>
        </w:rPr>
        <w:t>（二）卧式罐体</w:t>
      </w:r>
    </w:p>
    <w:p>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 w:cs="Times New Roman"/>
          <w:b w:val="0"/>
          <w:bCs/>
          <w:color w:val="auto"/>
          <w:kern w:val="2"/>
          <w:sz w:val="28"/>
          <w:szCs w:val="28"/>
          <w:highlight w:val="none"/>
          <w:lang w:val="en-US" w:eastAsia="zh-CN" w:bidi="ar-SA"/>
        </w:rPr>
      </w:pPr>
      <w:r>
        <w:rPr>
          <w:rFonts w:hint="default" w:ascii="Times New Roman" w:hAnsi="Times New Roman" w:eastAsia="仿宋" w:cs="Times New Roman"/>
          <w:b w:val="0"/>
          <w:bCs/>
          <w:color w:val="auto"/>
          <w:kern w:val="2"/>
          <w:sz w:val="28"/>
          <w:szCs w:val="28"/>
          <w:highlight w:val="none"/>
          <w:lang w:val="en-US" w:eastAsia="zh-CN" w:bidi="ar-SA"/>
        </w:rPr>
        <w:t>功能：</w:t>
      </w:r>
      <w:r>
        <w:rPr>
          <w:rFonts w:hint="eastAsia" w:ascii="Times New Roman" w:hAnsi="Times New Roman" w:eastAsia="仿宋" w:cs="Times New Roman"/>
          <w:b w:val="0"/>
          <w:bCs/>
          <w:color w:val="auto"/>
          <w:kern w:val="2"/>
          <w:sz w:val="28"/>
          <w:szCs w:val="28"/>
          <w:highlight w:val="none"/>
          <w:lang w:val="en-US" w:eastAsia="zh-CN" w:bidi="ar-SA"/>
        </w:rPr>
        <w:t>储存初雨PAC药剂</w:t>
      </w:r>
      <w:r>
        <w:rPr>
          <w:rFonts w:hint="default" w:ascii="Times New Roman" w:hAnsi="Times New Roman" w:eastAsia="仿宋" w:cs="Times New Roman"/>
          <w:b w:val="0"/>
          <w:bCs/>
          <w:color w:val="auto"/>
          <w:kern w:val="2"/>
          <w:sz w:val="28"/>
          <w:szCs w:val="28"/>
          <w:highlight w:val="none"/>
          <w:lang w:val="en-US" w:eastAsia="zh-CN" w:bidi="ar-SA"/>
        </w:rPr>
        <w:t>。</w:t>
      </w:r>
    </w:p>
    <w:p>
      <w:pPr>
        <w:pStyle w:val="11"/>
        <w:rPr>
          <w:rFonts w:hint="default"/>
          <w:lang w:val="en-US" w:eastAsia="zh-CN"/>
        </w:rPr>
      </w:pPr>
      <w:r>
        <w:rPr>
          <w:rFonts w:hint="eastAsia" w:ascii="Times New Roman" w:hAnsi="Times New Roman" w:eastAsia="仿宋" w:cs="Times New Roman"/>
          <w:b w:val="0"/>
          <w:bCs/>
          <w:color w:val="auto"/>
          <w:kern w:val="2"/>
          <w:sz w:val="28"/>
          <w:szCs w:val="28"/>
          <w:highlight w:val="none"/>
          <w:lang w:val="en-US" w:eastAsia="zh-CN" w:bidi="ar-SA"/>
        </w:rPr>
        <w:t xml:space="preserve">    罐体外尺寸：长4.7M、宽2.56M，高2.56M</w:t>
      </w:r>
    </w:p>
    <w:p>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 w:cs="Times New Roman"/>
          <w:b w:val="0"/>
          <w:bCs/>
          <w:color w:val="auto"/>
          <w:kern w:val="2"/>
          <w:sz w:val="28"/>
          <w:szCs w:val="28"/>
          <w:highlight w:val="none"/>
          <w:lang w:val="en-US" w:eastAsia="zh-CN" w:bidi="ar-SA"/>
        </w:rPr>
      </w:pPr>
      <w:r>
        <w:rPr>
          <w:rFonts w:hint="eastAsia" w:ascii="Times New Roman" w:hAnsi="Times New Roman" w:eastAsia="仿宋" w:cs="Times New Roman"/>
          <w:b w:val="0"/>
          <w:bCs/>
          <w:color w:val="auto"/>
          <w:kern w:val="2"/>
          <w:sz w:val="28"/>
          <w:szCs w:val="28"/>
          <w:highlight w:val="none"/>
          <w:lang w:val="en-US" w:eastAsia="zh-CN" w:bidi="ar-SA"/>
        </w:rPr>
        <w:t>罐体规格</w:t>
      </w:r>
      <w:r>
        <w:rPr>
          <w:rFonts w:hint="default" w:ascii="Times New Roman" w:hAnsi="Times New Roman" w:eastAsia="仿宋" w:cs="Times New Roman"/>
          <w:b w:val="0"/>
          <w:bCs/>
          <w:color w:val="auto"/>
          <w:kern w:val="2"/>
          <w:sz w:val="28"/>
          <w:szCs w:val="28"/>
          <w:highlight w:val="none"/>
          <w:lang w:val="en-US" w:eastAsia="zh-CN" w:bidi="ar-SA"/>
        </w:rPr>
        <w:t>：</w:t>
      </w:r>
      <w:r>
        <w:rPr>
          <w:rFonts w:hint="eastAsia" w:ascii="Times New Roman" w:hAnsi="Times New Roman" w:eastAsia="仿宋" w:cs="Times New Roman"/>
          <w:b w:val="0"/>
          <w:bCs/>
          <w:color w:val="auto"/>
          <w:kern w:val="2"/>
          <w:sz w:val="28"/>
          <w:szCs w:val="28"/>
          <w:highlight w:val="none"/>
          <w:lang w:val="en-US" w:eastAsia="zh-CN" w:bidi="ar-SA"/>
        </w:rPr>
        <w:t>DN2400*4700玻璃钢（FRP复合材料）</w:t>
      </w:r>
    </w:p>
    <w:p>
      <w:pPr>
        <w:pStyle w:val="2"/>
        <w:pageBreakBefore w:val="0"/>
        <w:widowControl w:val="0"/>
        <w:kinsoku/>
        <w:wordWrap/>
        <w:overflowPunct/>
        <w:topLinePunct w:val="0"/>
        <w:autoSpaceDE/>
        <w:autoSpaceDN/>
        <w:bidi w:val="0"/>
        <w:spacing w:line="500" w:lineRule="exact"/>
        <w:textAlignment w:val="auto"/>
        <w:rPr>
          <w:rFonts w:hint="default" w:ascii="Times New Roman" w:hAnsi="Times New Roman" w:cs="Times New Roman"/>
          <w:lang w:val="en-US" w:eastAsia="zh-CN"/>
        </w:rPr>
      </w:pPr>
      <w:r>
        <w:rPr>
          <w:rFonts w:hint="default" w:ascii="Times New Roman" w:hAnsi="Times New Roman" w:eastAsia="仿宋" w:cs="Times New Roman"/>
          <w:b w:val="0"/>
          <w:bCs/>
          <w:color w:val="auto"/>
          <w:kern w:val="2"/>
          <w:sz w:val="28"/>
          <w:szCs w:val="28"/>
          <w:highlight w:val="none"/>
          <w:lang w:val="en-US" w:eastAsia="zh-CN" w:bidi="ar-SA"/>
        </w:rPr>
        <w:t>有效容积：</w:t>
      </w:r>
      <w:r>
        <w:rPr>
          <w:rFonts w:hint="eastAsia" w:ascii="Times New Roman" w:hAnsi="Times New Roman" w:eastAsia="仿宋" w:cs="Times New Roman"/>
          <w:b w:val="0"/>
          <w:bCs/>
          <w:color w:val="auto"/>
          <w:kern w:val="2"/>
          <w:sz w:val="28"/>
          <w:szCs w:val="28"/>
          <w:highlight w:val="none"/>
          <w:lang w:val="en-US" w:eastAsia="zh-CN" w:bidi="ar-SA"/>
        </w:rPr>
        <w:t>20</w:t>
      </w:r>
      <w:r>
        <w:rPr>
          <w:rFonts w:hint="default" w:ascii="Times New Roman" w:hAnsi="Times New Roman" w:eastAsia="仿宋_GB2312" w:cs="Times New Roman"/>
          <w:color w:val="auto"/>
          <w:sz w:val="28"/>
          <w:szCs w:val="28"/>
          <w:highlight w:val="none"/>
        </w:rPr>
        <w:t>㎥</w:t>
      </w:r>
    </w:p>
    <w:p>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 w:cs="Times New Roman"/>
          <w:b w:val="0"/>
          <w:bCs/>
          <w:color w:val="auto"/>
          <w:kern w:val="2"/>
          <w:sz w:val="28"/>
          <w:szCs w:val="28"/>
          <w:highlight w:val="none"/>
          <w:lang w:val="en-US" w:eastAsia="zh-CN" w:bidi="ar-SA"/>
        </w:rPr>
      </w:pPr>
      <w:r>
        <w:rPr>
          <w:rFonts w:hint="eastAsia" w:ascii="Times New Roman" w:hAnsi="Times New Roman" w:eastAsia="仿宋" w:cs="Times New Roman"/>
          <w:b w:val="0"/>
          <w:bCs/>
          <w:color w:val="auto"/>
          <w:kern w:val="2"/>
          <w:sz w:val="28"/>
          <w:szCs w:val="28"/>
          <w:highlight w:val="none"/>
          <w:lang w:val="en-US" w:eastAsia="zh-CN" w:bidi="ar-SA"/>
        </w:rPr>
        <w:t>基础</w:t>
      </w:r>
      <w:r>
        <w:rPr>
          <w:rFonts w:hint="default" w:ascii="Times New Roman" w:hAnsi="Times New Roman" w:eastAsia="仿宋" w:cs="Times New Roman"/>
          <w:b w:val="0"/>
          <w:bCs/>
          <w:color w:val="auto"/>
          <w:kern w:val="2"/>
          <w:sz w:val="28"/>
          <w:szCs w:val="28"/>
          <w:highlight w:val="none"/>
          <w:lang w:val="en-US" w:eastAsia="zh-CN" w:bidi="ar-SA"/>
        </w:rPr>
        <w:t>形式：地</w:t>
      </w:r>
      <w:r>
        <w:rPr>
          <w:rFonts w:hint="eastAsia" w:ascii="Times New Roman" w:hAnsi="Times New Roman" w:eastAsia="仿宋" w:cs="Times New Roman"/>
          <w:b w:val="0"/>
          <w:bCs/>
          <w:color w:val="auto"/>
          <w:kern w:val="2"/>
          <w:sz w:val="28"/>
          <w:szCs w:val="28"/>
          <w:highlight w:val="none"/>
          <w:lang w:val="en-US" w:eastAsia="zh-CN" w:bidi="ar-SA"/>
        </w:rPr>
        <w:t>面</w:t>
      </w:r>
      <w:r>
        <w:rPr>
          <w:rFonts w:hint="default" w:ascii="Times New Roman" w:hAnsi="Times New Roman" w:eastAsia="仿宋" w:cs="Times New Roman"/>
          <w:b w:val="0"/>
          <w:bCs/>
          <w:color w:val="auto"/>
          <w:kern w:val="2"/>
          <w:sz w:val="28"/>
          <w:szCs w:val="28"/>
          <w:highlight w:val="none"/>
          <w:lang w:val="en-US" w:eastAsia="zh-CN" w:bidi="ar-SA"/>
        </w:rPr>
        <w:t>钢砼</w:t>
      </w:r>
      <w:r>
        <w:rPr>
          <w:rFonts w:hint="eastAsia" w:ascii="Times New Roman" w:hAnsi="Times New Roman" w:eastAsia="仿宋" w:cs="Times New Roman"/>
          <w:b w:val="0"/>
          <w:bCs/>
          <w:color w:val="auto"/>
          <w:kern w:val="2"/>
          <w:sz w:val="28"/>
          <w:szCs w:val="28"/>
          <w:highlight w:val="none"/>
          <w:lang w:val="en-US" w:eastAsia="zh-CN" w:bidi="ar-SA"/>
        </w:rPr>
        <w:t>基础</w:t>
      </w:r>
    </w:p>
    <w:p>
      <w:pPr>
        <w:pageBreakBefore w:val="0"/>
        <w:widowControl w:val="0"/>
        <w:numPr>
          <w:ilvl w:val="0"/>
          <w:numId w:val="0"/>
        </w:numPr>
        <w:kinsoku/>
        <w:wordWrap/>
        <w:overflowPunct/>
        <w:topLinePunct w:val="0"/>
        <w:autoSpaceDE/>
        <w:autoSpaceDN/>
        <w:bidi w:val="0"/>
        <w:spacing w:line="500" w:lineRule="exact"/>
        <w:ind w:firstLine="560" w:firstLineChars="200"/>
        <w:textAlignment w:val="auto"/>
        <w:rPr>
          <w:rFonts w:hint="default" w:ascii="Times New Roman" w:hAnsi="Times New Roman" w:eastAsia="仿宋" w:cs="Times New Roman"/>
          <w:b w:val="0"/>
          <w:bCs/>
          <w:color w:val="auto"/>
          <w:kern w:val="2"/>
          <w:sz w:val="28"/>
          <w:szCs w:val="28"/>
          <w:highlight w:val="none"/>
          <w:lang w:val="en-US" w:eastAsia="zh-CN" w:bidi="ar-SA"/>
        </w:rPr>
      </w:pPr>
      <w:r>
        <w:rPr>
          <w:rFonts w:hint="default" w:ascii="Times New Roman" w:hAnsi="Times New Roman" w:eastAsia="仿宋" w:cs="Times New Roman"/>
          <w:b w:val="0"/>
          <w:bCs/>
          <w:color w:val="auto"/>
          <w:kern w:val="2"/>
          <w:sz w:val="28"/>
          <w:szCs w:val="28"/>
          <w:highlight w:val="none"/>
          <w:lang w:val="en-US" w:eastAsia="zh-CN" w:bidi="ar-SA"/>
        </w:rPr>
        <w:t>数量：</w:t>
      </w:r>
      <w:r>
        <w:rPr>
          <w:rFonts w:hint="eastAsia" w:ascii="Times New Roman" w:hAnsi="Times New Roman" w:eastAsia="仿宋" w:cs="Times New Roman"/>
          <w:b w:val="0"/>
          <w:bCs/>
          <w:color w:val="auto"/>
          <w:kern w:val="2"/>
          <w:sz w:val="28"/>
          <w:szCs w:val="28"/>
          <w:highlight w:val="none"/>
          <w:lang w:val="en-US" w:eastAsia="zh-CN" w:bidi="ar-SA"/>
        </w:rPr>
        <w:t>2</w:t>
      </w:r>
      <w:r>
        <w:rPr>
          <w:rFonts w:hint="default" w:ascii="Times New Roman" w:hAnsi="Times New Roman" w:eastAsia="仿宋" w:cs="Times New Roman"/>
          <w:b w:val="0"/>
          <w:bCs/>
          <w:color w:val="auto"/>
          <w:kern w:val="2"/>
          <w:sz w:val="28"/>
          <w:szCs w:val="28"/>
          <w:highlight w:val="none"/>
          <w:lang w:val="en-US" w:eastAsia="zh-CN" w:bidi="ar-SA"/>
        </w:rPr>
        <w:t>座</w:t>
      </w:r>
    </w:p>
    <w:p>
      <w:pPr>
        <w:pStyle w:val="14"/>
        <w:pageBreakBefore w:val="0"/>
        <w:widowControl w:val="0"/>
        <w:numPr>
          <w:ilvl w:val="0"/>
          <w:numId w:val="0"/>
        </w:numPr>
        <w:tabs>
          <w:tab w:val="left" w:pos="301"/>
        </w:tabs>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仿宋" w:cs="Times New Roman"/>
          <w:b/>
          <w:color w:val="auto"/>
          <w:sz w:val="28"/>
          <w:szCs w:val="28"/>
          <w:highlight w:val="none"/>
          <w:lang w:val="en-US" w:eastAsia="zh-CN"/>
        </w:rPr>
      </w:pPr>
      <w:r>
        <w:rPr>
          <w:rFonts w:hint="eastAsia" w:ascii="Times New Roman" w:hAnsi="Times New Roman" w:eastAsia="仿宋" w:cs="Times New Roman"/>
          <w:b/>
          <w:color w:val="auto"/>
          <w:sz w:val="28"/>
          <w:szCs w:val="28"/>
          <w:highlight w:val="none"/>
          <w:lang w:val="en-US" w:eastAsia="zh-CN"/>
        </w:rPr>
        <w:t>（三）</w:t>
      </w:r>
      <w:r>
        <w:rPr>
          <w:rFonts w:hint="default" w:ascii="Times New Roman" w:hAnsi="Times New Roman" w:eastAsia="仿宋" w:cs="Times New Roman"/>
          <w:b/>
          <w:color w:val="auto"/>
          <w:sz w:val="28"/>
          <w:szCs w:val="28"/>
          <w:highlight w:val="none"/>
          <w:lang w:val="en-US" w:eastAsia="zh-CN"/>
        </w:rPr>
        <w:t>设备选型</w:t>
      </w:r>
    </w:p>
    <w:p>
      <w:pPr>
        <w:pStyle w:val="14"/>
        <w:pageBreakBefore w:val="0"/>
        <w:widowControl w:val="0"/>
        <w:numPr>
          <w:ilvl w:val="0"/>
          <w:numId w:val="0"/>
        </w:numPr>
        <w:tabs>
          <w:tab w:val="left" w:pos="2763"/>
        </w:tabs>
        <w:kinsoku/>
        <w:wordWrap/>
        <w:overflowPunct/>
        <w:topLinePunct w:val="0"/>
        <w:autoSpaceDE/>
        <w:autoSpaceDN/>
        <w:bidi w:val="0"/>
        <w:adjustRightInd w:val="0"/>
        <w:snapToGrid w:val="0"/>
        <w:spacing w:line="500" w:lineRule="exact"/>
        <w:jc w:val="both"/>
        <w:textAlignment w:val="auto"/>
        <w:rPr>
          <w:rFonts w:hint="eastAsia" w:ascii="仿宋" w:hAnsi="仿宋" w:eastAsia="仿宋" w:cs="仿宋_GB2312"/>
          <w:b w:val="0"/>
          <w:bCs/>
          <w:color w:val="auto"/>
          <w:sz w:val="28"/>
          <w:szCs w:val="28"/>
          <w:highlight w:val="none"/>
          <w:lang w:val="en-US" w:eastAsia="zh-CN"/>
        </w:rPr>
      </w:pPr>
      <w:r>
        <w:rPr>
          <w:rFonts w:hint="eastAsia" w:ascii="仿宋" w:hAnsi="仿宋" w:eastAsia="仿宋" w:cs="仿宋_GB2312"/>
          <w:b w:val="0"/>
          <w:bCs/>
          <w:color w:val="auto"/>
          <w:sz w:val="28"/>
          <w:szCs w:val="28"/>
          <w:highlight w:val="none"/>
          <w:lang w:val="en-US" w:eastAsia="zh-CN"/>
        </w:rPr>
        <w:t>A.变频计量泵（4台）</w:t>
      </w:r>
    </w:p>
    <w:p>
      <w:pPr>
        <w:pStyle w:val="14"/>
        <w:pageBreakBefore w:val="0"/>
        <w:widowControl w:val="0"/>
        <w:numPr>
          <w:ilvl w:val="0"/>
          <w:numId w:val="0"/>
        </w:numPr>
        <w:tabs>
          <w:tab w:val="left" w:pos="2763"/>
        </w:tabs>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仿宋" w:cs="Times New Roman"/>
          <w:b w:val="0"/>
          <w:bCs/>
          <w:color w:val="auto"/>
          <w:sz w:val="28"/>
          <w:szCs w:val="28"/>
          <w:highlight w:val="none"/>
          <w:lang w:val="en-US" w:eastAsia="zh-CN"/>
        </w:rPr>
      </w:pPr>
      <w:r>
        <w:rPr>
          <w:rFonts w:hint="eastAsia" w:ascii="仿宋" w:hAnsi="仿宋" w:eastAsia="仿宋" w:cs="仿宋_GB2312"/>
          <w:b w:val="0"/>
          <w:bCs/>
          <w:color w:val="auto"/>
          <w:sz w:val="28"/>
          <w:szCs w:val="28"/>
          <w:highlight w:val="none"/>
          <w:lang w:val="en-US" w:eastAsia="zh-CN"/>
        </w:rPr>
        <w:t>变频计量泵，</w:t>
      </w:r>
      <w:r>
        <w:rPr>
          <w:rFonts w:hint="eastAsia" w:ascii="仿宋_GB2312" w:hAnsi="仿宋_GB2312" w:eastAsia="仿宋_GB2312" w:cs="仿宋_GB2312"/>
          <w:b w:val="0"/>
          <w:bCs/>
          <w:color w:val="auto"/>
          <w:sz w:val="28"/>
          <w:szCs w:val="28"/>
          <w:highlight w:val="none"/>
          <w:lang w:val="en-US" w:eastAsia="zh-CN"/>
        </w:rPr>
        <w:t>Q</w:t>
      </w:r>
      <w:r>
        <w:rPr>
          <w:rFonts w:hint="eastAsia" w:ascii="仿宋_GB2312" w:hAnsi="仿宋_GB2312" w:eastAsia="仿宋_GB2312" w:cs="仿宋_GB2312"/>
          <w:color w:val="auto"/>
          <w:sz w:val="28"/>
          <w:szCs w:val="28"/>
          <w:highlight w:val="none"/>
          <w:lang w:val="en-US" w:eastAsia="zh-CN"/>
        </w:rPr>
        <w:t>=800-1000L/h，P=7MPa，N=1.5kw，变频控制。</w:t>
      </w:r>
    </w:p>
    <w:p>
      <w:pPr>
        <w:pStyle w:val="50"/>
        <w:pageBreakBefore w:val="0"/>
        <w:widowControl w:val="0"/>
        <w:numPr>
          <w:ilvl w:val="0"/>
          <w:numId w:val="0"/>
        </w:numPr>
        <w:kinsoku/>
        <w:wordWrap/>
        <w:overflowPunct/>
        <w:topLinePunct w:val="0"/>
        <w:autoSpaceDE/>
        <w:autoSpaceDN/>
        <w:bidi w:val="0"/>
        <w:spacing w:line="500" w:lineRule="exact"/>
        <w:ind w:leftChars="0"/>
        <w:textAlignment w:val="auto"/>
        <w:rPr>
          <w:rFonts w:hint="eastAsia" w:ascii="仿宋" w:hAnsi="仿宋" w:eastAsia="仿宋" w:cs="仿宋_GB2312"/>
          <w:b/>
          <w:bCs w:val="0"/>
          <w:color w:val="auto"/>
          <w:kern w:val="2"/>
          <w:sz w:val="28"/>
          <w:szCs w:val="28"/>
          <w:highlight w:val="none"/>
          <w:lang w:val="en-US" w:eastAsia="zh-CN" w:bidi="ar-SA"/>
        </w:rPr>
      </w:pPr>
      <w:bookmarkStart w:id="64" w:name="_Toc3535587"/>
      <w:bookmarkStart w:id="65" w:name="_Toc3536229"/>
      <w:r>
        <w:rPr>
          <w:rFonts w:hint="eastAsia" w:ascii="仿宋" w:hAnsi="仿宋" w:eastAsia="仿宋" w:cs="仿宋_GB2312"/>
          <w:b/>
          <w:bCs w:val="0"/>
          <w:color w:val="auto"/>
          <w:kern w:val="2"/>
          <w:sz w:val="28"/>
          <w:szCs w:val="28"/>
          <w:highlight w:val="none"/>
          <w:lang w:val="en-US" w:eastAsia="zh-CN" w:bidi="ar-SA"/>
        </w:rPr>
        <w:t>（四）土建</w:t>
      </w:r>
      <w:bookmarkEnd w:id="64"/>
      <w:bookmarkEnd w:id="65"/>
    </w:p>
    <w:p>
      <w:pPr>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_GB2312"/>
          <w:b w:val="0"/>
          <w:bCs/>
          <w:color w:val="auto"/>
          <w:kern w:val="2"/>
          <w:sz w:val="28"/>
          <w:szCs w:val="28"/>
          <w:highlight w:val="none"/>
          <w:lang w:val="en-US" w:eastAsia="zh-CN" w:bidi="ar-SA"/>
        </w:rPr>
      </w:pPr>
      <w:r>
        <w:rPr>
          <w:rFonts w:hint="eastAsia" w:ascii="仿宋" w:hAnsi="仿宋" w:eastAsia="仿宋" w:cs="仿宋_GB2312"/>
          <w:b w:val="0"/>
          <w:bCs/>
          <w:color w:val="auto"/>
          <w:kern w:val="2"/>
          <w:sz w:val="28"/>
          <w:szCs w:val="28"/>
          <w:highlight w:val="none"/>
          <w:lang w:val="en-US" w:eastAsia="zh-CN" w:bidi="ar-SA"/>
        </w:rPr>
        <w:t>（1）技术先进、经济合理、安全适用、方便施工、确保质量、保护环境；</w:t>
      </w:r>
    </w:p>
    <w:p>
      <w:pPr>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_GB2312"/>
          <w:b w:val="0"/>
          <w:bCs/>
          <w:color w:val="auto"/>
          <w:kern w:val="2"/>
          <w:sz w:val="28"/>
          <w:szCs w:val="28"/>
          <w:highlight w:val="none"/>
          <w:lang w:val="en-US" w:eastAsia="zh-CN" w:bidi="ar-SA"/>
        </w:rPr>
      </w:pPr>
      <w:r>
        <w:rPr>
          <w:rFonts w:hint="eastAsia" w:ascii="仿宋" w:hAnsi="仿宋" w:eastAsia="仿宋" w:cs="仿宋_GB2312"/>
          <w:b w:val="0"/>
          <w:bCs/>
          <w:color w:val="auto"/>
          <w:kern w:val="2"/>
          <w:sz w:val="28"/>
          <w:szCs w:val="28"/>
          <w:highlight w:val="none"/>
          <w:lang w:val="en-US" w:eastAsia="zh-CN" w:bidi="ar-SA"/>
        </w:rPr>
        <w:t>（2）应满足工艺生产的防火、防腐蚀、防震等要求；必须有足够的选择合理的结构体系，厂房，框架应力求简洁整齐；</w:t>
      </w:r>
    </w:p>
    <w:p>
      <w:pPr>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_GB2312"/>
          <w:b w:val="0"/>
          <w:bCs/>
          <w:color w:val="auto"/>
          <w:kern w:val="2"/>
          <w:sz w:val="28"/>
          <w:szCs w:val="28"/>
          <w:highlight w:val="none"/>
          <w:lang w:val="en-US" w:eastAsia="zh-CN" w:bidi="ar-SA"/>
        </w:rPr>
      </w:pPr>
      <w:r>
        <w:rPr>
          <w:rFonts w:hint="eastAsia" w:ascii="仿宋" w:hAnsi="仿宋" w:eastAsia="仿宋" w:cs="仿宋_GB2312"/>
          <w:b w:val="0"/>
          <w:bCs/>
          <w:color w:val="auto"/>
          <w:kern w:val="2"/>
          <w:sz w:val="28"/>
          <w:szCs w:val="28"/>
          <w:highlight w:val="none"/>
          <w:lang w:val="en-US" w:eastAsia="zh-CN" w:bidi="ar-SA"/>
        </w:rPr>
        <w:t>（3）因地制宜，就地取材，节约资金，积极慎重地采用新材料、新技术；</w:t>
      </w:r>
    </w:p>
    <w:p>
      <w:pPr>
        <w:pStyle w:val="50"/>
        <w:pageBreakBefore w:val="0"/>
        <w:widowControl w:val="0"/>
        <w:numPr>
          <w:ilvl w:val="0"/>
          <w:numId w:val="0"/>
        </w:numPr>
        <w:kinsoku/>
        <w:wordWrap/>
        <w:overflowPunct/>
        <w:topLinePunct w:val="0"/>
        <w:autoSpaceDE/>
        <w:autoSpaceDN/>
        <w:bidi w:val="0"/>
        <w:spacing w:line="500" w:lineRule="exact"/>
        <w:ind w:leftChars="0"/>
        <w:textAlignment w:val="auto"/>
        <w:rPr>
          <w:rFonts w:hint="eastAsia" w:ascii="仿宋" w:hAnsi="仿宋" w:eastAsia="仿宋" w:cs="仿宋_GB2312"/>
          <w:b/>
          <w:bCs w:val="0"/>
          <w:color w:val="auto"/>
          <w:kern w:val="2"/>
          <w:sz w:val="28"/>
          <w:szCs w:val="28"/>
          <w:highlight w:val="none"/>
          <w:lang w:val="en-US" w:eastAsia="zh-CN" w:bidi="ar-SA"/>
        </w:rPr>
      </w:pPr>
      <w:bookmarkStart w:id="66" w:name="_Toc3535588"/>
      <w:bookmarkStart w:id="67" w:name="_Toc3536230"/>
      <w:r>
        <w:rPr>
          <w:rFonts w:hint="eastAsia" w:ascii="仿宋" w:hAnsi="仿宋" w:eastAsia="仿宋" w:cs="仿宋_GB2312"/>
          <w:b/>
          <w:bCs w:val="0"/>
          <w:color w:val="auto"/>
          <w:kern w:val="2"/>
          <w:sz w:val="28"/>
          <w:szCs w:val="28"/>
          <w:highlight w:val="none"/>
          <w:lang w:val="en-US" w:eastAsia="zh-CN" w:bidi="ar-SA"/>
        </w:rPr>
        <w:t>（五）主要基础及3路面材料</w:t>
      </w:r>
      <w:bookmarkEnd w:id="66"/>
      <w:bookmarkEnd w:id="67"/>
    </w:p>
    <w:p>
      <w:pPr>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_GB2312"/>
          <w:b/>
          <w:bCs w:val="0"/>
          <w:color w:val="auto"/>
          <w:kern w:val="2"/>
          <w:sz w:val="28"/>
          <w:szCs w:val="28"/>
          <w:highlight w:val="none"/>
          <w:lang w:val="en-US" w:eastAsia="zh-CN" w:bidi="ar-SA"/>
        </w:rPr>
      </w:pPr>
      <w:r>
        <w:rPr>
          <w:rFonts w:hint="eastAsia" w:ascii="仿宋" w:hAnsi="仿宋" w:eastAsia="仿宋" w:cs="仿宋_GB2312"/>
          <w:b/>
          <w:bCs w:val="0"/>
          <w:color w:val="auto"/>
          <w:kern w:val="2"/>
          <w:sz w:val="28"/>
          <w:szCs w:val="28"/>
          <w:highlight w:val="none"/>
          <w:lang w:val="en-US" w:eastAsia="zh-CN" w:bidi="ar-SA"/>
        </w:rPr>
        <w:t>1混凝土</w:t>
      </w:r>
    </w:p>
    <w:p>
      <w:pPr>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_GB2312"/>
          <w:b w:val="0"/>
          <w:bCs/>
          <w:color w:val="auto"/>
          <w:kern w:val="2"/>
          <w:sz w:val="28"/>
          <w:szCs w:val="28"/>
          <w:highlight w:val="none"/>
          <w:lang w:val="en-US" w:eastAsia="zh-CN" w:bidi="ar-SA"/>
        </w:rPr>
      </w:pPr>
      <w:r>
        <w:rPr>
          <w:rFonts w:hint="eastAsia" w:ascii="仿宋" w:hAnsi="仿宋" w:eastAsia="仿宋" w:cs="仿宋_GB2312"/>
          <w:b w:val="0"/>
          <w:bCs/>
          <w:color w:val="auto"/>
          <w:kern w:val="2"/>
          <w:sz w:val="28"/>
          <w:szCs w:val="28"/>
          <w:highlight w:val="none"/>
          <w:lang w:val="en-US" w:eastAsia="zh-CN" w:bidi="ar-SA"/>
        </w:rPr>
        <w:t>根据不同的环境类别、设计使用年限及不同的部位，采用不同的强度最低等级：</w:t>
      </w:r>
    </w:p>
    <w:p>
      <w:pPr>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_GB2312"/>
          <w:b w:val="0"/>
          <w:bCs/>
          <w:color w:val="auto"/>
          <w:kern w:val="2"/>
          <w:sz w:val="28"/>
          <w:szCs w:val="28"/>
          <w:highlight w:val="none"/>
          <w:lang w:val="en-US" w:eastAsia="zh-CN" w:bidi="ar-SA"/>
        </w:rPr>
      </w:pPr>
      <w:r>
        <w:rPr>
          <w:rFonts w:hint="eastAsia" w:ascii="仿宋" w:hAnsi="仿宋" w:eastAsia="仿宋" w:cs="仿宋_GB2312"/>
          <w:b w:val="0"/>
          <w:bCs/>
          <w:color w:val="auto"/>
          <w:kern w:val="2"/>
          <w:sz w:val="28"/>
          <w:szCs w:val="28"/>
          <w:highlight w:val="none"/>
          <w:lang w:val="en-US" w:eastAsia="zh-CN" w:bidi="ar-SA"/>
        </w:rPr>
        <w:t>（1）混凝土垫层  C15</w:t>
      </w:r>
    </w:p>
    <w:p>
      <w:pPr>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_GB2312"/>
          <w:b w:val="0"/>
          <w:bCs/>
          <w:color w:val="auto"/>
          <w:kern w:val="2"/>
          <w:sz w:val="28"/>
          <w:szCs w:val="28"/>
          <w:highlight w:val="none"/>
          <w:lang w:val="en-US" w:eastAsia="zh-CN" w:bidi="ar-SA"/>
        </w:rPr>
      </w:pPr>
      <w:r>
        <w:rPr>
          <w:rFonts w:hint="eastAsia" w:ascii="仿宋" w:hAnsi="仿宋" w:eastAsia="仿宋" w:cs="仿宋_GB2312"/>
          <w:b w:val="0"/>
          <w:bCs/>
          <w:color w:val="auto"/>
          <w:kern w:val="2"/>
          <w:sz w:val="28"/>
          <w:szCs w:val="28"/>
          <w:highlight w:val="none"/>
          <w:lang w:val="en-US" w:eastAsia="zh-CN" w:bidi="ar-SA"/>
        </w:rPr>
        <w:t>（2）钢筋混凝土独立基础  ≥C30</w:t>
      </w:r>
    </w:p>
    <w:p>
      <w:pPr>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_GB2312"/>
          <w:b w:val="0"/>
          <w:bCs/>
          <w:color w:val="auto"/>
          <w:kern w:val="2"/>
          <w:sz w:val="28"/>
          <w:szCs w:val="28"/>
          <w:highlight w:val="none"/>
          <w:lang w:val="en-US" w:eastAsia="zh-CN" w:bidi="ar-SA"/>
        </w:rPr>
      </w:pPr>
      <w:r>
        <w:rPr>
          <w:rFonts w:hint="eastAsia" w:ascii="仿宋" w:hAnsi="仿宋" w:eastAsia="仿宋" w:cs="仿宋_GB2312"/>
          <w:b w:val="0"/>
          <w:bCs/>
          <w:color w:val="auto"/>
          <w:kern w:val="2"/>
          <w:sz w:val="28"/>
          <w:szCs w:val="28"/>
          <w:highlight w:val="none"/>
          <w:lang w:val="en-US" w:eastAsia="zh-CN" w:bidi="ar-SA"/>
        </w:rPr>
        <w:t>（3）现浇钢筋混凝土设备基础  ≥C30</w:t>
      </w:r>
    </w:p>
    <w:p>
      <w:pPr>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_GB2312"/>
          <w:b w:val="0"/>
          <w:bCs/>
          <w:color w:val="auto"/>
          <w:kern w:val="2"/>
          <w:sz w:val="28"/>
          <w:szCs w:val="28"/>
          <w:highlight w:val="none"/>
          <w:lang w:val="en-US" w:eastAsia="zh-CN" w:bidi="ar-SA"/>
        </w:rPr>
      </w:pPr>
      <w:r>
        <w:rPr>
          <w:rFonts w:hint="eastAsia" w:ascii="仿宋" w:hAnsi="仿宋" w:eastAsia="仿宋" w:cs="仿宋_GB2312"/>
          <w:b w:val="0"/>
          <w:bCs/>
          <w:color w:val="auto"/>
          <w:kern w:val="2"/>
          <w:sz w:val="28"/>
          <w:szCs w:val="28"/>
          <w:highlight w:val="none"/>
          <w:lang w:val="en-US" w:eastAsia="zh-CN" w:bidi="ar-SA"/>
        </w:rPr>
        <w:t>（4）现浇混凝土设备基础  ≥C30</w:t>
      </w:r>
    </w:p>
    <w:p>
      <w:pPr>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_GB2312"/>
          <w:b w:val="0"/>
          <w:bCs/>
          <w:color w:val="auto"/>
          <w:kern w:val="2"/>
          <w:sz w:val="28"/>
          <w:szCs w:val="28"/>
          <w:highlight w:val="none"/>
          <w:lang w:val="en-US" w:eastAsia="zh-CN" w:bidi="ar-SA"/>
        </w:rPr>
      </w:pPr>
      <w:r>
        <w:rPr>
          <w:rFonts w:hint="eastAsia" w:ascii="仿宋" w:hAnsi="仿宋" w:eastAsia="仿宋" w:cs="仿宋_GB2312"/>
          <w:b w:val="0"/>
          <w:bCs/>
          <w:color w:val="auto"/>
          <w:kern w:val="2"/>
          <w:sz w:val="28"/>
          <w:szCs w:val="28"/>
          <w:highlight w:val="none"/>
          <w:lang w:val="en-US" w:eastAsia="zh-CN" w:bidi="ar-SA"/>
        </w:rPr>
        <w:t>（5）现浇钢筋混凝土梁、板、柱  ≥C30</w:t>
      </w:r>
    </w:p>
    <w:p>
      <w:pPr>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_GB2312"/>
          <w:b w:val="0"/>
          <w:bCs/>
          <w:color w:val="auto"/>
          <w:kern w:val="2"/>
          <w:sz w:val="28"/>
          <w:szCs w:val="28"/>
          <w:highlight w:val="none"/>
          <w:lang w:val="en-US" w:eastAsia="zh-CN" w:bidi="ar-SA"/>
        </w:rPr>
      </w:pPr>
      <w:r>
        <w:rPr>
          <w:rFonts w:hint="eastAsia" w:ascii="仿宋" w:hAnsi="仿宋" w:eastAsia="仿宋" w:cs="仿宋_GB2312"/>
          <w:b w:val="0"/>
          <w:bCs/>
          <w:color w:val="auto"/>
          <w:kern w:val="2"/>
          <w:sz w:val="28"/>
          <w:szCs w:val="28"/>
          <w:highlight w:val="none"/>
          <w:lang w:val="en-US" w:eastAsia="zh-CN" w:bidi="ar-SA"/>
        </w:rPr>
        <w:t>规范（尤其对照GB50046-2008）、标准及标准图集中对混凝土强度等级和抗渗等级有明确规定的按规范、标准及图集规定执行。</w:t>
      </w:r>
    </w:p>
    <w:p>
      <w:pPr>
        <w:pageBreakBefore w:val="0"/>
        <w:widowControl w:val="0"/>
        <w:kinsoku/>
        <w:wordWrap/>
        <w:overflowPunct/>
        <w:topLinePunct w:val="0"/>
        <w:autoSpaceDE/>
        <w:autoSpaceDN/>
        <w:bidi w:val="0"/>
        <w:spacing w:line="500" w:lineRule="exact"/>
        <w:ind w:firstLine="562" w:firstLineChars="200"/>
        <w:textAlignment w:val="auto"/>
        <w:rPr>
          <w:rFonts w:hint="eastAsia" w:ascii="仿宋" w:hAnsi="仿宋" w:eastAsia="仿宋" w:cs="仿宋_GB2312"/>
          <w:b w:val="0"/>
          <w:bCs/>
          <w:color w:val="auto"/>
          <w:kern w:val="2"/>
          <w:sz w:val="28"/>
          <w:szCs w:val="28"/>
          <w:highlight w:val="none"/>
          <w:lang w:val="en-US" w:eastAsia="zh-CN" w:bidi="ar-SA"/>
        </w:rPr>
      </w:pPr>
      <w:r>
        <w:rPr>
          <w:rFonts w:hint="eastAsia" w:ascii="仿宋" w:hAnsi="仿宋" w:eastAsia="仿宋" w:cs="仿宋_GB2312"/>
          <w:b/>
          <w:bCs w:val="0"/>
          <w:color w:val="auto"/>
          <w:kern w:val="2"/>
          <w:sz w:val="28"/>
          <w:szCs w:val="28"/>
          <w:highlight w:val="none"/>
          <w:lang w:val="en-US" w:eastAsia="zh-CN" w:bidi="ar-SA"/>
        </w:rPr>
        <w:t>2钢筋</w:t>
      </w:r>
    </w:p>
    <w:p>
      <w:pPr>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_GB2312"/>
          <w:b w:val="0"/>
          <w:bCs/>
          <w:color w:val="auto"/>
          <w:kern w:val="2"/>
          <w:sz w:val="28"/>
          <w:szCs w:val="28"/>
          <w:highlight w:val="none"/>
          <w:lang w:val="en-US" w:eastAsia="zh-CN" w:bidi="ar-SA"/>
        </w:rPr>
      </w:pPr>
      <w:r>
        <w:rPr>
          <w:rFonts w:hint="eastAsia" w:ascii="仿宋" w:hAnsi="仿宋" w:eastAsia="仿宋" w:cs="仿宋_GB2312"/>
          <w:b w:val="0"/>
          <w:bCs/>
          <w:color w:val="auto"/>
          <w:kern w:val="2"/>
          <w:sz w:val="28"/>
          <w:szCs w:val="28"/>
          <w:highlight w:val="none"/>
          <w:lang w:val="en-US" w:eastAsia="zh-CN" w:bidi="ar-SA"/>
        </w:rPr>
        <w:t>（1）钢筋混凝土结构和预应力钢筋混凝土结构中的非预应力钢筋：采用HRB400级。</w:t>
      </w:r>
    </w:p>
    <w:p>
      <w:pPr>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_GB2312"/>
          <w:b w:val="0"/>
          <w:bCs/>
          <w:color w:val="auto"/>
          <w:kern w:val="2"/>
          <w:sz w:val="28"/>
          <w:szCs w:val="28"/>
          <w:highlight w:val="none"/>
          <w:lang w:val="en-US" w:eastAsia="zh-CN" w:bidi="ar-SA"/>
        </w:rPr>
      </w:pPr>
      <w:r>
        <w:rPr>
          <w:rFonts w:hint="eastAsia" w:ascii="仿宋" w:hAnsi="仿宋" w:eastAsia="仿宋" w:cs="仿宋_GB2312"/>
          <w:b w:val="0"/>
          <w:bCs/>
          <w:color w:val="auto"/>
          <w:kern w:val="2"/>
          <w:sz w:val="28"/>
          <w:szCs w:val="28"/>
          <w:highlight w:val="none"/>
          <w:lang w:val="en-US" w:eastAsia="zh-CN" w:bidi="ar-SA"/>
        </w:rPr>
        <w:t>（2）预应力钢筋混凝土结构中的预应力钢筋：采用预应力钢绞线、钢丝，也可采用热处理钢筋。</w:t>
      </w:r>
    </w:p>
    <w:p>
      <w:pPr>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_GB2312"/>
          <w:b w:val="0"/>
          <w:bCs/>
          <w:color w:val="auto"/>
          <w:kern w:val="2"/>
          <w:sz w:val="28"/>
          <w:szCs w:val="28"/>
          <w:highlight w:val="none"/>
          <w:lang w:val="en-US" w:eastAsia="zh-CN" w:bidi="ar-SA"/>
        </w:rPr>
      </w:pPr>
      <w:r>
        <w:rPr>
          <w:rFonts w:hint="eastAsia" w:ascii="仿宋" w:hAnsi="仿宋" w:eastAsia="仿宋" w:cs="仿宋_GB2312"/>
          <w:b w:val="0"/>
          <w:bCs/>
          <w:color w:val="auto"/>
          <w:kern w:val="2"/>
          <w:sz w:val="28"/>
          <w:szCs w:val="28"/>
          <w:highlight w:val="none"/>
          <w:lang w:val="en-US" w:eastAsia="zh-CN" w:bidi="ar-SA"/>
        </w:rPr>
        <w:t>（3）除有特殊要求的钢筋以外，钢筋均采用HRB400级。</w:t>
      </w:r>
    </w:p>
    <w:p>
      <w:pPr>
        <w:pageBreakBefore w:val="0"/>
        <w:widowControl w:val="0"/>
        <w:kinsoku/>
        <w:wordWrap/>
        <w:overflowPunct/>
        <w:topLinePunct w:val="0"/>
        <w:autoSpaceDE/>
        <w:autoSpaceDN/>
        <w:bidi w:val="0"/>
        <w:spacing w:line="500" w:lineRule="exact"/>
        <w:ind w:firstLine="562" w:firstLineChars="200"/>
        <w:textAlignment w:val="auto"/>
        <w:rPr>
          <w:rFonts w:hint="eastAsia" w:ascii="仿宋" w:hAnsi="仿宋" w:eastAsia="仿宋" w:cs="仿宋_GB2312"/>
          <w:b w:val="0"/>
          <w:bCs/>
          <w:color w:val="auto"/>
          <w:kern w:val="2"/>
          <w:sz w:val="28"/>
          <w:szCs w:val="28"/>
          <w:highlight w:val="none"/>
          <w:lang w:val="en-US" w:eastAsia="zh-CN" w:bidi="ar-SA"/>
        </w:rPr>
      </w:pPr>
      <w:r>
        <w:rPr>
          <w:rFonts w:hint="eastAsia" w:ascii="仿宋" w:hAnsi="仿宋" w:eastAsia="仿宋" w:cs="仿宋_GB2312"/>
          <w:b/>
          <w:bCs w:val="0"/>
          <w:color w:val="auto"/>
          <w:kern w:val="2"/>
          <w:sz w:val="28"/>
          <w:szCs w:val="28"/>
          <w:highlight w:val="none"/>
          <w:lang w:val="en-US" w:eastAsia="zh-CN" w:bidi="ar-SA"/>
        </w:rPr>
        <w:t>3钢材</w:t>
      </w:r>
    </w:p>
    <w:p>
      <w:pPr>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_GB2312"/>
          <w:b w:val="0"/>
          <w:bCs/>
          <w:color w:val="auto"/>
          <w:kern w:val="2"/>
          <w:sz w:val="28"/>
          <w:szCs w:val="28"/>
          <w:highlight w:val="none"/>
          <w:lang w:val="en-US" w:eastAsia="zh-CN" w:bidi="ar-SA"/>
        </w:rPr>
      </w:pPr>
      <w:r>
        <w:rPr>
          <w:rFonts w:hint="eastAsia" w:ascii="仿宋" w:hAnsi="仿宋" w:eastAsia="仿宋" w:cs="仿宋_GB2312"/>
          <w:b w:val="0"/>
          <w:bCs/>
          <w:color w:val="auto"/>
          <w:kern w:val="2"/>
          <w:sz w:val="28"/>
          <w:szCs w:val="28"/>
          <w:highlight w:val="none"/>
          <w:lang w:val="en-US" w:eastAsia="zh-CN" w:bidi="ar-SA"/>
        </w:rPr>
        <w:t>型钢、钢板选用Q235-B，钢结构的钢材应符合下列规定：</w:t>
      </w:r>
    </w:p>
    <w:p>
      <w:pPr>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_GB2312"/>
          <w:b w:val="0"/>
          <w:bCs/>
          <w:color w:val="auto"/>
          <w:kern w:val="2"/>
          <w:sz w:val="28"/>
          <w:szCs w:val="28"/>
          <w:highlight w:val="none"/>
          <w:lang w:val="en-US" w:eastAsia="zh-CN" w:bidi="ar-SA"/>
        </w:rPr>
      </w:pPr>
      <w:r>
        <w:rPr>
          <w:rFonts w:hint="eastAsia" w:ascii="仿宋" w:hAnsi="仿宋" w:eastAsia="仿宋" w:cs="仿宋_GB2312"/>
          <w:b w:val="0"/>
          <w:bCs/>
          <w:color w:val="auto"/>
          <w:kern w:val="2"/>
          <w:sz w:val="28"/>
          <w:szCs w:val="28"/>
          <w:highlight w:val="none"/>
          <w:lang w:val="en-US" w:eastAsia="zh-CN" w:bidi="ar-SA"/>
        </w:rPr>
        <w:t>（1）钢材的屈服强度实测值与抗拉强度实测值的比值不应大于0.85。</w:t>
      </w:r>
    </w:p>
    <w:p>
      <w:pPr>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_GB2312"/>
          <w:b w:val="0"/>
          <w:bCs/>
          <w:color w:val="auto"/>
          <w:kern w:val="2"/>
          <w:sz w:val="28"/>
          <w:szCs w:val="28"/>
          <w:highlight w:val="none"/>
          <w:lang w:val="en-US" w:eastAsia="zh-CN" w:bidi="ar-SA"/>
        </w:rPr>
      </w:pPr>
      <w:r>
        <w:rPr>
          <w:rFonts w:hint="eastAsia" w:ascii="仿宋" w:hAnsi="仿宋" w:eastAsia="仿宋" w:cs="仿宋_GB2312"/>
          <w:b w:val="0"/>
          <w:bCs/>
          <w:color w:val="auto"/>
          <w:kern w:val="2"/>
          <w:sz w:val="28"/>
          <w:szCs w:val="28"/>
          <w:highlight w:val="none"/>
          <w:lang w:val="en-US" w:eastAsia="zh-CN" w:bidi="ar-SA"/>
        </w:rPr>
        <w:t>（2）钢材有明显的屈服台阶，且伸长率不应小于20%</w:t>
      </w:r>
    </w:p>
    <w:p>
      <w:pPr>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_GB2312"/>
          <w:b w:val="0"/>
          <w:bCs/>
          <w:color w:val="auto"/>
          <w:kern w:val="2"/>
          <w:sz w:val="28"/>
          <w:szCs w:val="28"/>
          <w:highlight w:val="none"/>
          <w:lang w:val="en-US" w:eastAsia="zh-CN" w:bidi="ar-SA"/>
        </w:rPr>
      </w:pPr>
      <w:r>
        <w:rPr>
          <w:rFonts w:hint="eastAsia" w:ascii="仿宋" w:hAnsi="仿宋" w:eastAsia="仿宋" w:cs="仿宋_GB2312"/>
          <w:b w:val="0"/>
          <w:bCs/>
          <w:color w:val="auto"/>
          <w:kern w:val="2"/>
          <w:sz w:val="28"/>
          <w:szCs w:val="28"/>
          <w:highlight w:val="none"/>
          <w:lang w:val="en-US" w:eastAsia="zh-CN" w:bidi="ar-SA"/>
        </w:rPr>
        <w:t>（3）钢材有良好的可焊性和合格的冲击韧性。</w:t>
      </w:r>
    </w:p>
    <w:p>
      <w:pPr>
        <w:pageBreakBefore w:val="0"/>
        <w:widowControl w:val="0"/>
        <w:kinsoku/>
        <w:wordWrap/>
        <w:overflowPunct/>
        <w:topLinePunct w:val="0"/>
        <w:autoSpaceDE/>
        <w:autoSpaceDN/>
        <w:bidi w:val="0"/>
        <w:spacing w:line="500" w:lineRule="exact"/>
        <w:ind w:firstLine="562" w:firstLineChars="200"/>
        <w:textAlignment w:val="auto"/>
        <w:rPr>
          <w:rFonts w:hint="eastAsia" w:ascii="仿宋" w:hAnsi="仿宋" w:eastAsia="仿宋" w:cs="仿宋_GB2312"/>
          <w:b w:val="0"/>
          <w:bCs/>
          <w:color w:val="auto"/>
          <w:kern w:val="2"/>
          <w:sz w:val="28"/>
          <w:szCs w:val="28"/>
          <w:highlight w:val="yellow"/>
          <w:lang w:val="en-US" w:eastAsia="zh-CN" w:bidi="ar-SA"/>
        </w:rPr>
      </w:pPr>
      <w:r>
        <w:rPr>
          <w:rFonts w:hint="eastAsia" w:ascii="仿宋" w:hAnsi="仿宋" w:eastAsia="仿宋" w:cs="仿宋_GB2312"/>
          <w:b/>
          <w:bCs w:val="0"/>
          <w:color w:val="auto"/>
          <w:kern w:val="2"/>
          <w:sz w:val="28"/>
          <w:szCs w:val="28"/>
          <w:highlight w:val="none"/>
          <w:lang w:val="en-US" w:eastAsia="zh-CN" w:bidi="ar-SA"/>
        </w:rPr>
        <w:t>4砌体材料</w:t>
      </w:r>
    </w:p>
    <w:p>
      <w:pPr>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_GB2312"/>
          <w:b w:val="0"/>
          <w:bCs/>
          <w:color w:val="auto"/>
          <w:kern w:val="2"/>
          <w:sz w:val="28"/>
          <w:szCs w:val="28"/>
          <w:highlight w:val="none"/>
          <w:lang w:val="en-US" w:eastAsia="zh-CN" w:bidi="ar-SA"/>
        </w:rPr>
      </w:pPr>
      <w:r>
        <w:rPr>
          <w:rFonts w:hint="eastAsia" w:ascii="仿宋" w:hAnsi="仿宋" w:eastAsia="仿宋" w:cs="仿宋_GB2312"/>
          <w:b w:val="0"/>
          <w:bCs/>
          <w:color w:val="auto"/>
          <w:kern w:val="2"/>
          <w:sz w:val="28"/>
          <w:szCs w:val="28"/>
          <w:highlight w:val="none"/>
          <w:lang w:val="en-US" w:eastAsia="zh-CN" w:bidi="ar-SA"/>
        </w:rPr>
        <w:t>（1）地下及与水土接触部分墙体采用M10水泥砂浆砌MU10蒸压灰砂砖，地上部分承重墙体采用M7.5混合砂浆砌MU10蒸压灰砂砖。</w:t>
      </w:r>
    </w:p>
    <w:p>
      <w:pPr>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_GB2312"/>
          <w:b w:val="0"/>
          <w:bCs/>
          <w:color w:val="auto"/>
          <w:kern w:val="2"/>
          <w:sz w:val="28"/>
          <w:szCs w:val="28"/>
          <w:highlight w:val="none"/>
          <w:lang w:val="en-US" w:eastAsia="zh-CN" w:bidi="ar-SA"/>
        </w:rPr>
      </w:pPr>
      <w:r>
        <w:rPr>
          <w:rFonts w:hint="eastAsia" w:ascii="仿宋" w:hAnsi="仿宋" w:eastAsia="仿宋" w:cs="仿宋_GB2312"/>
          <w:b w:val="0"/>
          <w:bCs/>
          <w:color w:val="auto"/>
          <w:kern w:val="2"/>
          <w:sz w:val="28"/>
          <w:szCs w:val="28"/>
          <w:highlight w:val="none"/>
          <w:lang w:val="en-US" w:eastAsia="zh-CN" w:bidi="ar-SA"/>
        </w:rPr>
        <w:t>（2）框架填充墙采用Mb7.5混合砂浆砌MU10加气混凝土砌块，设有女儿墙的采用MU10灰砂砖，M7.5混合砂浆，60厚砼压顶。</w:t>
      </w:r>
    </w:p>
    <w:p>
      <w:pPr>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_GB2312"/>
          <w:b w:val="0"/>
          <w:bCs/>
          <w:color w:val="auto"/>
          <w:kern w:val="2"/>
          <w:sz w:val="28"/>
          <w:szCs w:val="28"/>
          <w:highlight w:val="none"/>
          <w:lang w:val="en-US" w:eastAsia="zh-CN" w:bidi="ar-SA"/>
        </w:rPr>
      </w:pPr>
      <w:r>
        <w:rPr>
          <w:rFonts w:hint="eastAsia" w:ascii="仿宋" w:hAnsi="仿宋" w:eastAsia="仿宋" w:cs="仿宋_GB2312"/>
          <w:b w:val="0"/>
          <w:bCs/>
          <w:color w:val="auto"/>
          <w:kern w:val="2"/>
          <w:sz w:val="28"/>
          <w:szCs w:val="28"/>
          <w:highlight w:val="none"/>
          <w:lang w:val="en-US" w:eastAsia="zh-CN" w:bidi="ar-SA"/>
        </w:rPr>
        <w:t>（3）砌体施工质量控制等级为B级。</w:t>
      </w:r>
    </w:p>
    <w:p>
      <w:pPr>
        <w:pStyle w:val="50"/>
        <w:pageBreakBefore w:val="0"/>
        <w:widowControl w:val="0"/>
        <w:numPr>
          <w:ilvl w:val="0"/>
          <w:numId w:val="0"/>
        </w:numPr>
        <w:kinsoku/>
        <w:wordWrap/>
        <w:overflowPunct/>
        <w:topLinePunct w:val="0"/>
        <w:autoSpaceDE/>
        <w:autoSpaceDN/>
        <w:bidi w:val="0"/>
        <w:spacing w:line="500" w:lineRule="exact"/>
        <w:ind w:leftChars="0" w:firstLine="562" w:firstLineChars="200"/>
        <w:textAlignment w:val="auto"/>
        <w:rPr>
          <w:rFonts w:hint="eastAsia" w:ascii="仿宋" w:hAnsi="仿宋" w:eastAsia="仿宋" w:cs="仿宋_GB2312"/>
          <w:b/>
          <w:bCs w:val="0"/>
          <w:color w:val="auto"/>
          <w:kern w:val="2"/>
          <w:sz w:val="28"/>
          <w:szCs w:val="28"/>
          <w:highlight w:val="none"/>
          <w:lang w:val="en-US" w:eastAsia="zh-CN" w:bidi="ar-SA"/>
        </w:rPr>
      </w:pPr>
      <w:bookmarkStart w:id="68" w:name="_Toc3536231"/>
      <w:bookmarkStart w:id="69" w:name="_Toc3535589"/>
      <w:r>
        <w:rPr>
          <w:rFonts w:hint="eastAsia" w:ascii="仿宋" w:hAnsi="仿宋" w:eastAsia="仿宋" w:cs="仿宋_GB2312"/>
          <w:b/>
          <w:bCs w:val="0"/>
          <w:color w:val="auto"/>
          <w:kern w:val="2"/>
          <w:sz w:val="28"/>
          <w:szCs w:val="28"/>
          <w:highlight w:val="none"/>
          <w:lang w:val="en-US" w:eastAsia="zh-CN" w:bidi="ar-SA"/>
        </w:rPr>
        <w:t>5结构设计</w:t>
      </w:r>
      <w:bookmarkEnd w:id="68"/>
      <w:bookmarkEnd w:id="69"/>
    </w:p>
    <w:p>
      <w:pPr>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_GB2312"/>
          <w:b w:val="0"/>
          <w:bCs/>
          <w:color w:val="auto"/>
          <w:kern w:val="2"/>
          <w:sz w:val="28"/>
          <w:szCs w:val="28"/>
          <w:highlight w:val="none"/>
          <w:lang w:val="en-US" w:eastAsia="zh-CN" w:bidi="ar-SA"/>
        </w:rPr>
      </w:pPr>
      <w:r>
        <w:rPr>
          <w:rFonts w:hint="eastAsia" w:ascii="仿宋" w:hAnsi="仿宋" w:eastAsia="仿宋" w:cs="仿宋_GB2312"/>
          <w:b w:val="0"/>
          <w:bCs/>
          <w:color w:val="auto"/>
          <w:kern w:val="2"/>
          <w:sz w:val="28"/>
          <w:szCs w:val="28"/>
          <w:highlight w:val="none"/>
          <w:lang w:val="en-US" w:eastAsia="zh-CN" w:bidi="ar-SA"/>
        </w:rPr>
        <w:t>（1）地基处理</w:t>
      </w:r>
    </w:p>
    <w:p>
      <w:pPr>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_GB2312"/>
          <w:b w:val="0"/>
          <w:bCs/>
          <w:color w:val="auto"/>
          <w:kern w:val="2"/>
          <w:sz w:val="28"/>
          <w:szCs w:val="28"/>
          <w:highlight w:val="none"/>
          <w:lang w:val="en-US" w:eastAsia="zh-CN" w:bidi="ar-SA"/>
        </w:rPr>
      </w:pPr>
      <w:r>
        <w:rPr>
          <w:rFonts w:hint="eastAsia" w:ascii="仿宋" w:hAnsi="仿宋" w:eastAsia="仿宋" w:cs="仿宋_GB2312"/>
          <w:b w:val="0"/>
          <w:bCs/>
          <w:color w:val="auto"/>
          <w:kern w:val="2"/>
          <w:sz w:val="28"/>
          <w:szCs w:val="28"/>
          <w:highlight w:val="none"/>
          <w:lang w:val="en-US" w:eastAsia="zh-CN" w:bidi="ar-SA"/>
        </w:rPr>
        <w:t>具体基础设计报价人对设备及储存介质承重考虑，按照规范的有关要求确定。</w:t>
      </w:r>
    </w:p>
    <w:p>
      <w:pPr>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_GB2312"/>
          <w:b w:val="0"/>
          <w:bCs/>
          <w:color w:val="auto"/>
          <w:kern w:val="2"/>
          <w:sz w:val="28"/>
          <w:szCs w:val="28"/>
          <w:highlight w:val="none"/>
          <w:lang w:val="en-US" w:eastAsia="zh-CN" w:bidi="ar-SA"/>
        </w:rPr>
      </w:pPr>
      <w:r>
        <w:rPr>
          <w:rFonts w:hint="eastAsia" w:ascii="仿宋" w:hAnsi="仿宋" w:eastAsia="仿宋" w:cs="仿宋_GB2312"/>
          <w:b w:val="0"/>
          <w:bCs/>
          <w:color w:val="auto"/>
          <w:kern w:val="2"/>
          <w:sz w:val="28"/>
          <w:szCs w:val="28"/>
          <w:highlight w:val="none"/>
          <w:lang w:val="en-US" w:eastAsia="zh-CN" w:bidi="ar-SA"/>
        </w:rPr>
        <w:t>(2)基础方案</w:t>
      </w:r>
    </w:p>
    <w:p>
      <w:pPr>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_GB2312"/>
          <w:b w:val="0"/>
          <w:bCs/>
          <w:color w:val="auto"/>
          <w:kern w:val="2"/>
          <w:sz w:val="28"/>
          <w:szCs w:val="28"/>
          <w:highlight w:val="none"/>
          <w:lang w:val="en-US" w:eastAsia="zh-CN" w:bidi="ar-SA"/>
        </w:rPr>
      </w:pPr>
      <w:r>
        <w:rPr>
          <w:rFonts w:hint="eastAsia" w:ascii="仿宋" w:hAnsi="仿宋" w:eastAsia="仿宋" w:cs="仿宋_GB2312"/>
          <w:b w:val="0"/>
          <w:bCs/>
          <w:color w:val="auto"/>
          <w:kern w:val="2"/>
          <w:sz w:val="28"/>
          <w:szCs w:val="28"/>
          <w:highlight w:val="none"/>
          <w:lang w:val="en-US" w:eastAsia="zh-CN" w:bidi="ar-SA"/>
        </w:rPr>
        <w:t>基础埋深应根据建、构筑物的类型、地基上部荷载情况、地质条件、所在生产区域的腐蚀性等级、结合工程地质、气候、及相邻建、构筑物影响等情况，按照规范的有关要求确定。</w:t>
      </w:r>
    </w:p>
    <w:p>
      <w:pPr>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_GB2312"/>
          <w:b w:val="0"/>
          <w:bCs/>
          <w:color w:val="auto"/>
          <w:kern w:val="2"/>
          <w:sz w:val="28"/>
          <w:szCs w:val="28"/>
          <w:highlight w:val="none"/>
          <w:lang w:val="en-US" w:eastAsia="zh-CN" w:bidi="ar-SA"/>
        </w:rPr>
      </w:pPr>
      <w:r>
        <w:rPr>
          <w:rFonts w:hint="eastAsia" w:ascii="仿宋" w:hAnsi="仿宋" w:eastAsia="仿宋" w:cs="仿宋_GB2312"/>
          <w:b w:val="0"/>
          <w:bCs/>
          <w:color w:val="auto"/>
          <w:kern w:val="2"/>
          <w:sz w:val="28"/>
          <w:szCs w:val="28"/>
          <w:highlight w:val="none"/>
          <w:lang w:val="en-US" w:eastAsia="zh-CN" w:bidi="ar-SA"/>
        </w:rPr>
        <w:t>(3)结构设计基准期和使用年限</w:t>
      </w:r>
    </w:p>
    <w:p>
      <w:pPr>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_GB2312"/>
          <w:b w:val="0"/>
          <w:bCs/>
          <w:color w:val="auto"/>
          <w:kern w:val="2"/>
          <w:sz w:val="28"/>
          <w:szCs w:val="28"/>
          <w:highlight w:val="none"/>
          <w:lang w:val="en-US" w:eastAsia="zh-CN" w:bidi="ar-SA"/>
        </w:rPr>
      </w:pPr>
      <w:r>
        <w:rPr>
          <w:rFonts w:hint="eastAsia" w:ascii="仿宋" w:hAnsi="仿宋" w:eastAsia="仿宋" w:cs="仿宋_GB2312"/>
          <w:b w:val="0"/>
          <w:bCs/>
          <w:color w:val="auto"/>
          <w:kern w:val="2"/>
          <w:sz w:val="28"/>
          <w:szCs w:val="28"/>
          <w:highlight w:val="none"/>
          <w:lang w:val="en-US" w:eastAsia="zh-CN" w:bidi="ar-SA"/>
        </w:rPr>
        <w:t>本设计所采用的结构设计基准期为50年，结构使用年限应按《建筑结构可靠度设计统一标准》（GB 50068-2001）第1.0.5条的规定采用，一般建、构筑物结构设计使用年限为50年（规范另有规定者除外），结构安全等级为二级。</w:t>
      </w:r>
    </w:p>
    <w:p>
      <w:pPr>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_GB2312"/>
          <w:b w:val="0"/>
          <w:bCs/>
          <w:color w:val="auto"/>
          <w:kern w:val="2"/>
          <w:sz w:val="28"/>
          <w:szCs w:val="28"/>
          <w:highlight w:val="none"/>
          <w:lang w:val="en-US" w:eastAsia="zh-CN" w:bidi="ar-SA"/>
        </w:rPr>
      </w:pPr>
      <w:r>
        <w:rPr>
          <w:rFonts w:hint="eastAsia" w:ascii="仿宋" w:hAnsi="仿宋" w:eastAsia="仿宋" w:cs="仿宋_GB2312"/>
          <w:b w:val="0"/>
          <w:bCs/>
          <w:color w:val="auto"/>
          <w:kern w:val="2"/>
          <w:sz w:val="28"/>
          <w:szCs w:val="28"/>
          <w:highlight w:val="none"/>
          <w:lang w:val="en-US" w:eastAsia="zh-CN" w:bidi="ar-SA"/>
        </w:rPr>
        <w:t>(4)抗震设计</w:t>
      </w:r>
    </w:p>
    <w:p>
      <w:pPr>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_GB2312"/>
          <w:b w:val="0"/>
          <w:bCs/>
          <w:color w:val="auto"/>
          <w:kern w:val="2"/>
          <w:sz w:val="28"/>
          <w:szCs w:val="28"/>
          <w:highlight w:val="none"/>
          <w:lang w:val="en-US" w:eastAsia="zh-CN" w:bidi="ar-SA"/>
        </w:rPr>
      </w:pPr>
      <w:r>
        <w:rPr>
          <w:rFonts w:hint="eastAsia" w:ascii="仿宋" w:hAnsi="仿宋" w:eastAsia="仿宋" w:cs="仿宋_GB2312"/>
          <w:b w:val="0"/>
          <w:bCs/>
          <w:color w:val="auto"/>
          <w:kern w:val="2"/>
          <w:sz w:val="28"/>
          <w:szCs w:val="28"/>
          <w:highlight w:val="none"/>
          <w:lang w:val="en-US" w:eastAsia="zh-CN" w:bidi="ar-SA"/>
        </w:rPr>
        <w:t>（4.1）抗震设防</w:t>
      </w:r>
    </w:p>
    <w:p>
      <w:pPr>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_GB2312"/>
          <w:b w:val="0"/>
          <w:bCs/>
          <w:color w:val="auto"/>
          <w:kern w:val="2"/>
          <w:sz w:val="28"/>
          <w:szCs w:val="28"/>
          <w:highlight w:val="none"/>
          <w:lang w:val="en-US" w:eastAsia="zh-CN" w:bidi="ar-SA"/>
        </w:rPr>
      </w:pPr>
      <w:r>
        <w:rPr>
          <w:rFonts w:hint="eastAsia" w:ascii="仿宋" w:hAnsi="仿宋" w:eastAsia="仿宋" w:cs="仿宋_GB2312"/>
          <w:b w:val="0"/>
          <w:bCs/>
          <w:color w:val="auto"/>
          <w:kern w:val="2"/>
          <w:sz w:val="28"/>
          <w:szCs w:val="28"/>
          <w:highlight w:val="none"/>
          <w:lang w:val="en-US" w:eastAsia="zh-CN" w:bidi="ar-SA"/>
        </w:rPr>
        <w:t>本项目所在场地若进行了地震影响安全性评价，有关参数以专门的地震影响安全性评价为准。</w:t>
      </w:r>
    </w:p>
    <w:p>
      <w:pPr>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_GB2312"/>
          <w:b w:val="0"/>
          <w:bCs/>
          <w:color w:val="auto"/>
          <w:kern w:val="2"/>
          <w:sz w:val="28"/>
          <w:szCs w:val="28"/>
          <w:highlight w:val="none"/>
          <w:lang w:val="en-US" w:eastAsia="zh-CN" w:bidi="ar-SA"/>
        </w:rPr>
      </w:pPr>
      <w:r>
        <w:rPr>
          <w:rFonts w:hint="eastAsia" w:ascii="仿宋" w:hAnsi="仿宋" w:eastAsia="仿宋" w:cs="仿宋_GB2312"/>
          <w:b w:val="0"/>
          <w:bCs/>
          <w:color w:val="auto"/>
          <w:kern w:val="2"/>
          <w:sz w:val="28"/>
          <w:szCs w:val="28"/>
          <w:highlight w:val="none"/>
          <w:lang w:val="en-US" w:eastAsia="zh-CN" w:bidi="ar-SA"/>
        </w:rPr>
        <w:t>（4.2）抗震设防分类</w:t>
      </w:r>
    </w:p>
    <w:p>
      <w:pPr>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_GB2312"/>
          <w:b w:val="0"/>
          <w:bCs/>
          <w:color w:val="auto"/>
          <w:kern w:val="2"/>
          <w:sz w:val="28"/>
          <w:szCs w:val="28"/>
          <w:highlight w:val="none"/>
          <w:lang w:val="en-US" w:eastAsia="zh-CN" w:bidi="ar-SA"/>
        </w:rPr>
      </w:pPr>
      <w:r>
        <w:rPr>
          <w:rFonts w:hint="eastAsia" w:ascii="仿宋" w:hAnsi="仿宋" w:eastAsia="仿宋" w:cs="仿宋_GB2312"/>
          <w:b w:val="0"/>
          <w:bCs/>
          <w:color w:val="auto"/>
          <w:kern w:val="2"/>
          <w:sz w:val="28"/>
          <w:szCs w:val="28"/>
          <w:highlight w:val="none"/>
          <w:lang w:val="en-US" w:eastAsia="zh-CN" w:bidi="ar-SA"/>
        </w:rPr>
        <w:t>抗震设防类别的划分按照《建筑工程抗震设防分类标准》（GB 50223-2008）的相关要求执行。其他行业建筑抗震设防类别的划分参照本行业标准，但同时需满足不低于上述两个标准的划分原则，对于不同抗震设防类别的建构筑物抗震设计要求如下：</w:t>
      </w:r>
    </w:p>
    <w:p>
      <w:pPr>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_GB2312"/>
          <w:b w:val="0"/>
          <w:bCs/>
          <w:color w:val="auto"/>
          <w:kern w:val="2"/>
          <w:sz w:val="28"/>
          <w:szCs w:val="28"/>
          <w:highlight w:val="none"/>
          <w:lang w:val="en-US" w:eastAsia="zh-CN" w:bidi="ar-SA"/>
        </w:rPr>
      </w:pPr>
      <w:r>
        <w:rPr>
          <w:rFonts w:hint="eastAsia" w:ascii="仿宋" w:hAnsi="仿宋" w:eastAsia="仿宋" w:cs="仿宋_GB2312"/>
          <w:b w:val="0"/>
          <w:bCs/>
          <w:color w:val="auto"/>
          <w:kern w:val="2"/>
          <w:sz w:val="28"/>
          <w:szCs w:val="28"/>
          <w:highlight w:val="none"/>
          <w:lang w:val="en-US" w:eastAsia="zh-CN" w:bidi="ar-SA"/>
        </w:rPr>
        <w:t>丙类建（构）筑物：地震作用和抗震措施均应符合本地区抗震设防烈度的要求。</w:t>
      </w:r>
    </w:p>
    <w:p>
      <w:pPr>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_GB2312"/>
          <w:b w:val="0"/>
          <w:bCs/>
          <w:color w:val="auto"/>
          <w:kern w:val="2"/>
          <w:sz w:val="28"/>
          <w:szCs w:val="28"/>
          <w:highlight w:val="none"/>
          <w:lang w:val="en-US" w:eastAsia="zh-CN" w:bidi="ar-SA"/>
        </w:rPr>
      </w:pPr>
      <w:r>
        <w:rPr>
          <w:rFonts w:hint="eastAsia" w:ascii="仿宋" w:hAnsi="仿宋" w:eastAsia="仿宋" w:cs="仿宋_GB2312"/>
          <w:b w:val="0"/>
          <w:bCs/>
          <w:color w:val="auto"/>
          <w:kern w:val="2"/>
          <w:sz w:val="28"/>
          <w:szCs w:val="28"/>
          <w:highlight w:val="none"/>
          <w:lang w:val="en-US" w:eastAsia="zh-CN" w:bidi="ar-SA"/>
        </w:rPr>
        <w:t>(5)混凝土结构的耐久性</w:t>
      </w:r>
    </w:p>
    <w:p>
      <w:pPr>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_GB2312"/>
          <w:b w:val="0"/>
          <w:bCs/>
          <w:color w:val="auto"/>
          <w:kern w:val="2"/>
          <w:sz w:val="28"/>
          <w:szCs w:val="28"/>
          <w:highlight w:val="none"/>
          <w:lang w:val="en-US" w:eastAsia="zh-CN" w:bidi="ar-SA"/>
        </w:rPr>
      </w:pPr>
      <w:r>
        <w:rPr>
          <w:rFonts w:hint="eastAsia" w:ascii="仿宋" w:hAnsi="仿宋" w:eastAsia="仿宋" w:cs="仿宋_GB2312"/>
          <w:b w:val="0"/>
          <w:bCs/>
          <w:color w:val="auto"/>
          <w:kern w:val="2"/>
          <w:sz w:val="28"/>
          <w:szCs w:val="28"/>
          <w:highlight w:val="none"/>
          <w:lang w:val="en-US" w:eastAsia="zh-CN" w:bidi="ar-SA"/>
        </w:rPr>
        <w:t>除有特殊要求的主项外，一般建（构）筑物的混凝土结构的环境类别规定如下：地面以下均为二b类；地面以上有围护结构部分为一类，露天部分为二a类。</w:t>
      </w:r>
    </w:p>
    <w:p>
      <w:pPr>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_GB2312"/>
          <w:b w:val="0"/>
          <w:bCs/>
          <w:color w:val="auto"/>
          <w:kern w:val="2"/>
          <w:sz w:val="28"/>
          <w:szCs w:val="28"/>
          <w:highlight w:val="none"/>
          <w:lang w:val="en-US" w:eastAsia="zh-CN" w:bidi="ar-SA"/>
        </w:rPr>
      </w:pPr>
      <w:r>
        <w:rPr>
          <w:rFonts w:hint="eastAsia" w:ascii="仿宋" w:hAnsi="仿宋" w:eastAsia="仿宋" w:cs="仿宋_GB2312"/>
          <w:b w:val="0"/>
          <w:bCs/>
          <w:color w:val="auto"/>
          <w:kern w:val="2"/>
          <w:sz w:val="28"/>
          <w:szCs w:val="28"/>
          <w:highlight w:val="none"/>
          <w:lang w:val="en-US" w:eastAsia="zh-CN" w:bidi="ar-SA"/>
        </w:rPr>
        <w:t>材料的各项指标应根据不同的环境类别满足《混凝土结构设计规范》GB50010-2010第3.5节和《工业建筑防腐蚀设计规范》GB50046-2008第4.2.3条的相应的要求。</w:t>
      </w:r>
    </w:p>
    <w:p>
      <w:pPr>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_GB2312"/>
          <w:b w:val="0"/>
          <w:bCs/>
          <w:color w:val="auto"/>
          <w:kern w:val="2"/>
          <w:sz w:val="28"/>
          <w:szCs w:val="28"/>
          <w:highlight w:val="none"/>
          <w:lang w:val="en-US" w:eastAsia="zh-CN" w:bidi="ar-SA"/>
        </w:rPr>
      </w:pPr>
      <w:r>
        <w:rPr>
          <w:rFonts w:hint="eastAsia" w:ascii="仿宋" w:hAnsi="仿宋" w:eastAsia="仿宋" w:cs="仿宋_GB2312"/>
          <w:b w:val="0"/>
          <w:bCs/>
          <w:color w:val="auto"/>
          <w:kern w:val="2"/>
          <w:sz w:val="28"/>
          <w:szCs w:val="28"/>
          <w:highlight w:val="none"/>
          <w:lang w:val="en-US" w:eastAsia="zh-CN" w:bidi="ar-SA"/>
        </w:rPr>
        <w:t>(6)荷载取值</w:t>
      </w:r>
    </w:p>
    <w:p>
      <w:pPr>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_GB2312"/>
          <w:b w:val="0"/>
          <w:bCs/>
          <w:color w:val="auto"/>
          <w:kern w:val="2"/>
          <w:sz w:val="28"/>
          <w:szCs w:val="28"/>
          <w:highlight w:val="none"/>
          <w:lang w:val="en-US" w:eastAsia="zh-CN" w:bidi="ar-SA"/>
        </w:rPr>
      </w:pPr>
      <w:r>
        <w:rPr>
          <w:rFonts w:hint="eastAsia" w:ascii="仿宋" w:hAnsi="仿宋" w:eastAsia="仿宋" w:cs="仿宋_GB2312"/>
          <w:b w:val="0"/>
          <w:bCs/>
          <w:color w:val="auto"/>
          <w:kern w:val="2"/>
          <w:sz w:val="28"/>
          <w:szCs w:val="28"/>
          <w:highlight w:val="none"/>
          <w:lang w:val="en-US" w:eastAsia="zh-CN" w:bidi="ar-SA"/>
        </w:rPr>
        <w:t>凡《建筑结构荷载规范》（GB50009）有明文规定的按该规范取用，设备、管道荷载和化工建、构筑物楼（地）面可变荷载由有关专业提出并参照《建筑结构荷载规范》（GB50009）取用。塔型设备基础、动力机器基础等结构的荷载取值按专门规定进行。</w:t>
      </w:r>
    </w:p>
    <w:p>
      <w:pPr>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_GB2312"/>
          <w:b w:val="0"/>
          <w:bCs/>
          <w:color w:val="auto"/>
          <w:kern w:val="2"/>
          <w:sz w:val="28"/>
          <w:szCs w:val="28"/>
          <w:highlight w:val="none"/>
          <w:lang w:val="en-US" w:eastAsia="zh-CN" w:bidi="ar-SA"/>
        </w:rPr>
      </w:pPr>
      <w:r>
        <w:rPr>
          <w:rFonts w:hint="eastAsia" w:ascii="仿宋" w:hAnsi="仿宋" w:eastAsia="仿宋" w:cs="仿宋_GB2312"/>
          <w:b w:val="0"/>
          <w:bCs/>
          <w:color w:val="auto"/>
          <w:kern w:val="2"/>
          <w:sz w:val="28"/>
          <w:szCs w:val="28"/>
          <w:highlight w:val="none"/>
          <w:lang w:val="en-US" w:eastAsia="zh-CN" w:bidi="ar-SA"/>
        </w:rPr>
        <w:t>(7)结构防腐蚀设计</w:t>
      </w:r>
    </w:p>
    <w:p>
      <w:pPr>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_GB2312"/>
          <w:b w:val="0"/>
          <w:bCs/>
          <w:color w:val="auto"/>
          <w:kern w:val="2"/>
          <w:sz w:val="28"/>
          <w:szCs w:val="28"/>
          <w:highlight w:val="none"/>
          <w:lang w:val="en-US" w:eastAsia="zh-CN" w:bidi="ar-SA"/>
        </w:rPr>
      </w:pPr>
      <w:r>
        <w:rPr>
          <w:rFonts w:hint="eastAsia" w:ascii="仿宋" w:hAnsi="仿宋" w:eastAsia="仿宋" w:cs="仿宋_GB2312"/>
          <w:b w:val="0"/>
          <w:bCs/>
          <w:color w:val="auto"/>
          <w:kern w:val="2"/>
          <w:sz w:val="28"/>
          <w:szCs w:val="28"/>
          <w:highlight w:val="none"/>
          <w:lang w:val="en-US" w:eastAsia="zh-CN" w:bidi="ar-SA"/>
        </w:rPr>
        <w:t>结构防腐蚀根据《工业建筑防腐蚀设计规范》（GB50046-2008）的规定来确定结构、结构材料的选型及防腐的防护措施。</w:t>
      </w:r>
    </w:p>
    <w:p>
      <w:pPr>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_GB2312"/>
          <w:b w:val="0"/>
          <w:bCs/>
          <w:color w:val="auto"/>
          <w:kern w:val="2"/>
          <w:sz w:val="28"/>
          <w:szCs w:val="28"/>
          <w:highlight w:val="none"/>
          <w:lang w:val="en-US" w:eastAsia="zh-CN" w:bidi="ar-SA"/>
        </w:rPr>
      </w:pPr>
      <w:r>
        <w:rPr>
          <w:rFonts w:hint="eastAsia" w:ascii="仿宋" w:hAnsi="仿宋" w:eastAsia="仿宋" w:cs="仿宋_GB2312"/>
          <w:b w:val="0"/>
          <w:bCs/>
          <w:color w:val="auto"/>
          <w:kern w:val="2"/>
          <w:sz w:val="28"/>
          <w:szCs w:val="28"/>
          <w:highlight w:val="none"/>
          <w:lang w:val="en-US" w:eastAsia="zh-CN" w:bidi="ar-SA"/>
        </w:rPr>
        <w:t>（7.1）基础的防腐蚀</w:t>
      </w:r>
    </w:p>
    <w:p>
      <w:pPr>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_GB2312"/>
          <w:b w:val="0"/>
          <w:bCs/>
          <w:color w:val="auto"/>
          <w:kern w:val="2"/>
          <w:sz w:val="28"/>
          <w:szCs w:val="28"/>
          <w:highlight w:val="none"/>
          <w:lang w:val="en-US" w:eastAsia="zh-CN" w:bidi="ar-SA"/>
        </w:rPr>
      </w:pPr>
      <w:r>
        <w:rPr>
          <w:rFonts w:hint="eastAsia" w:ascii="仿宋" w:hAnsi="仿宋" w:eastAsia="仿宋" w:cs="仿宋_GB2312"/>
          <w:b w:val="0"/>
          <w:bCs/>
          <w:color w:val="auto"/>
          <w:kern w:val="2"/>
          <w:sz w:val="28"/>
          <w:szCs w:val="28"/>
          <w:highlight w:val="none"/>
          <w:lang w:val="en-US" w:eastAsia="zh-CN" w:bidi="ar-SA"/>
        </w:rPr>
        <w:t>生产过程中，当有硫酸、氢氧化钠等介质泄漏作用，能使地基土产生膨胀时，基础埋置深度不应小于2m。基础附近有腐蚀性溶液的储槽或储罐的地坑时，基础的底面低于储槽或地坑的底面500mm。上述基础应采取相应的防腐措施。</w:t>
      </w:r>
    </w:p>
    <w:p>
      <w:pPr>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_GB2312"/>
          <w:b w:val="0"/>
          <w:bCs/>
          <w:color w:val="auto"/>
          <w:kern w:val="2"/>
          <w:sz w:val="28"/>
          <w:szCs w:val="28"/>
          <w:highlight w:val="none"/>
          <w:lang w:val="en-US" w:eastAsia="zh-CN" w:bidi="ar-SA"/>
        </w:rPr>
      </w:pPr>
      <w:r>
        <w:rPr>
          <w:rFonts w:hint="eastAsia" w:ascii="仿宋" w:hAnsi="仿宋" w:eastAsia="仿宋" w:cs="仿宋_GB2312"/>
          <w:b w:val="0"/>
          <w:bCs/>
          <w:color w:val="auto"/>
          <w:kern w:val="2"/>
          <w:sz w:val="28"/>
          <w:szCs w:val="28"/>
          <w:highlight w:val="none"/>
          <w:lang w:val="en-US" w:eastAsia="zh-CN" w:bidi="ar-SA"/>
        </w:rPr>
        <w:t>（7.2）混凝土结构的防腐蚀</w:t>
      </w:r>
    </w:p>
    <w:p>
      <w:pPr>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_GB2312"/>
          <w:b w:val="0"/>
          <w:bCs/>
          <w:color w:val="auto"/>
          <w:kern w:val="2"/>
          <w:sz w:val="28"/>
          <w:szCs w:val="28"/>
          <w:highlight w:val="none"/>
          <w:lang w:val="en-US" w:eastAsia="zh-CN" w:bidi="ar-SA"/>
        </w:rPr>
      </w:pPr>
      <w:r>
        <w:rPr>
          <w:rFonts w:hint="eastAsia" w:ascii="仿宋" w:hAnsi="仿宋" w:eastAsia="仿宋" w:cs="仿宋_GB2312"/>
          <w:b w:val="0"/>
          <w:bCs/>
          <w:color w:val="auto"/>
          <w:kern w:val="2"/>
          <w:sz w:val="28"/>
          <w:szCs w:val="28"/>
          <w:highlight w:val="none"/>
          <w:lang w:val="en-US" w:eastAsia="zh-CN" w:bidi="ar-SA"/>
        </w:rPr>
        <w:t>(7.2.1）腐蚀性等级为强、中等腐蚀时，不宜采用钢与混凝土的组合结构。</w:t>
      </w:r>
    </w:p>
    <w:p>
      <w:pPr>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_GB2312"/>
          <w:b w:val="0"/>
          <w:bCs/>
          <w:color w:val="auto"/>
          <w:kern w:val="2"/>
          <w:sz w:val="28"/>
          <w:szCs w:val="28"/>
          <w:highlight w:val="none"/>
          <w:lang w:val="en-US" w:eastAsia="zh-CN" w:bidi="ar-SA"/>
        </w:rPr>
      </w:pPr>
      <w:r>
        <w:rPr>
          <w:rFonts w:hint="eastAsia" w:ascii="仿宋" w:hAnsi="仿宋" w:eastAsia="仿宋" w:cs="仿宋_GB2312"/>
          <w:b w:val="0"/>
          <w:bCs/>
          <w:color w:val="auto"/>
          <w:kern w:val="2"/>
          <w:sz w:val="28"/>
          <w:szCs w:val="28"/>
          <w:highlight w:val="none"/>
          <w:lang w:val="en-US" w:eastAsia="zh-CN" w:bidi="ar-SA"/>
        </w:rPr>
        <w:t>(7.2.2）腐蚀性等级为强腐蚀时，不采用碳素钢丝，刻痕钢丝，冷拔钢丝和钢绞线配筋的预应力混凝土构件。</w:t>
      </w:r>
    </w:p>
    <w:p>
      <w:pPr>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_GB2312"/>
          <w:b w:val="0"/>
          <w:bCs/>
          <w:color w:val="auto"/>
          <w:kern w:val="2"/>
          <w:sz w:val="28"/>
          <w:szCs w:val="28"/>
          <w:highlight w:val="none"/>
          <w:lang w:val="en-US" w:eastAsia="zh-CN" w:bidi="ar-SA"/>
        </w:rPr>
      </w:pPr>
      <w:r>
        <w:rPr>
          <w:rFonts w:hint="eastAsia" w:ascii="仿宋" w:hAnsi="仿宋" w:eastAsia="仿宋" w:cs="仿宋_GB2312"/>
          <w:b w:val="0"/>
          <w:bCs/>
          <w:color w:val="auto"/>
          <w:kern w:val="2"/>
          <w:sz w:val="28"/>
          <w:szCs w:val="28"/>
          <w:highlight w:val="none"/>
          <w:lang w:val="en-US" w:eastAsia="zh-CN" w:bidi="ar-SA"/>
        </w:rPr>
        <w:t>(7.2.3）腐蚀性等级为强，中腐蚀时，柱截面宜采用实腹式，不采用腹板开孔的工字形。</w:t>
      </w:r>
    </w:p>
    <w:p>
      <w:pPr>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_GB2312"/>
          <w:b w:val="0"/>
          <w:bCs/>
          <w:color w:val="auto"/>
          <w:kern w:val="2"/>
          <w:sz w:val="28"/>
          <w:szCs w:val="28"/>
          <w:highlight w:val="none"/>
          <w:lang w:val="en-US" w:eastAsia="zh-CN" w:bidi="ar-SA"/>
        </w:rPr>
      </w:pPr>
      <w:r>
        <w:rPr>
          <w:rFonts w:hint="eastAsia" w:ascii="仿宋" w:hAnsi="仿宋" w:eastAsia="仿宋" w:cs="仿宋_GB2312"/>
          <w:b w:val="0"/>
          <w:bCs/>
          <w:color w:val="auto"/>
          <w:kern w:val="2"/>
          <w:sz w:val="28"/>
          <w:szCs w:val="28"/>
          <w:highlight w:val="none"/>
          <w:lang w:val="en-US" w:eastAsia="zh-CN" w:bidi="ar-SA"/>
        </w:rPr>
        <w:t>受力钢筋的混凝土保护层最小厚度应严格根据具体情况按照相关规范确定。</w:t>
      </w:r>
    </w:p>
    <w:p>
      <w:pPr>
        <w:pStyle w:val="50"/>
        <w:pageBreakBefore w:val="0"/>
        <w:widowControl w:val="0"/>
        <w:numPr>
          <w:ilvl w:val="0"/>
          <w:numId w:val="0"/>
        </w:numPr>
        <w:kinsoku/>
        <w:wordWrap/>
        <w:overflowPunct/>
        <w:topLinePunct w:val="0"/>
        <w:autoSpaceDE/>
        <w:autoSpaceDN/>
        <w:bidi w:val="0"/>
        <w:spacing w:line="500" w:lineRule="exact"/>
        <w:ind w:leftChars="0"/>
        <w:textAlignment w:val="auto"/>
        <w:rPr>
          <w:rFonts w:hint="default" w:ascii="仿宋" w:hAnsi="仿宋" w:eastAsia="仿宋" w:cs="仿宋_GB2312"/>
          <w:b/>
          <w:bCs w:val="0"/>
          <w:color w:val="auto"/>
          <w:kern w:val="2"/>
          <w:sz w:val="28"/>
          <w:szCs w:val="28"/>
          <w:highlight w:val="none"/>
          <w:lang w:val="en-US" w:eastAsia="zh-CN" w:bidi="ar-SA"/>
        </w:rPr>
      </w:pPr>
      <w:r>
        <w:rPr>
          <w:rFonts w:hint="eastAsia" w:ascii="仿宋" w:hAnsi="仿宋" w:eastAsia="仿宋" w:cs="仿宋_GB2312"/>
          <w:b/>
          <w:bCs w:val="0"/>
          <w:color w:val="auto"/>
          <w:kern w:val="2"/>
          <w:sz w:val="28"/>
          <w:szCs w:val="28"/>
          <w:highlight w:val="none"/>
          <w:lang w:val="en-US" w:eastAsia="zh-CN" w:bidi="ar-SA"/>
        </w:rPr>
        <w:t>二、施工说明</w:t>
      </w:r>
    </w:p>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560" w:firstLineChars="200"/>
        <w:textAlignment w:val="auto"/>
        <w:rPr>
          <w:rFonts w:hint="eastAsia" w:ascii="仿宋" w:hAnsi="仿宋" w:eastAsia="仿宋" w:cs="仿宋_GB2312"/>
          <w:b w:val="0"/>
          <w:bCs/>
          <w:color w:val="auto"/>
          <w:kern w:val="2"/>
          <w:sz w:val="28"/>
          <w:szCs w:val="28"/>
          <w:highlight w:val="none"/>
          <w:lang w:val="en-US" w:eastAsia="zh-CN" w:bidi="ar-SA"/>
        </w:rPr>
      </w:pPr>
      <w:r>
        <w:rPr>
          <w:rFonts w:hint="default" w:ascii="仿宋" w:hAnsi="仿宋" w:eastAsia="仿宋" w:cs="仿宋_GB2312"/>
          <w:b w:val="0"/>
          <w:bCs/>
          <w:color w:val="auto"/>
          <w:kern w:val="2"/>
          <w:sz w:val="28"/>
          <w:szCs w:val="28"/>
          <w:highlight w:val="none"/>
          <w:lang w:val="en-US" w:eastAsia="zh-CN" w:bidi="ar-SA"/>
        </w:rPr>
        <w:t>本工程</w:t>
      </w:r>
      <w:r>
        <w:rPr>
          <w:rFonts w:hint="eastAsia" w:ascii="仿宋" w:hAnsi="仿宋" w:eastAsia="仿宋" w:cs="仿宋_GB2312"/>
          <w:b w:val="0"/>
          <w:bCs/>
          <w:color w:val="auto"/>
          <w:kern w:val="2"/>
          <w:sz w:val="28"/>
          <w:szCs w:val="28"/>
          <w:highlight w:val="none"/>
          <w:lang w:val="en-US" w:eastAsia="zh-CN" w:bidi="ar-SA"/>
        </w:rPr>
        <w:t>先进行对罐体范围的地面及基础施工</w:t>
      </w:r>
      <w:r>
        <w:rPr>
          <w:rFonts w:hint="default" w:ascii="仿宋" w:hAnsi="仿宋" w:eastAsia="仿宋" w:cs="仿宋_GB2312"/>
          <w:b w:val="0"/>
          <w:bCs/>
          <w:color w:val="auto"/>
          <w:kern w:val="2"/>
          <w:sz w:val="28"/>
          <w:szCs w:val="28"/>
          <w:highlight w:val="none"/>
          <w:lang w:val="en-US" w:eastAsia="zh-CN" w:bidi="ar-SA"/>
        </w:rPr>
        <w:t>，</w:t>
      </w:r>
      <w:r>
        <w:rPr>
          <w:rFonts w:hint="eastAsia" w:ascii="仿宋" w:hAnsi="仿宋" w:eastAsia="仿宋" w:cs="仿宋_GB2312"/>
          <w:b w:val="0"/>
          <w:bCs/>
          <w:color w:val="auto"/>
          <w:kern w:val="2"/>
          <w:sz w:val="28"/>
          <w:szCs w:val="28"/>
          <w:highlight w:val="none"/>
          <w:lang w:val="en-US" w:eastAsia="zh-CN" w:bidi="ar-SA"/>
        </w:rPr>
        <w:t>罐体及设备基础采用C30砼结构。罐体安装完毕后再进行雨棚及护栏等施工。加药</w:t>
      </w:r>
      <w:r>
        <w:rPr>
          <w:rFonts w:hint="default" w:ascii="仿宋" w:hAnsi="仿宋" w:eastAsia="仿宋" w:cs="仿宋_GB2312"/>
          <w:b w:val="0"/>
          <w:bCs/>
          <w:color w:val="auto"/>
          <w:kern w:val="2"/>
          <w:sz w:val="28"/>
          <w:szCs w:val="28"/>
          <w:highlight w:val="none"/>
          <w:lang w:val="en-US" w:eastAsia="zh-CN" w:bidi="ar-SA"/>
        </w:rPr>
        <w:t>管道采用天然地基，管道基坑两侧均采用石屑回填，回填压实度应满足相关规范要求</w:t>
      </w:r>
      <w:r>
        <w:rPr>
          <w:rFonts w:hint="eastAsia" w:ascii="仿宋" w:hAnsi="仿宋" w:eastAsia="仿宋" w:cs="仿宋_GB2312"/>
          <w:b w:val="0"/>
          <w:bCs/>
          <w:color w:val="auto"/>
          <w:kern w:val="2"/>
          <w:sz w:val="28"/>
          <w:szCs w:val="28"/>
          <w:highlight w:val="none"/>
          <w:lang w:val="en-US" w:eastAsia="zh-CN" w:bidi="ar-SA"/>
        </w:rPr>
        <w:t>,管顶覆土需大于等于0.3M.</w:t>
      </w:r>
    </w:p>
    <w:p>
      <w:pPr>
        <w:pageBreakBefore w:val="0"/>
        <w:widowControl/>
        <w:kinsoku/>
        <w:wordWrap/>
        <w:overflowPunct/>
        <w:topLinePunct w:val="0"/>
        <w:bidi w:val="0"/>
        <w:spacing w:line="500" w:lineRule="exact"/>
        <w:textAlignment w:val="auto"/>
        <w:rPr>
          <w:rFonts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lang w:val="en-US" w:eastAsia="zh-CN"/>
        </w:rPr>
        <w:t>三、</w:t>
      </w:r>
      <w:r>
        <w:rPr>
          <w:rFonts w:hint="eastAsia" w:ascii="仿宋_GB2312" w:hAnsi="仿宋_GB2312" w:eastAsia="仿宋_GB2312" w:cs="仿宋_GB2312"/>
          <w:b/>
          <w:color w:val="auto"/>
          <w:sz w:val="28"/>
          <w:szCs w:val="28"/>
          <w:highlight w:val="none"/>
        </w:rPr>
        <w:t>验收项目</w:t>
      </w:r>
    </w:p>
    <w:p>
      <w:pPr>
        <w:keepNext w:val="0"/>
        <w:keepLines w:val="0"/>
        <w:pageBreakBefore w:val="0"/>
        <w:widowControl/>
        <w:kinsoku/>
        <w:wordWrap/>
        <w:overflowPunct/>
        <w:topLinePunct w:val="0"/>
        <w:autoSpaceDE/>
        <w:autoSpaceDN/>
        <w:bidi w:val="0"/>
        <w:spacing w:line="500" w:lineRule="exact"/>
        <w:ind w:left="0" w:firstLine="562" w:firstLineChars="200"/>
        <w:textAlignment w:val="auto"/>
        <w:rPr>
          <w:rFonts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1．安装及施工方案要求</w:t>
      </w:r>
      <w:bookmarkStart w:id="70" w:name="_Toc252539737"/>
    </w:p>
    <w:p>
      <w:pPr>
        <w:keepNext w:val="0"/>
        <w:keepLines w:val="0"/>
        <w:pageBreakBefore w:val="0"/>
        <w:widowControl/>
        <w:kinsoku/>
        <w:wordWrap/>
        <w:overflowPunct/>
        <w:topLinePunct w:val="0"/>
        <w:autoSpaceDE/>
        <w:autoSpaceDN/>
        <w:bidi w:val="0"/>
        <w:spacing w:line="500" w:lineRule="exact"/>
        <w:ind w:left="0" w:firstLine="560" w:firstLineChars="200"/>
        <w:textAlignment w:val="auto"/>
        <w:rPr>
          <w:rFonts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必须提供施工期间的全面的、周密的、符合安全技术规范的施工方案，包括施工组织安排，现场管理人员、技术人员、施工人员配置及安排，应急防范措施，工程计划进度，及应急方案等等。具体方案，以</w:t>
      </w:r>
      <w:r>
        <w:rPr>
          <w:rFonts w:hint="eastAsia" w:ascii="仿宋_GB2312" w:hAnsi="仿宋_GB2312" w:eastAsia="仿宋_GB2312" w:cs="仿宋_GB2312"/>
          <w:color w:val="auto"/>
          <w:sz w:val="28"/>
          <w:szCs w:val="28"/>
          <w:highlight w:val="none"/>
          <w:lang w:val="en-US" w:eastAsia="zh-CN"/>
        </w:rPr>
        <w:t>分公司</w:t>
      </w:r>
      <w:r>
        <w:rPr>
          <w:rFonts w:hint="eastAsia" w:ascii="仿宋_GB2312" w:hAnsi="仿宋_GB2312" w:eastAsia="仿宋_GB2312" w:cs="仿宋_GB2312"/>
          <w:color w:val="auto"/>
          <w:sz w:val="28"/>
          <w:szCs w:val="28"/>
          <w:highlight w:val="none"/>
          <w:lang w:val="zh-CN"/>
        </w:rPr>
        <w:t>最后审核确认为准。</w:t>
      </w:r>
      <w:bookmarkEnd w:id="70"/>
      <w:bookmarkStart w:id="71" w:name="_Toc202771737"/>
      <w:bookmarkStart w:id="72" w:name="_Toc252539739"/>
    </w:p>
    <w:p>
      <w:pPr>
        <w:keepNext w:val="0"/>
        <w:keepLines w:val="0"/>
        <w:pageBreakBefore w:val="0"/>
        <w:widowControl/>
        <w:kinsoku/>
        <w:wordWrap/>
        <w:overflowPunct/>
        <w:topLinePunct w:val="0"/>
        <w:autoSpaceDE/>
        <w:autoSpaceDN/>
        <w:bidi w:val="0"/>
        <w:spacing w:line="500" w:lineRule="exact"/>
        <w:ind w:left="0" w:firstLine="562" w:firstLineChars="200"/>
        <w:textAlignment w:val="auto"/>
        <w:rPr>
          <w:rFonts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2</w:t>
      </w:r>
      <w:bookmarkEnd w:id="71"/>
      <w:bookmarkEnd w:id="72"/>
      <w:r>
        <w:rPr>
          <w:rFonts w:hint="eastAsia" w:ascii="仿宋_GB2312" w:hAnsi="仿宋_GB2312" w:eastAsia="仿宋_GB2312" w:cs="仿宋_GB2312"/>
          <w:b/>
          <w:color w:val="auto"/>
          <w:sz w:val="28"/>
          <w:szCs w:val="28"/>
          <w:highlight w:val="none"/>
        </w:rPr>
        <w:t xml:space="preserve">．验收标准 </w:t>
      </w:r>
    </w:p>
    <w:p>
      <w:pPr>
        <w:keepNext w:val="0"/>
        <w:keepLines w:val="0"/>
        <w:pageBreakBefore w:val="0"/>
        <w:widowControl/>
        <w:kinsoku/>
        <w:wordWrap/>
        <w:overflowPunct/>
        <w:topLinePunct w:val="0"/>
        <w:autoSpaceDE/>
        <w:autoSpaceDN/>
        <w:bidi w:val="0"/>
        <w:spacing w:line="500" w:lineRule="exact"/>
        <w:ind w:left="0"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工程质量验收应符合《城市污水处理厂工程质量验收规范》、《机械设备安装工程施工及验收通用规范》、《给水排水管道工程施工及验收规范》、《市政排水管渠工程质量检验评定标准》及国家有关规范。</w:t>
      </w:r>
    </w:p>
    <w:p>
      <w:pPr>
        <w:pStyle w:val="2"/>
        <w:pageBreakBefore w:val="0"/>
        <w:kinsoku/>
        <w:wordWrap/>
        <w:overflowPunct/>
        <w:topLinePunct w:val="0"/>
        <w:bidi w:val="0"/>
        <w:spacing w:line="500" w:lineRule="exac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埋地管道需在外观检查后管身两侧及上部回填不小于0.</w:t>
      </w:r>
      <w:r>
        <w:rPr>
          <w:rFonts w:hint="eastAsia" w:hAnsi="仿宋_GB2312" w:cs="仿宋_GB2312"/>
          <w:color w:val="auto"/>
          <w:kern w:val="2"/>
          <w:sz w:val="28"/>
          <w:szCs w:val="28"/>
          <w:highlight w:val="none"/>
          <w:lang w:val="en-US" w:eastAsia="zh-CN" w:bidi="ar-SA"/>
        </w:rPr>
        <w:t>3</w:t>
      </w:r>
      <w:r>
        <w:rPr>
          <w:rFonts w:hint="eastAsia" w:ascii="仿宋_GB2312" w:hAnsi="仿宋_GB2312" w:eastAsia="仿宋_GB2312" w:cs="仿宋_GB2312"/>
          <w:color w:val="auto"/>
          <w:kern w:val="2"/>
          <w:sz w:val="28"/>
          <w:szCs w:val="28"/>
          <w:highlight w:val="none"/>
          <w:lang w:val="en-US" w:eastAsia="zh-CN" w:bidi="ar-SA"/>
        </w:rPr>
        <w:t>m(露出接口)后进行压力试验。</w:t>
      </w:r>
    </w:p>
    <w:p>
      <w:pPr>
        <w:pStyle w:val="2"/>
        <w:pageBreakBefore w:val="0"/>
        <w:kinsoku/>
        <w:wordWrap/>
        <w:overflowPunct/>
        <w:topLinePunct w:val="0"/>
        <w:bidi w:val="0"/>
        <w:spacing w:line="500" w:lineRule="exact"/>
        <w:textAlignment w:val="auto"/>
        <w:rPr>
          <w:rFonts w:hint="default" w:hAnsi="仿宋_GB2312" w:cs="仿宋_GB2312"/>
          <w:color w:val="auto"/>
          <w:kern w:val="2"/>
          <w:sz w:val="28"/>
          <w:szCs w:val="28"/>
          <w:highlight w:val="none"/>
          <w:lang w:val="en-US" w:eastAsia="zh-CN" w:bidi="ar-SA"/>
        </w:rPr>
      </w:pPr>
      <w:r>
        <w:rPr>
          <w:rFonts w:hint="eastAsia" w:hAnsi="仿宋_GB2312" w:cs="仿宋_GB2312"/>
          <w:color w:val="auto"/>
          <w:kern w:val="2"/>
          <w:sz w:val="28"/>
          <w:szCs w:val="28"/>
          <w:highlight w:val="none"/>
          <w:lang w:val="en-US" w:eastAsia="zh-CN" w:bidi="ar-SA"/>
        </w:rPr>
        <w:t>罐体施工完毕后必须进行满水试验。池体防水、防腐应达到设计要求及现行国家标准要求。</w:t>
      </w:r>
    </w:p>
    <w:p>
      <w:pPr>
        <w:keepNext w:val="0"/>
        <w:keepLines w:val="0"/>
        <w:pageBreakBefore w:val="0"/>
        <w:widowControl/>
        <w:kinsoku/>
        <w:wordWrap/>
        <w:overflowPunct/>
        <w:topLinePunct w:val="0"/>
        <w:autoSpaceDE/>
        <w:autoSpaceDN/>
        <w:bidi w:val="0"/>
        <w:spacing w:line="500" w:lineRule="exact"/>
        <w:ind w:left="0" w:firstLine="560" w:firstLineChars="200"/>
        <w:textAlignment w:val="auto"/>
        <w:rPr>
          <w:rFonts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报价人须派技术人员到施工现场安装、调试设备、现场操作使用培训。设备所有技术参数经改造后，应符合原设计的技术要求及相关规范，满足厂家技术文件的具体指标及询价文件的要求，并且按国家相关规范进行验收。</w:t>
      </w:r>
    </w:p>
    <w:p>
      <w:pPr>
        <w:keepNext w:val="0"/>
        <w:keepLines w:val="0"/>
        <w:pageBreakBefore w:val="0"/>
        <w:widowControl/>
        <w:kinsoku/>
        <w:wordWrap/>
        <w:overflowPunct/>
        <w:topLinePunct w:val="0"/>
        <w:autoSpaceDE/>
        <w:autoSpaceDN/>
        <w:bidi w:val="0"/>
        <w:spacing w:line="500" w:lineRule="exact"/>
        <w:ind w:left="0" w:firstLine="560" w:firstLineChars="200"/>
        <w:textAlignment w:val="auto"/>
        <w:rPr>
          <w:rFonts w:ascii="仿宋_GB2312" w:hAnsi="仿宋_GB2312" w:eastAsia="仿宋_GB2312" w:cs="仿宋_GB2312"/>
          <w:b/>
          <w:color w:val="auto"/>
          <w:sz w:val="28"/>
          <w:szCs w:val="28"/>
          <w:highlight w:val="none"/>
        </w:rPr>
      </w:pPr>
      <w:r>
        <w:rPr>
          <w:rFonts w:hint="eastAsia" w:ascii="仿宋_GB2312" w:hAnsi="仿宋_GB2312" w:eastAsia="仿宋_GB2312" w:cs="仿宋_GB2312"/>
          <w:color w:val="auto"/>
          <w:sz w:val="28"/>
          <w:szCs w:val="28"/>
          <w:highlight w:val="none"/>
          <w:lang w:val="zh-CN"/>
        </w:rPr>
        <w:t>在任何时候，报价人均不能免除因设备本身的缺陷所应负的责任。所有需采购的设备运输到采购人指定地点，由甲方提供施工用水用电。设备必须符合国家标准并附质量合格证书。</w:t>
      </w:r>
    </w:p>
    <w:p>
      <w:pPr>
        <w:keepNext w:val="0"/>
        <w:keepLines w:val="0"/>
        <w:pageBreakBefore w:val="0"/>
        <w:widowControl/>
        <w:kinsoku/>
        <w:wordWrap/>
        <w:overflowPunct/>
        <w:topLinePunct w:val="0"/>
        <w:autoSpaceDE/>
        <w:autoSpaceDN/>
        <w:bidi w:val="0"/>
        <w:spacing w:line="500" w:lineRule="exact"/>
        <w:ind w:left="0" w:firstLine="560" w:firstLineChars="200"/>
        <w:textAlignment w:val="auto"/>
        <w:rPr>
          <w:rFonts w:ascii="仿宋_GB2312" w:hAnsi="仿宋_GB2312" w:eastAsia="仿宋_GB2312" w:cs="仿宋_GB2312"/>
          <w:b/>
          <w:color w:val="auto"/>
          <w:sz w:val="28"/>
          <w:szCs w:val="28"/>
          <w:highlight w:val="none"/>
        </w:rPr>
      </w:pPr>
      <w:r>
        <w:rPr>
          <w:rFonts w:hint="eastAsia" w:ascii="仿宋_GB2312" w:hAnsi="仿宋_GB2312" w:eastAsia="仿宋_GB2312" w:cs="仿宋_GB2312"/>
          <w:color w:val="auto"/>
          <w:sz w:val="28"/>
          <w:szCs w:val="28"/>
          <w:highlight w:val="none"/>
          <w:lang w:val="zh-CN"/>
        </w:rPr>
        <w:t>所有新更换的设备在保修期内，如非人为原因而出现的产品质量问题，维修三次后仍然有故障，则必须无条件更换同品牌、同型号的新设备。</w:t>
      </w:r>
    </w:p>
    <w:p>
      <w:pPr>
        <w:keepNext w:val="0"/>
        <w:keepLines w:val="0"/>
        <w:pageBreakBefore w:val="0"/>
        <w:widowControl/>
        <w:kinsoku/>
        <w:wordWrap/>
        <w:overflowPunct/>
        <w:topLinePunct w:val="0"/>
        <w:autoSpaceDE/>
        <w:autoSpaceDN/>
        <w:bidi w:val="0"/>
        <w:spacing w:line="500" w:lineRule="exact"/>
        <w:ind w:left="0" w:firstLine="560" w:firstLineChars="200"/>
        <w:textAlignment w:val="auto"/>
        <w:rPr>
          <w:rFonts w:ascii="仿宋_GB2312" w:hAnsi="仿宋_GB2312" w:eastAsia="仿宋_GB2312" w:cs="仿宋_GB2312"/>
          <w:b/>
          <w:color w:val="auto"/>
          <w:sz w:val="28"/>
          <w:szCs w:val="28"/>
          <w:highlight w:val="none"/>
        </w:rPr>
      </w:pPr>
      <w:r>
        <w:rPr>
          <w:rFonts w:hint="eastAsia" w:ascii="仿宋_GB2312" w:hAnsi="仿宋_GB2312" w:eastAsia="仿宋_GB2312" w:cs="仿宋_GB2312"/>
          <w:color w:val="auto"/>
          <w:sz w:val="28"/>
          <w:szCs w:val="28"/>
          <w:highlight w:val="none"/>
          <w:lang w:val="zh-CN"/>
        </w:rPr>
        <w:t>新更换的设备必须有相应的技术资料、使用说明资料和维护维修资料，除此之外，有需要时应提供外文资料及对应的中文资料；</w:t>
      </w:r>
    </w:p>
    <w:p>
      <w:pPr>
        <w:keepNext w:val="0"/>
        <w:keepLines w:val="0"/>
        <w:pageBreakBefore w:val="0"/>
        <w:widowControl/>
        <w:kinsoku/>
        <w:wordWrap/>
        <w:overflowPunct/>
        <w:topLinePunct w:val="0"/>
        <w:autoSpaceDE/>
        <w:autoSpaceDN/>
        <w:bidi w:val="0"/>
        <w:adjustRightInd w:val="0"/>
        <w:snapToGrid w:val="0"/>
        <w:spacing w:line="500" w:lineRule="exact"/>
        <w:ind w:left="0" w:firstLine="560" w:firstLineChars="200"/>
        <w:textAlignment w:val="auto"/>
        <w:rPr>
          <w:rFonts w:ascii="仿宋" w:hAnsi="仿宋" w:eastAsia="仿宋" w:cs="仿宋_GB2312"/>
          <w:b/>
          <w:color w:val="auto"/>
          <w:sz w:val="28"/>
          <w:szCs w:val="28"/>
          <w:highlight w:val="none"/>
          <w:lang w:val="zh-CN"/>
        </w:rPr>
      </w:pPr>
      <w:r>
        <w:rPr>
          <w:rFonts w:hint="eastAsia" w:ascii="仿宋_GB2312" w:hAnsi="仿宋_GB2312" w:eastAsia="仿宋_GB2312" w:cs="仿宋_GB2312"/>
          <w:color w:val="auto"/>
          <w:sz w:val="28"/>
          <w:szCs w:val="28"/>
          <w:highlight w:val="none"/>
          <w:lang w:val="zh-CN"/>
        </w:rPr>
        <w:t>新更换的设备必须符合中华人民共和国有关环保和安全要求以及检测标准、规范。</w:t>
      </w:r>
    </w:p>
    <w:p>
      <w:pPr>
        <w:pStyle w:val="14"/>
        <w:keepNext w:val="0"/>
        <w:keepLines w:val="0"/>
        <w:pageBreakBefore w:val="0"/>
        <w:widowControl w:val="0"/>
        <w:kinsoku/>
        <w:wordWrap/>
        <w:overflowPunct/>
        <w:topLinePunct w:val="0"/>
        <w:bidi w:val="0"/>
        <w:adjustRightInd w:val="0"/>
        <w:snapToGrid w:val="0"/>
        <w:spacing w:line="500" w:lineRule="exact"/>
        <w:textAlignment w:val="auto"/>
        <w:rPr>
          <w:rFonts w:hint="eastAsia" w:ascii="仿宋_GB2312" w:hAnsi="仿宋_GB2312" w:eastAsia="仿宋_GB2312" w:cs="仿宋_GB2312"/>
          <w:b/>
          <w:color w:val="auto"/>
          <w:sz w:val="28"/>
          <w:szCs w:val="28"/>
          <w:highlight w:val="none"/>
          <w:lang w:val="zh-CN"/>
        </w:rPr>
      </w:pPr>
      <w:r>
        <w:rPr>
          <w:rFonts w:hint="eastAsia" w:ascii="仿宋_GB2312" w:hAnsi="仿宋_GB2312" w:eastAsia="仿宋_GB2312" w:cs="仿宋_GB2312"/>
          <w:b/>
          <w:color w:val="auto"/>
          <w:sz w:val="28"/>
          <w:szCs w:val="28"/>
          <w:highlight w:val="none"/>
          <w:lang w:val="en-US" w:eastAsia="zh-CN"/>
        </w:rPr>
        <w:t>四、</w:t>
      </w:r>
      <w:r>
        <w:rPr>
          <w:rFonts w:hint="eastAsia" w:ascii="仿宋_GB2312" w:hAnsi="仿宋_GB2312" w:eastAsia="仿宋_GB2312" w:cs="仿宋_GB2312"/>
          <w:b/>
          <w:color w:val="auto"/>
          <w:sz w:val="28"/>
          <w:szCs w:val="28"/>
          <w:highlight w:val="none"/>
          <w:lang w:val="zh-CN"/>
        </w:rPr>
        <w:t>项目商务要求</w:t>
      </w:r>
    </w:p>
    <w:p>
      <w:pPr>
        <w:keepNext w:val="0"/>
        <w:keepLines w:val="0"/>
        <w:pageBreakBefore w:val="0"/>
        <w:widowControl w:val="0"/>
        <w:kinsoku/>
        <w:wordWrap/>
        <w:overflowPunct/>
        <w:topLinePunct w:val="0"/>
        <w:autoSpaceDE w:val="0"/>
        <w:autoSpaceDN w:val="0"/>
        <w:bidi w:val="0"/>
        <w:spacing w:line="50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1、工期：</w:t>
      </w:r>
      <w:r>
        <w:rPr>
          <w:rFonts w:hint="eastAsia" w:ascii="仿宋_GB2312" w:hAnsi="仿宋_GB2312" w:eastAsia="仿宋_GB2312" w:cs="仿宋_GB2312"/>
          <w:color w:val="auto"/>
          <w:sz w:val="28"/>
          <w:szCs w:val="28"/>
          <w:highlight w:val="none"/>
          <w:u w:val="single"/>
        </w:rPr>
        <w:t>合同工期总日历天数</w:t>
      </w:r>
      <w:r>
        <w:rPr>
          <w:rFonts w:hint="eastAsia" w:ascii="仿宋_GB2312" w:hAnsi="仿宋_GB2312" w:eastAsia="仿宋_GB2312" w:cs="仿宋_GB2312"/>
          <w:color w:val="auto"/>
          <w:sz w:val="28"/>
          <w:szCs w:val="28"/>
          <w:highlight w:val="none"/>
          <w:u w:val="single"/>
          <w:lang w:val="en-US" w:eastAsia="zh-CN"/>
        </w:rPr>
        <w:t>68</w:t>
      </w:r>
      <w:r>
        <w:rPr>
          <w:rFonts w:hint="eastAsia" w:ascii="仿宋_GB2312" w:hAnsi="仿宋_GB2312" w:eastAsia="仿宋_GB2312" w:cs="仿宋_GB2312"/>
          <w:color w:val="auto"/>
          <w:sz w:val="28"/>
          <w:szCs w:val="28"/>
          <w:highlight w:val="none"/>
          <w:u w:val="single"/>
        </w:rPr>
        <w:t>天。</w:t>
      </w:r>
      <w:r>
        <w:rPr>
          <w:rFonts w:hint="eastAsia" w:ascii="仿宋_GB2312" w:hAnsi="仿宋_GB2312" w:eastAsia="仿宋_GB2312" w:cs="仿宋_GB2312"/>
          <w:color w:val="auto"/>
          <w:sz w:val="28"/>
          <w:szCs w:val="28"/>
          <w:highlight w:val="none"/>
        </w:rPr>
        <w:t>具体施工日期及工期调整根据实际计划时间而定</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 xml:space="preserve">施工期间承包人需配合询价人正常生产 。 </w:t>
      </w:r>
    </w:p>
    <w:p>
      <w:pPr>
        <w:pStyle w:val="47"/>
        <w:keepNext w:val="0"/>
        <w:keepLines w:val="0"/>
        <w:pageBreakBefore w:val="0"/>
        <w:widowControl w:val="0"/>
        <w:numPr>
          <w:ilvl w:val="0"/>
          <w:numId w:val="0"/>
        </w:numPr>
        <w:kinsoku/>
        <w:wordWrap/>
        <w:overflowPunct/>
        <w:topLinePunct w:val="0"/>
        <w:bidi w:val="0"/>
        <w:spacing w:line="50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sz w:val="28"/>
          <w:szCs w:val="28"/>
          <w:lang w:val="en-US" w:eastAsia="zh-CN"/>
        </w:rPr>
        <w:t>2.质量要求：</w:t>
      </w:r>
      <w:r>
        <w:rPr>
          <w:rFonts w:hint="eastAsia" w:ascii="仿宋_GB2312" w:hAnsi="仿宋_GB2312" w:eastAsia="仿宋_GB2312" w:cs="仿宋_GB2312"/>
          <w:color w:val="auto"/>
          <w:sz w:val="28"/>
          <w:szCs w:val="28"/>
          <w:highlight w:val="none"/>
          <w:lang w:val="en-US" w:eastAsia="zh-CN"/>
        </w:rPr>
        <w:t>施工质量必须严格遵循下列施工规范</w:t>
      </w:r>
      <w:r>
        <w:rPr>
          <w:rFonts w:hint="eastAsia" w:ascii="仿宋_GB2312" w:hAnsi="仿宋_GB2312" w:eastAsia="仿宋_GB2312" w:cs="仿宋_GB2312"/>
          <w:color w:val="auto"/>
          <w:sz w:val="28"/>
          <w:szCs w:val="28"/>
          <w:highlight w:val="none"/>
        </w:rPr>
        <w:t>以及国家规范及行业相关规范、标准</w:t>
      </w:r>
      <w:r>
        <w:rPr>
          <w:rFonts w:hint="eastAsia" w:ascii="仿宋_GB2312" w:hAnsi="仿宋_GB2312" w:eastAsia="仿宋_GB2312" w:cs="仿宋_GB2312"/>
          <w:color w:val="auto"/>
          <w:sz w:val="28"/>
          <w:szCs w:val="28"/>
          <w:highlight w:val="none"/>
          <w:lang w:eastAsia="zh-CN"/>
        </w:rPr>
        <w:t>。</w:t>
      </w:r>
    </w:p>
    <w:p>
      <w:pPr>
        <w:keepNext w:val="0"/>
        <w:keepLines w:val="0"/>
        <w:pageBreakBefore w:val="0"/>
        <w:widowControl w:val="0"/>
        <w:numPr>
          <w:ilvl w:val="0"/>
          <w:numId w:val="0"/>
        </w:numPr>
        <w:kinsoku/>
        <w:wordWrap/>
        <w:overflowPunct/>
        <w:topLinePunct w:val="0"/>
        <w:autoSpaceDE w:val="0"/>
        <w:autoSpaceDN w:val="0"/>
        <w:bidi w:val="0"/>
        <w:spacing w:line="50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3.安全文明施工要求：</w:t>
      </w:r>
    </w:p>
    <w:p>
      <w:pPr>
        <w:keepNext w:val="0"/>
        <w:keepLines w:val="0"/>
        <w:pageBreakBefore w:val="0"/>
        <w:widowControl w:val="0"/>
        <w:kinsoku/>
        <w:wordWrap/>
        <w:overflowPunct/>
        <w:topLinePunct w:val="0"/>
        <w:autoSpaceDE w:val="0"/>
        <w:autoSpaceDN w:val="0"/>
        <w:bidi w:val="0"/>
        <w:spacing w:line="500" w:lineRule="exact"/>
        <w:ind w:left="0" w:leftChars="0"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（1）在工程进行中，承包单位要注意保护场内的各种管线和设施。若有任何损坏，须立即通知有关部门和发包人，并由损坏单位承担损失和修复费用。</w:t>
      </w:r>
    </w:p>
    <w:p>
      <w:pPr>
        <w:keepNext w:val="0"/>
        <w:keepLines w:val="0"/>
        <w:pageBreakBefore w:val="0"/>
        <w:widowControl w:val="0"/>
        <w:kinsoku/>
        <w:wordWrap/>
        <w:overflowPunct/>
        <w:topLinePunct w:val="0"/>
        <w:autoSpaceDE w:val="0"/>
        <w:autoSpaceDN w:val="0"/>
        <w:bidi w:val="0"/>
        <w:spacing w:line="500" w:lineRule="exact"/>
        <w:ind w:left="0" w:leftChars="0"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发生重大伤亡及其他安全事故，承包单位应按有关规定立即上报有关部门并通知发包人，同时按政府有关部门要求处理，由事故责任方承担发生的费用。发包人、承包单位对事故责任有争议时，应按政府有关部门的认定处理。</w:t>
      </w:r>
    </w:p>
    <w:p>
      <w:pPr>
        <w:keepNext w:val="0"/>
        <w:keepLines w:val="0"/>
        <w:pageBreakBefore w:val="0"/>
        <w:widowControl w:val="0"/>
        <w:kinsoku/>
        <w:wordWrap/>
        <w:overflowPunct/>
        <w:topLinePunct w:val="0"/>
        <w:autoSpaceDE w:val="0"/>
        <w:autoSpaceDN w:val="0"/>
        <w:bidi w:val="0"/>
        <w:spacing w:line="500" w:lineRule="exact"/>
        <w:ind w:left="0" w:leftChars="0"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 承包单位在施工期间应严格遵守《中华人民共和国安全生产法》（国家主席70号令）、《建设工程安全生产管理条例》（中华人民共和国国务院令第393号）以及文明施工、深夜施工、环卫和城管等规定，建立规章制度和防护措施。若违反以上规定，由此造成的经济和法律责任，均由承包单位负责。</w:t>
      </w:r>
    </w:p>
    <w:p>
      <w:pPr>
        <w:pStyle w:val="2"/>
        <w:keepNext w:val="0"/>
        <w:keepLines w:val="0"/>
        <w:pageBreakBefore w:val="0"/>
        <w:widowControl w:val="0"/>
        <w:kinsoku/>
        <w:wordWrap/>
        <w:overflowPunct/>
        <w:topLinePunct w:val="0"/>
        <w:bidi w:val="0"/>
        <w:spacing w:line="500" w:lineRule="exact"/>
        <w:ind w:left="0" w:leftChars="0" w:firstLine="560" w:firstLineChars="200"/>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（4）施工人员需做好相应的防护措施。</w:t>
      </w:r>
    </w:p>
    <w:p>
      <w:pPr>
        <w:keepNext w:val="0"/>
        <w:keepLines w:val="0"/>
        <w:pageBreakBefore w:val="0"/>
        <w:widowControl w:val="0"/>
        <w:kinsoku/>
        <w:wordWrap/>
        <w:overflowPunct/>
        <w:topLinePunct w:val="0"/>
        <w:autoSpaceDE w:val="0"/>
        <w:autoSpaceDN w:val="0"/>
        <w:bidi w:val="0"/>
        <w:adjustRightInd/>
        <w:snapToGrid w:val="0"/>
        <w:spacing w:line="50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4</w:t>
      </w:r>
      <w:r>
        <w:rPr>
          <w:rFonts w:hint="eastAsia" w:ascii="仿宋_GB2312" w:hAnsi="仿宋_GB2312" w:eastAsia="仿宋_GB2312" w:cs="仿宋_GB2312"/>
          <w:color w:val="auto"/>
          <w:sz w:val="28"/>
          <w:szCs w:val="28"/>
          <w:highlight w:val="none"/>
        </w:rPr>
        <w:t>.总包及分包规定：工程总包，禁止分包，转包。</w:t>
      </w:r>
    </w:p>
    <w:p>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5.</w:t>
      </w:r>
      <w:r>
        <w:rPr>
          <w:rFonts w:hint="eastAsia" w:ascii="仿宋_GB2312" w:hAnsi="仿宋_GB2312" w:eastAsia="仿宋_GB2312" w:cs="仿宋_GB2312"/>
          <w:color w:val="auto"/>
          <w:sz w:val="28"/>
          <w:szCs w:val="28"/>
          <w:highlight w:val="none"/>
        </w:rPr>
        <w:t>质量保质期：质保期为项目完成经验收合格之日起1年。</w:t>
      </w:r>
    </w:p>
    <w:p>
      <w:pPr>
        <w:keepNext w:val="0"/>
        <w:keepLines w:val="0"/>
        <w:pageBreakBefore w:val="0"/>
        <w:widowControl w:val="0"/>
        <w:numPr>
          <w:ilvl w:val="0"/>
          <w:numId w:val="0"/>
        </w:numPr>
        <w:kinsoku/>
        <w:wordWrap/>
        <w:overflowPunct/>
        <w:topLinePunct w:val="0"/>
        <w:bidi w:val="0"/>
        <w:adjustRightInd w:val="0"/>
        <w:snapToGrid w:val="0"/>
        <w:spacing w:line="50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发包人将自承包商履行完合同义务之日起</w:t>
      </w:r>
      <w:r>
        <w:rPr>
          <w:rFonts w:hint="eastAsia" w:ascii="仿宋_GB2312" w:hAnsi="仿宋_GB2312" w:eastAsia="仿宋_GB2312" w:cs="仿宋_GB2312"/>
          <w:sz w:val="28"/>
          <w:szCs w:val="28"/>
          <w:lang w:val="en-US" w:eastAsia="zh-CN"/>
        </w:rPr>
        <w:t>30</w:t>
      </w:r>
      <w:r>
        <w:rPr>
          <w:rFonts w:hint="eastAsia" w:ascii="仿宋_GB2312" w:hAnsi="仿宋_GB2312" w:eastAsia="仿宋_GB2312" w:cs="仿宋_GB2312"/>
          <w:sz w:val="28"/>
          <w:szCs w:val="28"/>
        </w:rPr>
        <w:t>个工作日内组织验收，验收要求、验收标准及方法如下：</w:t>
      </w:r>
    </w:p>
    <w:p>
      <w:pPr>
        <w:pStyle w:val="47"/>
        <w:keepNext w:val="0"/>
        <w:keepLines w:val="0"/>
        <w:pageBreakBefore w:val="0"/>
        <w:widowControl w:val="0"/>
        <w:numPr>
          <w:ilvl w:val="0"/>
          <w:numId w:val="0"/>
        </w:numPr>
        <w:kinsoku/>
        <w:wordWrap/>
        <w:overflowPunct/>
        <w:topLinePunct w:val="0"/>
        <w:bidi w:val="0"/>
        <w:spacing w:line="50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color w:val="auto"/>
          <w:kern w:val="2"/>
          <w:sz w:val="28"/>
          <w:szCs w:val="28"/>
        </w:rPr>
        <w:t>甲方收到完整的竣工验收资料（完整的竣工验收资料：施工方案、开工/竣工报告、安全备案整套资料、本合同书、询价文件/响应文件、中标通知书/发包通知书/委托书、工程预算送审报告、工程结算书/签证记录、备件开箱记录表或送货单、竣工图等，如有必须提供）和竣工验收报告后20天内组织有关单位进行验收，工程竣工验收严格按国家、省、市、部门有关文件执行，并在验收后10天内给予认可或提出修改意见。乙方按要求修改，并承担修改的费用。</w:t>
      </w:r>
    </w:p>
    <w:p>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（4）发包人有权委托我国相关具有检验资质的部门、单位、机构针对维修后设备的精度、性能进行检验。其检验结果将作为验收标准的组成部分之一。</w:t>
      </w:r>
    </w:p>
    <w:p>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（5）验收时承包单位必须派代表参加。</w:t>
      </w:r>
    </w:p>
    <w:p>
      <w:pPr>
        <w:keepNext w:val="0"/>
        <w:keepLines w:val="0"/>
        <w:pageBreakBefore w:val="0"/>
        <w:widowControl w:val="0"/>
        <w:kinsoku/>
        <w:wordWrap/>
        <w:overflowPunct/>
        <w:topLinePunct w:val="0"/>
        <w:bidi w:val="0"/>
        <w:adjustRightInd/>
        <w:snapToGrid w:val="0"/>
        <w:spacing w:line="50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（6）验收过程所发生的一切费用由承包单位承担。</w:t>
      </w: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4"/>
        <w:rPr>
          <w:color w:val="auto"/>
          <w:highlight w:val="none"/>
        </w:rPr>
      </w:pPr>
      <w:bookmarkStart w:id="73" w:name="_Toc12135"/>
      <w:bookmarkStart w:id="74" w:name="_Toc29835"/>
      <w:bookmarkStart w:id="75" w:name="_Toc23330"/>
      <w:bookmarkStart w:id="76" w:name="_Toc25925"/>
      <w:bookmarkStart w:id="77" w:name="_Toc18538"/>
      <w:bookmarkStart w:id="78" w:name="_Toc23353"/>
      <w:bookmarkStart w:id="79" w:name="_Toc1496"/>
      <w:bookmarkStart w:id="80" w:name="_Toc537"/>
      <w:bookmarkStart w:id="81" w:name="_Toc15570"/>
      <w:bookmarkStart w:id="82" w:name="_Toc4680"/>
      <w:bookmarkStart w:id="83" w:name="_Toc1284"/>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12" name="自选图形 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 o:spid="_x0000_s1026" o:spt="32" type="#_x0000_t32" style="position:absolute;left:0pt;margin-left:181.6pt;margin-top:56.7pt;height:0pt;width:75.5pt;z-index:251667456;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VmwvrXAAAACwEAAA8AAAAAAAAA&#10;AQAgAAAAIgAAAGRycy9kb3ducmV2LnhtbFBLAQIUABQAAAAIAIdO4kC6tw992QEAAJUDAAAOAAAA&#10;AAAAAAEAIAAAACYBAABkcnMvZTJvRG9jLnhtbFBLBQYAAAAABgAGAFkBAABxBQ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11" name="自选图形 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 o:spid="_x0000_s1026" o:spt="32" type="#_x0000_t32" style="position:absolute;left:0pt;margin-left:183.1pt;margin-top:21.3pt;height:0pt;width:75.5pt;z-index:251666432;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fDrgQ1wAAAAkBAAAPAAAAAAAAAAEA&#10;IAAAACIAAABkcnMvZG93bnJldi54bWxQSwECFAAUAAAACACHTuJA/czDwdcBAACVAwAADgAAAAAA&#10;AAABACAAAAAmAQAAZHJzL2Uyb0RvYy54bWxQSwUGAAAAAAYABgBZAQAAbwUAAAAA&#10;">
                <v:fill on="f" focussize="0,0"/>
                <v:stroke color="#000000" joinstyle="round"/>
                <v:imagedata o:title=""/>
                <o:lock v:ext="edit" aspectratio="f"/>
              </v:shape>
            </w:pict>
          </mc:Fallback>
        </mc:AlternateContent>
      </w:r>
      <w:r>
        <w:rPr>
          <w:rFonts w:hint="eastAsia"/>
          <w:color w:val="auto"/>
          <w:highlight w:val="none"/>
        </w:rPr>
        <w:t>第六章</w:t>
      </w:r>
      <w:bookmarkEnd w:id="73"/>
      <w:bookmarkEnd w:id="74"/>
      <w:bookmarkEnd w:id="75"/>
      <w:bookmarkEnd w:id="76"/>
      <w:bookmarkEnd w:id="77"/>
      <w:bookmarkEnd w:id="78"/>
      <w:bookmarkEnd w:id="79"/>
      <w:bookmarkEnd w:id="80"/>
      <w:bookmarkEnd w:id="81"/>
      <w:bookmarkEnd w:id="82"/>
      <w:bookmarkEnd w:id="83"/>
    </w:p>
    <w:p>
      <w:pPr>
        <w:pStyle w:val="37"/>
        <w:rPr>
          <w:color w:val="auto"/>
          <w:highlight w:val="none"/>
        </w:rPr>
      </w:pPr>
    </w:p>
    <w:p>
      <w:pPr>
        <w:pStyle w:val="4"/>
        <w:rPr>
          <w:color w:val="auto"/>
          <w:highlight w:val="none"/>
        </w:rPr>
      </w:pPr>
      <w:bookmarkStart w:id="84" w:name="_Toc19686"/>
      <w:bookmarkStart w:id="85" w:name="_Toc1375"/>
      <w:bookmarkStart w:id="86" w:name="_Toc88209949"/>
      <w:bookmarkStart w:id="87" w:name="_Toc22797"/>
      <w:bookmarkStart w:id="88" w:name="_Toc12721"/>
      <w:bookmarkStart w:id="89" w:name="_Toc12980"/>
      <w:bookmarkStart w:id="90" w:name="_Toc12968"/>
      <w:bookmarkStart w:id="91" w:name="_Toc19088"/>
      <w:bookmarkStart w:id="92" w:name="_Toc87616386"/>
      <w:bookmarkStart w:id="93" w:name="_Toc13309"/>
      <w:bookmarkStart w:id="94" w:name="_Toc8183"/>
      <w:bookmarkStart w:id="95" w:name="_Toc22501"/>
      <w:bookmarkStart w:id="96" w:name="_Toc323"/>
      <w:r>
        <w:rPr>
          <w:rFonts w:hint="eastAsia"/>
          <w:color w:val="auto"/>
          <w:highlight w:val="none"/>
        </w:rPr>
        <w:t>合同</w:t>
      </w:r>
      <w:bookmarkEnd w:id="84"/>
      <w:bookmarkEnd w:id="85"/>
      <w:bookmarkEnd w:id="86"/>
      <w:bookmarkEnd w:id="87"/>
      <w:bookmarkEnd w:id="88"/>
      <w:bookmarkEnd w:id="89"/>
      <w:bookmarkEnd w:id="90"/>
      <w:bookmarkEnd w:id="91"/>
      <w:bookmarkEnd w:id="92"/>
      <w:bookmarkEnd w:id="93"/>
      <w:bookmarkEnd w:id="94"/>
      <w:bookmarkEnd w:id="95"/>
      <w:bookmarkEnd w:id="96"/>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11"/>
        <w:rPr>
          <w:rFonts w:ascii="方正小标宋简体" w:eastAsia="方正小标宋简体"/>
          <w:color w:val="auto"/>
          <w:sz w:val="44"/>
          <w:szCs w:val="44"/>
          <w:highlight w:val="none"/>
        </w:rPr>
      </w:pPr>
    </w:p>
    <w:p>
      <w:pPr>
        <w:pStyle w:val="12"/>
        <w:rPr>
          <w:rFonts w:ascii="方正小标宋简体" w:eastAsia="方正小标宋简体"/>
          <w:color w:val="auto"/>
          <w:sz w:val="44"/>
          <w:szCs w:val="44"/>
          <w:highlight w:val="none"/>
        </w:rPr>
      </w:pPr>
    </w:p>
    <w:p>
      <w:pPr>
        <w:pStyle w:val="12"/>
        <w:rPr>
          <w:rFonts w:ascii="方正小标宋简体" w:eastAsia="方正小标宋简体"/>
          <w:color w:val="auto"/>
          <w:sz w:val="44"/>
          <w:szCs w:val="44"/>
          <w:highlight w:val="none"/>
        </w:rPr>
      </w:pPr>
    </w:p>
    <w:p>
      <w:pPr>
        <w:pStyle w:val="12"/>
        <w:rPr>
          <w:rFonts w:ascii="方正小标宋简体" w:eastAsia="方正小标宋简体"/>
          <w:color w:val="auto"/>
          <w:sz w:val="44"/>
          <w:szCs w:val="44"/>
          <w:highlight w:val="none"/>
        </w:rPr>
      </w:pPr>
    </w:p>
    <w:p>
      <w:pPr>
        <w:pStyle w:val="12"/>
        <w:rPr>
          <w:rFonts w:ascii="方正小标宋简体" w:eastAsia="方正小标宋简体"/>
          <w:color w:val="auto"/>
          <w:sz w:val="44"/>
          <w:szCs w:val="44"/>
          <w:highlight w:val="none"/>
        </w:rPr>
      </w:pPr>
    </w:p>
    <w:p>
      <w:pPr>
        <w:pStyle w:val="12"/>
        <w:rPr>
          <w:rFonts w:ascii="方正小标宋简体" w:eastAsia="方正小标宋简体"/>
          <w:color w:val="auto"/>
          <w:sz w:val="44"/>
          <w:szCs w:val="44"/>
          <w:highlight w:val="none"/>
        </w:rPr>
      </w:pPr>
    </w:p>
    <w:p>
      <w:pPr>
        <w:spacing w:line="400" w:lineRule="atLeast"/>
        <w:rPr>
          <w:rFonts w:ascii="Cambria" w:hAnsi="Cambria" w:eastAsia="仿宋_GB2312" w:cs="仿宋_GB2312"/>
          <w:sz w:val="52"/>
          <w:szCs w:val="52"/>
        </w:rPr>
      </w:pPr>
    </w:p>
    <w:p>
      <w:pPr>
        <w:spacing w:line="400" w:lineRule="atLeast"/>
        <w:jc w:val="center"/>
        <w:rPr>
          <w:rFonts w:ascii="宋体" w:hAnsi="宋体" w:cs="宋体"/>
          <w:b/>
          <w:bCs/>
          <w:sz w:val="48"/>
          <w:szCs w:val="48"/>
        </w:rPr>
      </w:pPr>
      <w:r>
        <w:rPr>
          <w:rFonts w:hint="eastAsia" w:ascii="宋体" w:hAnsi="宋体" w:cs="宋体"/>
          <w:b/>
          <w:bCs/>
          <w:sz w:val="48"/>
          <w:szCs w:val="48"/>
        </w:rPr>
        <w:t>广州市净水有限公司</w:t>
      </w:r>
    </w:p>
    <w:p>
      <w:pPr>
        <w:spacing w:line="400" w:lineRule="atLeast"/>
        <w:jc w:val="center"/>
        <w:rPr>
          <w:rFonts w:ascii="Cambria" w:hAnsi="Cambria" w:eastAsia="宋体"/>
          <w:b/>
          <w:bCs/>
          <w:sz w:val="52"/>
          <w:szCs w:val="52"/>
        </w:rPr>
      </w:pPr>
      <w:r>
        <w:rPr>
          <w:rFonts w:hint="eastAsia" w:ascii="宋体" w:hAnsi="宋体" w:cs="宋体"/>
          <w:b/>
          <w:bCs/>
          <w:sz w:val="48"/>
          <w:szCs w:val="48"/>
        </w:rPr>
        <w:t>设备维修维护/技改项目合同</w:t>
      </w:r>
    </w:p>
    <w:p>
      <w:pPr>
        <w:spacing w:line="400" w:lineRule="atLeast"/>
        <w:jc w:val="center"/>
        <w:rPr>
          <w:rFonts w:ascii="宋体" w:hAnsi="宋体"/>
          <w:b/>
          <w:sz w:val="28"/>
        </w:rPr>
      </w:pPr>
      <w:r>
        <w:rPr>
          <w:rFonts w:hint="eastAsia" w:ascii="宋体" w:hAnsi="宋体"/>
          <w:bCs/>
          <w:sz w:val="28"/>
        </w:rPr>
        <w:t>（示范文本）</w:t>
      </w:r>
    </w:p>
    <w:p>
      <w:pPr>
        <w:spacing w:line="0" w:lineRule="atLeast"/>
        <w:rPr>
          <w:rFonts w:ascii="宋体" w:hAnsi="宋体"/>
          <w:b/>
          <w:sz w:val="30"/>
        </w:rPr>
      </w:pPr>
    </w:p>
    <w:p>
      <w:pPr>
        <w:spacing w:line="0" w:lineRule="atLeast"/>
        <w:rPr>
          <w:rFonts w:ascii="仿宋_GB2312" w:hAnsi="宋体" w:eastAsia="仿宋_GB2312"/>
          <w:b/>
          <w:sz w:val="30"/>
          <w:szCs w:val="30"/>
        </w:rPr>
      </w:pPr>
    </w:p>
    <w:p>
      <w:pPr>
        <w:spacing w:line="0" w:lineRule="atLeast"/>
        <w:ind w:left="1495" w:leftChars="712" w:firstLine="0" w:firstLineChars="0"/>
        <w:rPr>
          <w:rFonts w:hint="eastAsia" w:ascii="宋体" w:hAnsi="宋体" w:eastAsia="宋体" w:cs="宋体"/>
          <w:b/>
          <w:bCs w:val="0"/>
          <w:sz w:val="30"/>
          <w:szCs w:val="30"/>
          <w:highlight w:val="none"/>
          <w:lang w:val="en-US" w:eastAsia="zh-CN"/>
        </w:rPr>
      </w:pPr>
      <w:r>
        <w:rPr>
          <w:rFonts w:hint="eastAsia" w:ascii="宋体" w:hAnsi="宋体" w:cs="宋体"/>
          <w:b/>
          <w:sz w:val="30"/>
          <w:szCs w:val="30"/>
        </w:rPr>
        <w:t xml:space="preserve">项目名称: </w:t>
      </w:r>
      <w:r>
        <w:rPr>
          <w:rFonts w:hint="eastAsia" w:ascii="宋体" w:hAnsi="宋体" w:eastAsia="宋体" w:cs="宋体"/>
          <w:b/>
          <w:bCs w:val="0"/>
          <w:sz w:val="30"/>
          <w:szCs w:val="30"/>
          <w:highlight w:val="none"/>
          <w:lang w:val="en-US" w:eastAsia="zh-CN"/>
        </w:rPr>
        <w:t>广州市净水有限公司</w:t>
      </w:r>
      <w:r>
        <w:rPr>
          <w:rFonts w:hint="eastAsia" w:ascii="宋体" w:hAnsi="宋体" w:eastAsia="宋体" w:cs="宋体"/>
          <w:b/>
          <w:bCs w:val="0"/>
          <w:sz w:val="30"/>
          <w:szCs w:val="30"/>
          <w:highlight w:val="none"/>
          <w:lang w:val="zh-CN" w:eastAsia="zh-CN"/>
        </w:rPr>
        <w:t>石井分公司</w:t>
      </w:r>
      <w:r>
        <w:rPr>
          <w:rFonts w:hint="eastAsia" w:ascii="宋体" w:hAnsi="宋体" w:eastAsia="宋体" w:cs="宋体"/>
          <w:b/>
          <w:bCs w:val="0"/>
          <w:sz w:val="30"/>
          <w:szCs w:val="30"/>
          <w:highlight w:val="none"/>
          <w:lang w:val="en-US" w:eastAsia="zh-CN"/>
        </w:rPr>
        <w:t>二期初雨增设PAC储存罐项目</w:t>
      </w:r>
    </w:p>
    <w:p>
      <w:pPr>
        <w:spacing w:line="0" w:lineRule="atLeast"/>
        <w:ind w:left="1506" w:hanging="1506" w:hangingChars="500"/>
        <w:rPr>
          <w:rFonts w:hint="eastAsia" w:ascii="宋体" w:hAnsi="宋体" w:cs="宋体"/>
          <w:b/>
          <w:sz w:val="30"/>
          <w:szCs w:val="30"/>
        </w:rPr>
      </w:pPr>
    </w:p>
    <w:p>
      <w:pPr>
        <w:pStyle w:val="47"/>
        <w:rPr>
          <w:rFonts w:ascii="宋体" w:hAnsi="宋体" w:cs="宋体"/>
          <w:b/>
          <w:sz w:val="30"/>
          <w:szCs w:val="30"/>
        </w:rPr>
      </w:pPr>
      <w:r>
        <w:rPr>
          <w:rFonts w:hint="eastAsia" w:ascii="宋体" w:hAnsi="宋体" w:eastAsia="宋体" w:cs="宋体"/>
          <w:b/>
          <w:sz w:val="30"/>
          <w:szCs w:val="30"/>
          <w:lang w:val="en-US" w:eastAsia="zh-CN"/>
        </w:rPr>
        <w:t>项目编号：</w:t>
      </w:r>
    </w:p>
    <w:p>
      <w:pPr>
        <w:spacing w:line="400" w:lineRule="atLeast"/>
        <w:rPr>
          <w:rFonts w:ascii="宋体" w:hAnsi="宋体" w:cs="宋体"/>
          <w:b/>
          <w:sz w:val="30"/>
          <w:szCs w:val="30"/>
        </w:rPr>
      </w:pPr>
    </w:p>
    <w:p>
      <w:pPr>
        <w:spacing w:line="480" w:lineRule="auto"/>
        <w:rPr>
          <w:rFonts w:ascii="宋体" w:hAnsi="宋体" w:cs="宋体"/>
          <w:b/>
          <w:bCs/>
          <w:sz w:val="30"/>
          <w:szCs w:val="30"/>
        </w:rPr>
      </w:pPr>
      <w:r>
        <w:rPr>
          <w:rFonts w:hint="eastAsia" w:ascii="宋体" w:hAnsi="宋体" w:cs="宋体"/>
          <w:b/>
          <w:sz w:val="30"/>
          <w:szCs w:val="30"/>
        </w:rPr>
        <w:t>合同编号：</w:t>
      </w:r>
      <w:r>
        <w:rPr>
          <w:rFonts w:hint="eastAsia" w:ascii="宋体" w:hAnsi="宋体" w:cs="宋体"/>
          <w:b/>
          <w:bCs/>
          <w:sz w:val="30"/>
          <w:szCs w:val="30"/>
        </w:rPr>
        <w:t>穗净水合[     ]    号</w:t>
      </w:r>
    </w:p>
    <w:p>
      <w:pPr>
        <w:spacing w:line="400" w:lineRule="atLeast"/>
        <w:ind w:firstLine="602" w:firstLineChars="200"/>
        <w:rPr>
          <w:rFonts w:ascii="宋体" w:hAnsi="宋体" w:cs="宋体"/>
          <w:b/>
          <w:sz w:val="30"/>
          <w:szCs w:val="30"/>
        </w:rPr>
      </w:pPr>
    </w:p>
    <w:p>
      <w:pPr>
        <w:spacing w:line="400" w:lineRule="atLeast"/>
        <w:rPr>
          <w:rFonts w:ascii="宋体" w:hAnsi="宋体" w:cs="宋体"/>
          <w:b/>
          <w:sz w:val="30"/>
          <w:szCs w:val="30"/>
        </w:rPr>
      </w:pPr>
    </w:p>
    <w:p>
      <w:pPr>
        <w:spacing w:line="400" w:lineRule="atLeast"/>
        <w:rPr>
          <w:rFonts w:ascii="宋体" w:hAnsi="宋体" w:cs="宋体"/>
          <w:b/>
          <w:sz w:val="30"/>
          <w:szCs w:val="30"/>
        </w:rPr>
      </w:pPr>
      <w:r>
        <w:rPr>
          <w:rFonts w:hint="eastAsia" w:ascii="宋体" w:hAnsi="宋体" w:cs="宋体"/>
          <w:b/>
          <w:sz w:val="30"/>
          <w:szCs w:val="30"/>
        </w:rPr>
        <w:t>甲方： 广州市净水有限公司</w:t>
      </w:r>
    </w:p>
    <w:p>
      <w:pPr>
        <w:spacing w:line="400" w:lineRule="atLeast"/>
        <w:rPr>
          <w:rFonts w:ascii="宋体" w:hAnsi="宋体" w:cs="宋体"/>
          <w:b/>
          <w:sz w:val="30"/>
          <w:szCs w:val="30"/>
        </w:rPr>
      </w:pPr>
    </w:p>
    <w:p>
      <w:pPr>
        <w:spacing w:line="400" w:lineRule="atLeast"/>
        <w:rPr>
          <w:rFonts w:ascii="宋体" w:hAnsi="宋体" w:cs="宋体"/>
          <w:b/>
          <w:sz w:val="30"/>
          <w:szCs w:val="30"/>
        </w:rPr>
      </w:pPr>
      <w:r>
        <w:rPr>
          <w:rFonts w:hint="eastAsia" w:ascii="宋体" w:hAnsi="宋体" w:cs="宋体"/>
          <w:b/>
          <w:sz w:val="30"/>
          <w:szCs w:val="30"/>
        </w:rPr>
        <w:t>乙方</w:t>
      </w:r>
      <w:r>
        <w:rPr>
          <w:rFonts w:hint="eastAsia" w:ascii="宋体" w:hAnsi="宋体" w:cs="宋体"/>
          <w:sz w:val="30"/>
          <w:szCs w:val="30"/>
        </w:rPr>
        <w:t>：</w:t>
      </w:r>
    </w:p>
    <w:p>
      <w:pPr>
        <w:spacing w:line="400" w:lineRule="atLeast"/>
        <w:rPr>
          <w:rFonts w:ascii="宋体" w:hAnsi="宋体" w:cs="宋体"/>
          <w:b/>
          <w:sz w:val="30"/>
          <w:szCs w:val="30"/>
        </w:rPr>
      </w:pPr>
    </w:p>
    <w:p>
      <w:pPr>
        <w:spacing w:line="400" w:lineRule="atLeast"/>
        <w:rPr>
          <w:rFonts w:ascii="宋体" w:hAnsi="宋体" w:cs="宋体"/>
          <w:b/>
          <w:sz w:val="30"/>
          <w:szCs w:val="30"/>
        </w:rPr>
      </w:pPr>
      <w:r>
        <w:rPr>
          <w:rFonts w:hint="eastAsia" w:ascii="宋体" w:hAnsi="宋体" w:cs="宋体"/>
          <w:b/>
          <w:sz w:val="30"/>
          <w:szCs w:val="30"/>
        </w:rPr>
        <w:t xml:space="preserve">签订日期：       年   月   日       </w:t>
      </w:r>
    </w:p>
    <w:p>
      <w:pPr>
        <w:spacing w:line="400" w:lineRule="atLeast"/>
        <w:rPr>
          <w:rFonts w:ascii="宋体" w:hAnsi="宋体" w:cs="宋体"/>
          <w:sz w:val="24"/>
          <w:u w:val="single"/>
        </w:rPr>
      </w:pPr>
      <w:r>
        <w:rPr>
          <w:rFonts w:hint="eastAsia" w:ascii="宋体" w:hAnsi="宋体" w:cs="宋体"/>
          <w:b/>
          <w:sz w:val="30"/>
        </w:rPr>
        <w:t>签约地点：广州市</w:t>
      </w:r>
    </w:p>
    <w:p>
      <w:pPr>
        <w:spacing w:beforeLines="30" w:line="384" w:lineRule="auto"/>
        <w:ind w:left="210" w:leftChars="100" w:firstLine="600" w:firstLineChars="250"/>
        <w:rPr>
          <w:rFonts w:hint="eastAsia" w:ascii="宋体" w:hAnsi="宋体" w:cs="宋体"/>
          <w:sz w:val="24"/>
        </w:rPr>
      </w:pPr>
    </w:p>
    <w:p>
      <w:pPr>
        <w:spacing w:beforeLines="30" w:line="384" w:lineRule="auto"/>
        <w:ind w:left="210" w:leftChars="100" w:firstLine="600" w:firstLineChars="250"/>
        <w:rPr>
          <w:rFonts w:hint="eastAsia" w:ascii="宋体" w:hAnsi="宋体" w:cs="宋体"/>
          <w:sz w:val="24"/>
        </w:rPr>
      </w:pPr>
    </w:p>
    <w:p>
      <w:pPr>
        <w:spacing w:beforeLines="30" w:line="384" w:lineRule="auto"/>
        <w:ind w:left="210" w:leftChars="100" w:firstLine="600" w:firstLineChars="250"/>
        <w:rPr>
          <w:rFonts w:hint="eastAsia" w:ascii="宋体" w:hAnsi="宋体" w:cs="宋体"/>
          <w:sz w:val="24"/>
        </w:rPr>
      </w:pPr>
    </w:p>
    <w:p>
      <w:pPr>
        <w:pStyle w:val="2"/>
        <w:ind w:left="0" w:leftChars="0" w:firstLine="0" w:firstLineChars="0"/>
      </w:pPr>
    </w:p>
    <w:p>
      <w:pPr>
        <w:keepNext w:val="0"/>
        <w:keepLines w:val="0"/>
        <w:pageBreakBefore w:val="0"/>
        <w:widowControl w:val="0"/>
        <w:kinsoku/>
        <w:wordWrap/>
        <w:overflowPunct/>
        <w:topLinePunct w:val="0"/>
        <w:bidi w:val="0"/>
        <w:spacing w:beforeLines="30" w:line="500" w:lineRule="exact"/>
        <w:ind w:left="210" w:leftChars="100" w:firstLine="600" w:firstLineChars="250"/>
        <w:textAlignment w:val="auto"/>
        <w:rPr>
          <w:rFonts w:ascii="宋体" w:hAnsi="宋体" w:cs="宋体"/>
          <w:sz w:val="24"/>
        </w:rPr>
      </w:pPr>
      <w:r>
        <w:rPr>
          <w:rFonts w:hint="eastAsia" w:ascii="宋体" w:hAnsi="宋体" w:cs="宋体"/>
          <w:sz w:val="24"/>
        </w:rPr>
        <w:t>根据《中华人民共和国</w:t>
      </w:r>
      <w:r>
        <w:rPr>
          <w:rFonts w:hint="eastAsia" w:ascii="宋体" w:hAnsi="宋体" w:cs="宋体"/>
          <w:sz w:val="24"/>
          <w:lang w:val="en-US" w:eastAsia="zh-CN"/>
        </w:rPr>
        <w:t>民法典</w:t>
      </w:r>
      <w:r>
        <w:rPr>
          <w:rFonts w:hint="eastAsia" w:ascii="宋体" w:hAnsi="宋体" w:cs="宋体"/>
          <w:sz w:val="24"/>
        </w:rPr>
        <w:t>》及其他有关法律、行政法规，</w:t>
      </w:r>
      <w:r>
        <w:rPr>
          <w:rFonts w:hint="eastAsia" w:ascii="宋体" w:hAnsi="宋体" w:cs="宋体"/>
          <w:sz w:val="24"/>
          <w:u w:val="single"/>
        </w:rPr>
        <w:t>广州市净水有限公司</w:t>
      </w:r>
      <w:r>
        <w:rPr>
          <w:rFonts w:hint="eastAsia" w:ascii="宋体" w:hAnsi="宋体" w:cs="宋体"/>
          <w:sz w:val="24"/>
        </w:rPr>
        <w:t xml:space="preserve"> （以下简称“甲方”）与 </w:t>
      </w:r>
      <w:r>
        <w:rPr>
          <w:rFonts w:hint="eastAsia" w:ascii="宋体" w:hAnsi="宋体" w:cs="宋体"/>
          <w:sz w:val="24"/>
          <w:u w:val="single"/>
          <w:lang w:eastAsia="zh-CN"/>
        </w:rPr>
        <w:t>…</w:t>
      </w:r>
      <w:r>
        <w:rPr>
          <w:rFonts w:hint="eastAsia" w:ascii="宋体" w:hAnsi="宋体" w:cs="宋体"/>
          <w:sz w:val="24"/>
        </w:rPr>
        <w:t>（以下简称“乙方”）就</w:t>
      </w:r>
      <w:r>
        <w:rPr>
          <w:rFonts w:hint="eastAsia" w:ascii="宋体" w:hAnsi="宋体" w:cs="宋体"/>
          <w:sz w:val="24"/>
          <w:lang w:val="en-US" w:eastAsia="zh-CN"/>
        </w:rPr>
        <w:t>广州市净水有限公司</w:t>
      </w:r>
      <w:r>
        <w:rPr>
          <w:rFonts w:hint="eastAsia" w:ascii="宋体" w:hAnsi="宋体" w:eastAsia="宋体" w:cs="宋体"/>
          <w:sz w:val="24"/>
          <w:u w:val="single"/>
          <w:lang w:val="zh-CN" w:eastAsia="zh-CN"/>
        </w:rPr>
        <w:t>石井分公司</w:t>
      </w:r>
      <w:r>
        <w:rPr>
          <w:rFonts w:hint="eastAsia" w:ascii="宋体" w:hAnsi="宋体" w:eastAsia="宋体" w:cs="宋体"/>
          <w:sz w:val="24"/>
          <w:u w:val="single"/>
          <w:lang w:val="en-US" w:eastAsia="zh-CN"/>
        </w:rPr>
        <w:t>二期初雨增设PAC储存罐项目</w:t>
      </w:r>
      <w:r>
        <w:rPr>
          <w:rFonts w:hint="eastAsia" w:ascii="宋体" w:hAnsi="宋体" w:cs="宋体"/>
          <w:sz w:val="24"/>
        </w:rPr>
        <w:t>承接工作事宜，遵循平等、自愿、公平和诚实信用的原则，双方协商一致，订立本合同。</w:t>
      </w:r>
    </w:p>
    <w:p>
      <w:pPr>
        <w:keepNext w:val="0"/>
        <w:keepLines w:val="0"/>
        <w:pageBreakBefore w:val="0"/>
        <w:widowControl w:val="0"/>
        <w:kinsoku/>
        <w:wordWrap/>
        <w:overflowPunct/>
        <w:topLinePunct w:val="0"/>
        <w:bidi w:val="0"/>
        <w:spacing w:beforeLines="30" w:line="500" w:lineRule="exact"/>
        <w:ind w:left="210" w:leftChars="100" w:firstLine="482" w:firstLineChars="200"/>
        <w:textAlignment w:val="auto"/>
        <w:rPr>
          <w:rFonts w:ascii="宋体" w:hAnsi="宋体" w:cs="宋体"/>
          <w:b/>
          <w:bCs/>
          <w:sz w:val="24"/>
        </w:rPr>
      </w:pPr>
      <w:r>
        <w:rPr>
          <w:rFonts w:hint="eastAsia" w:ascii="宋体" w:hAnsi="宋体" w:cs="宋体"/>
          <w:b/>
          <w:bCs/>
          <w:sz w:val="24"/>
        </w:rPr>
        <w:t>第一条 组成合同的文件及优先顺序</w:t>
      </w:r>
    </w:p>
    <w:p>
      <w:pPr>
        <w:keepNext w:val="0"/>
        <w:keepLines w:val="0"/>
        <w:pageBreakBefore w:val="0"/>
        <w:widowControl w:val="0"/>
        <w:kinsoku/>
        <w:wordWrap/>
        <w:overflowPunct/>
        <w:topLinePunct w:val="0"/>
        <w:bidi w:val="0"/>
        <w:spacing w:line="500" w:lineRule="exact"/>
        <w:ind w:firstLine="482"/>
        <w:textAlignment w:val="auto"/>
        <w:rPr>
          <w:rFonts w:ascii="宋体" w:hAnsi="宋体" w:cs="宋体"/>
          <w:bCs/>
          <w:sz w:val="24"/>
        </w:rPr>
      </w:pPr>
      <w:r>
        <w:rPr>
          <w:rFonts w:hint="eastAsia" w:hAnsi="宋体" w:cs="宋体"/>
          <w:bCs/>
          <w:sz w:val="24"/>
        </w:rPr>
        <w:t>下列文件（如有）均为本合同的组成部分，可视为能相互说明和补充的，如果合同文件存在歧义或相矛盾的地方，则根据以下次序判断：</w:t>
      </w:r>
    </w:p>
    <w:p>
      <w:pPr>
        <w:keepNext w:val="0"/>
        <w:keepLines w:val="0"/>
        <w:pageBreakBefore w:val="0"/>
        <w:widowControl w:val="0"/>
        <w:kinsoku/>
        <w:wordWrap/>
        <w:overflowPunct/>
        <w:topLinePunct w:val="0"/>
        <w:bidi w:val="0"/>
        <w:spacing w:line="500" w:lineRule="exact"/>
        <w:ind w:firstLine="482"/>
        <w:textAlignment w:val="auto"/>
        <w:rPr>
          <w:rFonts w:ascii="宋体" w:hAnsi="宋体" w:cs="宋体"/>
          <w:bCs/>
          <w:sz w:val="24"/>
        </w:rPr>
      </w:pPr>
      <w:r>
        <w:rPr>
          <w:rFonts w:hint="eastAsia" w:ascii="宋体" w:hAnsi="宋体" w:cs="宋体"/>
          <w:bCs/>
          <w:sz w:val="24"/>
        </w:rPr>
        <w:t xml:space="preserve">⑴ </w:t>
      </w:r>
      <w:r>
        <w:rPr>
          <w:rFonts w:hint="eastAsia" w:ascii="宋体" w:hAnsi="宋体" w:cs="宋体"/>
          <w:sz w:val="24"/>
        </w:rPr>
        <w:t>在本合同实施过程双方签署的补充与修正文件</w:t>
      </w:r>
      <w:r>
        <w:rPr>
          <w:rFonts w:hint="eastAsia" w:ascii="宋体" w:hAnsi="宋体" w:cs="宋体"/>
          <w:bCs/>
          <w:sz w:val="24"/>
        </w:rPr>
        <w:t>；</w:t>
      </w:r>
    </w:p>
    <w:p>
      <w:pPr>
        <w:keepNext w:val="0"/>
        <w:keepLines w:val="0"/>
        <w:pageBreakBefore w:val="0"/>
        <w:widowControl w:val="0"/>
        <w:kinsoku/>
        <w:wordWrap/>
        <w:overflowPunct/>
        <w:topLinePunct w:val="0"/>
        <w:bidi w:val="0"/>
        <w:spacing w:line="500" w:lineRule="exact"/>
        <w:ind w:firstLine="482"/>
        <w:textAlignment w:val="auto"/>
        <w:rPr>
          <w:rFonts w:ascii="宋体" w:hAnsi="宋体" w:cs="宋体"/>
          <w:bCs/>
          <w:sz w:val="24"/>
        </w:rPr>
      </w:pPr>
      <w:r>
        <w:rPr>
          <w:rFonts w:hint="eastAsia" w:ascii="宋体" w:hAnsi="宋体" w:cs="宋体"/>
          <w:bCs/>
          <w:sz w:val="24"/>
        </w:rPr>
        <w:t>⑵ 本合同书；</w:t>
      </w:r>
    </w:p>
    <w:p>
      <w:pPr>
        <w:keepNext w:val="0"/>
        <w:keepLines w:val="0"/>
        <w:pageBreakBefore w:val="0"/>
        <w:widowControl w:val="0"/>
        <w:kinsoku/>
        <w:wordWrap/>
        <w:overflowPunct/>
        <w:topLinePunct w:val="0"/>
        <w:bidi w:val="0"/>
        <w:spacing w:line="500" w:lineRule="exact"/>
        <w:ind w:firstLine="482"/>
        <w:textAlignment w:val="auto"/>
        <w:rPr>
          <w:rFonts w:ascii="宋体" w:hAnsi="宋体" w:cs="宋体"/>
          <w:bCs/>
          <w:sz w:val="24"/>
        </w:rPr>
      </w:pPr>
      <w:r>
        <w:rPr>
          <w:rFonts w:hint="eastAsia" w:ascii="宋体" w:hAnsi="宋体" w:cs="宋体"/>
          <w:bCs/>
          <w:sz w:val="24"/>
        </w:rPr>
        <w:t>⑶ 中标通知书/发包通知书/</w:t>
      </w:r>
      <w:r>
        <w:rPr>
          <w:rFonts w:hint="eastAsia" w:ascii="宋体" w:hAnsi="宋体" w:cs="宋体"/>
          <w:bCs/>
          <w:sz w:val="24"/>
          <w:lang w:val="en-US" w:eastAsia="zh-CN"/>
        </w:rPr>
        <w:t>成交通知书/</w:t>
      </w:r>
      <w:r>
        <w:rPr>
          <w:rFonts w:hint="eastAsia" w:ascii="宋体" w:hAnsi="宋体" w:cs="宋体"/>
          <w:bCs/>
          <w:sz w:val="24"/>
        </w:rPr>
        <w:t>委托函；</w:t>
      </w:r>
    </w:p>
    <w:p>
      <w:pPr>
        <w:keepNext w:val="0"/>
        <w:keepLines w:val="0"/>
        <w:pageBreakBefore w:val="0"/>
        <w:widowControl w:val="0"/>
        <w:kinsoku/>
        <w:wordWrap/>
        <w:overflowPunct/>
        <w:topLinePunct w:val="0"/>
        <w:bidi w:val="0"/>
        <w:spacing w:line="500" w:lineRule="exact"/>
        <w:ind w:firstLine="482"/>
        <w:textAlignment w:val="auto"/>
        <w:rPr>
          <w:rFonts w:ascii="宋体" w:hAnsi="宋体" w:cs="宋体"/>
          <w:bCs/>
          <w:sz w:val="24"/>
        </w:rPr>
      </w:pPr>
      <w:r>
        <w:rPr>
          <w:rFonts w:hint="eastAsia" w:ascii="宋体" w:hAnsi="宋体" w:cs="宋体"/>
          <w:bCs/>
          <w:sz w:val="24"/>
        </w:rPr>
        <w:t>⑷ 招标文件/询价文件；</w:t>
      </w:r>
    </w:p>
    <w:p>
      <w:pPr>
        <w:keepNext w:val="0"/>
        <w:keepLines w:val="0"/>
        <w:pageBreakBefore w:val="0"/>
        <w:widowControl w:val="0"/>
        <w:kinsoku/>
        <w:wordWrap/>
        <w:overflowPunct/>
        <w:topLinePunct w:val="0"/>
        <w:bidi w:val="0"/>
        <w:spacing w:line="500" w:lineRule="exact"/>
        <w:ind w:firstLine="482"/>
        <w:textAlignment w:val="auto"/>
        <w:rPr>
          <w:rFonts w:ascii="宋体" w:hAnsi="宋体" w:cs="宋体"/>
          <w:bCs/>
          <w:sz w:val="24"/>
        </w:rPr>
      </w:pPr>
      <w:r>
        <w:rPr>
          <w:rFonts w:hint="eastAsia" w:ascii="宋体" w:hAnsi="宋体" w:cs="宋体"/>
          <w:bCs/>
          <w:sz w:val="24"/>
        </w:rPr>
        <w:t>⑸ 投标文件/响应文件；</w:t>
      </w:r>
    </w:p>
    <w:p>
      <w:pPr>
        <w:keepNext w:val="0"/>
        <w:keepLines w:val="0"/>
        <w:pageBreakBefore w:val="0"/>
        <w:widowControl w:val="0"/>
        <w:kinsoku/>
        <w:wordWrap/>
        <w:overflowPunct/>
        <w:topLinePunct w:val="0"/>
        <w:bidi w:val="0"/>
        <w:spacing w:line="500" w:lineRule="exact"/>
        <w:ind w:firstLine="482"/>
        <w:textAlignment w:val="auto"/>
        <w:rPr>
          <w:rFonts w:ascii="宋体" w:hAnsi="宋体" w:cs="宋体"/>
          <w:bCs/>
          <w:sz w:val="24"/>
        </w:rPr>
      </w:pPr>
      <w:r>
        <w:rPr>
          <w:rFonts w:hint="eastAsia" w:ascii="宋体" w:hAnsi="宋体" w:cs="宋体"/>
          <w:bCs/>
          <w:sz w:val="24"/>
        </w:rPr>
        <w:t>⑹ 标准、规范及有关技术性文件；</w:t>
      </w:r>
    </w:p>
    <w:p>
      <w:pPr>
        <w:keepNext w:val="0"/>
        <w:keepLines w:val="0"/>
        <w:pageBreakBefore w:val="0"/>
        <w:widowControl w:val="0"/>
        <w:kinsoku/>
        <w:wordWrap/>
        <w:overflowPunct/>
        <w:topLinePunct w:val="0"/>
        <w:bidi w:val="0"/>
        <w:spacing w:line="500" w:lineRule="exact"/>
        <w:ind w:firstLine="482"/>
        <w:textAlignment w:val="auto"/>
        <w:rPr>
          <w:rFonts w:ascii="宋体" w:hAnsi="宋体" w:cs="宋体"/>
          <w:bCs/>
          <w:sz w:val="24"/>
        </w:rPr>
      </w:pPr>
      <w:r>
        <w:rPr>
          <w:rFonts w:hint="eastAsia" w:ascii="宋体" w:hAnsi="宋体" w:cs="宋体"/>
          <w:bCs/>
          <w:sz w:val="24"/>
        </w:rPr>
        <w:t>⑺ 图纸；</w:t>
      </w:r>
    </w:p>
    <w:p>
      <w:pPr>
        <w:keepNext w:val="0"/>
        <w:keepLines w:val="0"/>
        <w:pageBreakBefore w:val="0"/>
        <w:widowControl w:val="0"/>
        <w:kinsoku/>
        <w:wordWrap/>
        <w:overflowPunct/>
        <w:topLinePunct w:val="0"/>
        <w:bidi w:val="0"/>
        <w:spacing w:line="500" w:lineRule="exact"/>
        <w:ind w:firstLine="482"/>
        <w:textAlignment w:val="auto"/>
        <w:rPr>
          <w:rFonts w:ascii="宋体" w:hAnsi="宋体" w:cs="宋体"/>
          <w:bCs/>
          <w:sz w:val="24"/>
        </w:rPr>
      </w:pPr>
      <w:r>
        <w:rPr>
          <w:rFonts w:hint="eastAsia" w:ascii="宋体" w:hAnsi="宋体" w:cs="宋体"/>
          <w:bCs/>
          <w:sz w:val="24"/>
        </w:rPr>
        <w:t>⑻ 工程量清单/</w:t>
      </w:r>
      <w:r>
        <w:rPr>
          <w:rFonts w:hint="eastAsia" w:ascii="宋体" w:hAnsi="宋体" w:cs="宋体"/>
          <w:sz w:val="24"/>
        </w:rPr>
        <w:t>工程报价单或预算书；</w:t>
      </w:r>
    </w:p>
    <w:p>
      <w:pPr>
        <w:keepNext w:val="0"/>
        <w:keepLines w:val="0"/>
        <w:pageBreakBefore w:val="0"/>
        <w:widowControl w:val="0"/>
        <w:kinsoku/>
        <w:wordWrap/>
        <w:overflowPunct/>
        <w:topLinePunct w:val="0"/>
        <w:bidi w:val="0"/>
        <w:spacing w:line="500" w:lineRule="exact"/>
        <w:ind w:firstLine="482"/>
        <w:textAlignment w:val="auto"/>
        <w:rPr>
          <w:rFonts w:ascii="宋体" w:hAnsi="宋体" w:cs="宋体"/>
          <w:bCs/>
          <w:sz w:val="24"/>
        </w:rPr>
      </w:pPr>
      <w:r>
        <w:rPr>
          <w:rFonts w:hint="eastAsia" w:ascii="宋体" w:hAnsi="宋体" w:cs="宋体"/>
          <w:bCs/>
          <w:sz w:val="24"/>
        </w:rPr>
        <w:t>⑼ 本合同其他附件；</w:t>
      </w:r>
    </w:p>
    <w:p>
      <w:pPr>
        <w:keepNext w:val="0"/>
        <w:keepLines w:val="0"/>
        <w:pageBreakBefore w:val="0"/>
        <w:widowControl w:val="0"/>
        <w:kinsoku/>
        <w:wordWrap/>
        <w:overflowPunct/>
        <w:topLinePunct w:val="0"/>
        <w:bidi w:val="0"/>
        <w:spacing w:line="500" w:lineRule="exact"/>
        <w:ind w:firstLine="482"/>
        <w:textAlignment w:val="auto"/>
        <w:rPr>
          <w:rFonts w:ascii="宋体" w:hAnsi="宋体" w:cs="宋体"/>
          <w:b/>
          <w:bCs/>
          <w:color w:val="auto"/>
          <w:sz w:val="24"/>
          <w:highlight w:val="none"/>
        </w:rPr>
      </w:pPr>
      <w:r>
        <w:rPr>
          <w:rFonts w:hint="eastAsia" w:ascii="宋体" w:hAnsi="宋体" w:cs="宋体"/>
          <w:b/>
          <w:bCs/>
          <w:color w:val="auto"/>
          <w:sz w:val="24"/>
          <w:highlight w:val="none"/>
        </w:rPr>
        <w:t>第二条 项目概况、项目承包范围</w:t>
      </w:r>
    </w:p>
    <w:p>
      <w:pPr>
        <w:keepNext w:val="0"/>
        <w:keepLines w:val="0"/>
        <w:pageBreakBefore w:val="0"/>
        <w:widowControl w:val="0"/>
        <w:kinsoku/>
        <w:wordWrap/>
        <w:overflowPunct/>
        <w:topLinePunct w:val="0"/>
        <w:bidi w:val="0"/>
        <w:spacing w:line="500" w:lineRule="exact"/>
        <w:ind w:firstLine="480" w:firstLineChars="200"/>
        <w:textAlignment w:val="auto"/>
        <w:rPr>
          <w:rFonts w:hint="eastAsia" w:ascii="宋体" w:hAnsi="宋体" w:eastAsia="宋体" w:cs="宋体"/>
          <w:color w:val="auto"/>
          <w:sz w:val="24"/>
          <w:highlight w:val="none"/>
          <w:u w:val="single"/>
          <w:lang w:eastAsia="zh-CN"/>
        </w:rPr>
      </w:pPr>
      <w:r>
        <w:rPr>
          <w:rFonts w:hint="eastAsia" w:ascii="宋体" w:hAnsi="宋体" w:cs="宋体"/>
          <w:color w:val="auto"/>
          <w:sz w:val="24"/>
          <w:highlight w:val="none"/>
        </w:rPr>
        <w:t>2.1项目名称：</w:t>
      </w:r>
      <w:r>
        <w:rPr>
          <w:rFonts w:hint="eastAsia" w:ascii="宋体" w:hAnsi="宋体" w:cs="宋体"/>
          <w:color w:val="auto"/>
          <w:sz w:val="24"/>
          <w:highlight w:val="none"/>
          <w:u w:val="single"/>
        </w:rPr>
        <w:t xml:space="preserve">  </w:t>
      </w:r>
      <w:r>
        <w:rPr>
          <w:rFonts w:hint="eastAsia" w:ascii="宋体" w:hAnsi="宋体" w:eastAsia="宋体" w:cs="宋体"/>
          <w:sz w:val="24"/>
          <w:highlight w:val="none"/>
          <w:u w:val="single"/>
          <w:lang w:val="zh-CN" w:eastAsia="zh-CN"/>
        </w:rPr>
        <w:t>石井分公司</w:t>
      </w:r>
      <w:r>
        <w:rPr>
          <w:rFonts w:hint="eastAsia" w:ascii="宋体" w:hAnsi="宋体" w:eastAsia="宋体" w:cs="宋体"/>
          <w:sz w:val="24"/>
          <w:highlight w:val="none"/>
          <w:u w:val="single"/>
          <w:lang w:val="en-US" w:eastAsia="zh-CN"/>
        </w:rPr>
        <w:t>二期初雨增设PAC储存罐项目</w:t>
      </w:r>
      <w:r>
        <w:rPr>
          <w:rFonts w:hint="eastAsia" w:ascii="宋体" w:hAnsi="宋体" w:cs="宋体"/>
          <w:color w:val="auto"/>
          <w:sz w:val="24"/>
          <w:highlight w:val="none"/>
          <w:u w:val="single"/>
          <w:lang w:eastAsia="zh-CN"/>
        </w:rPr>
        <w:t>。</w:t>
      </w:r>
    </w:p>
    <w:p>
      <w:pPr>
        <w:keepNext w:val="0"/>
        <w:keepLines w:val="0"/>
        <w:pageBreakBefore w:val="0"/>
        <w:widowControl w:val="0"/>
        <w:kinsoku/>
        <w:wordWrap/>
        <w:overflowPunct/>
        <w:topLinePunct w:val="0"/>
        <w:bidi w:val="0"/>
        <w:spacing w:line="500" w:lineRule="exact"/>
        <w:ind w:firstLine="480" w:firstLineChars="200"/>
        <w:textAlignment w:val="auto"/>
        <w:rPr>
          <w:rFonts w:ascii="宋体" w:hAnsi="宋体" w:cs="宋体"/>
          <w:color w:val="auto"/>
          <w:sz w:val="24"/>
          <w:highlight w:val="none"/>
          <w:u w:val="single"/>
        </w:rPr>
      </w:pPr>
      <w:r>
        <w:rPr>
          <w:rFonts w:hint="eastAsia" w:ascii="宋体" w:hAnsi="宋体" w:cs="宋体"/>
          <w:color w:val="auto"/>
          <w:sz w:val="24"/>
          <w:highlight w:val="none"/>
        </w:rPr>
        <w:t>2.2项目地点：</w:t>
      </w:r>
      <w:r>
        <w:rPr>
          <w:rFonts w:hint="eastAsia" w:ascii="宋体" w:hAnsi="宋体" w:cs="宋体"/>
          <w:color w:val="auto"/>
          <w:sz w:val="24"/>
          <w:highlight w:val="none"/>
          <w:u w:val="single"/>
        </w:rPr>
        <w:t xml:space="preserve">  </w:t>
      </w:r>
      <w:r>
        <w:rPr>
          <w:rFonts w:hint="eastAsia" w:ascii="宋体" w:hAnsi="宋体" w:cs="宋体"/>
          <w:sz w:val="24"/>
          <w:highlight w:val="none"/>
          <w:u w:val="single"/>
          <w:lang w:val="en-US" w:eastAsia="zh-CN"/>
        </w:rPr>
        <w:t>广州市净水有限公司石井分公司</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pPr>
        <w:keepNext w:val="0"/>
        <w:keepLines w:val="0"/>
        <w:pageBreakBefore w:val="0"/>
        <w:widowControl w:val="0"/>
        <w:kinsoku/>
        <w:wordWrap/>
        <w:overflowPunct/>
        <w:topLinePunct w:val="0"/>
        <w:bidi w:val="0"/>
        <w:spacing w:line="500" w:lineRule="exact"/>
        <w:ind w:left="479" w:leftChars="228" w:firstLine="0" w:firstLineChars="0"/>
        <w:textAlignment w:val="auto"/>
        <w:rPr>
          <w:rFonts w:ascii="宋体" w:hAnsi="宋体" w:cs="宋体"/>
          <w:color w:val="auto"/>
          <w:spacing w:val="8"/>
          <w:sz w:val="24"/>
          <w:highlight w:val="none"/>
        </w:rPr>
      </w:pPr>
      <w:r>
        <w:rPr>
          <w:rFonts w:hint="eastAsia" w:ascii="宋体" w:hAnsi="宋体" w:cs="宋体"/>
          <w:color w:val="auto"/>
          <w:sz w:val="24"/>
          <w:highlight w:val="none"/>
        </w:rPr>
        <w:t>2.3项目内容：</w:t>
      </w:r>
      <w:r>
        <w:rPr>
          <w:rFonts w:hint="eastAsia" w:ascii="宋体" w:hAnsi="宋体" w:cs="宋体"/>
          <w:sz w:val="24"/>
          <w:u w:val="single"/>
          <w:lang w:val="en-US" w:eastAsia="zh-CN"/>
        </w:rPr>
        <w:t>完成甲方项目对应工作内容。</w:t>
      </w:r>
    </w:p>
    <w:p>
      <w:pPr>
        <w:keepNext w:val="0"/>
        <w:keepLines w:val="0"/>
        <w:pageBreakBefore w:val="0"/>
        <w:widowControl w:val="0"/>
        <w:kinsoku/>
        <w:wordWrap/>
        <w:overflowPunct/>
        <w:topLinePunct w:val="0"/>
        <w:bidi w:val="0"/>
        <w:spacing w:line="500" w:lineRule="exact"/>
        <w:ind w:firstLine="480" w:firstLineChars="200"/>
        <w:textAlignment w:val="auto"/>
        <w:rPr>
          <w:rFonts w:hint="eastAsia" w:ascii="宋体" w:hAnsi="宋体" w:cs="宋体"/>
          <w:sz w:val="24"/>
        </w:rPr>
      </w:pPr>
      <w:r>
        <w:rPr>
          <w:rFonts w:hint="eastAsia" w:ascii="宋体" w:hAnsi="宋体" w:cs="宋体"/>
          <w:sz w:val="24"/>
        </w:rPr>
        <w:t>2.4项目承包范围：包括提供所有需要的材料、机械、人工、设施、完成合同约定的工作和服务。按照甲方审核同意的方案、图纸所包括的实施范围和内容进行施工并在质量保修期内承担项目质量保修责任。</w:t>
      </w:r>
    </w:p>
    <w:p>
      <w:pPr>
        <w:keepNext w:val="0"/>
        <w:keepLines w:val="0"/>
        <w:pageBreakBefore w:val="0"/>
        <w:widowControl w:val="0"/>
        <w:kinsoku/>
        <w:wordWrap/>
        <w:overflowPunct/>
        <w:topLinePunct w:val="0"/>
        <w:bidi w:val="0"/>
        <w:spacing w:line="500" w:lineRule="exact"/>
        <w:ind w:firstLine="482" w:firstLineChars="200"/>
        <w:textAlignment w:val="auto"/>
        <w:rPr>
          <w:rFonts w:ascii="宋体" w:hAnsi="宋体" w:cs="宋体"/>
          <w:b/>
          <w:bCs/>
          <w:sz w:val="24"/>
          <w:highlight w:val="none"/>
        </w:rPr>
      </w:pPr>
      <w:r>
        <w:rPr>
          <w:rFonts w:hint="eastAsia" w:ascii="宋体" w:hAnsi="宋体" w:cs="宋体"/>
          <w:b/>
          <w:bCs/>
          <w:sz w:val="24"/>
          <w:highlight w:val="none"/>
        </w:rPr>
        <w:t>第三条 项目承包方式</w:t>
      </w:r>
    </w:p>
    <w:p>
      <w:pPr>
        <w:keepNext w:val="0"/>
        <w:keepLines w:val="0"/>
        <w:pageBreakBefore w:val="0"/>
        <w:widowControl w:val="0"/>
        <w:kinsoku/>
        <w:wordWrap/>
        <w:overflowPunct/>
        <w:topLinePunct w:val="0"/>
        <w:bidi w:val="0"/>
        <w:spacing w:line="500" w:lineRule="exact"/>
        <w:ind w:firstLine="420" w:firstLineChars="200"/>
        <w:textAlignment w:val="auto"/>
        <w:rPr>
          <w:rFonts w:ascii="宋体" w:hAnsi="宋体" w:cs="宋体"/>
          <w:sz w:val="24"/>
          <w:highlight w:val="none"/>
        </w:rPr>
      </w:pPr>
      <w:r>
        <w:rPr>
          <w:rFonts w:hint="eastAsia" w:ascii="宋体" w:hAnsi="宋体" w:cs="宋体"/>
          <w:szCs w:val="21"/>
          <w:highlight w:val="none"/>
        </w:rPr>
        <w:sym w:font="Wingdings 2" w:char="0052"/>
      </w:r>
      <w:r>
        <w:rPr>
          <w:rFonts w:hint="eastAsia" w:ascii="宋体" w:hAnsi="宋体" w:cs="宋体"/>
          <w:sz w:val="24"/>
          <w:highlight w:val="none"/>
        </w:rPr>
        <w:t>包工、包料、包工期、包质量、包安全、包文明施工。综合单价包干、项目措施费包干。（单价包干要求附工程量报价</w:t>
      </w:r>
      <w:r>
        <w:rPr>
          <w:rFonts w:ascii="宋体" w:hAnsi="宋体" w:cs="宋体"/>
          <w:sz w:val="24"/>
          <w:highlight w:val="none"/>
        </w:rPr>
        <w:t>/</w:t>
      </w:r>
      <w:r>
        <w:rPr>
          <w:rFonts w:hint="eastAsia" w:ascii="宋体" w:hAnsi="宋体" w:cs="宋体"/>
          <w:sz w:val="24"/>
          <w:highlight w:val="none"/>
        </w:rPr>
        <w:t>工程预算书）</w:t>
      </w:r>
    </w:p>
    <w:p>
      <w:pPr>
        <w:keepNext w:val="0"/>
        <w:keepLines w:val="0"/>
        <w:pageBreakBefore w:val="0"/>
        <w:widowControl w:val="0"/>
        <w:kinsoku/>
        <w:wordWrap/>
        <w:overflowPunct/>
        <w:topLinePunct w:val="0"/>
        <w:bidi w:val="0"/>
        <w:spacing w:line="500" w:lineRule="exact"/>
        <w:ind w:firstLine="420" w:firstLineChars="200"/>
        <w:textAlignment w:val="auto"/>
        <w:rPr>
          <w:rFonts w:ascii="宋体" w:hAnsi="宋体" w:cs="宋体"/>
          <w:sz w:val="24"/>
          <w:highlight w:val="none"/>
        </w:rPr>
      </w:pPr>
      <w:r>
        <w:rPr>
          <w:rFonts w:hint="eastAsia" w:ascii="宋体" w:hAnsi="宋体" w:cs="宋体"/>
          <w:szCs w:val="21"/>
          <w:highlight w:val="none"/>
        </w:rPr>
        <w:t>□</w:t>
      </w:r>
      <w:r>
        <w:rPr>
          <w:rFonts w:hint="eastAsia" w:ascii="宋体" w:hAnsi="宋体" w:cs="宋体"/>
          <w:sz w:val="24"/>
          <w:highlight w:val="none"/>
        </w:rPr>
        <w:t>包工、包料、包质量、包工期、包安全、包文明施工、包设计、包调试、包验收的施工图纸，以总价包干形式。</w:t>
      </w:r>
    </w:p>
    <w:p>
      <w:pPr>
        <w:keepNext w:val="0"/>
        <w:keepLines w:val="0"/>
        <w:pageBreakBefore w:val="0"/>
        <w:widowControl w:val="0"/>
        <w:kinsoku/>
        <w:wordWrap/>
        <w:overflowPunct/>
        <w:topLinePunct w:val="0"/>
        <w:bidi w:val="0"/>
        <w:spacing w:line="500" w:lineRule="exact"/>
        <w:ind w:firstLine="482" w:firstLineChars="200"/>
        <w:textAlignment w:val="auto"/>
        <w:rPr>
          <w:rFonts w:ascii="宋体" w:hAnsi="宋体" w:cs="宋体"/>
          <w:b/>
          <w:bCs/>
          <w:sz w:val="24"/>
          <w:highlight w:val="none"/>
        </w:rPr>
      </w:pPr>
      <w:r>
        <w:rPr>
          <w:rFonts w:hint="eastAsia" w:ascii="宋体" w:hAnsi="宋体" w:cs="宋体"/>
          <w:b/>
          <w:bCs/>
          <w:sz w:val="24"/>
          <w:highlight w:val="none"/>
        </w:rPr>
        <w:t>第四条合同价款</w:t>
      </w:r>
    </w:p>
    <w:p>
      <w:pPr>
        <w:keepNext w:val="0"/>
        <w:keepLines w:val="0"/>
        <w:pageBreakBefore w:val="0"/>
        <w:widowControl w:val="0"/>
        <w:kinsoku/>
        <w:wordWrap/>
        <w:overflowPunct/>
        <w:topLinePunct w:val="0"/>
        <w:bidi w:val="0"/>
        <w:spacing w:line="500" w:lineRule="exact"/>
        <w:ind w:firstLine="480" w:firstLineChars="200"/>
        <w:textAlignment w:val="auto"/>
        <w:rPr>
          <w:rFonts w:ascii="宋体" w:hAnsi="宋体" w:cs="宋体"/>
          <w:bCs/>
          <w:sz w:val="24"/>
          <w:highlight w:val="none"/>
          <w:bdr w:val="single" w:color="auto" w:sz="4" w:space="0"/>
        </w:rPr>
      </w:pPr>
      <w:r>
        <w:rPr>
          <w:rFonts w:ascii="宋体" w:hAnsi="宋体" w:cs="宋体"/>
          <w:sz w:val="24"/>
          <w:highlight w:val="none"/>
        </w:rPr>
        <w:t>4.1</w:t>
      </w:r>
      <w:r>
        <w:rPr>
          <w:rFonts w:hint="eastAsia" w:ascii="宋体" w:hAnsi="宋体" w:cs="宋体"/>
          <w:sz w:val="24"/>
          <w:highlight w:val="none"/>
        </w:rPr>
        <w:t>合同价款按以下</w:t>
      </w:r>
      <w:r>
        <w:rPr>
          <w:rFonts w:hint="eastAsia" w:ascii="宋体" w:hAnsi="宋体" w:cs="宋体"/>
          <w:sz w:val="24"/>
          <w:highlight w:val="none"/>
          <w:lang w:val="en-US" w:eastAsia="zh-CN"/>
        </w:rPr>
        <w:t>（1）</w:t>
      </w:r>
      <w:r>
        <w:rPr>
          <w:rFonts w:hint="eastAsia" w:ascii="宋体" w:hAnsi="宋体" w:cs="宋体"/>
          <w:sz w:val="24"/>
          <w:highlight w:val="none"/>
        </w:rPr>
        <w:t>执行。</w:t>
      </w:r>
    </w:p>
    <w:p>
      <w:pPr>
        <w:keepNext w:val="0"/>
        <w:keepLines w:val="0"/>
        <w:pageBreakBefore w:val="0"/>
        <w:widowControl w:val="0"/>
        <w:kinsoku/>
        <w:wordWrap/>
        <w:overflowPunct/>
        <w:topLinePunct w:val="0"/>
        <w:bidi w:val="0"/>
        <w:spacing w:line="500" w:lineRule="exact"/>
        <w:ind w:firstLine="480" w:firstLineChars="200"/>
        <w:textAlignment w:val="auto"/>
        <w:rPr>
          <w:rFonts w:ascii="宋体" w:hAnsi="宋体" w:cs="宋体"/>
          <w:sz w:val="24"/>
          <w:highlight w:val="none"/>
        </w:rPr>
      </w:pPr>
      <w:r>
        <w:rPr>
          <w:rFonts w:hint="eastAsia" w:ascii="宋体" w:hAnsi="宋体" w:cs="宋体"/>
          <w:bCs/>
          <w:sz w:val="24"/>
          <w:highlight w:val="none"/>
        </w:rPr>
        <w:t>（</w:t>
      </w:r>
      <w:r>
        <w:rPr>
          <w:rFonts w:ascii="宋体" w:hAnsi="宋体" w:cs="宋体"/>
          <w:bCs/>
          <w:sz w:val="24"/>
          <w:highlight w:val="none"/>
        </w:rPr>
        <w:t>1</w:t>
      </w:r>
      <w:r>
        <w:rPr>
          <w:rFonts w:hint="eastAsia" w:ascii="宋体" w:hAnsi="宋体" w:cs="宋体"/>
          <w:bCs/>
          <w:sz w:val="24"/>
          <w:highlight w:val="none"/>
        </w:rPr>
        <w:t>）</w:t>
      </w:r>
      <w:r>
        <w:rPr>
          <w:rFonts w:hint="eastAsia" w:ascii="宋体" w:hAnsi="宋体" w:cs="宋体"/>
          <w:sz w:val="24"/>
          <w:highlight w:val="none"/>
        </w:rPr>
        <w:t>合同暂定总价为：</w:t>
      </w:r>
      <w:r>
        <w:rPr>
          <w:rFonts w:hint="eastAsia" w:ascii="宋体" w:hAnsi="宋体" w:cs="宋体"/>
          <w:b/>
          <w:sz w:val="24"/>
          <w:highlight w:val="none"/>
          <w:u w:val="single"/>
        </w:rPr>
        <w:t>人民币</w:t>
      </w:r>
      <w:r>
        <w:rPr>
          <w:rFonts w:hint="eastAsia" w:ascii="宋体" w:hAnsi="宋体" w:cs="宋体"/>
          <w:b/>
          <w:sz w:val="24"/>
          <w:highlight w:val="none"/>
          <w:u w:val="single"/>
          <w:lang w:eastAsia="zh-CN"/>
        </w:rPr>
        <w:t>…</w:t>
      </w:r>
      <w:r>
        <w:rPr>
          <w:rFonts w:hint="eastAsia" w:ascii="宋体" w:hAnsi="宋体" w:cs="宋体"/>
          <w:b/>
          <w:sz w:val="24"/>
          <w:highlight w:val="none"/>
          <w:u w:val="single"/>
        </w:rPr>
        <w:t>元</w:t>
      </w:r>
      <w:r>
        <w:rPr>
          <w:rFonts w:hint="eastAsia" w:ascii="宋体" w:hAnsi="宋体" w:cs="宋体"/>
          <w:sz w:val="24"/>
          <w:highlight w:val="none"/>
        </w:rPr>
        <w:t>（大写</w:t>
      </w:r>
      <w:r>
        <w:rPr>
          <w:rFonts w:ascii="宋体" w:hAnsi="宋体" w:cs="宋体"/>
          <w:sz w:val="24"/>
          <w:highlight w:val="none"/>
        </w:rPr>
        <w:t>:</w:t>
      </w:r>
      <w:r>
        <w:rPr>
          <w:rFonts w:hint="eastAsia" w:ascii="宋体" w:hAnsi="宋体" w:cs="宋体"/>
          <w:sz w:val="24"/>
          <w:highlight w:val="none"/>
        </w:rPr>
        <w:t>）。经甲方或甲方委托有资质第三方机构审核后，审核价作为合同结算价。若合同结算价超合同暂定总价，双方另行签订补充协议。</w:t>
      </w:r>
    </w:p>
    <w:p>
      <w:pPr>
        <w:keepNext w:val="0"/>
        <w:keepLines w:val="0"/>
        <w:pageBreakBefore w:val="0"/>
        <w:widowControl w:val="0"/>
        <w:kinsoku/>
        <w:wordWrap/>
        <w:overflowPunct/>
        <w:topLinePunct w:val="0"/>
        <w:bidi w:val="0"/>
        <w:spacing w:line="500" w:lineRule="exact"/>
        <w:ind w:firstLine="480" w:firstLineChars="200"/>
        <w:textAlignment w:val="auto"/>
        <w:rPr>
          <w:rFonts w:ascii="宋体" w:hAnsi="宋体" w:cs="宋体"/>
          <w:sz w:val="24"/>
          <w:highlight w:val="none"/>
        </w:rPr>
      </w:pPr>
      <w:r>
        <w:rPr>
          <w:rFonts w:hint="eastAsia" w:ascii="宋体" w:hAnsi="宋体" w:cs="宋体"/>
          <w:sz w:val="24"/>
          <w:highlight w:val="none"/>
        </w:rPr>
        <w:t>综合单价为：</w:t>
      </w:r>
      <w:r>
        <w:rPr>
          <w:rFonts w:hint="eastAsia" w:ascii="宋体" w:hAnsi="宋体" w:cs="宋体"/>
          <w:sz w:val="24"/>
          <w:highlight w:val="none"/>
          <w:u w:val="single"/>
        </w:rPr>
        <w:t>人民币</w:t>
      </w:r>
      <w:r>
        <w:rPr>
          <w:rFonts w:hint="eastAsia" w:ascii="宋体" w:hAnsi="宋体" w:cs="宋体"/>
          <w:sz w:val="24"/>
          <w:highlight w:val="none"/>
          <w:u w:val="single"/>
          <w:lang w:eastAsia="zh-CN"/>
        </w:rPr>
        <w:t>…</w:t>
      </w:r>
      <w:r>
        <w:rPr>
          <w:rFonts w:hint="eastAsia" w:ascii="宋体" w:hAnsi="宋体" w:cs="宋体"/>
          <w:sz w:val="24"/>
          <w:highlight w:val="none"/>
          <w:u w:val="single"/>
        </w:rPr>
        <w:t>元</w:t>
      </w:r>
      <w:r>
        <w:rPr>
          <w:rFonts w:ascii="宋体" w:hAnsi="宋体" w:cs="宋体"/>
          <w:sz w:val="24"/>
          <w:highlight w:val="none"/>
          <w:u w:val="single"/>
        </w:rPr>
        <w:t>/m</w:t>
      </w:r>
      <w:r>
        <w:rPr>
          <w:rFonts w:ascii="宋体" w:hAnsi="宋体" w:cs="宋体"/>
          <w:sz w:val="24"/>
          <w:highlight w:val="none"/>
          <w:u w:val="single"/>
          <w:vertAlign w:val="superscript"/>
        </w:rPr>
        <w:t>3</w:t>
      </w:r>
      <w:r>
        <w:rPr>
          <w:rFonts w:ascii="宋体" w:hAnsi="宋体" w:cs="宋体"/>
          <w:sz w:val="24"/>
          <w:highlight w:val="none"/>
          <w:u w:val="single"/>
        </w:rPr>
        <w:t>(</w:t>
      </w:r>
      <w:r>
        <w:rPr>
          <w:rFonts w:hint="eastAsia" w:ascii="宋体" w:hAnsi="宋体" w:cs="宋体"/>
          <w:sz w:val="24"/>
          <w:highlight w:val="none"/>
          <w:u w:val="single"/>
        </w:rPr>
        <w:t>大写：</w:t>
      </w:r>
      <w:r>
        <w:rPr>
          <w:rFonts w:hint="eastAsia" w:ascii="宋体" w:hAnsi="宋体" w:cs="宋体"/>
          <w:sz w:val="24"/>
          <w:highlight w:val="none"/>
          <w:u w:val="single"/>
          <w:lang w:eastAsia="zh-CN"/>
        </w:rPr>
        <w:t>…</w:t>
      </w:r>
      <w:r>
        <w:rPr>
          <w:rFonts w:ascii="宋体" w:hAnsi="宋体" w:cs="宋体"/>
          <w:sz w:val="24"/>
          <w:highlight w:val="none"/>
          <w:u w:val="single"/>
        </w:rPr>
        <w:t>)</w:t>
      </w:r>
      <w:r>
        <w:rPr>
          <w:rFonts w:hint="eastAsia" w:ascii="宋体" w:hAnsi="宋体" w:cs="宋体"/>
          <w:sz w:val="24"/>
          <w:highlight w:val="none"/>
        </w:rPr>
        <w:t>。</w:t>
      </w:r>
    </w:p>
    <w:p>
      <w:pPr>
        <w:keepNext w:val="0"/>
        <w:keepLines w:val="0"/>
        <w:pageBreakBefore w:val="0"/>
        <w:widowControl w:val="0"/>
        <w:kinsoku/>
        <w:wordWrap/>
        <w:overflowPunct/>
        <w:topLinePunct w:val="0"/>
        <w:bidi w:val="0"/>
        <w:spacing w:line="50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highlight w:val="none"/>
        </w:rPr>
        <w:t>合同单价在合同有效期内为不变价。乙方已经充分考虑本合同履行期间的市场风险和国家政策性调整风险系数并已计入报价，因此合同单价在合同有效期内不因任何因素而作调整。</w:t>
      </w:r>
    </w:p>
    <w:p>
      <w:pPr>
        <w:keepNext w:val="0"/>
        <w:keepLines w:val="0"/>
        <w:pageBreakBefore w:val="0"/>
        <w:widowControl w:val="0"/>
        <w:kinsoku/>
        <w:wordWrap/>
        <w:overflowPunct/>
        <w:topLinePunct w:val="0"/>
        <w:autoSpaceDE w:val="0"/>
        <w:autoSpaceDN w:val="0"/>
        <w:bidi w:val="0"/>
        <w:adjustRightInd w:val="0"/>
        <w:spacing w:line="500" w:lineRule="exact"/>
        <w:ind w:firstLine="480" w:firstLineChars="200"/>
        <w:textAlignment w:val="auto"/>
        <w:rPr>
          <w:rFonts w:ascii="宋体" w:hAnsi="宋体" w:cs="宋体"/>
          <w:sz w:val="24"/>
          <w:highlight w:val="none"/>
        </w:rPr>
      </w:pPr>
    </w:p>
    <w:p>
      <w:pPr>
        <w:keepNext w:val="0"/>
        <w:keepLines w:val="0"/>
        <w:pageBreakBefore w:val="0"/>
        <w:widowControl w:val="0"/>
        <w:kinsoku/>
        <w:wordWrap/>
        <w:overflowPunct/>
        <w:topLinePunct w:val="0"/>
        <w:bidi w:val="0"/>
        <w:spacing w:line="500" w:lineRule="exact"/>
        <w:ind w:firstLine="480" w:firstLineChars="200"/>
        <w:textAlignment w:val="auto"/>
        <w:rPr>
          <w:rFonts w:ascii="宋体" w:hAnsi="宋体" w:cs="宋体"/>
          <w:sz w:val="24"/>
          <w:highlight w:val="none"/>
        </w:rPr>
      </w:pPr>
      <w:r>
        <w:rPr>
          <w:rFonts w:hint="eastAsia" w:ascii="宋体" w:hAnsi="宋体" w:cs="宋体"/>
          <w:bCs/>
          <w:sz w:val="24"/>
          <w:highlight w:val="none"/>
        </w:rPr>
        <w:t>（</w:t>
      </w:r>
      <w:r>
        <w:rPr>
          <w:rFonts w:ascii="宋体" w:hAnsi="宋体" w:cs="宋体"/>
          <w:bCs/>
          <w:sz w:val="24"/>
          <w:highlight w:val="none"/>
        </w:rPr>
        <w:t>2</w:t>
      </w:r>
      <w:r>
        <w:rPr>
          <w:rFonts w:hint="eastAsia" w:ascii="宋体" w:hAnsi="宋体" w:cs="宋体"/>
          <w:bCs/>
          <w:sz w:val="24"/>
          <w:highlight w:val="none"/>
        </w:rPr>
        <w:t>）</w:t>
      </w:r>
      <w:r>
        <w:rPr>
          <w:rFonts w:hint="eastAsia" w:ascii="宋体" w:hAnsi="宋体" w:cs="宋体"/>
          <w:sz w:val="24"/>
          <w:highlight w:val="none"/>
        </w:rPr>
        <w:t>合同以总价包干形式，合同暂定总价为：</w:t>
      </w:r>
      <w:r>
        <w:rPr>
          <w:rFonts w:hint="eastAsia" w:ascii="宋体" w:hAnsi="宋体" w:cs="宋体"/>
          <w:b/>
          <w:sz w:val="24"/>
          <w:highlight w:val="none"/>
          <w:u w:val="single"/>
        </w:rPr>
        <w:t>人民币</w:t>
      </w:r>
      <w:r>
        <w:rPr>
          <w:rFonts w:hint="eastAsia" w:ascii="宋体" w:hAnsi="宋体" w:cs="宋体"/>
          <w:b/>
          <w:sz w:val="24"/>
          <w:highlight w:val="none"/>
          <w:u w:val="single"/>
          <w:lang w:eastAsia="zh-CN"/>
        </w:rPr>
        <w:t>…</w:t>
      </w:r>
      <w:r>
        <w:rPr>
          <w:rFonts w:hint="eastAsia" w:ascii="宋体" w:hAnsi="宋体" w:cs="宋体"/>
          <w:b/>
          <w:sz w:val="24"/>
          <w:highlight w:val="none"/>
          <w:u w:val="single"/>
        </w:rPr>
        <w:t>元</w:t>
      </w:r>
      <w:r>
        <w:rPr>
          <w:rFonts w:hint="eastAsia" w:ascii="宋体" w:hAnsi="宋体" w:cs="宋体"/>
          <w:sz w:val="24"/>
          <w:highlight w:val="none"/>
        </w:rPr>
        <w:t>（大写</w:t>
      </w:r>
      <w:r>
        <w:rPr>
          <w:rFonts w:ascii="宋体" w:hAnsi="宋体" w:cs="宋体"/>
          <w:sz w:val="24"/>
          <w:highlight w:val="none"/>
        </w:rPr>
        <w:t>:</w:t>
      </w:r>
      <w:r>
        <w:rPr>
          <w:rFonts w:hint="eastAsia" w:ascii="宋体" w:hAnsi="宋体" w:cs="宋体"/>
          <w:sz w:val="24"/>
          <w:highlight w:val="none"/>
          <w:lang w:eastAsia="zh-CN"/>
        </w:rPr>
        <w:t>…</w:t>
      </w:r>
      <w:r>
        <w:rPr>
          <w:rFonts w:hint="eastAsia" w:ascii="宋体" w:hAnsi="宋体" w:cs="宋体"/>
          <w:sz w:val="24"/>
          <w:highlight w:val="none"/>
        </w:rPr>
        <w:t>）。经甲方或甲方委托有资质第三方机构审核后，若结算审核价比合同暂定总价低，则以结算审核价作为合同结算价，否则以合同暂定总价为合同结算价。</w:t>
      </w:r>
    </w:p>
    <w:p>
      <w:pPr>
        <w:keepNext w:val="0"/>
        <w:keepLines w:val="0"/>
        <w:pageBreakBefore w:val="0"/>
        <w:widowControl w:val="0"/>
        <w:tabs>
          <w:tab w:val="left" w:pos="851"/>
        </w:tabs>
        <w:kinsoku/>
        <w:wordWrap/>
        <w:overflowPunct/>
        <w:topLinePunct w:val="0"/>
        <w:bidi w:val="0"/>
        <w:adjustRightInd w:val="0"/>
        <w:snapToGrid w:val="0"/>
        <w:spacing w:line="500" w:lineRule="exact"/>
        <w:ind w:firstLine="480" w:firstLineChars="200"/>
        <w:textAlignment w:val="auto"/>
        <w:rPr>
          <w:rFonts w:hint="eastAsia" w:ascii="宋体" w:hAnsi="宋体" w:cs="宋体"/>
          <w:sz w:val="24"/>
          <w:highlight w:val="none"/>
        </w:rPr>
      </w:pPr>
      <w:r>
        <w:rPr>
          <w:rFonts w:ascii="宋体" w:hAnsi="宋体" w:cs="宋体"/>
          <w:kern w:val="0"/>
          <w:sz w:val="24"/>
          <w:highlight w:val="none"/>
          <w:lang w:val="zh-CN"/>
        </w:rPr>
        <w:t>4.2</w:t>
      </w:r>
      <w:r>
        <w:rPr>
          <w:rFonts w:hint="eastAsia" w:ascii="宋体" w:hAnsi="宋体" w:cs="宋体"/>
          <w:kern w:val="0"/>
          <w:sz w:val="24"/>
          <w:highlight w:val="none"/>
        </w:rPr>
        <w:t>本合同约定的价格为含税价价格</w:t>
      </w:r>
      <w:r>
        <w:rPr>
          <w:rFonts w:hint="eastAsia" w:ascii="宋体" w:hAnsi="宋体" w:cs="宋体"/>
          <w:sz w:val="24"/>
          <w:highlight w:val="none"/>
        </w:rPr>
        <w:t>（税率</w:t>
      </w:r>
      <w:r>
        <w:rPr>
          <w:rFonts w:ascii="宋体" w:hAnsi="宋体" w:cs="宋体"/>
          <w:sz w:val="24"/>
          <w:highlight w:val="none"/>
          <w:u w:val="single"/>
        </w:rPr>
        <w:t xml:space="preserve">  </w:t>
      </w:r>
      <w:r>
        <w:rPr>
          <w:rFonts w:hint="eastAsia" w:ascii="宋体" w:hAnsi="宋体" w:cs="宋体"/>
          <w:sz w:val="24"/>
          <w:highlight w:val="none"/>
          <w:u w:val="single"/>
          <w:lang w:eastAsia="zh-CN"/>
        </w:rPr>
        <w:t>…</w:t>
      </w:r>
      <w:r>
        <w:rPr>
          <w:rFonts w:ascii="宋体" w:hAnsi="宋体" w:cs="宋体"/>
          <w:sz w:val="24"/>
          <w:highlight w:val="none"/>
          <w:u w:val="single"/>
        </w:rPr>
        <w:t xml:space="preserve">  %</w:t>
      </w:r>
      <w:r>
        <w:rPr>
          <w:rFonts w:hint="eastAsia" w:ascii="宋体" w:hAnsi="宋体" w:cs="宋体"/>
          <w:sz w:val="24"/>
          <w:highlight w:val="none"/>
        </w:rPr>
        <w:t>），合同履行期间国家税率调整或乙方开票的实际税率与前述税率不一致的，不含税价不变，价税合计按实际税率相应调整，以开具发票时间为准。</w:t>
      </w:r>
    </w:p>
    <w:p>
      <w:pPr>
        <w:keepNext w:val="0"/>
        <w:keepLines w:val="0"/>
        <w:pageBreakBefore w:val="0"/>
        <w:widowControl w:val="0"/>
        <w:tabs>
          <w:tab w:val="left" w:pos="0"/>
        </w:tabs>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bCs/>
          <w:sz w:val="28"/>
          <w:szCs w:val="28"/>
          <w:highlight w:val="none"/>
          <w:lang w:val="en-US" w:eastAsia="zh-CN"/>
        </w:rPr>
      </w:pPr>
      <w:r>
        <w:rPr>
          <w:rFonts w:hint="eastAsia" w:ascii="宋体" w:hAnsi="宋体" w:cs="宋体"/>
          <w:bCs/>
          <w:sz w:val="24"/>
          <w:szCs w:val="24"/>
          <w:highlight w:val="none"/>
          <w:lang w:val="en-US" w:eastAsia="zh-CN"/>
        </w:rPr>
        <w:t>4.3</w:t>
      </w:r>
      <w:r>
        <w:rPr>
          <w:rFonts w:hint="eastAsia" w:ascii="宋体" w:hAnsi="宋体" w:eastAsia="宋体" w:cs="宋体"/>
          <w:sz w:val="24"/>
          <w:highlight w:val="none"/>
          <w:lang w:val="en-US" w:eastAsia="zh-CN"/>
        </w:rPr>
        <w:t>因非乙方原因引起工程量报价清单中工程量发生增减，且单个子目工程量变化幅度在25%以内（含）时，按工程量报价清单中列明的子目单价结算。否则，按新增单价执行。</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4.4</w:t>
      </w:r>
      <w:r>
        <w:rPr>
          <w:rFonts w:hint="eastAsia" w:ascii="宋体" w:hAnsi="宋体" w:eastAsia="宋体" w:cs="宋体"/>
          <w:sz w:val="24"/>
          <w:szCs w:val="24"/>
          <w:highlight w:val="none"/>
        </w:rPr>
        <w:t>合同中没有适用于变更工程项目的单价的，</w:t>
      </w:r>
      <w:r>
        <w:rPr>
          <w:rFonts w:hint="eastAsia" w:ascii="宋体" w:hAnsi="宋体" w:eastAsia="宋体" w:cs="宋体"/>
          <w:sz w:val="24"/>
          <w:szCs w:val="24"/>
          <w:highlight w:val="none"/>
          <w:lang w:val="en-US" w:eastAsia="zh-CN"/>
        </w:rPr>
        <w:t>按新增单价执行。</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新增单价计价原则：</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执行《建设工程工程量清单计价规范》（GB50500-2013）及相应的各清单专业的国标工程量计算规范，套用《广东省建设工程计价依据（2018）》、《广东省房屋建筑和市政修缮工程综合定额（2012）》或其他由建设、造价主管部门发布的工程承包合同签订时广州地区适用的定额进行组价。</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项目计价材料、设备价格的控制</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按以下顺序作为降序优先级依次采用工程开工报告中开工日期当月的下列价格</w:t>
      </w:r>
      <w:r>
        <w:rPr>
          <w:rFonts w:hint="eastAsia" w:ascii="宋体" w:hAnsi="宋体" w:eastAsia="宋体" w:cs="宋体"/>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240" w:firstLineChars="1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（1）《广州地区建设工程常用材料税前综合价格》（下称综合价格）。</w:t>
      </w:r>
    </w:p>
    <w:p>
      <w:pPr>
        <w:keepNext w:val="0"/>
        <w:keepLines w:val="0"/>
        <w:pageBreakBefore w:val="0"/>
        <w:widowControl w:val="0"/>
        <w:kinsoku/>
        <w:wordWrap/>
        <w:overflowPunct/>
        <w:topLinePunct w:val="0"/>
        <w:autoSpaceDE/>
        <w:autoSpaceDN/>
        <w:bidi w:val="0"/>
        <w:adjustRightInd/>
        <w:snapToGrid/>
        <w:spacing w:line="500" w:lineRule="exact"/>
        <w:ind w:firstLine="240" w:firstLineChars="1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（2）《广州地区建设工程材料（设备）厂商价格信息》（下称厂商价格）下浮10-20%。</w:t>
      </w:r>
    </w:p>
    <w:p>
      <w:pPr>
        <w:keepNext w:val="0"/>
        <w:keepLines w:val="0"/>
        <w:pageBreakBefore w:val="0"/>
        <w:widowControl w:val="0"/>
        <w:kinsoku/>
        <w:wordWrap/>
        <w:overflowPunct/>
        <w:topLinePunct w:val="0"/>
        <w:autoSpaceDE/>
        <w:autoSpaceDN/>
        <w:bidi w:val="0"/>
        <w:adjustRightInd/>
        <w:snapToGrid/>
        <w:spacing w:line="500" w:lineRule="exact"/>
        <w:ind w:firstLine="240" w:firstLineChars="1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（3）综合价格、厂商价格中缺项的，采用由北京瑞恒达建筑咨询有限公司提供服务的“慧讯网”中查到的相应材料、设备价格的工程价。</w:t>
      </w:r>
    </w:p>
    <w:p>
      <w:pPr>
        <w:pStyle w:val="47"/>
        <w:keepNext w:val="0"/>
        <w:keepLines w:val="0"/>
        <w:pageBreakBefore w:val="0"/>
        <w:widowControl w:val="0"/>
        <w:kinsoku/>
        <w:wordWrap/>
        <w:overflowPunct/>
        <w:topLinePunct w:val="0"/>
        <w:bidi w:val="0"/>
        <w:spacing w:line="500" w:lineRule="exact"/>
        <w:textAlignment w:val="auto"/>
        <w:rPr>
          <w:rFonts w:hint="default" w:eastAsia="宋体"/>
          <w:lang w:val="en-US" w:eastAsia="zh-CN"/>
        </w:rPr>
      </w:pPr>
      <w:r>
        <w:rPr>
          <w:rFonts w:hint="eastAsia" w:hAnsi="宋体" w:eastAsia="宋体" w:cs="宋体"/>
          <w:sz w:val="24"/>
          <w:szCs w:val="24"/>
          <w:highlight w:val="none"/>
          <w:lang w:val="en-US" w:eastAsia="zh-CN"/>
        </w:rPr>
        <w:t xml:space="preserve">  </w:t>
      </w:r>
      <w:r>
        <w:rPr>
          <w:rFonts w:ascii="宋体" w:hAnsi="宋体" w:eastAsia="宋体" w:cs="宋体"/>
          <w:sz w:val="24"/>
          <w:szCs w:val="24"/>
        </w:rPr>
        <w:t>（4）通过市场询价双方协商确定。</w:t>
      </w:r>
    </w:p>
    <w:p>
      <w:pPr>
        <w:keepNext w:val="0"/>
        <w:keepLines w:val="0"/>
        <w:pageBreakBefore w:val="0"/>
        <w:widowControl w:val="0"/>
        <w:kinsoku/>
        <w:wordWrap/>
        <w:overflowPunct/>
        <w:topLinePunct w:val="0"/>
        <w:bidi w:val="0"/>
        <w:spacing w:line="500" w:lineRule="exac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3.按1、2组价后下浮5%计取。</w:t>
      </w:r>
    </w:p>
    <w:p>
      <w:pPr>
        <w:widowControl/>
        <w:tabs>
          <w:tab w:val="left" w:pos="851"/>
        </w:tabs>
        <w:adjustRightInd w:val="0"/>
        <w:snapToGrid w:val="0"/>
        <w:spacing w:line="384" w:lineRule="auto"/>
        <w:ind w:firstLine="482" w:firstLineChars="200"/>
        <w:jc w:val="left"/>
        <w:rPr>
          <w:rFonts w:ascii="宋体" w:hAnsi="宋体" w:cs="宋体"/>
          <w:b/>
          <w:bCs/>
          <w:color w:val="auto"/>
          <w:sz w:val="24"/>
          <w:highlight w:val="none"/>
        </w:rPr>
      </w:pPr>
      <w:r>
        <w:rPr>
          <w:rFonts w:hint="eastAsia" w:ascii="宋体" w:hAnsi="宋体" w:cs="宋体"/>
          <w:b/>
          <w:bCs/>
          <w:color w:val="auto"/>
          <w:sz w:val="24"/>
          <w:highlight w:val="none"/>
        </w:rPr>
        <w:t>第五条工期及要求</w:t>
      </w:r>
    </w:p>
    <w:p>
      <w:pPr>
        <w:widowControl/>
        <w:spacing w:line="384" w:lineRule="auto"/>
        <w:ind w:firstLine="480" w:firstLineChars="20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5.1开工日期暂定为：</w:t>
      </w:r>
      <w:r>
        <w:rPr>
          <w:rFonts w:hint="eastAsia" w:ascii="宋体" w:hAnsi="宋体" w:cs="宋体"/>
          <w:color w:val="auto"/>
          <w:sz w:val="24"/>
          <w:highlight w:val="none"/>
        </w:rPr>
        <w:t>：</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none"/>
        </w:rPr>
        <w:t>年</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none"/>
        </w:rPr>
        <w:t>月</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none"/>
        </w:rPr>
        <w:t>日</w:t>
      </w:r>
      <w:r>
        <w:rPr>
          <w:rFonts w:hint="eastAsia" w:ascii="宋体" w:hAnsi="宋体" w:eastAsia="宋体" w:cs="宋体"/>
          <w:bCs/>
          <w:color w:val="auto"/>
          <w:sz w:val="24"/>
          <w:highlight w:val="none"/>
        </w:rPr>
        <w:t>，具体日期以甲方发出的开工报告/通知为准。乙方不能按时开工，应当于开工报告/通知载明的开工日期7天前，以书面形式向甲方提出延期开工的理由。甲方应当在接到延期开工申请后的48小时内以书面形式答复乙方。甲方在接到延期开工申请后48小时内不答复，视为同意乙方要求，工期相应顺延。甲方不同意延期要求或乙方未在规定时间内提出延期开工，工期不予顺延。合同工期总日历天数</w:t>
      </w:r>
      <w:r>
        <w:rPr>
          <w:rFonts w:hint="eastAsia" w:ascii="宋体" w:hAnsi="宋体" w:eastAsia="宋体" w:cs="宋体"/>
          <w:bCs/>
          <w:color w:val="auto"/>
          <w:sz w:val="24"/>
          <w:highlight w:val="none"/>
          <w:u w:val="single"/>
          <w:lang w:val="en-US" w:eastAsia="zh-CN"/>
        </w:rPr>
        <w:t>68</w:t>
      </w:r>
      <w:r>
        <w:rPr>
          <w:rFonts w:hint="eastAsia" w:ascii="宋体" w:hAnsi="宋体" w:eastAsia="宋体" w:cs="宋体"/>
          <w:bCs/>
          <w:color w:val="auto"/>
          <w:sz w:val="24"/>
          <w:highlight w:val="none"/>
        </w:rPr>
        <w:t>天。乙方未能按合同工期竣工验收的，每逾期一天，甲方有权要求乙方按合同暂定总价的 1%支付违约金，逾期达到</w:t>
      </w:r>
      <w:r>
        <w:rPr>
          <w:rFonts w:hint="eastAsia" w:ascii="宋体" w:hAnsi="宋体" w:eastAsia="宋体" w:cs="宋体"/>
          <w:bCs/>
          <w:color w:val="auto"/>
          <w:sz w:val="24"/>
          <w:highlight w:val="none"/>
          <w:u w:val="single"/>
        </w:rPr>
        <w:t>30</w:t>
      </w:r>
      <w:r>
        <w:rPr>
          <w:rFonts w:hint="eastAsia" w:ascii="宋体" w:hAnsi="宋体" w:eastAsia="宋体" w:cs="宋体"/>
          <w:bCs/>
          <w:color w:val="auto"/>
          <w:sz w:val="24"/>
          <w:highlight w:val="none"/>
        </w:rPr>
        <w:t>天及以上的，甲方有权解除合同并要求乙方支付合同暂定总价的20%作为违约金。</w:t>
      </w:r>
    </w:p>
    <w:p>
      <w:pPr>
        <w:widowControl/>
        <w:spacing w:line="384" w:lineRule="auto"/>
        <w:ind w:firstLine="480" w:firstLineChars="200"/>
        <w:jc w:val="left"/>
        <w:rPr>
          <w:rFonts w:ascii="宋体" w:hAnsi="宋体" w:cs="宋体"/>
          <w:bCs/>
          <w:color w:val="auto"/>
          <w:sz w:val="24"/>
          <w:highlight w:val="none"/>
        </w:rPr>
      </w:pPr>
      <w:r>
        <w:rPr>
          <w:rFonts w:ascii="宋体" w:hAnsi="宋体" w:cs="宋体"/>
          <w:bCs/>
          <w:color w:val="auto"/>
          <w:sz w:val="24"/>
          <w:highlight w:val="none"/>
        </w:rPr>
        <w:t>5.2</w:t>
      </w:r>
      <w:r>
        <w:rPr>
          <w:rFonts w:hint="eastAsia" w:ascii="宋体" w:hAnsi="宋体" w:cs="宋体"/>
          <w:bCs/>
          <w:color w:val="auto"/>
          <w:sz w:val="24"/>
          <w:highlight w:val="none"/>
        </w:rPr>
        <w:t>乙方在施工期间应严格遵守《中华人民共和国安全生产法》、《建设工程安全生产管理条例》等法律法规以及文明施工、深夜施工、环卫和城管等规定，建立规章制度和防护措施并向甲方报备。如甲方或相关职能部门在施工过程中发出</w:t>
      </w:r>
      <w:r>
        <w:rPr>
          <w:rFonts w:hint="eastAsia" w:ascii="宋体" w:hAnsi="宋体" w:cs="宋体"/>
          <w:bCs/>
          <w:color w:val="auto"/>
          <w:sz w:val="24"/>
          <w:highlight w:val="none"/>
          <w:lang w:val="en-US" w:eastAsia="zh-CN"/>
        </w:rPr>
        <w:t>停工</w:t>
      </w:r>
      <w:r>
        <w:rPr>
          <w:rFonts w:hint="eastAsia" w:ascii="宋体" w:hAnsi="宋体" w:cs="宋体"/>
          <w:bCs/>
          <w:color w:val="auto"/>
          <w:sz w:val="24"/>
          <w:highlight w:val="none"/>
        </w:rPr>
        <w:t>整改通知书，乙方应立即停工整改。如果逾期不整改或者整改不符合合同约定，甲方有权要求乙方支付</w:t>
      </w:r>
      <w:r>
        <w:rPr>
          <w:rFonts w:hint="eastAsia" w:ascii="宋体" w:hAnsi="宋体" w:cs="宋体"/>
          <w:bCs/>
          <w:color w:val="auto"/>
          <w:sz w:val="24"/>
          <w:highlight w:val="none"/>
          <w:u w:val="single"/>
        </w:rPr>
        <w:t>合同暂定总价的</w:t>
      </w:r>
      <w:r>
        <w:rPr>
          <w:rFonts w:ascii="宋体" w:hAnsi="宋体" w:cs="宋体"/>
          <w:bCs/>
          <w:color w:val="auto"/>
          <w:sz w:val="24"/>
          <w:highlight w:val="none"/>
          <w:u w:val="single"/>
        </w:rPr>
        <w:t>5</w:t>
      </w:r>
      <w:r>
        <w:rPr>
          <w:rFonts w:hint="eastAsia" w:ascii="宋体" w:hAnsi="宋体" w:cs="宋体"/>
          <w:bCs/>
          <w:color w:val="auto"/>
          <w:sz w:val="24"/>
          <w:highlight w:val="none"/>
          <w:u w:val="single"/>
          <w:lang w:val="en-US" w:eastAsia="zh-CN"/>
        </w:rPr>
        <w:t xml:space="preserve"> </w:t>
      </w:r>
      <w:r>
        <w:rPr>
          <w:rFonts w:ascii="宋体" w:hAnsi="宋体" w:cs="宋体"/>
          <w:bCs/>
          <w:color w:val="auto"/>
          <w:sz w:val="24"/>
          <w:highlight w:val="none"/>
          <w:u w:val="single"/>
        </w:rPr>
        <w:t>%/</w:t>
      </w:r>
      <w:r>
        <w:rPr>
          <w:rFonts w:hint="eastAsia" w:ascii="宋体" w:hAnsi="宋体" w:cs="宋体"/>
          <w:bCs/>
          <w:color w:val="auto"/>
          <w:sz w:val="24"/>
          <w:highlight w:val="none"/>
          <w:u w:val="single"/>
        </w:rPr>
        <w:t>次</w:t>
      </w:r>
      <w:r>
        <w:rPr>
          <w:rFonts w:hint="eastAsia" w:ascii="宋体" w:hAnsi="宋体" w:cs="宋体"/>
          <w:bCs/>
          <w:color w:val="auto"/>
          <w:sz w:val="24"/>
          <w:highlight w:val="none"/>
        </w:rPr>
        <w:t>作为违约金，超过三次（含三次）的，甲方有权解除合同，要求乙方支付</w:t>
      </w:r>
      <w:r>
        <w:rPr>
          <w:rFonts w:hint="eastAsia" w:ascii="宋体" w:hAnsi="宋体" w:cs="宋体"/>
          <w:bCs/>
          <w:color w:val="auto"/>
          <w:sz w:val="24"/>
          <w:highlight w:val="none"/>
          <w:u w:val="single"/>
        </w:rPr>
        <w:t>合同暂定总价的</w:t>
      </w:r>
      <w:r>
        <w:rPr>
          <w:rFonts w:ascii="宋体" w:hAnsi="宋体" w:cs="宋体"/>
          <w:bCs/>
          <w:color w:val="auto"/>
          <w:sz w:val="24"/>
          <w:highlight w:val="none"/>
          <w:u w:val="single"/>
        </w:rPr>
        <w:t>20</w:t>
      </w:r>
      <w:r>
        <w:rPr>
          <w:rFonts w:hint="eastAsia" w:ascii="宋体" w:hAnsi="宋体" w:cs="宋体"/>
          <w:bCs/>
          <w:color w:val="auto"/>
          <w:sz w:val="24"/>
          <w:highlight w:val="none"/>
          <w:u w:val="single"/>
          <w:lang w:val="en-US" w:eastAsia="zh-CN"/>
        </w:rPr>
        <w:t xml:space="preserve"> </w:t>
      </w:r>
      <w:r>
        <w:rPr>
          <w:rFonts w:ascii="宋体" w:hAnsi="宋体" w:cs="宋体"/>
          <w:bCs/>
          <w:color w:val="auto"/>
          <w:sz w:val="24"/>
          <w:highlight w:val="none"/>
          <w:u w:val="single"/>
        </w:rPr>
        <w:t>%</w:t>
      </w:r>
      <w:r>
        <w:rPr>
          <w:rFonts w:hint="eastAsia" w:ascii="宋体" w:hAnsi="宋体" w:cs="宋体"/>
          <w:bCs/>
          <w:color w:val="auto"/>
          <w:sz w:val="24"/>
          <w:highlight w:val="none"/>
        </w:rPr>
        <w:t>作为违约金。由此造成的经济和法律责任，均由乙方负责。</w:t>
      </w:r>
    </w:p>
    <w:p>
      <w:pPr>
        <w:widowControl/>
        <w:spacing w:line="384" w:lineRule="auto"/>
        <w:ind w:left="1" w:firstLine="480" w:firstLineChars="200"/>
        <w:jc w:val="left"/>
        <w:rPr>
          <w:rFonts w:ascii="宋体" w:hAnsi="宋体" w:cs="宋体"/>
          <w:bCs/>
          <w:color w:val="auto"/>
          <w:sz w:val="24"/>
          <w:highlight w:val="none"/>
        </w:rPr>
      </w:pPr>
      <w:r>
        <w:rPr>
          <w:rFonts w:ascii="宋体" w:hAnsi="宋体" w:cs="宋体"/>
          <w:bCs/>
          <w:color w:val="auto"/>
          <w:sz w:val="24"/>
          <w:highlight w:val="none"/>
        </w:rPr>
        <w:t>5.3</w:t>
      </w:r>
      <w:r>
        <w:rPr>
          <w:rFonts w:hint="eastAsia" w:ascii="宋体" w:hAnsi="宋体" w:cs="宋体"/>
          <w:bCs/>
          <w:color w:val="auto"/>
          <w:sz w:val="24"/>
          <w:highlight w:val="none"/>
        </w:rPr>
        <w:t>乙方应按合同及甲方提供的技术文件要求进行本项目实施和安装。乙方未经甲方同意，不得将本项目图纸泄露或转给第三人。除乙方存档需要的图纸外，乙方应于项目质量保修期满后日内将全部图纸退还给甲方。</w:t>
      </w:r>
    </w:p>
    <w:p>
      <w:pPr>
        <w:widowControl/>
        <w:spacing w:line="384" w:lineRule="auto"/>
        <w:ind w:left="1" w:firstLine="480" w:firstLineChars="200"/>
        <w:jc w:val="left"/>
        <w:rPr>
          <w:rFonts w:ascii="宋体" w:hAnsi="宋体" w:cs="宋体"/>
          <w:bCs/>
          <w:color w:val="auto"/>
          <w:sz w:val="24"/>
          <w:highlight w:val="none"/>
        </w:rPr>
      </w:pPr>
      <w:r>
        <w:rPr>
          <w:rFonts w:ascii="宋体" w:hAnsi="宋体" w:cs="宋体"/>
          <w:bCs/>
          <w:color w:val="auto"/>
          <w:sz w:val="24"/>
          <w:highlight w:val="none"/>
        </w:rPr>
        <w:t>5.4</w:t>
      </w:r>
      <w:r>
        <w:rPr>
          <w:rFonts w:hint="eastAsia" w:ascii="宋体" w:hAnsi="宋体" w:cs="宋体"/>
          <w:bCs/>
          <w:color w:val="auto"/>
          <w:sz w:val="24"/>
          <w:highlight w:val="none"/>
        </w:rPr>
        <w:t>合同约定的项目，乙方不得转包、分包。否则，甲方有权单方面终止合同，并令其立即退场，由此而造成的经济损失由乙方负责赔偿。</w:t>
      </w:r>
    </w:p>
    <w:p>
      <w:pPr>
        <w:widowControl/>
        <w:spacing w:line="384" w:lineRule="auto"/>
        <w:ind w:left="1" w:firstLine="480" w:firstLineChars="200"/>
        <w:jc w:val="left"/>
        <w:rPr>
          <w:rFonts w:ascii="宋体" w:hAnsi="宋体" w:cs="宋体"/>
          <w:bCs/>
          <w:sz w:val="24"/>
        </w:rPr>
      </w:pPr>
      <w:r>
        <w:rPr>
          <w:rFonts w:ascii="宋体" w:hAnsi="宋体" w:cs="宋体"/>
          <w:bCs/>
          <w:sz w:val="24"/>
        </w:rPr>
        <w:t>5.5乙方不履行合同义务、或履行合同义务不符合合同约定、或违反国家、省、市行业标准的</w:t>
      </w:r>
      <w:r>
        <w:rPr>
          <w:rFonts w:hint="eastAsia" w:ascii="宋体" w:hAnsi="宋体" w:cs="宋体"/>
          <w:bCs/>
          <w:sz w:val="24"/>
          <w:lang w:eastAsia="zh-CN"/>
        </w:rPr>
        <w:t>、</w:t>
      </w:r>
      <w:r>
        <w:rPr>
          <w:rFonts w:hint="eastAsia" w:ascii="宋体" w:hAnsi="宋体" w:cs="宋体"/>
          <w:bCs/>
          <w:sz w:val="24"/>
          <w:lang w:val="en-US" w:eastAsia="zh-CN"/>
        </w:rPr>
        <w:t>或甲方检查</w:t>
      </w:r>
      <w:r>
        <w:rPr>
          <w:rFonts w:hint="eastAsia" w:ascii="宋体" w:hAnsi="宋体" w:cs="宋体"/>
          <w:bCs/>
          <w:color w:val="auto"/>
          <w:sz w:val="24"/>
          <w:highlight w:val="none"/>
        </w:rPr>
        <w:t>发现安全问题</w:t>
      </w:r>
      <w:r>
        <w:rPr>
          <w:rFonts w:hint="eastAsia" w:ascii="宋体" w:hAnsi="宋体" w:cs="宋体"/>
          <w:bCs/>
          <w:color w:val="auto"/>
          <w:sz w:val="24"/>
          <w:highlight w:val="none"/>
          <w:lang w:eastAsia="zh-CN"/>
        </w:rPr>
        <w:t>，</w:t>
      </w:r>
      <w:r>
        <w:rPr>
          <w:rFonts w:ascii="宋体" w:hAnsi="宋体" w:cs="宋体"/>
          <w:bCs/>
          <w:sz w:val="24"/>
        </w:rPr>
        <w:t>甲方有权要求乙方限期整改。乙方逾期未完成整改的，每项每超过1日支付违约金人民币</w:t>
      </w:r>
      <w:r>
        <w:rPr>
          <w:rFonts w:hint="eastAsia" w:ascii="宋体" w:hAnsi="宋体" w:cs="宋体"/>
          <w:bCs/>
          <w:sz w:val="24"/>
          <w:u w:val="single"/>
          <w:lang w:val="en-US" w:eastAsia="zh-CN"/>
        </w:rPr>
        <w:t>0.5</w:t>
      </w:r>
      <w:r>
        <w:rPr>
          <w:rFonts w:ascii="宋体" w:hAnsi="宋体" w:cs="宋体"/>
          <w:bCs/>
          <w:sz w:val="24"/>
          <w:u w:val="single"/>
        </w:rPr>
        <w:t>万元</w:t>
      </w:r>
      <w:r>
        <w:rPr>
          <w:rFonts w:ascii="宋体" w:hAnsi="宋体" w:cs="宋体"/>
          <w:bCs/>
          <w:sz w:val="24"/>
        </w:rPr>
        <w:t>，超过_</w:t>
      </w:r>
      <w:r>
        <w:rPr>
          <w:rFonts w:hint="eastAsia" w:ascii="宋体" w:hAnsi="宋体" w:cs="宋体"/>
          <w:bCs/>
          <w:sz w:val="24"/>
          <w:u w:val="single"/>
          <w:lang w:val="en-US" w:eastAsia="zh-CN"/>
        </w:rPr>
        <w:t>20</w:t>
      </w:r>
      <w:r>
        <w:rPr>
          <w:rFonts w:ascii="宋体" w:hAnsi="宋体" w:cs="宋体"/>
          <w:bCs/>
          <w:sz w:val="24"/>
        </w:rPr>
        <w:t>_日，甲方有权解除合同并要求乙方支付</w:t>
      </w:r>
      <w:r>
        <w:rPr>
          <w:rFonts w:ascii="宋体" w:hAnsi="宋体" w:cs="宋体"/>
          <w:bCs/>
          <w:sz w:val="24"/>
          <w:u w:val="single"/>
        </w:rPr>
        <w:t>合同暂定总价的20%</w:t>
      </w:r>
      <w:r>
        <w:rPr>
          <w:rFonts w:ascii="宋体" w:hAnsi="宋体" w:cs="宋体"/>
          <w:bCs/>
          <w:sz w:val="24"/>
        </w:rPr>
        <w:t>作为违约金</w:t>
      </w:r>
      <w:r>
        <w:rPr>
          <w:rFonts w:hint="eastAsia" w:ascii="宋体" w:hAnsi="宋体" w:eastAsia="宋体"/>
          <w:bCs/>
          <w:sz w:val="24"/>
        </w:rPr>
        <w:t>（</w:t>
      </w:r>
      <w:r>
        <w:rPr>
          <w:rFonts w:hint="eastAsia" w:cs="宋体"/>
          <w:sz w:val="24"/>
        </w:rPr>
        <w:t>如合同另行约定违约责任，从其约定</w:t>
      </w:r>
      <w:r>
        <w:rPr>
          <w:rFonts w:hint="eastAsia" w:ascii="宋体" w:hAnsi="宋体" w:eastAsia="宋体"/>
          <w:bCs/>
          <w:sz w:val="24"/>
        </w:rPr>
        <w:t>）</w:t>
      </w:r>
      <w:r>
        <w:rPr>
          <w:rFonts w:ascii="宋体" w:hAnsi="宋体" w:cs="宋体"/>
          <w:bCs/>
          <w:sz w:val="24"/>
        </w:rPr>
        <w:t>。</w:t>
      </w:r>
    </w:p>
    <w:p>
      <w:pPr>
        <w:topLinePunct/>
        <w:spacing w:line="50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5.6乙方不得随意更换项目负责人及</w:t>
      </w:r>
      <w:r>
        <w:rPr>
          <w:rFonts w:hint="eastAsia" w:ascii="宋体" w:hAnsi="宋体" w:eastAsia="宋体" w:cs="宋体"/>
          <w:sz w:val="24"/>
          <w:szCs w:val="24"/>
          <w:lang w:val="en-US" w:eastAsia="zh-CN"/>
        </w:rPr>
        <w:t>附件5中的</w:t>
      </w:r>
      <w:r>
        <w:rPr>
          <w:rFonts w:hint="eastAsia" w:ascii="宋体" w:hAnsi="宋体" w:eastAsia="宋体" w:cs="宋体"/>
          <w:sz w:val="24"/>
          <w:szCs w:val="24"/>
        </w:rPr>
        <w:t>相关人员，如确须更换，应提前征得甲方同意。如有违反，甲方有权解除合同并要求乙方支付</w:t>
      </w:r>
      <w:r>
        <w:rPr>
          <w:rFonts w:hint="eastAsia" w:ascii="宋体" w:hAnsi="宋体" w:eastAsia="宋体" w:cs="宋体"/>
          <w:sz w:val="24"/>
          <w:szCs w:val="24"/>
          <w:u w:val="single"/>
          <w:lang w:val="en-US" w:eastAsia="zh-CN"/>
        </w:rPr>
        <w:t>5000</w:t>
      </w:r>
      <w:r>
        <w:rPr>
          <w:rFonts w:hint="eastAsia" w:ascii="宋体" w:hAnsi="宋体" w:eastAsia="宋体" w:cs="宋体"/>
          <w:sz w:val="24"/>
          <w:szCs w:val="24"/>
          <w:u w:val="single"/>
        </w:rPr>
        <w:t>元/人次</w:t>
      </w:r>
      <w:r>
        <w:rPr>
          <w:rFonts w:hint="eastAsia" w:ascii="宋体" w:hAnsi="宋体" w:eastAsia="宋体" w:cs="宋体"/>
          <w:sz w:val="24"/>
          <w:szCs w:val="24"/>
        </w:rPr>
        <w:t>作为违约金，以及赔偿由此造成的一切损失(包含质量安全事故、工期延误、增加投资等)。</w:t>
      </w:r>
      <w:r>
        <w:rPr>
          <w:rFonts w:hint="eastAsia" w:ascii="宋体" w:hAnsi="宋体" w:eastAsia="宋体" w:cs="宋体"/>
          <w:sz w:val="24"/>
          <w:szCs w:val="24"/>
          <w:lang w:val="en-US" w:eastAsia="zh-CN"/>
        </w:rPr>
        <w:t xml:space="preserve"> </w:t>
      </w:r>
    </w:p>
    <w:p>
      <w:pPr>
        <w:topLinePunct/>
        <w:spacing w:line="50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5.7施工过程中，项目负责人应驻场管理，否则甲方有权要求乙方支付违约</w:t>
      </w:r>
      <w:r>
        <w:rPr>
          <w:rFonts w:hint="eastAsia" w:ascii="宋体" w:hAnsi="宋体" w:eastAsia="宋体" w:cs="宋体"/>
          <w:sz w:val="24"/>
          <w:szCs w:val="24"/>
          <w:u w:val="single"/>
          <w:lang w:val="en-US" w:eastAsia="zh-CN"/>
        </w:rPr>
        <w:t xml:space="preserve"> 1000元/天</w:t>
      </w:r>
      <w:r>
        <w:rPr>
          <w:rFonts w:hint="eastAsia" w:ascii="宋体" w:hAnsi="宋体" w:eastAsia="宋体" w:cs="宋体"/>
          <w:sz w:val="24"/>
          <w:szCs w:val="24"/>
          <w:lang w:val="en-US" w:eastAsia="zh-CN"/>
        </w:rPr>
        <w:t>，因此造成损失的，按实际发生额赔偿。</w:t>
      </w:r>
    </w:p>
    <w:p>
      <w:pPr>
        <w:pStyle w:val="47"/>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5.8施工过程中，乙方应负责配备现场的应急物资。具体应急物资配备详见附件应急救援物资清单。（如需）</w:t>
      </w:r>
    </w:p>
    <w:p>
      <w:pPr>
        <w:topLinePunct/>
        <w:spacing w:line="500" w:lineRule="exact"/>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5.9在合同有效期内，乙方自愿接受甲方按《广州市净水有限公司经营建设项目参建企业不诚信行为管理办法》、《营运项目承包单位日常履约考评参照表（安全）》处理，具体处理标准详见附件3。</w:t>
      </w:r>
    </w:p>
    <w:p>
      <w:pPr>
        <w:keepNext w:val="0"/>
        <w:keepLines w:val="0"/>
        <w:pageBreakBefore w:val="0"/>
        <w:widowControl w:val="0"/>
        <w:tabs>
          <w:tab w:val="left" w:pos="851"/>
        </w:tabs>
        <w:kinsoku/>
        <w:wordWrap/>
        <w:overflowPunct/>
        <w:topLinePunct w:val="0"/>
        <w:bidi w:val="0"/>
        <w:adjustRightInd w:val="0"/>
        <w:snapToGrid w:val="0"/>
        <w:spacing w:line="500" w:lineRule="exact"/>
        <w:ind w:firstLine="482" w:firstLineChars="200"/>
        <w:jc w:val="left"/>
        <w:textAlignment w:val="auto"/>
        <w:rPr>
          <w:rFonts w:ascii="宋体" w:hAnsi="宋体" w:cs="宋体"/>
          <w:b/>
          <w:color w:val="auto"/>
          <w:sz w:val="24"/>
          <w:highlight w:val="none"/>
        </w:rPr>
      </w:pPr>
      <w:r>
        <w:rPr>
          <w:rFonts w:hint="eastAsia" w:ascii="宋体" w:hAnsi="宋体" w:cs="宋体"/>
          <w:b/>
          <w:color w:val="auto"/>
          <w:sz w:val="24"/>
          <w:highlight w:val="none"/>
        </w:rPr>
        <w:t>第六条实施条件及管理要求</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ascii="宋体" w:hAnsi="宋体" w:cs="宋体"/>
          <w:color w:val="auto"/>
          <w:sz w:val="24"/>
          <w:highlight w:val="none"/>
        </w:rPr>
      </w:pPr>
      <w:r>
        <w:rPr>
          <w:rFonts w:ascii="宋体" w:hAnsi="宋体" w:cs="宋体"/>
          <w:color w:val="auto"/>
          <w:sz w:val="24"/>
          <w:highlight w:val="none"/>
        </w:rPr>
        <w:t>6.1</w:t>
      </w:r>
      <w:r>
        <w:rPr>
          <w:rFonts w:hint="eastAsia" w:ascii="宋体" w:hAnsi="宋体" w:cs="宋体"/>
          <w:color w:val="auto"/>
          <w:sz w:val="24"/>
          <w:highlight w:val="none"/>
        </w:rPr>
        <w:t>甲方提供临时设施及材料实施场地，乙方确认在签订合同前已查看过甲方所提供的场地及周围的环境，掌握所有与项目实施有关或对项目实施有影响的情况，乙方进场后因场地因素所产生的后果均由乙方负责。</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ascii="宋体" w:hAnsi="宋体" w:cs="宋体"/>
          <w:color w:val="auto"/>
          <w:sz w:val="24"/>
          <w:highlight w:val="none"/>
        </w:rPr>
      </w:pPr>
      <w:r>
        <w:rPr>
          <w:rFonts w:ascii="宋体" w:hAnsi="宋体" w:cs="宋体"/>
          <w:color w:val="auto"/>
          <w:sz w:val="24"/>
          <w:highlight w:val="none"/>
        </w:rPr>
        <w:t>6.2</w:t>
      </w:r>
      <w:r>
        <w:rPr>
          <w:rFonts w:hint="eastAsia" w:ascii="宋体" w:hAnsi="宋体" w:cs="宋体"/>
          <w:color w:val="auto"/>
          <w:sz w:val="24"/>
          <w:highlight w:val="none"/>
        </w:rPr>
        <w:t>施工用水用电采用以下</w:t>
      </w:r>
      <w:r>
        <w:rPr>
          <w:rFonts w:ascii="宋体" w:hAnsi="宋体" w:cs="宋体"/>
          <w:color w:val="auto"/>
          <w:sz w:val="24"/>
          <w:highlight w:val="none"/>
          <w:u w:val="single"/>
        </w:rPr>
        <w:t>(</w:t>
      </w:r>
      <w:r>
        <w:rPr>
          <w:rFonts w:hint="eastAsia" w:ascii="宋体" w:hAnsi="宋体" w:cs="宋体"/>
          <w:color w:val="auto"/>
          <w:sz w:val="24"/>
          <w:highlight w:val="none"/>
          <w:u w:val="single"/>
          <w:lang w:val="en-US" w:eastAsia="zh-CN"/>
        </w:rPr>
        <w:t>1</w:t>
      </w:r>
      <w:r>
        <w:rPr>
          <w:rFonts w:ascii="宋体" w:hAnsi="宋体" w:cs="宋体"/>
          <w:color w:val="auto"/>
          <w:sz w:val="24"/>
          <w:highlight w:val="none"/>
          <w:u w:val="single"/>
        </w:rPr>
        <w:t>)</w:t>
      </w:r>
      <w:r>
        <w:rPr>
          <w:rFonts w:hint="eastAsia" w:ascii="宋体" w:hAnsi="宋体" w:cs="宋体"/>
          <w:color w:val="auto"/>
          <w:sz w:val="24"/>
          <w:highlight w:val="none"/>
        </w:rPr>
        <w:t>方式执行。</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）由甲方提供施工用水用电接口，水电费按合同综合单价水电含量计算，从甲方支付的工程款中直接扣回。</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）由甲方提供施工用水用电接口，费用按</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w:t>
      </w:r>
      <w:r>
        <w:rPr>
          <w:rFonts w:ascii="宋体" w:hAnsi="宋体" w:cs="宋体"/>
          <w:color w:val="auto"/>
          <w:sz w:val="24"/>
          <w:highlight w:val="none"/>
          <w:u w:val="single"/>
        </w:rPr>
        <w:t xml:space="preserve"> </w:t>
      </w:r>
      <w:r>
        <w:rPr>
          <w:rFonts w:hint="eastAsia" w:ascii="宋体" w:hAnsi="宋体" w:cs="宋体"/>
          <w:color w:val="auto"/>
          <w:sz w:val="24"/>
          <w:highlight w:val="none"/>
          <w:u w:val="none"/>
        </w:rPr>
        <w:t>（</w:t>
      </w:r>
      <w:r>
        <w:rPr>
          <w:rFonts w:hint="eastAsia" w:ascii="宋体" w:hAnsi="宋体" w:cs="宋体"/>
          <w:color w:val="auto"/>
          <w:sz w:val="24"/>
          <w:highlight w:val="none"/>
        </w:rPr>
        <w:t>月</w:t>
      </w:r>
      <w:r>
        <w:rPr>
          <w:rFonts w:ascii="宋体" w:hAnsi="宋体" w:cs="宋体"/>
          <w:color w:val="auto"/>
          <w:sz w:val="24"/>
          <w:highlight w:val="none"/>
        </w:rPr>
        <w:t>/</w:t>
      </w:r>
      <w:r>
        <w:rPr>
          <w:rFonts w:hint="eastAsia" w:ascii="宋体" w:hAnsi="宋体" w:cs="宋体"/>
          <w:color w:val="auto"/>
          <w:sz w:val="24"/>
          <w:highlight w:val="none"/>
        </w:rPr>
        <w:t>项）目结算，由乙方向甲方或甲方下辖分公司</w:t>
      </w:r>
      <w:r>
        <w:rPr>
          <w:rFonts w:ascii="宋体" w:hAnsi="宋体" w:cs="宋体"/>
          <w:color w:val="auto"/>
          <w:sz w:val="24"/>
          <w:highlight w:val="none"/>
        </w:rPr>
        <w:t>/</w:t>
      </w:r>
      <w:r>
        <w:rPr>
          <w:rFonts w:hint="eastAsia" w:ascii="宋体" w:hAnsi="宋体" w:cs="宋体"/>
          <w:color w:val="auto"/>
          <w:sz w:val="24"/>
          <w:highlight w:val="none"/>
        </w:rPr>
        <w:t>子公司支付。水电费用按所属供电局、自来水公司收费标准，按实计算。</w:t>
      </w:r>
    </w:p>
    <w:p>
      <w:pPr>
        <w:pStyle w:val="47"/>
        <w:keepNext w:val="0"/>
        <w:keepLines w:val="0"/>
        <w:pageBreakBefore w:val="0"/>
        <w:widowControl w:val="0"/>
        <w:kinsoku/>
        <w:wordWrap/>
        <w:overflowPunct/>
        <w:topLinePunct w:val="0"/>
        <w:bidi w:val="0"/>
        <w:snapToGrid/>
        <w:spacing w:line="500" w:lineRule="exact"/>
        <w:ind w:firstLine="480" w:firstLineChars="200"/>
        <w:textAlignment w:val="auto"/>
        <w:rPr>
          <w:rFonts w:hint="eastAsia" w:hAnsi="宋体" w:eastAsia="宋体"/>
          <w:color w:val="auto"/>
          <w:kern w:val="2"/>
          <w:szCs w:val="20"/>
          <w:highlight w:val="none"/>
        </w:rPr>
      </w:pPr>
      <w:r>
        <w:rPr>
          <w:rFonts w:hint="eastAsia" w:hAnsi="宋体" w:eastAsia="宋体"/>
          <w:color w:val="auto"/>
          <w:kern w:val="2"/>
          <w:szCs w:val="20"/>
          <w:highlight w:val="none"/>
        </w:rPr>
        <w:t>（3）由乙方自行负责。</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ascii="宋体" w:hAnsi="宋体" w:cs="宋体"/>
          <w:color w:val="auto"/>
          <w:sz w:val="24"/>
          <w:highlight w:val="none"/>
        </w:rPr>
      </w:pPr>
      <w:r>
        <w:rPr>
          <w:rFonts w:ascii="宋体" w:hAnsi="宋体" w:cs="宋体"/>
          <w:color w:val="auto"/>
          <w:sz w:val="24"/>
          <w:highlight w:val="none"/>
        </w:rPr>
        <w:t>6.3</w:t>
      </w:r>
      <w:r>
        <w:rPr>
          <w:rFonts w:hint="eastAsia" w:ascii="宋体" w:hAnsi="宋体" w:cs="宋体"/>
          <w:color w:val="auto"/>
          <w:sz w:val="24"/>
          <w:highlight w:val="none"/>
        </w:rPr>
        <w:t>施工时间安排：上午</w:t>
      </w:r>
      <w:r>
        <w:rPr>
          <w:rFonts w:ascii="宋体" w:hAnsi="宋体" w:cs="宋体"/>
          <w:color w:val="auto"/>
          <w:sz w:val="24"/>
          <w:highlight w:val="none"/>
        </w:rPr>
        <w:t>7</w:t>
      </w:r>
      <w:r>
        <w:rPr>
          <w:rFonts w:hint="eastAsia" w:ascii="宋体" w:hAnsi="宋体" w:cs="宋体"/>
          <w:color w:val="auto"/>
          <w:sz w:val="24"/>
          <w:highlight w:val="none"/>
        </w:rPr>
        <w:t>：</w:t>
      </w:r>
      <w:r>
        <w:rPr>
          <w:rFonts w:ascii="宋体" w:hAnsi="宋体" w:cs="宋体"/>
          <w:color w:val="auto"/>
          <w:sz w:val="24"/>
          <w:highlight w:val="none"/>
        </w:rPr>
        <w:t>00-12</w:t>
      </w:r>
      <w:r>
        <w:rPr>
          <w:rFonts w:hint="eastAsia" w:ascii="宋体" w:hAnsi="宋体" w:cs="宋体"/>
          <w:color w:val="auto"/>
          <w:sz w:val="24"/>
          <w:highlight w:val="none"/>
        </w:rPr>
        <w:t>：</w:t>
      </w:r>
      <w:r>
        <w:rPr>
          <w:rFonts w:ascii="宋体" w:hAnsi="宋体" w:cs="宋体"/>
          <w:color w:val="auto"/>
          <w:sz w:val="24"/>
          <w:highlight w:val="none"/>
        </w:rPr>
        <w:t>00</w:t>
      </w:r>
      <w:r>
        <w:rPr>
          <w:rFonts w:hint="eastAsia" w:ascii="宋体" w:hAnsi="宋体" w:cs="宋体"/>
          <w:color w:val="auto"/>
          <w:sz w:val="24"/>
          <w:highlight w:val="none"/>
        </w:rPr>
        <w:t>，下午</w:t>
      </w:r>
      <w:r>
        <w:rPr>
          <w:rFonts w:ascii="宋体" w:hAnsi="宋体" w:cs="宋体"/>
          <w:color w:val="auto"/>
          <w:sz w:val="24"/>
          <w:highlight w:val="none"/>
        </w:rPr>
        <w:t>14</w:t>
      </w:r>
      <w:r>
        <w:rPr>
          <w:rFonts w:hint="eastAsia" w:ascii="宋体" w:hAnsi="宋体" w:cs="宋体"/>
          <w:color w:val="auto"/>
          <w:sz w:val="24"/>
          <w:highlight w:val="none"/>
        </w:rPr>
        <w:t>：</w:t>
      </w:r>
      <w:r>
        <w:rPr>
          <w:rFonts w:ascii="宋体" w:hAnsi="宋体" w:cs="宋体"/>
          <w:color w:val="auto"/>
          <w:sz w:val="24"/>
          <w:highlight w:val="none"/>
        </w:rPr>
        <w:t>00-18</w:t>
      </w:r>
      <w:r>
        <w:rPr>
          <w:rFonts w:hint="eastAsia" w:ascii="宋体" w:hAnsi="宋体" w:cs="宋体"/>
          <w:color w:val="auto"/>
          <w:sz w:val="24"/>
          <w:highlight w:val="none"/>
        </w:rPr>
        <w:t>：</w:t>
      </w:r>
      <w:r>
        <w:rPr>
          <w:rFonts w:ascii="宋体" w:hAnsi="宋体" w:cs="宋体"/>
          <w:color w:val="auto"/>
          <w:sz w:val="24"/>
          <w:highlight w:val="none"/>
        </w:rPr>
        <w:t>00</w:t>
      </w:r>
      <w:r>
        <w:rPr>
          <w:rFonts w:hint="eastAsia" w:ascii="宋体" w:hAnsi="宋体" w:cs="宋体"/>
          <w:color w:val="auto"/>
          <w:sz w:val="24"/>
          <w:highlight w:val="none"/>
        </w:rPr>
        <w:t>，施工时间如需变动，以甲方的书面或口头通知为准。</w:t>
      </w:r>
    </w:p>
    <w:p>
      <w:pPr>
        <w:keepNext w:val="0"/>
        <w:keepLines w:val="0"/>
        <w:pageBreakBefore w:val="0"/>
        <w:widowControl w:val="0"/>
        <w:kinsoku/>
        <w:wordWrap/>
        <w:overflowPunct/>
        <w:topLinePunct w:val="0"/>
        <w:bidi w:val="0"/>
        <w:snapToGrid/>
        <w:spacing w:line="500" w:lineRule="exact"/>
        <w:ind w:firstLine="480" w:firstLineChars="200"/>
        <w:textAlignment w:val="auto"/>
      </w:pPr>
      <w:r>
        <w:rPr>
          <w:rFonts w:ascii="宋体" w:hAnsi="宋体" w:cs="宋体"/>
          <w:color w:val="auto"/>
          <w:sz w:val="24"/>
          <w:highlight w:val="none"/>
        </w:rPr>
        <w:t>6.4</w:t>
      </w:r>
      <w:r>
        <w:rPr>
          <w:rFonts w:hint="eastAsia" w:ascii="宋体" w:hAnsi="宋体" w:cs="宋体"/>
          <w:color w:val="auto"/>
          <w:sz w:val="24"/>
          <w:highlight w:val="none"/>
        </w:rPr>
        <w:t>进场施工人员必须严格遵守</w:t>
      </w:r>
      <w:r>
        <w:rPr>
          <w:rFonts w:hint="eastAsia" w:ascii="宋体" w:hAnsi="宋体" w:cs="宋体"/>
          <w:color w:val="auto"/>
          <w:kern w:val="10"/>
          <w:sz w:val="24"/>
          <w:highlight w:val="none"/>
        </w:rPr>
        <w:t>污水处理厂</w:t>
      </w:r>
      <w:r>
        <w:rPr>
          <w:rFonts w:hint="eastAsia" w:ascii="宋体" w:hAnsi="宋体" w:cs="宋体"/>
          <w:color w:val="auto"/>
          <w:sz w:val="24"/>
          <w:highlight w:val="none"/>
        </w:rPr>
        <w:t>一切规章制度。进入施工现场人员必须佩戴出入证，并自觉接受门岗检查。</w:t>
      </w:r>
    </w:p>
    <w:p>
      <w:pPr>
        <w:snapToGrid w:val="0"/>
        <w:spacing w:line="384" w:lineRule="auto"/>
        <w:ind w:firstLine="480" w:firstLineChars="200"/>
        <w:rPr>
          <w:rFonts w:ascii="宋体" w:hAnsi="宋体" w:cs="宋体"/>
          <w:color w:val="auto"/>
          <w:sz w:val="24"/>
          <w:highlight w:val="none"/>
        </w:rPr>
      </w:pPr>
      <w:r>
        <w:rPr>
          <w:rFonts w:ascii="宋体" w:hAnsi="宋体" w:cs="宋体"/>
          <w:color w:val="auto"/>
          <w:sz w:val="24"/>
          <w:highlight w:val="none"/>
        </w:rPr>
        <w:t>6.5</w:t>
      </w:r>
      <w:r>
        <w:rPr>
          <w:rFonts w:hint="eastAsia" w:ascii="宋体" w:hAnsi="宋体" w:cs="宋体"/>
          <w:color w:val="auto"/>
          <w:sz w:val="24"/>
          <w:highlight w:val="none"/>
        </w:rPr>
        <w:t>环境保护要求：</w:t>
      </w:r>
    </w:p>
    <w:p>
      <w:pPr>
        <w:snapToGrid w:val="0"/>
        <w:spacing w:line="384"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）做好施工噪声、废气、废水等控制；</w:t>
      </w:r>
    </w:p>
    <w:p>
      <w:pPr>
        <w:snapToGrid w:val="0"/>
        <w:spacing w:line="384"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）按照国家及广州市相关规定做好建筑垃圾的处理。</w:t>
      </w:r>
    </w:p>
    <w:p>
      <w:pPr>
        <w:snapToGrid w:val="0"/>
        <w:spacing w:line="384" w:lineRule="auto"/>
        <w:ind w:firstLine="480" w:firstLineChars="200"/>
        <w:rPr>
          <w:rFonts w:ascii="宋体" w:hAnsi="宋体" w:cs="宋体"/>
          <w:color w:val="auto"/>
          <w:sz w:val="24"/>
          <w:highlight w:val="none"/>
        </w:rPr>
      </w:pPr>
      <w:r>
        <w:rPr>
          <w:rFonts w:ascii="宋体" w:hAnsi="宋体" w:cs="宋体"/>
          <w:color w:val="auto"/>
          <w:sz w:val="24"/>
          <w:highlight w:val="none"/>
        </w:rPr>
        <w:t>6.6</w:t>
      </w:r>
      <w:r>
        <w:rPr>
          <w:rFonts w:hint="eastAsia" w:ascii="宋体" w:hAnsi="宋体" w:cs="宋体"/>
          <w:color w:val="auto"/>
          <w:sz w:val="24"/>
          <w:highlight w:val="none"/>
        </w:rPr>
        <w:t>按相关法律法规及甲方相关作业施工管理要求执行。</w:t>
      </w:r>
    </w:p>
    <w:p>
      <w:pPr>
        <w:pStyle w:val="14"/>
        <w:spacing w:line="384" w:lineRule="auto"/>
        <w:rPr>
          <w:rFonts w:hAnsi="宋体" w:cs="宋体"/>
          <w:b/>
          <w:bCs/>
          <w:color w:val="auto"/>
          <w:sz w:val="24"/>
          <w:szCs w:val="24"/>
          <w:highlight w:val="none"/>
        </w:rPr>
      </w:pPr>
      <w:r>
        <w:rPr>
          <w:rFonts w:hint="eastAsia" w:hAnsi="宋体" w:cs="宋体"/>
          <w:b/>
          <w:bCs/>
          <w:color w:val="auto"/>
          <w:sz w:val="24"/>
          <w:szCs w:val="24"/>
          <w:highlight w:val="none"/>
        </w:rPr>
        <w:t>第七条</w:t>
      </w:r>
      <w:r>
        <w:rPr>
          <w:rFonts w:hint="eastAsia" w:hAnsi="宋体" w:cs="宋体"/>
          <w:b/>
          <w:bCs/>
          <w:color w:val="auto"/>
          <w:sz w:val="24"/>
          <w:szCs w:val="24"/>
          <w:highlight w:val="none"/>
          <w:lang w:val="en-US" w:eastAsia="zh-CN"/>
        </w:rPr>
        <w:t xml:space="preserve"> </w:t>
      </w:r>
      <w:r>
        <w:rPr>
          <w:rFonts w:hint="eastAsia" w:hAnsi="宋体" w:cs="宋体"/>
          <w:b/>
          <w:bCs/>
          <w:color w:val="auto"/>
          <w:sz w:val="24"/>
          <w:szCs w:val="24"/>
          <w:highlight w:val="none"/>
        </w:rPr>
        <w:t>材料及设备供应</w:t>
      </w:r>
    </w:p>
    <w:p>
      <w:pPr>
        <w:spacing w:line="384"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本项目承包范围内所需的设备材料、成品、未成品、运输、保管、质量等责任均由乙方承担。甲方不提供材料。</w:t>
      </w:r>
    </w:p>
    <w:p>
      <w:pPr>
        <w:spacing w:line="384" w:lineRule="auto"/>
        <w:ind w:left="-2" w:leftChars="-1" w:firstLine="480" w:firstLineChars="200"/>
        <w:rPr>
          <w:rFonts w:ascii="宋体" w:hAnsi="宋体" w:cs="宋体"/>
          <w:color w:val="auto"/>
          <w:sz w:val="24"/>
          <w:highlight w:val="none"/>
        </w:rPr>
      </w:pPr>
      <w:r>
        <w:rPr>
          <w:rFonts w:ascii="宋体" w:hAnsi="宋体" w:cs="宋体"/>
          <w:color w:val="auto"/>
          <w:sz w:val="24"/>
          <w:highlight w:val="none"/>
        </w:rPr>
        <w:t>7.1</w:t>
      </w:r>
      <w:r>
        <w:rPr>
          <w:rFonts w:hint="eastAsia" w:ascii="宋体" w:hAnsi="宋体" w:cs="宋体"/>
          <w:color w:val="auto"/>
          <w:sz w:val="24"/>
          <w:highlight w:val="none"/>
        </w:rPr>
        <w:t>采购供应的材料、其名称、品种、型号、规格、质量等，均应符合国家、地方及行业有关规范及要求。</w:t>
      </w:r>
    </w:p>
    <w:p>
      <w:pPr>
        <w:spacing w:line="384" w:lineRule="auto"/>
        <w:ind w:left="657" w:leftChars="200" w:hanging="237" w:hangingChars="99"/>
        <w:rPr>
          <w:rFonts w:ascii="宋体" w:hAnsi="宋体" w:cs="宋体"/>
          <w:color w:val="auto"/>
          <w:sz w:val="24"/>
          <w:highlight w:val="none"/>
        </w:rPr>
      </w:pPr>
      <w:r>
        <w:rPr>
          <w:rFonts w:ascii="宋体" w:hAnsi="宋体" w:cs="宋体"/>
          <w:color w:val="auto"/>
          <w:sz w:val="24"/>
          <w:highlight w:val="none"/>
        </w:rPr>
        <w:t>7.2</w:t>
      </w:r>
      <w:r>
        <w:rPr>
          <w:rFonts w:hint="eastAsia" w:ascii="宋体" w:hAnsi="宋体" w:cs="宋体"/>
          <w:color w:val="auto"/>
          <w:sz w:val="24"/>
          <w:highlight w:val="none"/>
        </w:rPr>
        <w:t>所有材料必须具备合格证明，并保证产品的有效性。</w:t>
      </w:r>
    </w:p>
    <w:p>
      <w:pPr>
        <w:spacing w:line="384" w:lineRule="auto"/>
        <w:ind w:firstLine="480" w:firstLineChars="200"/>
        <w:rPr>
          <w:rFonts w:ascii="宋体" w:hAnsi="宋体" w:cs="宋体"/>
          <w:color w:val="auto"/>
          <w:sz w:val="24"/>
          <w:highlight w:val="none"/>
        </w:rPr>
      </w:pPr>
      <w:r>
        <w:rPr>
          <w:rFonts w:ascii="宋体" w:hAnsi="宋体" w:cs="宋体"/>
          <w:color w:val="auto"/>
          <w:sz w:val="24"/>
          <w:highlight w:val="none"/>
        </w:rPr>
        <w:t>7.3</w:t>
      </w:r>
      <w:r>
        <w:rPr>
          <w:rFonts w:hint="eastAsia" w:ascii="宋体" w:hAnsi="宋体" w:cs="宋体"/>
          <w:color w:val="auto"/>
          <w:sz w:val="24"/>
          <w:highlight w:val="none"/>
        </w:rPr>
        <w:t>由于乙方提供的伪劣、假冒等所有不合格材料而导致的损失、事故及一切后果，均由乙方负责并赔偿甲方所有损失，并负责更换所有已施工的不合格材料。</w:t>
      </w:r>
    </w:p>
    <w:p>
      <w:pPr>
        <w:tabs>
          <w:tab w:val="left" w:pos="360"/>
        </w:tabs>
        <w:spacing w:line="384" w:lineRule="auto"/>
        <w:ind w:firstLine="480" w:firstLineChars="200"/>
        <w:rPr>
          <w:rFonts w:ascii="宋体" w:hAnsi="宋体" w:cs="宋体"/>
          <w:color w:val="auto"/>
          <w:sz w:val="24"/>
          <w:highlight w:val="none"/>
        </w:rPr>
      </w:pPr>
      <w:r>
        <w:rPr>
          <w:rFonts w:ascii="宋体" w:hAnsi="宋体" w:cs="宋体"/>
          <w:color w:val="auto"/>
          <w:sz w:val="24"/>
          <w:highlight w:val="none"/>
        </w:rPr>
        <w:t>7.4</w:t>
      </w:r>
      <w:r>
        <w:rPr>
          <w:rFonts w:hint="eastAsia" w:ascii="宋体" w:hAnsi="宋体" w:cs="宋体"/>
          <w:color w:val="auto"/>
          <w:sz w:val="24"/>
          <w:highlight w:val="none"/>
        </w:rPr>
        <w:t>乙方必须根据投标文件</w:t>
      </w:r>
      <w:r>
        <w:rPr>
          <w:rFonts w:ascii="宋体" w:hAnsi="宋体" w:cs="宋体"/>
          <w:color w:val="auto"/>
          <w:sz w:val="24"/>
          <w:highlight w:val="none"/>
        </w:rPr>
        <w:t>/</w:t>
      </w:r>
      <w:r>
        <w:rPr>
          <w:rFonts w:hint="eastAsia" w:ascii="宋体" w:hAnsi="宋体" w:cs="宋体"/>
          <w:color w:val="auto"/>
          <w:sz w:val="24"/>
          <w:highlight w:val="none"/>
        </w:rPr>
        <w:t>询价响应文件（如有）上主要材料的明细（包括厂家、规格、品质等级等）提供材料。工程实施时，如发现材料不一致，甲方有权拒用，造成损失由乙方承担。</w:t>
      </w:r>
    </w:p>
    <w:p>
      <w:pPr>
        <w:spacing w:line="384" w:lineRule="auto"/>
        <w:ind w:left="-2" w:leftChars="-1" w:firstLine="480" w:firstLineChars="200"/>
        <w:rPr>
          <w:rFonts w:ascii="宋体" w:hAnsi="宋体" w:cs="宋体"/>
          <w:color w:val="auto"/>
          <w:sz w:val="24"/>
          <w:highlight w:val="none"/>
        </w:rPr>
      </w:pPr>
      <w:r>
        <w:rPr>
          <w:rFonts w:ascii="宋体" w:hAnsi="宋体" w:cs="宋体"/>
          <w:color w:val="auto"/>
          <w:sz w:val="24"/>
          <w:highlight w:val="none"/>
        </w:rPr>
        <w:t xml:space="preserve">7.5 </w:t>
      </w:r>
      <w:r>
        <w:rPr>
          <w:rFonts w:hint="eastAsia" w:ascii="宋体" w:hAnsi="宋体" w:cs="宋体"/>
          <w:color w:val="auto"/>
          <w:sz w:val="24"/>
          <w:highlight w:val="none"/>
        </w:rPr>
        <w:t>甲方有权对施工质量进行监督、检查或检验，也可自行委托第三方进行质量检验，甲方或第三方的检验结果作为最终的质量评定结果。</w:t>
      </w:r>
    </w:p>
    <w:p>
      <w:pPr>
        <w:spacing w:line="384" w:lineRule="auto"/>
        <w:ind w:firstLine="480" w:firstLineChars="200"/>
        <w:rPr>
          <w:rFonts w:ascii="宋体" w:hAnsi="宋体" w:cs="宋体"/>
          <w:color w:val="auto"/>
          <w:sz w:val="24"/>
          <w:highlight w:val="none"/>
        </w:rPr>
      </w:pPr>
      <w:r>
        <w:rPr>
          <w:rFonts w:ascii="宋体" w:hAnsi="宋体" w:cs="宋体"/>
          <w:color w:val="auto"/>
          <w:sz w:val="24"/>
          <w:highlight w:val="none"/>
        </w:rPr>
        <w:t xml:space="preserve">7.6 </w:t>
      </w:r>
      <w:r>
        <w:rPr>
          <w:rFonts w:hint="eastAsia" w:ascii="宋体" w:hAnsi="宋体" w:cs="宋体"/>
          <w:color w:val="auto"/>
          <w:sz w:val="24"/>
          <w:highlight w:val="none"/>
        </w:rPr>
        <w:t>承包范围之内工程所用之设备，由乙方提供。</w:t>
      </w:r>
    </w:p>
    <w:p>
      <w:pPr>
        <w:spacing w:line="384" w:lineRule="auto"/>
        <w:rPr>
          <w:rFonts w:ascii="宋体" w:hAnsi="宋体" w:cs="宋体"/>
          <w:color w:val="auto"/>
          <w:sz w:val="24"/>
          <w:highlight w:val="none"/>
        </w:rPr>
      </w:pPr>
      <w:r>
        <w:rPr>
          <w:rFonts w:hint="eastAsia" w:ascii="宋体" w:hAnsi="宋体" w:cs="宋体"/>
          <w:b/>
          <w:bCs/>
          <w:color w:val="auto"/>
          <w:sz w:val="24"/>
          <w:highlight w:val="none"/>
        </w:rPr>
        <w:t>第八条付</w:t>
      </w:r>
      <w:r>
        <w:rPr>
          <w:rFonts w:hint="eastAsia" w:ascii="宋体" w:hAnsi="宋体" w:cs="宋体"/>
          <w:b/>
          <w:color w:val="auto"/>
          <w:sz w:val="24"/>
          <w:highlight w:val="none"/>
        </w:rPr>
        <w:t>款及履约担保</w:t>
      </w:r>
    </w:p>
    <w:p>
      <w:pPr>
        <w:keepNext w:val="0"/>
        <w:keepLines w:val="0"/>
        <w:pageBreakBefore w:val="0"/>
        <w:kinsoku/>
        <w:wordWrap/>
        <w:overflowPunct/>
        <w:topLinePunct w:val="0"/>
        <w:autoSpaceDE/>
        <w:autoSpaceDN/>
        <w:bidi w:val="0"/>
        <w:spacing w:line="500" w:lineRule="exact"/>
        <w:ind w:firstLine="480" w:firstLineChars="200"/>
        <w:textAlignment w:val="auto"/>
        <w:rPr>
          <w:rFonts w:ascii="宋体" w:hAnsi="宋体" w:cs="宋体"/>
          <w:bCs/>
          <w:sz w:val="24"/>
          <w:u w:val="single"/>
        </w:rPr>
      </w:pPr>
      <w:r>
        <w:rPr>
          <w:rFonts w:ascii="宋体" w:hAnsi="宋体" w:cs="宋体"/>
          <w:sz w:val="24"/>
        </w:rPr>
        <w:t>8.1</w:t>
      </w:r>
      <w:r>
        <w:rPr>
          <w:rFonts w:hint="eastAsia" w:ascii="宋体" w:hAnsi="宋体" w:cs="宋体"/>
          <w:bCs/>
          <w:sz w:val="24"/>
        </w:rPr>
        <w:t>预付款的支付：</w:t>
      </w:r>
      <w:r>
        <w:rPr>
          <w:rFonts w:ascii="宋体" w:hAnsi="宋体" w:cs="宋体"/>
          <w:bCs/>
          <w:sz w:val="24"/>
        </w:rPr>
        <w:sym w:font="Wingdings" w:char="00FE"/>
      </w:r>
      <w:r>
        <w:rPr>
          <w:rFonts w:hint="eastAsia" w:ascii="宋体" w:hAnsi="宋体" w:cs="宋体"/>
          <w:bCs/>
          <w:sz w:val="24"/>
        </w:rPr>
        <w:t>无；</w:t>
      </w:r>
      <w:r>
        <w:rPr>
          <w:rFonts w:ascii="宋体" w:hAnsi="宋体" w:cs="宋体"/>
          <w:bCs/>
          <w:sz w:val="24"/>
        </w:rPr>
        <w:sym w:font="Wingdings" w:char="F0A8"/>
      </w:r>
      <w:r>
        <w:rPr>
          <w:rFonts w:hint="eastAsia" w:ascii="宋体" w:hAnsi="宋体" w:cs="宋体"/>
          <w:bCs/>
          <w:sz w:val="24"/>
        </w:rPr>
        <w:t>有,合同签订后，乙方开具等额的增值税专用发票及提交履约担保担保（如有）后</w:t>
      </w:r>
      <w:r>
        <w:rPr>
          <w:rFonts w:ascii="宋体" w:hAnsi="宋体" w:cs="宋体"/>
          <w:bCs/>
          <w:sz w:val="24"/>
          <w:u w:val="single"/>
        </w:rPr>
        <w:t xml:space="preserve"> 10 </w:t>
      </w:r>
      <w:r>
        <w:rPr>
          <w:rFonts w:hint="eastAsia" w:ascii="宋体" w:hAnsi="宋体" w:cs="宋体"/>
          <w:bCs/>
          <w:sz w:val="24"/>
        </w:rPr>
        <w:t>个工作日内，甲方支付合同</w:t>
      </w:r>
      <w:r>
        <w:rPr>
          <w:rFonts w:hint="eastAsia" w:ascii="宋体" w:hAnsi="宋体" w:cs="宋体"/>
          <w:sz w:val="24"/>
        </w:rPr>
        <w:t>暂定总价</w:t>
      </w:r>
      <w:r>
        <w:rPr>
          <w:rFonts w:hint="eastAsia" w:ascii="宋体" w:hAnsi="宋体" w:cs="宋体"/>
          <w:bCs/>
          <w:sz w:val="24"/>
        </w:rPr>
        <w:t>的</w:t>
      </w:r>
      <w:r>
        <w:rPr>
          <w:rFonts w:hint="eastAsia" w:ascii="宋体" w:hAnsi="宋体" w:cs="宋体"/>
          <w:bCs/>
          <w:sz w:val="24"/>
          <w:u w:val="single"/>
        </w:rPr>
        <w:t>（不得超过</w:t>
      </w:r>
      <w:r>
        <w:rPr>
          <w:rFonts w:ascii="宋体" w:hAnsi="宋体" w:cs="宋体"/>
          <w:bCs/>
          <w:sz w:val="24"/>
          <w:u w:val="single"/>
        </w:rPr>
        <w:t>30%</w:t>
      </w:r>
      <w:r>
        <w:rPr>
          <w:rFonts w:hint="eastAsia" w:ascii="宋体" w:hAnsi="宋体" w:cs="宋体"/>
          <w:bCs/>
          <w:sz w:val="24"/>
          <w:u w:val="single"/>
        </w:rPr>
        <w:t>）</w:t>
      </w:r>
      <w:r>
        <w:rPr>
          <w:rFonts w:hint="eastAsia" w:ascii="宋体" w:hAnsi="宋体" w:cs="宋体"/>
          <w:sz w:val="24"/>
        </w:rPr>
        <w:t>即</w:t>
      </w:r>
      <w:r>
        <w:rPr>
          <w:rFonts w:hint="eastAsia" w:ascii="宋体" w:hAnsi="宋体" w:cs="宋体"/>
          <w:sz w:val="24"/>
          <w:lang w:eastAsia="zh-CN"/>
        </w:rPr>
        <w:t>…</w:t>
      </w:r>
      <w:r>
        <w:rPr>
          <w:rFonts w:hint="eastAsia" w:ascii="宋体" w:hAnsi="宋体" w:cs="宋体"/>
          <w:sz w:val="24"/>
          <w:u w:val="single"/>
        </w:rPr>
        <w:t>元，（大写：</w:t>
      </w:r>
      <w:r>
        <w:rPr>
          <w:rFonts w:hint="eastAsia" w:ascii="宋体" w:hAnsi="宋体" w:cs="宋体"/>
          <w:sz w:val="24"/>
          <w:u w:val="single"/>
          <w:lang w:eastAsia="zh-CN"/>
        </w:rPr>
        <w:t>…</w:t>
      </w:r>
      <w:r>
        <w:rPr>
          <w:rFonts w:hint="eastAsia" w:ascii="宋体" w:hAnsi="宋体" w:cs="宋体"/>
          <w:sz w:val="24"/>
          <w:u w:val="single"/>
        </w:rPr>
        <w:t>）</w:t>
      </w:r>
      <w:r>
        <w:rPr>
          <w:rFonts w:hint="eastAsia" w:ascii="宋体" w:hAnsi="宋体" w:cs="宋体"/>
          <w:bCs/>
          <w:sz w:val="24"/>
        </w:rPr>
        <w:t>作为预付款。</w:t>
      </w:r>
      <w:r>
        <w:rPr>
          <w:rFonts w:hint="eastAsia" w:ascii="宋体" w:hAnsi="宋体" w:cs="宋体"/>
          <w:sz w:val="24"/>
        </w:rPr>
        <w:t>若合同解除或终止，乙方在</w:t>
      </w:r>
      <w:r>
        <w:rPr>
          <w:rFonts w:ascii="宋体" w:hAnsi="宋体" w:cs="宋体"/>
          <w:sz w:val="24"/>
          <w:u w:val="single"/>
        </w:rPr>
        <w:t xml:space="preserve"> 5 </w:t>
      </w:r>
      <w:r>
        <w:rPr>
          <w:rFonts w:hint="eastAsia" w:ascii="宋体" w:hAnsi="宋体" w:cs="宋体"/>
          <w:sz w:val="24"/>
        </w:rPr>
        <w:t>个工作日内返还预付款（无息）。</w:t>
      </w:r>
      <w:r>
        <w:rPr>
          <w:rFonts w:hint="eastAsia" w:ascii="宋体" w:hAnsi="宋体" w:cs="宋体"/>
          <w:bCs/>
          <w:kern w:val="0"/>
          <w:sz w:val="24"/>
        </w:rPr>
        <w:t>逾期未返还，每逾期一天，乙方应按合同暂定总价的</w:t>
      </w:r>
      <w:r>
        <w:rPr>
          <w:rFonts w:hint="eastAsia" w:ascii="宋体" w:hAnsi="宋体" w:cs="宋体"/>
          <w:bCs/>
          <w:kern w:val="0"/>
          <w:sz w:val="24"/>
          <w:u w:val="single"/>
        </w:rPr>
        <w:t>万分之五</w:t>
      </w:r>
      <w:r>
        <w:rPr>
          <w:rFonts w:ascii="宋体" w:hAnsi="宋体" w:cs="宋体"/>
          <w:bCs/>
          <w:kern w:val="0"/>
          <w:sz w:val="24"/>
          <w:u w:val="single"/>
        </w:rPr>
        <w:t>/</w:t>
      </w:r>
      <w:r>
        <w:rPr>
          <w:rFonts w:hint="eastAsia" w:ascii="宋体" w:hAnsi="宋体" w:cs="宋体"/>
          <w:bCs/>
          <w:kern w:val="0"/>
          <w:sz w:val="24"/>
          <w:u w:val="single"/>
        </w:rPr>
        <w:t>天</w:t>
      </w:r>
      <w:r>
        <w:rPr>
          <w:rFonts w:hint="eastAsia" w:ascii="宋体" w:hAnsi="宋体" w:cs="宋体"/>
          <w:bCs/>
          <w:kern w:val="0"/>
          <w:sz w:val="24"/>
        </w:rPr>
        <w:t>支付违约金</w:t>
      </w:r>
      <w:r>
        <w:rPr>
          <w:rFonts w:hint="eastAsia" w:ascii="宋体" w:hAnsi="宋体" w:cs="宋体"/>
          <w:sz w:val="24"/>
        </w:rPr>
        <w:t>。</w:t>
      </w:r>
    </w:p>
    <w:p>
      <w:pPr>
        <w:pStyle w:val="14"/>
        <w:keepNext w:val="0"/>
        <w:keepLines w:val="0"/>
        <w:pageBreakBefore w:val="0"/>
        <w:kinsoku/>
        <w:wordWrap/>
        <w:overflowPunct/>
        <w:topLinePunct w:val="0"/>
        <w:autoSpaceDE/>
        <w:autoSpaceDN/>
        <w:bidi w:val="0"/>
        <w:spacing w:line="500" w:lineRule="exact"/>
        <w:ind w:firstLine="480" w:firstLineChars="200"/>
        <w:textAlignment w:val="auto"/>
        <w:outlineLvl w:val="1"/>
        <w:rPr>
          <w:rFonts w:hint="default" w:hAnsi="宋体" w:eastAsia="宋体" w:cs="宋体"/>
          <w:color w:val="auto"/>
          <w:sz w:val="24"/>
          <w:szCs w:val="24"/>
          <w:highlight w:val="none"/>
          <w:lang w:val="en-US" w:eastAsia="zh-CN"/>
        </w:rPr>
      </w:pPr>
      <w:r>
        <w:rPr>
          <w:rFonts w:hAnsi="宋体" w:cs="宋体"/>
          <w:color w:val="auto"/>
          <w:sz w:val="24"/>
          <w:szCs w:val="24"/>
          <w:highlight w:val="none"/>
        </w:rPr>
        <w:t>8.2</w:t>
      </w:r>
      <w:r>
        <w:rPr>
          <w:rFonts w:hint="eastAsia" w:hAnsi="宋体" w:cs="宋体"/>
          <w:color w:val="auto"/>
          <w:sz w:val="24"/>
          <w:szCs w:val="24"/>
          <w:highlight w:val="none"/>
          <w:u w:val="single"/>
        </w:rPr>
        <w:t>项目验收合格后，由乙方提交申请支付资料</w:t>
      </w:r>
      <w:r>
        <w:rPr>
          <w:rFonts w:hAnsi="宋体" w:cs="宋体"/>
          <w:color w:val="auto"/>
          <w:sz w:val="24"/>
          <w:szCs w:val="24"/>
          <w:highlight w:val="none"/>
          <w:u w:val="single"/>
        </w:rPr>
        <w:t xml:space="preserve"> 15 </w:t>
      </w:r>
      <w:r>
        <w:rPr>
          <w:rFonts w:hint="eastAsia" w:hAnsi="宋体" w:cs="宋体"/>
          <w:color w:val="auto"/>
          <w:sz w:val="24"/>
          <w:szCs w:val="24"/>
          <w:highlight w:val="none"/>
          <w:u w:val="single"/>
        </w:rPr>
        <w:t>个工作日内，甲方支付</w:t>
      </w:r>
      <w:r>
        <w:rPr>
          <w:rFonts w:hint="eastAsia" w:hAnsi="宋体" w:cs="宋体"/>
          <w:color w:val="auto"/>
          <w:sz w:val="24"/>
          <w:szCs w:val="24"/>
          <w:highlight w:val="none"/>
          <w:u w:val="single"/>
          <w:lang w:eastAsia="zh-CN"/>
        </w:rPr>
        <w:t>至</w:t>
      </w:r>
      <w:r>
        <w:rPr>
          <w:rFonts w:hint="eastAsia" w:hAnsi="宋体" w:cs="宋体"/>
          <w:color w:val="auto"/>
          <w:sz w:val="24"/>
          <w:szCs w:val="24"/>
          <w:highlight w:val="none"/>
          <w:u w:val="single"/>
        </w:rPr>
        <w:t>合同暂定总价的</w:t>
      </w:r>
      <w:r>
        <w:rPr>
          <w:rFonts w:hint="eastAsia" w:hAnsi="宋体" w:cs="宋体"/>
          <w:color w:val="auto"/>
          <w:sz w:val="24"/>
          <w:szCs w:val="24"/>
          <w:highlight w:val="none"/>
          <w:u w:val="single"/>
          <w:lang w:val="en-US" w:eastAsia="zh-CN"/>
        </w:rPr>
        <w:t>80</w:t>
      </w:r>
      <w:r>
        <w:rPr>
          <w:rFonts w:hint="eastAsia" w:hAnsi="宋体" w:cs="宋体"/>
          <w:color w:val="auto"/>
          <w:sz w:val="24"/>
          <w:szCs w:val="24"/>
          <w:highlight w:val="none"/>
          <w:u w:val="single"/>
        </w:rPr>
        <w:t>％即</w:t>
      </w:r>
      <w:r>
        <w:rPr>
          <w:rFonts w:hint="eastAsia" w:hAnsi="宋体" w:cs="宋体"/>
          <w:color w:val="auto"/>
          <w:sz w:val="24"/>
          <w:szCs w:val="24"/>
          <w:highlight w:val="none"/>
          <w:u w:val="single"/>
          <w:lang w:val="en-US" w:eastAsia="zh-CN"/>
        </w:rPr>
        <w:t>^</w:t>
      </w:r>
      <w:r>
        <w:rPr>
          <w:rFonts w:hint="eastAsia" w:hAnsi="宋体" w:cs="宋体"/>
          <w:color w:val="auto"/>
          <w:sz w:val="24"/>
          <w:szCs w:val="24"/>
          <w:highlight w:val="none"/>
          <w:u w:val="single"/>
        </w:rPr>
        <w:t>万元给乙方。</w:t>
      </w:r>
      <w:r>
        <w:rPr>
          <w:rFonts w:hint="eastAsia" w:hAnsi="宋体" w:cs="宋体"/>
          <w:color w:val="auto"/>
          <w:sz w:val="24"/>
          <w:szCs w:val="24"/>
          <w:highlight w:val="none"/>
          <w:lang w:eastAsia="zh-CN"/>
        </w:rPr>
        <w:t>（</w:t>
      </w:r>
      <w:r>
        <w:rPr>
          <w:rFonts w:hint="eastAsia" w:hAnsi="宋体" w:cs="宋体"/>
          <w:color w:val="auto"/>
          <w:sz w:val="24"/>
          <w:szCs w:val="24"/>
          <w:highlight w:val="none"/>
          <w:lang w:val="en-US" w:eastAsia="zh-CN"/>
        </w:rPr>
        <w:t>如需）</w:t>
      </w:r>
    </w:p>
    <w:p>
      <w:pPr>
        <w:keepNext w:val="0"/>
        <w:keepLines w:val="0"/>
        <w:pageBreakBefore w:val="0"/>
        <w:tabs>
          <w:tab w:val="left" w:pos="0"/>
        </w:tabs>
        <w:kinsoku/>
        <w:wordWrap/>
        <w:overflowPunct/>
        <w:topLinePunct w:val="0"/>
        <w:autoSpaceDE/>
        <w:autoSpaceDN/>
        <w:bidi w:val="0"/>
        <w:adjustRightInd w:val="0"/>
        <w:snapToGrid w:val="0"/>
        <w:spacing w:line="500" w:lineRule="exact"/>
        <w:ind w:firstLine="480" w:firstLineChars="200"/>
        <w:jc w:val="left"/>
        <w:textAlignment w:val="auto"/>
        <w:rPr>
          <w:rFonts w:hint="eastAsia" w:ascii="宋体" w:hAnsi="宋体" w:cs="宋体"/>
          <w:color w:val="auto"/>
          <w:sz w:val="24"/>
          <w:highlight w:val="none"/>
        </w:rPr>
      </w:pPr>
      <w:r>
        <w:rPr>
          <w:rFonts w:ascii="宋体" w:hAnsi="宋体" w:cs="宋体"/>
          <w:color w:val="auto"/>
          <w:sz w:val="24"/>
          <w:highlight w:val="none"/>
        </w:rPr>
        <w:t>8.2.1</w:t>
      </w:r>
      <w:r>
        <w:rPr>
          <w:rFonts w:hint="eastAsia" w:ascii="宋体" w:hAnsi="宋体" w:cs="宋体"/>
          <w:color w:val="auto"/>
          <w:sz w:val="24"/>
          <w:highlight w:val="none"/>
          <w:u w:val="single"/>
          <w:lang w:val="en-US" w:eastAsia="zh-CN"/>
        </w:rPr>
        <w:t>项目验收合同后，</w:t>
      </w:r>
      <w:r>
        <w:rPr>
          <w:rFonts w:hint="eastAsia" w:ascii="宋体" w:hAnsi="宋体" w:cs="宋体"/>
          <w:color w:val="auto"/>
          <w:sz w:val="24"/>
          <w:highlight w:val="none"/>
          <w:u w:val="none"/>
          <w:lang w:val="en-US" w:eastAsia="zh-CN"/>
        </w:rPr>
        <w:t>结算资料经</w:t>
      </w:r>
      <w:r>
        <w:rPr>
          <w:rFonts w:hint="eastAsia" w:ascii="宋体" w:hAnsi="宋体" w:cs="宋体"/>
          <w:color w:val="auto"/>
          <w:sz w:val="24"/>
          <w:highlight w:val="none"/>
          <w:lang w:val="en-US" w:eastAsia="zh-CN"/>
        </w:rPr>
        <w:t>甲方或</w:t>
      </w:r>
      <w:r>
        <w:rPr>
          <w:rFonts w:hint="eastAsia" w:ascii="宋体" w:hAnsi="宋体" w:cs="宋体"/>
          <w:color w:val="auto"/>
          <w:sz w:val="24"/>
          <w:highlight w:val="none"/>
        </w:rPr>
        <w:t>甲方委托有资质第三方机构审核后，由乙方提交申请支付资料</w:t>
      </w:r>
      <w:r>
        <w:rPr>
          <w:rFonts w:ascii="宋体" w:hAnsi="宋体" w:cs="宋体"/>
          <w:color w:val="auto"/>
          <w:sz w:val="24"/>
          <w:highlight w:val="none"/>
          <w:u w:val="single"/>
        </w:rPr>
        <w:t xml:space="preserve"> 15 </w:t>
      </w:r>
      <w:r>
        <w:rPr>
          <w:rFonts w:hint="eastAsia" w:ascii="宋体" w:hAnsi="宋体" w:cs="宋体"/>
          <w:color w:val="auto"/>
          <w:sz w:val="24"/>
          <w:highlight w:val="none"/>
        </w:rPr>
        <w:t>个工作日内，甲方支付至合同结算价的</w:t>
      </w:r>
      <w:r>
        <w:rPr>
          <w:rFonts w:ascii="宋体" w:hAnsi="宋体" w:cs="宋体"/>
          <w:color w:val="auto"/>
          <w:sz w:val="24"/>
          <w:highlight w:val="none"/>
        </w:rPr>
        <w:t>95%</w:t>
      </w:r>
      <w:r>
        <w:rPr>
          <w:rFonts w:hint="eastAsia" w:ascii="宋体" w:hAnsi="宋体" w:cs="宋体"/>
          <w:color w:val="auto"/>
          <w:sz w:val="24"/>
          <w:highlight w:val="none"/>
        </w:rPr>
        <w:t>。</w:t>
      </w:r>
    </w:p>
    <w:p>
      <w:pPr>
        <w:keepNext w:val="0"/>
        <w:keepLines w:val="0"/>
        <w:pageBreakBefore w:val="0"/>
        <w:kinsoku/>
        <w:wordWrap/>
        <w:overflowPunct/>
        <w:topLinePunct w:val="0"/>
        <w:autoSpaceDE/>
        <w:autoSpaceDN/>
        <w:bidi w:val="0"/>
        <w:spacing w:line="500" w:lineRule="exact"/>
        <w:ind w:firstLine="480" w:firstLineChars="200"/>
        <w:textAlignment w:val="auto"/>
        <w:outlineLvl w:val="1"/>
        <w:rPr>
          <w:rFonts w:hint="eastAsia" w:hAnsi="宋体" w:cs="宋体"/>
          <w:sz w:val="24"/>
        </w:rPr>
      </w:pPr>
      <w:r>
        <w:rPr>
          <w:rFonts w:ascii="宋体" w:hAnsi="宋体" w:cs="宋体"/>
          <w:color w:val="auto"/>
          <w:sz w:val="24"/>
          <w:highlight w:val="none"/>
        </w:rPr>
        <w:t>8.2.</w:t>
      </w:r>
      <w:r>
        <w:rPr>
          <w:rFonts w:hint="eastAsia" w:ascii="宋体" w:hAnsi="宋体" w:cs="宋体"/>
          <w:color w:val="auto"/>
          <w:sz w:val="24"/>
          <w:highlight w:val="none"/>
        </w:rPr>
        <w:t>2</w:t>
      </w:r>
      <w:r>
        <w:rPr>
          <w:rFonts w:hint="eastAsia" w:hAnsi="宋体" w:cs="宋体"/>
          <w:color w:val="auto"/>
          <w:sz w:val="24"/>
          <w:highlight w:val="none"/>
        </w:rPr>
        <w:t>质保期按合同第十条规定执行，质保期满后且乙方不存在违约情形，由乙方提交申请质保金退还资料</w:t>
      </w:r>
      <w:r>
        <w:rPr>
          <w:rFonts w:hAnsi="宋体" w:cs="宋体"/>
          <w:color w:val="auto"/>
          <w:sz w:val="24"/>
          <w:highlight w:val="none"/>
          <w:u w:val="single"/>
        </w:rPr>
        <w:t xml:space="preserve"> 15 </w:t>
      </w:r>
      <w:r>
        <w:rPr>
          <w:rFonts w:hint="eastAsia" w:hAnsi="宋体" w:cs="宋体"/>
          <w:color w:val="auto"/>
          <w:sz w:val="24"/>
          <w:highlight w:val="none"/>
        </w:rPr>
        <w:t>个工作日内，甲方支付合同结算价的</w:t>
      </w:r>
      <w:r>
        <w:rPr>
          <w:rFonts w:hAnsi="宋体" w:cs="宋体"/>
          <w:color w:val="auto"/>
          <w:sz w:val="24"/>
          <w:highlight w:val="none"/>
        </w:rPr>
        <w:t>5</w:t>
      </w:r>
      <w:r>
        <w:rPr>
          <w:rFonts w:hint="eastAsia" w:hAnsi="宋体" w:cs="宋体"/>
          <w:color w:val="auto"/>
          <w:sz w:val="24"/>
          <w:highlight w:val="none"/>
        </w:rPr>
        <w:t>％（质保金）给乙方（无息）。</w:t>
      </w:r>
    </w:p>
    <w:p>
      <w:pPr>
        <w:keepNext w:val="0"/>
        <w:keepLines w:val="0"/>
        <w:pageBreakBefore w:val="0"/>
        <w:tabs>
          <w:tab w:val="left" w:pos="0"/>
        </w:tabs>
        <w:kinsoku/>
        <w:wordWrap/>
        <w:overflowPunct/>
        <w:topLinePunct w:val="0"/>
        <w:autoSpaceDE/>
        <w:autoSpaceDN/>
        <w:bidi w:val="0"/>
        <w:adjustRightInd w:val="0"/>
        <w:snapToGrid w:val="0"/>
        <w:spacing w:line="50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8.2.3 预留金为甲方预留突发项目的抢修工作的费用，若无突发项目产生，此费用不做支付，若有突发项目发生，按突发项目内容实际结算。突发项目总金额若超预留金，另签订补充协议。</w:t>
      </w:r>
    </w:p>
    <w:p>
      <w:pPr>
        <w:pStyle w:val="14"/>
        <w:keepNext w:val="0"/>
        <w:keepLines w:val="0"/>
        <w:pageBreakBefore w:val="0"/>
        <w:kinsoku/>
        <w:wordWrap/>
        <w:overflowPunct/>
        <w:topLinePunct w:val="0"/>
        <w:autoSpaceDE/>
        <w:autoSpaceDN/>
        <w:bidi w:val="0"/>
        <w:spacing w:line="500" w:lineRule="exact"/>
        <w:ind w:firstLine="480" w:firstLineChars="200"/>
        <w:textAlignment w:val="auto"/>
        <w:outlineLvl w:val="1"/>
        <w:rPr>
          <w:rFonts w:hint="default" w:hAnsi="宋体" w:eastAsia="宋体" w:cs="宋体"/>
          <w:sz w:val="24"/>
          <w:szCs w:val="24"/>
          <w:lang w:val="en-US" w:eastAsia="zh-CN"/>
        </w:rPr>
      </w:pPr>
      <w:r>
        <w:rPr>
          <w:rFonts w:hint="eastAsia" w:hAnsi="宋体" w:cs="宋体"/>
          <w:sz w:val="24"/>
          <w:szCs w:val="24"/>
          <w:lang w:val="en-US" w:eastAsia="zh-CN"/>
        </w:rPr>
        <w:t>8.2.4</w:t>
      </w:r>
      <w:r>
        <w:rPr>
          <w:rFonts w:hint="eastAsia" w:hAnsi="宋体" w:cs="宋体"/>
          <w:sz w:val="24"/>
          <w:szCs w:val="24"/>
        </w:rPr>
        <w:t>本项目工程款的支付单位为：</w:t>
      </w:r>
      <w:r>
        <w:rPr>
          <w:rFonts w:hint="eastAsia" w:hAnsi="宋体" w:cs="宋体"/>
          <w:sz w:val="24"/>
          <w:szCs w:val="24"/>
          <w:u w:val="single"/>
          <w:lang w:val="en-US" w:eastAsia="zh-CN"/>
        </w:rPr>
        <w:t xml:space="preserve"> </w:t>
      </w:r>
      <w:r>
        <w:rPr>
          <w:rFonts w:hint="eastAsia" w:ascii="宋体" w:hAnsi="宋体" w:eastAsia="宋体" w:cs="宋体"/>
          <w:sz w:val="24"/>
          <w:szCs w:val="24"/>
          <w:u w:val="single"/>
          <w:lang w:val="en-US" w:eastAsia="zh-CN"/>
        </w:rPr>
        <w:t>广州市净水有限公司</w:t>
      </w:r>
      <w:r>
        <w:rPr>
          <w:rFonts w:hint="eastAsia" w:ascii="宋体" w:hAnsi="宋体" w:cs="宋体"/>
          <w:sz w:val="24"/>
          <w:szCs w:val="24"/>
          <w:u w:val="single"/>
          <w:lang w:val="en-US" w:eastAsia="zh-CN"/>
        </w:rPr>
        <w:t>石井</w:t>
      </w:r>
      <w:r>
        <w:rPr>
          <w:rFonts w:hint="eastAsia" w:ascii="宋体" w:hAnsi="宋体" w:eastAsia="宋体" w:cs="宋体"/>
          <w:sz w:val="24"/>
          <w:szCs w:val="24"/>
          <w:u w:val="single"/>
          <w:lang w:val="en-US" w:eastAsia="zh-CN"/>
        </w:rPr>
        <w:t xml:space="preserve">分公司  </w:t>
      </w:r>
      <w:r>
        <w:rPr>
          <w:rFonts w:hint="eastAsia" w:hAnsi="宋体" w:cs="宋体"/>
          <w:sz w:val="24"/>
          <w:szCs w:val="24"/>
          <w:u w:val="single"/>
          <w:lang w:val="en-US" w:eastAsia="zh-CN"/>
        </w:rPr>
        <w:t xml:space="preserve"> </w:t>
      </w:r>
    </w:p>
    <w:p>
      <w:pPr>
        <w:keepNext w:val="0"/>
        <w:keepLines w:val="0"/>
        <w:pageBreakBefore w:val="0"/>
        <w:kinsoku/>
        <w:wordWrap/>
        <w:overflowPunct/>
        <w:topLinePunct w:val="0"/>
        <w:autoSpaceDE/>
        <w:autoSpaceDN/>
        <w:bidi w:val="0"/>
        <w:spacing w:line="500" w:lineRule="exact"/>
        <w:ind w:firstLine="480" w:firstLineChars="200"/>
        <w:textAlignment w:val="auto"/>
        <w:rPr>
          <w:rFonts w:ascii="宋体" w:hAnsi="宋体" w:cs="宋体"/>
          <w:sz w:val="24"/>
          <w:u w:val="single"/>
        </w:rPr>
      </w:pPr>
      <w:r>
        <w:rPr>
          <w:rFonts w:ascii="宋体" w:hAnsi="宋体" w:cs="宋体"/>
          <w:sz w:val="24"/>
        </w:rPr>
        <w:t>8.3</w:t>
      </w:r>
      <w:r>
        <w:rPr>
          <w:rFonts w:hint="eastAsia" w:ascii="宋体" w:hAnsi="宋体" w:cs="宋体"/>
          <w:sz w:val="24"/>
        </w:rPr>
        <w:t>乙方收款账户：</w:t>
      </w:r>
      <w:r>
        <w:rPr>
          <w:rFonts w:hint="eastAsia" w:ascii="宋体" w:hAnsi="宋体" w:cs="宋体"/>
          <w:sz w:val="24"/>
          <w:u w:val="single"/>
          <w:lang w:eastAsia="zh-CN"/>
        </w:rPr>
        <w:t>…</w:t>
      </w:r>
      <w:r>
        <w:rPr>
          <w:rFonts w:hint="eastAsia" w:ascii="宋体" w:hAnsi="宋体" w:cs="宋体"/>
          <w:sz w:val="24"/>
          <w:u w:val="single"/>
        </w:rPr>
        <w:t>；</w:t>
      </w:r>
    </w:p>
    <w:p>
      <w:pPr>
        <w:keepNext w:val="0"/>
        <w:keepLines w:val="0"/>
        <w:pageBreakBefore w:val="0"/>
        <w:kinsoku/>
        <w:wordWrap/>
        <w:overflowPunct/>
        <w:topLinePunct w:val="0"/>
        <w:autoSpaceDE/>
        <w:autoSpaceDN/>
        <w:bidi w:val="0"/>
        <w:spacing w:line="500" w:lineRule="exact"/>
        <w:ind w:firstLine="480" w:firstLineChars="200"/>
        <w:textAlignment w:val="auto"/>
        <w:rPr>
          <w:rFonts w:ascii="宋体" w:hAnsi="宋体" w:cs="宋体"/>
          <w:sz w:val="24"/>
          <w:u w:val="single"/>
        </w:rPr>
      </w:pPr>
      <w:r>
        <w:rPr>
          <w:rFonts w:hint="eastAsia" w:ascii="宋体" w:hAnsi="宋体" w:cs="宋体"/>
          <w:sz w:val="24"/>
        </w:rPr>
        <w:t>收款账号：</w:t>
      </w:r>
      <w:r>
        <w:rPr>
          <w:rFonts w:hint="eastAsia" w:ascii="宋体" w:hAnsi="宋体" w:cs="宋体"/>
          <w:sz w:val="24"/>
          <w:u w:val="single"/>
          <w:lang w:eastAsia="zh-CN"/>
        </w:rPr>
        <w:t>…</w:t>
      </w:r>
      <w:r>
        <w:rPr>
          <w:rFonts w:hint="eastAsia" w:ascii="宋体" w:hAnsi="宋体" w:cs="宋体"/>
          <w:sz w:val="24"/>
          <w:u w:val="single"/>
        </w:rPr>
        <w:t>；</w:t>
      </w:r>
    </w:p>
    <w:p>
      <w:pPr>
        <w:keepNext w:val="0"/>
        <w:keepLines w:val="0"/>
        <w:pageBreakBefore w:val="0"/>
        <w:kinsoku/>
        <w:wordWrap/>
        <w:overflowPunct/>
        <w:topLinePunct w:val="0"/>
        <w:autoSpaceDE/>
        <w:autoSpaceDN/>
        <w:bidi w:val="0"/>
        <w:spacing w:line="500" w:lineRule="exact"/>
        <w:ind w:firstLine="480" w:firstLineChars="200"/>
        <w:textAlignment w:val="auto"/>
        <w:rPr>
          <w:rFonts w:ascii="宋体" w:hAnsi="宋体" w:cs="宋体"/>
          <w:sz w:val="24"/>
          <w:u w:val="single"/>
        </w:rPr>
      </w:pPr>
      <w:r>
        <w:rPr>
          <w:rFonts w:hint="eastAsia" w:ascii="宋体" w:hAnsi="宋体" w:cs="宋体"/>
          <w:sz w:val="24"/>
        </w:rPr>
        <w:t>开户行：</w:t>
      </w:r>
      <w:r>
        <w:rPr>
          <w:rFonts w:hint="eastAsia" w:ascii="宋体" w:hAnsi="宋体" w:cs="宋体"/>
          <w:sz w:val="24"/>
          <w:u w:val="single"/>
          <w:lang w:eastAsia="zh-CN"/>
        </w:rPr>
        <w:t>…</w:t>
      </w:r>
      <w:r>
        <w:rPr>
          <w:rFonts w:hint="eastAsia" w:ascii="宋体" w:hAnsi="宋体" w:cs="宋体"/>
          <w:sz w:val="24"/>
          <w:u w:val="single"/>
        </w:rPr>
        <w:t>；</w:t>
      </w:r>
    </w:p>
    <w:p>
      <w:pPr>
        <w:keepNext w:val="0"/>
        <w:keepLines w:val="0"/>
        <w:pageBreakBefore w:val="0"/>
        <w:kinsoku/>
        <w:wordWrap/>
        <w:overflowPunct/>
        <w:topLinePunct w:val="0"/>
        <w:autoSpaceDE/>
        <w:autoSpaceDN/>
        <w:bidi w:val="0"/>
        <w:spacing w:line="500" w:lineRule="exact"/>
        <w:ind w:firstLine="480" w:firstLineChars="200"/>
        <w:textAlignment w:val="auto"/>
        <w:rPr>
          <w:rFonts w:ascii="宋体" w:hAnsi="宋体" w:cs="宋体"/>
          <w:sz w:val="24"/>
        </w:rPr>
      </w:pPr>
      <w:r>
        <w:rPr>
          <w:rFonts w:ascii="宋体" w:hAnsi="宋体" w:cs="宋体"/>
          <w:sz w:val="24"/>
        </w:rPr>
        <w:t>8.4</w:t>
      </w:r>
      <w:r>
        <w:rPr>
          <w:rFonts w:hint="eastAsia" w:ascii="宋体" w:hAnsi="宋体" w:cs="宋体"/>
          <w:sz w:val="24"/>
        </w:rPr>
        <w:t>乙方在收款前需提交等额增值税专用发票给甲方。增值税专用发票信息：</w:t>
      </w:r>
    </w:p>
    <w:p>
      <w:pPr>
        <w:keepNext w:val="0"/>
        <w:keepLines w:val="0"/>
        <w:pageBreakBefore w:val="0"/>
        <w:kinsoku/>
        <w:wordWrap/>
        <w:overflowPunct/>
        <w:topLinePunct w:val="0"/>
        <w:autoSpaceDE/>
        <w:autoSpaceDN/>
        <w:bidi w:val="0"/>
        <w:spacing w:line="500" w:lineRule="exact"/>
        <w:ind w:firstLine="480" w:firstLineChars="200"/>
        <w:textAlignment w:val="auto"/>
        <w:outlineLvl w:val="0"/>
        <w:rPr>
          <w:rFonts w:hint="eastAsia" w:ascii="宋体" w:hAnsi="宋体" w:cs="宋体"/>
          <w:sz w:val="24"/>
          <w:highlight w:val="none"/>
          <w:u w:val="single"/>
          <w:lang w:val="en-US" w:eastAsia="zh-CN"/>
        </w:rPr>
      </w:pPr>
      <w:r>
        <w:rPr>
          <w:rFonts w:hint="eastAsia" w:ascii="宋体" w:hAnsi="宋体" w:cs="宋体"/>
          <w:sz w:val="24"/>
          <w:lang w:val="en-US" w:eastAsia="zh-CN"/>
        </w:rPr>
        <w:t xml:space="preserve"> </w:t>
      </w:r>
      <w:r>
        <w:rPr>
          <w:rFonts w:hint="eastAsia" w:ascii="宋体" w:hAnsi="宋体" w:cs="宋体"/>
          <w:sz w:val="24"/>
          <w:highlight w:val="none"/>
          <w:u w:val="single"/>
          <w:lang w:val="en-US" w:eastAsia="zh-CN"/>
        </w:rPr>
        <w:t>名称：广州市净水有限公司</w:t>
      </w:r>
    </w:p>
    <w:p>
      <w:pPr>
        <w:keepNext w:val="0"/>
        <w:keepLines w:val="0"/>
        <w:pageBreakBefore w:val="0"/>
        <w:kinsoku/>
        <w:wordWrap/>
        <w:overflowPunct/>
        <w:topLinePunct w:val="0"/>
        <w:autoSpaceDE/>
        <w:autoSpaceDN/>
        <w:bidi w:val="0"/>
        <w:spacing w:line="500" w:lineRule="exact"/>
        <w:ind w:firstLine="480" w:firstLineChars="200"/>
        <w:textAlignment w:val="auto"/>
        <w:outlineLvl w:val="0"/>
        <w:rPr>
          <w:rFonts w:hint="eastAsia" w:ascii="宋体" w:hAnsi="宋体" w:cs="宋体"/>
          <w:sz w:val="24"/>
          <w:highlight w:val="none"/>
          <w:u w:val="single"/>
          <w:lang w:val="en-US" w:eastAsia="zh-CN"/>
        </w:rPr>
      </w:pPr>
      <w:r>
        <w:rPr>
          <w:rFonts w:hint="eastAsia" w:ascii="宋体" w:hAnsi="宋体" w:cs="宋体"/>
          <w:sz w:val="24"/>
          <w:highlight w:val="none"/>
          <w:u w:val="single"/>
          <w:lang w:val="en-US" w:eastAsia="zh-CN"/>
        </w:rPr>
        <w:t xml:space="preserve">税号：9144 0101 75558 4729Q   </w:t>
      </w:r>
    </w:p>
    <w:p>
      <w:pPr>
        <w:keepNext w:val="0"/>
        <w:keepLines w:val="0"/>
        <w:pageBreakBefore w:val="0"/>
        <w:kinsoku/>
        <w:wordWrap/>
        <w:overflowPunct/>
        <w:topLinePunct w:val="0"/>
        <w:autoSpaceDE/>
        <w:autoSpaceDN/>
        <w:bidi w:val="0"/>
        <w:spacing w:line="500" w:lineRule="exact"/>
        <w:ind w:firstLine="480" w:firstLineChars="200"/>
        <w:textAlignment w:val="auto"/>
        <w:outlineLvl w:val="0"/>
        <w:rPr>
          <w:rFonts w:hint="eastAsia" w:ascii="宋体" w:hAnsi="宋体" w:cs="宋体"/>
          <w:sz w:val="24"/>
          <w:highlight w:val="none"/>
          <w:u w:val="single"/>
          <w:lang w:val="en-US" w:eastAsia="zh-CN"/>
        </w:rPr>
      </w:pPr>
      <w:r>
        <w:rPr>
          <w:rFonts w:hint="eastAsia" w:ascii="宋体" w:hAnsi="宋体" w:cs="宋体"/>
          <w:sz w:val="24"/>
          <w:highlight w:val="none"/>
          <w:u w:val="single"/>
          <w:lang w:val="en-US" w:eastAsia="zh-CN"/>
        </w:rPr>
        <w:t xml:space="preserve">地址：广州市天河区临江大道501号/020-38890283   </w:t>
      </w:r>
    </w:p>
    <w:p>
      <w:pPr>
        <w:keepNext w:val="0"/>
        <w:keepLines w:val="0"/>
        <w:pageBreakBefore w:val="0"/>
        <w:kinsoku/>
        <w:wordWrap/>
        <w:overflowPunct/>
        <w:topLinePunct w:val="0"/>
        <w:autoSpaceDE/>
        <w:autoSpaceDN/>
        <w:bidi w:val="0"/>
        <w:spacing w:line="500" w:lineRule="exact"/>
        <w:ind w:firstLine="480" w:firstLineChars="200"/>
        <w:textAlignment w:val="auto"/>
        <w:outlineLvl w:val="0"/>
        <w:rPr>
          <w:rFonts w:hint="default" w:ascii="宋体" w:hAnsi="宋体" w:eastAsia="宋体" w:cs="宋体"/>
          <w:sz w:val="24"/>
          <w:lang w:val="en-US" w:eastAsia="zh-CN"/>
        </w:rPr>
      </w:pPr>
      <w:r>
        <w:rPr>
          <w:rFonts w:hint="eastAsia" w:ascii="宋体" w:hAnsi="宋体" w:cs="宋体"/>
          <w:sz w:val="24"/>
          <w:highlight w:val="none"/>
          <w:u w:val="single"/>
          <w:lang w:val="en-US" w:eastAsia="zh-CN"/>
        </w:rPr>
        <w:t xml:space="preserve">开户行及账号：民生银行广州分行  0301014140006932 </w:t>
      </w:r>
      <w:r>
        <w:rPr>
          <w:rFonts w:hint="eastAsia" w:ascii="宋体" w:hAnsi="宋体" w:cs="宋体"/>
          <w:sz w:val="24"/>
          <w:u w:val="single"/>
          <w:lang w:val="en-US" w:eastAsia="zh-CN"/>
        </w:rPr>
        <w:t xml:space="preserve"> 。</w:t>
      </w:r>
    </w:p>
    <w:p>
      <w:pPr>
        <w:keepNext w:val="0"/>
        <w:keepLines w:val="0"/>
        <w:pageBreakBefore w:val="0"/>
        <w:kinsoku/>
        <w:wordWrap/>
        <w:overflowPunct/>
        <w:topLinePunct w:val="0"/>
        <w:autoSpaceDE/>
        <w:autoSpaceDN/>
        <w:bidi w:val="0"/>
        <w:spacing w:line="500" w:lineRule="exact"/>
        <w:ind w:firstLine="480" w:firstLineChars="200"/>
        <w:textAlignment w:val="auto"/>
        <w:outlineLvl w:val="0"/>
        <w:rPr>
          <w:rFonts w:ascii="宋体" w:hAnsi="宋体" w:cs="宋体"/>
          <w:sz w:val="24"/>
        </w:rPr>
      </w:pPr>
      <w:r>
        <w:rPr>
          <w:rFonts w:ascii="宋体" w:hAnsi="宋体" w:cs="宋体"/>
          <w:sz w:val="24"/>
        </w:rPr>
        <w:t>8.5</w:t>
      </w:r>
      <w:r>
        <w:rPr>
          <w:rFonts w:hint="eastAsia" w:ascii="宋体" w:hAnsi="宋体" w:cs="宋体"/>
          <w:sz w:val="24"/>
        </w:rPr>
        <w:t>履约担保：</w:t>
      </w:r>
      <w:r>
        <w:rPr>
          <w:rFonts w:hint="eastAsia" w:ascii="宋体" w:hAnsi="宋体" w:cs="宋体"/>
          <w:szCs w:val="21"/>
        </w:rPr>
        <w:sym w:font="Wingdings 2" w:char="0052"/>
      </w:r>
      <w:r>
        <w:rPr>
          <w:rFonts w:hint="eastAsia" w:ascii="宋体" w:hAnsi="宋体" w:cs="宋体"/>
          <w:bCs/>
          <w:sz w:val="24"/>
        </w:rPr>
        <w:t>无；</w:t>
      </w:r>
      <w:r>
        <w:rPr>
          <w:rFonts w:hint="eastAsia" w:ascii="宋体" w:hAnsi="宋体" w:cs="宋体"/>
          <w:szCs w:val="21"/>
        </w:rPr>
        <w:t>□有,</w:t>
      </w:r>
      <w:r>
        <w:rPr>
          <w:rFonts w:hint="eastAsia" w:ascii="宋体" w:hAnsi="宋体" w:cs="宋体"/>
          <w:sz w:val="24"/>
        </w:rPr>
        <w:t>本合同签订后</w:t>
      </w:r>
      <w:r>
        <w:rPr>
          <w:rFonts w:ascii="宋体" w:hAnsi="宋体" w:cs="宋体"/>
          <w:sz w:val="24"/>
        </w:rPr>
        <w:t>10</w:t>
      </w:r>
      <w:r>
        <w:rPr>
          <w:rFonts w:hint="eastAsia" w:ascii="宋体" w:hAnsi="宋体" w:cs="宋体"/>
          <w:sz w:val="24"/>
        </w:rPr>
        <w:t>日内</w:t>
      </w:r>
      <w:r>
        <w:rPr>
          <w:rFonts w:hint="eastAsia" w:ascii="宋体" w:hAnsi="宋体" w:cs="宋体"/>
          <w:sz w:val="24"/>
          <w:u w:val="single"/>
        </w:rPr>
        <w:t>以合同暂定总价的</w:t>
      </w:r>
      <w:r>
        <w:rPr>
          <w:rFonts w:ascii="宋体" w:hAnsi="宋体" w:cs="宋体"/>
          <w:sz w:val="24"/>
          <w:u w:val="single"/>
        </w:rPr>
        <w:t>10%</w:t>
      </w:r>
      <w:r>
        <w:rPr>
          <w:rFonts w:hint="eastAsia" w:ascii="宋体" w:hAnsi="宋体" w:cs="宋体"/>
          <w:sz w:val="24"/>
          <w:u w:val="single"/>
        </w:rPr>
        <w:t>作为履约保证金，</w:t>
      </w:r>
      <w:r>
        <w:rPr>
          <w:rFonts w:hint="eastAsia" w:ascii="宋体" w:hAnsi="宋体" w:cs="宋体"/>
          <w:sz w:val="24"/>
        </w:rPr>
        <w:t>金额为：</w:t>
      </w:r>
      <w:r>
        <w:rPr>
          <w:rFonts w:hint="eastAsia" w:ascii="宋体" w:hAnsi="宋体" w:cs="宋体"/>
          <w:sz w:val="24"/>
          <w:lang w:eastAsia="zh-CN"/>
        </w:rPr>
        <w:t>…</w:t>
      </w:r>
      <w:r>
        <w:rPr>
          <w:rFonts w:hint="eastAsia" w:ascii="宋体" w:hAnsi="宋体" w:cs="宋体"/>
          <w:sz w:val="24"/>
          <w:u w:val="single"/>
        </w:rPr>
        <w:t>（大写人民币：</w:t>
      </w:r>
      <w:r>
        <w:rPr>
          <w:rFonts w:hint="eastAsia" w:ascii="宋体" w:hAnsi="宋体" w:cs="宋体"/>
          <w:sz w:val="24"/>
          <w:u w:val="single"/>
          <w:lang w:eastAsia="zh-CN"/>
        </w:rPr>
        <w:t>…</w:t>
      </w:r>
      <w:r>
        <w:rPr>
          <w:rFonts w:hint="eastAsia" w:ascii="宋体" w:hAnsi="宋体" w:cs="宋体"/>
          <w:sz w:val="24"/>
          <w:u w:val="single"/>
        </w:rPr>
        <w:t>），</w:t>
      </w:r>
      <w:r>
        <w:rPr>
          <w:rFonts w:hint="eastAsia" w:ascii="宋体" w:hAnsi="宋体" w:cs="宋体"/>
          <w:sz w:val="24"/>
        </w:rPr>
        <w:t>未按时提供的，甲方有权解除合同并要求乙方支付</w:t>
      </w:r>
      <w:r>
        <w:rPr>
          <w:rFonts w:hint="eastAsia" w:ascii="宋体" w:hAnsi="宋体" w:cs="宋体"/>
          <w:sz w:val="24"/>
          <w:u w:val="single"/>
        </w:rPr>
        <w:t>合同暂定总价</w:t>
      </w:r>
      <w:r>
        <w:rPr>
          <w:rFonts w:ascii="宋体" w:hAnsi="宋体" w:cs="宋体"/>
          <w:sz w:val="24"/>
          <w:u w:val="single"/>
        </w:rPr>
        <w:t>20%</w:t>
      </w:r>
      <w:r>
        <w:rPr>
          <w:rFonts w:hint="eastAsia" w:ascii="宋体" w:hAnsi="宋体" w:cs="宋体"/>
          <w:sz w:val="24"/>
        </w:rPr>
        <w:t>作为违约金。</w:t>
      </w:r>
    </w:p>
    <w:p>
      <w:pPr>
        <w:pStyle w:val="23"/>
        <w:keepNext w:val="0"/>
        <w:keepLines w:val="0"/>
        <w:pageBreakBefore w:val="0"/>
        <w:kinsoku/>
        <w:wordWrap/>
        <w:overflowPunct/>
        <w:topLinePunct w:val="0"/>
        <w:autoSpaceDE/>
        <w:autoSpaceDN/>
        <w:bidi w:val="0"/>
        <w:spacing w:before="0" w:beforeAutospacing="0" w:after="0" w:afterAutospacing="0" w:line="500" w:lineRule="exact"/>
        <w:ind w:firstLine="480" w:firstLineChars="200"/>
        <w:textAlignment w:val="auto"/>
      </w:pPr>
      <w:r>
        <w:rPr>
          <w:rFonts w:cs="宋体"/>
          <w:color w:val="auto"/>
        </w:rPr>
        <w:t>8.5.1</w:t>
      </w:r>
      <w:r>
        <w:t>履约担保</w:t>
      </w:r>
      <w:r>
        <w:rPr>
          <w:rFonts w:hint="eastAsia"/>
        </w:rPr>
        <w:t>按以下任一种形式提供</w:t>
      </w:r>
      <w:r>
        <w:t>：</w:t>
      </w:r>
    </w:p>
    <w:p>
      <w:pPr>
        <w:pStyle w:val="23"/>
        <w:keepNext w:val="0"/>
        <w:keepLines w:val="0"/>
        <w:pageBreakBefore w:val="0"/>
        <w:kinsoku/>
        <w:wordWrap/>
        <w:overflowPunct/>
        <w:topLinePunct w:val="0"/>
        <w:autoSpaceDE/>
        <w:autoSpaceDN/>
        <w:bidi w:val="0"/>
        <w:spacing w:before="0" w:beforeAutospacing="0" w:after="0" w:afterAutospacing="0" w:line="500" w:lineRule="exact"/>
        <w:ind w:firstLine="480"/>
        <w:textAlignment w:val="auto"/>
      </w:pPr>
      <w:r>
        <w:rPr>
          <w:rFonts w:hint="eastAsia"/>
        </w:rPr>
        <w:t>（1）符合甲方要求（详见附件7保函格式）的银行独立保函，</w:t>
      </w:r>
    </w:p>
    <w:p>
      <w:pPr>
        <w:pStyle w:val="23"/>
        <w:keepNext w:val="0"/>
        <w:keepLines w:val="0"/>
        <w:pageBreakBefore w:val="0"/>
        <w:kinsoku/>
        <w:wordWrap/>
        <w:overflowPunct/>
        <w:topLinePunct w:val="0"/>
        <w:autoSpaceDE/>
        <w:autoSpaceDN/>
        <w:bidi w:val="0"/>
        <w:spacing w:before="0" w:beforeAutospacing="0" w:after="0" w:afterAutospacing="0" w:line="500" w:lineRule="exact"/>
        <w:ind w:firstLine="480"/>
        <w:textAlignment w:val="auto"/>
      </w:pPr>
      <w:r>
        <w:rPr>
          <w:rFonts w:hint="eastAsia"/>
        </w:rPr>
        <w:t>（2）现金转账至甲方以下指定账户：</w:t>
      </w:r>
    </w:p>
    <w:p>
      <w:pPr>
        <w:keepNext w:val="0"/>
        <w:keepLines w:val="0"/>
        <w:pageBreakBefore w:val="0"/>
        <w:tabs>
          <w:tab w:val="left" w:pos="1995"/>
        </w:tabs>
        <w:kinsoku/>
        <w:wordWrap/>
        <w:overflowPunct/>
        <w:topLinePunct w:val="0"/>
        <w:autoSpaceDE/>
        <w:autoSpaceDN/>
        <w:bidi w:val="0"/>
        <w:spacing w:line="500" w:lineRule="exact"/>
        <w:ind w:firstLine="480" w:firstLineChars="200"/>
        <w:textAlignment w:val="auto"/>
        <w:rPr>
          <w:rFonts w:ascii="宋体" w:hAnsi="宋体" w:cs="宋体"/>
          <w:bCs/>
          <w:sz w:val="24"/>
        </w:rPr>
      </w:pPr>
      <w:r>
        <w:rPr>
          <w:rFonts w:hint="eastAsia" w:ascii="宋体" w:hAnsi="宋体" w:cs="宋体"/>
          <w:bCs/>
          <w:sz w:val="24"/>
        </w:rPr>
        <w:t>户名：广州市净水有限公司</w:t>
      </w:r>
    </w:p>
    <w:p>
      <w:pPr>
        <w:keepNext w:val="0"/>
        <w:keepLines w:val="0"/>
        <w:pageBreakBefore w:val="0"/>
        <w:tabs>
          <w:tab w:val="left" w:pos="1995"/>
        </w:tabs>
        <w:kinsoku/>
        <w:wordWrap/>
        <w:overflowPunct/>
        <w:topLinePunct w:val="0"/>
        <w:autoSpaceDE/>
        <w:autoSpaceDN/>
        <w:bidi w:val="0"/>
        <w:spacing w:line="500" w:lineRule="exact"/>
        <w:ind w:firstLine="480" w:firstLineChars="200"/>
        <w:textAlignment w:val="auto"/>
        <w:rPr>
          <w:rFonts w:ascii="宋体" w:hAnsi="宋体" w:cs="宋体"/>
          <w:bCs/>
          <w:sz w:val="24"/>
        </w:rPr>
      </w:pPr>
      <w:r>
        <w:rPr>
          <w:rFonts w:hint="eastAsia" w:ascii="宋体" w:hAnsi="宋体" w:cs="宋体"/>
          <w:bCs/>
          <w:sz w:val="24"/>
        </w:rPr>
        <w:t>账号：</w:t>
      </w:r>
      <w:r>
        <w:rPr>
          <w:rFonts w:ascii="宋体" w:hAnsi="宋体" w:cs="宋体"/>
          <w:bCs/>
          <w:sz w:val="24"/>
        </w:rPr>
        <w:t>82010154900000342</w:t>
      </w:r>
    </w:p>
    <w:p>
      <w:pPr>
        <w:keepNext w:val="0"/>
        <w:keepLines w:val="0"/>
        <w:pageBreakBefore w:val="0"/>
        <w:tabs>
          <w:tab w:val="left" w:pos="1995"/>
        </w:tabs>
        <w:kinsoku/>
        <w:wordWrap/>
        <w:overflowPunct/>
        <w:topLinePunct w:val="0"/>
        <w:autoSpaceDE/>
        <w:autoSpaceDN/>
        <w:bidi w:val="0"/>
        <w:spacing w:line="500" w:lineRule="exact"/>
        <w:ind w:firstLine="480" w:firstLineChars="200"/>
        <w:textAlignment w:val="auto"/>
        <w:rPr>
          <w:rFonts w:ascii="宋体" w:hAnsi="宋体" w:cs="宋体"/>
          <w:bCs/>
          <w:sz w:val="24"/>
        </w:rPr>
      </w:pPr>
      <w:r>
        <w:rPr>
          <w:rFonts w:hint="eastAsia" w:ascii="宋体" w:hAnsi="宋体" w:cs="宋体"/>
          <w:bCs/>
          <w:sz w:val="24"/>
        </w:rPr>
        <w:t>开户行：浦发银行广州分行</w:t>
      </w:r>
    </w:p>
    <w:p>
      <w:pPr>
        <w:keepNext w:val="0"/>
        <w:keepLines w:val="0"/>
        <w:pageBreakBefore w:val="0"/>
        <w:kinsoku/>
        <w:wordWrap/>
        <w:overflowPunct/>
        <w:topLinePunct w:val="0"/>
        <w:autoSpaceDE/>
        <w:autoSpaceDN/>
        <w:bidi w:val="0"/>
        <w:spacing w:line="500" w:lineRule="exact"/>
        <w:ind w:firstLine="480" w:firstLineChars="200"/>
        <w:textAlignment w:val="auto"/>
        <w:outlineLvl w:val="0"/>
        <w:rPr>
          <w:rFonts w:ascii="宋体" w:hAnsi="宋体" w:cs="宋体"/>
          <w:sz w:val="24"/>
        </w:rPr>
      </w:pPr>
      <w:r>
        <w:rPr>
          <w:rFonts w:ascii="宋体" w:hAnsi="宋体" w:cs="宋体"/>
          <w:sz w:val="24"/>
        </w:rPr>
        <w:t>8.5.2</w:t>
      </w:r>
      <w:r>
        <w:rPr>
          <w:rFonts w:hint="eastAsia" w:ascii="宋体" w:hAnsi="宋体" w:cs="宋体"/>
          <w:sz w:val="24"/>
        </w:rPr>
        <w:t>履约担保的担保期限和返还</w:t>
      </w:r>
    </w:p>
    <w:p>
      <w:pPr>
        <w:keepNext w:val="0"/>
        <w:keepLines w:val="0"/>
        <w:pageBreakBefore w:val="0"/>
        <w:kinsoku/>
        <w:wordWrap/>
        <w:overflowPunct/>
        <w:topLinePunct w:val="0"/>
        <w:autoSpaceDE/>
        <w:autoSpaceDN/>
        <w:bidi w:val="0"/>
        <w:spacing w:line="500" w:lineRule="exact"/>
        <w:ind w:firstLine="480"/>
        <w:textAlignment w:val="auto"/>
        <w:outlineLvl w:val="0"/>
        <w:rPr>
          <w:rFonts w:ascii="宋体" w:hAnsi="宋体" w:cs="宋体"/>
          <w:sz w:val="24"/>
        </w:rPr>
      </w:pPr>
      <w:r>
        <w:rPr>
          <w:rFonts w:hint="eastAsia" w:ascii="宋体" w:hAnsi="宋体" w:cs="宋体"/>
          <w:sz w:val="24"/>
        </w:rPr>
        <w:t>⑴履约银行保函（或现金履约保证金）的担保期限：从提供履约担保（或转账成功）之日起至合同履行完成。</w:t>
      </w:r>
    </w:p>
    <w:p>
      <w:pPr>
        <w:keepNext w:val="0"/>
        <w:keepLines w:val="0"/>
        <w:pageBreakBefore w:val="0"/>
        <w:kinsoku/>
        <w:wordWrap/>
        <w:overflowPunct/>
        <w:topLinePunct w:val="0"/>
        <w:autoSpaceDE/>
        <w:autoSpaceDN/>
        <w:bidi w:val="0"/>
        <w:spacing w:line="500" w:lineRule="exact"/>
        <w:ind w:firstLine="480" w:firstLineChars="200"/>
        <w:textAlignment w:val="auto"/>
        <w:rPr>
          <w:rFonts w:ascii="宋体" w:hAnsi="宋体" w:cs="宋体"/>
          <w:sz w:val="24"/>
        </w:rPr>
      </w:pPr>
      <w:r>
        <w:rPr>
          <w:rFonts w:hint="eastAsia" w:ascii="宋体" w:hAnsi="宋体" w:cs="宋体"/>
          <w:sz w:val="24"/>
        </w:rPr>
        <w:t>⑵履约银行保函在合同履行完成后，由乙方提出申请，甲方在28日内返还，不支付利息：</w:t>
      </w:r>
    </w:p>
    <w:p>
      <w:pPr>
        <w:keepNext w:val="0"/>
        <w:keepLines w:val="0"/>
        <w:pageBreakBefore w:val="0"/>
        <w:kinsoku/>
        <w:wordWrap/>
        <w:overflowPunct/>
        <w:topLinePunct w:val="0"/>
        <w:autoSpaceDE/>
        <w:autoSpaceDN/>
        <w:bidi w:val="0"/>
        <w:spacing w:line="500" w:lineRule="exact"/>
        <w:ind w:firstLine="600" w:firstLineChars="250"/>
        <w:textAlignment w:val="auto"/>
        <w:outlineLvl w:val="0"/>
        <w:rPr>
          <w:rFonts w:ascii="宋体" w:hAnsi="宋体" w:cs="宋体"/>
          <w:sz w:val="24"/>
        </w:rPr>
      </w:pPr>
      <w:r>
        <w:rPr>
          <w:rFonts w:hint="eastAsia" w:ascii="宋体" w:hAnsi="宋体" w:cs="宋体"/>
          <w:sz w:val="24"/>
        </w:rPr>
        <w:t>⑶延长担保期限。乙方以履约银行保函形式提交履约保证金的，在银行保函到期前，乙方应提前</w:t>
      </w:r>
      <w:r>
        <w:rPr>
          <w:rFonts w:ascii="宋体" w:hAnsi="宋体" w:cs="宋体"/>
          <w:sz w:val="24"/>
          <w:u w:val="single"/>
        </w:rPr>
        <w:t xml:space="preserve"> 7 </w:t>
      </w:r>
      <w:r>
        <w:rPr>
          <w:rFonts w:hint="eastAsia" w:ascii="宋体" w:hAnsi="宋体" w:cs="宋体"/>
          <w:sz w:val="24"/>
        </w:rPr>
        <w:t>日向甲方提交新的保函以替换即将到期的保函。如乙方未及时提交的，甲方有权直接要求担保银行支付其担保的全部金额并解除合同。</w:t>
      </w:r>
    </w:p>
    <w:p>
      <w:pPr>
        <w:pStyle w:val="23"/>
        <w:keepNext w:val="0"/>
        <w:keepLines w:val="0"/>
        <w:pageBreakBefore w:val="0"/>
        <w:kinsoku/>
        <w:wordWrap/>
        <w:overflowPunct/>
        <w:topLinePunct w:val="0"/>
        <w:autoSpaceDE/>
        <w:autoSpaceDN/>
        <w:bidi w:val="0"/>
        <w:spacing w:before="0" w:beforeAutospacing="0" w:after="0" w:afterAutospacing="0" w:line="500" w:lineRule="exact"/>
        <w:ind w:left="199" w:leftChars="95" w:firstLine="360" w:firstLineChars="150"/>
        <w:textAlignment w:val="auto"/>
        <w:rPr>
          <w:rFonts w:cs="宋体"/>
          <w:color w:val="auto"/>
          <w:u w:val="single"/>
        </w:rPr>
      </w:pPr>
      <w:r>
        <w:rPr>
          <w:rFonts w:hint="eastAsia" w:cs="宋体"/>
          <w:color w:val="auto"/>
        </w:rPr>
        <w:t>（</w:t>
      </w:r>
      <w:r>
        <w:rPr>
          <w:rFonts w:cs="宋体"/>
          <w:color w:val="auto"/>
        </w:rPr>
        <w:t>4</w:t>
      </w:r>
      <w:r>
        <w:rPr>
          <w:rFonts w:hint="eastAsia" w:cs="宋体"/>
          <w:color w:val="auto"/>
        </w:rPr>
        <w:t>）现金履约保证金的退还：合同履行完成后，由乙方提出申请，甲方在</w:t>
      </w:r>
      <w:r>
        <w:rPr>
          <w:rFonts w:hint="eastAsia" w:cs="宋体"/>
          <w:color w:val="auto"/>
          <w:u w:val="single"/>
        </w:rPr>
        <w:t>28日</w:t>
      </w:r>
      <w:r>
        <w:rPr>
          <w:rFonts w:hint="eastAsia" w:cs="宋体"/>
          <w:color w:val="auto"/>
        </w:rPr>
        <w:t>内将剩余保证金（无息）返还。</w:t>
      </w:r>
    </w:p>
    <w:p>
      <w:pPr>
        <w:keepNext w:val="0"/>
        <w:keepLines w:val="0"/>
        <w:pageBreakBefore w:val="0"/>
        <w:kinsoku/>
        <w:wordWrap/>
        <w:overflowPunct/>
        <w:topLinePunct w:val="0"/>
        <w:autoSpaceDE/>
        <w:autoSpaceDN/>
        <w:bidi w:val="0"/>
        <w:spacing w:line="500" w:lineRule="exact"/>
        <w:ind w:firstLine="480" w:firstLineChars="200"/>
        <w:textAlignment w:val="auto"/>
        <w:rPr>
          <w:rFonts w:ascii="宋体" w:hAnsi="宋体" w:cs="宋体"/>
          <w:sz w:val="24"/>
        </w:rPr>
      </w:pPr>
      <w:r>
        <w:rPr>
          <w:rFonts w:ascii="宋体" w:hAnsi="宋体" w:cs="宋体"/>
          <w:sz w:val="24"/>
        </w:rPr>
        <w:t>8.5.3</w:t>
      </w:r>
      <w:r>
        <w:rPr>
          <w:rFonts w:hint="eastAsia" w:ascii="宋体" w:hAnsi="宋体" w:cs="宋体"/>
          <w:sz w:val="24"/>
        </w:rPr>
        <w:t>甲方按本合同规定提取履约担保金额后，乙方应在收到甲方通知后</w:t>
      </w:r>
      <w:r>
        <w:rPr>
          <w:rFonts w:ascii="宋体" w:hAnsi="宋体" w:cs="宋体"/>
          <w:sz w:val="24"/>
          <w:u w:val="single"/>
        </w:rPr>
        <w:t xml:space="preserve"> 7  </w:t>
      </w:r>
      <w:r>
        <w:rPr>
          <w:rFonts w:hint="eastAsia" w:ascii="宋体" w:hAnsi="宋体" w:cs="宋体"/>
          <w:sz w:val="24"/>
        </w:rPr>
        <w:t>日内补足数额，逾期未补足的，则甲方有权提取履约担保的全部余额并解除合同。</w:t>
      </w:r>
    </w:p>
    <w:p>
      <w:pPr>
        <w:keepNext w:val="0"/>
        <w:keepLines w:val="0"/>
        <w:pageBreakBefore w:val="0"/>
        <w:tabs>
          <w:tab w:val="left" w:pos="851"/>
        </w:tabs>
        <w:kinsoku/>
        <w:wordWrap/>
        <w:overflowPunct/>
        <w:topLinePunct w:val="0"/>
        <w:autoSpaceDE/>
        <w:autoSpaceDN/>
        <w:bidi w:val="0"/>
        <w:adjustRightInd w:val="0"/>
        <w:snapToGrid w:val="0"/>
        <w:spacing w:line="500" w:lineRule="exact"/>
        <w:ind w:firstLine="480" w:firstLineChars="200"/>
        <w:jc w:val="left"/>
        <w:textAlignment w:val="auto"/>
        <w:outlineLvl w:val="1"/>
        <w:rPr>
          <w:rFonts w:ascii="宋体" w:hAnsi="宋体" w:eastAsia="宋体" w:cs="宋体"/>
          <w:bCs/>
          <w:sz w:val="24"/>
          <w:bdr w:val="single" w:color="auto" w:sz="4" w:space="0"/>
        </w:rPr>
      </w:pPr>
      <w:r>
        <w:rPr>
          <w:rFonts w:ascii="宋体" w:hAnsi="宋体" w:eastAsia="宋体" w:cs="宋体"/>
          <w:sz w:val="24"/>
        </w:rPr>
        <w:t>8.6</w:t>
      </w:r>
      <w:r>
        <w:rPr>
          <w:rFonts w:hint="eastAsia" w:ascii="宋体" w:hAnsi="宋体" w:eastAsia="宋体" w:cs="宋体"/>
          <w:sz w:val="24"/>
        </w:rPr>
        <w:t xml:space="preserve">付款方式： </w:t>
      </w:r>
      <w:r>
        <w:rPr>
          <w:rFonts w:hint="eastAsia" w:ascii="宋体" w:hAnsi="宋体" w:eastAsia="宋体" w:cs="宋体"/>
          <w:sz w:val="24"/>
        </w:rPr>
        <w:sym w:font="Wingdings" w:char="00FE"/>
      </w:r>
      <w:r>
        <w:rPr>
          <w:rFonts w:hint="eastAsia" w:ascii="宋体" w:hAnsi="宋体" w:eastAsia="宋体" w:cs="宋体"/>
          <w:sz w:val="24"/>
        </w:rPr>
        <w:t xml:space="preserve">网银支付；  </w:t>
      </w:r>
      <w:r>
        <w:rPr>
          <w:rFonts w:hint="eastAsia" w:ascii="宋体" w:hAnsi="宋体" w:eastAsia="宋体" w:cs="宋体"/>
          <w:sz w:val="24"/>
        </w:rPr>
        <w:sym w:font="Wingdings" w:char="00A8"/>
      </w:r>
      <w:r>
        <w:rPr>
          <w:rFonts w:hint="eastAsia" w:ascii="宋体" w:hAnsi="宋体" w:eastAsia="宋体" w:cs="宋体"/>
          <w:sz w:val="24"/>
        </w:rPr>
        <w:t xml:space="preserve">支票；   </w:t>
      </w:r>
      <w:r>
        <w:rPr>
          <w:rFonts w:hint="eastAsia" w:ascii="宋体" w:hAnsi="宋体" w:eastAsia="宋体" w:cs="宋体"/>
          <w:sz w:val="24"/>
        </w:rPr>
        <w:sym w:font="Wingdings" w:char="00A8"/>
      </w:r>
      <w:r>
        <w:rPr>
          <w:rFonts w:hint="eastAsia" w:ascii="宋体" w:hAnsi="宋体" w:eastAsia="宋体" w:cs="宋体"/>
          <w:sz w:val="24"/>
        </w:rPr>
        <w:t>其他：</w:t>
      </w:r>
    </w:p>
    <w:p>
      <w:pPr>
        <w:spacing w:line="384" w:lineRule="auto"/>
        <w:ind w:firstLine="482" w:firstLineChars="200"/>
        <w:rPr>
          <w:rFonts w:hint="eastAsia" w:ascii="宋体" w:hAnsi="宋体" w:cs="宋体"/>
          <w:b/>
          <w:bCs/>
          <w:color w:val="auto"/>
          <w:sz w:val="24"/>
          <w:highlight w:val="none"/>
        </w:rPr>
      </w:pPr>
    </w:p>
    <w:p>
      <w:pPr>
        <w:spacing w:line="384" w:lineRule="auto"/>
        <w:ind w:firstLine="482"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rPr>
        <w:t>第九条竣工验收</w:t>
      </w:r>
    </w:p>
    <w:p>
      <w:pPr>
        <w:spacing w:line="384" w:lineRule="auto"/>
        <w:ind w:firstLine="480" w:firstLineChars="200"/>
        <w:rPr>
          <w:rFonts w:ascii="宋体" w:hAnsi="宋体" w:cs="宋体"/>
          <w:sz w:val="24"/>
          <w:szCs w:val="24"/>
        </w:rPr>
      </w:pPr>
      <w:bookmarkStart w:id="97" w:name="_Toc520190034"/>
      <w:bookmarkStart w:id="98" w:name="_Toc518992994"/>
      <w:bookmarkStart w:id="99" w:name="_Toc474245220"/>
      <w:r>
        <w:rPr>
          <w:rFonts w:ascii="宋体" w:hAnsi="宋体" w:cs="宋体"/>
          <w:sz w:val="24"/>
          <w:szCs w:val="24"/>
        </w:rPr>
        <w:t>9.1</w:t>
      </w:r>
      <w:r>
        <w:rPr>
          <w:rFonts w:hint="eastAsia" w:ascii="宋体" w:hAnsi="宋体" w:cs="宋体"/>
          <w:sz w:val="24"/>
          <w:szCs w:val="24"/>
        </w:rPr>
        <w:t>乙方应在工程完工后</w:t>
      </w:r>
      <w:r>
        <w:rPr>
          <w:rFonts w:ascii="宋体" w:hAnsi="宋体" w:cs="宋体"/>
          <w:sz w:val="24"/>
          <w:szCs w:val="24"/>
        </w:rPr>
        <w:t>30</w:t>
      </w:r>
      <w:r>
        <w:rPr>
          <w:rFonts w:hint="eastAsia" w:ascii="宋体" w:hAnsi="宋体" w:cs="宋体"/>
          <w:sz w:val="24"/>
          <w:szCs w:val="24"/>
        </w:rPr>
        <w:t>天内将经甲方审核的完整竣工资料（含竣工图）和竣工验收报告各</w:t>
      </w:r>
      <w:r>
        <w:rPr>
          <w:rFonts w:hint="eastAsia" w:ascii="宋体" w:hAnsi="宋体" w:cs="宋体"/>
          <w:sz w:val="24"/>
          <w:szCs w:val="24"/>
          <w:u w:val="single"/>
        </w:rPr>
        <w:t>一式四份</w:t>
      </w:r>
      <w:r>
        <w:rPr>
          <w:rFonts w:hint="eastAsia" w:ascii="宋体" w:hAnsi="宋体" w:cs="宋体"/>
          <w:sz w:val="24"/>
          <w:szCs w:val="24"/>
        </w:rPr>
        <w:t>交甲方，不按时报送工程竣工资料的，每逾期一天，甲方要求乙方支付</w:t>
      </w:r>
      <w:r>
        <w:rPr>
          <w:rFonts w:hint="eastAsia" w:ascii="宋体" w:hAnsi="宋体" w:cs="宋体"/>
          <w:sz w:val="24"/>
          <w:szCs w:val="24"/>
          <w:u w:val="single"/>
        </w:rPr>
        <w:t>合同暂定总价</w:t>
      </w:r>
      <w:r>
        <w:rPr>
          <w:rFonts w:hint="eastAsia" w:ascii="宋体" w:hAnsi="宋体" w:cs="宋体"/>
          <w:bCs/>
          <w:sz w:val="24"/>
          <w:szCs w:val="24"/>
          <w:u w:val="single"/>
        </w:rPr>
        <w:t>万分之五</w:t>
      </w:r>
      <w:r>
        <w:rPr>
          <w:rFonts w:ascii="宋体" w:hAnsi="宋体" w:cs="宋体"/>
          <w:bCs/>
          <w:sz w:val="24"/>
          <w:szCs w:val="24"/>
          <w:u w:val="single"/>
        </w:rPr>
        <w:t>/</w:t>
      </w:r>
      <w:r>
        <w:rPr>
          <w:rFonts w:hint="eastAsia" w:ascii="宋体" w:hAnsi="宋体" w:cs="宋体"/>
          <w:bCs/>
          <w:sz w:val="24"/>
          <w:szCs w:val="24"/>
          <w:u w:val="single"/>
        </w:rPr>
        <w:t>天</w:t>
      </w:r>
      <w:r>
        <w:rPr>
          <w:rFonts w:hint="eastAsia" w:ascii="宋体" w:hAnsi="宋体" w:cs="宋体"/>
          <w:sz w:val="24"/>
          <w:szCs w:val="24"/>
        </w:rPr>
        <w:t>，并在支付合同款时抵扣。</w:t>
      </w:r>
    </w:p>
    <w:p>
      <w:pPr>
        <w:spacing w:line="384" w:lineRule="auto"/>
        <w:ind w:firstLine="480" w:firstLineChars="200"/>
        <w:rPr>
          <w:rFonts w:ascii="宋体" w:hAnsi="宋体" w:cs="宋体"/>
          <w:sz w:val="24"/>
          <w:szCs w:val="24"/>
        </w:rPr>
      </w:pPr>
      <w:r>
        <w:rPr>
          <w:rFonts w:ascii="宋体" w:hAnsi="宋体" w:cs="宋体"/>
          <w:sz w:val="24"/>
          <w:szCs w:val="24"/>
        </w:rPr>
        <w:t>9.2</w:t>
      </w:r>
      <w:r>
        <w:rPr>
          <w:rFonts w:hint="eastAsia" w:ascii="宋体" w:hAnsi="宋体" w:cs="宋体"/>
          <w:sz w:val="24"/>
          <w:szCs w:val="24"/>
        </w:rPr>
        <w:t>甲方收到完整的竣工验收资料（完整的竣工验收资料：施工方案、开工</w:t>
      </w:r>
      <w:r>
        <w:rPr>
          <w:rFonts w:ascii="宋体" w:hAnsi="宋体" w:cs="宋体"/>
          <w:sz w:val="24"/>
          <w:szCs w:val="24"/>
        </w:rPr>
        <w:t>/</w:t>
      </w:r>
      <w:r>
        <w:rPr>
          <w:rFonts w:hint="eastAsia" w:ascii="宋体" w:hAnsi="宋体" w:cs="宋体"/>
          <w:sz w:val="24"/>
          <w:szCs w:val="24"/>
        </w:rPr>
        <w:t>竣工报告、安全备案整套资料、本合同书、询价文件</w:t>
      </w:r>
      <w:r>
        <w:rPr>
          <w:rFonts w:ascii="宋体" w:hAnsi="宋体" w:cs="宋体"/>
          <w:sz w:val="24"/>
          <w:szCs w:val="24"/>
        </w:rPr>
        <w:t>/</w:t>
      </w:r>
      <w:r>
        <w:rPr>
          <w:rFonts w:hint="eastAsia" w:ascii="宋体" w:hAnsi="宋体" w:cs="宋体"/>
          <w:sz w:val="24"/>
          <w:szCs w:val="24"/>
        </w:rPr>
        <w:t>响应文件、中标通知书</w:t>
      </w:r>
      <w:r>
        <w:rPr>
          <w:rFonts w:ascii="宋体" w:hAnsi="宋体" w:cs="宋体"/>
          <w:sz w:val="24"/>
          <w:szCs w:val="24"/>
        </w:rPr>
        <w:t>/</w:t>
      </w:r>
      <w:r>
        <w:rPr>
          <w:rFonts w:hint="eastAsia" w:ascii="宋体" w:hAnsi="宋体" w:cs="宋体"/>
          <w:sz w:val="24"/>
          <w:szCs w:val="24"/>
        </w:rPr>
        <w:t>发包通知书</w:t>
      </w:r>
      <w:r>
        <w:rPr>
          <w:rFonts w:ascii="宋体" w:hAnsi="宋体" w:cs="宋体"/>
          <w:sz w:val="24"/>
          <w:szCs w:val="24"/>
        </w:rPr>
        <w:t>/</w:t>
      </w:r>
      <w:r>
        <w:rPr>
          <w:rFonts w:hint="eastAsia" w:ascii="宋体" w:hAnsi="宋体" w:cs="宋体"/>
          <w:sz w:val="24"/>
          <w:szCs w:val="24"/>
        </w:rPr>
        <w:t>委托书、工程预算送审报告、工程结算书</w:t>
      </w:r>
      <w:r>
        <w:rPr>
          <w:rFonts w:ascii="宋体" w:hAnsi="宋体" w:cs="宋体"/>
          <w:sz w:val="24"/>
          <w:szCs w:val="24"/>
        </w:rPr>
        <w:t>/</w:t>
      </w:r>
      <w:r>
        <w:rPr>
          <w:rFonts w:hint="eastAsia" w:ascii="宋体" w:hAnsi="宋体" w:cs="宋体"/>
          <w:sz w:val="24"/>
          <w:szCs w:val="24"/>
        </w:rPr>
        <w:t>签证记录、备件开箱记录表或送货单、竣工图等，如有必须提供）和竣工验收报告后</w:t>
      </w:r>
      <w:r>
        <w:rPr>
          <w:rFonts w:ascii="宋体" w:hAnsi="宋体" w:cs="宋体"/>
          <w:sz w:val="24"/>
          <w:szCs w:val="24"/>
        </w:rPr>
        <w:t>20</w:t>
      </w:r>
      <w:r>
        <w:rPr>
          <w:rFonts w:hint="eastAsia" w:ascii="宋体" w:hAnsi="宋体" w:cs="宋体"/>
          <w:sz w:val="24"/>
          <w:szCs w:val="24"/>
        </w:rPr>
        <w:t>天内组织有关单位进行验收，工程竣工验收严格按国家、省、市、部门有关文件执行，并在验收后</w:t>
      </w:r>
      <w:r>
        <w:rPr>
          <w:rFonts w:ascii="宋体" w:hAnsi="宋体" w:cs="宋体"/>
          <w:sz w:val="24"/>
          <w:szCs w:val="24"/>
        </w:rPr>
        <w:t>10</w:t>
      </w:r>
      <w:r>
        <w:rPr>
          <w:rFonts w:hint="eastAsia" w:ascii="宋体" w:hAnsi="宋体" w:cs="宋体"/>
          <w:sz w:val="24"/>
          <w:szCs w:val="24"/>
        </w:rPr>
        <w:t>天内给予认可或提出修改意见。乙方按要求修改，并承担修改的费用。</w:t>
      </w:r>
    </w:p>
    <w:p>
      <w:pPr>
        <w:spacing w:line="384" w:lineRule="auto"/>
        <w:ind w:firstLine="480" w:firstLineChars="200"/>
        <w:rPr>
          <w:rFonts w:ascii="宋体" w:hAnsi="宋体" w:cs="宋体"/>
          <w:sz w:val="24"/>
          <w:szCs w:val="24"/>
        </w:rPr>
      </w:pPr>
      <w:r>
        <w:rPr>
          <w:rFonts w:ascii="宋体" w:hAnsi="宋体" w:cs="宋体"/>
          <w:sz w:val="24"/>
          <w:szCs w:val="24"/>
        </w:rPr>
        <w:t>9.3</w:t>
      </w:r>
      <w:r>
        <w:rPr>
          <w:rFonts w:hint="eastAsia" w:ascii="宋体" w:hAnsi="宋体" w:cs="宋体"/>
          <w:sz w:val="24"/>
          <w:szCs w:val="24"/>
        </w:rPr>
        <w:t>工程竣工验收通过，乙方送交完整的竣工验收资料和竣工验收报告的日期为实际竣工日期。工程按甲方要求修改后通过竣工验收的，实际竣工日期为乙方修改后提请甲方验收的日期。</w:t>
      </w:r>
    </w:p>
    <w:p>
      <w:pPr>
        <w:spacing w:line="384" w:lineRule="auto"/>
        <w:ind w:firstLine="480" w:firstLineChars="200"/>
        <w:rPr>
          <w:rFonts w:ascii="宋体" w:hAnsi="宋体" w:cs="宋体"/>
          <w:sz w:val="24"/>
          <w:szCs w:val="24"/>
        </w:rPr>
      </w:pPr>
      <w:r>
        <w:rPr>
          <w:rFonts w:ascii="宋体" w:hAnsi="宋体" w:cs="宋体"/>
          <w:sz w:val="24"/>
          <w:szCs w:val="24"/>
        </w:rPr>
        <w:t>9.4</w:t>
      </w:r>
      <w:r>
        <w:rPr>
          <w:rFonts w:hint="eastAsia" w:ascii="宋体" w:hAnsi="宋体" w:cs="宋体"/>
          <w:sz w:val="24"/>
          <w:szCs w:val="24"/>
        </w:rPr>
        <w:t>竣工档案的整理和移交</w:t>
      </w:r>
    </w:p>
    <w:p>
      <w:pPr>
        <w:spacing w:line="384" w:lineRule="auto"/>
        <w:ind w:firstLine="360" w:firstLineChars="150"/>
        <w:rPr>
          <w:rFonts w:ascii="宋体" w:hAnsi="宋体" w:cs="宋体"/>
          <w:sz w:val="24"/>
          <w:szCs w:val="24"/>
        </w:rPr>
      </w:pPr>
      <w:r>
        <w:rPr>
          <w:rFonts w:hint="eastAsia" w:ascii="宋体" w:hAnsi="宋体" w:cs="宋体"/>
          <w:sz w:val="24"/>
          <w:szCs w:val="24"/>
        </w:rPr>
        <w:t>（</w:t>
      </w:r>
      <w:r>
        <w:rPr>
          <w:rFonts w:ascii="宋体" w:hAnsi="宋体" w:cs="宋体"/>
          <w:sz w:val="24"/>
          <w:szCs w:val="24"/>
        </w:rPr>
        <w:t>1</w:t>
      </w:r>
      <w:r>
        <w:rPr>
          <w:rFonts w:hint="eastAsia" w:ascii="宋体" w:hAnsi="宋体" w:cs="宋体"/>
          <w:sz w:val="24"/>
          <w:szCs w:val="24"/>
        </w:rPr>
        <w:t>）乙方应参照国家《城市建设档案管理规定》、《广州市城市建设档案管理办法》和甲方有关整理工程档案的要求，在工程施工期间及时收集、汇总、整理、编制竣工档案，并于工程竣工验收后按下款约定向甲方完整移交如下竣工档案：</w:t>
      </w:r>
    </w:p>
    <w:p>
      <w:pPr>
        <w:spacing w:line="384" w:lineRule="auto"/>
        <w:ind w:firstLine="360" w:firstLineChars="150"/>
        <w:rPr>
          <w:rFonts w:ascii="宋体" w:hAnsi="宋体" w:cs="宋体"/>
          <w:sz w:val="24"/>
          <w:szCs w:val="24"/>
        </w:rPr>
      </w:pPr>
      <w:r>
        <w:rPr>
          <w:rFonts w:hint="eastAsia" w:ascii="宋体" w:hAnsi="宋体" w:cs="宋体"/>
          <w:sz w:val="24"/>
          <w:szCs w:val="24"/>
        </w:rPr>
        <w:t>（</w:t>
      </w:r>
      <w:r>
        <w:rPr>
          <w:rFonts w:ascii="宋体" w:hAnsi="宋体" w:cs="宋体"/>
          <w:sz w:val="24"/>
          <w:szCs w:val="24"/>
        </w:rPr>
        <w:t>a</w:t>
      </w:r>
      <w:r>
        <w:rPr>
          <w:rFonts w:hint="eastAsia" w:ascii="宋体" w:hAnsi="宋体" w:cs="宋体"/>
          <w:sz w:val="24"/>
          <w:szCs w:val="24"/>
        </w:rPr>
        <w:t>）竣工文件资料、竣工图档案（原件）各一式四份；</w:t>
      </w:r>
    </w:p>
    <w:p>
      <w:pPr>
        <w:spacing w:line="384" w:lineRule="auto"/>
        <w:ind w:firstLine="360" w:firstLineChars="150"/>
        <w:rPr>
          <w:rFonts w:ascii="宋体" w:hAnsi="宋体" w:cs="宋体"/>
          <w:sz w:val="24"/>
          <w:szCs w:val="24"/>
        </w:rPr>
      </w:pPr>
      <w:r>
        <w:rPr>
          <w:rFonts w:hint="eastAsia" w:ascii="宋体" w:hAnsi="宋体" w:cs="宋体"/>
          <w:sz w:val="24"/>
          <w:szCs w:val="24"/>
        </w:rPr>
        <w:t>（</w:t>
      </w:r>
      <w:r>
        <w:rPr>
          <w:rFonts w:ascii="宋体" w:hAnsi="宋体" w:cs="宋体"/>
          <w:sz w:val="24"/>
          <w:szCs w:val="24"/>
        </w:rPr>
        <w:t>b</w:t>
      </w:r>
      <w:r>
        <w:rPr>
          <w:rFonts w:hint="eastAsia" w:ascii="宋体" w:hAnsi="宋体" w:cs="宋体"/>
          <w:sz w:val="24"/>
          <w:szCs w:val="24"/>
        </w:rPr>
        <w:t>）与本款（</w:t>
      </w:r>
      <w:r>
        <w:rPr>
          <w:rFonts w:ascii="宋体" w:hAnsi="宋体" w:cs="宋体"/>
          <w:sz w:val="24"/>
          <w:szCs w:val="24"/>
        </w:rPr>
        <w:t>a</w:t>
      </w:r>
      <w:r>
        <w:rPr>
          <w:rFonts w:hint="eastAsia" w:ascii="宋体" w:hAnsi="宋体" w:cs="宋体"/>
          <w:sz w:val="24"/>
          <w:szCs w:val="24"/>
        </w:rPr>
        <w:t>）项内容相同的电子版档案一式二份；</w:t>
      </w:r>
    </w:p>
    <w:p>
      <w:pPr>
        <w:spacing w:line="384" w:lineRule="auto"/>
        <w:ind w:firstLine="360" w:firstLineChars="150"/>
        <w:rPr>
          <w:rFonts w:ascii="宋体" w:hAnsi="宋体" w:cs="宋体"/>
          <w:sz w:val="24"/>
          <w:szCs w:val="24"/>
        </w:rPr>
      </w:pPr>
      <w:r>
        <w:rPr>
          <w:rFonts w:hint="eastAsia" w:ascii="宋体" w:hAnsi="宋体" w:cs="宋体"/>
          <w:sz w:val="24"/>
          <w:szCs w:val="24"/>
        </w:rPr>
        <w:t>（</w:t>
      </w:r>
      <w:r>
        <w:rPr>
          <w:rFonts w:ascii="宋体" w:hAnsi="宋体" w:cs="宋体"/>
          <w:sz w:val="24"/>
          <w:szCs w:val="24"/>
        </w:rPr>
        <w:t>2</w:t>
      </w:r>
      <w:r>
        <w:rPr>
          <w:rFonts w:hint="eastAsia" w:ascii="宋体" w:hAnsi="宋体" w:cs="宋体"/>
          <w:sz w:val="24"/>
          <w:szCs w:val="24"/>
        </w:rPr>
        <w:t>）乙方移交竣工档案的时限：乙方应于工程竣工验收后</w:t>
      </w:r>
      <w:r>
        <w:rPr>
          <w:rFonts w:ascii="宋体" w:hAnsi="宋体" w:cs="宋体"/>
          <w:sz w:val="24"/>
          <w:szCs w:val="24"/>
        </w:rPr>
        <w:t>30</w:t>
      </w:r>
      <w:r>
        <w:rPr>
          <w:rFonts w:hint="eastAsia" w:ascii="宋体" w:hAnsi="宋体" w:cs="宋体"/>
          <w:sz w:val="24"/>
          <w:szCs w:val="24"/>
        </w:rPr>
        <w:t>天内将竣工档案提交甲方签认。乙方应于甲方签认后</w:t>
      </w:r>
      <w:r>
        <w:rPr>
          <w:rFonts w:ascii="宋体" w:hAnsi="宋体" w:cs="宋体"/>
          <w:sz w:val="24"/>
          <w:szCs w:val="24"/>
        </w:rPr>
        <w:t>10</w:t>
      </w:r>
      <w:r>
        <w:rPr>
          <w:rFonts w:hint="eastAsia" w:ascii="宋体" w:hAnsi="宋体" w:cs="宋体"/>
          <w:sz w:val="24"/>
          <w:szCs w:val="24"/>
        </w:rPr>
        <w:t>天内将竣工档案移交给甲方归档并同时移交有关归档的证明文件。甲方经审查合格的，应在收到竣工档案后</w:t>
      </w:r>
      <w:r>
        <w:rPr>
          <w:rFonts w:ascii="宋体" w:hAnsi="宋体" w:cs="宋体"/>
          <w:sz w:val="24"/>
          <w:szCs w:val="24"/>
        </w:rPr>
        <w:t>10</w:t>
      </w:r>
      <w:r>
        <w:rPr>
          <w:rFonts w:hint="eastAsia" w:ascii="宋体" w:hAnsi="宋体" w:cs="宋体"/>
          <w:sz w:val="24"/>
          <w:szCs w:val="24"/>
        </w:rPr>
        <w:t>天内签署档案验收意见；不合格的，乙方应按甲方要求限期补正，直至合格为止。乙方超过本条规定的时限，每逾期一天支付</w:t>
      </w:r>
      <w:r>
        <w:rPr>
          <w:rFonts w:hint="eastAsia" w:ascii="宋体" w:hAnsi="宋体" w:cs="宋体"/>
          <w:sz w:val="24"/>
          <w:szCs w:val="24"/>
          <w:u w:val="single"/>
        </w:rPr>
        <w:t>合同暂定总价</w:t>
      </w:r>
      <w:r>
        <w:rPr>
          <w:rFonts w:hint="eastAsia" w:ascii="宋体" w:hAnsi="宋体" w:cs="宋体"/>
          <w:bCs/>
          <w:sz w:val="24"/>
          <w:szCs w:val="24"/>
          <w:u w:val="single"/>
        </w:rPr>
        <w:t>万分之五</w:t>
      </w:r>
      <w:r>
        <w:rPr>
          <w:rFonts w:ascii="宋体" w:hAnsi="宋体" w:cs="宋体"/>
          <w:bCs/>
          <w:sz w:val="24"/>
          <w:szCs w:val="24"/>
          <w:u w:val="single"/>
        </w:rPr>
        <w:t>/</w:t>
      </w:r>
      <w:r>
        <w:rPr>
          <w:rFonts w:hint="eastAsia" w:ascii="宋体" w:hAnsi="宋体" w:cs="宋体"/>
          <w:bCs/>
          <w:sz w:val="24"/>
          <w:szCs w:val="24"/>
          <w:u w:val="single"/>
        </w:rPr>
        <w:t>天</w:t>
      </w:r>
      <w:r>
        <w:rPr>
          <w:rFonts w:hint="eastAsia" w:ascii="宋体" w:hAnsi="宋体" w:cs="宋体"/>
          <w:sz w:val="24"/>
          <w:szCs w:val="24"/>
        </w:rPr>
        <w:t>违约金。</w:t>
      </w:r>
    </w:p>
    <w:p>
      <w:pPr>
        <w:spacing w:line="384" w:lineRule="auto"/>
        <w:ind w:firstLine="360" w:firstLineChars="150"/>
        <w:rPr>
          <w:rFonts w:ascii="宋体" w:hAnsi="宋体" w:cs="宋体"/>
          <w:sz w:val="24"/>
          <w:szCs w:val="24"/>
        </w:rPr>
      </w:pPr>
      <w:r>
        <w:rPr>
          <w:rFonts w:hint="eastAsia" w:ascii="宋体" w:hAnsi="宋体" w:cs="宋体"/>
          <w:sz w:val="24"/>
          <w:szCs w:val="24"/>
        </w:rPr>
        <w:t>（</w:t>
      </w:r>
      <w:r>
        <w:rPr>
          <w:rFonts w:ascii="宋体" w:hAnsi="宋体" w:cs="宋体"/>
          <w:sz w:val="24"/>
          <w:szCs w:val="24"/>
        </w:rPr>
        <w:t>3</w:t>
      </w:r>
      <w:r>
        <w:rPr>
          <w:rFonts w:hint="eastAsia" w:ascii="宋体" w:hAnsi="宋体" w:cs="宋体"/>
          <w:sz w:val="24"/>
          <w:szCs w:val="24"/>
        </w:rPr>
        <w:t>）电子版竣工图的编制，以甲方提供的电子版施工图为基础。乙方在移交竣工档案时，应一并移交甲方提供的电子版施工图。</w:t>
      </w:r>
    </w:p>
    <w:p>
      <w:pPr>
        <w:spacing w:line="384" w:lineRule="auto"/>
        <w:ind w:firstLine="480"/>
        <w:rPr>
          <w:rFonts w:hint="eastAsia" w:ascii="宋体" w:hAnsi="宋体" w:cs="宋体"/>
          <w:sz w:val="24"/>
          <w:szCs w:val="24"/>
        </w:rPr>
      </w:pPr>
      <w:r>
        <w:rPr>
          <w:rFonts w:hint="eastAsia" w:ascii="宋体" w:hAnsi="宋体" w:cs="宋体"/>
          <w:sz w:val="24"/>
          <w:szCs w:val="24"/>
        </w:rPr>
        <w:t>电子版施工图和电子版竣工图的知识产权归属甲方所有，非经甲方许可，乙方不得以任何方式复制、备份、转让和利用。否则，由此引起的任何纠纷和责任由乙方承担。</w:t>
      </w:r>
    </w:p>
    <w:p>
      <w:pPr>
        <w:numPr>
          <w:ilvl w:val="0"/>
          <w:numId w:val="0"/>
        </w:numPr>
        <w:spacing w:before="120" w:afterLines="50" w:line="384" w:lineRule="auto"/>
        <w:ind w:firstLine="480" w:firstLineChars="200"/>
        <w:jc w:val="left"/>
        <w:rPr>
          <w:rFonts w:ascii="宋体" w:hAnsi="宋体" w:cs="宋体"/>
          <w:b/>
          <w:bCs/>
          <w:color w:val="auto"/>
          <w:sz w:val="24"/>
          <w:szCs w:val="24"/>
          <w:highlight w:val="none"/>
        </w:rPr>
      </w:pPr>
      <w:r>
        <w:rPr>
          <w:rFonts w:hint="eastAsia" w:ascii="宋体" w:hAnsi="宋体" w:eastAsia="宋体" w:cs="宋体"/>
          <w:sz w:val="24"/>
          <w:szCs w:val="24"/>
          <w:lang w:val="en-US" w:eastAsia="zh-CN"/>
        </w:rPr>
        <w:t>9.5</w:t>
      </w:r>
      <w:r>
        <w:rPr>
          <w:rFonts w:hint="eastAsia" w:ascii="宋体" w:hAnsi="宋体" w:eastAsia="宋体" w:cs="宋体"/>
          <w:sz w:val="24"/>
          <w:szCs w:val="24"/>
        </w:rPr>
        <w:t>本合同竣工验收结算单位为</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lang w:val="en-US" w:eastAsia="zh-CN"/>
        </w:rPr>
        <w:t>广州市净水有限公司</w:t>
      </w:r>
      <w:r>
        <w:rPr>
          <w:rFonts w:hint="eastAsia" w:ascii="宋体" w:hAnsi="宋体" w:cs="宋体"/>
          <w:sz w:val="24"/>
          <w:szCs w:val="24"/>
          <w:u w:val="single"/>
          <w:lang w:val="en-US" w:eastAsia="zh-CN"/>
        </w:rPr>
        <w:t>石井</w:t>
      </w:r>
      <w:r>
        <w:rPr>
          <w:rFonts w:hint="eastAsia" w:ascii="宋体" w:hAnsi="宋体" w:eastAsia="宋体" w:cs="宋体"/>
          <w:sz w:val="24"/>
          <w:szCs w:val="24"/>
          <w:u w:val="single"/>
          <w:lang w:val="en-US" w:eastAsia="zh-CN"/>
        </w:rPr>
        <w:t xml:space="preserve">分公司    </w:t>
      </w:r>
    </w:p>
    <w:bookmarkEnd w:id="97"/>
    <w:bookmarkEnd w:id="98"/>
    <w:bookmarkEnd w:id="99"/>
    <w:p>
      <w:pPr>
        <w:numPr>
          <w:ilvl w:val="0"/>
          <w:numId w:val="5"/>
        </w:numPr>
        <w:spacing w:before="120" w:afterLines="50" w:line="384" w:lineRule="auto"/>
        <w:ind w:firstLine="482" w:firstLineChars="200"/>
        <w:jc w:val="left"/>
        <w:rPr>
          <w:rFonts w:ascii="宋体" w:hAnsi="宋体" w:cs="宋体"/>
          <w:b/>
          <w:bCs/>
          <w:sz w:val="24"/>
        </w:rPr>
      </w:pPr>
      <w:r>
        <w:rPr>
          <w:rFonts w:hint="eastAsia" w:ascii="宋体" w:hAnsi="宋体" w:cs="宋体"/>
          <w:b/>
          <w:bCs/>
          <w:sz w:val="24"/>
        </w:rPr>
        <w:t>质量保证</w:t>
      </w:r>
    </w:p>
    <w:p>
      <w:pPr>
        <w:spacing w:line="384" w:lineRule="auto"/>
        <w:ind w:firstLine="480" w:firstLineChars="200"/>
        <w:rPr>
          <w:rFonts w:ascii="宋体" w:hAnsi="宋体" w:cs="宋体"/>
          <w:sz w:val="24"/>
        </w:rPr>
      </w:pPr>
      <w:r>
        <w:rPr>
          <w:rFonts w:ascii="宋体" w:hAnsi="宋体" w:cs="宋体"/>
          <w:sz w:val="24"/>
        </w:rPr>
        <w:t>10.1</w:t>
      </w:r>
      <w:r>
        <w:rPr>
          <w:rFonts w:hint="eastAsia" w:ascii="宋体" w:hAnsi="宋体" w:cs="宋体"/>
          <w:sz w:val="24"/>
        </w:rPr>
        <w:t>乙方保证所承包的项目质量符合国家相关标准和规范。对产品质量依据原厂商标准及国家标准从严执行。</w:t>
      </w:r>
    </w:p>
    <w:p>
      <w:pPr>
        <w:autoSpaceDE w:val="0"/>
        <w:autoSpaceDN w:val="0"/>
        <w:adjustRightInd w:val="0"/>
        <w:spacing w:line="384" w:lineRule="auto"/>
        <w:ind w:left="420"/>
        <w:rPr>
          <w:rFonts w:ascii="宋体" w:hAnsi="宋体" w:cs="宋体"/>
          <w:kern w:val="0"/>
          <w:sz w:val="24"/>
          <w:lang w:val="zh-CN"/>
        </w:rPr>
      </w:pPr>
      <w:r>
        <w:rPr>
          <w:rFonts w:ascii="宋体" w:hAnsi="宋体" w:cs="宋体"/>
          <w:bCs/>
          <w:sz w:val="24"/>
        </w:rPr>
        <w:t xml:space="preserve">10.2 </w:t>
      </w:r>
      <w:r>
        <w:rPr>
          <w:rFonts w:hint="eastAsia" w:ascii="宋体" w:hAnsi="宋体" w:cs="宋体"/>
          <w:bCs/>
          <w:sz w:val="24"/>
        </w:rPr>
        <w:t>本项目质量保修期为</w:t>
      </w:r>
      <w:r>
        <w:rPr>
          <w:rFonts w:hint="eastAsia" w:ascii="宋体" w:hAnsi="宋体" w:cs="宋体"/>
          <w:kern w:val="0"/>
          <w:sz w:val="24"/>
          <w:lang w:val="zh-CN"/>
        </w:rPr>
        <w:t>自验收合格之日起</w:t>
      </w:r>
      <w:r>
        <w:rPr>
          <w:rFonts w:hint="eastAsia" w:ascii="宋体" w:hAnsi="宋体" w:cs="宋体"/>
          <w:kern w:val="0"/>
          <w:sz w:val="24"/>
          <w:u w:val="single"/>
          <w:lang w:val="en-US" w:eastAsia="zh-CN"/>
        </w:rPr>
        <w:t xml:space="preserve"> 1  </w:t>
      </w:r>
      <w:r>
        <w:rPr>
          <w:rFonts w:hint="eastAsia" w:ascii="宋体" w:hAnsi="宋体" w:cs="宋体"/>
          <w:kern w:val="0"/>
          <w:sz w:val="24"/>
          <w:lang w:val="zh-CN"/>
        </w:rPr>
        <w:t>年。</w:t>
      </w:r>
    </w:p>
    <w:p>
      <w:pPr>
        <w:spacing w:line="384" w:lineRule="auto"/>
        <w:ind w:firstLine="420" w:firstLineChars="175"/>
        <w:rPr>
          <w:rFonts w:ascii="宋体" w:hAnsi="宋体" w:cs="宋体"/>
          <w:bCs/>
          <w:sz w:val="24"/>
        </w:rPr>
      </w:pPr>
      <w:r>
        <w:rPr>
          <w:rFonts w:ascii="宋体" w:hAnsi="宋体" w:cs="宋体"/>
          <w:bCs/>
          <w:sz w:val="24"/>
        </w:rPr>
        <w:t>10.3</w:t>
      </w:r>
      <w:r>
        <w:rPr>
          <w:rFonts w:hint="eastAsia" w:ascii="宋体" w:hAnsi="宋体" w:cs="宋体"/>
          <w:bCs/>
          <w:sz w:val="24"/>
        </w:rPr>
        <w:t>质量保修期期间，本项目的质量问题由乙方免费提供保修服务，乙方应在收到甲方通知后日内派人员到场负责解决及维修，如果乙方不按时到场维修或到场后不能修复的，甲方有权委托他人予以维修，乙方承担由此发生的费用并支付</w:t>
      </w:r>
      <w:r>
        <w:rPr>
          <w:rFonts w:hint="eastAsia" w:ascii="宋体" w:hAnsi="宋体" w:cs="宋体"/>
          <w:bCs/>
          <w:sz w:val="24"/>
          <w:u w:val="single"/>
        </w:rPr>
        <w:t>合同暂定总价的</w:t>
      </w:r>
      <w:r>
        <w:rPr>
          <w:rFonts w:hint="eastAsia" w:ascii="宋体" w:hAnsi="宋体" w:cs="宋体"/>
          <w:bCs/>
          <w:sz w:val="24"/>
          <w:u w:val="single"/>
          <w:lang w:val="en-US" w:eastAsia="zh-CN"/>
        </w:rPr>
        <w:t xml:space="preserve">5 </w:t>
      </w:r>
      <w:r>
        <w:rPr>
          <w:rFonts w:ascii="宋体" w:hAnsi="宋体" w:cs="宋体"/>
          <w:bCs/>
          <w:sz w:val="24"/>
          <w:u w:val="single"/>
        </w:rPr>
        <w:t>%/</w:t>
      </w:r>
      <w:r>
        <w:rPr>
          <w:rFonts w:hint="eastAsia" w:ascii="宋体" w:hAnsi="宋体" w:cs="宋体"/>
          <w:bCs/>
          <w:sz w:val="24"/>
          <w:u w:val="single"/>
        </w:rPr>
        <w:t>次</w:t>
      </w:r>
      <w:r>
        <w:rPr>
          <w:rFonts w:hint="eastAsia" w:ascii="宋体" w:hAnsi="宋体" w:cs="宋体"/>
          <w:bCs/>
          <w:sz w:val="24"/>
        </w:rPr>
        <w:t>作为违约金。</w:t>
      </w:r>
    </w:p>
    <w:p>
      <w:pPr>
        <w:spacing w:beforeLines="50" w:afterLines="50" w:line="384" w:lineRule="auto"/>
        <w:ind w:firstLine="422" w:firstLineChars="175"/>
        <w:jc w:val="left"/>
        <w:rPr>
          <w:rFonts w:ascii="宋体" w:hAnsi="宋体" w:cs="宋体"/>
          <w:sz w:val="24"/>
        </w:rPr>
      </w:pPr>
      <w:bookmarkStart w:id="100" w:name="_Toc19692"/>
      <w:bookmarkStart w:id="101" w:name="_Toc518993000"/>
      <w:bookmarkStart w:id="102" w:name="_Toc520190040"/>
      <w:bookmarkStart w:id="103" w:name="_Toc183666531"/>
      <w:bookmarkStart w:id="104" w:name="_Toc107447255"/>
      <w:bookmarkStart w:id="105" w:name="_Toc474245226"/>
      <w:bookmarkStart w:id="106" w:name="_Toc306350467"/>
      <w:bookmarkStart w:id="107" w:name="_Toc107446862"/>
      <w:r>
        <w:rPr>
          <w:rFonts w:hint="eastAsia" w:ascii="宋体" w:hAnsi="宋体" w:cs="宋体"/>
          <w:b/>
          <w:bCs/>
          <w:sz w:val="24"/>
        </w:rPr>
        <w:t>第十一条不可抗力</w:t>
      </w:r>
      <w:bookmarkEnd w:id="100"/>
      <w:bookmarkEnd w:id="101"/>
      <w:bookmarkEnd w:id="102"/>
      <w:bookmarkEnd w:id="103"/>
      <w:bookmarkEnd w:id="104"/>
      <w:bookmarkEnd w:id="105"/>
      <w:bookmarkEnd w:id="106"/>
      <w:bookmarkEnd w:id="107"/>
    </w:p>
    <w:p>
      <w:pPr>
        <w:widowControl/>
        <w:autoSpaceDE w:val="0"/>
        <w:autoSpaceDN w:val="0"/>
        <w:adjustRightInd w:val="0"/>
        <w:spacing w:line="384" w:lineRule="auto"/>
        <w:ind w:firstLine="480" w:firstLineChars="200"/>
        <w:rPr>
          <w:rFonts w:ascii="宋体" w:hAnsi="宋体" w:cs="宋体"/>
          <w:bCs/>
          <w:sz w:val="24"/>
        </w:rPr>
      </w:pPr>
      <w:bookmarkStart w:id="108" w:name="_Toc306350468"/>
      <w:bookmarkStart w:id="109" w:name="_Toc183666532"/>
      <w:bookmarkStart w:id="110" w:name="_Toc12010"/>
      <w:r>
        <w:rPr>
          <w:rFonts w:ascii="宋体" w:hAnsi="宋体" w:cs="宋体"/>
          <w:bCs/>
          <w:sz w:val="24"/>
        </w:rPr>
        <w:t xml:space="preserve">11.1 </w:t>
      </w:r>
      <w:r>
        <w:rPr>
          <w:rFonts w:hint="eastAsia" w:ascii="宋体" w:hAnsi="宋体" w:cs="宋体"/>
          <w:bCs/>
          <w:sz w:val="24"/>
        </w:rPr>
        <w:t>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widowControl/>
        <w:autoSpaceDE w:val="0"/>
        <w:autoSpaceDN w:val="0"/>
        <w:adjustRightInd w:val="0"/>
        <w:spacing w:line="384" w:lineRule="auto"/>
        <w:ind w:firstLine="480" w:firstLineChars="200"/>
        <w:rPr>
          <w:rFonts w:ascii="宋体" w:hAnsi="宋体" w:cs="宋体"/>
          <w:bCs/>
          <w:sz w:val="24"/>
        </w:rPr>
      </w:pPr>
      <w:r>
        <w:rPr>
          <w:rFonts w:hint="eastAsia" w:ascii="宋体" w:hAnsi="宋体" w:cs="宋体"/>
          <w:bCs/>
          <w:sz w:val="24"/>
        </w:rPr>
        <w:t>⑴地震、火山爆发、滑坡、暴雨（橙色预警及以上）、台风（黄色预警及以上）、海啸、龙卷风、大面积流行病</w:t>
      </w:r>
      <w:r>
        <w:rPr>
          <w:rFonts w:ascii="宋体" w:hAnsi="宋体" w:cs="宋体"/>
          <w:bCs/>
          <w:sz w:val="24"/>
        </w:rPr>
        <w:t>(如：非典型性肺炎等)或瘟疫；</w:t>
      </w:r>
    </w:p>
    <w:p>
      <w:pPr>
        <w:widowControl/>
        <w:autoSpaceDE w:val="0"/>
        <w:autoSpaceDN w:val="0"/>
        <w:adjustRightInd w:val="0"/>
        <w:spacing w:line="384" w:lineRule="auto"/>
        <w:ind w:firstLine="480" w:firstLineChars="200"/>
        <w:rPr>
          <w:rFonts w:ascii="宋体" w:hAnsi="宋体" w:cs="宋体"/>
          <w:bCs/>
          <w:sz w:val="24"/>
        </w:rPr>
      </w:pPr>
      <w:r>
        <w:rPr>
          <w:rFonts w:hint="eastAsia" w:ascii="宋体" w:hAnsi="宋体" w:cs="宋体"/>
          <w:bCs/>
          <w:sz w:val="24"/>
        </w:rPr>
        <w:t>⑵战争行为、入侵、武装冲突或外敌行为、封锁、暴乱、恐怖行为或军事演习；</w:t>
      </w:r>
    </w:p>
    <w:p>
      <w:pPr>
        <w:widowControl/>
        <w:autoSpaceDE w:val="0"/>
        <w:autoSpaceDN w:val="0"/>
        <w:adjustRightInd w:val="0"/>
        <w:spacing w:line="384" w:lineRule="auto"/>
        <w:ind w:firstLine="480" w:firstLineChars="200"/>
        <w:rPr>
          <w:rFonts w:ascii="宋体" w:hAnsi="宋体" w:cs="宋体"/>
          <w:bCs/>
          <w:sz w:val="24"/>
        </w:rPr>
      </w:pPr>
      <w:r>
        <w:rPr>
          <w:rFonts w:ascii="宋体" w:hAnsi="宋体" w:cs="宋体"/>
          <w:bCs/>
          <w:sz w:val="24"/>
        </w:rPr>
        <w:t xml:space="preserve">11.2 </w:t>
      </w:r>
      <w:r>
        <w:rPr>
          <w:rFonts w:hint="eastAsia" w:ascii="宋体" w:hAnsi="宋体" w:cs="宋体"/>
          <w:bCs/>
          <w:sz w:val="24"/>
        </w:rPr>
        <w:t>声称受到不可抗力影响的一方，应在发生不可抗力或知道发生不可抗力之后</w:t>
      </w:r>
      <w:r>
        <w:rPr>
          <w:rFonts w:ascii="宋体" w:hAnsi="宋体" w:cs="宋体"/>
          <w:bCs/>
          <w:sz w:val="24"/>
        </w:rPr>
        <w:t>5日内书面通知另一方，详细描述不可抗力的发生情况和对该方履行在本合同项下义务的影响，同时附上此种不可抗力事件及其持续时间的有效证明文件。</w:t>
      </w:r>
    </w:p>
    <w:p>
      <w:pPr>
        <w:widowControl/>
        <w:autoSpaceDE w:val="0"/>
        <w:autoSpaceDN w:val="0"/>
        <w:adjustRightInd w:val="0"/>
        <w:spacing w:line="384" w:lineRule="auto"/>
        <w:ind w:firstLine="480" w:firstLineChars="200"/>
        <w:rPr>
          <w:rFonts w:ascii="宋体" w:hAnsi="宋体" w:cs="宋体"/>
          <w:bCs/>
          <w:sz w:val="24"/>
        </w:rPr>
      </w:pPr>
      <w:r>
        <w:rPr>
          <w:rFonts w:ascii="宋体" w:hAnsi="宋体" w:cs="宋体"/>
          <w:bCs/>
          <w:sz w:val="24"/>
        </w:rPr>
        <w:t xml:space="preserve">11.3 </w:t>
      </w:r>
      <w:r>
        <w:rPr>
          <w:rFonts w:hint="eastAsia" w:ascii="宋体" w:hAnsi="宋体" w:cs="宋体"/>
          <w:bCs/>
          <w:sz w:val="24"/>
        </w:rPr>
        <w:t>因不可抗力导致合同无法履行的时间自该不可抗力发生日起连续超过玖拾</w:t>
      </w:r>
      <w:r>
        <w:rPr>
          <w:rFonts w:ascii="宋体" w:hAnsi="宋体" w:cs="宋体"/>
          <w:bCs/>
          <w:sz w:val="24"/>
        </w:rPr>
        <w:t>(90)天，双方应协商决定继续履行本合同的条件或者变更本合同。如果自不可抗力发生后壹佰捌拾(180)天之内双方不能达成一致意见，任何一方有权解除本合同。</w:t>
      </w:r>
    </w:p>
    <w:p>
      <w:pPr>
        <w:spacing w:beforeLines="50" w:afterLines="50" w:line="384" w:lineRule="auto"/>
        <w:ind w:firstLine="482"/>
        <w:jc w:val="left"/>
        <w:rPr>
          <w:rFonts w:ascii="宋体" w:hAnsi="宋体" w:cs="宋体"/>
          <w:bCs/>
          <w:sz w:val="24"/>
        </w:rPr>
      </w:pPr>
      <w:r>
        <w:rPr>
          <w:rFonts w:ascii="宋体" w:hAnsi="宋体" w:cs="宋体"/>
          <w:bCs/>
          <w:sz w:val="24"/>
        </w:rPr>
        <w:t xml:space="preserve">11.4 </w:t>
      </w:r>
      <w:r>
        <w:rPr>
          <w:rFonts w:hint="eastAsia" w:ascii="宋体" w:hAnsi="宋体" w:cs="宋体"/>
          <w:bCs/>
          <w:sz w:val="24"/>
        </w:rPr>
        <w:t>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bookmarkStart w:id="111" w:name="_Toc518993001"/>
      <w:bookmarkStart w:id="112" w:name="_Toc520190041"/>
      <w:bookmarkStart w:id="113" w:name="_Toc107447257"/>
      <w:bookmarkStart w:id="114" w:name="_Toc107446864"/>
      <w:bookmarkStart w:id="115" w:name="_Toc474245227"/>
      <w:bookmarkStart w:id="116" w:name="_Toc118172294"/>
    </w:p>
    <w:p>
      <w:pPr>
        <w:spacing w:beforeLines="50" w:afterLines="50" w:line="384" w:lineRule="auto"/>
        <w:ind w:firstLine="482"/>
        <w:jc w:val="left"/>
        <w:rPr>
          <w:rFonts w:ascii="宋体" w:hAnsi="宋体" w:cs="宋体"/>
          <w:b/>
          <w:bCs/>
          <w:sz w:val="24"/>
        </w:rPr>
      </w:pPr>
      <w:r>
        <w:rPr>
          <w:rFonts w:hint="eastAsia" w:ascii="宋体" w:hAnsi="宋体" w:cs="宋体"/>
          <w:b/>
          <w:bCs/>
          <w:sz w:val="24"/>
        </w:rPr>
        <w:t>十二条争议解决</w:t>
      </w:r>
      <w:bookmarkEnd w:id="108"/>
      <w:bookmarkEnd w:id="109"/>
      <w:bookmarkEnd w:id="110"/>
      <w:bookmarkEnd w:id="111"/>
      <w:bookmarkEnd w:id="112"/>
      <w:bookmarkEnd w:id="113"/>
      <w:bookmarkEnd w:id="114"/>
      <w:bookmarkEnd w:id="115"/>
      <w:bookmarkEnd w:id="116"/>
    </w:p>
    <w:p>
      <w:pPr>
        <w:spacing w:line="384" w:lineRule="auto"/>
        <w:ind w:firstLine="482"/>
        <w:rPr>
          <w:rFonts w:ascii="宋体" w:hAnsi="宋体" w:cs="宋体"/>
          <w:bCs/>
          <w:sz w:val="24"/>
        </w:rPr>
      </w:pPr>
      <w:bookmarkStart w:id="117" w:name="_Toc306350469"/>
      <w:bookmarkStart w:id="118" w:name="_Toc183666533"/>
      <w:r>
        <w:rPr>
          <w:rFonts w:ascii="宋体" w:hAnsi="宋体" w:cs="宋体"/>
          <w:bCs/>
          <w:sz w:val="24"/>
        </w:rPr>
        <w:t xml:space="preserve">12.1 </w:t>
      </w:r>
      <w:r>
        <w:rPr>
          <w:rFonts w:hint="eastAsia" w:ascii="宋体" w:hAnsi="宋体" w:cs="宋体"/>
          <w:bCs/>
          <w:sz w:val="24"/>
        </w:rPr>
        <w:t>甲乙双方应通过友好协商，解决在执行本合同所发生的或与本合同有关的一切争议。如协商不能解决争议，任何一方均可依法向甲方所在地人民法院提起诉讼。</w:t>
      </w:r>
    </w:p>
    <w:p>
      <w:pPr>
        <w:spacing w:line="384" w:lineRule="auto"/>
        <w:ind w:firstLine="482"/>
        <w:jc w:val="left"/>
        <w:rPr>
          <w:rFonts w:ascii="宋体" w:hAnsi="宋体" w:cs="宋体"/>
          <w:sz w:val="24"/>
        </w:rPr>
      </w:pPr>
      <w:r>
        <w:rPr>
          <w:rFonts w:ascii="宋体" w:hAnsi="宋体" w:cs="宋体"/>
          <w:bCs/>
          <w:sz w:val="24"/>
        </w:rPr>
        <w:t xml:space="preserve">12.2 </w:t>
      </w:r>
      <w:r>
        <w:rPr>
          <w:rFonts w:hint="eastAsia" w:ascii="宋体" w:hAnsi="宋体" w:cs="宋体"/>
          <w:sz w:val="24"/>
        </w:rPr>
        <w:t>在甲方同意的情况下，除有争端之外的合同其它部分在争端解决前应继续执行。</w:t>
      </w:r>
      <w:bookmarkEnd w:id="117"/>
      <w:bookmarkEnd w:id="118"/>
      <w:bookmarkStart w:id="119" w:name="_Toc520190043"/>
      <w:bookmarkStart w:id="120" w:name="_Toc518993003"/>
      <w:bookmarkStart w:id="121" w:name="_Toc474245229"/>
    </w:p>
    <w:p>
      <w:pPr>
        <w:spacing w:line="384" w:lineRule="auto"/>
        <w:ind w:firstLine="482"/>
        <w:jc w:val="left"/>
        <w:rPr>
          <w:rFonts w:ascii="宋体" w:hAnsi="宋体" w:cs="宋体"/>
          <w:b/>
          <w:bCs/>
          <w:sz w:val="24"/>
        </w:rPr>
      </w:pPr>
      <w:r>
        <w:rPr>
          <w:rFonts w:hint="eastAsia" w:ascii="宋体" w:hAnsi="宋体" w:cs="宋体"/>
          <w:b/>
          <w:bCs/>
          <w:sz w:val="24"/>
        </w:rPr>
        <w:t>第十三条</w:t>
      </w:r>
      <w:bookmarkStart w:id="122" w:name="_Toc107447264"/>
      <w:bookmarkStart w:id="123" w:name="_Toc107446871"/>
      <w:r>
        <w:rPr>
          <w:rFonts w:hint="eastAsia" w:ascii="宋体" w:hAnsi="宋体" w:cs="宋体"/>
          <w:b/>
          <w:bCs/>
          <w:sz w:val="24"/>
        </w:rPr>
        <w:t>合同生效及其他</w:t>
      </w:r>
      <w:bookmarkEnd w:id="119"/>
      <w:bookmarkEnd w:id="120"/>
      <w:bookmarkEnd w:id="121"/>
      <w:bookmarkEnd w:id="122"/>
      <w:bookmarkEnd w:id="123"/>
    </w:p>
    <w:p>
      <w:pPr>
        <w:spacing w:line="384" w:lineRule="auto"/>
        <w:ind w:firstLine="480"/>
        <w:rPr>
          <w:rFonts w:ascii="宋体" w:hAnsi="宋体" w:cs="宋体"/>
          <w:sz w:val="24"/>
        </w:rPr>
      </w:pPr>
      <w:r>
        <w:rPr>
          <w:rFonts w:ascii="宋体" w:hAnsi="宋体" w:cs="宋体"/>
          <w:sz w:val="24"/>
        </w:rPr>
        <w:t>13.1</w:t>
      </w:r>
      <w:r>
        <w:rPr>
          <w:rFonts w:hint="eastAsia" w:ascii="宋体" w:hAnsi="宋体" w:cs="宋体"/>
          <w:sz w:val="24"/>
        </w:rPr>
        <w:t>本合同经双方法定代表人或授权代表签字并加盖双方公章后生效</w:t>
      </w:r>
      <w:r>
        <w:rPr>
          <w:rFonts w:ascii="宋体" w:hAnsi="宋体" w:cs="宋体"/>
          <w:sz w:val="24"/>
        </w:rPr>
        <w:t>.</w:t>
      </w:r>
    </w:p>
    <w:p>
      <w:pPr>
        <w:spacing w:line="384" w:lineRule="auto"/>
        <w:ind w:firstLine="480"/>
        <w:rPr>
          <w:rFonts w:ascii="宋体" w:hAnsi="宋体" w:cs="宋体"/>
          <w:sz w:val="24"/>
        </w:rPr>
      </w:pPr>
      <w:r>
        <w:rPr>
          <w:rFonts w:ascii="宋体" w:hAnsi="宋体" w:cs="宋体"/>
          <w:sz w:val="24"/>
        </w:rPr>
        <w:t>13.2</w:t>
      </w:r>
      <w:r>
        <w:rPr>
          <w:rFonts w:hint="eastAsia" w:ascii="宋体" w:hAnsi="宋体" w:cs="宋体"/>
          <w:sz w:val="24"/>
        </w:rPr>
        <w:t>本合同正文一式</w:t>
      </w:r>
      <w:r>
        <w:rPr>
          <w:rFonts w:hint="eastAsia" w:ascii="宋体" w:hAnsi="宋体" w:cs="宋体"/>
          <w:sz w:val="24"/>
          <w:u w:val="single"/>
          <w:lang w:val="en-US" w:eastAsia="zh-CN"/>
        </w:rPr>
        <w:t xml:space="preserve"> 8 </w:t>
      </w:r>
      <w:r>
        <w:rPr>
          <w:rFonts w:hint="eastAsia" w:ascii="宋体" w:hAnsi="宋体" w:cs="宋体"/>
          <w:sz w:val="24"/>
        </w:rPr>
        <w:t>份，其中：甲方</w:t>
      </w:r>
      <w:r>
        <w:rPr>
          <w:rFonts w:hint="eastAsia" w:ascii="宋体" w:hAnsi="宋体" w:cs="宋体"/>
          <w:sz w:val="24"/>
          <w:u w:val="single"/>
          <w:lang w:val="en-US" w:eastAsia="zh-CN"/>
        </w:rPr>
        <w:t xml:space="preserve"> 6 </w:t>
      </w:r>
      <w:r>
        <w:rPr>
          <w:rFonts w:hint="eastAsia" w:ascii="宋体" w:hAnsi="宋体" w:cs="宋体"/>
          <w:sz w:val="24"/>
        </w:rPr>
        <w:t>份，乙方</w:t>
      </w:r>
      <w:r>
        <w:rPr>
          <w:rFonts w:hint="eastAsia" w:ascii="宋体" w:hAnsi="宋体" w:cs="宋体"/>
          <w:sz w:val="24"/>
          <w:u w:val="single"/>
          <w:lang w:val="en-US" w:eastAsia="zh-CN"/>
        </w:rPr>
        <w:t xml:space="preserve"> 2 </w:t>
      </w:r>
      <w:r>
        <w:rPr>
          <w:rFonts w:hint="eastAsia" w:ascii="宋体" w:hAnsi="宋体" w:cs="宋体"/>
          <w:sz w:val="24"/>
        </w:rPr>
        <w:t>份。</w:t>
      </w:r>
    </w:p>
    <w:p>
      <w:pPr>
        <w:spacing w:line="384" w:lineRule="auto"/>
        <w:ind w:firstLine="480"/>
        <w:rPr>
          <w:rFonts w:hint="eastAsia" w:ascii="宋体" w:hAnsi="宋体" w:cs="宋体"/>
          <w:sz w:val="24"/>
          <w:u w:val="single"/>
          <w:lang w:eastAsia="zh-CN"/>
        </w:rPr>
      </w:pPr>
      <w:r>
        <w:rPr>
          <w:rFonts w:ascii="宋体" w:hAnsi="宋体" w:cs="宋体"/>
          <w:sz w:val="24"/>
        </w:rPr>
        <w:t>13.</w:t>
      </w:r>
      <w:r>
        <w:rPr>
          <w:rFonts w:hint="eastAsia" w:ascii="宋体" w:hAnsi="宋体" w:cs="宋体"/>
          <w:sz w:val="24"/>
        </w:rPr>
        <w:t>3补充条款</w:t>
      </w:r>
      <w:r>
        <w:rPr>
          <w:rFonts w:hint="eastAsia" w:ascii="宋体" w:hAnsi="宋体" w:cs="宋体"/>
          <w:sz w:val="24"/>
          <w:u w:val="single"/>
        </w:rPr>
        <w:t>：</w:t>
      </w:r>
      <w:r>
        <w:rPr>
          <w:rFonts w:hint="eastAsia" w:ascii="宋体" w:hAnsi="宋体" w:cs="宋体"/>
          <w:sz w:val="24"/>
          <w:u w:val="single"/>
          <w:lang w:eastAsia="zh-CN"/>
        </w:rPr>
        <w:t>…</w:t>
      </w:r>
    </w:p>
    <w:p>
      <w:pPr>
        <w:pStyle w:val="47"/>
      </w:pPr>
    </w:p>
    <w:p>
      <w:pPr>
        <w:spacing w:line="384" w:lineRule="auto"/>
        <w:rPr>
          <w:rFonts w:ascii="宋体" w:hAnsi="宋体" w:cs="宋体"/>
          <w:sz w:val="24"/>
        </w:rPr>
      </w:pPr>
      <w:r>
        <w:rPr>
          <w:rFonts w:hint="eastAsia" w:ascii="宋体" w:hAnsi="宋体" w:cs="宋体"/>
          <w:sz w:val="24"/>
        </w:rPr>
        <w:t>附件：</w:t>
      </w:r>
      <w:r>
        <w:rPr>
          <w:rFonts w:ascii="宋体" w:hAnsi="宋体" w:cs="宋体"/>
          <w:sz w:val="24"/>
        </w:rPr>
        <w:t>1.</w:t>
      </w:r>
      <w:r>
        <w:rPr>
          <w:rFonts w:hint="eastAsia" w:ascii="宋体" w:hAnsi="宋体" w:cs="宋体"/>
          <w:sz w:val="24"/>
        </w:rPr>
        <w:t>中标通知书</w:t>
      </w:r>
      <w:r>
        <w:rPr>
          <w:rFonts w:ascii="宋体" w:hAnsi="宋体" w:cs="宋体"/>
          <w:sz w:val="24"/>
        </w:rPr>
        <w:t>/</w:t>
      </w:r>
      <w:r>
        <w:rPr>
          <w:rFonts w:hint="eastAsia" w:ascii="宋体" w:hAnsi="宋体" w:cs="宋体"/>
          <w:sz w:val="24"/>
        </w:rPr>
        <w:t>发包通知书</w:t>
      </w:r>
      <w:r>
        <w:rPr>
          <w:rFonts w:ascii="宋体" w:hAnsi="宋体" w:cs="宋体"/>
          <w:sz w:val="24"/>
        </w:rPr>
        <w:t>/</w:t>
      </w:r>
      <w:r>
        <w:rPr>
          <w:rFonts w:hint="eastAsia" w:ascii="宋体" w:hAnsi="宋体" w:cs="宋体"/>
          <w:sz w:val="24"/>
          <w:lang w:val="en-US" w:eastAsia="zh-CN"/>
        </w:rPr>
        <w:t>成交通知书/</w:t>
      </w:r>
      <w:r>
        <w:rPr>
          <w:rFonts w:hint="eastAsia" w:ascii="宋体" w:hAnsi="宋体" w:cs="宋体"/>
          <w:sz w:val="24"/>
        </w:rPr>
        <w:t>委托函（如有）</w:t>
      </w:r>
    </w:p>
    <w:p>
      <w:pPr>
        <w:numPr>
          <w:ilvl w:val="0"/>
          <w:numId w:val="0"/>
        </w:numPr>
        <w:spacing w:line="460" w:lineRule="exact"/>
        <w:ind w:firstLine="720" w:firstLineChars="300"/>
        <w:rPr>
          <w:rFonts w:hint="eastAsia" w:ascii="宋体" w:hAnsi="宋体" w:cs="宋体"/>
          <w:color w:val="auto"/>
          <w:sz w:val="24"/>
          <w:szCs w:val="24"/>
        </w:rPr>
      </w:pPr>
      <w:r>
        <w:rPr>
          <w:rFonts w:hint="eastAsia" w:ascii="宋体" w:hAnsi="宋体" w:cs="宋体"/>
          <w:color w:val="auto"/>
          <w:sz w:val="24"/>
          <w:szCs w:val="24"/>
          <w:lang w:val="en-US" w:eastAsia="zh-CN"/>
        </w:rPr>
        <w:t>2.</w:t>
      </w:r>
      <w:r>
        <w:rPr>
          <w:rFonts w:hint="eastAsia" w:ascii="宋体" w:hAnsi="宋体" w:cs="宋体"/>
          <w:color w:val="auto"/>
          <w:sz w:val="24"/>
          <w:szCs w:val="24"/>
        </w:rPr>
        <w:t>廉洁协议</w:t>
      </w:r>
    </w:p>
    <w:p>
      <w:pPr>
        <w:numPr>
          <w:ilvl w:val="0"/>
          <w:numId w:val="0"/>
        </w:numPr>
        <w:spacing w:line="460" w:lineRule="exact"/>
        <w:ind w:firstLine="720" w:firstLineChars="300"/>
        <w:rPr>
          <w:rFonts w:hint="eastAsia" w:ascii="宋体" w:hAnsi="宋体" w:cs="宋体"/>
          <w:color w:val="auto"/>
          <w:sz w:val="24"/>
          <w:szCs w:val="24"/>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不诚信行为的情形及相应被暂停参与投标活动的处理标准</w:t>
      </w:r>
    </w:p>
    <w:p>
      <w:pPr>
        <w:spacing w:line="384" w:lineRule="auto"/>
        <w:ind w:firstLine="720" w:firstLineChars="300"/>
        <w:rPr>
          <w:rFonts w:hint="default" w:ascii="宋体" w:hAnsi="宋体" w:eastAsia="宋体" w:cs="宋体"/>
          <w:sz w:val="24"/>
          <w:lang w:val="en-US" w:eastAsia="zh-CN"/>
        </w:rPr>
      </w:pPr>
      <w:r>
        <w:rPr>
          <w:rFonts w:hint="eastAsia" w:ascii="宋体" w:hAnsi="宋体" w:cs="宋体"/>
          <w:sz w:val="24"/>
          <w:lang w:val="en-US" w:eastAsia="zh-CN"/>
        </w:rPr>
        <w:t>4</w:t>
      </w:r>
      <w:r>
        <w:rPr>
          <w:rFonts w:ascii="宋体" w:hAnsi="宋体" w:cs="宋体"/>
          <w:sz w:val="24"/>
        </w:rPr>
        <w:t>.</w:t>
      </w:r>
      <w:r>
        <w:rPr>
          <w:rFonts w:hint="eastAsia" w:ascii="宋体" w:hAnsi="宋体" w:cs="宋体"/>
          <w:sz w:val="24"/>
          <w:lang w:val="en-US" w:eastAsia="zh-CN"/>
        </w:rPr>
        <w:t>营运场所施工安全协议书</w:t>
      </w:r>
    </w:p>
    <w:p>
      <w:pPr>
        <w:spacing w:line="384" w:lineRule="auto"/>
        <w:rPr>
          <w:rFonts w:ascii="宋体" w:hAnsi="宋体" w:cs="宋体"/>
          <w:sz w:val="24"/>
        </w:rPr>
      </w:pPr>
      <w:r>
        <w:rPr>
          <w:rFonts w:ascii="宋体" w:hAnsi="宋体" w:cs="宋体"/>
          <w:sz w:val="24"/>
        </w:rPr>
        <w:t xml:space="preserve">     </w:t>
      </w:r>
      <w:r>
        <w:rPr>
          <w:rFonts w:hint="eastAsia" w:ascii="宋体" w:hAnsi="宋体" w:cs="宋体"/>
          <w:sz w:val="24"/>
          <w:lang w:val="en-US" w:eastAsia="zh-CN"/>
        </w:rPr>
        <w:t xml:space="preserve"> 5</w:t>
      </w:r>
      <w:r>
        <w:rPr>
          <w:rFonts w:ascii="宋体" w:hAnsi="宋体" w:cs="宋体"/>
          <w:sz w:val="24"/>
        </w:rPr>
        <w:t>.</w:t>
      </w:r>
      <w:r>
        <w:rPr>
          <w:rFonts w:hint="eastAsia" w:ascii="宋体" w:hAnsi="宋体" w:cs="宋体"/>
          <w:sz w:val="24"/>
        </w:rPr>
        <w:t>工程量清单</w:t>
      </w:r>
      <w:r>
        <w:rPr>
          <w:rFonts w:ascii="宋体" w:hAnsi="宋体" w:cs="宋体"/>
          <w:sz w:val="24"/>
        </w:rPr>
        <w:t>/</w:t>
      </w:r>
      <w:r>
        <w:rPr>
          <w:rFonts w:hint="eastAsia" w:ascii="宋体" w:hAnsi="宋体" w:cs="宋体"/>
          <w:sz w:val="24"/>
        </w:rPr>
        <w:t>报价</w:t>
      </w:r>
    </w:p>
    <w:p>
      <w:pPr>
        <w:spacing w:line="384" w:lineRule="auto"/>
        <w:rPr>
          <w:rFonts w:ascii="宋体" w:hAnsi="宋体" w:cs="宋体"/>
          <w:sz w:val="24"/>
        </w:rPr>
      </w:pPr>
      <w:r>
        <w:rPr>
          <w:rFonts w:ascii="宋体" w:hAnsi="宋体" w:cs="宋体"/>
          <w:sz w:val="24"/>
        </w:rPr>
        <w:t xml:space="preserve">     </w:t>
      </w:r>
      <w:r>
        <w:rPr>
          <w:rFonts w:hint="eastAsia" w:ascii="宋体" w:hAnsi="宋体" w:cs="宋体"/>
          <w:sz w:val="24"/>
          <w:lang w:val="en-US" w:eastAsia="zh-CN"/>
        </w:rPr>
        <w:t xml:space="preserve"> 6</w:t>
      </w:r>
      <w:r>
        <w:rPr>
          <w:rFonts w:ascii="宋体" w:hAnsi="宋体" w:cs="宋体"/>
          <w:sz w:val="24"/>
        </w:rPr>
        <w:t>.</w:t>
      </w:r>
      <w:r>
        <w:rPr>
          <w:rFonts w:hint="eastAsia" w:ascii="宋体" w:hAnsi="宋体" w:cs="宋体"/>
          <w:sz w:val="24"/>
        </w:rPr>
        <w:t>项目投入人员架构表</w:t>
      </w:r>
      <w:r>
        <w:rPr>
          <w:rFonts w:ascii="宋体" w:hAnsi="宋体" w:cs="宋体"/>
          <w:sz w:val="24"/>
        </w:rPr>
        <w:t xml:space="preserve"> </w:t>
      </w:r>
    </w:p>
    <w:p>
      <w:pPr>
        <w:spacing w:line="360" w:lineRule="auto"/>
        <w:rPr>
          <w:rFonts w:hint="eastAsia" w:ascii="宋体" w:hAnsi="宋体" w:cs="宋体"/>
          <w:sz w:val="24"/>
        </w:rPr>
      </w:pPr>
      <w:r>
        <w:rPr>
          <w:rFonts w:hint="eastAsia" w:ascii="宋体" w:hAnsi="宋体" w:eastAsia="宋体" w:cs="宋体"/>
          <w:b w:val="0"/>
          <w:bCs w:val="0"/>
          <w:sz w:val="24"/>
        </w:rPr>
        <w:t xml:space="preserve">      </w:t>
      </w:r>
      <w:r>
        <w:rPr>
          <w:rFonts w:hint="eastAsia" w:ascii="宋体" w:hAnsi="宋体" w:eastAsia="宋体" w:cs="宋体"/>
          <w:b w:val="0"/>
          <w:bCs w:val="0"/>
          <w:sz w:val="24"/>
          <w:lang w:val="en-US" w:eastAsia="zh-CN"/>
        </w:rPr>
        <w:t>7</w:t>
      </w:r>
      <w:r>
        <w:rPr>
          <w:rFonts w:hint="eastAsia" w:ascii="宋体" w:hAnsi="宋体" w:eastAsia="宋体" w:cs="宋体"/>
          <w:b w:val="0"/>
          <w:bCs w:val="0"/>
          <w:sz w:val="24"/>
        </w:rPr>
        <w:t>.</w:t>
      </w:r>
      <w:r>
        <w:rPr>
          <w:rFonts w:hint="eastAsia" w:ascii="宋体" w:hAnsi="宋体" w:cs="宋体"/>
          <w:sz w:val="24"/>
        </w:rPr>
        <w:t>履约保函（模板）</w:t>
      </w:r>
    </w:p>
    <w:p>
      <w:pPr>
        <w:pStyle w:val="47"/>
        <w:rPr>
          <w:rFonts w:hint="default" w:eastAsia="仿宋_GB2312"/>
          <w:lang w:val="en-US" w:eastAsia="zh-CN"/>
        </w:rPr>
      </w:pPr>
      <w:r>
        <w:rPr>
          <w:rFonts w:hint="eastAsia" w:ascii="宋体" w:hAnsi="宋体" w:cs="宋体"/>
          <w:sz w:val="24"/>
          <w:lang w:val="en-US" w:eastAsia="zh-CN"/>
        </w:rPr>
        <w:t xml:space="preserve">   </w:t>
      </w:r>
      <w:r>
        <w:rPr>
          <w:rFonts w:hint="eastAsia" w:ascii="宋体" w:hAnsi="宋体" w:eastAsia="宋体" w:cs="宋体"/>
          <w:color w:val="000000"/>
          <w:kern w:val="2"/>
          <w:sz w:val="24"/>
          <w:szCs w:val="22"/>
          <w:lang w:val="en-US" w:eastAsia="zh-CN" w:bidi="ar-SA"/>
        </w:rPr>
        <w:t xml:space="preserve">   8.防疫管理协议书</w:t>
      </w:r>
    </w:p>
    <w:p>
      <w:pPr>
        <w:adjustRightInd w:val="0"/>
        <w:snapToGrid w:val="0"/>
        <w:ind w:firstLine="720" w:firstLineChars="300"/>
        <w:jc w:val="both"/>
        <w:rPr>
          <w:rFonts w:ascii="宋体" w:hAnsi="宋体" w:cs="宋体"/>
          <w:b w:val="0"/>
          <w:bCs w:val="0"/>
          <w:sz w:val="24"/>
          <w:szCs w:val="24"/>
        </w:rPr>
      </w:pPr>
    </w:p>
    <w:p>
      <w:pPr>
        <w:spacing w:line="384" w:lineRule="auto"/>
        <w:ind w:firstLine="720" w:firstLineChars="300"/>
        <w:rPr>
          <w:rFonts w:hint="default" w:ascii="宋体" w:hAnsi="宋体" w:eastAsia="宋体" w:cs="宋体"/>
          <w:b w:val="0"/>
          <w:bCs w:val="0"/>
          <w:sz w:val="24"/>
          <w:lang w:val="en-US" w:eastAsia="zh-CN"/>
        </w:rPr>
      </w:pPr>
    </w:p>
    <w:p>
      <w:pPr>
        <w:spacing w:line="384" w:lineRule="auto"/>
        <w:rPr>
          <w:rFonts w:ascii="宋体" w:hAnsi="宋体" w:cs="宋体"/>
          <w:sz w:val="24"/>
        </w:rPr>
      </w:pPr>
    </w:p>
    <w:p>
      <w:pPr>
        <w:spacing w:line="384" w:lineRule="auto"/>
        <w:rPr>
          <w:rFonts w:ascii="宋体" w:hAnsi="宋体" w:cs="宋体"/>
          <w:sz w:val="24"/>
        </w:rPr>
      </w:pPr>
      <w:r>
        <w:rPr>
          <w:rFonts w:hint="eastAsia" w:ascii="宋体" w:hAnsi="宋体" w:cs="宋体"/>
          <w:sz w:val="24"/>
        </w:rPr>
        <w:t>甲方：广州市净水有限公司（盖章）</w:t>
      </w:r>
      <w:r>
        <w:rPr>
          <w:rFonts w:hint="eastAsia" w:ascii="宋体" w:hAnsi="宋体" w:cs="宋体"/>
          <w:sz w:val="24"/>
          <w:lang w:val="en-US" w:eastAsia="zh-CN"/>
        </w:rPr>
        <w:t xml:space="preserve">     </w:t>
      </w:r>
      <w:r>
        <w:rPr>
          <w:rFonts w:hint="eastAsia" w:ascii="宋体" w:hAnsi="宋体" w:cs="宋体"/>
          <w:sz w:val="24"/>
        </w:rPr>
        <w:t>乙方：（盖章）</w:t>
      </w:r>
    </w:p>
    <w:p>
      <w:pPr>
        <w:spacing w:line="384" w:lineRule="auto"/>
        <w:rPr>
          <w:rFonts w:ascii="宋体" w:hAnsi="宋体" w:cs="宋体"/>
          <w:sz w:val="24"/>
        </w:rPr>
      </w:pPr>
      <w:r>
        <w:rPr>
          <w:rFonts w:hint="eastAsia" w:ascii="宋体" w:hAnsi="宋体" w:cs="宋体"/>
          <w:sz w:val="24"/>
        </w:rPr>
        <w:t>法定代表</w:t>
      </w:r>
      <w:r>
        <w:rPr>
          <w:rFonts w:hint="eastAsia" w:ascii="宋体" w:hAnsi="宋体" w:cs="宋体"/>
          <w:sz w:val="24"/>
          <w:lang w:val="en-US" w:eastAsia="zh-CN"/>
        </w:rPr>
        <w:t xml:space="preserve"> </w:t>
      </w:r>
      <w:r>
        <w:rPr>
          <w:rFonts w:hint="eastAsia" w:ascii="宋体" w:hAnsi="宋体" w:cs="宋体"/>
          <w:sz w:val="24"/>
        </w:rPr>
        <w:t>或</w:t>
      </w:r>
      <w:r>
        <w:rPr>
          <w:rFonts w:hint="eastAsia" w:ascii="宋体" w:hAnsi="宋体" w:cs="宋体"/>
          <w:sz w:val="24"/>
          <w:lang w:val="en-US" w:eastAsia="zh-CN"/>
        </w:rPr>
        <w:t xml:space="preserve">                         </w:t>
      </w:r>
      <w:r>
        <w:rPr>
          <w:rFonts w:hint="eastAsia" w:ascii="宋体" w:hAnsi="宋体" w:cs="宋体"/>
          <w:sz w:val="24"/>
        </w:rPr>
        <w:t>法定代表人或</w:t>
      </w:r>
    </w:p>
    <w:p>
      <w:pPr>
        <w:spacing w:line="384" w:lineRule="auto"/>
        <w:rPr>
          <w:rFonts w:ascii="宋体" w:hAnsi="宋体" w:cs="宋体"/>
          <w:sz w:val="24"/>
        </w:rPr>
      </w:pPr>
      <w:r>
        <w:rPr>
          <w:rFonts w:hint="eastAsia" w:ascii="宋体" w:hAnsi="宋体" w:cs="宋体"/>
          <w:sz w:val="24"/>
        </w:rPr>
        <w:t>授权代理人：</w:t>
      </w:r>
      <w:r>
        <w:rPr>
          <w:rFonts w:hint="eastAsia" w:ascii="宋体" w:hAnsi="宋体" w:cs="宋体"/>
          <w:sz w:val="24"/>
          <w:lang w:val="en-US" w:eastAsia="zh-CN"/>
        </w:rPr>
        <w:t xml:space="preserve">                         </w:t>
      </w:r>
      <w:r>
        <w:rPr>
          <w:rFonts w:hint="eastAsia" w:ascii="宋体" w:hAnsi="宋体" w:cs="宋体"/>
          <w:sz w:val="24"/>
        </w:rPr>
        <w:t>授权代理人：</w:t>
      </w:r>
    </w:p>
    <w:p>
      <w:pPr>
        <w:spacing w:line="384" w:lineRule="auto"/>
        <w:rPr>
          <w:rFonts w:ascii="宋体" w:hAnsi="宋体" w:cs="宋体"/>
          <w:sz w:val="24"/>
        </w:rPr>
      </w:pPr>
      <w:r>
        <w:rPr>
          <w:rFonts w:hint="eastAsia" w:ascii="宋体" w:hAnsi="宋体" w:cs="宋体"/>
          <w:sz w:val="24"/>
        </w:rPr>
        <w:t>地址：</w:t>
      </w:r>
      <w:r>
        <w:rPr>
          <w:rFonts w:hint="eastAsia" w:ascii="宋体" w:hAnsi="宋体" w:cs="宋体"/>
          <w:sz w:val="24"/>
          <w:lang w:val="en-US" w:eastAsia="zh-CN"/>
        </w:rPr>
        <w:t xml:space="preserve">                                  </w:t>
      </w:r>
      <w:r>
        <w:rPr>
          <w:rFonts w:hint="eastAsia" w:ascii="宋体" w:hAnsi="宋体" w:cs="宋体"/>
          <w:sz w:val="24"/>
        </w:rPr>
        <w:t>地址：</w:t>
      </w:r>
    </w:p>
    <w:p>
      <w:pPr>
        <w:spacing w:line="384" w:lineRule="auto"/>
        <w:rPr>
          <w:rFonts w:ascii="宋体" w:hAnsi="宋体" w:cs="宋体"/>
          <w:sz w:val="24"/>
        </w:rPr>
      </w:pPr>
      <w:r>
        <w:rPr>
          <w:rFonts w:hint="eastAsia" w:ascii="宋体" w:hAnsi="宋体" w:cs="宋体"/>
          <w:sz w:val="24"/>
        </w:rPr>
        <w:t>经办人：</w:t>
      </w:r>
      <w:r>
        <w:rPr>
          <w:rFonts w:hint="eastAsia" w:ascii="宋体" w:hAnsi="宋体" w:cs="宋体"/>
          <w:sz w:val="24"/>
          <w:lang w:val="en-US" w:eastAsia="zh-CN"/>
        </w:rPr>
        <w:t xml:space="preserve">                              </w:t>
      </w:r>
      <w:r>
        <w:rPr>
          <w:rFonts w:hint="eastAsia" w:ascii="宋体" w:hAnsi="宋体" w:cs="宋体"/>
          <w:sz w:val="24"/>
        </w:rPr>
        <w:t>经办人：</w:t>
      </w:r>
    </w:p>
    <w:p>
      <w:pPr>
        <w:spacing w:line="384" w:lineRule="auto"/>
        <w:rPr>
          <w:rFonts w:ascii="宋体" w:hAnsi="宋体" w:cs="宋体"/>
          <w:sz w:val="24"/>
        </w:rPr>
      </w:pPr>
      <w:r>
        <w:rPr>
          <w:rFonts w:hint="eastAsia" w:ascii="宋体" w:hAnsi="宋体" w:cs="宋体"/>
          <w:sz w:val="24"/>
        </w:rPr>
        <w:t>联系电话：</w:t>
      </w:r>
      <w:r>
        <w:rPr>
          <w:rFonts w:hint="eastAsia" w:ascii="宋体" w:hAnsi="宋体" w:cs="宋体"/>
          <w:sz w:val="24"/>
          <w:lang w:val="en-US" w:eastAsia="zh-CN"/>
        </w:rPr>
        <w:t xml:space="preserve">                           </w:t>
      </w:r>
      <w:r>
        <w:rPr>
          <w:rFonts w:hint="eastAsia" w:ascii="宋体" w:hAnsi="宋体" w:cs="宋体"/>
          <w:sz w:val="24"/>
        </w:rPr>
        <w:t>联系电话：</w:t>
      </w:r>
    </w:p>
    <w:p>
      <w:pPr>
        <w:spacing w:line="384" w:lineRule="auto"/>
        <w:ind w:left="6360" w:hanging="6360" w:hangingChars="2650"/>
        <w:rPr>
          <w:rFonts w:ascii="宋体" w:hAnsi="宋体" w:cs="宋体"/>
          <w:sz w:val="24"/>
        </w:rPr>
      </w:pPr>
      <w:r>
        <w:rPr>
          <w:rFonts w:hint="eastAsia" w:ascii="宋体" w:hAnsi="宋体" w:cs="宋体"/>
          <w:sz w:val="24"/>
        </w:rPr>
        <w:t>传真：</w:t>
      </w:r>
      <w:r>
        <w:rPr>
          <w:rFonts w:hint="eastAsia" w:ascii="宋体" w:hAnsi="宋体" w:cs="宋体"/>
          <w:sz w:val="24"/>
          <w:lang w:val="en-US" w:eastAsia="zh-CN"/>
        </w:rPr>
        <w:t xml:space="preserve">                                </w:t>
      </w:r>
      <w:r>
        <w:rPr>
          <w:rFonts w:hint="eastAsia" w:ascii="宋体" w:hAnsi="宋体" w:cs="宋体"/>
          <w:sz w:val="24"/>
        </w:rPr>
        <w:t>传真：</w:t>
      </w:r>
    </w:p>
    <w:p>
      <w:pPr>
        <w:spacing w:line="384" w:lineRule="auto"/>
        <w:ind w:left="6360" w:hanging="6360" w:hangingChars="2650"/>
        <w:rPr>
          <w:rFonts w:ascii="宋体" w:hAnsi="宋体" w:cs="宋体"/>
          <w:sz w:val="24"/>
        </w:rPr>
      </w:pPr>
      <w:r>
        <w:rPr>
          <w:rFonts w:hint="eastAsia" w:ascii="宋体" w:hAnsi="宋体" w:cs="宋体"/>
          <w:sz w:val="24"/>
        </w:rPr>
        <w:t>签署日期：年月日</w:t>
      </w:r>
      <w:r>
        <w:rPr>
          <w:rFonts w:hint="eastAsia" w:ascii="宋体" w:hAnsi="宋体" w:cs="宋体"/>
          <w:sz w:val="24"/>
          <w:lang w:val="en-US" w:eastAsia="zh-CN"/>
        </w:rPr>
        <w:t xml:space="preserve">                    </w:t>
      </w:r>
      <w:r>
        <w:rPr>
          <w:rFonts w:hint="eastAsia" w:ascii="宋体" w:hAnsi="宋体" w:cs="宋体"/>
          <w:sz w:val="24"/>
        </w:rPr>
        <w:t>签署日期：年月日</w:t>
      </w: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ascii="宋体" w:hAnsi="宋体" w:cs="宋体"/>
          <w:b/>
          <w:bCs/>
          <w:szCs w:val="21"/>
        </w:rPr>
      </w:pPr>
      <w:bookmarkStart w:id="124" w:name="_Toc389815339"/>
      <w:bookmarkStart w:id="125" w:name="_Toc389815031"/>
      <w:bookmarkStart w:id="126" w:name="_Toc387080836"/>
      <w:r>
        <w:rPr>
          <w:rFonts w:hint="eastAsia" w:ascii="宋体" w:hAnsi="宋体" w:cs="宋体"/>
          <w:b/>
          <w:bCs/>
          <w:szCs w:val="21"/>
        </w:rPr>
        <w:t>附件1  中标通知书/发包通知书/委托函（如有）</w:t>
      </w:r>
    </w:p>
    <w:p>
      <w:pPr>
        <w:spacing w:line="360" w:lineRule="auto"/>
        <w:jc w:val="both"/>
        <w:rPr>
          <w:rFonts w:hint="eastAsia" w:ascii="宋体" w:hAnsi="宋体" w:cs="宋体"/>
          <w:b/>
          <w:bCs/>
          <w:color w:val="auto"/>
          <w:szCs w:val="21"/>
        </w:rPr>
      </w:pPr>
      <w:r>
        <w:rPr>
          <w:rFonts w:hint="eastAsia" w:ascii="宋体" w:hAnsi="宋体" w:cs="宋体"/>
          <w:b/>
          <w:bCs/>
          <w:color w:val="auto"/>
          <w:szCs w:val="21"/>
        </w:rPr>
        <w:t>附件</w:t>
      </w:r>
      <w:r>
        <w:rPr>
          <w:rFonts w:ascii="宋体" w:hAnsi="宋体" w:cs="宋体"/>
          <w:b/>
          <w:bCs/>
          <w:color w:val="auto"/>
          <w:szCs w:val="21"/>
        </w:rPr>
        <w:t>2</w:t>
      </w:r>
      <w:r>
        <w:rPr>
          <w:rFonts w:hint="eastAsia" w:ascii="宋体" w:hAnsi="宋体" w:cs="宋体"/>
          <w:b/>
          <w:bCs/>
          <w:color w:val="auto"/>
          <w:szCs w:val="21"/>
        </w:rPr>
        <w:t>：廉洁协议</w:t>
      </w:r>
    </w:p>
    <w:p>
      <w:pPr>
        <w:keepNext w:val="0"/>
        <w:keepLines w:val="0"/>
        <w:pageBreakBefore w:val="0"/>
        <w:kinsoku/>
        <w:wordWrap/>
        <w:overflowPunct/>
        <w:topLinePunct w:val="0"/>
        <w:autoSpaceDE/>
        <w:autoSpaceDN/>
        <w:bidi w:val="0"/>
        <w:adjustRightInd/>
        <w:snapToGrid/>
        <w:spacing w:beforeAutospacing="0" w:afterAutospacing="0" w:line="520" w:lineRule="exact"/>
        <w:ind w:left="0" w:leftChars="0" w:firstLine="3640" w:firstLineChars="1300"/>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廉洁协议</w:t>
      </w:r>
    </w:p>
    <w:p>
      <w:pPr>
        <w:keepNext w:val="0"/>
        <w:keepLines w:val="0"/>
        <w:pageBreakBefore w:val="0"/>
        <w:kinsoku/>
        <w:wordWrap/>
        <w:overflowPunct/>
        <w:topLinePunct w:val="0"/>
        <w:autoSpaceDE/>
        <w:autoSpaceDN/>
        <w:bidi w:val="0"/>
        <w:adjustRightInd/>
        <w:snapToGrid/>
        <w:spacing w:beforeAutospacing="0" w:afterAutospacing="0" w:line="520" w:lineRule="exact"/>
        <w:ind w:left="0" w:leftChars="0" w:firstLine="630" w:firstLineChars="225"/>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为促进双方诚信经营、廉洁从业，防范商业贿赂，保护国家、集体和当事人的合法权益，根据国家有关法律法规和广东省、广州市廉政建设的规定，</w:t>
      </w:r>
      <w:r>
        <w:rPr>
          <w:rFonts w:hint="eastAsia" w:ascii="仿宋" w:hAnsi="仿宋" w:eastAsia="仿宋" w:cs="仿宋"/>
          <w:b w:val="0"/>
          <w:bCs/>
          <w:color w:val="auto"/>
          <w:sz w:val="28"/>
          <w:szCs w:val="28"/>
          <w:highlight w:val="none"/>
          <w:u w:val="single"/>
        </w:rPr>
        <w:t>广州市净水有限公司</w:t>
      </w:r>
      <w:r>
        <w:rPr>
          <w:rFonts w:hint="eastAsia" w:ascii="仿宋" w:hAnsi="仿宋" w:eastAsia="仿宋" w:cs="仿宋"/>
          <w:b w:val="0"/>
          <w:bCs/>
          <w:color w:val="auto"/>
          <w:sz w:val="28"/>
          <w:szCs w:val="28"/>
          <w:highlight w:val="none"/>
        </w:rPr>
        <w:t>(以下称甲方)与(以下称乙方)，特此订立本协议共同遵照执行。</w:t>
      </w:r>
    </w:p>
    <w:p>
      <w:pPr>
        <w:keepNext w:val="0"/>
        <w:keepLines w:val="0"/>
        <w:pageBreakBefore w:val="0"/>
        <w:kinsoku/>
        <w:wordWrap/>
        <w:overflowPunct/>
        <w:topLinePunct w:val="0"/>
        <w:autoSpaceDE/>
        <w:autoSpaceDN/>
        <w:bidi w:val="0"/>
        <w:adjustRightInd/>
        <w:snapToGrid/>
        <w:spacing w:beforeAutospacing="0" w:afterAutospacing="0" w:line="520" w:lineRule="exact"/>
        <w:ind w:left="0" w:leftChars="0" w:firstLine="560" w:firstLineChars="200"/>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第一条 甲乙双方的权利和义务</w:t>
      </w:r>
    </w:p>
    <w:p>
      <w:pPr>
        <w:keepNext w:val="0"/>
        <w:keepLines w:val="0"/>
        <w:pageBreakBefore w:val="0"/>
        <w:kinsoku/>
        <w:wordWrap/>
        <w:overflowPunct/>
        <w:topLinePunct w:val="0"/>
        <w:autoSpaceDE/>
        <w:autoSpaceDN/>
        <w:bidi w:val="0"/>
        <w:adjustRightInd/>
        <w:snapToGrid/>
        <w:spacing w:beforeAutospacing="0" w:afterAutospacing="0" w:line="520" w:lineRule="exact"/>
        <w:ind w:left="0" w:leftChars="0" w:firstLine="420" w:firstLineChars="150"/>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（一）甲乙双方严格遵守国家关于市场准入、项目招标投标、市场经营活动等有关法律、法规相关政策及廉政建设的各项规定。</w:t>
      </w:r>
    </w:p>
    <w:p>
      <w:pPr>
        <w:keepNext w:val="0"/>
        <w:keepLines w:val="0"/>
        <w:pageBreakBefore w:val="0"/>
        <w:kinsoku/>
        <w:wordWrap/>
        <w:overflowPunct/>
        <w:topLinePunct w:val="0"/>
        <w:autoSpaceDE/>
        <w:autoSpaceDN/>
        <w:bidi w:val="0"/>
        <w:adjustRightInd/>
        <w:snapToGrid/>
        <w:spacing w:beforeAutospacing="0" w:afterAutospacing="0" w:line="520" w:lineRule="exact"/>
        <w:ind w:left="0" w:leftChars="0" w:firstLine="420" w:firstLineChars="150"/>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（二）严格执行</w:t>
      </w:r>
      <w:r>
        <w:rPr>
          <w:rFonts w:hint="eastAsia" w:ascii="仿宋" w:hAnsi="仿宋" w:eastAsia="仿宋" w:cs="仿宋"/>
          <w:b w:val="0"/>
          <w:bCs/>
          <w:color w:val="auto"/>
          <w:sz w:val="28"/>
          <w:szCs w:val="28"/>
          <w:highlight w:val="none"/>
          <w:u w:val="single"/>
        </w:rPr>
        <w:t xml:space="preserve">       </w:t>
      </w:r>
      <w:r>
        <w:rPr>
          <w:rFonts w:hint="eastAsia" w:ascii="仿宋" w:hAnsi="仿宋" w:eastAsia="仿宋" w:cs="仿宋"/>
          <w:b w:val="0"/>
          <w:bCs/>
          <w:color w:val="auto"/>
          <w:sz w:val="28"/>
          <w:szCs w:val="28"/>
          <w:highlight w:val="none"/>
        </w:rPr>
        <w:t>合同（以下简称：主合同），自觉履行合同约定的相关义务。</w:t>
      </w:r>
    </w:p>
    <w:p>
      <w:pPr>
        <w:keepNext w:val="0"/>
        <w:keepLines w:val="0"/>
        <w:pageBreakBefore w:val="0"/>
        <w:kinsoku/>
        <w:wordWrap/>
        <w:overflowPunct/>
        <w:topLinePunct w:val="0"/>
        <w:autoSpaceDE/>
        <w:autoSpaceDN/>
        <w:bidi w:val="0"/>
        <w:adjustRightInd/>
        <w:snapToGrid/>
        <w:spacing w:beforeAutospacing="0" w:afterAutospacing="0" w:line="520" w:lineRule="exact"/>
        <w:ind w:left="0" w:leftChars="0" w:firstLine="420" w:firstLineChars="150"/>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（三）在业务活动中坚持公开、公正、诚信、透明的原则，不得损害国家、集体利益。</w:t>
      </w:r>
    </w:p>
    <w:p>
      <w:pPr>
        <w:keepNext w:val="0"/>
        <w:keepLines w:val="0"/>
        <w:pageBreakBefore w:val="0"/>
        <w:kinsoku/>
        <w:wordWrap/>
        <w:overflowPunct/>
        <w:topLinePunct w:val="0"/>
        <w:autoSpaceDE/>
        <w:autoSpaceDN/>
        <w:bidi w:val="0"/>
        <w:adjustRightInd/>
        <w:snapToGrid/>
        <w:spacing w:beforeAutospacing="0" w:afterAutospacing="0" w:line="520" w:lineRule="exact"/>
        <w:ind w:left="0" w:leftChars="0" w:firstLine="420" w:firstLineChars="150"/>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（四）建立健全廉洁从业制度，开展廉洁教育，公布举报电话，监督并认真查处不廉洁及违法违纪行为。</w:t>
      </w:r>
    </w:p>
    <w:p>
      <w:pPr>
        <w:keepNext w:val="0"/>
        <w:keepLines w:val="0"/>
        <w:pageBreakBefore w:val="0"/>
        <w:kinsoku/>
        <w:wordWrap/>
        <w:overflowPunct/>
        <w:topLinePunct w:val="0"/>
        <w:autoSpaceDE/>
        <w:autoSpaceDN/>
        <w:bidi w:val="0"/>
        <w:adjustRightInd/>
        <w:snapToGrid/>
        <w:spacing w:beforeAutospacing="0" w:afterAutospacing="0" w:line="520" w:lineRule="exact"/>
        <w:ind w:left="0" w:leftChars="0" w:firstLine="420" w:firstLineChars="150"/>
        <w:textAlignment w:val="auto"/>
        <w:rPr>
          <w:rFonts w:hint="eastAsia"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rPr>
        <w:t>（五）发现对方在业务活动中有不廉洁行为，应及时提醒对方纠正。情节严重的，应向其有关监督部门</w:t>
      </w:r>
      <w:r>
        <w:rPr>
          <w:rFonts w:hint="eastAsia" w:ascii="仿宋" w:hAnsi="仿宋" w:eastAsia="仿宋" w:cs="仿宋"/>
          <w:b w:val="0"/>
          <w:bCs/>
          <w:color w:val="auto"/>
          <w:sz w:val="28"/>
          <w:szCs w:val="28"/>
          <w:highlight w:val="none"/>
          <w:lang w:val="en-US" w:eastAsia="zh-CN"/>
        </w:rPr>
        <w:t>检举。</w:t>
      </w:r>
    </w:p>
    <w:p>
      <w:pPr>
        <w:keepNext w:val="0"/>
        <w:keepLines w:val="0"/>
        <w:pageBreakBefore w:val="0"/>
        <w:kinsoku/>
        <w:wordWrap/>
        <w:overflowPunct/>
        <w:topLinePunct w:val="0"/>
        <w:autoSpaceDE/>
        <w:autoSpaceDN/>
        <w:bidi w:val="0"/>
        <w:adjustRightInd/>
        <w:snapToGrid/>
        <w:spacing w:beforeAutospacing="0" w:afterAutospacing="0" w:line="520" w:lineRule="exact"/>
        <w:ind w:left="0" w:leftChars="0" w:firstLine="560" w:firstLineChars="200"/>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第二条甲方的义务</w:t>
      </w:r>
    </w:p>
    <w:p>
      <w:pPr>
        <w:keepNext w:val="0"/>
        <w:keepLines w:val="0"/>
        <w:pageBreakBefore w:val="0"/>
        <w:kinsoku/>
        <w:wordWrap/>
        <w:overflowPunct/>
        <w:topLinePunct w:val="0"/>
        <w:autoSpaceDE/>
        <w:autoSpaceDN/>
        <w:bidi w:val="0"/>
        <w:adjustRightInd/>
        <w:snapToGrid/>
        <w:spacing w:beforeAutospacing="0" w:afterAutospacing="0" w:line="520" w:lineRule="exact"/>
        <w:ind w:left="0" w:leftChars="0" w:firstLine="560" w:firstLineChars="200"/>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（一）甲方及其工作人员不得索要或接受乙方的礼金、有价证券和贵重物品，不得在乙方报销任何应由甲方或个人支付的费用等。</w:t>
      </w:r>
    </w:p>
    <w:p>
      <w:pPr>
        <w:keepNext w:val="0"/>
        <w:keepLines w:val="0"/>
        <w:pageBreakBefore w:val="0"/>
        <w:kinsoku/>
        <w:wordWrap/>
        <w:overflowPunct/>
        <w:topLinePunct w:val="0"/>
        <w:autoSpaceDE/>
        <w:autoSpaceDN/>
        <w:bidi w:val="0"/>
        <w:adjustRightInd/>
        <w:snapToGrid/>
        <w:spacing w:beforeAutospacing="0" w:afterAutospacing="0" w:line="520" w:lineRule="exact"/>
        <w:ind w:left="0" w:leftChars="0" w:firstLine="560" w:firstLineChars="200"/>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keepNext w:val="0"/>
        <w:keepLines w:val="0"/>
        <w:pageBreakBefore w:val="0"/>
        <w:kinsoku/>
        <w:wordWrap/>
        <w:overflowPunct/>
        <w:topLinePunct w:val="0"/>
        <w:autoSpaceDE/>
        <w:autoSpaceDN/>
        <w:bidi w:val="0"/>
        <w:adjustRightInd/>
        <w:snapToGrid/>
        <w:spacing w:beforeAutospacing="0" w:afterAutospacing="0" w:line="520" w:lineRule="exact"/>
        <w:ind w:left="0" w:leftChars="0" w:firstLine="560" w:firstLineChars="200"/>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（三）甲方及其工作人员不得要求或者接受乙方为其住房装修、婚丧嫁娶活动、配偶子女工作安排以及出国出境、旅游等提供方便等。</w:t>
      </w:r>
    </w:p>
    <w:p>
      <w:pPr>
        <w:keepNext w:val="0"/>
        <w:keepLines w:val="0"/>
        <w:pageBreakBefore w:val="0"/>
        <w:kinsoku/>
        <w:wordWrap/>
        <w:overflowPunct/>
        <w:topLinePunct w:val="0"/>
        <w:autoSpaceDE/>
        <w:autoSpaceDN/>
        <w:bidi w:val="0"/>
        <w:adjustRightInd/>
        <w:snapToGrid/>
        <w:spacing w:beforeAutospacing="0" w:afterAutospacing="0" w:line="520" w:lineRule="exact"/>
        <w:ind w:left="0" w:leftChars="0" w:firstLine="560" w:firstLineChars="200"/>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（四）甲方工作人员不得在乙方或与乙方有股权关联的企业兼职，不得向乙方介绍家属或者亲友从事与甲方业务有关的经济活动。</w:t>
      </w:r>
    </w:p>
    <w:p>
      <w:pPr>
        <w:keepNext w:val="0"/>
        <w:keepLines w:val="0"/>
        <w:pageBreakBefore w:val="0"/>
        <w:kinsoku/>
        <w:wordWrap/>
        <w:overflowPunct/>
        <w:topLinePunct w:val="0"/>
        <w:autoSpaceDE/>
        <w:autoSpaceDN/>
        <w:bidi w:val="0"/>
        <w:adjustRightInd/>
        <w:snapToGrid/>
        <w:spacing w:beforeAutospacing="0" w:afterAutospacing="0" w:line="520" w:lineRule="exact"/>
        <w:ind w:left="0" w:leftChars="0" w:firstLine="560" w:firstLineChars="200"/>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keepNext w:val="0"/>
        <w:keepLines w:val="0"/>
        <w:pageBreakBefore w:val="0"/>
        <w:kinsoku/>
        <w:wordWrap/>
        <w:overflowPunct/>
        <w:topLinePunct w:val="0"/>
        <w:autoSpaceDE/>
        <w:autoSpaceDN/>
        <w:bidi w:val="0"/>
        <w:adjustRightInd/>
        <w:snapToGrid/>
        <w:spacing w:beforeAutospacing="0" w:afterAutospacing="0" w:line="520" w:lineRule="exact"/>
        <w:ind w:left="0" w:leftChars="0" w:firstLine="560" w:firstLineChars="200"/>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（六）甲方工作人员不得利用职务之便收受乙方以回扣、手续费、加班费、咨询费、劳务费、协调费、辛苦费等各种名义给予或赠送的钱物。</w:t>
      </w:r>
    </w:p>
    <w:p>
      <w:pPr>
        <w:keepNext w:val="0"/>
        <w:keepLines w:val="0"/>
        <w:pageBreakBefore w:val="0"/>
        <w:kinsoku/>
        <w:wordWrap/>
        <w:overflowPunct/>
        <w:topLinePunct w:val="0"/>
        <w:autoSpaceDE/>
        <w:autoSpaceDN/>
        <w:bidi w:val="0"/>
        <w:adjustRightInd/>
        <w:snapToGrid/>
        <w:spacing w:beforeAutospacing="0" w:afterAutospacing="0" w:line="520" w:lineRule="exact"/>
        <w:ind w:left="0" w:leftChars="0" w:firstLine="560" w:firstLineChars="200"/>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（七）甲方工作人员不得接受乙方给予或赠送的干股或红利。</w:t>
      </w:r>
    </w:p>
    <w:p>
      <w:pPr>
        <w:keepNext w:val="0"/>
        <w:keepLines w:val="0"/>
        <w:pageBreakBefore w:val="0"/>
        <w:kinsoku/>
        <w:wordWrap/>
        <w:overflowPunct/>
        <w:topLinePunct w:val="0"/>
        <w:autoSpaceDE/>
        <w:autoSpaceDN/>
        <w:bidi w:val="0"/>
        <w:adjustRightInd/>
        <w:snapToGrid/>
        <w:spacing w:beforeAutospacing="0" w:afterAutospacing="0" w:line="520" w:lineRule="exact"/>
        <w:ind w:left="0" w:leftChars="0" w:firstLine="560" w:firstLineChars="200"/>
        <w:textAlignment w:val="auto"/>
        <w:rPr>
          <w:rFonts w:hint="eastAsia"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adjustRightInd/>
        <w:snapToGrid/>
        <w:spacing w:beforeAutospacing="0" w:afterAutospacing="0" w:line="520" w:lineRule="exact"/>
        <w:ind w:left="0" w:leftChars="0" w:firstLine="560" w:firstLineChars="200"/>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第三条乙方的义务</w:t>
      </w:r>
    </w:p>
    <w:p>
      <w:pPr>
        <w:keepNext w:val="0"/>
        <w:keepLines w:val="0"/>
        <w:pageBreakBefore w:val="0"/>
        <w:kinsoku/>
        <w:wordWrap/>
        <w:overflowPunct/>
        <w:topLinePunct w:val="0"/>
        <w:autoSpaceDE/>
        <w:autoSpaceDN/>
        <w:bidi w:val="0"/>
        <w:adjustRightInd/>
        <w:snapToGrid/>
        <w:spacing w:beforeAutospacing="0" w:afterAutospacing="0" w:line="520" w:lineRule="exact"/>
        <w:ind w:left="0" w:leftChars="0" w:firstLine="560" w:firstLineChars="200"/>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（一）乙方不得以任何理由向甲方及其工作人员行贿或馈赠礼金、有价证券、贵重礼品。</w:t>
      </w:r>
    </w:p>
    <w:p>
      <w:pPr>
        <w:keepNext w:val="0"/>
        <w:keepLines w:val="0"/>
        <w:pageBreakBefore w:val="0"/>
        <w:kinsoku/>
        <w:wordWrap/>
        <w:overflowPunct/>
        <w:topLinePunct w:val="0"/>
        <w:autoSpaceDE/>
        <w:autoSpaceDN/>
        <w:bidi w:val="0"/>
        <w:adjustRightInd/>
        <w:snapToGrid/>
        <w:spacing w:beforeAutospacing="0" w:afterAutospacing="0" w:line="520" w:lineRule="exact"/>
        <w:ind w:left="0" w:leftChars="0" w:firstLine="560" w:firstLineChars="200"/>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（二)乙方不得以任何名义为甲方及其工作人员报销应由甲方单位或个人支付的任何费用。</w:t>
      </w:r>
    </w:p>
    <w:p>
      <w:pPr>
        <w:keepNext w:val="0"/>
        <w:keepLines w:val="0"/>
        <w:pageBreakBefore w:val="0"/>
        <w:kinsoku/>
        <w:wordWrap/>
        <w:overflowPunct/>
        <w:topLinePunct w:val="0"/>
        <w:autoSpaceDE/>
        <w:autoSpaceDN/>
        <w:bidi w:val="0"/>
        <w:adjustRightInd/>
        <w:snapToGrid/>
        <w:spacing w:beforeAutospacing="0" w:afterAutospacing="0" w:line="520" w:lineRule="exact"/>
        <w:ind w:left="0" w:leftChars="0" w:firstLine="560" w:firstLineChars="200"/>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（三）乙方不得以任何理由安排甲方工作人员参加可能影响相关业务公开、公正、公平性的宴请及娱乐活动。</w:t>
      </w:r>
    </w:p>
    <w:p>
      <w:pPr>
        <w:pStyle w:val="17"/>
        <w:keepNext w:val="0"/>
        <w:keepLines w:val="0"/>
        <w:pageBreakBefore w:val="0"/>
        <w:kinsoku/>
        <w:wordWrap/>
        <w:overflowPunct/>
        <w:topLinePunct w:val="0"/>
        <w:autoSpaceDE/>
        <w:autoSpaceDN/>
        <w:bidi w:val="0"/>
        <w:adjustRightInd/>
        <w:snapToGrid/>
        <w:spacing w:beforeAutospacing="0" w:after="0" w:afterAutospacing="0" w:line="520" w:lineRule="exact"/>
        <w:ind w:left="0" w:leftChars="0"/>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（四）乙方不得为甲方单位和个人购置或提供通讯工具和高档办公用品等物品，也不得为甲方提供与工作无关的房屋、汽车等。</w:t>
      </w:r>
    </w:p>
    <w:p>
      <w:pPr>
        <w:keepNext w:val="0"/>
        <w:keepLines w:val="0"/>
        <w:pageBreakBefore w:val="0"/>
        <w:kinsoku/>
        <w:wordWrap/>
        <w:overflowPunct/>
        <w:topLinePunct w:val="0"/>
        <w:autoSpaceDE/>
        <w:autoSpaceDN/>
        <w:bidi w:val="0"/>
        <w:adjustRightInd/>
        <w:snapToGrid/>
        <w:spacing w:beforeAutospacing="0" w:afterAutospacing="0" w:line="520" w:lineRule="exact"/>
        <w:ind w:left="0" w:leftChars="0" w:firstLine="560" w:firstLineChars="200"/>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（五）乙方不得擅自与甲方工作人员就</w:t>
      </w:r>
      <w:r>
        <w:rPr>
          <w:rFonts w:hint="eastAsia" w:ascii="仿宋" w:hAnsi="仿宋" w:eastAsia="仿宋" w:cs="仿宋"/>
          <w:b w:val="0"/>
          <w:bCs/>
          <w:color w:val="auto"/>
          <w:sz w:val="28"/>
          <w:szCs w:val="28"/>
          <w:highlight w:val="none"/>
          <w:lang w:val="en-US" w:eastAsia="zh-CN"/>
        </w:rPr>
        <w:t>主</w:t>
      </w:r>
      <w:r>
        <w:rPr>
          <w:rFonts w:hint="eastAsia" w:ascii="仿宋" w:hAnsi="仿宋" w:eastAsia="仿宋" w:cs="仿宋"/>
          <w:b w:val="0"/>
          <w:bCs/>
          <w:color w:val="auto"/>
          <w:sz w:val="28"/>
          <w:szCs w:val="28"/>
          <w:highlight w:val="none"/>
        </w:rPr>
        <w:t>合同中的质量、数量、价格、工程量、验收等条款进行私下商谈或者达成默契。</w:t>
      </w:r>
    </w:p>
    <w:p>
      <w:pPr>
        <w:keepNext w:val="0"/>
        <w:keepLines w:val="0"/>
        <w:pageBreakBefore w:val="0"/>
        <w:kinsoku/>
        <w:wordWrap/>
        <w:overflowPunct/>
        <w:topLinePunct w:val="0"/>
        <w:autoSpaceDE/>
        <w:autoSpaceDN/>
        <w:bidi w:val="0"/>
        <w:adjustRightInd/>
        <w:snapToGrid/>
        <w:spacing w:beforeAutospacing="0" w:afterAutospacing="0" w:line="520" w:lineRule="exact"/>
        <w:ind w:left="0" w:leftChars="0" w:firstLine="560" w:firstLineChars="200"/>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（六）乙方不得以回扣、手续费、加班费、咨询费、劳务费、协调费、辛苦费等各种名义向甲方工作人员给予或赠送钱物。</w:t>
      </w:r>
    </w:p>
    <w:p>
      <w:pPr>
        <w:keepNext w:val="0"/>
        <w:keepLines w:val="0"/>
        <w:pageBreakBefore w:val="0"/>
        <w:kinsoku/>
        <w:wordWrap/>
        <w:overflowPunct/>
        <w:topLinePunct w:val="0"/>
        <w:autoSpaceDE/>
        <w:autoSpaceDN/>
        <w:bidi w:val="0"/>
        <w:adjustRightInd/>
        <w:snapToGrid/>
        <w:spacing w:beforeAutospacing="0" w:afterAutospacing="0" w:line="520" w:lineRule="exact"/>
        <w:ind w:left="0" w:leftChars="0" w:firstLine="560" w:firstLineChars="200"/>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（七）乙方不得向甲方工作人员提供干股或红利。</w:t>
      </w:r>
    </w:p>
    <w:p>
      <w:pPr>
        <w:keepNext w:val="0"/>
        <w:keepLines w:val="0"/>
        <w:pageBreakBefore w:val="0"/>
        <w:kinsoku/>
        <w:wordWrap/>
        <w:overflowPunct/>
        <w:topLinePunct w:val="0"/>
        <w:autoSpaceDE/>
        <w:autoSpaceDN/>
        <w:bidi w:val="0"/>
        <w:adjustRightInd/>
        <w:snapToGrid/>
        <w:spacing w:beforeAutospacing="0" w:afterAutospacing="0" w:line="520" w:lineRule="exact"/>
        <w:ind w:left="0" w:leftChars="0" w:firstLine="560" w:firstLineChars="200"/>
        <w:textAlignment w:val="auto"/>
        <w:rPr>
          <w:rFonts w:hint="eastAsia"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adjustRightInd/>
        <w:snapToGrid/>
        <w:spacing w:beforeAutospacing="0" w:afterAutospacing="0" w:line="520" w:lineRule="exact"/>
        <w:ind w:left="0" w:leftChars="0" w:firstLine="560" w:firstLineChars="200"/>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第四条违约责任</w:t>
      </w:r>
    </w:p>
    <w:p>
      <w:pPr>
        <w:keepNext w:val="0"/>
        <w:keepLines w:val="0"/>
        <w:pageBreakBefore w:val="0"/>
        <w:kinsoku/>
        <w:wordWrap/>
        <w:overflowPunct/>
        <w:topLinePunct w:val="0"/>
        <w:autoSpaceDE/>
        <w:autoSpaceDN/>
        <w:bidi w:val="0"/>
        <w:adjustRightInd/>
        <w:snapToGrid/>
        <w:spacing w:beforeAutospacing="0" w:afterAutospacing="0" w:line="520" w:lineRule="exact"/>
        <w:ind w:left="0" w:leftChars="0" w:firstLine="560" w:firstLineChars="200"/>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（一）甲方及其工作人员违反本协议第一、二条。甲方按管理权限，对相关责任人依据有关规定给予处理；涉嫌犯罪的，移交司法机关追究刑事责任；给乙方单位造成经济损失的，应予以赔偿。</w:t>
      </w:r>
    </w:p>
    <w:p>
      <w:pPr>
        <w:keepNext w:val="0"/>
        <w:keepLines w:val="0"/>
        <w:pageBreakBefore w:val="0"/>
        <w:kinsoku/>
        <w:wordWrap/>
        <w:overflowPunct/>
        <w:topLinePunct w:val="0"/>
        <w:autoSpaceDE/>
        <w:autoSpaceDN/>
        <w:bidi w:val="0"/>
        <w:adjustRightInd/>
        <w:snapToGrid/>
        <w:spacing w:beforeAutospacing="0" w:afterAutospacing="0" w:line="520" w:lineRule="exact"/>
        <w:ind w:left="0" w:leftChars="0" w:firstLine="560" w:firstLineChars="200"/>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甲方举报投诉联系部门：广州市净水有限公司</w:t>
      </w:r>
      <w:r>
        <w:rPr>
          <w:rFonts w:hint="eastAsia" w:ascii="仿宋" w:hAnsi="仿宋" w:eastAsia="仿宋" w:cs="仿宋"/>
          <w:b w:val="0"/>
          <w:bCs/>
          <w:color w:val="auto"/>
          <w:sz w:val="28"/>
          <w:szCs w:val="28"/>
          <w:highlight w:val="none"/>
          <w:u w:val="single"/>
        </w:rPr>
        <w:t>纪检室</w:t>
      </w:r>
      <w:r>
        <w:rPr>
          <w:rFonts w:hint="eastAsia" w:ascii="仿宋" w:hAnsi="仿宋" w:eastAsia="仿宋" w:cs="仿宋"/>
          <w:b w:val="0"/>
          <w:bCs/>
          <w:color w:val="auto"/>
          <w:sz w:val="28"/>
          <w:szCs w:val="28"/>
          <w:highlight w:val="none"/>
        </w:rPr>
        <w:t>，联系电话：</w:t>
      </w:r>
      <w:r>
        <w:rPr>
          <w:rFonts w:hint="eastAsia" w:ascii="仿宋" w:hAnsi="仿宋" w:eastAsia="仿宋" w:cs="仿宋"/>
          <w:b w:val="0"/>
          <w:bCs/>
          <w:color w:val="auto"/>
          <w:sz w:val="28"/>
          <w:szCs w:val="28"/>
          <w:highlight w:val="none"/>
          <w:u w:val="single"/>
        </w:rPr>
        <w:t xml:space="preserve"> 020-38890265 </w:t>
      </w:r>
      <w:r>
        <w:rPr>
          <w:rFonts w:hint="eastAsia" w:ascii="仿宋" w:hAnsi="仿宋" w:eastAsia="仿宋" w:cs="仿宋"/>
          <w:b w:val="0"/>
          <w:bCs/>
          <w:color w:val="auto"/>
          <w:sz w:val="28"/>
          <w:szCs w:val="28"/>
          <w:highlight w:val="none"/>
        </w:rPr>
        <w:t>。</w:t>
      </w:r>
    </w:p>
    <w:p>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firstLine="0"/>
        <w:textAlignment w:val="auto"/>
        <w:rPr>
          <w:rFonts w:hint="eastAsia" w:ascii="仿宋" w:hAnsi="仿宋" w:eastAsia="仿宋" w:cs="仿宋"/>
          <w:b w:val="0"/>
          <w:bCs/>
          <w:i w:val="0"/>
          <w:iCs w:val="0"/>
          <w:caps w:val="0"/>
          <w:color w:val="auto"/>
          <w:spacing w:val="0"/>
          <w:sz w:val="28"/>
          <w:szCs w:val="28"/>
          <w:highlight w:val="none"/>
        </w:rPr>
      </w:pPr>
      <w:r>
        <w:rPr>
          <w:rFonts w:hint="eastAsia" w:ascii="仿宋" w:hAnsi="仿宋" w:eastAsia="仿宋" w:cs="仿宋"/>
          <w:b w:val="0"/>
          <w:bCs/>
          <w:i w:val="0"/>
          <w:iCs w:val="0"/>
          <w:caps w:val="0"/>
          <w:color w:val="auto"/>
          <w:spacing w:val="0"/>
          <w:sz w:val="28"/>
          <w:szCs w:val="28"/>
          <w:highlight w:val="none"/>
        </w:rPr>
        <w:t>（二）乙方及其工作人员</w:t>
      </w:r>
      <w:r>
        <w:rPr>
          <w:rFonts w:hint="eastAsia" w:ascii="仿宋" w:hAnsi="仿宋" w:eastAsia="仿宋" w:cs="仿宋"/>
          <w:b w:val="0"/>
          <w:bCs/>
          <w:i w:val="0"/>
          <w:iCs w:val="0"/>
          <w:caps w:val="0"/>
          <w:color w:val="auto"/>
          <w:spacing w:val="0"/>
          <w:sz w:val="28"/>
          <w:szCs w:val="28"/>
          <w:highlight w:val="none"/>
          <w:lang w:val="en-US" w:eastAsia="zh-CN"/>
        </w:rPr>
        <w:t>存在</w:t>
      </w:r>
      <w:r>
        <w:rPr>
          <w:rFonts w:hint="eastAsia" w:ascii="仿宋" w:hAnsi="仿宋" w:eastAsia="仿宋" w:cs="仿宋"/>
          <w:b w:val="0"/>
          <w:bCs/>
          <w:i w:val="0"/>
          <w:iCs w:val="0"/>
          <w:caps w:val="0"/>
          <w:color w:val="auto"/>
          <w:spacing w:val="0"/>
          <w:sz w:val="28"/>
          <w:szCs w:val="28"/>
          <w:highlight w:val="none"/>
        </w:rPr>
        <w:t>违反本协议第一、三条规定、或在甲方招标、询价等过程中违反法律法规中的廉洁规定</w:t>
      </w:r>
      <w:r>
        <w:rPr>
          <w:rFonts w:hint="eastAsia" w:ascii="仿宋" w:hAnsi="仿宋" w:eastAsia="仿宋" w:cs="仿宋"/>
          <w:b w:val="0"/>
          <w:bCs/>
          <w:i w:val="0"/>
          <w:iCs w:val="0"/>
          <w:caps w:val="0"/>
          <w:color w:val="auto"/>
          <w:spacing w:val="0"/>
          <w:sz w:val="28"/>
          <w:szCs w:val="28"/>
          <w:highlight w:val="none"/>
          <w:lang w:val="en-US" w:eastAsia="zh-CN"/>
        </w:rPr>
        <w:t>的行为</w:t>
      </w:r>
      <w:r>
        <w:rPr>
          <w:rFonts w:hint="eastAsia" w:ascii="仿宋" w:hAnsi="仿宋" w:eastAsia="仿宋" w:cs="仿宋"/>
          <w:b w:val="0"/>
          <w:bCs/>
          <w:i w:val="0"/>
          <w:iCs w:val="0"/>
          <w:caps w:val="0"/>
          <w:color w:val="auto"/>
          <w:spacing w:val="0"/>
          <w:sz w:val="28"/>
          <w:szCs w:val="28"/>
          <w:highlight w:val="none"/>
        </w:rPr>
        <w:t>，</w:t>
      </w:r>
      <w:r>
        <w:rPr>
          <w:rFonts w:hint="eastAsia" w:ascii="仿宋" w:hAnsi="仿宋" w:eastAsia="仿宋" w:cs="仿宋"/>
          <w:b w:val="0"/>
          <w:bCs/>
          <w:i w:val="0"/>
          <w:iCs w:val="0"/>
          <w:caps w:val="0"/>
          <w:color w:val="auto"/>
          <w:spacing w:val="0"/>
          <w:sz w:val="28"/>
          <w:szCs w:val="28"/>
          <w:highlight w:val="none"/>
          <w:lang w:val="en-US" w:eastAsia="zh-CN"/>
        </w:rPr>
        <w:t>无论该行为是否与主合同有关，</w:t>
      </w:r>
      <w:r>
        <w:rPr>
          <w:rFonts w:hint="eastAsia" w:ascii="仿宋" w:hAnsi="仿宋" w:eastAsia="仿宋" w:cs="仿宋"/>
          <w:b w:val="0"/>
          <w:bCs/>
          <w:i w:val="0"/>
          <w:iCs w:val="0"/>
          <w:caps w:val="0"/>
          <w:color w:val="auto"/>
          <w:spacing w:val="0"/>
          <w:sz w:val="28"/>
          <w:szCs w:val="28"/>
          <w:highlight w:val="none"/>
        </w:rPr>
        <w:t>甲方</w:t>
      </w:r>
      <w:r>
        <w:rPr>
          <w:rFonts w:hint="eastAsia" w:ascii="仿宋" w:hAnsi="仿宋" w:eastAsia="仿宋" w:cs="仿宋"/>
          <w:b w:val="0"/>
          <w:bCs/>
          <w:i w:val="0"/>
          <w:iCs w:val="0"/>
          <w:caps w:val="0"/>
          <w:color w:val="auto"/>
          <w:spacing w:val="0"/>
          <w:sz w:val="28"/>
          <w:szCs w:val="28"/>
          <w:highlight w:val="none"/>
          <w:lang w:val="en-US" w:eastAsia="zh-CN"/>
        </w:rPr>
        <w:t>均</w:t>
      </w:r>
      <w:r>
        <w:rPr>
          <w:rFonts w:hint="eastAsia" w:ascii="仿宋" w:hAnsi="仿宋" w:eastAsia="仿宋" w:cs="仿宋"/>
          <w:b w:val="0"/>
          <w:bCs/>
          <w:i w:val="0"/>
          <w:iCs w:val="0"/>
          <w:caps w:val="0"/>
          <w:color w:val="auto"/>
          <w:spacing w:val="0"/>
          <w:sz w:val="28"/>
          <w:szCs w:val="28"/>
          <w:highlight w:val="none"/>
        </w:rPr>
        <w:t>有权根据具体情节和造成的后果，对乙方采取以下处理</w:t>
      </w:r>
      <w:r>
        <w:rPr>
          <w:rFonts w:hint="eastAsia" w:ascii="仿宋" w:hAnsi="仿宋" w:eastAsia="仿宋" w:cs="仿宋"/>
          <w:b w:val="0"/>
          <w:bCs/>
          <w:i w:val="0"/>
          <w:iCs w:val="0"/>
          <w:caps w:val="0"/>
          <w:color w:val="auto"/>
          <w:spacing w:val="0"/>
          <w:sz w:val="28"/>
          <w:szCs w:val="28"/>
          <w:highlight w:val="none"/>
          <w:lang w:val="en-US" w:eastAsia="zh-CN"/>
        </w:rPr>
        <w:t>方式</w:t>
      </w:r>
      <w:r>
        <w:rPr>
          <w:rFonts w:hint="eastAsia" w:ascii="仿宋" w:hAnsi="仿宋" w:eastAsia="仿宋" w:cs="仿宋"/>
          <w:b w:val="0"/>
          <w:bCs/>
          <w:i w:val="0"/>
          <w:iCs w:val="0"/>
          <w:caps w:val="0"/>
          <w:color w:val="auto"/>
          <w:spacing w:val="0"/>
          <w:sz w:val="28"/>
          <w:szCs w:val="28"/>
          <w:highlight w:val="none"/>
        </w:rPr>
        <w:t>：</w:t>
      </w:r>
    </w:p>
    <w:p>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firstLine="0"/>
        <w:textAlignment w:val="auto"/>
        <w:rPr>
          <w:rFonts w:hint="eastAsia" w:ascii="仿宋" w:hAnsi="仿宋" w:eastAsia="仿宋" w:cs="仿宋"/>
          <w:b w:val="0"/>
          <w:bCs/>
          <w:i w:val="0"/>
          <w:iCs w:val="0"/>
          <w:caps w:val="0"/>
          <w:color w:val="auto"/>
          <w:spacing w:val="0"/>
          <w:sz w:val="28"/>
          <w:szCs w:val="28"/>
          <w:highlight w:val="none"/>
        </w:rPr>
      </w:pPr>
      <w:r>
        <w:rPr>
          <w:rFonts w:hint="eastAsia" w:ascii="仿宋" w:hAnsi="仿宋" w:eastAsia="仿宋" w:cs="仿宋"/>
          <w:b w:val="0"/>
          <w:bCs/>
          <w:i w:val="0"/>
          <w:iCs w:val="0"/>
          <w:caps w:val="0"/>
          <w:color w:val="auto"/>
          <w:spacing w:val="0"/>
          <w:sz w:val="28"/>
          <w:szCs w:val="28"/>
          <w:highlight w:val="none"/>
        </w:rPr>
        <w:t>1、扣除主合同的全部履约保证金；</w:t>
      </w:r>
    </w:p>
    <w:p>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firstLine="0"/>
        <w:textAlignment w:val="auto"/>
        <w:rPr>
          <w:rFonts w:hint="eastAsia" w:ascii="仿宋" w:hAnsi="仿宋" w:eastAsia="仿宋" w:cs="仿宋"/>
          <w:b w:val="0"/>
          <w:bCs/>
          <w:i w:val="0"/>
          <w:iCs w:val="0"/>
          <w:caps w:val="0"/>
          <w:color w:val="auto"/>
          <w:spacing w:val="0"/>
          <w:sz w:val="28"/>
          <w:szCs w:val="28"/>
          <w:highlight w:val="none"/>
        </w:rPr>
      </w:pPr>
      <w:r>
        <w:rPr>
          <w:rFonts w:hint="eastAsia" w:ascii="仿宋" w:hAnsi="仿宋" w:eastAsia="仿宋" w:cs="仿宋"/>
          <w:b w:val="0"/>
          <w:bCs/>
          <w:i w:val="0"/>
          <w:iCs w:val="0"/>
          <w:caps w:val="0"/>
          <w:color w:val="auto"/>
          <w:spacing w:val="0"/>
          <w:sz w:val="28"/>
          <w:szCs w:val="28"/>
          <w:highlight w:val="none"/>
        </w:rPr>
        <w:t>2、解除</w:t>
      </w:r>
      <w:r>
        <w:rPr>
          <w:rFonts w:hint="eastAsia" w:ascii="仿宋" w:hAnsi="仿宋" w:eastAsia="仿宋" w:cs="仿宋"/>
          <w:b w:val="0"/>
          <w:bCs/>
          <w:i w:val="0"/>
          <w:iCs w:val="0"/>
          <w:caps w:val="0"/>
          <w:color w:val="auto"/>
          <w:spacing w:val="0"/>
          <w:sz w:val="28"/>
          <w:szCs w:val="28"/>
          <w:highlight w:val="none"/>
          <w:lang w:val="en-US" w:eastAsia="zh-CN"/>
        </w:rPr>
        <w:t>主合同</w:t>
      </w:r>
      <w:r>
        <w:rPr>
          <w:rFonts w:hint="eastAsia" w:ascii="仿宋" w:hAnsi="仿宋" w:eastAsia="仿宋" w:cs="仿宋"/>
          <w:b w:val="0"/>
          <w:bCs/>
          <w:i w:val="0"/>
          <w:iCs w:val="0"/>
          <w:caps w:val="0"/>
          <w:color w:val="auto"/>
          <w:spacing w:val="0"/>
          <w:sz w:val="28"/>
          <w:szCs w:val="28"/>
          <w:highlight w:val="none"/>
        </w:rPr>
        <w:t>；</w:t>
      </w:r>
    </w:p>
    <w:p>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firstLine="0"/>
        <w:textAlignment w:val="auto"/>
        <w:rPr>
          <w:rFonts w:hint="eastAsia" w:ascii="仿宋" w:hAnsi="仿宋" w:eastAsia="仿宋" w:cs="仿宋"/>
          <w:b w:val="0"/>
          <w:bCs/>
          <w:i w:val="0"/>
          <w:iCs w:val="0"/>
          <w:caps w:val="0"/>
          <w:color w:val="auto"/>
          <w:spacing w:val="0"/>
          <w:sz w:val="28"/>
          <w:szCs w:val="28"/>
          <w:highlight w:val="none"/>
        </w:rPr>
      </w:pPr>
      <w:r>
        <w:rPr>
          <w:rFonts w:hint="eastAsia" w:ascii="仿宋" w:hAnsi="仿宋" w:eastAsia="仿宋" w:cs="仿宋"/>
          <w:b w:val="0"/>
          <w:bCs/>
          <w:i w:val="0"/>
          <w:iCs w:val="0"/>
          <w:caps w:val="0"/>
          <w:color w:val="auto"/>
          <w:spacing w:val="0"/>
          <w:sz w:val="28"/>
          <w:szCs w:val="28"/>
          <w:highlight w:val="none"/>
        </w:rPr>
        <w:t>3、追究乙方其他违约责任；</w:t>
      </w:r>
    </w:p>
    <w:p>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firstLine="0"/>
        <w:textAlignment w:val="auto"/>
        <w:rPr>
          <w:rFonts w:hint="eastAsia" w:ascii="仿宋" w:hAnsi="仿宋" w:eastAsia="仿宋" w:cs="仿宋"/>
          <w:b w:val="0"/>
          <w:bCs/>
          <w:i w:val="0"/>
          <w:iCs w:val="0"/>
          <w:caps w:val="0"/>
          <w:color w:val="auto"/>
          <w:spacing w:val="0"/>
          <w:sz w:val="28"/>
          <w:szCs w:val="28"/>
          <w:highlight w:val="none"/>
        </w:rPr>
      </w:pPr>
      <w:r>
        <w:rPr>
          <w:rFonts w:hint="eastAsia" w:ascii="仿宋" w:hAnsi="仿宋" w:eastAsia="仿宋" w:cs="仿宋"/>
          <w:b w:val="0"/>
          <w:bCs/>
          <w:i w:val="0"/>
          <w:iCs w:val="0"/>
          <w:caps w:val="0"/>
          <w:color w:val="auto"/>
          <w:spacing w:val="0"/>
          <w:sz w:val="28"/>
          <w:szCs w:val="28"/>
          <w:highlight w:val="none"/>
        </w:rPr>
        <w:t>4、根据甲方的有关规章制度，在一定时间内暂停乙方参与甲方及下属单位所有项目的交易资格；</w:t>
      </w:r>
    </w:p>
    <w:p>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firstLine="0"/>
        <w:textAlignment w:val="auto"/>
        <w:rPr>
          <w:rFonts w:hint="eastAsia" w:ascii="仿宋" w:hAnsi="仿宋" w:eastAsia="仿宋" w:cs="仿宋"/>
          <w:b w:val="0"/>
          <w:bCs/>
          <w:i w:val="0"/>
          <w:iCs w:val="0"/>
          <w:caps w:val="0"/>
          <w:color w:val="auto"/>
          <w:spacing w:val="0"/>
          <w:sz w:val="28"/>
          <w:szCs w:val="28"/>
          <w:highlight w:val="none"/>
        </w:rPr>
      </w:pPr>
      <w:r>
        <w:rPr>
          <w:rFonts w:hint="eastAsia" w:ascii="仿宋" w:hAnsi="仿宋" w:eastAsia="仿宋" w:cs="仿宋"/>
          <w:b w:val="0"/>
          <w:bCs/>
          <w:i w:val="0"/>
          <w:iCs w:val="0"/>
          <w:caps w:val="0"/>
          <w:color w:val="auto"/>
          <w:spacing w:val="0"/>
          <w:sz w:val="28"/>
          <w:szCs w:val="28"/>
          <w:highlight w:val="none"/>
        </w:rPr>
        <w:t>5、根据甲方的有关规章制度，将乙方清退出甲方相关企业库；</w:t>
      </w:r>
    </w:p>
    <w:p>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firstLine="0"/>
        <w:textAlignment w:val="auto"/>
        <w:rPr>
          <w:rFonts w:hint="eastAsia" w:ascii="仿宋" w:hAnsi="仿宋" w:eastAsia="仿宋" w:cs="仿宋"/>
          <w:b w:val="0"/>
          <w:bCs/>
          <w:i w:val="0"/>
          <w:iCs w:val="0"/>
          <w:caps w:val="0"/>
          <w:color w:val="auto"/>
          <w:spacing w:val="0"/>
          <w:sz w:val="28"/>
          <w:szCs w:val="28"/>
          <w:highlight w:val="none"/>
        </w:rPr>
      </w:pPr>
      <w:r>
        <w:rPr>
          <w:rFonts w:hint="eastAsia" w:ascii="仿宋" w:hAnsi="仿宋" w:eastAsia="仿宋" w:cs="仿宋"/>
          <w:b w:val="0"/>
          <w:bCs/>
          <w:i w:val="0"/>
          <w:iCs w:val="0"/>
          <w:caps w:val="0"/>
          <w:color w:val="auto"/>
          <w:spacing w:val="0"/>
          <w:sz w:val="28"/>
          <w:szCs w:val="28"/>
          <w:highlight w:val="none"/>
        </w:rPr>
        <w:t>6、根据甲方上级单位、行政主管部门的意见、决定执行；</w:t>
      </w:r>
    </w:p>
    <w:p>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firstLine="0"/>
        <w:textAlignment w:val="auto"/>
        <w:rPr>
          <w:rFonts w:hint="eastAsia" w:ascii="仿宋" w:hAnsi="仿宋" w:eastAsia="仿宋" w:cs="仿宋"/>
          <w:b w:val="0"/>
          <w:bCs/>
          <w:i w:val="0"/>
          <w:iCs w:val="0"/>
          <w:caps w:val="0"/>
          <w:color w:val="auto"/>
          <w:spacing w:val="0"/>
          <w:sz w:val="28"/>
          <w:szCs w:val="28"/>
          <w:highlight w:val="none"/>
        </w:rPr>
      </w:pPr>
      <w:r>
        <w:rPr>
          <w:rFonts w:hint="eastAsia" w:ascii="仿宋" w:hAnsi="仿宋" w:eastAsia="仿宋" w:cs="仿宋"/>
          <w:b w:val="0"/>
          <w:bCs/>
          <w:i w:val="0"/>
          <w:iCs w:val="0"/>
          <w:caps w:val="0"/>
          <w:color w:val="auto"/>
          <w:spacing w:val="0"/>
          <w:sz w:val="28"/>
          <w:szCs w:val="28"/>
          <w:highlight w:val="none"/>
        </w:rPr>
        <w:t>7、按规定向有关行政监督部门、乙方业务管理部门进行投诉、报告。</w:t>
      </w:r>
    </w:p>
    <w:p>
      <w:pPr>
        <w:keepNext w:val="0"/>
        <w:keepLines w:val="0"/>
        <w:pageBreakBefore w:val="0"/>
        <w:kinsoku/>
        <w:wordWrap/>
        <w:overflowPunct/>
        <w:topLinePunct w:val="0"/>
        <w:autoSpaceDE/>
        <w:autoSpaceDN/>
        <w:bidi w:val="0"/>
        <w:adjustRightInd/>
        <w:snapToGrid/>
        <w:spacing w:beforeAutospacing="0" w:afterAutospacing="0" w:line="520" w:lineRule="exact"/>
        <w:ind w:left="0" w:leftChars="0" w:firstLine="560" w:firstLineChars="200"/>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i w:val="0"/>
          <w:iCs w:val="0"/>
          <w:caps w:val="0"/>
          <w:color w:val="auto"/>
          <w:spacing w:val="0"/>
          <w:sz w:val="28"/>
          <w:szCs w:val="28"/>
          <w:highlight w:val="none"/>
        </w:rPr>
        <w:t>乙方无条件接受甲方的处理决定并承担给甲方造成的损失，全额返还通过不正当手段获取的非法所得，并承担相应的法律责任。</w:t>
      </w:r>
    </w:p>
    <w:p>
      <w:pPr>
        <w:keepNext w:val="0"/>
        <w:keepLines w:val="0"/>
        <w:pageBreakBefore w:val="0"/>
        <w:kinsoku/>
        <w:wordWrap/>
        <w:overflowPunct/>
        <w:topLinePunct w:val="0"/>
        <w:autoSpaceDE/>
        <w:autoSpaceDN/>
        <w:bidi w:val="0"/>
        <w:adjustRightInd/>
        <w:snapToGrid/>
        <w:spacing w:beforeAutospacing="0" w:afterAutospacing="0" w:line="520" w:lineRule="exact"/>
        <w:ind w:left="0" w:leftChars="0" w:firstLine="560" w:firstLineChars="200"/>
        <w:textAlignment w:val="auto"/>
        <w:rPr>
          <w:rFonts w:hint="eastAsia" w:ascii="仿宋" w:hAnsi="仿宋" w:eastAsia="仿宋" w:cs="仿宋"/>
          <w:b w:val="0"/>
          <w:bCs/>
          <w:color w:val="auto"/>
          <w:kern w:val="0"/>
          <w:sz w:val="28"/>
          <w:szCs w:val="28"/>
          <w:highlight w:val="none"/>
        </w:rPr>
      </w:pPr>
      <w:r>
        <w:rPr>
          <w:rFonts w:hint="eastAsia" w:ascii="仿宋" w:hAnsi="仿宋" w:eastAsia="仿宋" w:cs="仿宋"/>
          <w:b w:val="0"/>
          <w:bCs/>
          <w:color w:val="auto"/>
          <w:sz w:val="28"/>
          <w:szCs w:val="28"/>
          <w:highlight w:val="none"/>
        </w:rPr>
        <w:t xml:space="preserve">第五条 </w:t>
      </w:r>
      <w:r>
        <w:rPr>
          <w:rFonts w:hint="eastAsia" w:ascii="仿宋" w:hAnsi="仿宋" w:eastAsia="仿宋" w:cs="仿宋"/>
          <w:b w:val="0"/>
          <w:bCs/>
          <w:color w:val="auto"/>
          <w:kern w:val="0"/>
          <w:sz w:val="28"/>
          <w:szCs w:val="28"/>
          <w:highlight w:val="none"/>
        </w:rPr>
        <w:t xml:space="preserve">本协议执行情况，接受有管辖权的纪检、监察部门的监督，双方应予以配合检查调查。 </w:t>
      </w:r>
    </w:p>
    <w:p>
      <w:pPr>
        <w:keepNext w:val="0"/>
        <w:keepLines w:val="0"/>
        <w:pageBreakBefore w:val="0"/>
        <w:kinsoku/>
        <w:wordWrap/>
        <w:overflowPunct/>
        <w:topLinePunct w:val="0"/>
        <w:autoSpaceDE/>
        <w:autoSpaceDN/>
        <w:bidi w:val="0"/>
        <w:adjustRightInd/>
        <w:snapToGrid/>
        <w:spacing w:beforeAutospacing="0" w:afterAutospacing="0" w:line="520" w:lineRule="exact"/>
        <w:ind w:left="0" w:leftChars="0" w:firstLine="560" w:firstLineChars="200"/>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第六条本协议作为</w:t>
      </w:r>
      <w:r>
        <w:rPr>
          <w:rFonts w:hint="eastAsia" w:ascii="仿宋" w:hAnsi="仿宋" w:eastAsia="仿宋" w:cs="仿宋"/>
          <w:b w:val="0"/>
          <w:bCs/>
          <w:color w:val="auto"/>
          <w:sz w:val="28"/>
          <w:szCs w:val="28"/>
          <w:highlight w:val="none"/>
          <w:u w:val="single"/>
        </w:rPr>
        <w:t>（合同名称）+（合同编号）</w:t>
      </w:r>
      <w:r>
        <w:rPr>
          <w:rFonts w:hint="eastAsia" w:ascii="仿宋" w:hAnsi="仿宋" w:eastAsia="仿宋" w:cs="仿宋"/>
          <w:b w:val="0"/>
          <w:bCs/>
          <w:color w:val="auto"/>
          <w:sz w:val="28"/>
          <w:szCs w:val="28"/>
          <w:highlight w:val="none"/>
        </w:rPr>
        <w:t>合同的附件，并具有同等的法律效力，本协议自双方签字盖章之日起生效，与主合同同时终止。</w:t>
      </w:r>
    </w:p>
    <w:p>
      <w:pPr>
        <w:keepNext w:val="0"/>
        <w:keepLines w:val="0"/>
        <w:pageBreakBefore w:val="0"/>
        <w:kinsoku/>
        <w:wordWrap/>
        <w:overflowPunct/>
        <w:topLinePunct w:val="0"/>
        <w:autoSpaceDE/>
        <w:autoSpaceDN/>
        <w:bidi w:val="0"/>
        <w:adjustRightInd/>
        <w:snapToGrid/>
        <w:spacing w:beforeAutospacing="0" w:afterAutospacing="0" w:line="520" w:lineRule="exact"/>
        <w:ind w:left="0" w:leftChars="0" w:firstLine="560" w:firstLineChars="200"/>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第七条本协议一式</w:t>
      </w:r>
      <w:r>
        <w:rPr>
          <w:rFonts w:hint="eastAsia" w:ascii="仿宋" w:hAnsi="仿宋" w:eastAsia="仿宋" w:cs="仿宋"/>
          <w:b w:val="0"/>
          <w:bCs/>
          <w:color w:val="auto"/>
          <w:sz w:val="28"/>
          <w:szCs w:val="28"/>
          <w:highlight w:val="none"/>
          <w:u w:val="single"/>
          <w:lang w:val="en-US" w:eastAsia="zh-CN"/>
        </w:rPr>
        <w:t>8</w:t>
      </w:r>
      <w:r>
        <w:rPr>
          <w:rFonts w:hint="eastAsia" w:ascii="仿宋" w:hAnsi="仿宋" w:eastAsia="仿宋" w:cs="仿宋"/>
          <w:b w:val="0"/>
          <w:bCs/>
          <w:color w:val="auto"/>
          <w:sz w:val="28"/>
          <w:szCs w:val="28"/>
          <w:highlight w:val="none"/>
        </w:rPr>
        <w:t>份，甲方</w:t>
      </w:r>
      <w:r>
        <w:rPr>
          <w:rFonts w:hint="eastAsia" w:ascii="仿宋" w:hAnsi="仿宋" w:eastAsia="仿宋" w:cs="仿宋"/>
          <w:b w:val="0"/>
          <w:bCs/>
          <w:color w:val="auto"/>
          <w:sz w:val="28"/>
          <w:szCs w:val="28"/>
          <w:highlight w:val="none"/>
          <w:u w:val="single"/>
          <w:lang w:val="en-US" w:eastAsia="zh-CN"/>
        </w:rPr>
        <w:t>6</w:t>
      </w:r>
      <w:r>
        <w:rPr>
          <w:rFonts w:hint="eastAsia" w:ascii="仿宋" w:hAnsi="仿宋" w:eastAsia="仿宋" w:cs="仿宋"/>
          <w:b w:val="0"/>
          <w:bCs/>
          <w:color w:val="auto"/>
          <w:sz w:val="28"/>
          <w:szCs w:val="28"/>
          <w:highlight w:val="none"/>
        </w:rPr>
        <w:t>份，乙方</w:t>
      </w:r>
      <w:r>
        <w:rPr>
          <w:rFonts w:hint="eastAsia" w:ascii="仿宋" w:hAnsi="仿宋" w:eastAsia="仿宋" w:cs="仿宋"/>
          <w:b w:val="0"/>
          <w:bCs/>
          <w:color w:val="auto"/>
          <w:sz w:val="28"/>
          <w:szCs w:val="28"/>
          <w:highlight w:val="none"/>
          <w:u w:val="single"/>
          <w:lang w:val="en-US" w:eastAsia="zh-CN"/>
        </w:rPr>
        <w:t>2</w:t>
      </w:r>
      <w:r>
        <w:rPr>
          <w:rFonts w:hint="eastAsia" w:ascii="仿宋" w:hAnsi="仿宋" w:eastAsia="仿宋" w:cs="仿宋"/>
          <w:b w:val="0"/>
          <w:bCs/>
          <w:color w:val="auto"/>
          <w:sz w:val="28"/>
          <w:szCs w:val="28"/>
          <w:highlight w:val="none"/>
        </w:rPr>
        <w:t>份。</w:t>
      </w:r>
    </w:p>
    <w:p>
      <w:pPr>
        <w:keepNext w:val="0"/>
        <w:keepLines w:val="0"/>
        <w:pageBreakBefore w:val="0"/>
        <w:kinsoku/>
        <w:wordWrap/>
        <w:overflowPunct/>
        <w:topLinePunct w:val="0"/>
        <w:autoSpaceDE/>
        <w:autoSpaceDN/>
        <w:bidi w:val="0"/>
        <w:adjustRightInd/>
        <w:snapToGrid/>
        <w:spacing w:beforeAutospacing="0" w:afterAutospacing="0" w:line="520" w:lineRule="exact"/>
        <w:ind w:left="0" w:leftChars="0" w:firstLine="560" w:firstLineChars="200"/>
        <w:textAlignment w:val="auto"/>
        <w:rPr>
          <w:rFonts w:hint="eastAsia" w:ascii="仿宋" w:hAnsi="仿宋" w:eastAsia="仿宋" w:cs="仿宋"/>
          <w:b w:val="0"/>
          <w:bCs/>
          <w:color w:val="auto"/>
          <w:sz w:val="28"/>
          <w:szCs w:val="28"/>
          <w:highlight w:val="none"/>
        </w:rPr>
      </w:pPr>
    </w:p>
    <w:p>
      <w:pPr>
        <w:keepNext w:val="0"/>
        <w:keepLines w:val="0"/>
        <w:pageBreakBefore w:val="0"/>
        <w:kinsoku/>
        <w:wordWrap/>
        <w:overflowPunct/>
        <w:topLinePunct w:val="0"/>
        <w:autoSpaceDE/>
        <w:autoSpaceDN/>
        <w:bidi w:val="0"/>
        <w:adjustRightInd/>
        <w:snapToGrid/>
        <w:spacing w:beforeAutospacing="0" w:afterAutospacing="0" w:line="520" w:lineRule="exact"/>
        <w:ind w:left="0" w:leftChars="0"/>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甲方（盖章）：                     乙方（盖章）：</w:t>
      </w:r>
    </w:p>
    <w:p>
      <w:pPr>
        <w:pStyle w:val="34"/>
        <w:keepNext w:val="0"/>
        <w:keepLines w:val="0"/>
        <w:pageBreakBefore w:val="0"/>
        <w:tabs>
          <w:tab w:val="left" w:pos="5100"/>
        </w:tabs>
        <w:kinsoku/>
        <w:wordWrap/>
        <w:overflowPunct/>
        <w:topLinePunct w:val="0"/>
        <w:autoSpaceDE/>
        <w:autoSpaceDN/>
        <w:bidi w:val="0"/>
        <w:adjustRightInd/>
        <w:snapToGrid/>
        <w:spacing w:beforeAutospacing="0" w:afterAutospacing="0" w:line="520" w:lineRule="exact"/>
        <w:ind w:left="0" w:leftChars="0" w:firstLine="0" w:firstLineChars="0"/>
        <w:jc w:val="left"/>
        <w:textAlignment w:val="auto"/>
        <w:rPr>
          <w:rFonts w:hint="eastAsia" w:ascii="仿宋" w:hAnsi="仿宋" w:eastAsia="仿宋" w:cs="仿宋"/>
          <w:b w:val="0"/>
          <w:bCs/>
          <w:color w:val="auto"/>
          <w:sz w:val="28"/>
          <w:szCs w:val="28"/>
          <w:highlight w:val="none"/>
        </w:rPr>
      </w:pPr>
    </w:p>
    <w:p>
      <w:pPr>
        <w:keepNext w:val="0"/>
        <w:keepLines w:val="0"/>
        <w:pageBreakBefore w:val="0"/>
        <w:tabs>
          <w:tab w:val="left" w:pos="5100"/>
        </w:tabs>
        <w:kinsoku/>
        <w:wordWrap/>
        <w:overflowPunct/>
        <w:topLinePunct w:val="0"/>
        <w:autoSpaceDE/>
        <w:autoSpaceDN/>
        <w:bidi w:val="0"/>
        <w:adjustRightInd/>
        <w:snapToGrid/>
        <w:spacing w:beforeAutospacing="0" w:afterAutospacing="0" w:line="520" w:lineRule="exact"/>
        <w:ind w:left="8400" w:leftChars="0" w:hanging="8400" w:hangingChars="3000"/>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签约代表：                         签约代表：</w:t>
      </w:r>
    </w:p>
    <w:p>
      <w:pPr>
        <w:keepNext w:val="0"/>
        <w:keepLines w:val="0"/>
        <w:pageBreakBefore w:val="0"/>
        <w:tabs>
          <w:tab w:val="left" w:pos="4170"/>
        </w:tabs>
        <w:kinsoku/>
        <w:wordWrap/>
        <w:overflowPunct/>
        <w:topLinePunct w:val="0"/>
        <w:autoSpaceDE/>
        <w:autoSpaceDN/>
        <w:bidi w:val="0"/>
        <w:adjustRightInd/>
        <w:snapToGrid/>
        <w:spacing w:beforeAutospacing="0" w:afterAutospacing="0" w:line="520" w:lineRule="exact"/>
        <w:ind w:left="0" w:leftChars="0"/>
        <w:textAlignment w:val="auto"/>
        <w:rPr>
          <w:rFonts w:hint="eastAsia" w:ascii="仿宋_GB2312" w:hAnsi="仿宋_GB2312" w:eastAsia="仿宋_GB2312" w:cs="仿宋_GB2312"/>
          <w:b w:val="0"/>
          <w:bCs/>
          <w:color w:val="auto"/>
          <w:sz w:val="28"/>
          <w:szCs w:val="28"/>
          <w:highlight w:val="none"/>
        </w:rPr>
      </w:pPr>
      <w:r>
        <w:rPr>
          <w:rFonts w:hint="eastAsia" w:ascii="仿宋" w:hAnsi="仿宋" w:eastAsia="仿宋" w:cs="仿宋"/>
          <w:b w:val="0"/>
          <w:bCs/>
          <w:color w:val="auto"/>
          <w:sz w:val="28"/>
          <w:szCs w:val="28"/>
          <w:highlight w:val="none"/>
        </w:rPr>
        <w:t>日期:    年  月  日</w:t>
      </w:r>
      <w:r>
        <w:rPr>
          <w:rFonts w:hint="eastAsia" w:ascii="仿宋" w:hAnsi="仿宋" w:eastAsia="仿宋" w:cs="仿宋"/>
          <w:b w:val="0"/>
          <w:bCs/>
          <w:color w:val="auto"/>
          <w:sz w:val="28"/>
          <w:szCs w:val="28"/>
          <w:highlight w:val="none"/>
        </w:rPr>
        <w:tab/>
      </w:r>
      <w:r>
        <w:rPr>
          <w:rFonts w:hint="eastAsia" w:ascii="仿宋" w:hAnsi="仿宋" w:eastAsia="仿宋" w:cs="仿宋"/>
          <w:b w:val="0"/>
          <w:bCs/>
          <w:color w:val="auto"/>
          <w:sz w:val="28"/>
          <w:szCs w:val="28"/>
          <w:highlight w:val="none"/>
        </w:rPr>
        <w:t>日期：  年  月  日</w:t>
      </w:r>
    </w:p>
    <w:p>
      <w:pPr>
        <w:pStyle w:val="2"/>
        <w:rPr>
          <w:rFonts w:hint="eastAsia" w:ascii="宋体" w:hAnsi="宋体" w:eastAsia="宋体" w:cs="宋体"/>
          <w:b w:val="0"/>
          <w:bCs/>
          <w:color w:val="auto"/>
          <w:sz w:val="24"/>
          <w:szCs w:val="24"/>
          <w:highlight w:val="none"/>
        </w:rPr>
      </w:pPr>
    </w:p>
    <w:p>
      <w:pPr>
        <w:pStyle w:val="2"/>
        <w:rPr>
          <w:rFonts w:hint="eastAsia" w:ascii="仿宋_GB2312" w:hAnsi="仿宋_GB2312" w:eastAsia="仿宋_GB2312" w:cs="仿宋_GB2312"/>
          <w:b w:val="0"/>
          <w:bCs/>
          <w:color w:val="auto"/>
          <w:sz w:val="28"/>
          <w:szCs w:val="28"/>
          <w:highlight w:val="none"/>
        </w:rPr>
      </w:pPr>
    </w:p>
    <w:p>
      <w:pPr>
        <w:adjustRightInd w:val="0"/>
        <w:snapToGrid w:val="0"/>
        <w:jc w:val="both"/>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附件3.</w:t>
      </w:r>
      <w:r>
        <w:rPr>
          <w:rFonts w:hint="eastAsia" w:ascii="宋体" w:hAnsi="宋体" w:eastAsia="宋体" w:cs="宋体"/>
          <w:color w:val="auto"/>
          <w:sz w:val="21"/>
          <w:szCs w:val="21"/>
          <w:highlight w:val="none"/>
        </w:rPr>
        <w:t>不诚信行为的情形及相应被暂停参与投标活动的处理标准</w:t>
      </w:r>
    </w:p>
    <w:tbl>
      <w:tblPr>
        <w:tblStyle w:val="24"/>
        <w:tblW w:w="9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5245"/>
        <w:gridCol w:w="850"/>
        <w:gridCol w:w="1985"/>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序号</w:t>
            </w:r>
          </w:p>
        </w:tc>
        <w:tc>
          <w:tcPr>
            <w:tcW w:w="5671"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不诚信行为的情形</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处理</w:t>
            </w:r>
          </w:p>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期限</w:t>
            </w:r>
          </w:p>
        </w:tc>
        <w:tc>
          <w:tcPr>
            <w:tcW w:w="198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情节严重或拒不改正的延长处理期限</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安全不诚信行为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（一）建设生产现场发生人员</w:t>
            </w:r>
            <w:r>
              <w:rPr>
                <w:rFonts w:hint="eastAsia" w:ascii="仿宋_GB2312" w:hAnsi="仿宋_GB2312" w:eastAsia="仿宋_GB2312" w:cs="仿宋_GB2312"/>
                <w:color w:val="auto"/>
                <w:szCs w:val="24"/>
                <w:highlight w:val="none"/>
                <w:lang w:eastAsia="zh-CN"/>
              </w:rPr>
              <w:t>重伤或</w:t>
            </w:r>
            <w:r>
              <w:rPr>
                <w:rFonts w:hint="eastAsia" w:ascii="仿宋_GB2312" w:hAnsi="仿宋_GB2312" w:eastAsia="仿宋_GB2312" w:cs="仿宋_GB2312"/>
                <w:color w:val="auto"/>
                <w:szCs w:val="24"/>
                <w:highlight w:val="none"/>
              </w:rPr>
              <w:t>死亡的。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发生</w:t>
            </w:r>
            <w:r>
              <w:rPr>
                <w:rFonts w:hint="eastAsia" w:ascii="仿宋_GB2312" w:hAnsi="仿宋_GB2312" w:eastAsia="仿宋_GB2312" w:cs="仿宋_GB2312"/>
                <w:color w:val="auto"/>
                <w:szCs w:val="24"/>
                <w:highlight w:val="none"/>
                <w:lang w:eastAsia="zh-CN"/>
              </w:rPr>
              <w:t>重伤或</w:t>
            </w:r>
            <w:r>
              <w:rPr>
                <w:rFonts w:hint="eastAsia" w:ascii="仿宋_GB2312" w:hAnsi="仿宋_GB2312" w:eastAsia="仿宋_GB2312" w:cs="仿宋_GB2312"/>
                <w:color w:val="auto"/>
                <w:szCs w:val="24"/>
                <w:highlight w:val="none"/>
              </w:rPr>
              <w:t>死亡1～2人的，暂停投标1年至2年（含）。</w:t>
            </w:r>
          </w:p>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发生</w:t>
            </w:r>
            <w:r>
              <w:rPr>
                <w:rFonts w:hint="eastAsia" w:ascii="仿宋_GB2312" w:hAnsi="仿宋_GB2312" w:eastAsia="仿宋_GB2312" w:cs="仿宋_GB2312"/>
                <w:color w:val="auto"/>
                <w:szCs w:val="24"/>
                <w:highlight w:val="none"/>
                <w:lang w:eastAsia="zh-CN"/>
              </w:rPr>
              <w:t>重伤或</w:t>
            </w:r>
            <w:r>
              <w:rPr>
                <w:rFonts w:hint="eastAsia" w:ascii="仿宋_GB2312" w:hAnsi="仿宋_GB2312" w:eastAsia="仿宋_GB2312" w:cs="仿宋_GB2312"/>
                <w:color w:val="auto"/>
                <w:szCs w:val="24"/>
                <w:highlight w:val="none"/>
              </w:rPr>
              <w:t>死亡3～9人的，暂停投标2年以上至4年。</w:t>
            </w:r>
          </w:p>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发生</w:t>
            </w:r>
            <w:r>
              <w:rPr>
                <w:rFonts w:hint="eastAsia" w:ascii="仿宋_GB2312" w:hAnsi="仿宋_GB2312" w:eastAsia="仿宋_GB2312" w:cs="仿宋_GB2312"/>
                <w:color w:val="auto"/>
                <w:sz w:val="21"/>
                <w:szCs w:val="24"/>
                <w:highlight w:val="none"/>
                <w:lang w:val="en-US" w:eastAsia="zh-CN"/>
              </w:rPr>
              <w:t>重伤10人以上（含）、或</w:t>
            </w:r>
            <w:r>
              <w:rPr>
                <w:rFonts w:hint="eastAsia" w:ascii="仿宋_GB2312" w:hAnsi="仿宋_GB2312" w:eastAsia="仿宋_GB2312" w:cs="仿宋_GB2312"/>
                <w:color w:val="auto"/>
                <w:szCs w:val="24"/>
                <w:highlight w:val="none"/>
              </w:rPr>
              <w:t>重大及以上事故的，暂停投标4年或以上</w:t>
            </w:r>
            <w:r>
              <w:rPr>
                <w:rFonts w:hint="eastAsia" w:ascii="仿宋_GB2312" w:hAnsi="仿宋_GB2312" w:eastAsia="仿宋_GB2312" w:cs="仿宋_GB2312"/>
                <w:color w:val="auto"/>
                <w:szCs w:val="24"/>
                <w:highlight w:val="none"/>
                <w:lang w:eastAsia="zh-CN"/>
              </w:rPr>
              <w:t>。</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政府认定责任事故增加6个月。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二）发生基坑坍塌、高支模坍塌、结构坍塌、周边建筑物沉降、管线损坏、火灾、爆炸等，虽无人员伤亡但造成重大社会负面影响的事件。重大社会负面影响包括但不限于交通中断、大面积停水停电停气、大范围通信中断、人员紧急疏散、中断行车2小时以上，</w:t>
            </w:r>
            <w:r>
              <w:rPr>
                <w:rFonts w:hint="eastAsia" w:ascii="仿宋_GB2312" w:hAnsi="仿宋_GB2312" w:eastAsia="仿宋_GB2312" w:cs="仿宋_GB2312"/>
                <w:color w:val="auto"/>
                <w:szCs w:val="24"/>
                <w:highlight w:val="none"/>
                <w:lang w:eastAsia="zh-CN"/>
              </w:rPr>
              <w:t>大面积运营晚点，</w:t>
            </w:r>
            <w:r>
              <w:rPr>
                <w:rFonts w:hint="eastAsia" w:ascii="仿宋_GB2312" w:hAnsi="仿宋_GB2312" w:eastAsia="仿宋_GB2312" w:cs="仿宋_GB2312"/>
                <w:color w:val="auto"/>
                <w:szCs w:val="24"/>
                <w:highlight w:val="none"/>
              </w:rPr>
              <w:t>或群体性事件等。</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视情况暂停投标1至2年。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3</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（三）</w:t>
            </w:r>
            <w:r>
              <w:rPr>
                <w:rFonts w:hint="eastAsia" w:ascii="仿宋_GB2312" w:hAnsi="仿宋_GB2312" w:eastAsia="仿宋_GB2312" w:cs="仿宋_GB2312"/>
                <w:color w:val="auto"/>
                <w:sz w:val="21"/>
                <w:szCs w:val="24"/>
                <w:highlight w:val="none"/>
                <w:lang w:val="en-US" w:eastAsia="zh-CN"/>
              </w:rPr>
              <w:t>根据《广州市净水有限公司工程项目承包单位考评细则》安全管理未达标且符合限制投标处罚标准的。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暂停投标1年。若至下一个自然年度项目尚未完结，仍出现该款情形的，继续暂停投标1年；同理执行至工程建设项目完工验收完成。</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4</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质量不诚信行为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（一）由于质量问题对建设项目的使用功能造成影响且无法挽回的。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暂停投标1年。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5</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w:t>
            </w:r>
            <w:r>
              <w:rPr>
                <w:rFonts w:hint="eastAsia" w:ascii="仿宋_GB2312" w:hAnsi="仿宋_GB2312" w:eastAsia="仿宋_GB2312" w:cs="仿宋_GB2312"/>
                <w:color w:val="auto"/>
                <w:szCs w:val="24"/>
                <w:highlight w:val="none"/>
                <w:lang w:eastAsia="zh-CN"/>
              </w:rPr>
              <w:t>二</w:t>
            </w:r>
            <w:r>
              <w:rPr>
                <w:rFonts w:hint="eastAsia" w:ascii="仿宋_GB2312" w:hAnsi="仿宋_GB2312" w:eastAsia="仿宋_GB2312" w:cs="仿宋_GB2312"/>
                <w:color w:val="auto"/>
                <w:szCs w:val="24"/>
                <w:highlight w:val="none"/>
              </w:rPr>
              <w:t>）</w:t>
            </w:r>
            <w:r>
              <w:rPr>
                <w:rFonts w:hint="eastAsia" w:ascii="仿宋_GB2312" w:hAnsi="仿宋_GB2312" w:eastAsia="仿宋_GB2312" w:cs="仿宋_GB2312"/>
                <w:color w:val="auto"/>
                <w:sz w:val="21"/>
                <w:szCs w:val="24"/>
                <w:highlight w:val="none"/>
                <w:lang w:val="en-US" w:eastAsia="zh-CN"/>
              </w:rPr>
              <w:t>根据《广州市净水有限公司工程项目承包单位考评细则》质量管理未达标且符合限制投标处罚标准的。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暂停投标</w:t>
            </w:r>
            <w:r>
              <w:rPr>
                <w:rFonts w:hint="eastAsia" w:ascii="仿宋_GB2312" w:hAnsi="仿宋_GB2312" w:eastAsia="仿宋_GB2312" w:cs="仿宋_GB2312"/>
                <w:color w:val="auto"/>
                <w:szCs w:val="24"/>
                <w:highlight w:val="none"/>
                <w:lang w:val="en-US" w:eastAsia="zh-CN"/>
              </w:rPr>
              <w:t>1</w:t>
            </w:r>
            <w:r>
              <w:rPr>
                <w:rFonts w:hint="eastAsia" w:ascii="仿宋_GB2312" w:hAnsi="仿宋_GB2312" w:eastAsia="仿宋_GB2312" w:cs="仿宋_GB2312"/>
                <w:color w:val="auto"/>
                <w:szCs w:val="24"/>
                <w:highlight w:val="none"/>
                <w:lang w:eastAsia="zh-CN"/>
              </w:rPr>
              <w:t>年</w:t>
            </w:r>
            <w:r>
              <w:rPr>
                <w:rFonts w:hint="eastAsia" w:ascii="仿宋_GB2312" w:hAnsi="仿宋_GB2312" w:eastAsia="仿宋_GB2312" w:cs="仿宋_GB2312"/>
                <w:color w:val="auto"/>
                <w:szCs w:val="24"/>
                <w:highlight w:val="none"/>
              </w:rPr>
              <w:t>。若至下一个自然年度项目尚未完结，仍出现该款情形的，继续暂停投标</w:t>
            </w:r>
            <w:r>
              <w:rPr>
                <w:rFonts w:hint="eastAsia" w:ascii="仿宋_GB2312" w:hAnsi="仿宋_GB2312" w:eastAsia="仿宋_GB2312" w:cs="仿宋_GB2312"/>
                <w:color w:val="auto"/>
                <w:szCs w:val="24"/>
                <w:highlight w:val="none"/>
                <w:lang w:val="en-US" w:eastAsia="zh-CN"/>
              </w:rPr>
              <w:t>1</w:t>
            </w:r>
            <w:r>
              <w:rPr>
                <w:rFonts w:hint="eastAsia" w:ascii="仿宋_GB2312" w:hAnsi="仿宋_GB2312" w:eastAsia="仿宋_GB2312" w:cs="仿宋_GB2312"/>
                <w:color w:val="auto"/>
                <w:szCs w:val="24"/>
                <w:highlight w:val="none"/>
                <w:lang w:eastAsia="zh-CN"/>
              </w:rPr>
              <w:t>年</w:t>
            </w:r>
            <w:r>
              <w:rPr>
                <w:rFonts w:hint="eastAsia" w:ascii="仿宋_GB2312" w:hAnsi="仿宋_GB2312" w:eastAsia="仿宋_GB2312" w:cs="仿宋_GB2312"/>
                <w:color w:val="auto"/>
                <w:szCs w:val="24"/>
                <w:highlight w:val="none"/>
              </w:rPr>
              <w:t>；同理执行至工程建设项目完工验收完成。</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（三）发生其他由质量问题而引起的重大社会负面影响事件的。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7</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其他不诚信</w:t>
            </w:r>
          </w:p>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（一）</w:t>
            </w:r>
            <w:r>
              <w:rPr>
                <w:rFonts w:hint="eastAsia" w:ascii="仿宋_GB2312" w:hAnsi="仿宋_GB2312" w:eastAsia="仿宋_GB2312" w:cs="仿宋_GB2312"/>
                <w:color w:val="auto"/>
                <w:sz w:val="21"/>
                <w:szCs w:val="24"/>
                <w:highlight w:val="none"/>
                <w:lang w:val="en-US" w:eastAsia="zh-CN"/>
              </w:rPr>
              <w:t>投标、询价过程弄虚作假、串通报价投标、任意弃标</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8</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（二）发生质量事故或安全事故造成社会负面影响需要面对媒体和进行危机公关，参建企业法定代表人在规定的时间内未到现场面对媒体进行危机公关的。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9</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（三）因参建企业原因造成信访、维稳事件，造成较大社会影响。</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10</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（四）中标后转包工程、非法分包工程、非法转让业务的。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11</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（五）因人员、机械投入及配套服务投入不足，主要管理人员未按照投标文件响应到位，导致严重影响工期，被市水投集团相关部门及发包人督办、警告和约谈3次的。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（六）未经批准擅自更换项目经理的。</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13</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（七）严重违反合同约定的，具体包括但不限于以下行为：</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14</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1.提供或使用假冒伪劣或以次充好产品、不符合国家规范规定材料的。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15</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2.工程竣工验收后，不出具质量保修书的，或质量保修的内容、期限违反规定的。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16</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3.不履行保修义务或者拖延履行保修义务的。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17</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4.其他经认定为严重违反合同规定的。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18</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（八）违反廉洁协议约定的。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19</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（九）拖欠农民工工资，造成不良后果的。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20</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（十）为谋取非法利益，给市水投集团或发包人造成损失的。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21</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（十一）因参建企业原因造成第三者财产重大损失的。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numPr>
                <w:ilvl w:val="0"/>
                <w:numId w:val="0"/>
              </w:numPr>
              <w:adjustRightInd w:val="0"/>
              <w:snapToGrid w:val="0"/>
              <w:jc w:val="lef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（十二）</w:t>
            </w:r>
            <w:r>
              <w:rPr>
                <w:rFonts w:hint="eastAsia" w:ascii="仿宋_GB2312" w:hAnsi="仿宋_GB2312" w:eastAsia="仿宋_GB2312" w:cs="仿宋_GB2312"/>
                <w:color w:val="auto"/>
                <w:sz w:val="21"/>
                <w:szCs w:val="24"/>
                <w:highlight w:val="none"/>
                <w:lang w:val="en-US" w:eastAsia="zh-CN"/>
              </w:rPr>
              <w:t>经发包人认定的其他不诚信行为</w:t>
            </w:r>
            <w:r>
              <w:rPr>
                <w:rFonts w:hint="eastAsia" w:ascii="仿宋_GB2312" w:hAnsi="仿宋_GB2312" w:eastAsia="仿宋_GB2312" w:cs="仿宋_GB2312"/>
                <w:color w:val="auto"/>
                <w:szCs w:val="24"/>
                <w:highlight w:val="none"/>
              </w:rPr>
              <w:t>。</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bl>
    <w:tbl>
      <w:tblPr>
        <w:tblStyle w:val="24"/>
        <w:tblpPr w:leftFromText="180" w:rightFromText="180" w:vertAnchor="text" w:horzAnchor="page" w:tblpX="285" w:tblpY="700"/>
        <w:tblOverlap w:val="never"/>
        <w:tblW w:w="1069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429"/>
        <w:gridCol w:w="893"/>
        <w:gridCol w:w="744"/>
        <w:gridCol w:w="4452"/>
        <w:gridCol w:w="1044"/>
        <w:gridCol w:w="1044"/>
        <w:gridCol w:w="1044"/>
        <w:gridCol w:w="10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1322" w:type="dxa"/>
            <w:gridSpan w:val="2"/>
            <w:tcBorders>
              <w:top w:val="nil"/>
              <w:left w:val="nil"/>
              <w:bottom w:val="nil"/>
              <w:right w:val="nil"/>
            </w:tcBorders>
            <w:noWrap/>
            <w:tcMar>
              <w:top w:w="12" w:type="dxa"/>
              <w:left w:w="12" w:type="dxa"/>
              <w:right w:w="12" w:type="dxa"/>
            </w:tcMar>
            <w:vAlign w:val="center"/>
          </w:tcPr>
          <w:p>
            <w:pPr>
              <w:keepNext w:val="0"/>
              <w:keepLines w:val="0"/>
              <w:widowControl/>
              <w:suppressLineNumbers w:val="0"/>
              <w:jc w:val="left"/>
              <w:textAlignment w:val="center"/>
              <w:rPr>
                <w:rFonts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附件2-1</w:t>
            </w:r>
          </w:p>
        </w:tc>
        <w:tc>
          <w:tcPr>
            <w:tcW w:w="744" w:type="dxa"/>
            <w:tcBorders>
              <w:top w:val="nil"/>
              <w:left w:val="nil"/>
              <w:bottom w:val="nil"/>
              <w:right w:val="nil"/>
            </w:tcBorders>
            <w:noWrap/>
            <w:tcMar>
              <w:top w:w="12" w:type="dxa"/>
              <w:left w:w="12" w:type="dxa"/>
              <w:right w:w="12" w:type="dxa"/>
            </w:tcMar>
            <w:vAlign w:val="center"/>
          </w:tcPr>
          <w:p>
            <w:pPr>
              <w:jc w:val="left"/>
              <w:rPr>
                <w:rFonts w:hint="eastAsia" w:ascii="等线" w:hAnsi="等线" w:eastAsia="等线" w:cs="等线"/>
                <w:i w:val="0"/>
                <w:color w:val="000000"/>
                <w:sz w:val="16"/>
                <w:szCs w:val="16"/>
                <w:u w:val="none"/>
              </w:rPr>
            </w:pPr>
          </w:p>
        </w:tc>
        <w:tc>
          <w:tcPr>
            <w:tcW w:w="4452" w:type="dxa"/>
            <w:tcBorders>
              <w:top w:val="nil"/>
              <w:left w:val="nil"/>
              <w:bottom w:val="nil"/>
              <w:right w:val="nil"/>
            </w:tcBorders>
            <w:noWrap/>
            <w:tcMar>
              <w:top w:w="12" w:type="dxa"/>
              <w:left w:w="12" w:type="dxa"/>
              <w:right w:w="12" w:type="dxa"/>
            </w:tcMar>
            <w:vAlign w:val="center"/>
          </w:tcPr>
          <w:p>
            <w:pPr>
              <w:rPr>
                <w:rFonts w:hint="eastAsia" w:ascii="等线" w:hAnsi="等线" w:eastAsia="等线" w:cs="等线"/>
                <w:i w:val="0"/>
                <w:color w:val="000000"/>
                <w:sz w:val="16"/>
                <w:szCs w:val="16"/>
                <w:u w:val="none"/>
              </w:rPr>
            </w:pPr>
          </w:p>
        </w:tc>
        <w:tc>
          <w:tcPr>
            <w:tcW w:w="1044" w:type="dxa"/>
            <w:tcBorders>
              <w:top w:val="nil"/>
              <w:left w:val="nil"/>
              <w:bottom w:val="nil"/>
              <w:right w:val="nil"/>
            </w:tcBorders>
            <w:noWrap/>
            <w:tcMar>
              <w:top w:w="12" w:type="dxa"/>
              <w:left w:w="12" w:type="dxa"/>
              <w:right w:w="12" w:type="dxa"/>
            </w:tcMar>
            <w:vAlign w:val="center"/>
          </w:tcPr>
          <w:p>
            <w:pPr>
              <w:rPr>
                <w:rFonts w:hint="eastAsia" w:ascii="等线" w:hAnsi="等线" w:eastAsia="等线" w:cs="等线"/>
                <w:i w:val="0"/>
                <w:color w:val="000000"/>
                <w:sz w:val="16"/>
                <w:szCs w:val="16"/>
                <w:u w:val="none"/>
              </w:rPr>
            </w:pPr>
          </w:p>
        </w:tc>
        <w:tc>
          <w:tcPr>
            <w:tcW w:w="1044" w:type="dxa"/>
            <w:tcBorders>
              <w:top w:val="nil"/>
              <w:left w:val="nil"/>
              <w:bottom w:val="nil"/>
              <w:right w:val="nil"/>
            </w:tcBorders>
            <w:noWrap/>
            <w:tcMar>
              <w:top w:w="12" w:type="dxa"/>
              <w:left w:w="12" w:type="dxa"/>
              <w:right w:w="12" w:type="dxa"/>
            </w:tcMar>
            <w:vAlign w:val="center"/>
          </w:tcPr>
          <w:p>
            <w:pPr>
              <w:rPr>
                <w:rFonts w:hint="eastAsia" w:ascii="等线" w:hAnsi="等线" w:eastAsia="等线" w:cs="等线"/>
                <w:i w:val="0"/>
                <w:color w:val="000000"/>
                <w:sz w:val="16"/>
                <w:szCs w:val="16"/>
                <w:u w:val="none"/>
              </w:rPr>
            </w:pPr>
          </w:p>
        </w:tc>
        <w:tc>
          <w:tcPr>
            <w:tcW w:w="1044" w:type="dxa"/>
            <w:tcBorders>
              <w:top w:val="nil"/>
              <w:left w:val="nil"/>
              <w:bottom w:val="nil"/>
              <w:right w:val="nil"/>
            </w:tcBorders>
            <w:noWrap/>
            <w:tcMar>
              <w:top w:w="12" w:type="dxa"/>
              <w:left w:w="12" w:type="dxa"/>
              <w:right w:w="12" w:type="dxa"/>
            </w:tcMar>
            <w:vAlign w:val="center"/>
          </w:tcPr>
          <w:p>
            <w:pPr>
              <w:rPr>
                <w:rFonts w:hint="eastAsia" w:ascii="等线" w:hAnsi="等线" w:eastAsia="等线" w:cs="等线"/>
                <w:i w:val="0"/>
                <w:color w:val="000000"/>
                <w:sz w:val="16"/>
                <w:szCs w:val="16"/>
                <w:u w:val="none"/>
              </w:rPr>
            </w:pPr>
          </w:p>
        </w:tc>
        <w:tc>
          <w:tcPr>
            <w:tcW w:w="1044" w:type="dxa"/>
            <w:tcBorders>
              <w:top w:val="nil"/>
              <w:left w:val="nil"/>
              <w:bottom w:val="nil"/>
              <w:right w:val="nil"/>
            </w:tcBorders>
            <w:noWrap/>
            <w:tcMar>
              <w:top w:w="12" w:type="dxa"/>
              <w:left w:w="12" w:type="dxa"/>
              <w:right w:w="12" w:type="dxa"/>
            </w:tcMar>
            <w:vAlign w:val="center"/>
          </w:tcPr>
          <w:p>
            <w:pPr>
              <w:jc w:val="center"/>
              <w:rPr>
                <w:rFonts w:hint="eastAsia" w:ascii="等线" w:hAnsi="等线" w:eastAsia="等线" w:cs="等线"/>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0" w:hRule="atLeast"/>
        </w:trPr>
        <w:tc>
          <w:tcPr>
            <w:tcW w:w="10694" w:type="dxa"/>
            <w:gridSpan w:val="8"/>
            <w:tcBorders>
              <w:top w:val="nil"/>
              <w:left w:val="nil"/>
              <w:bottom w:val="nil"/>
              <w:right w:val="nil"/>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i w:val="0"/>
                <w:color w:val="000000"/>
                <w:sz w:val="16"/>
                <w:szCs w:val="16"/>
                <w:u w:val="none"/>
              </w:rPr>
            </w:pPr>
            <w:r>
              <w:rPr>
                <w:rFonts w:hint="eastAsia" w:ascii="等线" w:hAnsi="等线" w:eastAsia="等线" w:cs="等线"/>
                <w:b/>
                <w:i w:val="0"/>
                <w:color w:val="000000"/>
                <w:kern w:val="0"/>
                <w:sz w:val="16"/>
                <w:szCs w:val="16"/>
                <w:u w:val="none"/>
                <w:lang w:val="en-US" w:eastAsia="zh-CN" w:bidi="ar"/>
              </w:rPr>
              <w:t>营运项目承包单位日常履约考评参照表（安全）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0" w:hRule="atLeast"/>
        </w:trPr>
        <w:tc>
          <w:tcPr>
            <w:tcW w:w="429"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序号</w:t>
            </w:r>
          </w:p>
        </w:tc>
        <w:tc>
          <w:tcPr>
            <w:tcW w:w="893"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考评项目</w:t>
            </w:r>
          </w:p>
        </w:tc>
        <w:tc>
          <w:tcPr>
            <w:tcW w:w="744"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考评分项</w:t>
            </w:r>
          </w:p>
        </w:tc>
        <w:tc>
          <w:tcPr>
            <w:tcW w:w="4452"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考评内容</w:t>
            </w:r>
          </w:p>
        </w:tc>
        <w:tc>
          <w:tcPr>
            <w:tcW w:w="4176" w:type="dxa"/>
            <w:gridSpan w:val="4"/>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等线" w:hAnsi="等线" w:eastAsia="等线" w:cs="等线"/>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0" w:hRule="atLeast"/>
        </w:trPr>
        <w:tc>
          <w:tcPr>
            <w:tcW w:w="429"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等线" w:hAnsi="等线" w:eastAsia="等线" w:cs="等线"/>
                <w:i w:val="0"/>
                <w:color w:val="000000"/>
                <w:sz w:val="16"/>
                <w:szCs w:val="16"/>
                <w:u w:val="none"/>
              </w:rPr>
            </w:pPr>
          </w:p>
        </w:tc>
        <w:tc>
          <w:tcPr>
            <w:tcW w:w="893"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等线" w:hAnsi="等线" w:eastAsia="等线" w:cs="等线"/>
                <w:i w:val="0"/>
                <w:color w:val="000000"/>
                <w:sz w:val="16"/>
                <w:szCs w:val="16"/>
                <w:u w:val="none"/>
              </w:rPr>
            </w:pPr>
          </w:p>
        </w:tc>
        <w:tc>
          <w:tcPr>
            <w:tcW w:w="744"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等线" w:hAnsi="等线" w:eastAsia="等线" w:cs="等线"/>
                <w:i w:val="0"/>
                <w:color w:val="000000"/>
                <w:sz w:val="16"/>
                <w:szCs w:val="16"/>
                <w:u w:val="none"/>
              </w:rPr>
            </w:pPr>
          </w:p>
        </w:tc>
        <w:tc>
          <w:tcPr>
            <w:tcW w:w="4452"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等线" w:hAnsi="等线" w:eastAsia="等线" w:cs="等线"/>
                <w:i w:val="0"/>
                <w:color w:val="000000"/>
                <w:sz w:val="16"/>
                <w:szCs w:val="16"/>
                <w:u w:val="none"/>
              </w:rPr>
            </w:pP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合同金额＜5万</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5万≤合同金额＜30万</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30万≤合同金额＜100万</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合同金额≥100万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00" w:hRule="atLeast"/>
        </w:trPr>
        <w:tc>
          <w:tcPr>
            <w:tcW w:w="42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1</w:t>
            </w:r>
          </w:p>
        </w:tc>
        <w:tc>
          <w:tcPr>
            <w:tcW w:w="893"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安全事故</w:t>
            </w:r>
          </w:p>
        </w:tc>
        <w:tc>
          <w:tcPr>
            <w:tcW w:w="744"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事故类型</w:t>
            </w:r>
          </w:p>
        </w:tc>
        <w:tc>
          <w:tcPr>
            <w:tcW w:w="445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发生发生3人及以上重伤或发生1人及以上死亡或直接经济损失达200万元以上的安全生产事故</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按“四不放过”调查后处理</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按“四不放过”调查后处理</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按“四不放过”调查后处理</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按“四不放过”调查后处理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0" w:hRule="atLeast"/>
        </w:trPr>
        <w:tc>
          <w:tcPr>
            <w:tcW w:w="42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2</w:t>
            </w:r>
          </w:p>
        </w:tc>
        <w:tc>
          <w:tcPr>
            <w:tcW w:w="893"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仿宋_GB2312" w:hAnsi="等线" w:eastAsia="仿宋_GB2312" w:cs="仿宋_GB2312"/>
                <w:i w:val="0"/>
                <w:color w:val="000000"/>
                <w:sz w:val="16"/>
                <w:szCs w:val="16"/>
                <w:u w:val="none"/>
              </w:rPr>
            </w:pPr>
          </w:p>
        </w:tc>
        <w:tc>
          <w:tcPr>
            <w:tcW w:w="744"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仿宋_GB2312" w:hAnsi="等线" w:eastAsia="仿宋_GB2312" w:cs="仿宋_GB2312"/>
                <w:i w:val="0"/>
                <w:color w:val="000000"/>
                <w:sz w:val="16"/>
                <w:szCs w:val="16"/>
                <w:u w:val="none"/>
              </w:rPr>
            </w:pPr>
          </w:p>
        </w:tc>
        <w:tc>
          <w:tcPr>
            <w:tcW w:w="445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发生重伤2人安全事故的</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扣合同金额的30%～50%；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或1万～2万</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扣合同金额的20%～30%；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或2万～4万</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扣合同金额的10%～20%；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或4万～8万</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扣合同金额的5%～10%;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或8万～12万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00" w:hRule="atLeast"/>
        </w:trPr>
        <w:tc>
          <w:tcPr>
            <w:tcW w:w="42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3</w:t>
            </w:r>
          </w:p>
        </w:tc>
        <w:tc>
          <w:tcPr>
            <w:tcW w:w="893"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仿宋_GB2312" w:hAnsi="等线" w:eastAsia="仿宋_GB2312" w:cs="仿宋_GB2312"/>
                <w:i w:val="0"/>
                <w:color w:val="000000"/>
                <w:sz w:val="16"/>
                <w:szCs w:val="16"/>
                <w:u w:val="none"/>
              </w:rPr>
            </w:pPr>
          </w:p>
        </w:tc>
        <w:tc>
          <w:tcPr>
            <w:tcW w:w="744"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仿宋_GB2312" w:hAnsi="等线" w:eastAsia="仿宋_GB2312" w:cs="仿宋_GB2312"/>
                <w:i w:val="0"/>
                <w:color w:val="000000"/>
                <w:sz w:val="16"/>
                <w:szCs w:val="16"/>
                <w:u w:val="none"/>
              </w:rPr>
            </w:pPr>
          </w:p>
        </w:tc>
        <w:tc>
          <w:tcPr>
            <w:tcW w:w="445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发生重伤1人安全事故的</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扣合同金额的20%～30%;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或5000～1万</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扣合同金额的10%～20%；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或1万～2万</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扣合同金额的5%～10%；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或2万～4万</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扣合同金额的3%～5%；</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或4万～8万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0" w:hRule="atLeast"/>
        </w:trPr>
        <w:tc>
          <w:tcPr>
            <w:tcW w:w="42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4</w:t>
            </w:r>
          </w:p>
        </w:tc>
        <w:tc>
          <w:tcPr>
            <w:tcW w:w="893"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仿宋_GB2312" w:hAnsi="等线" w:eastAsia="仿宋_GB2312" w:cs="仿宋_GB2312"/>
                <w:i w:val="0"/>
                <w:color w:val="000000"/>
                <w:sz w:val="16"/>
                <w:szCs w:val="16"/>
                <w:u w:val="none"/>
              </w:rPr>
            </w:pPr>
          </w:p>
        </w:tc>
        <w:tc>
          <w:tcPr>
            <w:tcW w:w="744"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仿宋_GB2312" w:hAnsi="等线" w:eastAsia="仿宋_GB2312" w:cs="仿宋_GB2312"/>
                <w:i w:val="0"/>
                <w:color w:val="000000"/>
                <w:sz w:val="16"/>
                <w:szCs w:val="16"/>
                <w:u w:val="none"/>
              </w:rPr>
            </w:pPr>
          </w:p>
        </w:tc>
        <w:tc>
          <w:tcPr>
            <w:tcW w:w="445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发生停产、影响环境、破坏公共设施、造成不良影响等事故的</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扣合同金额的10%～20%；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或2000～3000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扣合同金额的5%～10%；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或5000～1万</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扣合同金额的3%～5%；</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或1万～2万</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扣合同金额的1%～2%；</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或2万～4万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20" w:hRule="atLeast"/>
        </w:trPr>
        <w:tc>
          <w:tcPr>
            <w:tcW w:w="42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5</w:t>
            </w:r>
          </w:p>
        </w:tc>
        <w:tc>
          <w:tcPr>
            <w:tcW w:w="893"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仿宋_GB2312" w:hAnsi="等线" w:eastAsia="仿宋_GB2312" w:cs="仿宋_GB2312"/>
                <w:i w:val="0"/>
                <w:color w:val="000000"/>
                <w:sz w:val="16"/>
                <w:szCs w:val="16"/>
                <w:u w:val="none"/>
              </w:rPr>
            </w:pPr>
          </w:p>
        </w:tc>
        <w:tc>
          <w:tcPr>
            <w:tcW w:w="7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事故处理</w:t>
            </w:r>
          </w:p>
        </w:tc>
        <w:tc>
          <w:tcPr>
            <w:tcW w:w="445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1.发生事故或事件隐瞒不报的</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2.未在1小时内向业主单位上报事故的</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3.拒绝、不配合事故事件调查的或事故事件调查提供虚假信息</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4.未按规定和程序组织事故调查和事故处理的</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5.未及时处理导致事故扩大的</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6.未落实“四不放过”的</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扣合同金额的30%～50%；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或1万～2万</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扣合同金额的20%～30%；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或2万～4万</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扣合同金额的10%～20%；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或4万～8万</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扣合同金额的5%～10%;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或8万～12万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80" w:hRule="atLeast"/>
        </w:trPr>
        <w:tc>
          <w:tcPr>
            <w:tcW w:w="42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6</w:t>
            </w:r>
          </w:p>
        </w:tc>
        <w:tc>
          <w:tcPr>
            <w:tcW w:w="893"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首次备案施工单位须提供的资料</w:t>
            </w:r>
          </w:p>
        </w:tc>
        <w:tc>
          <w:tcPr>
            <w:tcW w:w="7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一般资料</w:t>
            </w:r>
          </w:p>
        </w:tc>
        <w:tc>
          <w:tcPr>
            <w:tcW w:w="445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1.施工人员签名的安全交底表（交底内容由分公司编写），被交底人员应与人员花名册一致</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2.施工单位对施工人员的三级安全教育材料</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3.特殊时期需要增加的资料（如新冠疫情期间，需要增加的人员健康码和行程码资料）</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缺资料扣合同金额的5%或500；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资料有问题扣合同金额的3%或300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缺资料扣合同金额的2%或2000；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资料有问题扣合同金额的1%或1000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缺资料扣合同金额的1%或4500；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资料有问题扣合同金额的0.4%或2000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缺资料扣合同金额的0.4%或8000；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资料有问题扣合同金额的0.2%或4000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00" w:hRule="atLeast"/>
        </w:trPr>
        <w:tc>
          <w:tcPr>
            <w:tcW w:w="42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7</w:t>
            </w:r>
          </w:p>
        </w:tc>
        <w:tc>
          <w:tcPr>
            <w:tcW w:w="893"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i w:val="0"/>
                <w:color w:val="000000"/>
                <w:sz w:val="16"/>
                <w:szCs w:val="16"/>
                <w:u w:val="none"/>
              </w:rPr>
            </w:pPr>
          </w:p>
        </w:tc>
        <w:tc>
          <w:tcPr>
            <w:tcW w:w="7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施工方案</w:t>
            </w:r>
          </w:p>
        </w:tc>
        <w:tc>
          <w:tcPr>
            <w:tcW w:w="445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4.施工方案，应满足合同要求，内容至少包括：</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施工点介绍</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施工内容（含作业流程、风险分析、施工工艺等）</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施工设备和材料（必要时含构件测试手段等）</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安全措施（根据工程特点、分公司的风险评估和施工单位的施工工艺制定）</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正常施工安全物资（主要是安全防护设备、劳保用品）</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缺施工方案扣合同金额的6%或700；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资料有问题扣合同金额的3%或300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缺施工方案扣合同金额的3%或3500；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资料有问题扣合同金额的1%或1000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缺施工方案扣合同金额的1.5%或5000；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资料有问题扣合同金额的0.5%或2500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缺施工方案扣合同金额的0.5%或1万；</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资料有问题扣合同金额的0.3%或5000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00" w:hRule="atLeast"/>
        </w:trPr>
        <w:tc>
          <w:tcPr>
            <w:tcW w:w="42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8</w:t>
            </w:r>
          </w:p>
        </w:tc>
        <w:tc>
          <w:tcPr>
            <w:tcW w:w="893"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i w:val="0"/>
                <w:color w:val="000000"/>
                <w:sz w:val="16"/>
                <w:szCs w:val="16"/>
                <w:u w:val="none"/>
              </w:rPr>
            </w:pPr>
          </w:p>
        </w:tc>
        <w:tc>
          <w:tcPr>
            <w:tcW w:w="7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应急预案</w:t>
            </w:r>
          </w:p>
        </w:tc>
        <w:tc>
          <w:tcPr>
            <w:tcW w:w="445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5.应急预案，内容至少包括：</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现场情况介绍</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风险评估</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应急架构（包括应急主管人员和安全员，以及各应急小组，落实到人和联系方式）</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应急流程</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各种风险情况下的应急措施（根据现场情况、分公司的风险评估制定）</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应急物资清单</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外单位救援力量及联系方式等</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缺应急预案扣合同金额的6%或700；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资料有问题扣合同金额的3%或300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缺应急预案扣合同金额的3%或3500；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资料有问题扣合同金额的1%或1000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缺应急预案扣合同金额的1.5%或5000；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资料有问题扣合同金额的0.5%或2500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缺应急预案扣合同金额的0.5%或1万；</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资料有问题扣合同金额的0.3%或5000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40" w:hRule="atLeast"/>
        </w:trPr>
        <w:tc>
          <w:tcPr>
            <w:tcW w:w="42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9</w:t>
            </w:r>
          </w:p>
        </w:tc>
        <w:tc>
          <w:tcPr>
            <w:tcW w:w="893"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i w:val="0"/>
                <w:color w:val="000000"/>
                <w:sz w:val="16"/>
                <w:szCs w:val="16"/>
                <w:u w:val="none"/>
              </w:rPr>
            </w:pPr>
          </w:p>
        </w:tc>
        <w:tc>
          <w:tcPr>
            <w:tcW w:w="7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安全架构</w:t>
            </w:r>
          </w:p>
        </w:tc>
        <w:tc>
          <w:tcPr>
            <w:tcW w:w="445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6.安全架构和相应安全责任制（落实到人和联系方式），可编写入施工方案内，架构人员主要包括：</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安全责任人</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施工负责人（可与安全责任人为同一个人）</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安全员</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设备、物资管理人员</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关键岗位人员、特种作业人员</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缺安全架构扣合同金额的10%或2000；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缺少任何一类人员及其职责的扣合同金额的6%或700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缺安全架构扣合同金额的5%或5000；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缺少任何一类人员及其职责的扣合同金额的2%或2000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缺安全架构扣合同金额的2%或1万；</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缺少任何一类人员及其职责的扣合同金额的1%或5000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缺安全架构扣合同金额的1%或2万；</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缺少任何一类人员及其职责的扣合同金额的0.5%或1万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00" w:hRule="atLeast"/>
        </w:trPr>
        <w:tc>
          <w:tcPr>
            <w:tcW w:w="42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10</w:t>
            </w:r>
          </w:p>
        </w:tc>
        <w:tc>
          <w:tcPr>
            <w:tcW w:w="893"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i w:val="0"/>
                <w:color w:val="000000"/>
                <w:sz w:val="16"/>
                <w:szCs w:val="16"/>
                <w:u w:val="none"/>
              </w:rPr>
            </w:pPr>
          </w:p>
        </w:tc>
        <w:tc>
          <w:tcPr>
            <w:tcW w:w="7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人员资质</w:t>
            </w:r>
          </w:p>
        </w:tc>
        <w:tc>
          <w:tcPr>
            <w:tcW w:w="445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7.施工人员花名册，人员应包含：</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施工负责人（需要施工管理人员资格证书）</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安全员（涉及动火、临时用电、有限空间、高空、抽堵盲板、吊装、动土、断路、设备检修等9大危险作业的，安全员需要有安全员证）</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特种作业人员（附证件号，同时要复印特种作业证，特种作业人数应满足合同要求）</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一般施工人员</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可能需要进入厂区的其他人员（如监理人员、资料员等）</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注：如作业涉及危险作业，作业人员须有作业人员岗前职业病体检和筛选</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缺花名册扣合同金额的5%或500；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缺特种作业人员或特种作业人员不满足合同要求，扣合同金额的5%或500；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其他人员或资料有缺漏扣合同金额的3%或300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缺花名册扣合同金额的2%或2000；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缺特种作业人员或特种作业人员不满足合同要求，扣合同金额的2%或2000；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其他人员或资料有缺漏扣合同金额的1%或1000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缺花名册扣合同金额的1%或4500；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缺特种作业人员或特种作业人员不满足合同要求，扣合同金额的1%或4500；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其他人员或资料有缺漏扣合同金额的0.4%或2000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缺花名册扣合同金额的0.4%或8000；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缺特种作业人员或特种作业人员不满足合同要求，扣合同金额的0.4%或8000；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其他人员或资料有缺漏扣合同金额的0.2%或4000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40" w:hRule="atLeast"/>
        </w:trPr>
        <w:tc>
          <w:tcPr>
            <w:tcW w:w="42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11</w:t>
            </w:r>
          </w:p>
        </w:tc>
        <w:tc>
          <w:tcPr>
            <w:tcW w:w="893"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施工现场管理</w:t>
            </w:r>
          </w:p>
        </w:tc>
        <w:tc>
          <w:tcPr>
            <w:tcW w:w="7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现场面貌</w:t>
            </w:r>
          </w:p>
        </w:tc>
        <w:tc>
          <w:tcPr>
            <w:tcW w:w="445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1.施工现场未开展有效围蔽</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2.无七牌一图或有缺漏（七牌：工程概况牌：管理人员名单及监督电话牌、现场事故应急救援预案公示牌、安全生产牌、文明施工牌、消防保卫牌、环境保护牌；一图：施工现场平面图）</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3.现场无危险源公示、告知及相应警示</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4.材料堆放存在重大隐患</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扣合同金额的6%或700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扣合同金额的3%或3500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扣合同金额的1.5%或5000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扣合同金额的0.5%或1万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80" w:hRule="atLeast"/>
        </w:trPr>
        <w:tc>
          <w:tcPr>
            <w:tcW w:w="42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12</w:t>
            </w:r>
          </w:p>
        </w:tc>
        <w:tc>
          <w:tcPr>
            <w:tcW w:w="893"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i w:val="0"/>
                <w:color w:val="000000"/>
                <w:sz w:val="16"/>
                <w:szCs w:val="16"/>
                <w:u w:val="none"/>
              </w:rPr>
            </w:pPr>
          </w:p>
        </w:tc>
        <w:tc>
          <w:tcPr>
            <w:tcW w:w="7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施工管理</w:t>
            </w:r>
          </w:p>
        </w:tc>
        <w:tc>
          <w:tcPr>
            <w:tcW w:w="445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1.现场未按施工方案落实安全防范措施的</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2.危险作业未经业主人员审批先行施工的</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3.未按施工方案施工的</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扣合同金额的10%或2000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扣合同金额的5%或5000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扣合同金额的2%或1万</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扣合同金额的1%或2万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40" w:hRule="atLeast"/>
        </w:trPr>
        <w:tc>
          <w:tcPr>
            <w:tcW w:w="42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13</w:t>
            </w:r>
          </w:p>
        </w:tc>
        <w:tc>
          <w:tcPr>
            <w:tcW w:w="893"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i w:val="0"/>
                <w:color w:val="000000"/>
                <w:sz w:val="16"/>
                <w:szCs w:val="16"/>
                <w:u w:val="none"/>
              </w:rPr>
            </w:pPr>
          </w:p>
        </w:tc>
        <w:tc>
          <w:tcPr>
            <w:tcW w:w="7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每日安全交底</w:t>
            </w:r>
          </w:p>
        </w:tc>
        <w:tc>
          <w:tcPr>
            <w:tcW w:w="445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1.缺少书面交底、未留存书面资料或交底资料缺少交底人、被交底人及安全员签字的</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2.内容未结合当天的现场状况、特点、工序，对危险因素、施工内容、安全作业和应急措施进行交底的</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扣合同金额的3%或300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扣合同金额的1%或1000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扣合同金额的0.5%或2500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扣合同金额的0.3%或5000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0" w:hRule="atLeast"/>
        </w:trPr>
        <w:tc>
          <w:tcPr>
            <w:tcW w:w="42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14</w:t>
            </w:r>
          </w:p>
        </w:tc>
        <w:tc>
          <w:tcPr>
            <w:tcW w:w="893"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i w:val="0"/>
                <w:color w:val="000000"/>
                <w:sz w:val="16"/>
                <w:szCs w:val="16"/>
                <w:u w:val="none"/>
              </w:rPr>
            </w:pPr>
          </w:p>
        </w:tc>
        <w:tc>
          <w:tcPr>
            <w:tcW w:w="7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作业行为管理</w:t>
            </w:r>
          </w:p>
        </w:tc>
        <w:tc>
          <w:tcPr>
            <w:tcW w:w="445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1.违反9大危险作业相关作业规范的</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2.现场存在违章作业、违章指挥等违反相关安全管理规定或制度的</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3.人员错误使用劳保用品3次以上的</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扣合同金额的6%或700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扣合同金额的3%或3500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扣合同金额的1.5%或5000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扣合同金额的0.5%或1万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80" w:hRule="atLeast"/>
        </w:trPr>
        <w:tc>
          <w:tcPr>
            <w:tcW w:w="42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15</w:t>
            </w:r>
          </w:p>
        </w:tc>
        <w:tc>
          <w:tcPr>
            <w:tcW w:w="893"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i w:val="0"/>
                <w:color w:val="000000"/>
                <w:sz w:val="16"/>
                <w:szCs w:val="16"/>
                <w:u w:val="none"/>
              </w:rPr>
            </w:pPr>
          </w:p>
        </w:tc>
        <w:tc>
          <w:tcPr>
            <w:tcW w:w="7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安全记录</w:t>
            </w:r>
          </w:p>
        </w:tc>
        <w:tc>
          <w:tcPr>
            <w:tcW w:w="445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未按施工要求开展现场记录或记录内容有缺失</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扣合同金额的3%或300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扣合同金额的1%或1000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扣合同金额的0.5%或2500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扣合同金额的0.3%或5000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0" w:hRule="atLeast"/>
        </w:trPr>
        <w:tc>
          <w:tcPr>
            <w:tcW w:w="42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16</w:t>
            </w:r>
          </w:p>
        </w:tc>
        <w:tc>
          <w:tcPr>
            <w:tcW w:w="893"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i w:val="0"/>
                <w:color w:val="000000"/>
                <w:sz w:val="16"/>
                <w:szCs w:val="16"/>
                <w:u w:val="none"/>
              </w:rPr>
            </w:pPr>
          </w:p>
        </w:tc>
        <w:tc>
          <w:tcPr>
            <w:tcW w:w="7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应急管理</w:t>
            </w:r>
          </w:p>
        </w:tc>
        <w:tc>
          <w:tcPr>
            <w:tcW w:w="445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1.未设置应急物资点，未统一存放应急物资</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2.应急物资点无应急物资清单或无应急物资每日检查表</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3.无开展日常应急培训、训练、演练或无资料留档的</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扣合同金额的3%或300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扣合同金额的1%或1000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扣合同金额的0.5%或2500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扣合同金额的0.3%或5000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00" w:hRule="atLeast"/>
        </w:trPr>
        <w:tc>
          <w:tcPr>
            <w:tcW w:w="42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17</w:t>
            </w:r>
          </w:p>
        </w:tc>
        <w:tc>
          <w:tcPr>
            <w:tcW w:w="893"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i w:val="0"/>
                <w:color w:val="000000"/>
                <w:sz w:val="16"/>
                <w:szCs w:val="16"/>
                <w:u w:val="none"/>
              </w:rPr>
            </w:pPr>
          </w:p>
        </w:tc>
        <w:tc>
          <w:tcPr>
            <w:tcW w:w="7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人员管理</w:t>
            </w:r>
          </w:p>
        </w:tc>
        <w:tc>
          <w:tcPr>
            <w:tcW w:w="445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人员变更无完善的手续及资料的</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扣合同金额的3%或300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扣合同金额的1%或1000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扣合同金额的0.5%或2500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扣合同金额的0.3%或5000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42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18</w:t>
            </w:r>
          </w:p>
        </w:tc>
        <w:tc>
          <w:tcPr>
            <w:tcW w:w="893"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i w:val="0"/>
                <w:color w:val="000000"/>
                <w:sz w:val="16"/>
                <w:szCs w:val="16"/>
                <w:u w:val="none"/>
              </w:rPr>
            </w:pPr>
          </w:p>
        </w:tc>
        <w:tc>
          <w:tcPr>
            <w:tcW w:w="7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隐患管理</w:t>
            </w:r>
          </w:p>
        </w:tc>
        <w:tc>
          <w:tcPr>
            <w:tcW w:w="445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未及时对发现的隐患开展整改的</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扣合同金额的5%或500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扣合同金额的2%或2000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扣合同金额的1%或4500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扣合同金额的0.4%或8000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0" w:hRule="atLeast"/>
        </w:trPr>
        <w:tc>
          <w:tcPr>
            <w:tcW w:w="42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19</w:t>
            </w:r>
          </w:p>
        </w:tc>
        <w:tc>
          <w:tcPr>
            <w:tcW w:w="893"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i w:val="0"/>
                <w:color w:val="000000"/>
                <w:sz w:val="16"/>
                <w:szCs w:val="16"/>
                <w:u w:val="none"/>
              </w:rPr>
            </w:pPr>
          </w:p>
        </w:tc>
        <w:tc>
          <w:tcPr>
            <w:tcW w:w="7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其他</w:t>
            </w:r>
          </w:p>
        </w:tc>
        <w:tc>
          <w:tcPr>
            <w:tcW w:w="445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违反业主或上级主管部门提出的其他管理要求、文件、规定或拒不执行的</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扣合同金额的3%～5%；</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或300～500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扣合同金额的1%～2%；</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或1000～2000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扣合同金额的0.5%～1%；</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或2500～4500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扣合同金额的0.3%～0.4%；</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或5000～8000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0" w:hRule="atLeast"/>
        </w:trPr>
        <w:tc>
          <w:tcPr>
            <w:tcW w:w="42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20</w:t>
            </w:r>
          </w:p>
        </w:tc>
        <w:tc>
          <w:tcPr>
            <w:tcW w:w="89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仿宋_GB2312" w:hAnsi="等线" w:eastAsia="仿宋_GB2312" w:cs="仿宋_GB2312"/>
                <w:i w:val="0"/>
                <w:color w:val="000000"/>
                <w:sz w:val="16"/>
                <w:szCs w:val="16"/>
                <w:u w:val="none"/>
              </w:rPr>
            </w:pPr>
          </w:p>
        </w:tc>
        <w:tc>
          <w:tcPr>
            <w:tcW w:w="7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仿宋_GB2312" w:hAnsi="等线" w:eastAsia="仿宋_GB2312" w:cs="仿宋_GB2312"/>
                <w:i w:val="0"/>
                <w:color w:val="000000"/>
                <w:sz w:val="16"/>
                <w:szCs w:val="16"/>
                <w:u w:val="none"/>
              </w:rPr>
            </w:pPr>
          </w:p>
        </w:tc>
        <w:tc>
          <w:tcPr>
            <w:tcW w:w="445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i w:val="0"/>
                <w:color w:val="000000"/>
                <w:sz w:val="16"/>
                <w:szCs w:val="16"/>
                <w:u w:val="none"/>
              </w:rPr>
            </w:pP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i w:val="0"/>
                <w:color w:val="000000"/>
                <w:sz w:val="16"/>
                <w:szCs w:val="16"/>
                <w:u w:val="none"/>
              </w:rPr>
            </w:pP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i w:val="0"/>
                <w:color w:val="000000"/>
                <w:sz w:val="16"/>
                <w:szCs w:val="16"/>
                <w:u w:val="none"/>
              </w:rPr>
            </w:pP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10694" w:type="dxa"/>
            <w:gridSpan w:val="8"/>
            <w:tcBorders>
              <w:top w:val="nil"/>
              <w:left w:val="nil"/>
              <w:bottom w:val="nil"/>
              <w:right w:val="nil"/>
            </w:tcBorders>
            <w:noWrap w:val="0"/>
            <w:tcMar>
              <w:top w:w="12" w:type="dxa"/>
              <w:left w:w="12" w:type="dxa"/>
              <w:right w:w="12" w:type="dxa"/>
            </w:tcMar>
            <w:vAlign w:val="center"/>
          </w:tcPr>
          <w:p>
            <w:pPr>
              <w:keepNext w:val="0"/>
              <w:keepLines w:val="0"/>
              <w:widowControl/>
              <w:suppressLineNumbers w:val="0"/>
              <w:jc w:val="left"/>
              <w:textAlignment w:val="center"/>
              <w:rPr>
                <w:rFonts w:hint="eastAsia"/>
                <w:sz w:val="13"/>
                <w:szCs w:val="13"/>
                <w:lang w:val="en-US" w:eastAsia="zh-CN"/>
              </w:rPr>
            </w:pPr>
            <w:r>
              <w:rPr>
                <w:rFonts w:hint="eastAsia"/>
                <w:sz w:val="13"/>
                <w:szCs w:val="13"/>
                <w:lang w:val="en-US" w:eastAsia="zh-CN"/>
              </w:rPr>
              <w:t>注：1、与安全管理相关的考评内容具体考评标准内容参照广州市净水有限公司标准《工程项目安全管理规范》（Q/GZJSA 1-2021）执行。</w:t>
            </w:r>
          </w:p>
          <w:p>
            <w:pPr>
              <w:numPr>
                <w:ilvl w:val="0"/>
                <w:numId w:val="0"/>
              </w:numPr>
              <w:ind w:firstLine="0" w:firstLineChars="0"/>
              <w:contextualSpacing/>
              <w:jc w:val="left"/>
              <w:rPr>
                <w:rFonts w:hint="eastAsia" w:ascii="仿宋_GB2312" w:hAnsi="仿宋_GB2312" w:eastAsia="仿宋_GB2312" w:cs="仿宋_GB2312"/>
                <w:color w:val="000000"/>
                <w:sz w:val="13"/>
                <w:szCs w:val="13"/>
                <w:highlight w:val="none"/>
                <w:lang w:val="en-US" w:eastAsia="zh-CN"/>
              </w:rPr>
            </w:pPr>
            <w:r>
              <w:rPr>
                <w:rFonts w:hint="eastAsia" w:ascii="仿宋_GB2312" w:hAnsi="仿宋_GB2312" w:eastAsia="仿宋_GB2312" w:cs="仿宋_GB2312"/>
                <w:color w:val="000000"/>
                <w:sz w:val="13"/>
                <w:szCs w:val="13"/>
                <w:highlight w:val="none"/>
                <w:lang w:val="en-US" w:eastAsia="zh-CN"/>
              </w:rPr>
              <w:t>2.本处理标准出自</w:t>
            </w:r>
            <w:r>
              <w:rPr>
                <w:rFonts w:hint="eastAsia" w:ascii="仿宋_GB2312" w:hAnsi="仿宋_GB2312" w:eastAsia="仿宋_GB2312" w:cs="仿宋_GB2312"/>
                <w:color w:val="000000"/>
                <w:sz w:val="13"/>
                <w:szCs w:val="13"/>
                <w:highlight w:val="none"/>
              </w:rPr>
              <w:t>《</w:t>
            </w:r>
            <w:r>
              <w:rPr>
                <w:rFonts w:hint="eastAsia" w:ascii="宋体" w:hAnsi="宋体" w:eastAsia="宋体" w:cs="宋体"/>
                <w:color w:val="000000"/>
                <w:sz w:val="13"/>
                <w:szCs w:val="13"/>
                <w:highlight w:val="none"/>
                <w:lang w:eastAsia="zh-CN"/>
              </w:rPr>
              <w:t>广州净水公司工程项目承包单位质量安全考评细则（试行）</w:t>
            </w:r>
            <w:r>
              <w:rPr>
                <w:rFonts w:hint="eastAsia" w:ascii="仿宋_GB2312" w:hAnsi="仿宋_GB2312" w:eastAsia="仿宋_GB2312" w:cs="仿宋_GB2312"/>
                <w:color w:val="000000"/>
                <w:sz w:val="13"/>
                <w:szCs w:val="13"/>
                <w:highlight w:val="none"/>
              </w:rPr>
              <w:t>》</w:t>
            </w:r>
            <w:r>
              <w:rPr>
                <w:rFonts w:hint="eastAsia" w:ascii="仿宋_GB2312" w:hAnsi="仿宋_GB2312" w:eastAsia="仿宋_GB2312" w:cs="仿宋_GB2312"/>
                <w:color w:val="000000"/>
                <w:sz w:val="13"/>
                <w:szCs w:val="13"/>
                <w:highlight w:val="none"/>
                <w:lang w:eastAsia="zh-CN"/>
              </w:rPr>
              <w:t>。</w:t>
            </w:r>
          </w:p>
          <w:p>
            <w:pPr>
              <w:pStyle w:val="2"/>
              <w:rPr>
                <w:rFonts w:hint="eastAsia"/>
              </w:rPr>
            </w:pPr>
          </w:p>
        </w:tc>
      </w:tr>
    </w:tbl>
    <w:p>
      <w:pPr>
        <w:numPr>
          <w:ilvl w:val="0"/>
          <w:numId w:val="0"/>
        </w:numPr>
        <w:ind w:firstLine="0" w:firstLineChars="0"/>
        <w:contextualSpacing/>
        <w:jc w:val="left"/>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备注：本处理标准出自</w:t>
      </w:r>
      <w:r>
        <w:rPr>
          <w:rFonts w:hint="eastAsia" w:ascii="仿宋_GB2312" w:hAnsi="仿宋_GB2312" w:eastAsia="仿宋_GB2312" w:cs="仿宋_GB2312"/>
          <w:color w:val="000000"/>
          <w:sz w:val="24"/>
          <w:szCs w:val="24"/>
          <w:highlight w:val="none"/>
        </w:rPr>
        <w:t>《广州市净水有限公司经营建设项目参建企业不诚信行为管理办法》</w:t>
      </w:r>
      <w:r>
        <w:rPr>
          <w:rFonts w:hint="eastAsia" w:ascii="仿宋_GB2312" w:hAnsi="仿宋_GB2312" w:eastAsia="仿宋_GB2312" w:cs="仿宋_GB2312"/>
          <w:color w:val="000000"/>
          <w:sz w:val="24"/>
          <w:szCs w:val="24"/>
          <w:highlight w:val="none"/>
          <w:lang w:eastAsia="zh-CN"/>
        </w:rPr>
        <w:t>。</w:t>
      </w:r>
    </w:p>
    <w:p>
      <w:pPr>
        <w:pStyle w:val="2"/>
        <w:ind w:left="0" w:leftChars="0" w:firstLine="0" w:firstLineChars="0"/>
        <w:rPr>
          <w:rFonts w:hint="eastAsia" w:ascii="宋体" w:hAnsi="宋体" w:cs="宋体"/>
          <w:b/>
          <w:bCs/>
          <w:color w:val="000000"/>
          <w:sz w:val="24"/>
          <w:szCs w:val="24"/>
          <w:highlight w:val="none"/>
          <w:lang w:val="en-US" w:eastAsia="zh-CN"/>
        </w:rPr>
      </w:pPr>
    </w:p>
    <w:tbl>
      <w:tblPr>
        <w:tblStyle w:val="24"/>
        <w:tblpPr w:leftFromText="180" w:rightFromText="180" w:vertAnchor="text" w:horzAnchor="page" w:tblpX="395" w:tblpY="16"/>
        <w:tblOverlap w:val="never"/>
        <w:tblW w:w="1016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344"/>
        <w:gridCol w:w="454"/>
        <w:gridCol w:w="495"/>
        <w:gridCol w:w="3993"/>
        <w:gridCol w:w="1091"/>
        <w:gridCol w:w="757"/>
        <w:gridCol w:w="757"/>
        <w:gridCol w:w="757"/>
        <w:gridCol w:w="757"/>
        <w:gridCol w:w="7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798" w:type="dxa"/>
            <w:gridSpan w:val="2"/>
            <w:tcBorders>
              <w:top w:val="nil"/>
              <w:left w:val="nil"/>
              <w:bottom w:val="nil"/>
              <w:right w:val="nil"/>
            </w:tcBorders>
            <w:noWrap/>
            <w:tcMar>
              <w:top w:w="12" w:type="dxa"/>
              <w:left w:w="12" w:type="dxa"/>
              <w:right w:w="12" w:type="dxa"/>
            </w:tcMar>
            <w:vAlign w:val="center"/>
          </w:tcPr>
          <w:p>
            <w:pPr>
              <w:keepNext w:val="0"/>
              <w:keepLines w:val="0"/>
              <w:widowControl/>
              <w:suppressLineNumbers w:val="0"/>
              <w:jc w:val="left"/>
              <w:textAlignment w:val="center"/>
              <w:rPr>
                <w:rFonts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附件2-2</w:t>
            </w:r>
          </w:p>
        </w:tc>
        <w:tc>
          <w:tcPr>
            <w:tcW w:w="495" w:type="dxa"/>
            <w:tcBorders>
              <w:top w:val="nil"/>
              <w:left w:val="nil"/>
              <w:bottom w:val="nil"/>
              <w:right w:val="nil"/>
            </w:tcBorders>
            <w:noWrap/>
            <w:tcMar>
              <w:top w:w="12" w:type="dxa"/>
              <w:left w:w="12" w:type="dxa"/>
              <w:right w:w="12" w:type="dxa"/>
            </w:tcMar>
            <w:vAlign w:val="center"/>
          </w:tcPr>
          <w:p>
            <w:pPr>
              <w:jc w:val="left"/>
              <w:rPr>
                <w:rFonts w:hint="eastAsia" w:ascii="等线" w:hAnsi="等线" w:eastAsia="等线" w:cs="等线"/>
                <w:i w:val="0"/>
                <w:color w:val="000000"/>
                <w:sz w:val="16"/>
                <w:szCs w:val="16"/>
                <w:u w:val="none"/>
              </w:rPr>
            </w:pPr>
          </w:p>
        </w:tc>
        <w:tc>
          <w:tcPr>
            <w:tcW w:w="3993" w:type="dxa"/>
            <w:tcBorders>
              <w:top w:val="nil"/>
              <w:left w:val="nil"/>
              <w:bottom w:val="nil"/>
              <w:right w:val="nil"/>
            </w:tcBorders>
            <w:noWrap/>
            <w:tcMar>
              <w:top w:w="12" w:type="dxa"/>
              <w:left w:w="12" w:type="dxa"/>
              <w:right w:w="12" w:type="dxa"/>
            </w:tcMar>
            <w:vAlign w:val="center"/>
          </w:tcPr>
          <w:p>
            <w:pPr>
              <w:rPr>
                <w:rFonts w:hint="eastAsia" w:ascii="等线" w:hAnsi="等线" w:eastAsia="等线" w:cs="等线"/>
                <w:i w:val="0"/>
                <w:color w:val="000000"/>
                <w:sz w:val="16"/>
                <w:szCs w:val="16"/>
                <w:u w:val="none"/>
              </w:rPr>
            </w:pPr>
          </w:p>
        </w:tc>
        <w:tc>
          <w:tcPr>
            <w:tcW w:w="1091" w:type="dxa"/>
            <w:tcBorders>
              <w:top w:val="nil"/>
              <w:left w:val="nil"/>
              <w:bottom w:val="nil"/>
              <w:right w:val="nil"/>
            </w:tcBorders>
            <w:noWrap/>
            <w:tcMar>
              <w:top w:w="12" w:type="dxa"/>
              <w:left w:w="12" w:type="dxa"/>
              <w:right w:w="12" w:type="dxa"/>
            </w:tcMar>
            <w:vAlign w:val="center"/>
          </w:tcPr>
          <w:p>
            <w:pPr>
              <w:rPr>
                <w:rFonts w:hint="eastAsia" w:ascii="等线" w:hAnsi="等线" w:eastAsia="等线" w:cs="等线"/>
                <w:i w:val="0"/>
                <w:color w:val="000000"/>
                <w:sz w:val="16"/>
                <w:szCs w:val="16"/>
                <w:u w:val="none"/>
              </w:rPr>
            </w:pPr>
          </w:p>
        </w:tc>
        <w:tc>
          <w:tcPr>
            <w:tcW w:w="757" w:type="dxa"/>
            <w:tcBorders>
              <w:top w:val="nil"/>
              <w:left w:val="nil"/>
              <w:bottom w:val="nil"/>
              <w:right w:val="nil"/>
            </w:tcBorders>
            <w:noWrap/>
            <w:tcMar>
              <w:top w:w="12" w:type="dxa"/>
              <w:left w:w="12" w:type="dxa"/>
              <w:right w:w="12" w:type="dxa"/>
            </w:tcMar>
            <w:vAlign w:val="center"/>
          </w:tcPr>
          <w:p>
            <w:pPr>
              <w:rPr>
                <w:rFonts w:hint="eastAsia" w:ascii="等线" w:hAnsi="等线" w:eastAsia="等线" w:cs="等线"/>
                <w:i w:val="0"/>
                <w:color w:val="000000"/>
                <w:sz w:val="16"/>
                <w:szCs w:val="16"/>
                <w:u w:val="none"/>
              </w:rPr>
            </w:pPr>
          </w:p>
        </w:tc>
        <w:tc>
          <w:tcPr>
            <w:tcW w:w="757" w:type="dxa"/>
            <w:tcBorders>
              <w:top w:val="nil"/>
              <w:left w:val="nil"/>
              <w:bottom w:val="nil"/>
              <w:right w:val="nil"/>
            </w:tcBorders>
            <w:noWrap/>
            <w:tcMar>
              <w:top w:w="12" w:type="dxa"/>
              <w:left w:w="12" w:type="dxa"/>
              <w:right w:w="12" w:type="dxa"/>
            </w:tcMar>
            <w:vAlign w:val="center"/>
          </w:tcPr>
          <w:p>
            <w:pPr>
              <w:rPr>
                <w:rFonts w:hint="eastAsia" w:ascii="等线" w:hAnsi="等线" w:eastAsia="等线" w:cs="等线"/>
                <w:i w:val="0"/>
                <w:color w:val="000000"/>
                <w:sz w:val="16"/>
                <w:szCs w:val="16"/>
                <w:u w:val="none"/>
              </w:rPr>
            </w:pPr>
          </w:p>
        </w:tc>
        <w:tc>
          <w:tcPr>
            <w:tcW w:w="757" w:type="dxa"/>
            <w:tcBorders>
              <w:top w:val="nil"/>
              <w:left w:val="nil"/>
              <w:bottom w:val="nil"/>
              <w:right w:val="nil"/>
            </w:tcBorders>
            <w:noWrap/>
            <w:tcMar>
              <w:top w:w="12" w:type="dxa"/>
              <w:left w:w="12" w:type="dxa"/>
              <w:right w:w="12" w:type="dxa"/>
            </w:tcMar>
            <w:vAlign w:val="center"/>
          </w:tcPr>
          <w:p>
            <w:pPr>
              <w:rPr>
                <w:rFonts w:hint="eastAsia" w:ascii="等线" w:hAnsi="等线" w:eastAsia="等线" w:cs="等线"/>
                <w:i w:val="0"/>
                <w:color w:val="000000"/>
                <w:sz w:val="16"/>
                <w:szCs w:val="16"/>
                <w:u w:val="none"/>
              </w:rPr>
            </w:pPr>
          </w:p>
        </w:tc>
        <w:tc>
          <w:tcPr>
            <w:tcW w:w="757" w:type="dxa"/>
            <w:tcBorders>
              <w:top w:val="nil"/>
              <w:left w:val="nil"/>
              <w:bottom w:val="nil"/>
              <w:right w:val="nil"/>
            </w:tcBorders>
            <w:noWrap/>
            <w:tcMar>
              <w:top w:w="12" w:type="dxa"/>
              <w:left w:w="12" w:type="dxa"/>
              <w:right w:w="12" w:type="dxa"/>
            </w:tcMar>
            <w:vAlign w:val="center"/>
          </w:tcPr>
          <w:p>
            <w:pPr>
              <w:rPr>
                <w:rFonts w:hint="eastAsia" w:ascii="等线" w:hAnsi="等线" w:eastAsia="等线" w:cs="等线"/>
                <w:i w:val="0"/>
                <w:color w:val="000000"/>
                <w:sz w:val="16"/>
                <w:szCs w:val="16"/>
                <w:u w:val="none"/>
              </w:rPr>
            </w:pPr>
          </w:p>
        </w:tc>
        <w:tc>
          <w:tcPr>
            <w:tcW w:w="756" w:type="dxa"/>
            <w:tcBorders>
              <w:top w:val="nil"/>
              <w:left w:val="nil"/>
              <w:bottom w:val="nil"/>
              <w:right w:val="nil"/>
            </w:tcBorders>
            <w:noWrap/>
            <w:tcMar>
              <w:top w:w="12" w:type="dxa"/>
              <w:left w:w="12" w:type="dxa"/>
              <w:right w:w="12" w:type="dxa"/>
            </w:tcMar>
            <w:vAlign w:val="center"/>
          </w:tcPr>
          <w:p>
            <w:pPr>
              <w:rPr>
                <w:rFonts w:hint="eastAsia" w:ascii="等线" w:hAnsi="等线" w:eastAsia="等线" w:cs="等线"/>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0" w:hRule="atLeast"/>
        </w:trPr>
        <w:tc>
          <w:tcPr>
            <w:tcW w:w="10161" w:type="dxa"/>
            <w:gridSpan w:val="10"/>
            <w:tcBorders>
              <w:top w:val="nil"/>
              <w:left w:val="nil"/>
              <w:bottom w:val="nil"/>
              <w:right w:val="nil"/>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i w:val="0"/>
                <w:color w:val="000000"/>
                <w:sz w:val="16"/>
                <w:szCs w:val="16"/>
                <w:u w:val="none"/>
              </w:rPr>
            </w:pPr>
            <w:r>
              <w:rPr>
                <w:rFonts w:hint="eastAsia" w:ascii="等线" w:hAnsi="等线" w:eastAsia="等线" w:cs="等线"/>
                <w:b/>
                <w:i w:val="0"/>
                <w:color w:val="000000"/>
                <w:kern w:val="0"/>
                <w:sz w:val="16"/>
                <w:szCs w:val="16"/>
                <w:u w:val="none"/>
                <w:lang w:val="en-US" w:eastAsia="zh-CN" w:bidi="ar"/>
              </w:rPr>
              <w:t>营运项目承包单位综合履约考评表（安全）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5286" w:type="dxa"/>
            <w:gridSpan w:val="4"/>
            <w:tcBorders>
              <w:top w:val="nil"/>
              <w:left w:val="nil"/>
              <w:bottom w:val="nil"/>
              <w:right w:val="nil"/>
            </w:tcBorders>
            <w:noWrap/>
            <w:tcMar>
              <w:top w:w="12" w:type="dxa"/>
              <w:left w:w="12" w:type="dxa"/>
              <w:right w:w="12" w:type="dxa"/>
            </w:tcMar>
            <w:vAlign w:val="center"/>
          </w:tcPr>
          <w:p>
            <w:pPr>
              <w:keepNext w:val="0"/>
              <w:keepLines w:val="0"/>
              <w:widowControl/>
              <w:suppressLineNumbers w:val="0"/>
              <w:jc w:val="left"/>
              <w:textAlignment w:val="center"/>
              <w:rPr>
                <w:rFonts w:hint="eastAsia" w:ascii="等线" w:hAnsi="等线" w:eastAsia="等线" w:cs="等线"/>
                <w:b/>
                <w:i w:val="0"/>
                <w:color w:val="000000"/>
                <w:sz w:val="16"/>
                <w:szCs w:val="16"/>
                <w:u w:val="none"/>
              </w:rPr>
            </w:pPr>
            <w:r>
              <w:rPr>
                <w:rFonts w:hint="eastAsia" w:ascii="等线" w:hAnsi="等线" w:eastAsia="等线" w:cs="等线"/>
                <w:b/>
                <w:i w:val="0"/>
                <w:color w:val="000000"/>
                <w:kern w:val="0"/>
                <w:sz w:val="16"/>
                <w:szCs w:val="16"/>
                <w:u w:val="none"/>
                <w:lang w:val="en-US" w:eastAsia="zh-CN" w:bidi="ar"/>
              </w:rPr>
              <w:t>项目名称：</w:t>
            </w:r>
          </w:p>
        </w:tc>
        <w:tc>
          <w:tcPr>
            <w:tcW w:w="1091" w:type="dxa"/>
            <w:tcBorders>
              <w:top w:val="nil"/>
              <w:left w:val="nil"/>
              <w:bottom w:val="nil"/>
              <w:right w:val="nil"/>
            </w:tcBorders>
            <w:noWrap/>
            <w:tcMar>
              <w:top w:w="12" w:type="dxa"/>
              <w:left w:w="12" w:type="dxa"/>
              <w:right w:w="12" w:type="dxa"/>
            </w:tcMar>
            <w:vAlign w:val="center"/>
          </w:tcPr>
          <w:p>
            <w:pPr>
              <w:jc w:val="center"/>
              <w:rPr>
                <w:rFonts w:hint="eastAsia" w:ascii="等线" w:hAnsi="等线" w:eastAsia="等线" w:cs="等线"/>
                <w:b/>
                <w:i w:val="0"/>
                <w:color w:val="000000"/>
                <w:sz w:val="16"/>
                <w:szCs w:val="16"/>
                <w:u w:val="none"/>
              </w:rPr>
            </w:pPr>
          </w:p>
        </w:tc>
        <w:tc>
          <w:tcPr>
            <w:tcW w:w="3784" w:type="dxa"/>
            <w:gridSpan w:val="5"/>
            <w:tcBorders>
              <w:top w:val="nil"/>
              <w:left w:val="nil"/>
              <w:bottom w:val="nil"/>
              <w:right w:val="nil"/>
            </w:tcBorders>
            <w:noWrap/>
            <w:tcMar>
              <w:top w:w="12" w:type="dxa"/>
              <w:left w:w="12" w:type="dxa"/>
              <w:right w:w="12" w:type="dxa"/>
            </w:tcMar>
            <w:vAlign w:val="center"/>
          </w:tcPr>
          <w:p>
            <w:pPr>
              <w:keepNext w:val="0"/>
              <w:keepLines w:val="0"/>
              <w:widowControl/>
              <w:suppressLineNumbers w:val="0"/>
              <w:jc w:val="left"/>
              <w:textAlignment w:val="center"/>
              <w:rPr>
                <w:rFonts w:hint="eastAsia" w:ascii="等线" w:hAnsi="等线" w:eastAsia="等线" w:cs="等线"/>
                <w:b/>
                <w:i w:val="0"/>
                <w:color w:val="000000"/>
                <w:sz w:val="16"/>
                <w:szCs w:val="16"/>
                <w:u w:val="none"/>
              </w:rPr>
            </w:pPr>
            <w:r>
              <w:rPr>
                <w:rFonts w:hint="eastAsia" w:ascii="等线" w:hAnsi="等线" w:eastAsia="等线" w:cs="等线"/>
                <w:b/>
                <w:i w:val="0"/>
                <w:color w:val="000000"/>
                <w:kern w:val="0"/>
                <w:sz w:val="16"/>
                <w:szCs w:val="16"/>
                <w:u w:val="none"/>
                <w:lang w:val="en-US" w:eastAsia="zh-CN" w:bidi="ar"/>
              </w:rPr>
              <w:t>综合考评日期：           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344"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序号</w:t>
            </w:r>
          </w:p>
        </w:tc>
        <w:tc>
          <w:tcPr>
            <w:tcW w:w="454"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考评项目</w:t>
            </w:r>
          </w:p>
        </w:tc>
        <w:tc>
          <w:tcPr>
            <w:tcW w:w="49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考评分项</w:t>
            </w:r>
          </w:p>
        </w:tc>
        <w:tc>
          <w:tcPr>
            <w:tcW w:w="3993"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考评内容</w:t>
            </w:r>
          </w:p>
        </w:tc>
        <w:tc>
          <w:tcPr>
            <w:tcW w:w="1091"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考评标准</w:t>
            </w:r>
          </w:p>
        </w:tc>
        <w:tc>
          <w:tcPr>
            <w:tcW w:w="757"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监理单位考评</w:t>
            </w:r>
          </w:p>
        </w:tc>
        <w:tc>
          <w:tcPr>
            <w:tcW w:w="757"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分公司考评</w:t>
            </w:r>
          </w:p>
        </w:tc>
        <w:tc>
          <w:tcPr>
            <w:tcW w:w="1514"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公司考评</w:t>
            </w:r>
          </w:p>
        </w:tc>
        <w:tc>
          <w:tcPr>
            <w:tcW w:w="756"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综合考评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344"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仿宋_GB2312" w:hAnsi="等线" w:eastAsia="仿宋_GB2312" w:cs="仿宋_GB2312"/>
                <w:i w:val="0"/>
                <w:color w:val="000000"/>
                <w:sz w:val="16"/>
                <w:szCs w:val="16"/>
                <w:u w:val="none"/>
              </w:rPr>
            </w:pPr>
          </w:p>
        </w:tc>
        <w:tc>
          <w:tcPr>
            <w:tcW w:w="45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i w:val="0"/>
                <w:color w:val="000000"/>
                <w:sz w:val="16"/>
                <w:szCs w:val="16"/>
                <w:u w:val="none"/>
              </w:rPr>
            </w:pP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i w:val="0"/>
                <w:color w:val="000000"/>
                <w:sz w:val="16"/>
                <w:szCs w:val="16"/>
                <w:u w:val="none"/>
              </w:rPr>
            </w:pPr>
          </w:p>
        </w:tc>
        <w:tc>
          <w:tcPr>
            <w:tcW w:w="3993"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仿宋_GB2312" w:hAnsi="等线" w:eastAsia="仿宋_GB2312" w:cs="仿宋_GB2312"/>
                <w:i w:val="0"/>
                <w:color w:val="000000"/>
                <w:sz w:val="16"/>
                <w:szCs w:val="16"/>
                <w:u w:val="none"/>
              </w:rPr>
            </w:pPr>
          </w:p>
        </w:tc>
        <w:tc>
          <w:tcPr>
            <w:tcW w:w="1091"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i w:val="0"/>
                <w:color w:val="000000"/>
                <w:sz w:val="16"/>
                <w:szCs w:val="16"/>
                <w:u w:val="none"/>
              </w:rPr>
            </w:pPr>
          </w:p>
        </w:tc>
        <w:tc>
          <w:tcPr>
            <w:tcW w:w="757"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i w:val="0"/>
                <w:color w:val="000000"/>
                <w:sz w:val="16"/>
                <w:szCs w:val="16"/>
                <w:u w:val="none"/>
              </w:rPr>
            </w:pPr>
          </w:p>
        </w:tc>
        <w:tc>
          <w:tcPr>
            <w:tcW w:w="757"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业务主管部门</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安全管理部门</w:t>
            </w:r>
          </w:p>
        </w:tc>
        <w:tc>
          <w:tcPr>
            <w:tcW w:w="756"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10161" w:type="dxa"/>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一、加分部分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1</w:t>
            </w:r>
          </w:p>
        </w:tc>
        <w:tc>
          <w:tcPr>
            <w:tcW w:w="949"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综合管理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受到业主单位或上级管理部门通报表扬的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加5～10分/项，可叠加</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2</w:t>
            </w:r>
          </w:p>
        </w:tc>
        <w:tc>
          <w:tcPr>
            <w:tcW w:w="949"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现场管理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积极配合业主单位做好安全工作及相关宣传教育，积极主动排查隐患的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加5分/项</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0" w:hRule="atLeast"/>
        </w:trPr>
        <w:tc>
          <w:tcPr>
            <w:tcW w:w="10161" w:type="dxa"/>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二、扣分部分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3</w:t>
            </w:r>
          </w:p>
        </w:tc>
        <w:tc>
          <w:tcPr>
            <w:tcW w:w="454"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安全事故</w:t>
            </w:r>
          </w:p>
        </w:tc>
        <w:tc>
          <w:tcPr>
            <w:tcW w:w="49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事故类型</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发生重伤1人及以上安全事故，或直接经济损失达200万元以上的安全生产事故</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扣100分/项，同时3年内禁止来我公司投标</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80" w:hRule="atLeast"/>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6</w:t>
            </w:r>
          </w:p>
        </w:tc>
        <w:tc>
          <w:tcPr>
            <w:tcW w:w="45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i w:val="0"/>
                <w:color w:val="000000"/>
                <w:sz w:val="16"/>
                <w:szCs w:val="16"/>
                <w:u w:val="none"/>
              </w:rPr>
            </w:pP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i w:val="0"/>
                <w:color w:val="000000"/>
                <w:sz w:val="16"/>
                <w:szCs w:val="16"/>
                <w:u w:val="none"/>
              </w:rPr>
            </w:pP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发生停产、影响环境、破坏公共设施、造成不良影响等事故的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扣40分/项，可叠加，到达100分，3年内禁止来我公司投标</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40" w:hRule="atLeast"/>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7</w:t>
            </w:r>
          </w:p>
        </w:tc>
        <w:tc>
          <w:tcPr>
            <w:tcW w:w="45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i w:val="0"/>
                <w:color w:val="000000"/>
                <w:sz w:val="16"/>
                <w:szCs w:val="16"/>
                <w:u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事故处理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1.发生事故或事件隐瞒不报的</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2.未在1小时内向业主单位上报事故的</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3.拒绝、不配合事故事件调查的或事故事件调查提供虚假信息</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4.未按规定和程序组织事故调查和事故处理的</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5.未及时处理导致事故扩大的</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6.未落实“四不放过”的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扣100分/项，同时3年内禁止来我公司投标</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80" w:hRule="atLeast"/>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8</w:t>
            </w:r>
          </w:p>
        </w:tc>
        <w:tc>
          <w:tcPr>
            <w:tcW w:w="454"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首次备案施工单位须提供的资料</w:t>
            </w: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一般资料</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1.施工人员签名的安全交底表（交底内容由分公司编写），被交底人员应与人员花名册一致</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2.施工单位对施工人员的三级安全教育材料</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3.特殊时期需要增加的资料（如新冠疫情期间，需要增加的人员健康码和行程码资料）</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缺资料扣3～5分/项；</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资料有问题扣1～3分/项</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80" w:hRule="atLeast"/>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9</w:t>
            </w:r>
          </w:p>
        </w:tc>
        <w:tc>
          <w:tcPr>
            <w:tcW w:w="45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i w:val="0"/>
                <w:color w:val="000000"/>
                <w:sz w:val="16"/>
                <w:szCs w:val="16"/>
                <w:u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施工方案</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4.施工方案，应满足合同要求，内容至少包括：</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施工点介绍</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施工内容（含作业流程、风险分析、施工工艺等）</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施工设备和材料（必要时含构件测试手段等）</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安全措施（根据工程特点、分公司的风险评估和施工单位的施工工艺制定）</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正常施工安全物资（主要是安全防护设备、劳保用品）</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缺施工方案扣4～8分/项；</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资料有问题扣1～3分/项</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7" w:hRule="atLeast"/>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10</w:t>
            </w:r>
          </w:p>
        </w:tc>
        <w:tc>
          <w:tcPr>
            <w:tcW w:w="45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i w:val="0"/>
                <w:color w:val="000000"/>
                <w:sz w:val="16"/>
                <w:szCs w:val="16"/>
                <w:u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应急预案</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5.应急预案，内容至少包括：</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现场情况介绍</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风险评估</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应急架构（包括应急主管人员和安全员，以及各应急小组，落实到人和联系方式）</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应急流程</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各种风险情况下的应急措施（根据现场情况、分公司的风险评估制定）</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应急物资清单</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外单位救援力量及联系方式等</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缺应急预案扣4～8分/项；</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资料有问题扣1～3分/项</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20" w:hRule="atLeast"/>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11</w:t>
            </w:r>
          </w:p>
        </w:tc>
        <w:tc>
          <w:tcPr>
            <w:tcW w:w="45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i w:val="0"/>
                <w:color w:val="000000"/>
                <w:sz w:val="16"/>
                <w:szCs w:val="16"/>
                <w:u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安全架构</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6.安全架构和相应安全责任制（落实到人和联系方式），可编写入施工方案内，架构人员主要包括：</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安全责任人</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施工负责人（可与安全责任人为同一个人）</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安全员</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设备、物资管理人员</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关键岗位人员、特种作业人员</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缺安全架构扣5～10分/项；</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缺任何一类人员及其职责有问题扣2～4分/项</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20" w:hRule="atLeast"/>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12</w:t>
            </w:r>
          </w:p>
        </w:tc>
        <w:tc>
          <w:tcPr>
            <w:tcW w:w="45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i w:val="0"/>
                <w:color w:val="000000"/>
                <w:sz w:val="16"/>
                <w:szCs w:val="16"/>
                <w:u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人员资质</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7.施工人员花名册，人员应包含：</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施工负责人（需要施工管理人员资格证书）</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安全员（涉及动火、临时用电、有限空间、高空、抽堵盲板、吊装、动土、断路、设备检修等9大危险作业的，安全员需要有安全员证）</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特种作业人员（附证件号，同时要复印特种作业证，特种作业人数应满足合同要求）</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一般施工人员</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可能需要进入厂区的其他人员（如监理人员、资料员等）</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注：如作业涉及危险作业，作业人员须有作业人员岗前职业病体检和筛选</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缺花名册扣3～5分/项；</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缺特种作业人员或特种作业人员不满足合同要求扣3～5分/项；</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其他人员或资料有缺漏扣1～3分/项</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60" w:hRule="atLeast"/>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13</w:t>
            </w:r>
          </w:p>
        </w:tc>
        <w:tc>
          <w:tcPr>
            <w:tcW w:w="454"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施工现场管理</w:t>
            </w: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现场面貌</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1.施工现场未开展有效围蔽</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2.无七牌一图或有缺漏（七牌：工程概况牌：管理人员名单及监督电话牌、现场事故应急救援预案公示牌、安全生产牌、文明施工牌、消防保卫牌、环境保护牌；一图：施工现场平面图）</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3.现场无危险源公示、告知及相应警示</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4.材料堆放存在重大隐患</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扣2～4分/项</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hint="eastAsia" w:ascii="仿宋_GB2312" w:hAnsi="等线" w:eastAsia="仿宋_GB2312" w:cs="仿宋_GB2312"/>
                <w:i w:val="0"/>
                <w:color w:val="000000"/>
                <w:sz w:val="16"/>
                <w:szCs w:val="16"/>
                <w:u w:val="none"/>
              </w:rPr>
            </w:pPr>
          </w:p>
        </w:tc>
        <w:tc>
          <w:tcPr>
            <w:tcW w:w="75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hint="eastAsia" w:ascii="仿宋_GB2312" w:hAnsi="等线" w:eastAsia="仿宋_GB2312" w:cs="仿宋_GB2312"/>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40" w:hRule="atLeast"/>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14</w:t>
            </w:r>
          </w:p>
        </w:tc>
        <w:tc>
          <w:tcPr>
            <w:tcW w:w="45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i w:val="0"/>
                <w:color w:val="000000"/>
                <w:sz w:val="16"/>
                <w:szCs w:val="16"/>
                <w:u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施工管理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1.现场未按施工方案落实安全防范措施的</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2.危险作业未经业主人员审批先行施工的</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3.未按施工方案施工的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扣3～5分/项</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60" w:hRule="atLeast"/>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15</w:t>
            </w:r>
          </w:p>
        </w:tc>
        <w:tc>
          <w:tcPr>
            <w:tcW w:w="45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i w:val="0"/>
                <w:color w:val="000000"/>
                <w:sz w:val="16"/>
                <w:szCs w:val="16"/>
                <w:u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每日安全交底</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1.缺少书面交底、未留存书面资料或交底资料缺少交底人、被交底人及安全员签字的</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2.内容未结合当天的现场状况、特点、工序，对危险因素、施工内容、安全作业和应急措施进行交底的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扣2～4分/项</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00" w:hRule="atLeast"/>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16</w:t>
            </w:r>
          </w:p>
        </w:tc>
        <w:tc>
          <w:tcPr>
            <w:tcW w:w="45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i w:val="0"/>
                <w:color w:val="000000"/>
                <w:sz w:val="16"/>
                <w:szCs w:val="16"/>
                <w:u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作业行为管理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1.违反9大危险作业相关作业规范的</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2.现场存在违章作业、违章指挥等违反相关安全管理规定或制度的</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3.人员错误使用劳保用品3次以上的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扣3～5分/项</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17</w:t>
            </w:r>
          </w:p>
        </w:tc>
        <w:tc>
          <w:tcPr>
            <w:tcW w:w="45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i w:val="0"/>
                <w:color w:val="000000"/>
                <w:sz w:val="16"/>
                <w:szCs w:val="16"/>
                <w:u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安全记录</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未按施工要求开展现场记录或记录内容有缺失</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扣2～4分/项</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0" w:hRule="atLeast"/>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18</w:t>
            </w:r>
          </w:p>
        </w:tc>
        <w:tc>
          <w:tcPr>
            <w:tcW w:w="45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i w:val="0"/>
                <w:color w:val="000000"/>
                <w:sz w:val="16"/>
                <w:szCs w:val="16"/>
                <w:u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应急管理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1.未设置应急物资点，未统一存放应急物资</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2.应急物资点无应急物资清单或无应急物资每日检查表</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3.无开展日常应急培训、训练、演练或无资料留档的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扣2～4分/项</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0" w:hRule="atLeast"/>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19</w:t>
            </w:r>
          </w:p>
        </w:tc>
        <w:tc>
          <w:tcPr>
            <w:tcW w:w="45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i w:val="0"/>
                <w:color w:val="000000"/>
                <w:sz w:val="16"/>
                <w:szCs w:val="16"/>
                <w:u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人员管理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人员变更无完善的手续及资料的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扣3～5分/项</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0" w:hRule="atLeast"/>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20</w:t>
            </w:r>
          </w:p>
        </w:tc>
        <w:tc>
          <w:tcPr>
            <w:tcW w:w="45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i w:val="0"/>
                <w:color w:val="000000"/>
                <w:sz w:val="16"/>
                <w:szCs w:val="16"/>
                <w:u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隐患管理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未及时对发现的隐患开展整改的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扣4～8分/项</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21</w:t>
            </w:r>
          </w:p>
        </w:tc>
        <w:tc>
          <w:tcPr>
            <w:tcW w:w="45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i w:val="0"/>
                <w:color w:val="000000"/>
                <w:sz w:val="16"/>
                <w:szCs w:val="16"/>
                <w:u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其他</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违反业主或上级主管部门提出的其他管理要求、文件、规定或拒不执行的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扣2～5分/项</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0" w:hRule="atLeast"/>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22</w:t>
            </w:r>
          </w:p>
        </w:tc>
        <w:tc>
          <w:tcPr>
            <w:tcW w:w="45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仿宋_GB2312" w:hAnsi="等线" w:eastAsia="仿宋_GB2312" w:cs="仿宋_GB2312"/>
                <w:i w:val="0"/>
                <w:color w:val="000000"/>
                <w:sz w:val="16"/>
                <w:szCs w:val="16"/>
                <w:u w:val="none"/>
              </w:rPr>
            </w:pPr>
          </w:p>
        </w:tc>
        <w:tc>
          <w:tcPr>
            <w:tcW w:w="49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仿宋_GB2312" w:hAnsi="等线" w:eastAsia="仿宋_GB2312" w:cs="仿宋_GB2312"/>
                <w:i w:val="0"/>
                <w:color w:val="000000"/>
                <w:sz w:val="16"/>
                <w:szCs w:val="16"/>
                <w:u w:val="none"/>
              </w:rPr>
            </w:pP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c>
          <w:tcPr>
            <w:tcW w:w="75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440" w:hRule="atLeast"/>
        </w:trPr>
        <w:tc>
          <w:tcPr>
            <w:tcW w:w="10161" w:type="dxa"/>
            <w:gridSpan w:val="10"/>
            <w:tcBorders>
              <w:top w:val="nil"/>
              <w:left w:val="nil"/>
              <w:bottom w:val="nil"/>
              <w:right w:val="nil"/>
            </w:tcBorders>
            <w:noWrap w:val="0"/>
            <w:tcMar>
              <w:top w:w="12" w:type="dxa"/>
              <w:left w:w="12" w:type="dxa"/>
              <w:right w:w="12" w:type="dxa"/>
            </w:tcMar>
            <w:vAlign w:val="center"/>
          </w:tcPr>
          <w:p>
            <w:pPr>
              <w:keepNext w:val="0"/>
              <w:keepLines w:val="0"/>
              <w:widowControl/>
              <w:suppressLineNumbers w:val="0"/>
              <w:jc w:val="left"/>
              <w:textAlignment w:val="center"/>
              <w:rPr>
                <w:rFonts w:hint="eastAsia"/>
                <w:sz w:val="13"/>
                <w:szCs w:val="13"/>
                <w:lang w:val="en-US" w:eastAsia="zh-CN"/>
              </w:rPr>
            </w:pPr>
            <w:r>
              <w:rPr>
                <w:rFonts w:hint="eastAsia"/>
                <w:sz w:val="13"/>
                <w:szCs w:val="13"/>
                <w:lang w:val="en-US" w:eastAsia="zh-CN"/>
              </w:rPr>
              <w:t>注：1、综合考评满分100分，各考评项目扣分不设上限；</w:t>
            </w:r>
            <w:r>
              <w:rPr>
                <w:rFonts w:hint="eastAsia"/>
                <w:sz w:val="13"/>
                <w:szCs w:val="13"/>
                <w:lang w:val="en-US" w:eastAsia="zh-CN"/>
              </w:rPr>
              <w:br w:type="textWrapping"/>
            </w:r>
            <w:r>
              <w:rPr>
                <w:rFonts w:hint="eastAsia"/>
                <w:sz w:val="13"/>
                <w:szCs w:val="13"/>
                <w:lang w:val="en-US" w:eastAsia="zh-CN"/>
              </w:rPr>
              <w:t xml:space="preserve">    2、监理单位考评只作为参考及履职依据，不计入考评，无监理单位不需填写；</w:t>
            </w:r>
            <w:r>
              <w:rPr>
                <w:rFonts w:hint="eastAsia"/>
                <w:sz w:val="13"/>
                <w:szCs w:val="13"/>
                <w:lang w:val="en-US" w:eastAsia="zh-CN"/>
              </w:rPr>
              <w:br w:type="textWrapping"/>
            </w:r>
            <w:r>
              <w:rPr>
                <w:rFonts w:hint="eastAsia"/>
                <w:sz w:val="13"/>
                <w:szCs w:val="13"/>
                <w:lang w:val="en-US" w:eastAsia="zh-CN"/>
              </w:rPr>
              <w:t xml:space="preserve">    3、“公司考评”业务主管部门和安全办针对本部门检查发现的内容进行扣（奖）分，项目部已经进行扣（奖）分的不重复执行；</w:t>
            </w:r>
            <w:r>
              <w:rPr>
                <w:rFonts w:hint="eastAsia"/>
                <w:sz w:val="13"/>
                <w:szCs w:val="13"/>
                <w:lang w:val="en-US" w:eastAsia="zh-CN"/>
              </w:rPr>
              <w:br w:type="textWrapping"/>
            </w:r>
            <w:r>
              <w:rPr>
                <w:rFonts w:hint="eastAsia"/>
                <w:sz w:val="13"/>
                <w:szCs w:val="13"/>
                <w:lang w:val="en-US" w:eastAsia="zh-CN"/>
              </w:rPr>
              <w:t xml:space="preserve">    4、各分公司考评填写相应的得（扣）分数值，如奖2分则填写“2”，扣2分则填写“-2”；</w:t>
            </w:r>
            <w:r>
              <w:rPr>
                <w:rFonts w:hint="eastAsia"/>
                <w:sz w:val="13"/>
                <w:szCs w:val="13"/>
                <w:lang w:val="en-US" w:eastAsia="zh-CN"/>
              </w:rPr>
              <w:br w:type="textWrapping"/>
            </w:r>
            <w:r>
              <w:rPr>
                <w:rFonts w:hint="eastAsia"/>
                <w:sz w:val="13"/>
                <w:szCs w:val="13"/>
                <w:lang w:val="en-US" w:eastAsia="zh-CN"/>
              </w:rPr>
              <w:t xml:space="preserve">    5、单项“综合考评”=项目部考评+公司考评；综合考评总分=各单项“综合考评”+100</w:t>
            </w:r>
            <w:r>
              <w:rPr>
                <w:rFonts w:hint="eastAsia"/>
                <w:sz w:val="13"/>
                <w:szCs w:val="13"/>
                <w:lang w:val="en-US" w:eastAsia="zh-CN"/>
              </w:rPr>
              <w:br w:type="textWrapping"/>
            </w:r>
            <w:r>
              <w:rPr>
                <w:rFonts w:hint="eastAsia"/>
                <w:sz w:val="13"/>
                <w:szCs w:val="13"/>
                <w:lang w:val="en-US" w:eastAsia="zh-CN"/>
              </w:rPr>
              <w:t xml:space="preserve">    6、最后得分=综合考评总分X类别系数；</w:t>
            </w:r>
            <w:r>
              <w:rPr>
                <w:rFonts w:hint="eastAsia"/>
                <w:sz w:val="13"/>
                <w:szCs w:val="13"/>
                <w:lang w:val="en-US" w:eastAsia="zh-CN"/>
              </w:rPr>
              <w:br w:type="textWrapping"/>
            </w:r>
            <w:r>
              <w:rPr>
                <w:rFonts w:hint="eastAsia"/>
                <w:sz w:val="13"/>
                <w:szCs w:val="13"/>
                <w:lang w:val="en-US" w:eastAsia="zh-CN"/>
              </w:rPr>
              <w:t xml:space="preserve">    7、各考评项目具体考评标准内容参照广州市净水有限公司标准《工程项目安全管理规范》（Q/GZJSA 1-2021）执行。 </w:t>
            </w:r>
          </w:p>
          <w:p>
            <w:pPr>
              <w:numPr>
                <w:ilvl w:val="0"/>
                <w:numId w:val="0"/>
              </w:numPr>
              <w:ind w:firstLine="260" w:firstLineChars="200"/>
              <w:contextualSpacing/>
              <w:jc w:val="left"/>
              <w:rPr>
                <w:rFonts w:hint="eastAsia" w:ascii="仿宋_GB2312" w:hAnsi="仿宋_GB2312" w:eastAsia="仿宋_GB2312" w:cs="仿宋_GB2312"/>
                <w:color w:val="000000"/>
                <w:sz w:val="13"/>
                <w:szCs w:val="13"/>
                <w:highlight w:val="none"/>
                <w:lang w:val="en-US" w:eastAsia="zh-CN"/>
              </w:rPr>
            </w:pPr>
            <w:r>
              <w:rPr>
                <w:rFonts w:hint="eastAsia" w:ascii="仿宋_GB2312" w:hAnsi="仿宋_GB2312" w:eastAsia="仿宋_GB2312" w:cs="仿宋_GB2312"/>
                <w:color w:val="000000"/>
                <w:sz w:val="13"/>
                <w:szCs w:val="13"/>
                <w:highlight w:val="none"/>
                <w:lang w:val="en-US" w:eastAsia="zh-CN"/>
              </w:rPr>
              <w:t>8、本处理标准出自</w:t>
            </w:r>
            <w:r>
              <w:rPr>
                <w:rFonts w:hint="eastAsia" w:ascii="仿宋_GB2312" w:hAnsi="仿宋_GB2312" w:eastAsia="仿宋_GB2312" w:cs="仿宋_GB2312"/>
                <w:color w:val="000000"/>
                <w:sz w:val="13"/>
                <w:szCs w:val="13"/>
                <w:highlight w:val="none"/>
              </w:rPr>
              <w:t>《</w:t>
            </w:r>
            <w:r>
              <w:rPr>
                <w:rFonts w:hint="eastAsia" w:ascii="宋体" w:hAnsi="宋体" w:eastAsia="宋体" w:cs="宋体"/>
                <w:color w:val="000000"/>
                <w:sz w:val="13"/>
                <w:szCs w:val="13"/>
                <w:highlight w:val="none"/>
                <w:lang w:eastAsia="zh-CN"/>
              </w:rPr>
              <w:t>广州净水公司工程项目承包单位质量安全考评细则（试行）</w:t>
            </w:r>
            <w:r>
              <w:rPr>
                <w:rFonts w:hint="eastAsia" w:ascii="仿宋_GB2312" w:hAnsi="仿宋_GB2312" w:eastAsia="仿宋_GB2312" w:cs="仿宋_GB2312"/>
                <w:color w:val="000000"/>
                <w:sz w:val="13"/>
                <w:szCs w:val="13"/>
                <w:highlight w:val="none"/>
              </w:rPr>
              <w:t>》</w:t>
            </w:r>
            <w:r>
              <w:rPr>
                <w:rFonts w:hint="eastAsia" w:ascii="仿宋_GB2312" w:hAnsi="仿宋_GB2312" w:eastAsia="仿宋_GB2312" w:cs="仿宋_GB2312"/>
                <w:color w:val="000000"/>
                <w:sz w:val="13"/>
                <w:szCs w:val="13"/>
                <w:highlight w:val="none"/>
                <w:lang w:eastAsia="zh-CN"/>
              </w:rPr>
              <w:t>。</w:t>
            </w:r>
          </w:p>
          <w:p>
            <w:pPr>
              <w:pStyle w:val="2"/>
              <w:rPr>
                <w:rFonts w:hint="eastAsia"/>
              </w:rPr>
            </w:pPr>
          </w:p>
        </w:tc>
      </w:tr>
    </w:tbl>
    <w:p>
      <w:pPr>
        <w:pStyle w:val="2"/>
        <w:rPr>
          <w:rFonts w:hint="eastAsia" w:ascii="宋体" w:hAnsi="宋体" w:cs="宋体"/>
          <w:b/>
          <w:color w:val="auto"/>
          <w:szCs w:val="21"/>
          <w:highlight w:val="none"/>
        </w:rPr>
      </w:pPr>
    </w:p>
    <w:p>
      <w:pPr>
        <w:pStyle w:val="2"/>
        <w:rPr>
          <w:rFonts w:hint="eastAsia" w:ascii="宋体" w:hAnsi="宋体" w:cs="宋体"/>
          <w:b/>
          <w:color w:val="auto"/>
          <w:szCs w:val="21"/>
          <w:highlight w:val="none"/>
        </w:rPr>
      </w:pPr>
    </w:p>
    <w:p>
      <w:pPr>
        <w:pStyle w:val="2"/>
        <w:rPr>
          <w:rFonts w:hint="eastAsia" w:ascii="宋体" w:hAnsi="宋体" w:cs="宋体"/>
          <w:b/>
          <w:color w:val="auto"/>
          <w:szCs w:val="21"/>
          <w:highlight w:val="none"/>
        </w:rPr>
      </w:pPr>
    </w:p>
    <w:p>
      <w:pPr>
        <w:pStyle w:val="2"/>
        <w:rPr>
          <w:rFonts w:hint="eastAsia" w:ascii="宋体" w:hAnsi="宋体" w:cs="宋体"/>
          <w:b/>
          <w:color w:val="auto"/>
          <w:szCs w:val="21"/>
          <w:highlight w:val="none"/>
        </w:rPr>
      </w:pPr>
    </w:p>
    <w:p>
      <w:pPr>
        <w:pStyle w:val="2"/>
        <w:rPr>
          <w:rFonts w:hint="eastAsia" w:ascii="宋体" w:hAnsi="宋体" w:cs="宋体"/>
          <w:b/>
          <w:color w:val="auto"/>
          <w:szCs w:val="21"/>
          <w:highlight w:val="none"/>
        </w:rPr>
      </w:pPr>
    </w:p>
    <w:p>
      <w:pPr>
        <w:pStyle w:val="2"/>
        <w:rPr>
          <w:rFonts w:hint="eastAsia" w:ascii="宋体" w:hAnsi="宋体" w:cs="宋体"/>
          <w:b/>
          <w:color w:val="auto"/>
          <w:szCs w:val="21"/>
          <w:highlight w:val="none"/>
        </w:rPr>
      </w:pPr>
    </w:p>
    <w:p>
      <w:pPr>
        <w:pStyle w:val="2"/>
        <w:rPr>
          <w:rFonts w:hint="eastAsia" w:ascii="宋体" w:hAnsi="宋体" w:cs="宋体"/>
          <w:b/>
          <w:color w:val="auto"/>
          <w:szCs w:val="21"/>
          <w:highlight w:val="none"/>
        </w:rPr>
      </w:pPr>
    </w:p>
    <w:p>
      <w:pPr>
        <w:pStyle w:val="2"/>
        <w:rPr>
          <w:rFonts w:hint="eastAsia" w:ascii="宋体" w:hAnsi="宋体" w:cs="宋体"/>
          <w:b/>
          <w:color w:val="auto"/>
          <w:szCs w:val="21"/>
          <w:highlight w:val="none"/>
        </w:rPr>
      </w:pPr>
    </w:p>
    <w:p>
      <w:pPr>
        <w:pStyle w:val="2"/>
        <w:rPr>
          <w:rFonts w:hint="eastAsia" w:ascii="宋体" w:hAnsi="宋体" w:cs="宋体"/>
          <w:b/>
          <w:color w:val="auto"/>
          <w:szCs w:val="21"/>
          <w:highlight w:val="none"/>
        </w:rPr>
      </w:pPr>
    </w:p>
    <w:p>
      <w:pPr>
        <w:spacing w:line="360" w:lineRule="auto"/>
        <w:rPr>
          <w:rFonts w:ascii="宋体" w:hAnsi="宋体" w:cs="宋体"/>
          <w:b/>
          <w:szCs w:val="21"/>
        </w:rPr>
      </w:pPr>
      <w:r>
        <w:rPr>
          <w:rFonts w:hint="eastAsia" w:ascii="宋体" w:hAnsi="宋体" w:cs="宋体"/>
          <w:b/>
          <w:color w:val="auto"/>
          <w:szCs w:val="21"/>
          <w:highlight w:val="none"/>
        </w:rPr>
        <w:br w:type="page"/>
      </w:r>
      <w:bookmarkEnd w:id="124"/>
      <w:bookmarkEnd w:id="125"/>
      <w:bookmarkEnd w:id="126"/>
      <w:r>
        <w:rPr>
          <w:rFonts w:hint="eastAsia" w:ascii="宋体" w:hAnsi="宋体" w:cs="宋体"/>
          <w:b/>
          <w:szCs w:val="21"/>
        </w:rPr>
        <w:t>附件</w:t>
      </w:r>
      <w:r>
        <w:rPr>
          <w:rFonts w:hint="eastAsia" w:ascii="宋体" w:hAnsi="宋体" w:cs="宋体"/>
          <w:b/>
          <w:szCs w:val="21"/>
          <w:lang w:val="en-US" w:eastAsia="zh-CN"/>
        </w:rPr>
        <w:t>4</w:t>
      </w:r>
      <w:r>
        <w:rPr>
          <w:rFonts w:hint="eastAsia" w:ascii="宋体" w:hAnsi="宋体" w:cs="宋体"/>
          <w:b/>
          <w:szCs w:val="21"/>
        </w:rPr>
        <w:t>：安全管理协议书</w:t>
      </w:r>
    </w:p>
    <w:p>
      <w:pPr>
        <w:spacing w:line="360" w:lineRule="auto"/>
        <w:jc w:val="center"/>
        <w:rPr>
          <w:rFonts w:ascii="宋体" w:hAnsi="宋体" w:cs="宋体"/>
          <w:b/>
          <w:bCs/>
          <w:sz w:val="24"/>
        </w:rPr>
      </w:pPr>
    </w:p>
    <w:p>
      <w:pPr>
        <w:spacing w:line="560" w:lineRule="exact"/>
        <w:jc w:val="center"/>
        <w:rPr>
          <w:rFonts w:ascii="黑体" w:hAnsi="Batang" w:eastAsia="黑体" w:cs="Batang"/>
          <w:bCs/>
          <w:kern w:val="0"/>
          <w:sz w:val="44"/>
          <w:szCs w:val="44"/>
        </w:rPr>
      </w:pPr>
      <w:r>
        <w:rPr>
          <w:rFonts w:hint="eastAsia" w:ascii="黑体" w:hAnsi="Batang" w:eastAsia="黑体" w:cs="Batang"/>
          <w:bCs/>
          <w:kern w:val="0"/>
          <w:sz w:val="44"/>
          <w:szCs w:val="44"/>
        </w:rPr>
        <w:t>营运场所施工安全协议书</w:t>
      </w:r>
    </w:p>
    <w:p>
      <w:pPr>
        <w:spacing w:line="560" w:lineRule="exact"/>
        <w:rPr>
          <w:rFonts w:ascii="仿宋_GB2312" w:hAnsi="宋体" w:eastAsia="仿宋_GB2312"/>
          <w:sz w:val="24"/>
        </w:rPr>
      </w:pPr>
    </w:p>
    <w:p>
      <w:pPr>
        <w:spacing w:line="560" w:lineRule="exact"/>
        <w:rPr>
          <w:rFonts w:ascii="宋体" w:hAnsi="宋体" w:cs="Arial"/>
          <w:kern w:val="0"/>
          <w:sz w:val="24"/>
        </w:rPr>
      </w:pPr>
      <w:bookmarkStart w:id="127" w:name="_Toc21391"/>
      <w:r>
        <w:rPr>
          <w:rFonts w:hint="eastAsia" w:ascii="宋体" w:hAnsi="宋体" w:cs="Arial"/>
          <w:kern w:val="0"/>
          <w:sz w:val="24"/>
        </w:rPr>
        <w:t>甲方：</w:t>
      </w:r>
      <w:r>
        <w:rPr>
          <w:rFonts w:hint="eastAsia"/>
          <w:sz w:val="24"/>
        </w:rPr>
        <w:t>广州市净水有限公司</w:t>
      </w:r>
    </w:p>
    <w:p>
      <w:pPr>
        <w:spacing w:line="560" w:lineRule="exact"/>
        <w:rPr>
          <w:rFonts w:ascii="宋体" w:hAnsi="宋体" w:cs="Arial"/>
          <w:kern w:val="0"/>
          <w:sz w:val="24"/>
        </w:rPr>
      </w:pPr>
      <w:r>
        <w:rPr>
          <w:rFonts w:hint="eastAsia" w:ascii="宋体" w:hAnsi="宋体" w:cs="Arial"/>
          <w:kern w:val="0"/>
          <w:sz w:val="24"/>
        </w:rPr>
        <w:t xml:space="preserve">乙方： </w:t>
      </w:r>
    </w:p>
    <w:p>
      <w:pPr>
        <w:adjustRightInd w:val="0"/>
        <w:snapToGrid w:val="0"/>
        <w:spacing w:line="560" w:lineRule="exact"/>
        <w:jc w:val="left"/>
        <w:rPr>
          <w:rStyle w:val="27"/>
          <w:rFonts w:ascii="宋体" w:hAnsi="宋体" w:eastAsia="宋体"/>
          <w:b w:val="0"/>
          <w:u w:val="single"/>
        </w:rPr>
      </w:pPr>
    </w:p>
    <w:bookmarkEnd w:id="127"/>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ascii="宋体" w:hAnsi="宋体" w:eastAsia="宋体"/>
          <w:sz w:val="24"/>
        </w:rPr>
      </w:pPr>
      <w:r>
        <w:rPr>
          <w:rFonts w:hint="eastAsia" w:ascii="宋体" w:hAnsi="宋体" w:eastAsia="宋体"/>
          <w:sz w:val="24"/>
        </w:rPr>
        <w:t>根据《中华人民共和国安全生产法》《中华人民共和国建筑法》《建设工程安全生产管理条例》《生产安全事故报告和调查处理条例》《中华人民共和国职业病防治法》《工作场所职业卫生管理规定》《用人单位职业健康监护监督管理办法》《广州市职业卫生监督管理规定》等法律法规, 经双方协商，签订本协议书，以明确各自的安全生产、职业卫生责任并共同遵守。</w:t>
      </w:r>
    </w:p>
    <w:p>
      <w:pPr>
        <w:keepNext w:val="0"/>
        <w:keepLines w:val="0"/>
        <w:pageBreakBefore w:val="0"/>
        <w:widowControl w:val="0"/>
        <w:kinsoku/>
        <w:wordWrap/>
        <w:overflowPunct/>
        <w:topLinePunct w:val="0"/>
        <w:autoSpaceDE/>
        <w:autoSpaceDN/>
        <w:bidi w:val="0"/>
        <w:adjustRightInd w:val="0"/>
        <w:snapToGrid w:val="0"/>
        <w:spacing w:line="520" w:lineRule="exact"/>
        <w:ind w:firstLine="482" w:firstLineChars="200"/>
        <w:jc w:val="left"/>
        <w:textAlignment w:val="auto"/>
        <w:rPr>
          <w:rFonts w:ascii="宋体" w:hAnsi="宋体" w:eastAsia="宋体"/>
          <w:b/>
          <w:sz w:val="24"/>
        </w:rPr>
      </w:pPr>
      <w:r>
        <w:rPr>
          <w:rFonts w:hint="eastAsia" w:ascii="宋体" w:hAnsi="宋体" w:eastAsia="宋体"/>
          <w:b/>
          <w:sz w:val="24"/>
        </w:rPr>
        <w:t>一、本协议与主合同的关系</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ascii="宋体" w:hAnsi="宋体" w:eastAsia="宋体"/>
          <w:sz w:val="24"/>
        </w:rPr>
      </w:pPr>
      <w:r>
        <w:rPr>
          <w:rFonts w:hint="eastAsia" w:ascii="宋体" w:hAnsi="宋体" w:eastAsia="宋体"/>
          <w:sz w:val="24"/>
        </w:rPr>
        <w:t>本协议作为</w:t>
      </w:r>
      <w:r>
        <w:rPr>
          <w:rFonts w:hint="eastAsia" w:ascii="宋体" w:hAnsi="宋体" w:eastAsia="宋体"/>
          <w:sz w:val="24"/>
          <w:u w:val="single"/>
        </w:rPr>
        <w:t xml:space="preserve">                          </w:t>
      </w:r>
      <w:r>
        <w:rPr>
          <w:rFonts w:hint="eastAsia" w:ascii="宋体" w:hAnsi="宋体" w:eastAsia="宋体"/>
          <w:sz w:val="24"/>
        </w:rPr>
        <w:t>的组成部分，与主合同具有同等法律效力。</w:t>
      </w:r>
    </w:p>
    <w:p>
      <w:pPr>
        <w:keepNext w:val="0"/>
        <w:keepLines w:val="0"/>
        <w:pageBreakBefore w:val="0"/>
        <w:widowControl w:val="0"/>
        <w:kinsoku/>
        <w:wordWrap/>
        <w:overflowPunct/>
        <w:topLinePunct w:val="0"/>
        <w:autoSpaceDE/>
        <w:autoSpaceDN/>
        <w:bidi w:val="0"/>
        <w:adjustRightInd w:val="0"/>
        <w:snapToGrid w:val="0"/>
        <w:spacing w:line="520" w:lineRule="exact"/>
        <w:ind w:firstLine="482" w:firstLineChars="200"/>
        <w:jc w:val="left"/>
        <w:textAlignment w:val="auto"/>
        <w:rPr>
          <w:rFonts w:ascii="宋体" w:hAnsi="宋体" w:eastAsia="宋体"/>
          <w:b/>
          <w:sz w:val="24"/>
        </w:rPr>
      </w:pPr>
      <w:r>
        <w:rPr>
          <w:rFonts w:ascii="宋体" w:hAnsi="宋体" w:eastAsia="宋体"/>
          <w:b/>
          <w:sz w:val="24"/>
        </w:rPr>
        <w:t xml:space="preserve"> 二、</w:t>
      </w:r>
      <w:r>
        <w:rPr>
          <w:rFonts w:hint="eastAsia" w:ascii="宋体" w:hAnsi="宋体" w:eastAsia="宋体"/>
          <w:b/>
          <w:sz w:val="24"/>
        </w:rPr>
        <w:t>甲方权责</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ascii="宋体" w:hAnsi="宋体" w:eastAsia="宋体"/>
          <w:sz w:val="24"/>
        </w:rPr>
      </w:pPr>
      <w:r>
        <w:rPr>
          <w:rFonts w:hint="eastAsia" w:ascii="宋体" w:hAnsi="宋体" w:eastAsia="宋体"/>
          <w:sz w:val="24"/>
        </w:rPr>
        <w:t>（一）在甲方生产营运场所内施工的，告知乙方该场所已知存在的安全风险，并要求乙方在作业前应重新识别现场的安全风险并采取措施进行管控。</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ascii="宋体" w:hAnsi="宋体" w:eastAsia="宋体"/>
          <w:sz w:val="24"/>
        </w:rPr>
      </w:pPr>
      <w:r>
        <w:rPr>
          <w:rFonts w:hint="eastAsia" w:ascii="宋体" w:hAnsi="宋体" w:eastAsia="宋体"/>
          <w:sz w:val="24"/>
        </w:rPr>
        <w:t>（二）落实生产营运等相关配合措施，提供必要的施工条件。</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ascii="宋体" w:hAnsi="宋体" w:eastAsia="宋体"/>
          <w:sz w:val="24"/>
        </w:rPr>
      </w:pPr>
      <w:r>
        <w:rPr>
          <w:rFonts w:hint="eastAsia" w:ascii="宋体" w:hAnsi="宋体" w:eastAsia="宋体"/>
          <w:sz w:val="24"/>
        </w:rPr>
        <w:t>（三）要求乙方遵守的甲方安全管理要求。</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ascii="宋体" w:hAnsi="宋体" w:eastAsia="宋体"/>
          <w:sz w:val="24"/>
        </w:rPr>
      </w:pPr>
      <w:r>
        <w:rPr>
          <w:rFonts w:hint="eastAsia" w:ascii="宋体" w:hAnsi="宋体" w:eastAsia="宋体"/>
          <w:sz w:val="24"/>
        </w:rPr>
        <w:t>（四）有权对乙方安全措施投入、现场安全施工情况等进行安全监督检查，并提出整改。</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ascii="宋体" w:hAnsi="宋体" w:eastAsia="宋体"/>
          <w:sz w:val="24"/>
        </w:rPr>
      </w:pPr>
      <w:r>
        <w:rPr>
          <w:rFonts w:hint="eastAsia" w:ascii="宋体" w:hAnsi="宋体" w:eastAsia="宋体"/>
          <w:sz w:val="24"/>
        </w:rPr>
        <w:t>（五）按照《广州市净水有限公司工程项目安全管理规范》等办法对乙方进行施工安全管理评价。</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ascii="宋体" w:hAnsi="宋体" w:eastAsia="宋体"/>
          <w:sz w:val="24"/>
        </w:rPr>
      </w:pPr>
      <w:r>
        <w:rPr>
          <w:rFonts w:hint="eastAsia" w:ascii="宋体" w:hAnsi="宋体" w:eastAsia="宋体"/>
          <w:sz w:val="24"/>
        </w:rPr>
        <w:t>（六）对于乙方不服从甲方管理，违反安全生产管理规定等违约行为的，甲方有权对乙方采取以下一种或以上的方式处理：</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ascii="宋体" w:hAnsi="宋体" w:eastAsia="宋体"/>
          <w:sz w:val="24"/>
        </w:rPr>
      </w:pPr>
      <w:r>
        <w:rPr>
          <w:rFonts w:ascii="宋体" w:hAnsi="宋体" w:eastAsia="宋体"/>
          <w:sz w:val="24"/>
        </w:rPr>
        <w:t>1.</w:t>
      </w:r>
      <w:r>
        <w:rPr>
          <w:rFonts w:hint="eastAsia" w:ascii="宋体" w:hAnsi="宋体" w:eastAsia="宋体"/>
          <w:sz w:val="24"/>
        </w:rPr>
        <w:t>按主合同相关条款进行经济扣罚；</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ascii="宋体" w:hAnsi="宋体" w:eastAsia="宋体"/>
          <w:sz w:val="24"/>
        </w:rPr>
      </w:pPr>
      <w:r>
        <w:rPr>
          <w:rFonts w:ascii="宋体" w:hAnsi="宋体" w:eastAsia="宋体"/>
          <w:sz w:val="24"/>
        </w:rPr>
        <w:t>2.</w:t>
      </w:r>
      <w:r>
        <w:rPr>
          <w:rFonts w:hint="eastAsia" w:ascii="宋体" w:hAnsi="宋体" w:eastAsia="宋体"/>
          <w:sz w:val="24"/>
        </w:rPr>
        <w:t>根据《广州市水务局关于印发广州市水务工程施工和监理企业诚信评价管理办法的通知》（穗水建设〔2</w:t>
      </w:r>
      <w:r>
        <w:rPr>
          <w:rFonts w:ascii="宋体" w:hAnsi="宋体" w:eastAsia="宋体"/>
          <w:sz w:val="24"/>
        </w:rPr>
        <w:t>014</w:t>
      </w:r>
      <w:r>
        <w:rPr>
          <w:rFonts w:hint="eastAsia" w:ascii="宋体" w:hAnsi="宋体" w:eastAsia="宋体"/>
          <w:sz w:val="24"/>
        </w:rPr>
        <w:t>〕1</w:t>
      </w:r>
      <w:r>
        <w:rPr>
          <w:rFonts w:ascii="宋体" w:hAnsi="宋体" w:eastAsia="宋体"/>
          <w:sz w:val="24"/>
        </w:rPr>
        <w:t>0</w:t>
      </w:r>
      <w:r>
        <w:rPr>
          <w:rFonts w:hint="eastAsia" w:ascii="宋体" w:hAnsi="宋体" w:eastAsia="宋体"/>
          <w:sz w:val="24"/>
        </w:rPr>
        <w:t>号）、《市净水公司关于印发施工和监理企业诚信评价工作实施办法的通知》（穗净水〔201</w:t>
      </w:r>
      <w:r>
        <w:rPr>
          <w:rFonts w:ascii="宋体" w:hAnsi="宋体" w:eastAsia="宋体"/>
          <w:sz w:val="24"/>
        </w:rPr>
        <w:t>5</w:t>
      </w:r>
      <w:r>
        <w:rPr>
          <w:rFonts w:hint="eastAsia" w:ascii="宋体" w:hAnsi="宋体" w:eastAsia="宋体"/>
          <w:sz w:val="24"/>
        </w:rPr>
        <w:t>〕2</w:t>
      </w:r>
      <w:r>
        <w:rPr>
          <w:rFonts w:ascii="宋体" w:hAnsi="宋体" w:eastAsia="宋体"/>
          <w:sz w:val="24"/>
        </w:rPr>
        <w:t>40</w:t>
      </w:r>
      <w:r>
        <w:rPr>
          <w:rFonts w:hint="eastAsia" w:ascii="宋体" w:hAnsi="宋体" w:eastAsia="宋体"/>
          <w:sz w:val="24"/>
        </w:rPr>
        <w:t>号），进行诚信扣分（合同期内有新的文件印发的，按照最新的文件执行）；</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ascii="宋体" w:hAnsi="宋体" w:eastAsia="宋体"/>
          <w:sz w:val="24"/>
        </w:rPr>
      </w:pPr>
      <w:r>
        <w:rPr>
          <w:rFonts w:hint="eastAsia" w:ascii="宋体" w:hAnsi="宋体" w:eastAsia="宋体"/>
          <w:sz w:val="24"/>
        </w:rPr>
        <w:t>3</w:t>
      </w:r>
      <w:r>
        <w:rPr>
          <w:rFonts w:ascii="宋体" w:hAnsi="宋体" w:eastAsia="宋体"/>
          <w:sz w:val="24"/>
        </w:rPr>
        <w:t>.</w:t>
      </w:r>
      <w:r>
        <w:rPr>
          <w:rFonts w:hint="eastAsia" w:ascii="宋体" w:hAnsi="宋体" w:eastAsia="宋体"/>
          <w:sz w:val="24"/>
        </w:rPr>
        <w:t>限制投保，或经其他单位承包后以分别方参与项目实施；</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ascii="宋体" w:hAnsi="宋体" w:eastAsia="宋体"/>
          <w:sz w:val="24"/>
        </w:rPr>
      </w:pPr>
      <w:r>
        <w:rPr>
          <w:rFonts w:ascii="宋体" w:hAnsi="宋体" w:eastAsia="宋体"/>
          <w:sz w:val="24"/>
        </w:rPr>
        <w:t>4.</w:t>
      </w:r>
      <w:r>
        <w:rPr>
          <w:rFonts w:hint="eastAsia" w:ascii="宋体" w:hAnsi="宋体" w:eastAsia="宋体"/>
          <w:sz w:val="24"/>
        </w:rPr>
        <w:t>向上级进行反映，包括但不限于广东省市政行业协会、广州市市政公路协会等。</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ascii="宋体" w:hAnsi="宋体" w:cs="Arial"/>
          <w:kern w:val="0"/>
          <w:sz w:val="24"/>
        </w:rPr>
      </w:pPr>
      <w:r>
        <w:rPr>
          <w:rFonts w:hint="eastAsia" w:ascii="宋体" w:hAnsi="宋体" w:cs="Arial"/>
          <w:kern w:val="0"/>
          <w:sz w:val="24"/>
        </w:rPr>
        <w:t>（七）乙方对存在问题拒不整改的，或存在弄虚作假情况的，视为违约，甲方有权按主合同相关条款对乙方进行违约金扣罚。如乙方拒不缴纳违约金的，甲方有权在履约保证金中扣除。</w:t>
      </w:r>
    </w:p>
    <w:p>
      <w:pPr>
        <w:keepNext w:val="0"/>
        <w:keepLines w:val="0"/>
        <w:pageBreakBefore w:val="0"/>
        <w:widowControl w:val="0"/>
        <w:kinsoku/>
        <w:wordWrap/>
        <w:overflowPunct/>
        <w:topLinePunct w:val="0"/>
        <w:autoSpaceDE/>
        <w:autoSpaceDN/>
        <w:bidi w:val="0"/>
        <w:adjustRightInd w:val="0"/>
        <w:snapToGrid w:val="0"/>
        <w:spacing w:line="520" w:lineRule="exact"/>
        <w:ind w:firstLine="482" w:firstLineChars="200"/>
        <w:jc w:val="left"/>
        <w:textAlignment w:val="auto"/>
        <w:rPr>
          <w:rFonts w:ascii="宋体" w:hAnsi="宋体" w:eastAsia="宋体"/>
          <w:b/>
          <w:sz w:val="24"/>
        </w:rPr>
      </w:pPr>
      <w:r>
        <w:rPr>
          <w:rFonts w:hint="eastAsia" w:ascii="宋体" w:hAnsi="宋体" w:eastAsia="宋体"/>
          <w:b/>
          <w:sz w:val="24"/>
        </w:rPr>
        <w:t>三、乙方权责</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ascii="宋体" w:hAnsi="宋体" w:eastAsia="宋体"/>
          <w:sz w:val="24"/>
        </w:rPr>
      </w:pPr>
      <w:r>
        <w:rPr>
          <w:rFonts w:hint="eastAsia" w:ascii="宋体" w:hAnsi="宋体" w:eastAsia="宋体"/>
          <w:sz w:val="24"/>
        </w:rPr>
        <w:t>（一）在施工前重新识别现场的安全风险并采取措施进行管控。大型机械设备进场，需提前对设备行走、运输路线进行勘查，确保行走、运输过程中不会造成各种设施的破坏或二次事故。</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ascii="宋体" w:hAnsi="宋体" w:eastAsia="宋体"/>
          <w:sz w:val="24"/>
        </w:rPr>
      </w:pPr>
      <w:r>
        <w:rPr>
          <w:rFonts w:hint="eastAsia" w:ascii="宋体" w:hAnsi="宋体" w:eastAsia="宋体"/>
          <w:sz w:val="24"/>
        </w:rPr>
        <w:t>（二）严格执行国家、地方和行业主管部门关于施工的强制性标准、地方行政法规、管理要求。</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ascii="宋体" w:hAnsi="宋体" w:eastAsia="宋体"/>
          <w:sz w:val="24"/>
        </w:rPr>
      </w:pPr>
      <w:r>
        <w:rPr>
          <w:rFonts w:hint="eastAsia" w:ascii="宋体" w:hAnsi="宋体" w:eastAsia="宋体"/>
          <w:sz w:val="24"/>
        </w:rPr>
        <w:t>依法为施工现场作业的人员办理意外伤害保险、购买安全生产责任保险。</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ascii="宋体" w:hAnsi="宋体" w:eastAsia="宋体"/>
          <w:sz w:val="24"/>
        </w:rPr>
      </w:pPr>
      <w:r>
        <w:rPr>
          <w:rFonts w:hint="eastAsia" w:ascii="宋体" w:hAnsi="宋体" w:eastAsia="宋体"/>
          <w:sz w:val="24"/>
        </w:rPr>
        <w:t>（三）乙方应在合同签订后</w:t>
      </w:r>
      <w:r>
        <w:rPr>
          <w:rFonts w:ascii="宋体" w:hAnsi="宋体" w:eastAsia="宋体"/>
          <w:sz w:val="24"/>
          <w:u w:val="single"/>
        </w:rPr>
        <w:t xml:space="preserve">  </w:t>
      </w:r>
      <w:r>
        <w:rPr>
          <w:rFonts w:hint="eastAsia" w:ascii="宋体" w:hAnsi="宋体" w:eastAsia="宋体"/>
          <w:sz w:val="24"/>
          <w:u w:val="single"/>
          <w:lang w:val="en-US" w:eastAsia="zh-CN"/>
        </w:rPr>
        <w:t>30</w:t>
      </w:r>
      <w:r>
        <w:rPr>
          <w:rFonts w:ascii="宋体" w:hAnsi="宋体" w:eastAsia="宋体"/>
          <w:sz w:val="24"/>
          <w:u w:val="single"/>
        </w:rPr>
        <w:t xml:space="preserve">  </w:t>
      </w:r>
      <w:r>
        <w:rPr>
          <w:rFonts w:hint="eastAsia" w:ascii="宋体" w:hAnsi="宋体" w:eastAsia="宋体"/>
          <w:sz w:val="24"/>
        </w:rPr>
        <w:t>日内制定安全生产文明施工措施费投入使用计划，并提交甲方备案，保证施工安全措施投入。</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ascii="宋体" w:hAnsi="宋体" w:eastAsia="宋体"/>
          <w:sz w:val="24"/>
        </w:rPr>
      </w:pPr>
      <w:r>
        <w:rPr>
          <w:rFonts w:hint="eastAsia" w:ascii="宋体" w:hAnsi="宋体" w:eastAsia="宋体"/>
          <w:sz w:val="24"/>
        </w:rPr>
        <w:t>（四）严格按照甲方制定的《广州市净水有限公司工程项目安全管理规范》要求，落实各项安全管理工作。</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ascii="宋体" w:hAnsi="宋体" w:eastAsia="宋体"/>
          <w:sz w:val="24"/>
        </w:rPr>
      </w:pPr>
      <w:r>
        <w:rPr>
          <w:rFonts w:hint="eastAsia" w:ascii="宋体" w:hAnsi="宋体" w:eastAsia="宋体"/>
          <w:sz w:val="24"/>
        </w:rPr>
        <w:t>根据当前国家、行业或甲方近期安全管理的突出方面，或针对项目实际，有针对性地开展安全管理工作，接受甲方的安全管理评价。</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ascii="宋体" w:hAnsi="宋体" w:eastAsia="宋体"/>
          <w:sz w:val="24"/>
        </w:rPr>
      </w:pPr>
      <w:r>
        <w:rPr>
          <w:rFonts w:hint="eastAsia" w:ascii="宋体" w:hAnsi="宋体" w:eastAsia="宋体"/>
          <w:sz w:val="24"/>
        </w:rPr>
        <w:t>配合甲方的安全监督检查，并立即对提出的问题隐患进行整改。</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ascii="宋体" w:hAnsi="宋体" w:eastAsia="宋体"/>
          <w:sz w:val="24"/>
        </w:rPr>
      </w:pPr>
      <w:r>
        <w:rPr>
          <w:rFonts w:hint="eastAsia" w:ascii="宋体" w:hAnsi="宋体" w:eastAsia="宋体"/>
          <w:sz w:val="24"/>
        </w:rPr>
        <w:t>（五）落实人员实名制，在签订主合同前提供本项目全体人员已通过三级安全教育及职业健康体检的证明，确保全员没有职业病，禁止有职业禁忌证的人员从事禁忌证相关工作。</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ascii="宋体" w:hAnsi="宋体" w:eastAsia="宋体"/>
          <w:sz w:val="24"/>
        </w:rPr>
      </w:pPr>
      <w:r>
        <w:rPr>
          <w:rFonts w:hint="eastAsia" w:ascii="宋体" w:hAnsi="宋体" w:eastAsia="宋体"/>
          <w:sz w:val="24"/>
        </w:rPr>
        <w:t>乙方该项目的管理人员、作业人员（包括分包人员）每年由乙方单位依法开展安全生产教育培训，并保存好相关培训证明备查。</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ascii="宋体" w:hAnsi="宋体" w:eastAsia="宋体"/>
          <w:sz w:val="24"/>
        </w:rPr>
      </w:pPr>
      <w:r>
        <w:rPr>
          <w:rFonts w:hint="eastAsia" w:ascii="宋体" w:hAnsi="宋体" w:eastAsia="宋体"/>
          <w:sz w:val="24"/>
        </w:rPr>
        <w:t>施工过程中，项目管理人员、作业人员（包括分包人员）需进行调整的，必须书面向甲方请示，并获得甲方批准后方可执行变更。</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ascii="宋体" w:hAnsi="宋体" w:eastAsia="宋体"/>
          <w:sz w:val="24"/>
        </w:rPr>
      </w:pPr>
      <w:r>
        <w:rPr>
          <w:rFonts w:hint="eastAsia" w:ascii="宋体" w:hAnsi="宋体" w:eastAsia="宋体"/>
          <w:sz w:val="24"/>
        </w:rPr>
        <w:t>（六）建立应急管理体系，编制应急预案和现场处置方案，并定期组织开展应急演练。施工现场，乙方应根据施工方案在施工现场配置应急救援物资，并做好应急救援物资的定期检查，确保完好、有效。</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ascii="宋体" w:hAnsi="宋体" w:eastAsia="宋体"/>
          <w:sz w:val="24"/>
        </w:rPr>
      </w:pPr>
      <w:r>
        <w:rPr>
          <w:rFonts w:hint="eastAsia" w:ascii="宋体" w:hAnsi="宋体" w:eastAsia="宋体"/>
          <w:sz w:val="24"/>
        </w:rPr>
        <w:t>（七）发生突发事件时，应立即报甲方，并同时积极主动地开展应急救援，采取有效措施将事故影响控制在最小范围内。</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ascii="宋体" w:hAnsi="宋体" w:eastAsia="宋体"/>
          <w:sz w:val="24"/>
        </w:rPr>
      </w:pPr>
      <w:r>
        <w:rPr>
          <w:rFonts w:hint="eastAsia" w:ascii="宋体" w:hAnsi="宋体" w:eastAsia="宋体"/>
          <w:sz w:val="24"/>
        </w:rPr>
        <w:t>（八）严格履行本协议，遵守甲方各项管理规定，服从管理。</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ascii="宋体" w:hAnsi="宋体" w:eastAsia="宋体"/>
          <w:sz w:val="24"/>
        </w:rPr>
      </w:pPr>
      <w:r>
        <w:rPr>
          <w:rFonts w:hint="eastAsia" w:ascii="宋体" w:hAnsi="宋体" w:eastAsia="宋体"/>
          <w:sz w:val="24"/>
        </w:rPr>
        <w:t>（九）对甲方的违章指挥，拒绝执行，但需书面明确指出甲方所违反的具体法律法规、标准规范等。</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ascii="宋体" w:hAnsi="宋体" w:eastAsia="宋体"/>
          <w:sz w:val="24"/>
        </w:rPr>
      </w:pPr>
      <w:r>
        <w:rPr>
          <w:rFonts w:hint="eastAsia" w:ascii="宋体" w:hAnsi="宋体" w:eastAsia="宋体"/>
          <w:sz w:val="24"/>
        </w:rPr>
        <w:t>（十）乙方委托的第三方运输单位或个人，违反本协议的，全部责任均由乙方承担。</w:t>
      </w:r>
    </w:p>
    <w:p>
      <w:pPr>
        <w:keepNext w:val="0"/>
        <w:keepLines w:val="0"/>
        <w:pageBreakBefore w:val="0"/>
        <w:widowControl w:val="0"/>
        <w:kinsoku/>
        <w:wordWrap/>
        <w:overflowPunct/>
        <w:topLinePunct w:val="0"/>
        <w:autoSpaceDE/>
        <w:autoSpaceDN/>
        <w:bidi w:val="0"/>
        <w:adjustRightInd w:val="0"/>
        <w:snapToGrid w:val="0"/>
        <w:spacing w:line="520" w:lineRule="exact"/>
        <w:ind w:firstLine="482" w:firstLineChars="200"/>
        <w:jc w:val="left"/>
        <w:textAlignment w:val="auto"/>
        <w:rPr>
          <w:rFonts w:ascii="宋体" w:hAnsi="宋体" w:eastAsia="宋体"/>
          <w:b/>
          <w:sz w:val="24"/>
        </w:rPr>
      </w:pPr>
      <w:r>
        <w:rPr>
          <w:rFonts w:hint="eastAsia" w:ascii="宋体" w:hAnsi="宋体" w:eastAsia="宋体"/>
          <w:b/>
          <w:sz w:val="24"/>
        </w:rPr>
        <w:t>四、事故责任</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ascii="宋体" w:hAnsi="宋体" w:eastAsia="宋体"/>
          <w:sz w:val="24"/>
        </w:rPr>
      </w:pPr>
      <w:r>
        <w:rPr>
          <w:rFonts w:hint="eastAsia" w:ascii="宋体" w:hAnsi="宋体" w:eastAsia="宋体"/>
          <w:sz w:val="24"/>
        </w:rPr>
        <w:t>（一）在乙方承包范围内，由于乙方责任发生生产安全事故时，造成的甲方、乙方或者第三方人身伤害事故，乙方负全部责任。</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ascii="宋体" w:hAnsi="宋体" w:eastAsia="宋体"/>
          <w:sz w:val="24"/>
        </w:rPr>
      </w:pPr>
      <w:r>
        <w:rPr>
          <w:rFonts w:hint="eastAsia" w:ascii="宋体" w:hAnsi="宋体" w:eastAsia="宋体"/>
          <w:sz w:val="24"/>
        </w:rPr>
        <w:t>（二）乙方人员违规进入甲方或第三方承包区域，造成事故的，乙方负全部事故责任；乙方人员遭受人身伤害的，乙方负全部责任。</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ascii="宋体" w:hAnsi="宋体" w:eastAsia="宋体"/>
          <w:sz w:val="24"/>
        </w:rPr>
      </w:pPr>
      <w:r>
        <w:rPr>
          <w:rFonts w:hint="eastAsia" w:ascii="宋体" w:hAnsi="宋体" w:eastAsia="宋体"/>
          <w:sz w:val="24"/>
        </w:rPr>
        <w:t>（三）同一生产区域内有两家及以上承包单位的，发生生产安全事故，侵害方负全部责任；共同责任造成的，按事故原因划分责任，不能达成一致的，根据政府有关部门的责任划分承担相应的事故责任和经济责任。</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ascii="宋体" w:hAnsi="宋体" w:eastAsia="宋体"/>
          <w:sz w:val="24"/>
        </w:rPr>
      </w:pPr>
      <w:r>
        <w:rPr>
          <w:rFonts w:hint="eastAsia" w:ascii="宋体" w:hAnsi="宋体" w:eastAsia="宋体"/>
          <w:sz w:val="24"/>
        </w:rPr>
        <w:t>（四）乙方在甲方生产区域内发生生产安全事故后，必须在第一时间向甲方报告，迟报或者隐瞒不报生产安全事故，承担事故的全部责任。</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ascii="宋体" w:hAnsi="宋体" w:eastAsia="宋体"/>
          <w:sz w:val="24"/>
        </w:rPr>
      </w:pPr>
      <w:r>
        <w:rPr>
          <w:rFonts w:hint="eastAsia" w:ascii="宋体" w:hAnsi="宋体" w:eastAsia="宋体"/>
          <w:sz w:val="24"/>
        </w:rPr>
        <w:t>（五）乙方各类人员在甲方生产区域内发生人身伤害事故和其他事故，乙方应开展调查、处理、统计、上报并向甲方报告，配合甲方及有关部门开展事故调查。</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ascii="宋体" w:hAnsi="宋体" w:eastAsia="宋体"/>
          <w:sz w:val="24"/>
        </w:rPr>
      </w:pPr>
      <w:r>
        <w:rPr>
          <w:rFonts w:hint="eastAsia" w:ascii="宋体" w:hAnsi="宋体" w:eastAsia="宋体"/>
          <w:sz w:val="24"/>
        </w:rPr>
        <w:t>（六）乙方造成的事故或造成事故扩大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pPr>
        <w:pStyle w:val="37"/>
        <w:keepNext w:val="0"/>
        <w:keepLines w:val="0"/>
        <w:pageBreakBefore w:val="0"/>
        <w:widowControl w:val="0"/>
        <w:kinsoku/>
        <w:wordWrap/>
        <w:overflowPunct/>
        <w:topLinePunct w:val="0"/>
        <w:autoSpaceDE/>
        <w:autoSpaceDN/>
        <w:bidi w:val="0"/>
        <w:spacing w:line="520" w:lineRule="exact"/>
        <w:ind w:firstLine="482" w:firstLineChars="200"/>
        <w:textAlignment w:val="auto"/>
        <w:rPr>
          <w:rFonts w:ascii="宋体" w:hAnsi="宋体" w:eastAsia="宋体"/>
          <w:sz w:val="24"/>
        </w:rPr>
      </w:pPr>
      <w:r>
        <w:rPr>
          <w:rFonts w:hint="eastAsia" w:ascii="宋体" w:hAnsi="宋体" w:eastAsia="宋体"/>
          <w:b/>
          <w:sz w:val="24"/>
        </w:rPr>
        <w:t>五、补充条款：</w:t>
      </w:r>
      <w:r>
        <w:rPr>
          <w:rFonts w:ascii="宋体" w:hAnsi="宋体" w:eastAsia="宋体"/>
          <w:sz w:val="24"/>
          <w:u w:val="single"/>
        </w:rPr>
        <w:t xml:space="preserve">       </w:t>
      </w:r>
      <w:r>
        <w:rPr>
          <w:rFonts w:hint="eastAsia" w:ascii="宋体" w:hAnsi="宋体" w:eastAsia="宋体"/>
          <w:sz w:val="24"/>
          <w:u w:val="single"/>
          <w:lang w:val="en-US" w:eastAsia="zh-CN"/>
        </w:rPr>
        <w:t>/</w:t>
      </w:r>
      <w:r>
        <w:rPr>
          <w:rFonts w:ascii="宋体" w:hAnsi="宋体" w:eastAsia="宋体"/>
          <w:sz w:val="24"/>
          <w:u w:val="single"/>
        </w:rPr>
        <w:t xml:space="preserve">          </w:t>
      </w:r>
      <w:r>
        <w:rPr>
          <w:rFonts w:hint="eastAsia" w:ascii="宋体" w:hAnsi="宋体" w:eastAsia="宋体"/>
          <w:sz w:val="24"/>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482" w:firstLineChars="200"/>
        <w:jc w:val="left"/>
        <w:textAlignment w:val="auto"/>
        <w:rPr>
          <w:rFonts w:ascii="宋体" w:hAnsi="宋体" w:eastAsia="宋体"/>
          <w:b/>
          <w:sz w:val="24"/>
        </w:rPr>
      </w:pPr>
      <w:r>
        <w:rPr>
          <w:rFonts w:hint="eastAsia" w:ascii="宋体" w:hAnsi="宋体" w:eastAsia="宋体"/>
          <w:b/>
          <w:sz w:val="24"/>
        </w:rPr>
        <w:t>六、附则</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ascii="宋体" w:hAnsi="宋体" w:eastAsia="宋体"/>
          <w:sz w:val="24"/>
        </w:rPr>
      </w:pPr>
      <w:r>
        <w:rPr>
          <w:rFonts w:hint="eastAsia" w:ascii="宋体" w:hAnsi="宋体" w:eastAsia="宋体"/>
          <w:sz w:val="24"/>
        </w:rPr>
        <w:t>（一）本协议未尽事宜，依据有关法律、法规、规章处理。法律、法规、规章没有明确规定的，经双方协商处理解决。</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ascii="仿宋_GB2312" w:hAnsi="宋体" w:eastAsia="仿宋_GB2312"/>
          <w:sz w:val="24"/>
        </w:rPr>
      </w:pPr>
      <w:r>
        <w:rPr>
          <w:rFonts w:hint="eastAsia" w:ascii="宋体" w:hAnsi="宋体" w:eastAsia="宋体"/>
          <w:sz w:val="24"/>
        </w:rPr>
        <w:t>（二）本协议与主合同同时签订、同时终止、同时生效，具有相同的法律效力，自甲方、乙方双方签字、盖章生效，甲方、乙方双方执持数量与主合同一致。</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3"/>
        <w:gridCol w:w="44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73" w:type="dxa"/>
            <w:noWrap w:val="0"/>
            <w:vAlign w:val="top"/>
          </w:tcPr>
          <w:p>
            <w:pPr>
              <w:adjustRightInd w:val="0"/>
              <w:snapToGrid w:val="0"/>
              <w:spacing w:line="560" w:lineRule="exact"/>
              <w:rPr>
                <w:rFonts w:ascii="宋体" w:hAnsi="宋体" w:eastAsia="宋体"/>
                <w:sz w:val="24"/>
              </w:rPr>
            </w:pPr>
            <w:r>
              <w:rPr>
                <w:rFonts w:hint="eastAsia" w:ascii="宋体" w:hAnsi="宋体" w:eastAsia="宋体"/>
                <w:sz w:val="24"/>
              </w:rPr>
              <w:t>甲方：</w:t>
            </w:r>
          </w:p>
          <w:p>
            <w:pPr>
              <w:adjustRightInd w:val="0"/>
              <w:snapToGrid w:val="0"/>
              <w:spacing w:line="560" w:lineRule="exact"/>
              <w:rPr>
                <w:rFonts w:ascii="宋体" w:hAnsi="宋体" w:eastAsia="宋体"/>
                <w:sz w:val="24"/>
              </w:rPr>
            </w:pPr>
            <w:r>
              <w:rPr>
                <w:rFonts w:hint="eastAsia" w:ascii="宋体" w:hAnsi="宋体" w:eastAsia="宋体"/>
                <w:sz w:val="24"/>
              </w:rPr>
              <w:t>签约代表：</w:t>
            </w:r>
          </w:p>
          <w:p>
            <w:pPr>
              <w:adjustRightInd w:val="0"/>
              <w:snapToGrid w:val="0"/>
              <w:spacing w:line="560" w:lineRule="exact"/>
              <w:rPr>
                <w:rFonts w:ascii="宋体" w:hAnsi="宋体" w:eastAsia="宋体"/>
                <w:sz w:val="24"/>
              </w:rPr>
            </w:pPr>
            <w:r>
              <w:rPr>
                <w:rFonts w:hint="eastAsia" w:ascii="宋体" w:hAnsi="宋体" w:eastAsia="宋体"/>
                <w:sz w:val="24"/>
              </w:rPr>
              <w:t>联系电话：</w:t>
            </w:r>
          </w:p>
          <w:p>
            <w:pPr>
              <w:adjustRightInd w:val="0"/>
              <w:snapToGrid w:val="0"/>
              <w:spacing w:line="560" w:lineRule="exact"/>
              <w:ind w:firstLine="240" w:firstLineChars="100"/>
              <w:jc w:val="right"/>
              <w:rPr>
                <w:rFonts w:ascii="宋体" w:hAnsi="宋体" w:eastAsia="宋体"/>
                <w:sz w:val="24"/>
              </w:rPr>
            </w:pPr>
            <w:r>
              <w:rPr>
                <w:rFonts w:hint="eastAsia" w:ascii="宋体" w:hAnsi="宋体" w:eastAsia="宋体"/>
                <w:sz w:val="24"/>
              </w:rPr>
              <w:t>年</w:t>
            </w:r>
            <w:r>
              <w:rPr>
                <w:rFonts w:ascii="宋体" w:hAnsi="宋体" w:eastAsia="宋体"/>
                <w:sz w:val="24"/>
              </w:rPr>
              <w:t xml:space="preserve">    </w:t>
            </w:r>
            <w:r>
              <w:rPr>
                <w:rFonts w:hint="eastAsia" w:ascii="宋体" w:hAnsi="宋体" w:eastAsia="宋体"/>
                <w:sz w:val="24"/>
              </w:rPr>
              <w:t>月</w:t>
            </w:r>
            <w:r>
              <w:rPr>
                <w:rFonts w:ascii="宋体" w:hAnsi="宋体" w:eastAsia="宋体"/>
                <w:sz w:val="24"/>
              </w:rPr>
              <w:t xml:space="preserve">    </w:t>
            </w:r>
            <w:r>
              <w:rPr>
                <w:rFonts w:hint="eastAsia" w:ascii="宋体" w:hAnsi="宋体" w:eastAsia="宋体"/>
                <w:sz w:val="24"/>
              </w:rPr>
              <w:t>日</w:t>
            </w:r>
          </w:p>
        </w:tc>
        <w:tc>
          <w:tcPr>
            <w:tcW w:w="4474" w:type="dxa"/>
            <w:noWrap w:val="0"/>
            <w:vAlign w:val="top"/>
          </w:tcPr>
          <w:p>
            <w:pPr>
              <w:adjustRightInd w:val="0"/>
              <w:snapToGrid w:val="0"/>
              <w:spacing w:line="560" w:lineRule="exact"/>
              <w:rPr>
                <w:rFonts w:ascii="宋体" w:hAnsi="宋体" w:eastAsia="宋体"/>
                <w:sz w:val="24"/>
              </w:rPr>
            </w:pPr>
            <w:r>
              <w:rPr>
                <w:rFonts w:hint="eastAsia" w:ascii="宋体" w:hAnsi="宋体" w:eastAsia="宋体"/>
                <w:sz w:val="24"/>
              </w:rPr>
              <w:t>乙方：</w:t>
            </w:r>
          </w:p>
          <w:p>
            <w:pPr>
              <w:adjustRightInd w:val="0"/>
              <w:snapToGrid w:val="0"/>
              <w:spacing w:line="560" w:lineRule="exact"/>
              <w:rPr>
                <w:rFonts w:ascii="宋体" w:hAnsi="宋体" w:eastAsia="宋体"/>
                <w:sz w:val="24"/>
              </w:rPr>
            </w:pPr>
            <w:r>
              <w:rPr>
                <w:rFonts w:hint="eastAsia" w:ascii="宋体" w:hAnsi="宋体" w:eastAsia="宋体"/>
                <w:sz w:val="24"/>
              </w:rPr>
              <w:t>签约代表：</w:t>
            </w:r>
          </w:p>
          <w:p>
            <w:pPr>
              <w:adjustRightInd w:val="0"/>
              <w:snapToGrid w:val="0"/>
              <w:spacing w:line="560" w:lineRule="exact"/>
              <w:rPr>
                <w:rFonts w:ascii="宋体" w:hAnsi="宋体" w:eastAsia="宋体"/>
                <w:sz w:val="24"/>
              </w:rPr>
            </w:pPr>
            <w:r>
              <w:rPr>
                <w:rFonts w:hint="eastAsia" w:ascii="宋体" w:hAnsi="宋体" w:eastAsia="宋体"/>
                <w:sz w:val="24"/>
              </w:rPr>
              <w:t>联系电话：</w:t>
            </w:r>
          </w:p>
          <w:p>
            <w:pPr>
              <w:adjustRightInd w:val="0"/>
              <w:snapToGrid w:val="0"/>
              <w:spacing w:line="560" w:lineRule="exact"/>
              <w:jc w:val="right"/>
              <w:rPr>
                <w:rFonts w:ascii="宋体" w:hAnsi="宋体" w:eastAsia="宋体"/>
                <w:sz w:val="24"/>
              </w:rPr>
            </w:pPr>
            <w:r>
              <w:rPr>
                <w:rFonts w:hint="eastAsia" w:ascii="宋体" w:hAnsi="宋体" w:eastAsia="宋体"/>
                <w:sz w:val="24"/>
              </w:rPr>
              <w:t>年</w:t>
            </w:r>
            <w:r>
              <w:rPr>
                <w:rFonts w:ascii="宋体" w:hAnsi="宋体" w:eastAsia="宋体"/>
                <w:sz w:val="24"/>
              </w:rPr>
              <w:t xml:space="preserve">    </w:t>
            </w:r>
            <w:r>
              <w:rPr>
                <w:rFonts w:hint="eastAsia" w:ascii="宋体" w:hAnsi="宋体" w:eastAsia="宋体"/>
                <w:sz w:val="24"/>
              </w:rPr>
              <w:t>月</w:t>
            </w:r>
            <w:r>
              <w:rPr>
                <w:rFonts w:ascii="宋体" w:hAnsi="宋体" w:eastAsia="宋体"/>
                <w:sz w:val="24"/>
              </w:rPr>
              <w:t xml:space="preserve">    </w:t>
            </w:r>
            <w:r>
              <w:rPr>
                <w:rFonts w:hint="eastAsia" w:ascii="宋体" w:hAnsi="宋体" w:eastAsia="宋体"/>
                <w:sz w:val="24"/>
              </w:rPr>
              <w:t>日</w:t>
            </w:r>
          </w:p>
        </w:tc>
      </w:tr>
    </w:tbl>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11"/>
      </w:pPr>
    </w:p>
    <w:p>
      <w:pPr>
        <w:spacing w:line="360" w:lineRule="auto"/>
        <w:rPr>
          <w:rFonts w:hint="eastAsia" w:ascii="宋体" w:hAnsi="宋体" w:cs="宋体"/>
          <w:b/>
          <w:bCs/>
          <w:color w:val="auto"/>
          <w:szCs w:val="21"/>
          <w:highlight w:val="none"/>
        </w:rPr>
      </w:pPr>
      <w:r>
        <w:rPr>
          <w:rFonts w:hint="eastAsia" w:ascii="宋体" w:hAnsi="宋体" w:cs="宋体"/>
          <w:b/>
          <w:bCs/>
          <w:color w:val="auto"/>
          <w:szCs w:val="21"/>
          <w:highlight w:val="none"/>
        </w:rPr>
        <w:t>附件</w:t>
      </w:r>
      <w:r>
        <w:rPr>
          <w:rFonts w:hint="eastAsia" w:ascii="宋体" w:hAnsi="宋体" w:cs="宋体"/>
          <w:b/>
          <w:bCs/>
          <w:color w:val="auto"/>
          <w:szCs w:val="21"/>
          <w:highlight w:val="none"/>
          <w:lang w:val="en-US" w:eastAsia="zh-CN"/>
        </w:rPr>
        <w:t>5</w:t>
      </w:r>
      <w:r>
        <w:rPr>
          <w:rFonts w:hint="eastAsia" w:ascii="宋体" w:hAnsi="宋体" w:cs="宋体"/>
          <w:b/>
          <w:bCs/>
          <w:color w:val="auto"/>
          <w:szCs w:val="21"/>
          <w:highlight w:val="none"/>
        </w:rPr>
        <w:t>：</w:t>
      </w:r>
    </w:p>
    <w:p>
      <w:pPr>
        <w:spacing w:line="360" w:lineRule="auto"/>
        <w:rPr>
          <w:rFonts w:hint="default" w:ascii="宋体" w:hAnsi="宋体" w:cs="宋体" w:eastAsiaTheme="minorEastAsia"/>
          <w:b/>
          <w:bCs/>
          <w:color w:val="auto"/>
          <w:szCs w:val="21"/>
          <w:highlight w:val="none"/>
          <w:lang w:val="en-US" w:eastAsia="zh-CN"/>
        </w:rPr>
      </w:pPr>
      <w:r>
        <w:rPr>
          <w:rFonts w:hint="eastAsia" w:ascii="宋体" w:hAnsi="宋体" w:cs="宋体"/>
          <w:b/>
          <w:bCs/>
          <w:color w:val="auto"/>
          <w:szCs w:val="21"/>
          <w:highlight w:val="none"/>
          <w:lang w:val="en-US" w:eastAsia="zh-CN"/>
        </w:rPr>
        <w:t>报价清单详见响应文件5.报价表</w:t>
      </w:r>
    </w:p>
    <w:p>
      <w:pPr>
        <w:pStyle w:val="2"/>
        <w:rPr>
          <w:rFonts w:ascii="宋体" w:hAnsi="宋体" w:cs="宋体"/>
          <w:b/>
          <w:bCs/>
          <w:color w:val="auto"/>
          <w:szCs w:val="21"/>
          <w:highlight w:val="none"/>
        </w:rPr>
      </w:pPr>
    </w:p>
    <w:p>
      <w:pPr>
        <w:spacing w:line="360" w:lineRule="auto"/>
        <w:rPr>
          <w:rFonts w:hint="eastAsia" w:ascii="宋体" w:hAnsi="宋体" w:cs="宋体"/>
          <w:b/>
          <w:bCs/>
          <w:color w:val="auto"/>
          <w:szCs w:val="21"/>
          <w:highlight w:val="none"/>
        </w:rPr>
      </w:pPr>
      <w:r>
        <w:rPr>
          <w:rFonts w:hint="eastAsia" w:ascii="宋体" w:hAnsi="宋体" w:cs="宋体"/>
          <w:b/>
          <w:bCs/>
          <w:color w:val="auto"/>
          <w:szCs w:val="21"/>
          <w:highlight w:val="none"/>
        </w:rPr>
        <w:t>附件</w:t>
      </w:r>
      <w:r>
        <w:rPr>
          <w:rFonts w:hint="eastAsia" w:ascii="宋体" w:hAnsi="宋体" w:cs="宋体"/>
          <w:b/>
          <w:bCs/>
          <w:color w:val="auto"/>
          <w:szCs w:val="21"/>
          <w:highlight w:val="none"/>
          <w:lang w:val="en-US" w:eastAsia="zh-CN"/>
        </w:rPr>
        <w:t>6</w:t>
      </w:r>
      <w:r>
        <w:rPr>
          <w:rFonts w:hint="eastAsia" w:ascii="宋体" w:hAnsi="宋体" w:cs="宋体"/>
          <w:b/>
          <w:bCs/>
          <w:color w:val="auto"/>
          <w:szCs w:val="21"/>
          <w:highlight w:val="none"/>
        </w:rPr>
        <w:t xml:space="preserve"> ：项目投入人员架构表</w:t>
      </w:r>
    </w:p>
    <w:tbl>
      <w:tblPr>
        <w:tblStyle w:val="24"/>
        <w:tblW w:w="9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5"/>
        <w:gridCol w:w="1005"/>
        <w:gridCol w:w="855"/>
        <w:gridCol w:w="2370"/>
        <w:gridCol w:w="2573"/>
        <w:gridCol w:w="1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r>
              <w:rPr>
                <w:rFonts w:hint="eastAsia" w:ascii="宋体" w:hAnsi="宋体" w:cs="宋体"/>
                <w:sz w:val="24"/>
                <w:szCs w:val="24"/>
                <w:highlight w:val="none"/>
              </w:rPr>
              <w:t>岗位</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r>
              <w:rPr>
                <w:rFonts w:hint="eastAsia" w:ascii="宋体" w:hAnsi="宋体" w:cs="宋体"/>
                <w:sz w:val="24"/>
                <w:szCs w:val="24"/>
                <w:highlight w:val="none"/>
              </w:rPr>
              <w:t>姓名</w:t>
            </w: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r>
              <w:rPr>
                <w:rFonts w:hint="eastAsia" w:ascii="宋体" w:hAnsi="宋体" w:cs="宋体"/>
                <w:sz w:val="24"/>
                <w:szCs w:val="24"/>
                <w:highlight w:val="none"/>
              </w:rPr>
              <w:t>性别</w:t>
            </w: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r>
              <w:rPr>
                <w:rFonts w:hint="eastAsia" w:ascii="宋体" w:hAnsi="宋体" w:cs="宋体"/>
                <w:sz w:val="24"/>
                <w:szCs w:val="24"/>
                <w:highlight w:val="none"/>
              </w:rPr>
              <w:t>身份证号</w:t>
            </w: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r>
              <w:rPr>
                <w:rFonts w:hint="eastAsia" w:ascii="宋体" w:hAnsi="宋体" w:cs="宋体"/>
                <w:sz w:val="24"/>
                <w:szCs w:val="24"/>
                <w:highlight w:val="none"/>
              </w:rPr>
              <w:t>执业或职业资格证明</w:t>
            </w: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r>
              <w:rPr>
                <w:rFonts w:hint="eastAsia" w:ascii="宋体" w:hAnsi="宋体" w:cs="宋体"/>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r>
              <w:rPr>
                <w:rFonts w:hint="eastAsia" w:ascii="宋体" w:hAnsi="宋体" w:cs="宋体"/>
                <w:sz w:val="24"/>
                <w:szCs w:val="24"/>
                <w:highlight w:val="none"/>
              </w:rPr>
              <w:t>项目负责人</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r>
              <w:rPr>
                <w:rFonts w:hint="eastAsia" w:ascii="宋体" w:hAnsi="宋体" w:cs="宋体"/>
                <w:sz w:val="24"/>
                <w:szCs w:val="24"/>
                <w:highlight w:val="none"/>
              </w:rPr>
              <w:t>安全员</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r>
              <w:rPr>
                <w:rFonts w:hint="eastAsia" w:ascii="宋体" w:hAnsi="宋体" w:cs="宋体"/>
                <w:sz w:val="24"/>
                <w:szCs w:val="24"/>
                <w:highlight w:val="none"/>
              </w:rPr>
              <w:t>技术负责人</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r>
              <w:rPr>
                <w:rFonts w:hint="eastAsia" w:ascii="宋体" w:hAnsi="宋体" w:cs="宋体"/>
                <w:sz w:val="24"/>
                <w:szCs w:val="24"/>
                <w:highlight w:val="none"/>
              </w:rPr>
              <w:t>电工</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r>
              <w:rPr>
                <w:rFonts w:hint="eastAsia" w:ascii="宋体" w:hAnsi="宋体" w:cs="宋体"/>
                <w:sz w:val="24"/>
                <w:szCs w:val="24"/>
                <w:highlight w:val="none"/>
              </w:rPr>
              <w:t>焊工</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r>
              <w:rPr>
                <w:rFonts w:hint="eastAsia" w:ascii="宋体" w:hAnsi="宋体" w:cs="宋体"/>
                <w:sz w:val="24"/>
                <w:szCs w:val="24"/>
                <w:highlight w:val="none"/>
              </w:rPr>
              <w:t>普工</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highlight w:val="none"/>
              </w:rPr>
            </w:pPr>
          </w:p>
        </w:tc>
      </w:tr>
    </w:tbl>
    <w:p>
      <w:pPr>
        <w:pStyle w:val="11"/>
        <w:rPr>
          <w:rFonts w:hint="eastAsia"/>
        </w:rPr>
      </w:pPr>
    </w:p>
    <w:p>
      <w:pPr>
        <w:spacing w:line="360" w:lineRule="auto"/>
        <w:rPr>
          <w:rFonts w:ascii="宋体" w:hAnsi="宋体" w:cs="宋体"/>
          <w:b/>
          <w:bCs/>
          <w:szCs w:val="21"/>
        </w:rPr>
      </w:pPr>
      <w:r>
        <w:rPr>
          <w:rFonts w:hint="eastAsia" w:ascii="宋体" w:hAnsi="宋体" w:cs="宋体"/>
          <w:b/>
          <w:bCs/>
          <w:szCs w:val="21"/>
        </w:rPr>
        <w:t>附件</w:t>
      </w:r>
      <w:r>
        <w:rPr>
          <w:rFonts w:hint="eastAsia" w:ascii="宋体" w:hAnsi="宋体" w:cs="宋体"/>
          <w:b/>
          <w:bCs/>
          <w:szCs w:val="21"/>
          <w:lang w:val="en-US" w:eastAsia="zh-CN"/>
        </w:rPr>
        <w:t>7</w:t>
      </w:r>
      <w:r>
        <w:rPr>
          <w:rFonts w:hint="eastAsia" w:ascii="宋体" w:hAnsi="宋体" w:cs="宋体"/>
          <w:b/>
          <w:bCs/>
          <w:szCs w:val="21"/>
        </w:rPr>
        <w:t>：履约保函（模板）</w:t>
      </w:r>
    </w:p>
    <w:p>
      <w:pPr>
        <w:jc w:val="center"/>
        <w:rPr>
          <w:rFonts w:ascii="宋体" w:hAnsi="宋体" w:eastAsia="宋体"/>
          <w:b/>
          <w:sz w:val="24"/>
        </w:rPr>
      </w:pPr>
      <w:r>
        <w:rPr>
          <w:rFonts w:hint="eastAsia" w:ascii="宋体" w:hAnsi="宋体" w:eastAsia="宋体"/>
          <w:b/>
          <w:sz w:val="24"/>
        </w:rPr>
        <w:t>履约保函模板</w:t>
      </w:r>
    </w:p>
    <w:p>
      <w:pPr>
        <w:rPr>
          <w:rFonts w:ascii="宋体" w:hAnsi="宋体" w:eastAsia="宋体"/>
          <w:sz w:val="24"/>
        </w:rPr>
      </w:pPr>
    </w:p>
    <w:p>
      <w:pPr>
        <w:rPr>
          <w:rFonts w:ascii="宋体" w:hAnsi="宋体" w:eastAsia="宋体"/>
          <w:sz w:val="24"/>
        </w:rPr>
      </w:pPr>
      <w:r>
        <w:rPr>
          <w:rFonts w:hint="eastAsia" w:ascii="宋体" w:hAnsi="宋体" w:eastAsia="宋体"/>
          <w:sz w:val="24"/>
        </w:rPr>
        <w:t>致：</w:t>
      </w:r>
      <w:r>
        <w:rPr>
          <w:rFonts w:hint="eastAsia" w:ascii="宋体" w:hAnsi="宋体" w:eastAsia="宋体"/>
          <w:sz w:val="24"/>
          <w:u w:val="single"/>
        </w:rPr>
        <w:t xml:space="preserve">               （受益人）</w:t>
      </w:r>
      <w:r>
        <w:rPr>
          <w:rFonts w:ascii="宋体" w:hAnsi="宋体" w:eastAsia="宋体"/>
          <w:sz w:val="24"/>
        </w:rPr>
        <w:br w:type="textWrapping"/>
      </w:r>
    </w:p>
    <w:p>
      <w:pPr>
        <w:ind w:firstLine="420"/>
        <w:rPr>
          <w:rFonts w:ascii="宋体" w:hAnsi="宋体" w:eastAsia="宋体"/>
          <w:sz w:val="24"/>
        </w:rPr>
      </w:pPr>
      <w:r>
        <w:rPr>
          <w:rFonts w:hint="eastAsia" w:ascii="宋体" w:hAnsi="宋体" w:eastAsia="宋体"/>
          <w:sz w:val="24"/>
        </w:rPr>
        <w:t>鉴于（以下简称“委托人”）与贵方于</w:t>
      </w:r>
      <w:r>
        <w:rPr>
          <w:rFonts w:hint="eastAsia" w:ascii="宋体" w:hAnsi="宋体" w:eastAsia="宋体"/>
          <w:sz w:val="24"/>
          <w:u w:val="single"/>
        </w:rPr>
        <w:t xml:space="preserve">   年  月  日</w:t>
      </w:r>
      <w:r>
        <w:rPr>
          <w:rFonts w:hint="eastAsia" w:ascii="宋体" w:hAnsi="宋体" w:eastAsia="宋体"/>
          <w:sz w:val="24"/>
        </w:rPr>
        <w:t>签订了（以下简称“合同”），我行同意为委托人出具履约保函，作为委托人履行合同义务的担保，以使你方得到履约保函的保障。本保函为不可撤销，见索即付的独立保函。</w:t>
      </w:r>
    </w:p>
    <w:p>
      <w:pPr>
        <w:ind w:firstLine="420"/>
        <w:rPr>
          <w:rFonts w:ascii="宋体" w:hAnsi="宋体" w:eastAsia="宋体"/>
          <w:sz w:val="24"/>
        </w:rPr>
      </w:pPr>
      <w:r>
        <w:rPr>
          <w:rFonts w:hint="eastAsia" w:ascii="宋体" w:hAnsi="宋体" w:eastAsia="宋体"/>
          <w:sz w:val="24"/>
        </w:rPr>
        <w:t>一、我行保证在收到贵单位于保函有效期内送达的依本保函约定的索赔申请后，在个工作日内无条件和不可改变地向贵单位支付最高金额不超过人民币元（大写： ）的履约保证金，并放弃向你方提出任何异议和追索的权利。</w:t>
      </w:r>
    </w:p>
    <w:p>
      <w:pPr>
        <w:ind w:firstLine="420"/>
        <w:rPr>
          <w:rFonts w:ascii="宋体" w:hAnsi="宋体" w:eastAsia="宋体"/>
          <w:sz w:val="24"/>
        </w:rPr>
      </w:pPr>
      <w:r>
        <w:rPr>
          <w:rFonts w:hint="eastAsia" w:ascii="宋体" w:hAnsi="宋体" w:eastAsia="宋体"/>
          <w:sz w:val="24"/>
        </w:rPr>
        <w:t>二、贵单位的索赔申请应符合下述条件：</w:t>
      </w:r>
    </w:p>
    <w:p>
      <w:pPr>
        <w:ind w:firstLine="420"/>
        <w:rPr>
          <w:rFonts w:ascii="宋体" w:hAnsi="宋体" w:eastAsia="宋体"/>
          <w:sz w:val="24"/>
        </w:rPr>
      </w:pPr>
      <w:r>
        <w:rPr>
          <w:rFonts w:hint="eastAsia" w:ascii="宋体" w:hAnsi="宋体" w:eastAsia="宋体"/>
          <w:sz w:val="24"/>
        </w:rPr>
        <w:t>（一）贵单位法定代表人或其授权代表签字并加盖单位公章；</w:t>
      </w:r>
    </w:p>
    <w:p>
      <w:pPr>
        <w:ind w:firstLine="420"/>
        <w:rPr>
          <w:rFonts w:ascii="宋体" w:hAnsi="宋体" w:eastAsia="宋体"/>
          <w:sz w:val="24"/>
        </w:rPr>
      </w:pPr>
      <w:r>
        <w:rPr>
          <w:rFonts w:hint="eastAsia" w:ascii="宋体" w:hAnsi="宋体" w:eastAsia="宋体"/>
          <w:sz w:val="24"/>
        </w:rPr>
        <w:t>（二）在保函有效期内送达我行；</w:t>
      </w:r>
    </w:p>
    <w:p>
      <w:pPr>
        <w:ind w:firstLine="420"/>
        <w:rPr>
          <w:rFonts w:ascii="宋体" w:hAnsi="宋体" w:eastAsia="宋体"/>
          <w:sz w:val="24"/>
        </w:rPr>
      </w:pPr>
      <w:r>
        <w:rPr>
          <w:rFonts w:hint="eastAsia" w:ascii="宋体" w:hAnsi="宋体" w:eastAsia="宋体"/>
          <w:sz w:val="24"/>
        </w:rPr>
        <w:t>（三）明确的索赔金额（不得超过本保函第一条所列之限额）。</w:t>
      </w:r>
    </w:p>
    <w:p>
      <w:pPr>
        <w:ind w:firstLine="420"/>
        <w:rPr>
          <w:rFonts w:ascii="宋体" w:hAnsi="宋体" w:eastAsia="宋体"/>
          <w:sz w:val="24"/>
        </w:rPr>
      </w:pPr>
      <w:r>
        <w:rPr>
          <w:rFonts w:hint="eastAsia" w:ascii="宋体" w:hAnsi="宋体" w:eastAsia="宋体"/>
          <w:sz w:val="24"/>
        </w:rPr>
        <w:t>三、本保函自签发之日起生效，有效期至</w:t>
      </w:r>
      <w:r>
        <w:rPr>
          <w:rFonts w:hint="eastAsia" w:ascii="宋体" w:hAnsi="宋体" w:eastAsia="宋体"/>
          <w:sz w:val="24"/>
          <w:u w:val="single"/>
        </w:rPr>
        <w:t xml:space="preserve">  年  月  日</w:t>
      </w:r>
      <w:r>
        <w:rPr>
          <w:rFonts w:hint="eastAsia" w:ascii="宋体" w:hAnsi="宋体" w:eastAsia="宋体"/>
          <w:sz w:val="24"/>
        </w:rPr>
        <w:t>。本保函于下述任一事项发生之时立即失效，我行在本保函项下的保证义务即刻解除：</w:t>
      </w:r>
    </w:p>
    <w:p>
      <w:pPr>
        <w:ind w:firstLine="420"/>
        <w:rPr>
          <w:rFonts w:ascii="宋体" w:hAnsi="宋体" w:eastAsia="宋体"/>
          <w:sz w:val="24"/>
        </w:rPr>
      </w:pPr>
      <w:r>
        <w:rPr>
          <w:rFonts w:hint="eastAsia" w:ascii="宋体" w:hAnsi="宋体" w:eastAsia="宋体"/>
          <w:sz w:val="24"/>
        </w:rPr>
        <w:t>（一）本保函有效期限届满；</w:t>
      </w:r>
    </w:p>
    <w:p>
      <w:pPr>
        <w:ind w:firstLine="420"/>
        <w:rPr>
          <w:rFonts w:ascii="宋体" w:hAnsi="宋体" w:eastAsia="宋体"/>
          <w:sz w:val="24"/>
        </w:rPr>
      </w:pPr>
      <w:r>
        <w:rPr>
          <w:rFonts w:hint="eastAsia" w:ascii="宋体" w:hAnsi="宋体" w:eastAsia="宋体"/>
          <w:sz w:val="24"/>
        </w:rPr>
        <w:t>（二）我行保证的义务履行完毕。</w:t>
      </w:r>
    </w:p>
    <w:p>
      <w:pPr>
        <w:ind w:firstLine="420"/>
        <w:rPr>
          <w:rFonts w:ascii="宋体" w:hAnsi="宋体" w:eastAsia="宋体"/>
          <w:sz w:val="24"/>
        </w:rPr>
      </w:pPr>
      <w:r>
        <w:rPr>
          <w:rFonts w:hint="eastAsia" w:ascii="宋体" w:hAnsi="宋体" w:eastAsia="宋体"/>
          <w:sz w:val="24"/>
        </w:rPr>
        <w:t>四、我方受本保函制约的责任是延续的、独立的和无条件的，上述合同的任何修改、变更、解释、不可执行或委托人在合同项下对你方的任何抗辩都不能削弱或影响我行按本保函应承担的责任。</w:t>
      </w:r>
    </w:p>
    <w:p>
      <w:pPr>
        <w:ind w:firstLine="420"/>
        <w:rPr>
          <w:rFonts w:ascii="宋体" w:hAnsi="宋体" w:eastAsia="宋体"/>
          <w:sz w:val="24"/>
        </w:rPr>
      </w:pPr>
      <w:r>
        <w:rPr>
          <w:rFonts w:hint="eastAsia" w:ascii="宋体" w:hAnsi="宋体" w:eastAsia="宋体"/>
          <w:sz w:val="24"/>
        </w:rPr>
        <w:t>五、我行向你方支付索赔金额后，本保函担保金额即按贵方通知的索赔金额予以递减。</w:t>
      </w:r>
    </w:p>
    <w:p>
      <w:pPr>
        <w:ind w:firstLine="420"/>
        <w:rPr>
          <w:rFonts w:ascii="宋体" w:hAnsi="宋体" w:eastAsia="宋体"/>
          <w:sz w:val="24"/>
        </w:rPr>
      </w:pPr>
      <w:r>
        <w:rPr>
          <w:rFonts w:hint="eastAsia" w:ascii="宋体" w:hAnsi="宋体" w:eastAsia="宋体"/>
          <w:sz w:val="24"/>
        </w:rPr>
        <w:t>六、保函失效后请将保函退回我行注销，无论正本最终退回与否，不影响本保函依上述约定自动失效。</w:t>
      </w:r>
    </w:p>
    <w:p>
      <w:pPr>
        <w:ind w:firstLine="420"/>
        <w:rPr>
          <w:rFonts w:ascii="宋体" w:hAnsi="宋体" w:eastAsia="宋体"/>
          <w:sz w:val="24"/>
        </w:rPr>
      </w:pPr>
    </w:p>
    <w:p>
      <w:pPr>
        <w:ind w:firstLine="420"/>
        <w:rPr>
          <w:rFonts w:ascii="宋体" w:hAnsi="宋体" w:eastAsia="宋体"/>
          <w:sz w:val="24"/>
        </w:rPr>
      </w:pPr>
    </w:p>
    <w:p>
      <w:pPr>
        <w:ind w:firstLine="420"/>
        <w:rPr>
          <w:rFonts w:ascii="宋体" w:hAnsi="宋体" w:eastAsia="宋体"/>
          <w:sz w:val="24"/>
        </w:rPr>
      </w:pPr>
      <w:r>
        <w:rPr>
          <w:rFonts w:hint="eastAsia" w:ascii="宋体" w:hAnsi="宋体" w:eastAsia="宋体"/>
          <w:sz w:val="24"/>
        </w:rPr>
        <w:t xml:space="preserve">                                                   落款</w:t>
      </w:r>
    </w:p>
    <w:p>
      <w:pPr>
        <w:ind w:firstLine="420"/>
        <w:rPr>
          <w:rFonts w:ascii="宋体" w:hAnsi="宋体" w:eastAsia="宋体"/>
          <w:sz w:val="24"/>
        </w:rPr>
      </w:pPr>
    </w:p>
    <w:p>
      <w:pPr>
        <w:ind w:firstLine="645"/>
        <w:rPr>
          <w:rFonts w:ascii="宋体" w:hAnsi="宋体" w:eastAsia="宋体"/>
          <w:sz w:val="24"/>
        </w:rPr>
      </w:pPr>
      <w:r>
        <w:rPr>
          <w:rFonts w:hint="eastAsia" w:ascii="宋体" w:hAnsi="宋体" w:eastAsia="宋体"/>
          <w:sz w:val="24"/>
        </w:rPr>
        <w:t>保函说明：</w:t>
      </w:r>
    </w:p>
    <w:p>
      <w:pPr>
        <w:ind w:firstLine="645"/>
        <w:rPr>
          <w:rFonts w:ascii="宋体" w:hAnsi="宋体" w:eastAsia="宋体" w:cs="仿宋_GB2312"/>
          <w:sz w:val="24"/>
        </w:rPr>
      </w:pPr>
      <w:r>
        <w:rPr>
          <w:rFonts w:hint="eastAsia" w:ascii="宋体" w:hAnsi="宋体" w:eastAsia="宋体" w:cs="仿宋_GB2312"/>
          <w:sz w:val="24"/>
        </w:rPr>
        <w:t>保函不得有下列或类似含义的表述：</w:t>
      </w:r>
    </w:p>
    <w:p>
      <w:pPr>
        <w:ind w:firstLine="645"/>
        <w:rPr>
          <w:rFonts w:ascii="宋体" w:hAnsi="宋体" w:eastAsia="宋体" w:cs="仿宋_GB2312"/>
          <w:sz w:val="24"/>
        </w:rPr>
      </w:pPr>
      <w:r>
        <w:rPr>
          <w:rFonts w:hint="eastAsia" w:ascii="宋体" w:hAnsi="宋体" w:eastAsia="宋体" w:cs="仿宋_GB2312"/>
          <w:sz w:val="24"/>
        </w:rPr>
        <w:t>1.银行承担的为连带责任保证、一般保证。</w:t>
      </w:r>
    </w:p>
    <w:p>
      <w:pPr>
        <w:ind w:firstLine="645"/>
        <w:rPr>
          <w:rFonts w:ascii="宋体" w:hAnsi="宋体" w:eastAsia="宋体" w:cs="仿宋_GB2312"/>
          <w:sz w:val="24"/>
        </w:rPr>
      </w:pPr>
      <w:r>
        <w:rPr>
          <w:rFonts w:hint="eastAsia" w:ascii="宋体" w:hAnsi="宋体" w:eastAsia="宋体" w:cs="仿宋_GB2312"/>
          <w:sz w:val="24"/>
        </w:rPr>
        <w:t>2.未经银行书面同意，受益人与申请人修改合同或其项下附件时，银行的保证义务解除。</w:t>
      </w:r>
    </w:p>
    <w:p>
      <w:pPr>
        <w:ind w:firstLine="645"/>
        <w:rPr>
          <w:rFonts w:ascii="宋体" w:hAnsi="宋体" w:eastAsia="宋体" w:cs="仿宋_GB2312"/>
          <w:sz w:val="24"/>
        </w:rPr>
      </w:pPr>
      <w:r>
        <w:rPr>
          <w:rFonts w:hint="eastAsia" w:ascii="宋体" w:hAnsi="宋体" w:eastAsia="宋体" w:cs="仿宋_GB2312"/>
          <w:sz w:val="24"/>
        </w:rPr>
        <w:t>3.合同撤销或无效的，保函失效。</w:t>
      </w:r>
    </w:p>
    <w:p>
      <w:pPr>
        <w:ind w:firstLine="645"/>
        <w:rPr>
          <w:rFonts w:ascii="宋体" w:hAnsi="宋体" w:eastAsia="宋体" w:cs="仿宋_GB2312"/>
          <w:sz w:val="24"/>
        </w:rPr>
      </w:pPr>
      <w:r>
        <w:rPr>
          <w:rFonts w:hint="eastAsia" w:ascii="宋体" w:hAnsi="宋体" w:eastAsia="宋体" w:cs="仿宋_GB2312"/>
          <w:sz w:val="24"/>
        </w:rPr>
        <w:t>4.申请人对受益人的抗辩，银行有权向受益人主张。</w:t>
      </w:r>
    </w:p>
    <w:p>
      <w:pPr>
        <w:ind w:firstLine="645"/>
        <w:rPr>
          <w:rFonts w:ascii="宋体" w:hAnsi="宋体" w:eastAsia="宋体"/>
          <w:sz w:val="24"/>
        </w:rPr>
      </w:pPr>
      <w:r>
        <w:rPr>
          <w:rFonts w:hint="eastAsia" w:ascii="宋体" w:hAnsi="宋体" w:eastAsia="宋体" w:cs="仿宋_GB2312"/>
          <w:sz w:val="24"/>
        </w:rPr>
        <w:t>5.受益人请求付款的请款单据包含法院裁判文书、仲裁裁决、第三方单位出具的鉴定书等申请人违约的证明材料。</w:t>
      </w:r>
    </w:p>
    <w:p>
      <w:pPr>
        <w:pStyle w:val="8"/>
        <w:rPr>
          <w:rFonts w:hint="eastAsia" w:ascii="仿宋_GB2312" w:hAnsi="仿宋_GB2312" w:eastAsia="仿宋_GB2312" w:cs="仿宋_GB2312"/>
          <w:color w:val="auto"/>
          <w:sz w:val="24"/>
          <w:highlight w:val="none"/>
        </w:rPr>
      </w:pPr>
    </w:p>
    <w:p>
      <w:pPr>
        <w:pStyle w:val="8"/>
        <w:rPr>
          <w:rFonts w:hint="eastAsia" w:ascii="宋体" w:hAnsi="宋体" w:eastAsia="宋体" w:cs="仿宋_GB2312"/>
          <w:color w:val="auto"/>
          <w:sz w:val="24"/>
          <w:highlight w:val="none"/>
        </w:rPr>
      </w:pPr>
    </w:p>
    <w:p>
      <w:pPr>
        <w:pStyle w:val="8"/>
        <w:rPr>
          <w:rFonts w:hint="eastAsia" w:ascii="宋体" w:hAnsi="宋体" w:eastAsia="宋体" w:cs="仿宋_GB2312"/>
          <w:color w:val="auto"/>
          <w:sz w:val="24"/>
          <w:highlight w:val="none"/>
        </w:rPr>
      </w:pPr>
    </w:p>
    <w:p>
      <w:pPr>
        <w:pStyle w:val="8"/>
        <w:rPr>
          <w:rFonts w:hint="eastAsia" w:ascii="宋体" w:hAnsi="宋体" w:eastAsia="宋体" w:cs="仿宋_GB2312"/>
          <w:color w:val="auto"/>
          <w:sz w:val="24"/>
          <w:highlight w:val="none"/>
        </w:rPr>
      </w:pPr>
    </w:p>
    <w:p>
      <w:pPr>
        <w:spacing w:line="360" w:lineRule="auto"/>
        <w:rPr>
          <w:rFonts w:hint="eastAsia" w:ascii="宋体" w:hAnsi="宋体" w:cs="宋体"/>
          <w:b/>
          <w:bCs/>
          <w:szCs w:val="21"/>
        </w:rPr>
      </w:pPr>
      <w:r>
        <w:rPr>
          <w:rFonts w:hint="eastAsia" w:ascii="宋体" w:hAnsi="宋体" w:cs="宋体"/>
          <w:b/>
          <w:bCs/>
          <w:szCs w:val="21"/>
        </w:rPr>
        <w:t>附件</w:t>
      </w:r>
      <w:r>
        <w:rPr>
          <w:rFonts w:hint="eastAsia" w:ascii="宋体" w:hAnsi="宋体" w:cs="宋体"/>
          <w:b/>
          <w:bCs/>
          <w:szCs w:val="21"/>
          <w:lang w:val="en-US" w:eastAsia="zh-CN"/>
        </w:rPr>
        <w:t>8</w:t>
      </w:r>
      <w:r>
        <w:rPr>
          <w:rFonts w:hint="eastAsia" w:ascii="宋体" w:hAnsi="宋体" w:cs="宋体"/>
          <w:b/>
          <w:bCs/>
          <w:szCs w:val="21"/>
        </w:rPr>
        <w:t xml:space="preserve"> </w:t>
      </w:r>
      <w:r>
        <w:rPr>
          <w:rFonts w:hint="eastAsia" w:ascii="宋体" w:hAnsi="宋体" w:cs="宋体"/>
          <w:b/>
          <w:bCs/>
          <w:szCs w:val="21"/>
          <w:lang w:eastAsia="zh-CN"/>
        </w:rPr>
        <w:t>：</w:t>
      </w:r>
      <w:r>
        <w:rPr>
          <w:rFonts w:hint="eastAsia" w:ascii="宋体" w:hAnsi="宋体" w:cs="宋体"/>
          <w:b/>
          <w:bCs/>
          <w:szCs w:val="21"/>
        </w:rPr>
        <w:t>防疫管理协议书</w:t>
      </w:r>
    </w:p>
    <w:p>
      <w:pPr>
        <w:spacing w:line="440" w:lineRule="exact"/>
        <w:jc w:val="center"/>
        <w:rPr>
          <w:rFonts w:ascii="仿宋_GB2312" w:eastAsia="仿宋_GB2312"/>
          <w:b/>
          <w:bCs/>
          <w:sz w:val="28"/>
          <w:szCs w:val="28"/>
        </w:rPr>
      </w:pPr>
      <w:r>
        <w:rPr>
          <w:rFonts w:hint="eastAsia" w:ascii="仿宋_GB2312" w:eastAsia="仿宋_GB2312"/>
          <w:b/>
          <w:bCs/>
          <w:sz w:val="28"/>
          <w:szCs w:val="28"/>
          <w:lang w:val="en-US" w:eastAsia="zh-CN"/>
        </w:rPr>
        <w:t>防疫</w:t>
      </w:r>
      <w:r>
        <w:rPr>
          <w:rFonts w:hint="eastAsia" w:ascii="仿宋_GB2312" w:eastAsia="仿宋_GB2312"/>
          <w:b/>
          <w:bCs/>
          <w:sz w:val="28"/>
          <w:szCs w:val="28"/>
        </w:rPr>
        <w:t>管理协议书</w:t>
      </w:r>
    </w:p>
    <w:p>
      <w:pPr>
        <w:spacing w:line="440" w:lineRule="exact"/>
        <w:rPr>
          <w:rFonts w:ascii="仿宋_GB2312" w:hAnsi="宋体" w:eastAsia="仿宋_GB2312"/>
          <w:sz w:val="24"/>
        </w:rPr>
      </w:pPr>
    </w:p>
    <w:p>
      <w:pPr>
        <w:adjustRightInd w:val="0"/>
        <w:snapToGrid w:val="0"/>
        <w:spacing w:line="440" w:lineRule="exact"/>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甲方</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u w:val="single"/>
        </w:rPr>
        <w:t>广州市净水有限公司</w:t>
      </w:r>
    </w:p>
    <w:p>
      <w:pPr>
        <w:adjustRightInd w:val="0"/>
        <w:snapToGrid w:val="0"/>
        <w:spacing w:line="440" w:lineRule="exact"/>
        <w:ind w:firstLine="480" w:firstLineChars="200"/>
        <w:jc w:val="left"/>
        <w:rPr>
          <w:rStyle w:val="27"/>
          <w:rFonts w:hint="eastAsia" w:ascii="仿宋_GB2312" w:hAnsi="仿宋_GB2312" w:eastAsia="仿宋_GB2312" w:cs="仿宋_GB2312"/>
          <w:b w:val="0"/>
          <w:sz w:val="24"/>
          <w:szCs w:val="24"/>
          <w:u w:val="single"/>
        </w:rPr>
      </w:pPr>
      <w:r>
        <w:rPr>
          <w:rFonts w:hint="eastAsia" w:ascii="仿宋_GB2312" w:hAnsi="仿宋_GB2312" w:eastAsia="仿宋_GB2312" w:cs="仿宋_GB2312"/>
          <w:sz w:val="24"/>
          <w:szCs w:val="24"/>
          <w:lang w:val="en-US" w:eastAsia="zh-CN"/>
        </w:rPr>
        <w:t>乙方</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z w:val="24"/>
          <w:szCs w:val="24"/>
          <w:u w:val="single"/>
        </w:rPr>
        <w:t xml:space="preserve">  </w:t>
      </w:r>
      <w:r>
        <w:rPr>
          <w:rStyle w:val="27"/>
          <w:rFonts w:hint="eastAsia" w:ascii="仿宋_GB2312" w:hAnsi="仿宋_GB2312" w:eastAsia="仿宋_GB2312" w:cs="仿宋_GB2312"/>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540" w:firstLineChars="225"/>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为贯彻落实国家、省、市疫情防控工作部署，依据有关法律法规从严管控要求，进一步加强建设、维修工地新冠肺炎疫情防控工作，指导项目维修施工人员及时有效做好防控措施。经双方协商，签订本协议书，以明确各自的疫情防控责任并共同遵守。</w:t>
      </w:r>
    </w:p>
    <w:p>
      <w:pPr>
        <w:numPr>
          <w:ilvl w:val="0"/>
          <w:numId w:val="0"/>
        </w:numPr>
        <w:adjustRightInd w:val="0"/>
        <w:snapToGrid w:val="0"/>
        <w:spacing w:line="44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一、</w:t>
      </w:r>
      <w:r>
        <w:rPr>
          <w:rFonts w:hint="eastAsia" w:ascii="仿宋_GB2312" w:hAnsi="仿宋_GB2312" w:eastAsia="仿宋_GB2312" w:cs="仿宋_GB2312"/>
          <w:sz w:val="24"/>
          <w:szCs w:val="24"/>
        </w:rPr>
        <w:t>本协议与主协议的关系</w:t>
      </w:r>
    </w:p>
    <w:p>
      <w:pPr>
        <w:adjustRightInd w:val="0"/>
        <w:snapToGrid w:val="0"/>
        <w:spacing w:line="440" w:lineRule="exact"/>
        <w:ind w:left="105"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本协议作为</w:t>
      </w:r>
      <w:r>
        <w:rPr>
          <w:rFonts w:hint="eastAsia" w:ascii="仿宋_GB2312" w:hAnsi="仿宋_GB2312" w:eastAsia="仿宋_GB2312" w:cs="仿宋_GB2312"/>
          <w:bCs/>
          <w:sz w:val="24"/>
          <w:szCs w:val="24"/>
          <w:u w:val="single"/>
          <w:lang w:val="en-US" w:eastAsia="zh-CN"/>
        </w:rPr>
        <w:t xml:space="preserve">      </w:t>
      </w:r>
      <w:r>
        <w:rPr>
          <w:rFonts w:hint="eastAsia" w:ascii="仿宋_GB2312" w:hAnsi="仿宋_GB2312" w:eastAsia="仿宋_GB2312" w:cs="仿宋_GB2312"/>
          <w:sz w:val="24"/>
          <w:szCs w:val="24"/>
        </w:rPr>
        <w:t>的组成部分，与主合同具有同等法律</w:t>
      </w:r>
    </w:p>
    <w:p>
      <w:pPr>
        <w:numPr>
          <w:ilvl w:val="0"/>
          <w:numId w:val="0"/>
        </w:numPr>
        <w:adjustRightInd w:val="0"/>
        <w:snapToGrid w:val="0"/>
        <w:spacing w:line="440" w:lineRule="exact"/>
        <w:jc w:val="left"/>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二、甲乙双方权力及义务</w:t>
      </w:r>
    </w:p>
    <w:p>
      <w:pPr>
        <w:numPr>
          <w:ilvl w:val="0"/>
          <w:numId w:val="0"/>
        </w:numPr>
        <w:adjustRightInd w:val="0"/>
        <w:snapToGrid w:val="0"/>
        <w:spacing w:line="440" w:lineRule="exact"/>
        <w:ind w:leftChars="0" w:firstLine="480" w:firstLineChars="200"/>
        <w:jc w:val="left"/>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（一）甲乙双方应将</w:t>
      </w:r>
      <w:r>
        <w:rPr>
          <w:rFonts w:hint="eastAsia" w:ascii="仿宋_GB2312" w:hAnsi="仿宋_GB2312" w:eastAsia="仿宋_GB2312" w:cs="仿宋_GB2312"/>
          <w:sz w:val="24"/>
          <w:szCs w:val="24"/>
          <w:lang w:val="en-US" w:eastAsia="zh-CN"/>
        </w:rPr>
        <w:t>项目维修施工人员</w:t>
      </w:r>
      <w:r>
        <w:rPr>
          <w:rFonts w:hint="eastAsia" w:ascii="仿宋_GB2312" w:hAnsi="仿宋_GB2312" w:eastAsia="仿宋_GB2312" w:cs="仿宋_GB2312"/>
          <w:kern w:val="2"/>
          <w:sz w:val="24"/>
          <w:szCs w:val="24"/>
          <w:lang w:val="en-US" w:eastAsia="zh-CN" w:bidi="ar-SA"/>
        </w:rPr>
        <w:t>生命安全和身体健康放在第一位，能妥善处置</w:t>
      </w:r>
      <w:r>
        <w:rPr>
          <w:rFonts w:hint="eastAsia" w:ascii="仿宋_GB2312" w:hAnsi="仿宋_GB2312" w:eastAsia="仿宋_GB2312" w:cs="仿宋_GB2312"/>
          <w:sz w:val="24"/>
          <w:szCs w:val="24"/>
          <w:lang w:val="en-US" w:eastAsia="zh-CN"/>
        </w:rPr>
        <w:t>项目维修施工</w:t>
      </w:r>
      <w:r>
        <w:rPr>
          <w:rFonts w:hint="eastAsia" w:ascii="仿宋_GB2312" w:hAnsi="仿宋_GB2312" w:eastAsia="仿宋_GB2312" w:cs="仿宋_GB2312"/>
          <w:kern w:val="2"/>
          <w:sz w:val="24"/>
          <w:szCs w:val="24"/>
          <w:lang w:val="en-US" w:eastAsia="zh-CN" w:bidi="ar-SA"/>
        </w:rPr>
        <w:t>工地普通发热病例、可疑病例和突发新冠肺炎疫情。坚持预防为主，最大限度减少人员暴露和感染的风险。</w:t>
      </w:r>
    </w:p>
    <w:p>
      <w:pPr>
        <w:pStyle w:val="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（二）甲乙双方应积极配合，出现问题及时采取应急响应措施，迅速妥善处置项目施工场所普通发热病例、可疑病例和突发新冠肺炎疫情，并第一时间报送对方。</w:t>
      </w:r>
    </w:p>
    <w:p>
      <w:pPr>
        <w:pStyle w:val="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kern w:val="2"/>
          <w:sz w:val="24"/>
          <w:szCs w:val="24"/>
          <w:lang w:val="en-US" w:eastAsia="zh-CN" w:bidi="ar-SA"/>
        </w:rPr>
        <w:t>（三）甲乙双方应掌握</w:t>
      </w:r>
      <w:r>
        <w:rPr>
          <w:rFonts w:hint="eastAsia" w:ascii="仿宋_GB2312" w:hAnsi="仿宋_GB2312" w:eastAsia="仿宋_GB2312" w:cs="仿宋_GB2312"/>
          <w:sz w:val="24"/>
          <w:szCs w:val="24"/>
          <w:lang w:val="en-US" w:eastAsia="zh-CN"/>
        </w:rPr>
        <w:t>维修施工人员情况</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与建设主管部门和属地疫情防控指挥部门形成联防联控机制，建立快速有效的处置工作流程，建设、维修工地正常施工秩序</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left"/>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三、甲方的义务</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480"/>
        <w:jc w:val="left"/>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（一）甲方应指导</w:t>
      </w:r>
      <w:r>
        <w:rPr>
          <w:rFonts w:hint="eastAsia" w:ascii="仿宋_GB2312" w:hAnsi="仿宋_GB2312" w:eastAsia="仿宋_GB2312" w:cs="仿宋_GB2312"/>
          <w:sz w:val="24"/>
          <w:szCs w:val="24"/>
          <w:lang w:val="en-US" w:eastAsia="zh-CN"/>
        </w:rPr>
        <w:t>乙方项目维修施工人员</w:t>
      </w:r>
      <w:r>
        <w:rPr>
          <w:rFonts w:hint="eastAsia" w:ascii="仿宋_GB2312" w:hAnsi="仿宋_GB2312" w:eastAsia="仿宋_GB2312" w:cs="仿宋_GB2312"/>
          <w:kern w:val="2"/>
          <w:sz w:val="24"/>
          <w:szCs w:val="24"/>
          <w:lang w:val="en-US" w:eastAsia="zh-CN" w:bidi="ar-SA"/>
        </w:rPr>
        <w:t>需养成和保持戴口罩、“一米线”、勤洗手、勤通风、少聚集、错时用餐、“两点一线”简单生活等良好卫生习惯。</w:t>
      </w:r>
    </w:p>
    <w:p>
      <w:pPr>
        <w:pStyle w:val="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（二）甲方应</w:t>
      </w:r>
      <w:r>
        <w:rPr>
          <w:rFonts w:hint="eastAsia" w:ascii="仿宋_GB2312" w:hAnsi="仿宋_GB2312" w:eastAsia="仿宋_GB2312" w:cs="仿宋_GB2312"/>
          <w:sz w:val="24"/>
          <w:szCs w:val="24"/>
          <w:lang w:val="en-US" w:eastAsia="zh-CN"/>
        </w:rPr>
        <w:t>提供给乙方项目维修施工人员安全工作环境，指导乙方维修施工人员及家属增强自我防护意识，关注重点疫情信息，降低感染风险。</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480"/>
        <w:jc w:val="left"/>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（三）甲方在施工前需开展疫情防控教育，同时对乙方人员防控落实情况进行监督，采取措施堵塞疫情防控漏洞。</w:t>
      </w:r>
    </w:p>
    <w:p>
      <w:pPr>
        <w:pStyle w:val="8"/>
        <w:keepNext w:val="0"/>
        <w:keepLines w:val="0"/>
        <w:pageBreakBefore w:val="0"/>
        <w:widowControl w:val="0"/>
        <w:kinsoku/>
        <w:wordWrap/>
        <w:overflowPunct/>
        <w:topLinePunct w:val="0"/>
        <w:autoSpaceDE/>
        <w:autoSpaceDN/>
        <w:bidi w:val="0"/>
        <w:spacing w:line="440" w:lineRule="exact"/>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（四）组织开展应急演练，确保应急情况下维修施工人员疫情发生时安全健康，保障各项工作有序、规范。</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480"/>
        <w:jc w:val="left"/>
        <w:textAlignment w:val="auto"/>
        <w:rPr>
          <w:rFonts w:hint="eastAsia" w:ascii="仿宋_GB2312" w:hAnsi="仿宋_GB2312" w:eastAsia="仿宋_GB2312" w:cs="仿宋_GB2312"/>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480"/>
        <w:jc w:val="left"/>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四、乙方的义务</w:t>
      </w:r>
    </w:p>
    <w:p>
      <w:pPr>
        <w:pStyle w:val="8"/>
        <w:keepNext w:val="0"/>
        <w:keepLines w:val="0"/>
        <w:pageBreakBefore w:val="0"/>
        <w:widowControl w:val="0"/>
        <w:kinsoku/>
        <w:wordWrap/>
        <w:overflowPunct/>
        <w:topLinePunct w:val="0"/>
        <w:autoSpaceDE/>
        <w:autoSpaceDN/>
        <w:bidi w:val="0"/>
        <w:spacing w:line="440" w:lineRule="exact"/>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（一）乙方需配合甲方开展疫情防控宣传教育，提高</w:t>
      </w:r>
      <w:r>
        <w:rPr>
          <w:rFonts w:hint="eastAsia" w:ascii="仿宋_GB2312" w:hAnsi="仿宋_GB2312" w:eastAsia="仿宋_GB2312" w:cs="仿宋_GB2312"/>
          <w:sz w:val="24"/>
          <w:szCs w:val="24"/>
          <w:lang w:val="en-US" w:eastAsia="zh-CN"/>
        </w:rPr>
        <w:t>项目维修施工</w:t>
      </w:r>
      <w:r>
        <w:rPr>
          <w:rFonts w:hint="eastAsia" w:ascii="仿宋_GB2312" w:hAnsi="仿宋_GB2312" w:eastAsia="仿宋_GB2312" w:cs="仿宋_GB2312"/>
          <w:kern w:val="2"/>
          <w:sz w:val="24"/>
          <w:szCs w:val="24"/>
          <w:lang w:val="en-US" w:eastAsia="zh-CN" w:bidi="ar-SA"/>
        </w:rPr>
        <w:t>人员自我防护意识。</w:t>
      </w:r>
    </w:p>
    <w:p>
      <w:pPr>
        <w:pStyle w:val="8"/>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kern w:val="2"/>
          <w:sz w:val="24"/>
          <w:szCs w:val="24"/>
          <w:lang w:val="en-US" w:eastAsia="zh-CN" w:bidi="ar-SA"/>
        </w:rPr>
        <w:t>（二）</w:t>
      </w:r>
      <w:r>
        <w:rPr>
          <w:rFonts w:hint="eastAsia" w:ascii="仿宋_GB2312" w:hAnsi="仿宋_GB2312" w:eastAsia="仿宋_GB2312" w:cs="仿宋_GB2312"/>
          <w:sz w:val="24"/>
          <w:szCs w:val="24"/>
          <w:lang w:val="en-US" w:eastAsia="zh-CN"/>
        </w:rPr>
        <w:t>配合甲方要求做好维修施工人员防控工作管理，及时提交防疫资料，落实疫情防控备案，必要时需</w:t>
      </w:r>
      <w:r>
        <w:rPr>
          <w:rFonts w:hint="eastAsia" w:ascii="仿宋_GB2312" w:hAnsi="仿宋_GB2312" w:eastAsia="仿宋_GB2312" w:cs="仿宋_GB2312"/>
          <w:kern w:val="2"/>
          <w:sz w:val="24"/>
          <w:szCs w:val="24"/>
          <w:lang w:val="en-US" w:eastAsia="zh-CN" w:bidi="ar-SA"/>
        </w:rPr>
        <w:t>编制防控管理工作方案</w:t>
      </w:r>
      <w:r>
        <w:rPr>
          <w:rFonts w:hint="eastAsia" w:ascii="仿宋_GB2312" w:hAnsi="仿宋_GB2312" w:eastAsia="仿宋_GB2312" w:cs="仿宋_GB2312"/>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    （三）乙方须符合甲方疫苗接种及核酸检测检测要求，未满足相关要求的人员甲方有权限制乙方人员进入厂区。</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（四）乙方应建立畅通的信息传输渠道和严格的信息上报机制，出现人员感染新型冠状病毒的，应迅速报送甲方。</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kern w:val="2"/>
          <w:sz w:val="24"/>
          <w:szCs w:val="24"/>
          <w:lang w:val="en-US" w:eastAsia="zh-CN" w:bidi="ar-SA"/>
        </w:rPr>
        <w:t>（五）积极配合甲方各厂区进厂“防疫五件套”门岗防控要求，进厂前需戴口罩、扫描健康通行登记码、扫码个人健康申报、测体温、出示出入证且核对花名册。</w:t>
      </w:r>
    </w:p>
    <w:p>
      <w:pPr>
        <w:numPr>
          <w:ilvl w:val="0"/>
          <w:numId w:val="0"/>
        </w:numPr>
        <w:adjustRightInd w:val="0"/>
        <w:snapToGrid w:val="0"/>
        <w:spacing w:line="440" w:lineRule="exact"/>
        <w:jc w:val="left"/>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五、扣罚情况</w:t>
      </w:r>
    </w:p>
    <w:p>
      <w:pPr>
        <w:adjustRightInd w:val="0"/>
        <w:snapToGrid w:val="0"/>
        <w:spacing w:line="440" w:lineRule="exact"/>
        <w:ind w:left="105"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乙方项目维修施工人员需按照甲方服务要求执行，未达到疫情防控要求的，需按下列条款执行：</w:t>
      </w:r>
    </w:p>
    <w:p>
      <w:pPr>
        <w:adjustRightInd w:val="0"/>
        <w:snapToGrid w:val="0"/>
        <w:spacing w:line="440" w:lineRule="exact"/>
        <w:ind w:left="105"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（一）乙方项目维修施工人员及其亲属有重点区域、重点场所旅居史未报备的，每发现一人，从乙方当月服务费中扣500元；</w:t>
      </w:r>
    </w:p>
    <w:p>
      <w:pPr>
        <w:adjustRightInd w:val="0"/>
        <w:snapToGrid w:val="0"/>
        <w:spacing w:line="440" w:lineRule="exact"/>
        <w:ind w:left="105"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（二）乙方项目维修施工人员未按照甲方要求进行核酸检测的或有瞒报、虚报的，每发现一人，从乙方当月服务费中扣50元；</w:t>
      </w:r>
    </w:p>
    <w:p>
      <w:pPr>
        <w:adjustRightInd w:val="0"/>
        <w:snapToGrid w:val="0"/>
        <w:spacing w:line="440" w:lineRule="exact"/>
        <w:ind w:left="105"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（三）乙方项目维修施工人员拒不配合甲方疫情防控要求或不满足甲方防疫工作要求的，甲方有权要求乙方3天内更换服务人员。</w:t>
      </w:r>
    </w:p>
    <w:p>
      <w:pPr>
        <w:adjustRightInd w:val="0"/>
        <w:snapToGrid w:val="0"/>
        <w:spacing w:line="440" w:lineRule="exact"/>
        <w:jc w:val="left"/>
        <w:rPr>
          <w:rFonts w:hint="eastAsia" w:ascii="仿宋_GB2312" w:hAnsi="仿宋_GB2312" w:eastAsia="仿宋_GB2312" w:cs="仿宋_GB2312"/>
          <w:sz w:val="24"/>
          <w:szCs w:val="24"/>
        </w:rPr>
      </w:pPr>
    </w:p>
    <w:p>
      <w:pPr>
        <w:pStyle w:val="37"/>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六</w:t>
      </w:r>
      <w:r>
        <w:rPr>
          <w:rFonts w:hint="eastAsia" w:ascii="仿宋_GB2312" w:hAnsi="仿宋_GB2312" w:eastAsia="仿宋_GB2312" w:cs="仿宋_GB2312"/>
          <w:sz w:val="24"/>
          <w:szCs w:val="24"/>
        </w:rPr>
        <w:t>、补充条款：</w:t>
      </w:r>
      <w:r>
        <w:rPr>
          <w:rFonts w:hint="eastAsia" w:ascii="仿宋_GB2312" w:hAnsi="仿宋_GB2312" w:eastAsia="仿宋_GB2312" w:cs="仿宋_GB2312"/>
          <w:sz w:val="24"/>
          <w:szCs w:val="24"/>
          <w:u w:val="single"/>
        </w:rPr>
        <w:t xml:space="preserve">         /       </w:t>
      </w:r>
      <w:r>
        <w:rPr>
          <w:rFonts w:hint="eastAsia" w:ascii="仿宋_GB2312" w:hAnsi="仿宋_GB2312" w:eastAsia="仿宋_GB2312" w:cs="仿宋_GB2312"/>
          <w:sz w:val="24"/>
          <w:szCs w:val="24"/>
        </w:rPr>
        <w:t>。</w:t>
      </w:r>
    </w:p>
    <w:p>
      <w:pPr>
        <w:adjustRightInd w:val="0"/>
        <w:snapToGrid w:val="0"/>
        <w:spacing w:line="44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七</w:t>
      </w:r>
      <w:r>
        <w:rPr>
          <w:rFonts w:hint="eastAsia" w:ascii="仿宋_GB2312" w:hAnsi="仿宋_GB2312" w:eastAsia="仿宋_GB2312" w:cs="仿宋_GB2312"/>
          <w:sz w:val="24"/>
          <w:szCs w:val="24"/>
        </w:rPr>
        <w:t>、附则</w:t>
      </w:r>
    </w:p>
    <w:p>
      <w:pPr>
        <w:adjustRightInd w:val="0"/>
        <w:snapToGrid w:val="0"/>
        <w:spacing w:line="440" w:lineRule="exact"/>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本协议与合同同时签订、同时终止、同时生效，具有相同的法律效力。合同由甲乙双方签字、盖章生效，甲乙双方各</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rPr>
        <w:t>份。</w:t>
      </w:r>
    </w:p>
    <w:p>
      <w:pPr>
        <w:adjustRightInd w:val="0"/>
        <w:snapToGrid w:val="0"/>
        <w:spacing w:line="440" w:lineRule="exact"/>
        <w:rPr>
          <w:rFonts w:hint="eastAsia" w:ascii="仿宋_GB2312" w:hAnsi="仿宋_GB2312" w:eastAsia="仿宋_GB2312" w:cs="仿宋_GB2312"/>
          <w:sz w:val="24"/>
          <w:szCs w:val="24"/>
        </w:rPr>
      </w:pPr>
    </w:p>
    <w:p>
      <w:pPr>
        <w:adjustRightInd w:val="0"/>
        <w:snapToGrid w:val="0"/>
        <w:spacing w:line="440" w:lineRule="exact"/>
        <w:ind w:left="1330" w:leftChars="5" w:hanging="1320" w:hangingChars="5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w:t>
      </w:r>
      <w:r>
        <w:rPr>
          <w:rFonts w:hint="eastAsia" w:ascii="仿宋_GB2312" w:hAnsi="仿宋_GB2312" w:eastAsia="仿宋_GB2312" w:cs="仿宋_GB2312"/>
          <w:sz w:val="24"/>
          <w:szCs w:val="24"/>
          <w:lang w:val="en-US" w:eastAsia="zh-CN"/>
        </w:rPr>
        <w:t>甲方</w:t>
      </w:r>
      <w:r>
        <w:rPr>
          <w:rFonts w:hint="eastAsia" w:ascii="仿宋_GB2312" w:hAnsi="仿宋_GB2312" w:eastAsia="仿宋_GB2312" w:cs="仿宋_GB2312"/>
          <w:sz w:val="24"/>
          <w:szCs w:val="24"/>
        </w:rPr>
        <w:t xml:space="preserve">代表 （章）：                             </w:t>
      </w:r>
      <w:r>
        <w:rPr>
          <w:rFonts w:hint="eastAsia" w:ascii="仿宋_GB2312" w:hAnsi="仿宋_GB2312" w:eastAsia="仿宋_GB2312" w:cs="仿宋_GB2312"/>
          <w:sz w:val="24"/>
          <w:szCs w:val="24"/>
          <w:lang w:val="en-US" w:eastAsia="zh-CN"/>
        </w:rPr>
        <w:t>乙方</w:t>
      </w:r>
      <w:r>
        <w:rPr>
          <w:rFonts w:hint="eastAsia" w:ascii="仿宋_GB2312" w:hAnsi="仿宋_GB2312" w:eastAsia="仿宋_GB2312" w:cs="仿宋_GB2312"/>
          <w:sz w:val="24"/>
          <w:szCs w:val="24"/>
        </w:rPr>
        <w:t>代表（章）：                                                           　　              　　　　　　　</w:t>
      </w:r>
    </w:p>
    <w:p>
      <w:pPr>
        <w:adjustRightInd w:val="0"/>
        <w:snapToGrid w:val="0"/>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年 　月　  日　　　　　                 年   月  　日</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仿宋_GB2312" w:eastAsia="仿宋_GB2312"/>
          <w:color w:val="auto"/>
          <w:sz w:val="28"/>
          <w:szCs w:val="28"/>
          <w:highlight w:val="none"/>
        </w:rPr>
      </w:pPr>
    </w:p>
    <w:p>
      <w:pPr>
        <w:pStyle w:val="4"/>
        <w:rPr>
          <w:color w:val="auto"/>
          <w:highlight w:val="none"/>
        </w:rPr>
      </w:pPr>
      <w:bookmarkStart w:id="128" w:name="_Toc12169"/>
      <w:bookmarkStart w:id="129" w:name="_Toc5129"/>
      <w:bookmarkStart w:id="130" w:name="_Toc21847"/>
      <w:bookmarkStart w:id="131" w:name="_Toc30824"/>
      <w:bookmarkStart w:id="132" w:name="_Toc3723"/>
      <w:bookmarkStart w:id="133" w:name="_Toc8147"/>
      <w:bookmarkStart w:id="134" w:name="_Toc23515"/>
      <w:bookmarkStart w:id="135" w:name="_Toc28358"/>
      <w:bookmarkStart w:id="136" w:name="_Toc6230"/>
      <w:bookmarkStart w:id="137" w:name="_Toc1563"/>
      <w:bookmarkStart w:id="138" w:name="_Toc16552"/>
      <w:r>
        <w:rPr>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14" name="自选图形 11"/>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 o:spid="_x0000_s1026" o:spt="32" type="#_x0000_t32" style="position:absolute;left:0pt;margin-left:181.6pt;margin-top:56.7pt;height:0pt;width:75.5pt;z-index:251669504;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VmwvrXAAAACwEAAA8AAAAAAAAA&#10;AQAgAAAAIgAAAGRycy9kb3ducmV2LnhtbFBLAQIUABQAAAAIAIdO4kDKFhK+2QEAAJYDAAAOAAAA&#10;AAAAAAEAIAAAACYBAABkcnMvZTJvRG9jLnhtbFBLBQYAAAAABgAGAFkBAABxBQ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13" name="自选图形 10"/>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 o:spid="_x0000_s1026" o:spt="32" type="#_x0000_t32" style="position:absolute;left:0pt;margin-left:183.1pt;margin-top:21.3pt;height:0pt;width:75.5pt;z-index:251668480;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J8OuBDXAAAACQEAAA8AAAAAAAAAAQAg&#10;AAAAIgAAAGRycy9kb3ducmV2LnhtbFBLAQIUABQAAAAIAIdO4kCr06qO1gEAAJYDAAAOAAAAAAAA&#10;AAEAIAAAACYBAABkcnMvZTJvRG9jLnhtbFBLBQYAAAAABgAGAFkBAABuBQAAAAA=&#10;">
                <v:fill on="f" focussize="0,0"/>
                <v:stroke color="#000000" joinstyle="round"/>
                <v:imagedata o:title=""/>
                <o:lock v:ext="edit" aspectratio="f"/>
              </v:shape>
            </w:pict>
          </mc:Fallback>
        </mc:AlternateContent>
      </w:r>
      <w:r>
        <w:rPr>
          <w:rFonts w:hint="eastAsia"/>
          <w:color w:val="auto"/>
          <w:highlight w:val="none"/>
        </w:rPr>
        <w:t>第七章</w:t>
      </w:r>
      <w:bookmarkEnd w:id="128"/>
      <w:bookmarkEnd w:id="129"/>
      <w:bookmarkEnd w:id="130"/>
      <w:bookmarkEnd w:id="131"/>
      <w:bookmarkEnd w:id="132"/>
      <w:bookmarkEnd w:id="133"/>
      <w:bookmarkEnd w:id="134"/>
      <w:bookmarkEnd w:id="135"/>
      <w:bookmarkEnd w:id="136"/>
      <w:bookmarkEnd w:id="137"/>
      <w:bookmarkEnd w:id="138"/>
    </w:p>
    <w:p>
      <w:pPr>
        <w:pStyle w:val="37"/>
        <w:rPr>
          <w:color w:val="auto"/>
          <w:highlight w:val="none"/>
        </w:rPr>
      </w:pPr>
    </w:p>
    <w:p>
      <w:pPr>
        <w:pStyle w:val="4"/>
        <w:rPr>
          <w:color w:val="auto"/>
          <w:highlight w:val="none"/>
        </w:rPr>
      </w:pPr>
      <w:bookmarkStart w:id="139" w:name="_Toc24490"/>
      <w:bookmarkStart w:id="140" w:name="_Toc31564"/>
      <w:bookmarkStart w:id="141" w:name="_Toc10840"/>
      <w:bookmarkStart w:id="142" w:name="_Toc22764"/>
      <w:bookmarkStart w:id="143" w:name="_Toc17119"/>
      <w:bookmarkStart w:id="144" w:name="_Toc21675"/>
      <w:bookmarkStart w:id="145" w:name="_Toc5342"/>
      <w:bookmarkStart w:id="146" w:name="_Toc88209951"/>
      <w:bookmarkStart w:id="147" w:name="_Toc30157"/>
      <w:bookmarkStart w:id="148" w:name="_Toc12610"/>
      <w:bookmarkStart w:id="149" w:name="_Toc24815"/>
      <w:bookmarkStart w:id="150" w:name="_Toc12769"/>
      <w:bookmarkStart w:id="151" w:name="_Toc87616388"/>
      <w:r>
        <w:rPr>
          <w:rFonts w:hint="eastAsia"/>
          <w:color w:val="auto"/>
          <w:highlight w:val="none"/>
        </w:rPr>
        <w:t>响应文件</w:t>
      </w:r>
      <w:r>
        <w:rPr>
          <w:rFonts w:hint="eastAsia"/>
          <w:color w:val="auto"/>
          <w:highlight w:val="none"/>
          <w:lang w:val="en-US" w:eastAsia="zh-CN"/>
        </w:rPr>
        <w:t>格式要求</w:t>
      </w:r>
      <w:bookmarkEnd w:id="139"/>
      <w:bookmarkEnd w:id="140"/>
      <w:bookmarkEnd w:id="141"/>
      <w:bookmarkEnd w:id="142"/>
      <w:bookmarkEnd w:id="143"/>
      <w:bookmarkEnd w:id="144"/>
      <w:bookmarkEnd w:id="145"/>
      <w:bookmarkEnd w:id="146"/>
      <w:bookmarkEnd w:id="147"/>
      <w:bookmarkEnd w:id="148"/>
      <w:bookmarkEnd w:id="149"/>
      <w:bookmarkEnd w:id="150"/>
      <w:bookmarkEnd w:id="151"/>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u w:val="single"/>
        </w:rPr>
      </w:pPr>
      <w:r>
        <w:rPr>
          <w:rFonts w:hint="eastAsia" w:ascii="方正小标宋简体" w:eastAsia="方正小标宋简体"/>
          <w:color w:val="auto"/>
          <w:sz w:val="44"/>
          <w:szCs w:val="44"/>
          <w:highlight w:val="none"/>
          <w:u w:val="single"/>
        </w:rPr>
        <w:t>（项目名称、标段/标包号）</w:t>
      </w:r>
    </w:p>
    <w:p>
      <w:pPr>
        <w:adjustRightInd w:val="0"/>
        <w:snapToGrid w:val="0"/>
        <w:spacing w:beforeLines="50" w:afterLines="50" w:line="600" w:lineRule="exact"/>
        <w:jc w:val="center"/>
        <w:rPr>
          <w:rFonts w:ascii="仿宋_GB2312" w:eastAsia="仿宋_GB2312"/>
          <w:color w:val="auto"/>
          <w:sz w:val="30"/>
          <w:szCs w:val="30"/>
          <w:highlight w:val="none"/>
        </w:rPr>
      </w:pPr>
    </w:p>
    <w:p>
      <w:pPr>
        <w:adjustRightInd w:val="0"/>
        <w:snapToGrid w:val="0"/>
        <w:spacing w:beforeLines="50" w:afterLines="50" w:line="600" w:lineRule="exact"/>
        <w:jc w:val="center"/>
        <w:rPr>
          <w:rFonts w:ascii="仿宋_GB2312" w:eastAsia="仿宋_GB2312"/>
          <w:color w:val="auto"/>
          <w:sz w:val="30"/>
          <w:szCs w:val="30"/>
          <w:highlight w:val="none"/>
        </w:rPr>
      </w:pPr>
      <w:r>
        <w:rPr>
          <w:rFonts w:hint="eastAsia" w:ascii="仿宋_GB2312" w:eastAsia="仿宋_GB2312"/>
          <w:color w:val="auto"/>
          <w:sz w:val="30"/>
          <w:szCs w:val="30"/>
          <w:highlight w:val="none"/>
        </w:rPr>
        <w:t>（项目编号：   ）</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jc w:val="center"/>
        <w:rPr>
          <w:rFonts w:hint="eastAsia" w:ascii="方正小标宋简体" w:eastAsia="方正小标宋简体"/>
          <w:color w:val="auto"/>
          <w:sz w:val="48"/>
          <w:szCs w:val="48"/>
          <w:highlight w:val="none"/>
        </w:rPr>
      </w:pPr>
    </w:p>
    <w:p>
      <w:pPr>
        <w:adjustRightInd w:val="0"/>
        <w:snapToGrid w:val="0"/>
        <w:spacing w:line="600" w:lineRule="exact"/>
        <w:ind w:left="1"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rPr>
        <w:t>供应商：</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（单位公章）</w:t>
      </w:r>
    </w:p>
    <w:p>
      <w:pPr>
        <w:adjustRightInd w:val="0"/>
        <w:snapToGrid w:val="0"/>
        <w:spacing w:line="600" w:lineRule="exact"/>
        <w:ind w:left="1" w:right="560"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年</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月</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日</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ascii="方正小标宋简体" w:eastAsia="方正小标宋简体"/>
          <w:color w:val="auto"/>
          <w:sz w:val="30"/>
          <w:szCs w:val="30"/>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r>
        <w:rPr>
          <w:rFonts w:ascii="方正小标宋简体" w:eastAsia="方正小标宋简体"/>
          <w:color w:val="auto"/>
          <w:sz w:val="44"/>
          <w:szCs w:val="44"/>
          <w:highlight w:val="none"/>
        </w:rPr>
        <w:t>目</w:t>
      </w:r>
      <w:r>
        <w:rPr>
          <w:rFonts w:hint="eastAsia" w:ascii="方正小标宋简体" w:eastAsia="方正小标宋简体"/>
          <w:color w:val="auto"/>
          <w:sz w:val="44"/>
          <w:szCs w:val="44"/>
          <w:highlight w:val="none"/>
        </w:rPr>
        <w:t xml:space="preserve">  </w:t>
      </w:r>
      <w:r>
        <w:rPr>
          <w:rFonts w:ascii="方正小标宋简体" w:eastAsia="方正小标宋简体"/>
          <w:color w:val="auto"/>
          <w:sz w:val="44"/>
          <w:szCs w:val="44"/>
          <w:highlight w:val="none"/>
        </w:rPr>
        <w:t>录</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line="600" w:lineRule="exact"/>
        <w:jc w:val="center"/>
        <w:rPr>
          <w:rFonts w:ascii="方正小标宋简体" w:eastAsia="方正小标宋简体"/>
          <w:color w:val="auto"/>
          <w:sz w:val="44"/>
          <w:szCs w:val="44"/>
          <w:highlight w:val="none"/>
        </w:rPr>
      </w:pPr>
    </w:p>
    <w:p>
      <w:pPr>
        <w:spacing w:line="600" w:lineRule="exact"/>
        <w:rPr>
          <w:rFonts w:ascii="仿宋_GB2312" w:eastAsia="仿宋_GB2312"/>
          <w:color w:val="auto"/>
          <w:sz w:val="28"/>
          <w:szCs w:val="28"/>
          <w:highlight w:val="none"/>
        </w:rPr>
      </w:pPr>
      <w:bookmarkStart w:id="152" w:name="_Toc88209952"/>
      <w:bookmarkStart w:id="153" w:name="_Toc87616389"/>
      <w:r>
        <w:rPr>
          <w:rFonts w:hint="eastAsia" w:ascii="仿宋_GB2312" w:eastAsia="仿宋_GB2312"/>
          <w:color w:val="auto"/>
          <w:sz w:val="28"/>
          <w:szCs w:val="28"/>
          <w:highlight w:val="none"/>
        </w:rPr>
        <w:t>1.响应函</w:t>
      </w:r>
      <w:bookmarkEnd w:id="152"/>
      <w:bookmarkEnd w:id="153"/>
    </w:p>
    <w:p>
      <w:pPr>
        <w:spacing w:line="600" w:lineRule="exact"/>
        <w:rPr>
          <w:rFonts w:hint="eastAsia" w:ascii="仿宋_GB2312" w:eastAsia="仿宋_GB2312"/>
          <w:color w:val="auto"/>
          <w:sz w:val="28"/>
          <w:szCs w:val="28"/>
          <w:highlight w:val="none"/>
        </w:rPr>
      </w:pPr>
      <w:bookmarkStart w:id="154" w:name="_Toc87616390"/>
      <w:bookmarkStart w:id="155" w:name="_Toc88209953"/>
      <w:r>
        <w:rPr>
          <w:rFonts w:hint="eastAsia" w:ascii="仿宋_GB2312" w:eastAsia="仿宋_GB2312"/>
          <w:color w:val="auto"/>
          <w:sz w:val="28"/>
          <w:szCs w:val="28"/>
          <w:highlight w:val="none"/>
        </w:rPr>
        <w:t>2.法定代表人证明或授权委托书</w:t>
      </w:r>
      <w:bookmarkEnd w:id="154"/>
      <w:bookmarkEnd w:id="155"/>
      <w:bookmarkStart w:id="156" w:name="_Toc87616393"/>
      <w:bookmarkStart w:id="157" w:name="_Toc88209956"/>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.资格审查资料</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.拟投入本项目的项目负责人情况表</w:t>
      </w:r>
    </w:p>
    <w:p>
      <w:pPr>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报价表</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.其他资料</w:t>
      </w:r>
      <w:bookmarkEnd w:id="156"/>
      <w:bookmarkEnd w:id="157"/>
      <w:r>
        <w:rPr>
          <w:rFonts w:hint="eastAsia" w:ascii="仿宋_GB2312" w:eastAsia="仿宋_GB2312"/>
          <w:color w:val="auto"/>
          <w:sz w:val="28"/>
          <w:szCs w:val="28"/>
          <w:highlight w:val="none"/>
        </w:rPr>
        <w:cr/>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color w:val="auto"/>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pStyle w:val="6"/>
        <w:rPr>
          <w:rFonts w:asciiTheme="minorEastAsia" w:hAnsiTheme="minorEastAsia" w:eastAsiaTheme="minorEastAsia"/>
          <w:color w:val="auto"/>
          <w:sz w:val="28"/>
          <w:szCs w:val="28"/>
          <w:highlight w:val="none"/>
        </w:rPr>
      </w:pPr>
      <w:bookmarkStart w:id="158" w:name="_Toc6313"/>
      <w:bookmarkStart w:id="159" w:name="_Toc87616394"/>
      <w:bookmarkStart w:id="160" w:name="_Toc88209957"/>
      <w:bookmarkStart w:id="161" w:name="_Toc28619645"/>
      <w:bookmarkStart w:id="162" w:name="_Toc12665"/>
      <w:r>
        <w:rPr>
          <w:rFonts w:hint="eastAsia" w:asciiTheme="minorEastAsia" w:hAnsiTheme="minorEastAsia" w:eastAsiaTheme="minorEastAsia"/>
          <w:color w:val="auto"/>
          <w:sz w:val="28"/>
          <w:szCs w:val="28"/>
          <w:highlight w:val="none"/>
        </w:rPr>
        <w:t>1.响应函</w:t>
      </w:r>
      <w:bookmarkEnd w:id="158"/>
      <w:bookmarkEnd w:id="159"/>
      <w:bookmarkEnd w:id="160"/>
      <w:bookmarkEnd w:id="161"/>
      <w:bookmarkEnd w:id="162"/>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1.1响应函</w:t>
      </w:r>
    </w:p>
    <w:p>
      <w:pPr>
        <w:spacing w:line="360" w:lineRule="auto"/>
        <w:rPr>
          <w:rFonts w:ascii="仿宋_GB2312" w:hAnsi="黑体" w:eastAsia="仿宋_GB2312"/>
          <w:color w:val="auto"/>
          <w:sz w:val="28"/>
          <w:szCs w:val="28"/>
          <w:highlight w:val="none"/>
          <w:u w:val="single"/>
        </w:rPr>
      </w:pPr>
    </w:p>
    <w:p>
      <w:pPr>
        <w:spacing w:line="360" w:lineRule="auto"/>
        <w:rPr>
          <w:rFonts w:ascii="仿宋_GB2312" w:hAnsi="黑体" w:eastAsia="仿宋_GB2312"/>
          <w:color w:val="auto"/>
          <w:sz w:val="28"/>
          <w:szCs w:val="28"/>
          <w:highlight w:val="none"/>
          <w:u w:val="single"/>
        </w:rPr>
      </w:pPr>
      <w:r>
        <w:rPr>
          <w:rFonts w:hint="eastAsia" w:ascii="仿宋_GB2312" w:hAnsi="黑体" w:eastAsia="仿宋_GB2312"/>
          <w:color w:val="auto"/>
          <w:sz w:val="28"/>
          <w:szCs w:val="28"/>
          <w:highlight w:val="none"/>
          <w:u w:val="single"/>
        </w:rPr>
        <w:t>至（采购人名称）：</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1.我方已仔细研究了</w:t>
      </w:r>
      <w:r>
        <w:rPr>
          <w:rFonts w:hint="eastAsia" w:ascii="仿宋_GB2312" w:hAnsi="黑体" w:eastAsia="仿宋_GB2312"/>
          <w:color w:val="auto"/>
          <w:sz w:val="28"/>
          <w:szCs w:val="28"/>
          <w:highlight w:val="none"/>
          <w:u w:val="single"/>
        </w:rPr>
        <w:t xml:space="preserve">（项目名称、项目编号、标段/标包号）   </w:t>
      </w:r>
      <w:r>
        <w:rPr>
          <w:rFonts w:hint="eastAsia" w:ascii="仿宋_GB2312" w:hAnsi="黑体" w:eastAsia="仿宋_GB2312"/>
          <w:color w:val="auto"/>
          <w:sz w:val="28"/>
          <w:szCs w:val="28"/>
          <w:highlight w:val="none"/>
        </w:rPr>
        <w:t>采购文件的全部内容，愿意以含税价人民币（大写）</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w:t>
      </w:r>
      <w:r>
        <w:rPr>
          <w:rFonts w:hint="eastAsia" w:ascii="宋体" w:hAnsi="宋体" w:eastAsia="仿宋_GB2312"/>
          <w:color w:val="auto"/>
          <w:sz w:val="28"/>
          <w:szCs w:val="28"/>
          <w:highlight w:val="none"/>
        </w:rPr>
        <w:t>¥</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rPr>
        <w:t>）的报价（其中，不含税价为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；增值税为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）完成/提供本项目</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 xml:space="preserve">工程 </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货物</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服务并按合同约定履行义务。</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2.我方响应文件包括下列内容：</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1</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响应函</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2</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法定代表人证明或授权委托书</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资格审查资料</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4</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拟投入本项目的项目负责人情况表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5</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报价表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6</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其他资料</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响应文件的上述组成部分如有不一致的内容，以响应函为准。</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3.我方完全理解询价文件中所有要求均为实质性响应条款，如有任何一条负偏离或者不满足将导致询价无效。由于我方提供资料不实或与需求书中所有条款不符而造成的责任和后果由我方承担。</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4</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我方承诺在</w:t>
      </w:r>
      <w:r>
        <w:rPr>
          <w:rFonts w:hint="eastAsia" w:ascii="仿宋_GB2312" w:hAnsi="黑体" w:eastAsia="仿宋_GB2312"/>
          <w:color w:val="auto"/>
          <w:sz w:val="28"/>
          <w:szCs w:val="28"/>
          <w:highlight w:val="none"/>
        </w:rPr>
        <w:t>采购</w:t>
      </w:r>
      <w:r>
        <w:rPr>
          <w:rFonts w:ascii="仿宋_GB2312" w:hAnsi="黑体" w:eastAsia="仿宋_GB2312"/>
          <w:color w:val="auto"/>
          <w:sz w:val="28"/>
          <w:szCs w:val="28"/>
          <w:highlight w:val="none"/>
        </w:rPr>
        <w:t>文件有效期内不撤销响应文件。</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5</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如我方</w:t>
      </w:r>
      <w:r>
        <w:rPr>
          <w:rFonts w:hint="eastAsia" w:ascii="仿宋_GB2312" w:hAnsi="黑体" w:eastAsia="仿宋_GB2312"/>
          <w:color w:val="auto"/>
          <w:sz w:val="28"/>
          <w:szCs w:val="28"/>
          <w:highlight w:val="none"/>
        </w:rPr>
        <w:t>成交</w:t>
      </w:r>
      <w:r>
        <w:rPr>
          <w:rFonts w:ascii="仿宋_GB2312" w:hAnsi="黑体" w:eastAsia="仿宋_GB2312"/>
          <w:color w:val="auto"/>
          <w:sz w:val="28"/>
          <w:szCs w:val="28"/>
          <w:highlight w:val="none"/>
        </w:rPr>
        <w:t>，我方承诺：</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1）在收到成交通知书后，在成交通知书规定的期限内与你方签订合同；</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2）在签订合同时不向你方提出附加条件；</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3）按照采购文件要求提交履约保证金；</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4）在合同约定的期限内完成合同规定的全部义务。</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6</w:t>
      </w:r>
      <w:r>
        <w:rPr>
          <w:rFonts w:hint="eastAsia" w:ascii="仿宋_GB2312" w:hAnsi="黑体" w:eastAsia="仿宋_GB2312"/>
          <w:color w:val="auto"/>
          <w:sz w:val="28"/>
          <w:szCs w:val="28"/>
          <w:highlight w:val="none"/>
        </w:rPr>
        <w:t>.我方在此声明，所递交的响应文件及有关资料内容完整、真实和准确，且不存在</w:t>
      </w:r>
      <w:r>
        <w:rPr>
          <w:rFonts w:hint="eastAsia" w:ascii="仿宋_GB2312" w:hAnsi="黑体" w:eastAsia="仿宋_GB2312"/>
          <w:color w:val="auto"/>
          <w:sz w:val="28"/>
          <w:szCs w:val="28"/>
          <w:highlight w:val="none"/>
          <w:lang w:eastAsia="zh-CN"/>
        </w:rPr>
        <w:t>采购公告（采购邀请书）</w:t>
      </w:r>
      <w:r>
        <w:rPr>
          <w:rFonts w:hint="eastAsia" w:ascii="仿宋_GB2312" w:hAnsi="黑体" w:eastAsia="仿宋_GB2312"/>
          <w:color w:val="auto"/>
          <w:sz w:val="28"/>
          <w:szCs w:val="28"/>
          <w:highlight w:val="none"/>
        </w:rPr>
        <w:t>中供应商不得存在的情形。</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7</w:t>
      </w:r>
      <w:r>
        <w:rPr>
          <w:rFonts w:hint="eastAsia" w:ascii="仿宋_GB2312" w:hAnsi="黑体" w:eastAsia="仿宋_GB2312"/>
          <w:color w:val="auto"/>
          <w:sz w:val="28"/>
          <w:szCs w:val="28"/>
          <w:highlight w:val="none"/>
        </w:rPr>
        <w:t>.</w:t>
      </w:r>
      <w:r>
        <w:rPr>
          <w:rFonts w:hint="eastAsia" w:ascii="仿宋_GB2312" w:hAnsi="黑体" w:eastAsia="仿宋_GB2312"/>
          <w:color w:val="auto"/>
          <w:sz w:val="28"/>
          <w:szCs w:val="28"/>
          <w:highlight w:val="none"/>
          <w:u w:val="single"/>
        </w:rPr>
        <w:t xml:space="preserve">       （其他补充说明）</w:t>
      </w:r>
      <w:r>
        <w:rPr>
          <w:rFonts w:hint="eastAsia" w:ascii="仿宋_GB2312" w:hAnsi="黑体" w:eastAsia="仿宋_GB2312"/>
          <w:color w:val="auto"/>
          <w:sz w:val="28"/>
          <w:szCs w:val="28"/>
          <w:highlight w:val="none"/>
        </w:rPr>
        <w:t>。</w:t>
      </w: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（单位公章）</w:t>
      </w: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法定代表人或委托代理人：</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（签字或盖章）</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地址：</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电子邮箱：</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r>
        <w:rPr>
          <w:rFonts w:hint="eastAsia" w:ascii="仿宋_GB2312" w:eastAsia="仿宋_GB2312" w:hAnsiTheme="minorEastAsia"/>
          <w:color w:val="auto"/>
          <w:sz w:val="28"/>
          <w:szCs w:val="28"/>
          <w:highlight w:val="none"/>
          <w:u w:val="single"/>
        </w:rPr>
        <w:t xml:space="preserve">                              </w:t>
      </w:r>
    </w:p>
    <w:p>
      <w:pPr>
        <w:spacing w:line="600" w:lineRule="exact"/>
        <w:ind w:left="1" w:firstLine="551" w:firstLineChars="197"/>
        <w:jc w:val="righ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年</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月</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日</w:t>
      </w:r>
    </w:p>
    <w:p>
      <w:pPr>
        <w:adjustRightInd w:val="0"/>
        <w:snapToGrid w:val="0"/>
        <w:spacing w:line="600" w:lineRule="exact"/>
        <w:ind w:left="1" w:firstLine="551" w:firstLineChars="197"/>
        <w:jc w:val="right"/>
        <w:rPr>
          <w:rFonts w:hint="eastAsia" w:asciiTheme="minorEastAsia" w:hAnsiTheme="minorEastAsia" w:eastAsiaTheme="minorEastAsia"/>
          <w:color w:val="auto"/>
          <w:sz w:val="28"/>
          <w:szCs w:val="28"/>
          <w:highlight w:val="none"/>
        </w:rPr>
      </w:pPr>
      <w:bookmarkStart w:id="163" w:name="_Toc87616395"/>
      <w:bookmarkStart w:id="164" w:name="_Toc22527"/>
      <w:bookmarkStart w:id="165" w:name="_Toc88209958"/>
      <w:bookmarkStart w:id="166" w:name="_Toc29833"/>
    </w:p>
    <w:p>
      <w:pPr>
        <w:pStyle w:val="6"/>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2.法定代表人证明或授权委托书</w:t>
      </w:r>
      <w:bookmarkEnd w:id="163"/>
      <w:bookmarkEnd w:id="164"/>
      <w:bookmarkEnd w:id="165"/>
      <w:bookmarkEnd w:id="166"/>
    </w:p>
    <w:p>
      <w:pPr>
        <w:spacing w:line="360" w:lineRule="auto"/>
        <w:rPr>
          <w:color w:val="auto"/>
          <w:highlight w:val="none"/>
        </w:rPr>
      </w:pPr>
      <w:r>
        <w:rPr>
          <w:rFonts w:hint="eastAsia" w:ascii="仿宋_GB2312" w:hAnsi="黑体" w:eastAsia="仿宋_GB2312"/>
          <w:color w:val="auto"/>
          <w:sz w:val="28"/>
          <w:szCs w:val="28"/>
          <w:highlight w:val="none"/>
        </w:rPr>
        <w:t>2.1法定代表人证明格式</w:t>
      </w:r>
    </w:p>
    <w:p>
      <w:pPr>
        <w:widowControl/>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法定代表人证明书</w:t>
      </w:r>
    </w:p>
    <w:p>
      <w:pPr>
        <w:pStyle w:val="39"/>
        <w:snapToGrid w:val="0"/>
        <w:spacing w:after="0" w:line="600" w:lineRule="exact"/>
        <w:jc w:val="both"/>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2"/>
          <w:szCs w:val="32"/>
          <w:highlight w:val="none"/>
        </w:rPr>
        <w:t xml:space="preserve">     </w:t>
      </w:r>
      <w:r>
        <w:rPr>
          <w:rFonts w:hint="eastAsia" w:ascii="仿宋_GB2312" w:hAnsi="宋体" w:eastAsia="仿宋_GB2312" w:cs="Times New Roman"/>
          <w:color w:val="auto"/>
          <w:sz w:val="30"/>
          <w:szCs w:val="30"/>
          <w:highlight w:val="none"/>
        </w:rPr>
        <w:t>供应商名称：</w:t>
      </w:r>
      <w:r>
        <w:rPr>
          <w:rFonts w:hint="eastAsia" w:ascii="仿宋_GB2312" w:hAnsi="宋体" w:eastAsia="仿宋_GB2312" w:cs="Times New Roman"/>
          <w:color w:val="auto"/>
          <w:sz w:val="30"/>
          <w:szCs w:val="30"/>
          <w:highlight w:val="none"/>
          <w:u w:val="single"/>
        </w:rPr>
        <w:t xml:space="preserve">                          </w:t>
      </w:r>
    </w:p>
    <w:p>
      <w:pPr>
        <w:pStyle w:val="15"/>
        <w:snapToGrid w:val="0"/>
        <w:spacing w:line="600" w:lineRule="exact"/>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 xml:space="preserve">     单位性质：</w:t>
      </w:r>
      <w:r>
        <w:rPr>
          <w:rFonts w:hint="eastAsia" w:ascii="仿宋_GB2312" w:hAnsi="宋体" w:eastAsia="仿宋_GB2312" w:cs="Times New Roman"/>
          <w:color w:val="auto"/>
          <w:sz w:val="30"/>
          <w:szCs w:val="30"/>
          <w:highlight w:val="none"/>
          <w:u w:val="single"/>
        </w:rPr>
        <w:t xml:space="preserve">                            </w:t>
      </w:r>
    </w:p>
    <w:p>
      <w:pPr>
        <w:pStyle w:val="38"/>
        <w:snapToGrid w:val="0"/>
        <w:spacing w:after="0" w:line="600" w:lineRule="exact"/>
        <w:ind w:firstLine="750" w:firstLineChars="250"/>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地    址：</w:t>
      </w:r>
      <w:r>
        <w:rPr>
          <w:rFonts w:hint="eastAsia" w:ascii="仿宋_GB2312" w:hAnsi="宋体" w:eastAsia="仿宋_GB2312" w:cs="Times New Roman"/>
          <w:color w:val="auto"/>
          <w:sz w:val="30"/>
          <w:szCs w:val="30"/>
          <w:highlight w:val="none"/>
          <w:u w:val="single"/>
        </w:rPr>
        <w:t xml:space="preserve">                            </w:t>
      </w:r>
    </w:p>
    <w:p>
      <w:pPr>
        <w:pStyle w:val="15"/>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成立时间：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月</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日</w:t>
      </w:r>
    </w:p>
    <w:p>
      <w:pPr>
        <w:pStyle w:val="15"/>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经营期限：</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w:t>
      </w:r>
    </w:p>
    <w:p>
      <w:pPr>
        <w:pStyle w:val="15"/>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姓名：</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性别：</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年龄：</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身份证号码：</w:t>
      </w:r>
      <w:r>
        <w:rPr>
          <w:rFonts w:hint="eastAsia" w:ascii="仿宋_GB2312" w:hAnsi="宋体" w:eastAsia="仿宋_GB2312" w:cs="Times New Roman"/>
          <w:color w:val="auto"/>
          <w:sz w:val="30"/>
          <w:szCs w:val="30"/>
          <w:highlight w:val="none"/>
          <w:u w:val="single"/>
        </w:rPr>
        <w:t xml:space="preserve">          </w:t>
      </w:r>
    </w:p>
    <w:p>
      <w:pPr>
        <w:pStyle w:val="15"/>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职务：</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系</w:t>
      </w:r>
      <w:r>
        <w:rPr>
          <w:rFonts w:hint="eastAsia" w:ascii="仿宋_GB2312" w:hAnsi="宋体" w:eastAsia="仿宋_GB2312" w:cs="Times New Roman"/>
          <w:color w:val="auto"/>
          <w:sz w:val="30"/>
          <w:szCs w:val="30"/>
          <w:highlight w:val="none"/>
          <w:u w:val="single"/>
        </w:rPr>
        <w:t xml:space="preserve">     (供应商名称)       </w:t>
      </w:r>
      <w:r>
        <w:rPr>
          <w:rFonts w:hint="eastAsia" w:ascii="仿宋_GB2312" w:hAnsi="宋体" w:eastAsia="仿宋_GB2312" w:cs="Times New Roman"/>
          <w:color w:val="auto"/>
          <w:sz w:val="30"/>
          <w:szCs w:val="30"/>
          <w:highlight w:val="none"/>
        </w:rPr>
        <w:t xml:space="preserve"> 的法定代表人。</w:t>
      </w:r>
    </w:p>
    <w:p>
      <w:pPr>
        <w:pStyle w:val="15"/>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特此证明。</w:t>
      </w:r>
    </w:p>
    <w:p>
      <w:pPr>
        <w:adjustRightInd w:val="0"/>
        <w:snapToGrid w:val="0"/>
        <w:spacing w:line="600" w:lineRule="exact"/>
        <w:ind w:firstLine="702" w:firstLineChars="234"/>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附：法定代表人身份证(正反两面)复印件</w:t>
      </w:r>
    </w:p>
    <w:p>
      <w:pPr>
        <w:pStyle w:val="15"/>
        <w:snapToGrid w:val="0"/>
        <w:spacing w:line="600" w:lineRule="exact"/>
        <w:ind w:firstLine="3907" w:firstLineChars="1221"/>
        <w:rPr>
          <w:rFonts w:ascii="仿宋_GB2312" w:hAnsi="宋体" w:eastAsia="仿宋_GB2312" w:cs="Times New Roman"/>
          <w:color w:val="auto"/>
          <w:sz w:val="32"/>
          <w:szCs w:val="32"/>
          <w:highlight w:val="none"/>
        </w:rPr>
      </w:pPr>
    </w:p>
    <w:p>
      <w:pPr>
        <w:pStyle w:val="15"/>
        <w:snapToGrid w:val="0"/>
        <w:spacing w:line="600" w:lineRule="exact"/>
        <w:ind w:firstLine="3663" w:firstLineChars="1221"/>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供应商：</w:t>
      </w:r>
      <w:r>
        <w:rPr>
          <w:rFonts w:hint="eastAsia" w:ascii="仿宋_GB2312" w:hAnsi="宋体" w:eastAsia="仿宋_GB2312" w:cs="Times New Roman"/>
          <w:color w:val="auto"/>
          <w:sz w:val="30"/>
          <w:szCs w:val="30"/>
          <w:highlight w:val="none"/>
          <w:u w:val="single"/>
        </w:rPr>
        <w:t xml:space="preserve">       (盖单位章)      </w:t>
      </w:r>
    </w:p>
    <w:p>
      <w:pPr>
        <w:widowControl/>
        <w:adjustRightInd w:val="0"/>
        <w:snapToGrid w:val="0"/>
        <w:spacing w:line="600" w:lineRule="exact"/>
        <w:jc w:val="right"/>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widowControl/>
        <w:adjustRightInd w:val="0"/>
        <w:snapToGrid w:val="0"/>
        <w:spacing w:line="600" w:lineRule="exact"/>
        <w:jc w:val="left"/>
        <w:rPr>
          <w:rFonts w:ascii="仿宋_GB2312" w:hAnsi="宋体" w:eastAsia="仿宋_GB2312" w:cs="宋体"/>
          <w:color w:val="auto"/>
          <w:kern w:val="0"/>
          <w:sz w:val="28"/>
          <w:szCs w:val="28"/>
          <w:highlight w:val="none"/>
        </w:rPr>
      </w:pPr>
      <w:r>
        <w:rPr>
          <w:rFonts w:ascii="仿宋_GB2312" w:hAnsi="宋体" w:eastAsia="仿宋_GB2312" w:cs="宋体"/>
          <w:color w:val="auto"/>
          <w:kern w:val="0"/>
          <w:sz w:val="28"/>
          <w:szCs w:val="28"/>
          <w:highlight w:val="none"/>
        </w:rPr>
        <mc:AlternateContent>
          <mc:Choice Requires="wps">
            <w:drawing>
              <wp:anchor distT="0" distB="0" distL="114300" distR="114300" simplePos="0" relativeHeight="251670528" behindDoc="0" locked="0" layoutInCell="1" allowOverlap="1">
                <wp:simplePos x="0" y="0"/>
                <wp:positionH relativeFrom="column">
                  <wp:posOffset>406400</wp:posOffset>
                </wp:positionH>
                <wp:positionV relativeFrom="paragraph">
                  <wp:posOffset>187960</wp:posOffset>
                </wp:positionV>
                <wp:extent cx="3771900" cy="1287780"/>
                <wp:effectExtent l="0" t="0" r="0" b="0"/>
                <wp:wrapSquare wrapText="bothSides"/>
                <wp:docPr id="1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2pt;margin-top:14.8pt;height:101.4pt;width:297pt;mso-wrap-distance-bottom:0pt;mso-wrap-distance-left:9pt;mso-wrap-distance-right:9pt;mso-wrap-distance-top:0pt;z-index:251670528;mso-width-relative:page;mso-height-relative:page;" fillcolor="#FFFFFF" filled="t" stroked="t" coordsize="21600,21600" o:gfxdata="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ap/F/YAAAACQEAAA8AAAAAAAAAAQAgAAAAIgAAAGRycy9kb3ducmV2LnhtbFBLAQIU&#10;ABQAAAAIAIdO4kBjoIR9LAIAAEkEAAAOAAAAAAAAAAEAIAAAACcBAABkcnMvZTJvRG9jLnhtbFBL&#10;BQYAAAAABgAGAFkBAADFBQ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adjustRightInd w:val="0"/>
        <w:snapToGrid w:val="0"/>
        <w:spacing w:line="600" w:lineRule="exact"/>
        <w:ind w:firstLine="480"/>
        <w:rPr>
          <w:rFonts w:ascii="仿宋_GB2312" w:eastAsia="仿宋_GB2312"/>
          <w:color w:val="auto"/>
          <w:highlight w:val="none"/>
        </w:rPr>
      </w:pPr>
      <w:r>
        <w:rPr>
          <w:rFonts w:hint="eastAsia" w:ascii="仿宋_GB2312" w:hAnsi="宋体" w:eastAsia="仿宋_GB2312"/>
          <w:color w:val="auto"/>
          <w:kern w:val="0"/>
          <w:szCs w:val="21"/>
          <w:highlight w:val="none"/>
        </w:rPr>
        <w:t>注：法定代表人证明书亦可采用工商行政管理局统一制订的格式。</w:t>
      </w:r>
    </w:p>
    <w:p>
      <w:pPr>
        <w:spacing w:line="360" w:lineRule="auto"/>
        <w:rPr>
          <w:color w:val="auto"/>
          <w:highlight w:val="none"/>
        </w:rPr>
      </w:pPr>
      <w:r>
        <w:rPr>
          <w:rFonts w:hint="eastAsia" w:ascii="宋体" w:hAnsi="宋体" w:cs="宋体"/>
          <w:color w:val="auto"/>
          <w:kern w:val="0"/>
          <w:sz w:val="28"/>
          <w:szCs w:val="28"/>
          <w:highlight w:val="none"/>
        </w:rPr>
        <w:br w:type="page"/>
      </w:r>
      <w:r>
        <w:rPr>
          <w:rFonts w:hint="eastAsia" w:ascii="仿宋_GB2312" w:hAnsi="黑体" w:eastAsia="仿宋_GB2312"/>
          <w:color w:val="auto"/>
          <w:sz w:val="28"/>
          <w:szCs w:val="28"/>
          <w:highlight w:val="none"/>
        </w:rPr>
        <w:t>2.2法人授权委托书</w:t>
      </w:r>
    </w:p>
    <w:p>
      <w:pPr>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法定代表人授权委托书</w:t>
      </w:r>
    </w:p>
    <w:p>
      <w:pPr>
        <w:adjustRightInd w:val="0"/>
        <w:snapToGrid w:val="0"/>
        <w:spacing w:line="600" w:lineRule="exact"/>
        <w:ind w:firstLine="600" w:firstLineChars="20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本人</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系</w:t>
      </w:r>
      <w:r>
        <w:rPr>
          <w:rFonts w:hint="eastAsia" w:ascii="仿宋_GB2312" w:hAnsi="宋体" w:eastAsia="仿宋_GB2312"/>
          <w:color w:val="auto"/>
          <w:sz w:val="30"/>
          <w:szCs w:val="30"/>
          <w:highlight w:val="none"/>
          <w:u w:val="single"/>
        </w:rPr>
        <w:t xml:space="preserve">        (供应商名称)          </w:t>
      </w:r>
      <w:r>
        <w:rPr>
          <w:rFonts w:hint="eastAsia" w:ascii="仿宋_GB2312" w:hAnsi="宋体" w:eastAsia="仿宋_GB2312"/>
          <w:color w:val="auto"/>
          <w:sz w:val="30"/>
          <w:szCs w:val="30"/>
          <w:highlight w:val="none"/>
        </w:rPr>
        <w:t>的法定代表人，现授权</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为我方代理人。代理人根据授权，以我方名义签署、澄清、说明、提交、撤回、修改</w:t>
      </w:r>
      <w:r>
        <w:rPr>
          <w:rFonts w:hint="eastAsia" w:ascii="仿宋_GB2312" w:hAnsi="宋体" w:eastAsia="仿宋_GB2312"/>
          <w:color w:val="auto"/>
          <w:sz w:val="30"/>
          <w:szCs w:val="30"/>
          <w:highlight w:val="none"/>
          <w:u w:val="single"/>
        </w:rPr>
        <w:t xml:space="preserve"> （项目名称、项目编号、标段/标包号）  </w:t>
      </w:r>
      <w:r>
        <w:rPr>
          <w:rFonts w:hint="eastAsia" w:ascii="仿宋_GB2312" w:hAnsi="宋体" w:eastAsia="仿宋_GB2312"/>
          <w:color w:val="auto"/>
          <w:sz w:val="30"/>
          <w:szCs w:val="30"/>
          <w:highlight w:val="none"/>
        </w:rPr>
        <w:t>的响应文件、签订合同和处理有关事宜，其法律后果由我方承担。</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委托期限：</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代理人无转委托权。</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w:t>
      </w:r>
      <w:r>
        <w:rPr>
          <w:rFonts w:hint="eastAsia" w:ascii="仿宋_GB2312" w:hAnsi="宋体" w:eastAsia="仿宋_GB2312"/>
          <w:color w:val="auto"/>
          <w:sz w:val="30"/>
          <w:szCs w:val="30"/>
          <w:highlight w:val="none"/>
          <w:lang w:val="en-US" w:eastAsia="zh-CN"/>
        </w:rPr>
        <w:t>1.</w:t>
      </w:r>
      <w:r>
        <w:rPr>
          <w:rFonts w:hint="eastAsia" w:ascii="仿宋_GB2312" w:hAnsi="宋体" w:eastAsia="仿宋_GB2312"/>
          <w:color w:val="auto"/>
          <w:sz w:val="30"/>
          <w:szCs w:val="30"/>
          <w:highlight w:val="none"/>
        </w:rPr>
        <w:t>委托代理人身份证(正反两面)复印件</w:t>
      </w:r>
    </w:p>
    <w:p>
      <w:pPr>
        <w:pStyle w:val="37"/>
        <w:ind w:firstLine="1200" w:firstLineChars="400"/>
        <w:rPr>
          <w:rFonts w:hint="eastAsia" w:ascii="仿宋_GB2312" w:hAnsi="宋体" w:eastAsia="仿宋_GB2312"/>
          <w:color w:val="auto"/>
          <w:sz w:val="30"/>
          <w:szCs w:val="30"/>
          <w:highlight w:val="none"/>
          <w:lang w:val="en-US" w:eastAsia="zh-CN"/>
        </w:rPr>
      </w:pPr>
      <w:r>
        <w:rPr>
          <w:rFonts w:hint="eastAsia" w:ascii="仿宋_GB2312" w:hAnsi="宋体" w:eastAsia="仿宋_GB2312"/>
          <w:color w:val="auto"/>
          <w:sz w:val="30"/>
          <w:szCs w:val="30"/>
          <w:highlight w:val="none"/>
          <w:lang w:val="en-US" w:eastAsia="zh-CN"/>
        </w:rPr>
        <w:t>2.提供授权委托人在本单位近三个月社保记录（以加盖社会保险基金管理中心印章的《缴费历史明细表》或《社会保险参保人员证明》为准），否则为无效代理人，询价响应文件无效。</w:t>
      </w:r>
    </w:p>
    <w:p>
      <w:pPr>
        <w:pStyle w:val="15"/>
        <w:snapToGrid w:val="0"/>
        <w:spacing w:line="600" w:lineRule="exact"/>
        <w:ind w:firstLine="3618" w:firstLineChars="1005"/>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pacing w:val="30"/>
          <w:sz w:val="30"/>
          <w:szCs w:val="30"/>
          <w:highlight w:val="none"/>
        </w:rPr>
        <w:t>供应商</w:t>
      </w:r>
      <w:r>
        <w:rPr>
          <w:rFonts w:hint="eastAsia" w:ascii="仿宋_GB2312" w:hAnsi="宋体" w:eastAsia="仿宋_GB2312" w:cs="Times New Roman"/>
          <w:color w:val="auto"/>
          <w:sz w:val="30"/>
          <w:szCs w:val="30"/>
          <w:highlight w:val="none"/>
        </w:rPr>
        <w:t>：</w:t>
      </w:r>
      <w:r>
        <w:rPr>
          <w:rFonts w:hint="eastAsia" w:ascii="仿宋_GB2312" w:hAnsi="宋体" w:eastAsia="仿宋_GB2312" w:cs="Times New Roman"/>
          <w:color w:val="auto"/>
          <w:sz w:val="30"/>
          <w:szCs w:val="30"/>
          <w:highlight w:val="none"/>
          <w:u w:val="single"/>
        </w:rPr>
        <w:t xml:space="preserve">      (单位公章)         </w:t>
      </w:r>
    </w:p>
    <w:p>
      <w:pPr>
        <w:pStyle w:val="15"/>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法定代表人：</w:t>
      </w:r>
      <w:r>
        <w:rPr>
          <w:rFonts w:hint="eastAsia" w:ascii="仿宋_GB2312" w:hAnsi="宋体" w:eastAsia="仿宋_GB2312" w:cs="Times New Roman"/>
          <w:color w:val="auto"/>
          <w:sz w:val="30"/>
          <w:szCs w:val="30"/>
          <w:highlight w:val="none"/>
          <w:u w:val="single"/>
        </w:rPr>
        <w:t xml:space="preserve">       (签字)            </w:t>
      </w:r>
    </w:p>
    <w:p>
      <w:pPr>
        <w:pStyle w:val="15"/>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委托代理人：</w:t>
      </w:r>
      <w:r>
        <w:rPr>
          <w:rFonts w:hint="eastAsia" w:ascii="仿宋_GB2312" w:hAnsi="宋体" w:eastAsia="仿宋_GB2312" w:cs="Times New Roman"/>
          <w:color w:val="auto"/>
          <w:sz w:val="30"/>
          <w:szCs w:val="30"/>
          <w:highlight w:val="none"/>
          <w:u w:val="single"/>
        </w:rPr>
        <w:t xml:space="preserve">       (签字)            </w:t>
      </w:r>
    </w:p>
    <w:p>
      <w:pPr>
        <w:widowControl/>
        <w:adjustRightInd w:val="0"/>
        <w:snapToGrid w:val="0"/>
        <w:spacing w:line="600" w:lineRule="exact"/>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 xml:space="preserve">                        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pStyle w:val="2"/>
        <w:rPr>
          <w:rFonts w:hint="eastAsia" w:ascii="仿宋_GB2312" w:hAnsi="宋体" w:eastAsia="仿宋_GB2312"/>
          <w:color w:val="auto"/>
          <w:sz w:val="30"/>
          <w:szCs w:val="30"/>
          <w:highlight w:val="none"/>
        </w:rPr>
      </w:pPr>
    </w:p>
    <w:p>
      <w:pPr>
        <w:pStyle w:val="2"/>
        <w:rPr>
          <w:rFonts w:hint="eastAsia" w:ascii="仿宋_GB2312" w:hAnsi="宋体" w:eastAsia="仿宋_GB2312"/>
          <w:color w:val="auto"/>
          <w:sz w:val="30"/>
          <w:szCs w:val="30"/>
          <w:highlight w:val="none"/>
        </w:rPr>
      </w:pPr>
    </w:p>
    <w:p>
      <w:pPr>
        <w:pStyle w:val="2"/>
        <w:rPr>
          <w:rFonts w:hint="eastAsia" w:ascii="仿宋_GB2312" w:hAnsi="宋体" w:eastAsia="仿宋_GB2312"/>
          <w:color w:val="auto"/>
          <w:sz w:val="30"/>
          <w:szCs w:val="30"/>
          <w:highlight w:val="none"/>
        </w:rPr>
      </w:pPr>
    </w:p>
    <w:p>
      <w:pPr>
        <w:pStyle w:val="2"/>
        <w:rPr>
          <w:rFonts w:hint="eastAsia" w:ascii="仿宋_GB2312" w:hAnsi="宋体" w:eastAsia="仿宋_GB2312"/>
          <w:color w:val="auto"/>
          <w:sz w:val="30"/>
          <w:szCs w:val="30"/>
          <w:highlight w:val="none"/>
        </w:rPr>
      </w:pPr>
    </w:p>
    <w:p>
      <w:pPr>
        <w:pStyle w:val="8"/>
        <w:spacing w:after="0" w:line="600" w:lineRule="exact"/>
        <w:rPr>
          <w:rFonts w:ascii="仿宋_GB2312" w:eastAsia="仿宋_GB2312"/>
          <w:color w:val="auto"/>
          <w:highlight w:val="none"/>
        </w:rPr>
      </w:pPr>
      <w:r>
        <w:rPr>
          <w:rFonts w:ascii="仿宋_GB2312" w:eastAsia="仿宋_GB2312"/>
          <w:color w:val="auto"/>
          <w:sz w:val="44"/>
          <w:szCs w:val="44"/>
          <w:highlight w:val="none"/>
          <w:u w:val="single"/>
        </w:rPr>
        <mc:AlternateContent>
          <mc:Choice Requires="wps">
            <w:drawing>
              <wp:anchor distT="0" distB="0" distL="114300" distR="114300" simplePos="0" relativeHeight="251671552" behindDoc="0" locked="0" layoutInCell="1" allowOverlap="1">
                <wp:simplePos x="0" y="0"/>
                <wp:positionH relativeFrom="column">
                  <wp:posOffset>615950</wp:posOffset>
                </wp:positionH>
                <wp:positionV relativeFrom="paragraph">
                  <wp:posOffset>200025</wp:posOffset>
                </wp:positionV>
                <wp:extent cx="3771900" cy="1287780"/>
                <wp:effectExtent l="0" t="0" r="0" b="0"/>
                <wp:wrapSquare wrapText="bothSides"/>
                <wp:docPr id="1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01.4pt;width:297pt;mso-wrap-distance-bottom:0pt;mso-wrap-distance-left:9pt;mso-wrap-distance-right:9pt;mso-wrap-distance-top:0pt;z-index:251671552;mso-width-relative:page;mso-height-relative:page;" fillcolor="#FFFFFF" filled="t" stroked="t" coordsize="21600,21600" o:gfxdata="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9TIojtkAAAAJAQAADwAAAAAAAAABACAAAAAiAAAAZHJzL2Rvd25yZXYueG1sUEsB&#10;AhQAFAAAAAgAh07iQFO67FMtAgAASQQAAA4AAAAAAAAAAQAgAAAAKAEAAGRycy9lMm9Eb2MueG1s&#10;UEsFBgAAAAAGAAYAWQEAAMcFA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pStyle w:val="8"/>
        <w:spacing w:after="0" w:line="600" w:lineRule="exact"/>
        <w:rPr>
          <w:rFonts w:ascii="仿宋_GB2312" w:eastAsia="仿宋_GB2312"/>
          <w:color w:val="auto"/>
          <w:highlight w:val="none"/>
        </w:rPr>
      </w:pPr>
    </w:p>
    <w:p>
      <w:pPr>
        <w:pStyle w:val="8"/>
        <w:spacing w:after="0" w:line="600" w:lineRule="exact"/>
        <w:rPr>
          <w:rFonts w:ascii="仿宋_GB2312" w:eastAsia="仿宋_GB2312"/>
          <w:color w:val="auto"/>
          <w:highlight w:val="none"/>
        </w:rPr>
      </w:pPr>
    </w:p>
    <w:p>
      <w:pPr>
        <w:pStyle w:val="8"/>
        <w:spacing w:after="0" w:line="600" w:lineRule="exact"/>
        <w:ind w:firstLine="0"/>
        <w:rPr>
          <w:rFonts w:ascii="仿宋_GB2312" w:eastAsia="仿宋_GB2312"/>
          <w:color w:val="auto"/>
          <w:highlight w:val="none"/>
        </w:rPr>
      </w:pPr>
    </w:p>
    <w:p>
      <w:pPr>
        <w:pStyle w:val="8"/>
        <w:spacing w:after="0" w:line="600" w:lineRule="exact"/>
        <w:rPr>
          <w:rFonts w:ascii="仿宋_GB2312" w:eastAsia="仿宋_GB2312"/>
          <w:color w:val="auto"/>
          <w:highlight w:val="none"/>
        </w:rPr>
      </w:pPr>
    </w:p>
    <w:p>
      <w:pPr>
        <w:adjustRightInd w:val="0"/>
        <w:snapToGrid w:val="0"/>
        <w:spacing w:line="600" w:lineRule="exact"/>
        <w:ind w:firstLine="480"/>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注：法人授权委托书亦可采用工商行政管理局统一制订的格式。</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noWrap w:val="0"/>
            <w:vAlign w:val="top"/>
          </w:tcPr>
          <w:p>
            <w:pPr>
              <w:spacing w:line="360" w:lineRule="auto"/>
              <w:jc w:val="both"/>
              <w:rPr>
                <w:rFonts w:hint="eastAsia" w:ascii="宋体" w:hAnsi="宋体" w:eastAsia="宋体" w:cs="Times New Roman"/>
                <w:color w:val="auto"/>
                <w:sz w:val="24"/>
                <w:szCs w:val="24"/>
                <w:highlight w:val="none"/>
              </w:rPr>
            </w:pPr>
          </w:p>
          <w:p>
            <w:pPr>
              <w:spacing w:line="360" w:lineRule="auto"/>
              <w:jc w:val="center"/>
              <w:rPr>
                <w:rFonts w:hint="eastAsia" w:ascii="宋体" w:hAnsi="宋体" w:eastAsia="宋体" w:cs="Times New Roman"/>
                <w:color w:val="auto"/>
                <w:sz w:val="24"/>
                <w:szCs w:val="24"/>
                <w:highlight w:val="none"/>
              </w:rPr>
            </w:pPr>
          </w:p>
          <w:p>
            <w:pPr>
              <w:spacing w:line="360" w:lineRule="auto"/>
              <w:jc w:val="center"/>
              <w:rPr>
                <w:rFonts w:hint="eastAsia" w:ascii="宋体" w:hAnsi="宋体"/>
                <w:color w:val="auto"/>
                <w:sz w:val="24"/>
                <w:szCs w:val="24"/>
                <w:highlight w:val="none"/>
                <w:lang w:val="en-US" w:eastAsia="zh-CN"/>
              </w:rPr>
            </w:pPr>
            <w:r>
              <w:rPr>
                <w:rFonts w:hint="eastAsia" w:ascii="宋体" w:hAnsi="宋体" w:cs="Times New Roman"/>
                <w:color w:val="auto"/>
                <w:sz w:val="24"/>
                <w:szCs w:val="24"/>
                <w:highlight w:val="none"/>
                <w:lang w:eastAsia="zh-CN"/>
              </w:rPr>
              <w:t>授权代理人在本单位近三个月社保记录，（以加盖社会保险基金管理中心印章的《缴费历史明细表》或《社会保险参保人员证明》为准，</w:t>
            </w:r>
            <w:r>
              <w:rPr>
                <w:rFonts w:hint="eastAsia" w:ascii="宋体" w:hAnsi="宋体" w:cs="Times New Roman"/>
                <w:color w:val="auto"/>
                <w:sz w:val="24"/>
                <w:szCs w:val="24"/>
                <w:highlight w:val="none"/>
                <w:lang w:val="en-US" w:eastAsia="zh-CN"/>
              </w:rPr>
              <w:t>加</w:t>
            </w:r>
            <w:r>
              <w:rPr>
                <w:rFonts w:hint="eastAsia" w:ascii="宋体" w:hAnsi="宋体"/>
                <w:color w:val="auto"/>
                <w:sz w:val="24"/>
                <w:szCs w:val="24"/>
                <w:highlight w:val="none"/>
                <w:lang w:val="en-US" w:eastAsia="zh-CN"/>
              </w:rPr>
              <w:t>盖单位公章</w:t>
            </w:r>
          </w:p>
          <w:p>
            <w:pPr>
              <w:spacing w:line="360" w:lineRule="auto"/>
              <w:jc w:val="center"/>
              <w:rPr>
                <w:rFonts w:hint="eastAsia" w:ascii="宋体" w:hAnsi="宋体"/>
                <w:color w:val="auto"/>
                <w:sz w:val="24"/>
                <w:szCs w:val="24"/>
                <w:highlight w:val="none"/>
                <w:lang w:val="en-US" w:eastAsia="zh-CN"/>
              </w:rPr>
            </w:pPr>
          </w:p>
          <w:p>
            <w:pPr>
              <w:spacing w:line="360" w:lineRule="auto"/>
              <w:jc w:val="left"/>
              <w:rPr>
                <w:rFonts w:ascii="宋体" w:hAnsi="宋体"/>
                <w:color w:val="auto"/>
                <w:sz w:val="24"/>
                <w:szCs w:val="24"/>
                <w:highlight w:val="none"/>
              </w:rPr>
            </w:pPr>
          </w:p>
          <w:p>
            <w:pPr>
              <w:spacing w:line="360" w:lineRule="auto"/>
              <w:jc w:val="left"/>
              <w:rPr>
                <w:rFonts w:ascii="宋体" w:hAnsi="宋体"/>
                <w:color w:val="auto"/>
                <w:sz w:val="24"/>
                <w:szCs w:val="24"/>
                <w:highlight w:val="none"/>
              </w:rPr>
            </w:pPr>
          </w:p>
        </w:tc>
      </w:tr>
    </w:tbl>
    <w:p>
      <w:pPr>
        <w:spacing w:line="440" w:lineRule="exact"/>
        <w:ind w:firstLine="859" w:firstLineChars="307"/>
        <w:rPr>
          <w:rFonts w:ascii="仿宋" w:hAnsi="仿宋" w:eastAsia="仿宋" w:cs="仿宋_GB2312"/>
          <w:color w:val="auto"/>
          <w:sz w:val="28"/>
          <w:szCs w:val="28"/>
          <w:highlight w:val="none"/>
        </w:rPr>
      </w:pPr>
    </w:p>
    <w:p>
      <w:pPr>
        <w:spacing w:line="480" w:lineRule="exact"/>
        <w:ind w:firstLine="843" w:firstLineChars="300"/>
        <w:rPr>
          <w:rFonts w:ascii="仿宋" w:hAnsi="仿宋" w:eastAsia="仿宋" w:cs="仿宋_GB2312"/>
          <w:b/>
          <w:color w:val="auto"/>
          <w:sz w:val="28"/>
          <w:szCs w:val="28"/>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6"/>
        <w:rPr>
          <w:rFonts w:asciiTheme="minorEastAsia" w:hAnsiTheme="minorEastAsia" w:eastAsiaTheme="minorEastAsia"/>
          <w:color w:val="auto"/>
          <w:sz w:val="28"/>
          <w:szCs w:val="28"/>
          <w:highlight w:val="none"/>
        </w:rPr>
      </w:pPr>
      <w:r>
        <w:rPr>
          <w:rFonts w:hint="eastAsia" w:ascii="仿宋_GB2312" w:eastAsia="仿宋_GB2312" w:hAnsiTheme="minorEastAsia"/>
          <w:color w:val="auto"/>
          <w:sz w:val="28"/>
          <w:szCs w:val="28"/>
          <w:highlight w:val="none"/>
        </w:rPr>
        <w:t xml:space="preserve"> </w:t>
      </w:r>
      <w:bookmarkStart w:id="167" w:name="_Toc88209963"/>
      <w:bookmarkStart w:id="168" w:name="_Toc19830"/>
      <w:bookmarkStart w:id="169" w:name="_Toc87616400"/>
      <w:bookmarkStart w:id="170" w:name="_Toc8086"/>
      <w:r>
        <w:rPr>
          <w:rFonts w:hint="eastAsia" w:ascii="仿宋_GB2312" w:eastAsia="仿宋_GB2312" w:hAnsiTheme="minorEastAsia"/>
          <w:color w:val="auto"/>
          <w:sz w:val="28"/>
          <w:szCs w:val="28"/>
          <w:highlight w:val="none"/>
          <w:lang w:val="en-US" w:eastAsia="zh-CN"/>
        </w:rPr>
        <w:t>3</w:t>
      </w:r>
      <w:r>
        <w:rPr>
          <w:rFonts w:hint="eastAsia" w:asciiTheme="minorEastAsia" w:hAnsiTheme="minorEastAsia" w:eastAsiaTheme="minorEastAsia"/>
          <w:color w:val="auto"/>
          <w:sz w:val="28"/>
          <w:szCs w:val="28"/>
          <w:highlight w:val="none"/>
        </w:rPr>
        <w:t>.资格审查资料</w:t>
      </w:r>
      <w:bookmarkEnd w:id="167"/>
      <w:bookmarkEnd w:id="168"/>
      <w:bookmarkEnd w:id="169"/>
      <w:bookmarkEnd w:id="170"/>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rPr>
        <w:t>.1供应商基本情况表</w:t>
      </w:r>
    </w:p>
    <w:tbl>
      <w:tblPr>
        <w:tblStyle w:val="25"/>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供应商名称</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注册地址</w:t>
            </w:r>
          </w:p>
        </w:tc>
        <w:tc>
          <w:tcPr>
            <w:tcW w:w="3118" w:type="dxa"/>
            <w:gridSpan w:val="3"/>
          </w:tcPr>
          <w:p>
            <w:pPr>
              <w:adjustRightInd w:val="0"/>
              <w:snapToGrid w:val="0"/>
              <w:spacing w:line="600" w:lineRule="exact"/>
              <w:rPr>
                <w:rFonts w:ascii="仿宋_GB2312" w:eastAsia="仿宋_GB2312" w:hAnsiTheme="minorEastAsia"/>
                <w:color w:val="auto"/>
                <w:sz w:val="28"/>
                <w:szCs w:val="28"/>
                <w:highlight w:val="none"/>
              </w:rPr>
            </w:pPr>
          </w:p>
        </w:tc>
        <w:tc>
          <w:tcPr>
            <w:tcW w:w="1570"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邮政编码</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restart"/>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联系方式</w:t>
            </w: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联系人</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continue"/>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网址</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组织结构</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技术负责人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成立时间</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5178" w:type="dxa"/>
            <w:gridSpan w:val="7"/>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企业资质等级</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restart"/>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其中</w:t>
            </w: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项目负责人</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营业执照号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□高级职称人员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注册资金</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□中级职称人员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开户银行</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□初级职称人员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账户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□技工</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6"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经营范围</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2"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备注</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bl>
    <w:p>
      <w:pPr>
        <w:adjustRightInd w:val="0"/>
        <w:snapToGrid w:val="0"/>
        <w:ind w:firstLine="573"/>
        <w:rPr>
          <w:rFonts w:hint="eastAsia" w:cs="Times New Roman" w:asciiTheme="minorEastAsia" w:hAnsiTheme="minorEastAsia" w:eastAsiaTheme="minorEastAsia"/>
          <w:b/>
          <w:bCs/>
          <w:color w:val="auto"/>
          <w:sz w:val="28"/>
          <w:szCs w:val="28"/>
          <w:highlight w:val="none"/>
          <w:lang w:eastAsia="zh-CN"/>
        </w:rPr>
      </w:pPr>
      <w:r>
        <w:rPr>
          <w:rFonts w:ascii="仿宋_GB2312" w:eastAsia="仿宋_GB2312" w:hAnsiTheme="minorEastAsia"/>
          <w:color w:val="auto"/>
          <w:sz w:val="28"/>
          <w:szCs w:val="28"/>
          <w:highlight w:val="none"/>
        </w:rPr>
        <w:t>注</w:t>
      </w:r>
      <w:r>
        <w:rPr>
          <w:rFonts w:hint="eastAsia" w:ascii="仿宋_GB2312" w:eastAsia="仿宋_GB2312" w:hAnsiTheme="minorEastAsia"/>
          <w:color w:val="auto"/>
          <w:sz w:val="28"/>
          <w:szCs w:val="28"/>
          <w:highlight w:val="none"/>
        </w:rPr>
        <w:t>：</w:t>
      </w:r>
      <w:r>
        <w:rPr>
          <w:rFonts w:ascii="仿宋_GB2312" w:eastAsia="仿宋_GB2312" w:hAnsiTheme="minorEastAsia"/>
          <w:color w:val="auto"/>
          <w:sz w:val="28"/>
          <w:szCs w:val="28"/>
          <w:highlight w:val="none"/>
        </w:rPr>
        <w:t>供应商应按供应商须知的要求提供主体资格证明材料及相关资质证明材料</w:t>
      </w:r>
      <w:r>
        <w:rPr>
          <w:rFonts w:hint="eastAsia" w:ascii="仿宋_GB2312" w:eastAsia="仿宋_GB2312" w:hAnsiTheme="minorEastAsia"/>
          <w:color w:val="auto"/>
          <w:sz w:val="28"/>
          <w:szCs w:val="28"/>
          <w:highlight w:val="none"/>
          <w:lang w:eastAsia="zh-CN"/>
        </w:rPr>
        <w:t>。</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相关证明文件附后</w:t>
      </w:r>
      <w:r>
        <w:rPr>
          <w:rFonts w:hint="eastAsia" w:cs="Times New Roman" w:asciiTheme="minorEastAsia" w:hAnsiTheme="minorEastAsia" w:eastAsiaTheme="minorEastAsia"/>
          <w:b/>
          <w:bCs/>
          <w:color w:val="auto"/>
          <w:sz w:val="28"/>
          <w:szCs w:val="28"/>
          <w:highlight w:val="none"/>
          <w:lang w:eastAsia="zh-CN"/>
        </w:rPr>
        <w:t>）</w:t>
      </w:r>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lang w:val="en-US" w:eastAsia="zh-CN"/>
        </w:rPr>
      </w:pPr>
      <w:bookmarkStart w:id="171" w:name="_Hlk59025866"/>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eastAsiaTheme="minorEastAsia"/>
          <w:b/>
          <w:bCs/>
          <w:color w:val="auto"/>
          <w:sz w:val="28"/>
          <w:szCs w:val="28"/>
          <w:highlight w:val="none"/>
          <w:lang w:val="en-US" w:eastAsia="zh-CN"/>
        </w:rPr>
        <w:t>3.2不得存在情形</w:t>
      </w:r>
      <w:r>
        <w:rPr>
          <w:rFonts w:hint="eastAsia" w:cs="Times New Roman" w:asciiTheme="minorEastAsia" w:hAnsiTheme="minorEastAsia" w:eastAsiaTheme="minorEastAsia"/>
          <w:b/>
          <w:bCs/>
          <w:color w:val="auto"/>
          <w:sz w:val="28"/>
          <w:szCs w:val="28"/>
          <w:highlight w:val="none"/>
        </w:rPr>
        <w:t>承诺函</w:t>
      </w:r>
    </w:p>
    <w:bookmarkEnd w:id="171"/>
    <w:p>
      <w:pPr>
        <w:adjustRightInd w:val="0"/>
        <w:snapToGrid w:val="0"/>
        <w:spacing w:line="360" w:lineRule="auto"/>
        <w:rPr>
          <w:rFonts w:hint="eastAsia" w:ascii="宋体" w:hAnsi="宋体" w:eastAsia="宋体" w:cs="宋体"/>
          <w:color w:val="auto"/>
          <w:kern w:val="2"/>
          <w:sz w:val="24"/>
          <w:szCs w:val="24"/>
          <w:highlight w:val="none"/>
          <w:lang w:val="en-GB"/>
        </w:rPr>
      </w:pPr>
    </w:p>
    <w:p>
      <w:pPr>
        <w:adjustRightInd w:val="0"/>
        <w:snapToGrid w:val="0"/>
        <w:spacing w:line="360" w:lineRule="auto"/>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致：</w:t>
      </w:r>
      <w:r>
        <w:rPr>
          <w:rFonts w:hint="eastAsia" w:ascii="宋体" w:hAnsi="宋体" w:eastAsia="宋体" w:cs="宋体"/>
          <w:b/>
          <w:bCs/>
          <w:color w:val="auto"/>
          <w:sz w:val="24"/>
          <w:szCs w:val="24"/>
          <w:highlight w:val="none"/>
          <w:shd w:val="clear" w:color="auto" w:fill="FFFFFF"/>
        </w:rPr>
        <w:t>广州市净水有限公司</w:t>
      </w:r>
    </w:p>
    <w:p>
      <w:pPr>
        <w:spacing w:line="500" w:lineRule="exact"/>
        <w:ind w:left="1546" w:hanging="1320" w:hangingChars="550"/>
        <w:jc w:val="left"/>
        <w:rPr>
          <w:rFonts w:hint="eastAsia" w:ascii="宋体" w:hAnsi="宋体" w:cs="宋体"/>
          <w:color w:val="auto"/>
          <w:kern w:val="2"/>
          <w:sz w:val="24"/>
          <w:szCs w:val="24"/>
          <w:highlight w:val="none"/>
          <w:lang w:val="en-GB" w:eastAsia="zh-CN"/>
        </w:rPr>
      </w:pPr>
      <w:r>
        <w:rPr>
          <w:rFonts w:hint="eastAsia" w:ascii="宋体" w:hAnsi="宋体" w:eastAsia="宋体" w:cs="宋体"/>
          <w:color w:val="auto"/>
          <w:kern w:val="2"/>
          <w:sz w:val="24"/>
          <w:szCs w:val="24"/>
          <w:highlight w:val="none"/>
          <w:lang w:val="en-GB"/>
        </w:rPr>
        <w:t>我方郑重承诺，在参与</w:t>
      </w:r>
      <w:r>
        <w:rPr>
          <w:rFonts w:hint="eastAsia" w:ascii="宋体" w:hAnsi="宋体" w:cs="宋体"/>
          <w:color w:val="auto"/>
          <w:kern w:val="2"/>
          <w:sz w:val="24"/>
          <w:szCs w:val="24"/>
          <w:highlight w:val="none"/>
          <w:lang w:val="en-GB" w:eastAsia="zh-CN"/>
        </w:rPr>
        <w:t>广州市净水有限公司石井分公司</w:t>
      </w:r>
      <w:r>
        <w:rPr>
          <w:rFonts w:hint="eastAsia" w:ascii="宋体" w:hAnsi="宋体" w:cs="宋体"/>
          <w:color w:val="auto"/>
          <w:kern w:val="2"/>
          <w:sz w:val="24"/>
          <w:szCs w:val="24"/>
          <w:highlight w:val="none"/>
          <w:lang w:val="en-US" w:eastAsia="zh-CN"/>
        </w:rPr>
        <w:t>二期初雨增设PAC储存罐项目</w:t>
      </w:r>
    </w:p>
    <w:p>
      <w:pPr>
        <w:adjustRightInd w:val="0"/>
        <w:snapToGrid w:val="0"/>
        <w:spacing w:line="360" w:lineRule="auto"/>
        <w:ind w:firstLine="480" w:firstLineChars="200"/>
        <w:jc w:val="both"/>
        <w:rPr>
          <w:rFonts w:hint="eastAsia" w:ascii="仿宋_GB2312" w:eastAsia="仿宋_GB2312"/>
          <w:color w:val="auto"/>
          <w:sz w:val="28"/>
          <w:szCs w:val="28"/>
          <w:highlight w:val="none"/>
          <w:lang w:eastAsia="zh-CN"/>
        </w:rPr>
      </w:pPr>
      <w:r>
        <w:rPr>
          <w:rFonts w:hint="eastAsia" w:ascii="宋体" w:hAnsi="宋体" w:eastAsia="宋体" w:cs="宋体"/>
          <w:color w:val="auto"/>
          <w:kern w:val="2"/>
          <w:sz w:val="24"/>
          <w:szCs w:val="24"/>
          <w:highlight w:val="none"/>
          <w:u w:val="single"/>
          <w:lang w:val="en-GB"/>
        </w:rPr>
        <w:t>（项目编号：</w:t>
      </w:r>
      <w:r>
        <w:rPr>
          <w:rFonts w:hint="eastAsia" w:ascii="仿宋_GB2312" w:eastAsia="仿宋_GB2312"/>
          <w:color w:val="auto"/>
          <w:sz w:val="28"/>
          <w:szCs w:val="28"/>
          <w:highlight w:val="none"/>
          <w:u w:val="single"/>
        </w:rPr>
        <w:t>03042022000002</w:t>
      </w:r>
      <w:r>
        <w:rPr>
          <w:rFonts w:hint="eastAsia" w:ascii="宋体" w:hAnsi="宋体" w:eastAsia="宋体" w:cs="宋体"/>
          <w:color w:val="auto"/>
          <w:kern w:val="2"/>
          <w:sz w:val="24"/>
          <w:szCs w:val="24"/>
          <w:highlight w:val="none"/>
          <w:u w:val="single"/>
          <w:lang w:val="en-GB"/>
        </w:rPr>
        <w:t>）</w:t>
      </w:r>
      <w:r>
        <w:rPr>
          <w:rFonts w:hint="eastAsia" w:ascii="宋体" w:hAnsi="宋体" w:eastAsia="宋体" w:cs="宋体"/>
          <w:color w:val="auto"/>
          <w:kern w:val="2"/>
          <w:sz w:val="24"/>
          <w:szCs w:val="24"/>
          <w:highlight w:val="none"/>
          <w:lang w:val="en-GB"/>
        </w:rPr>
        <w:t>采购期间，未被</w:t>
      </w:r>
      <w:r>
        <w:rPr>
          <w:rFonts w:hint="eastAsia" w:ascii="仿宋_GB2312" w:eastAsia="仿宋_GB2312"/>
          <w:color w:val="auto"/>
          <w:sz w:val="28"/>
          <w:szCs w:val="28"/>
          <w:highlight w:val="none"/>
          <w:lang w:val="en-US" w:eastAsia="zh-CN"/>
        </w:rPr>
        <w:t>列入</w:t>
      </w:r>
      <w:r>
        <w:rPr>
          <w:rFonts w:hint="eastAsia" w:ascii="仿宋_GB2312" w:eastAsia="仿宋_GB2312"/>
          <w:color w:val="auto"/>
          <w:sz w:val="28"/>
          <w:szCs w:val="28"/>
          <w:highlight w:val="none"/>
        </w:rPr>
        <w:t>下列情形之一</w:t>
      </w:r>
      <w:r>
        <w:rPr>
          <w:rFonts w:hint="eastAsia" w:ascii="仿宋_GB2312" w:eastAsia="仿宋_GB2312"/>
          <w:color w:val="auto"/>
          <w:sz w:val="28"/>
          <w:szCs w:val="28"/>
          <w:highlight w:val="none"/>
          <w:lang w:eastAsia="zh-CN"/>
        </w:rPr>
        <w:t>：</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（1）与本项目其他供应商的单位负责人为同一人。</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（2）与本项目其他供应商存在控股关系。</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（3）与本项目其他供应商存在管理关系。</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（4）被本项目所在地省级以上行业主管部门依法暂停、取消投标或禁止参加采购活动且处于有效期内的。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（5）处于被责令停产停业、暂扣或者吊销执照、暂扣或者吊销许可证、吊销资质证书状态。</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（6）进入清算程序，或被宣告破产，或其他丧失履约能力情形的。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（7）近三年内因发生质量或安全生产事故等受到行政处罚且在处罚期内的。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（8）被最高人民法院在“信用中国”网站（www.creditchina.gov.cn）或各级信用信息共享平台中列入失信被执行人名单。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（9）被“信用广州”网站纳入失信被执行人名单（失信黑名单）。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（10）被纳入本项目采购人（包括市水投集团及相关所属企业）书面限制参与采购活动且处于有效期内的。</w:t>
      </w:r>
    </w:p>
    <w:p>
      <w:pPr>
        <w:adjustRightInd w:val="0"/>
        <w:snapToGrid w:val="0"/>
        <w:spacing w:line="360" w:lineRule="auto"/>
        <w:ind w:firstLine="480" w:firstLineChars="200"/>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（11）其他违法违纪行为，经审查认为不宜被邀请参加采购活动的。</w:t>
      </w:r>
    </w:p>
    <w:p>
      <w:pPr>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注：附件：网页截图</w:t>
      </w:r>
    </w:p>
    <w:p>
      <w:pPr>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1、网站截图为“信用中国”网站（www.creditchina.gov.cn）首页“信用信息”搜索一栏输入企业全称后得出的查询结果页面。信用记录承诺必须附网站截图。</w:t>
      </w:r>
    </w:p>
    <w:p>
      <w:pPr>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2、截图中应显示网站域名，页面信息必须明确显示参与本项目的企业全称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年  月  日</w:t>
      </w:r>
    </w:p>
    <w:p>
      <w:pPr>
        <w:pStyle w:val="2"/>
        <w:ind w:firstLine="0"/>
        <w:rPr>
          <w:rFonts w:hint="eastAsia"/>
          <w:color w:val="auto"/>
          <w:highlight w:val="none"/>
          <w:lang w:eastAsia="zh-CN"/>
        </w:rPr>
      </w:pPr>
    </w:p>
    <w:p>
      <w:pPr>
        <w:jc w:val="left"/>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b/>
          <w:bCs/>
          <w:color w:val="auto"/>
          <w:sz w:val="28"/>
          <w:szCs w:val="28"/>
          <w:highlight w:val="none"/>
          <w:lang w:val="en-US" w:eastAsia="zh-CN"/>
        </w:rPr>
        <w:t>4</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拟投入本项目的项目负责人情况表</w:t>
      </w:r>
    </w:p>
    <w:p>
      <w:pPr>
        <w:pStyle w:val="2"/>
        <w:rPr>
          <w:rFonts w:hint="eastAsia" w:ascii="仿宋_GB2312" w:eastAsia="仿宋_GB2312" w:hAnsiTheme="minorEastAsia"/>
          <w:color w:val="auto"/>
          <w:sz w:val="28"/>
          <w:szCs w:val="28"/>
          <w:highlight w:val="none"/>
          <w:lang w:val="en-US" w:eastAsia="zh-CN"/>
        </w:rPr>
      </w:pPr>
    </w:p>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 xml:space="preserve"> 拟投入本项目的项目负责人情况表</w:t>
      </w:r>
    </w:p>
    <w:tbl>
      <w:tblPr>
        <w:tblStyle w:val="24"/>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姓名</w:t>
            </w:r>
          </w:p>
        </w:tc>
        <w:tc>
          <w:tcPr>
            <w:tcW w:w="1497" w:type="dxa"/>
            <w:gridSpan w:val="2"/>
            <w:noWrap w:val="0"/>
            <w:vAlign w:val="top"/>
          </w:tcPr>
          <w:p>
            <w:pPr>
              <w:jc w:val="center"/>
              <w:rPr>
                <w:rFonts w:ascii="仿宋" w:hAnsi="仿宋" w:eastAsia="仿宋" w:cs="仿宋_GB2312"/>
                <w:b/>
                <w:color w:val="auto"/>
                <w:sz w:val="28"/>
                <w:szCs w:val="28"/>
                <w:highlight w:val="none"/>
              </w:rPr>
            </w:pPr>
          </w:p>
        </w:tc>
        <w:tc>
          <w:tcPr>
            <w:tcW w:w="161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出生年月</w:t>
            </w:r>
          </w:p>
        </w:tc>
        <w:tc>
          <w:tcPr>
            <w:tcW w:w="1337" w:type="dxa"/>
            <w:gridSpan w:val="2"/>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学历</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职务</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从事本工作时间</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毕业院校</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毕业时间</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专业</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注册证书等级</w:t>
            </w:r>
          </w:p>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和专业</w:t>
            </w:r>
          </w:p>
        </w:tc>
        <w:tc>
          <w:tcPr>
            <w:tcW w:w="2950" w:type="dxa"/>
            <w:gridSpan w:val="4"/>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职称证专业</w:t>
            </w:r>
          </w:p>
        </w:tc>
        <w:tc>
          <w:tcPr>
            <w:tcW w:w="2950" w:type="dxa"/>
            <w:gridSpan w:val="4"/>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项目名称</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合同金额</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开、竣工时间</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担任职务</w:t>
            </w:r>
          </w:p>
        </w:tc>
        <w:tc>
          <w:tcPr>
            <w:tcW w:w="145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bl>
    <w:p>
      <w:pPr>
        <w:pStyle w:val="2"/>
        <w:rPr>
          <w:rFonts w:hint="default" w:ascii="仿宋_GB2312" w:eastAsia="仿宋_GB2312" w:hAnsiTheme="minorEastAsia"/>
          <w:color w:val="auto"/>
          <w:sz w:val="28"/>
          <w:szCs w:val="28"/>
          <w:highlight w:val="none"/>
          <w:lang w:val="en-US" w:eastAsia="zh-CN"/>
        </w:rPr>
      </w:pPr>
    </w:p>
    <w:p>
      <w:pPr>
        <w:pStyle w:val="2"/>
        <w:rPr>
          <w:rFonts w:hint="default" w:ascii="仿宋_GB2312" w:eastAsia="仿宋_GB2312" w:hAnsiTheme="minorEastAsia"/>
          <w:color w:val="auto"/>
          <w:sz w:val="28"/>
          <w:szCs w:val="28"/>
          <w:highlight w:val="none"/>
          <w:lang w:val="en-US" w:eastAsia="zh-CN"/>
        </w:rPr>
      </w:pPr>
    </w:p>
    <w:p>
      <w:pPr>
        <w:pStyle w:val="2"/>
        <w:rPr>
          <w:rFonts w:hint="default" w:ascii="仿宋_GB2312" w:eastAsia="仿宋_GB2312" w:hAnsiTheme="minorEastAsia"/>
          <w:color w:val="auto"/>
          <w:sz w:val="28"/>
          <w:szCs w:val="28"/>
          <w:highlight w:val="none"/>
          <w:lang w:val="en-US" w:eastAsia="zh-CN"/>
        </w:rPr>
      </w:pPr>
    </w:p>
    <w:p>
      <w:pPr>
        <w:pStyle w:val="2"/>
        <w:rPr>
          <w:rFonts w:hint="default" w:ascii="仿宋_GB2312" w:eastAsia="仿宋_GB2312" w:hAnsiTheme="minorEastAsia"/>
          <w:color w:val="auto"/>
          <w:sz w:val="28"/>
          <w:szCs w:val="28"/>
          <w:highlight w:val="none"/>
          <w:lang w:val="en-US" w:eastAsia="zh-CN"/>
        </w:rPr>
      </w:pPr>
    </w:p>
    <w:p>
      <w:pPr>
        <w:pStyle w:val="6"/>
        <w:rPr>
          <w:rFonts w:asciiTheme="minorEastAsia" w:hAnsiTheme="minorEastAsia" w:eastAsiaTheme="minorEastAsia"/>
          <w:color w:val="auto"/>
          <w:sz w:val="28"/>
          <w:szCs w:val="28"/>
          <w:highlight w:val="none"/>
        </w:rPr>
      </w:pPr>
      <w:bookmarkStart w:id="172" w:name="_Toc19423"/>
      <w:bookmarkStart w:id="173" w:name="_Toc32430"/>
      <w:r>
        <w:rPr>
          <w:rFonts w:hint="eastAsia" w:ascii="仿宋_GB2312" w:eastAsia="仿宋_GB2312" w:hAnsiTheme="minorEastAsia"/>
          <w:color w:val="auto"/>
          <w:sz w:val="28"/>
          <w:szCs w:val="28"/>
          <w:highlight w:val="none"/>
          <w:lang w:val="en-US" w:eastAsia="zh-CN"/>
        </w:rPr>
        <w:t>5</w:t>
      </w:r>
      <w:r>
        <w:rPr>
          <w:rFonts w:hint="eastAsia" w:asciiTheme="minorEastAsia" w:hAnsiTheme="minorEastAsia" w:eastAsiaTheme="minorEastAsia"/>
          <w:color w:val="auto"/>
          <w:sz w:val="28"/>
          <w:szCs w:val="28"/>
          <w:highlight w:val="none"/>
        </w:rPr>
        <w:t>.报价表</w:t>
      </w:r>
      <w:bookmarkEnd w:id="172"/>
      <w:bookmarkEnd w:id="173"/>
    </w:p>
    <w:tbl>
      <w:tblPr>
        <w:tblStyle w:val="24"/>
        <w:tblpPr w:leftFromText="180" w:rightFromText="180" w:vertAnchor="text" w:horzAnchor="page" w:tblpX="916" w:tblpY="416"/>
        <w:tblOverlap w:val="never"/>
        <w:tblW w:w="104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75"/>
        <w:gridCol w:w="3270"/>
        <w:gridCol w:w="1710"/>
        <w:gridCol w:w="255"/>
        <w:gridCol w:w="735"/>
        <w:gridCol w:w="495"/>
        <w:gridCol w:w="1485"/>
        <w:gridCol w:w="14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10410" w:type="dxa"/>
            <w:gridSpan w:val="8"/>
            <w:tcBorders>
              <w:top w:val="nil"/>
              <w:left w:val="nil"/>
              <w:bottom w:val="nil"/>
              <w:right w:val="nil"/>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单项工程预算价汇总表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210" w:type="dxa"/>
            <w:gridSpan w:val="4"/>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工程名称：石井分公司二期初雨增设PAC储存罐项目</w:t>
            </w:r>
          </w:p>
        </w:tc>
        <w:tc>
          <w:tcPr>
            <w:tcW w:w="735" w:type="dxa"/>
            <w:tcBorders>
              <w:top w:val="nil"/>
              <w:left w:val="nil"/>
              <w:bottom w:val="nil"/>
              <w:right w:val="nil"/>
            </w:tcBorders>
            <w:shd w:val="clear" w:color="FFFFFF" w:fill="FFFFFF"/>
            <w:noWrap w:val="0"/>
            <w:vAlign w:val="bottom"/>
          </w:tcPr>
          <w:p>
            <w:pPr>
              <w:jc w:val="center"/>
              <w:rPr>
                <w:rFonts w:hint="eastAsia" w:ascii="宋体" w:hAnsi="宋体" w:eastAsia="宋体" w:cs="宋体"/>
                <w:i w:val="0"/>
                <w:iCs w:val="0"/>
                <w:color w:val="000000"/>
                <w:sz w:val="20"/>
                <w:szCs w:val="20"/>
                <w:u w:val="none"/>
              </w:rPr>
            </w:pPr>
          </w:p>
        </w:tc>
        <w:tc>
          <w:tcPr>
            <w:tcW w:w="3465" w:type="dxa"/>
            <w:gridSpan w:val="3"/>
            <w:tcBorders>
              <w:top w:val="nil"/>
              <w:left w:val="nil"/>
              <w:bottom w:val="nil"/>
              <w:right w:val="nil"/>
            </w:tcBorders>
            <w:shd w:val="clear" w:color="FFFFFF" w:fill="FFFFFF"/>
            <w:noWrap w:val="0"/>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975" w:type="dxa"/>
            <w:vMerge w:val="restart"/>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3270"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单位工程名称</w:t>
            </w:r>
          </w:p>
        </w:tc>
        <w:tc>
          <w:tcPr>
            <w:tcW w:w="1710"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c>
          <w:tcPr>
            <w:tcW w:w="4455" w:type="dxa"/>
            <w:gridSpan w:val="5"/>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75" w:type="dxa"/>
            <w:vMerge w:val="continue"/>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3270"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710"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485"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c>
          <w:tcPr>
            <w:tcW w:w="148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1485"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975"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327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建筑工程</w:t>
            </w:r>
          </w:p>
        </w:tc>
        <w:tc>
          <w:tcPr>
            <w:tcW w:w="171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485"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48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2705.45</w:t>
            </w:r>
          </w:p>
        </w:tc>
        <w:tc>
          <w:tcPr>
            <w:tcW w:w="1485"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975"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327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安装工程</w:t>
            </w:r>
          </w:p>
        </w:tc>
        <w:tc>
          <w:tcPr>
            <w:tcW w:w="171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485"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48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3462.77</w:t>
            </w:r>
          </w:p>
        </w:tc>
        <w:tc>
          <w:tcPr>
            <w:tcW w:w="1485"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975"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327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71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485"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48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485"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4245" w:type="dxa"/>
            <w:gridSpan w:val="2"/>
            <w:tcBorders>
              <w:top w:val="single" w:color="000000" w:sz="4" w:space="0"/>
              <w:left w:val="single" w:color="000000" w:sz="8" w:space="0"/>
              <w:bottom w:val="single" w:color="000000" w:sz="8"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w:t>
            </w:r>
          </w:p>
        </w:tc>
        <w:tc>
          <w:tcPr>
            <w:tcW w:w="1710" w:type="dxa"/>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485" w:type="dxa"/>
            <w:gridSpan w:val="3"/>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485" w:type="dxa"/>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485" w:type="dxa"/>
            <w:tcBorders>
              <w:top w:val="single" w:color="000000" w:sz="4" w:space="0"/>
              <w:left w:val="single" w:color="000000" w:sz="4" w:space="0"/>
              <w:bottom w:val="single" w:color="000000" w:sz="8"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410" w:type="dxa"/>
            <w:gridSpan w:val="8"/>
            <w:tcBorders>
              <w:top w:val="nil"/>
              <w:left w:val="nil"/>
              <w:bottom w:val="nil"/>
              <w:right w:val="nil"/>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注：本表适用于单项工程招标控制价或投标报价的汇总。暂估价包括分部分项工程中的暂估价和专业工程工程暂估价。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210" w:type="dxa"/>
            <w:gridSpan w:val="4"/>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000000"/>
                <w:sz w:val="18"/>
                <w:szCs w:val="18"/>
                <w:u w:val="none"/>
              </w:rPr>
            </w:pPr>
          </w:p>
        </w:tc>
        <w:tc>
          <w:tcPr>
            <w:tcW w:w="735" w:type="dxa"/>
            <w:tcBorders>
              <w:top w:val="nil"/>
              <w:left w:val="nil"/>
              <w:bottom w:val="nil"/>
              <w:right w:val="nil"/>
            </w:tcBorders>
            <w:shd w:val="clear" w:color="FFFFFF" w:fill="FFFFFF"/>
            <w:noWrap w:val="0"/>
            <w:vAlign w:val="center"/>
          </w:tcPr>
          <w:p>
            <w:pPr>
              <w:jc w:val="center"/>
              <w:rPr>
                <w:rFonts w:hint="eastAsia" w:ascii="宋体" w:hAnsi="宋体" w:eastAsia="宋体" w:cs="宋体"/>
                <w:i w:val="0"/>
                <w:iCs w:val="0"/>
                <w:color w:val="000000"/>
                <w:sz w:val="18"/>
                <w:szCs w:val="18"/>
                <w:u w:val="none"/>
              </w:rPr>
            </w:pPr>
          </w:p>
        </w:tc>
        <w:tc>
          <w:tcPr>
            <w:tcW w:w="3465" w:type="dxa"/>
            <w:gridSpan w:val="3"/>
            <w:tcBorders>
              <w:top w:val="nil"/>
              <w:left w:val="nil"/>
              <w:bottom w:val="nil"/>
              <w:right w:val="nil"/>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表—03</w:t>
            </w:r>
          </w:p>
        </w:tc>
      </w:tr>
    </w:tbl>
    <w:p>
      <w:pPr>
        <w:spacing w:line="360" w:lineRule="auto"/>
        <w:rPr>
          <w:rFonts w:ascii="宋体" w:hAnsi="宋体" w:cs="宋体"/>
          <w:color w:val="auto"/>
          <w:sz w:val="24"/>
          <w:highlight w:val="none"/>
        </w:rPr>
      </w:pPr>
    </w:p>
    <w:p>
      <w:pPr>
        <w:pStyle w:val="11"/>
        <w:rPr>
          <w:rFonts w:hint="eastAsia"/>
          <w:lang w:val="en-US" w:eastAsia="zh-CN"/>
        </w:rPr>
      </w:pPr>
    </w:p>
    <w:tbl>
      <w:tblPr>
        <w:tblStyle w:val="24"/>
        <w:tblpPr w:leftFromText="180" w:rightFromText="180" w:vertAnchor="text" w:horzAnchor="page" w:tblpX="822" w:tblpY="572"/>
        <w:tblOverlap w:val="never"/>
        <w:tblW w:w="105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17"/>
        <w:gridCol w:w="5027"/>
        <w:gridCol w:w="80"/>
        <w:gridCol w:w="1913"/>
        <w:gridCol w:w="664"/>
        <w:gridCol w:w="15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500" w:type="dxa"/>
            <w:gridSpan w:val="6"/>
            <w:tcBorders>
              <w:top w:val="nil"/>
              <w:left w:val="nil"/>
              <w:bottom w:val="nil"/>
              <w:right w:val="nil"/>
            </w:tcBorders>
            <w:shd w:val="clear" w:color="FFFFFF" w:fill="FFFFFF"/>
            <w:noWrap w:val="0"/>
            <w:vAlign w:val="center"/>
          </w:tcPr>
          <w:p>
            <w:pPr>
              <w:keepNext w:val="0"/>
              <w:keepLines w:val="0"/>
              <w:widowControl/>
              <w:suppressLineNumbers w:val="0"/>
              <w:jc w:val="center"/>
              <w:textAlignment w:val="center"/>
              <w:rPr>
                <w:rFonts w:ascii="华文中宋" w:hAnsi="华文中宋" w:eastAsia="华文中宋" w:cs="华文中宋"/>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单位工程预算价汇总表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324" w:type="dxa"/>
            <w:gridSpan w:val="3"/>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工程名称：建筑工程</w:t>
            </w:r>
          </w:p>
        </w:tc>
        <w:tc>
          <w:tcPr>
            <w:tcW w:w="1913"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0"/>
                <w:szCs w:val="20"/>
                <w:u w:val="none"/>
              </w:rPr>
            </w:pPr>
          </w:p>
        </w:tc>
        <w:tc>
          <w:tcPr>
            <w:tcW w:w="2263" w:type="dxa"/>
            <w:gridSpan w:val="2"/>
            <w:tcBorders>
              <w:top w:val="nil"/>
              <w:left w:val="nil"/>
              <w:bottom w:val="nil"/>
              <w:right w:val="nil"/>
            </w:tcBorders>
            <w:shd w:val="clear" w:color="FFFFFF" w:fill="FFFFFF"/>
            <w:noWrap w:val="0"/>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217" w:type="dxa"/>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5027" w:type="dxa"/>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汇总内容</w:t>
            </w:r>
          </w:p>
        </w:tc>
        <w:tc>
          <w:tcPr>
            <w:tcW w:w="2657" w:type="dxa"/>
            <w:gridSpan w:val="3"/>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c>
          <w:tcPr>
            <w:tcW w:w="1599" w:type="dxa"/>
            <w:tcBorders>
              <w:top w:val="single" w:color="000000" w:sz="8"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217"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2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w:t>
            </w:r>
          </w:p>
        </w:tc>
        <w:tc>
          <w:tcPr>
            <w:tcW w:w="2657"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59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217"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02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措施合计</w:t>
            </w:r>
          </w:p>
        </w:tc>
        <w:tc>
          <w:tcPr>
            <w:tcW w:w="2657"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59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217"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502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2657"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tabs>
                <w:tab w:val="left" w:pos="1732"/>
              </w:tabs>
              <w:ind w:firstLine="600" w:firstLineChars="300"/>
              <w:jc w:val="left"/>
              <w:textAlignment w:val="center"/>
              <w:rPr>
                <w:rFonts w:hint="eastAsia" w:ascii="宋体" w:hAnsi="宋体" w:eastAsia="宋体" w:cs="宋体"/>
                <w:i w:val="0"/>
                <w:iCs w:val="0"/>
                <w:color w:val="000000"/>
                <w:sz w:val="20"/>
                <w:szCs w:val="20"/>
                <w:u w:val="none"/>
                <w:lang w:eastAsia="zh-CN"/>
              </w:rPr>
            </w:pPr>
            <w:r>
              <w:rPr>
                <w:rFonts w:hint="eastAsia" w:ascii="宋体" w:hAnsi="宋体" w:eastAsia="宋体" w:cs="宋体"/>
                <w:i w:val="0"/>
                <w:iCs w:val="0"/>
                <w:color w:val="000000"/>
                <w:kern w:val="0"/>
                <w:sz w:val="20"/>
                <w:szCs w:val="20"/>
                <w:u w:val="none"/>
                <w:lang w:val="en-US" w:eastAsia="zh-CN" w:bidi="ar"/>
              </w:rPr>
              <w:t>2705.45</w:t>
            </w:r>
          </w:p>
        </w:tc>
        <w:tc>
          <w:tcPr>
            <w:tcW w:w="159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217"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502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其他措施费</w:t>
            </w:r>
          </w:p>
        </w:tc>
        <w:tc>
          <w:tcPr>
            <w:tcW w:w="2657"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59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217"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02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w:t>
            </w:r>
          </w:p>
        </w:tc>
        <w:tc>
          <w:tcPr>
            <w:tcW w:w="2657"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59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217"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502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暂列金额</w:t>
            </w:r>
          </w:p>
        </w:tc>
        <w:tc>
          <w:tcPr>
            <w:tcW w:w="2657"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59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217"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502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c>
          <w:tcPr>
            <w:tcW w:w="2657"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59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217"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502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计日工</w:t>
            </w:r>
          </w:p>
        </w:tc>
        <w:tc>
          <w:tcPr>
            <w:tcW w:w="2657"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59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217"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502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总承包服务费</w:t>
            </w:r>
          </w:p>
        </w:tc>
        <w:tc>
          <w:tcPr>
            <w:tcW w:w="2657"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59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217"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502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预算包干费</w:t>
            </w:r>
          </w:p>
        </w:tc>
        <w:tc>
          <w:tcPr>
            <w:tcW w:w="2657"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yellow"/>
                <w:u w:val="none"/>
              </w:rPr>
            </w:pPr>
          </w:p>
        </w:tc>
        <w:tc>
          <w:tcPr>
            <w:tcW w:w="159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217"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502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工程优质费</w:t>
            </w:r>
          </w:p>
        </w:tc>
        <w:tc>
          <w:tcPr>
            <w:tcW w:w="2657"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59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217"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502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概算幅度差</w:t>
            </w:r>
          </w:p>
        </w:tc>
        <w:tc>
          <w:tcPr>
            <w:tcW w:w="2657"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59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217"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502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索赔费用</w:t>
            </w:r>
          </w:p>
        </w:tc>
        <w:tc>
          <w:tcPr>
            <w:tcW w:w="2657"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59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217"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502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现场签证费用</w:t>
            </w:r>
          </w:p>
        </w:tc>
        <w:tc>
          <w:tcPr>
            <w:tcW w:w="2657"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59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217"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w:t>
            </w:r>
          </w:p>
        </w:tc>
        <w:tc>
          <w:tcPr>
            <w:tcW w:w="502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2657"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59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217"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02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2657"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59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217"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02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2657"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59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217"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02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总造价</w:t>
            </w:r>
          </w:p>
        </w:tc>
        <w:tc>
          <w:tcPr>
            <w:tcW w:w="2657"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59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217"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02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人工费</w:t>
            </w:r>
          </w:p>
        </w:tc>
        <w:tc>
          <w:tcPr>
            <w:tcW w:w="2657"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59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217"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502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2657"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59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217" w:type="dxa"/>
            <w:tcBorders>
              <w:top w:val="single" w:color="000000" w:sz="4" w:space="0"/>
              <w:left w:val="single" w:color="000000" w:sz="8" w:space="0"/>
              <w:bottom w:val="single" w:color="000000" w:sz="8"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5027" w:type="dxa"/>
            <w:tcBorders>
              <w:top w:val="single" w:color="000000" w:sz="4" w:space="0"/>
              <w:left w:val="single" w:color="000000" w:sz="8" w:space="0"/>
              <w:bottom w:val="single" w:color="000000" w:sz="8" w:space="0"/>
              <w:right w:val="single" w:color="000000" w:sz="4" w:space="0"/>
            </w:tcBorders>
            <w:shd w:val="clear" w:color="FFFFFF" w:fill="FFFFFF"/>
            <w:noWrap w:val="0"/>
            <w:vAlign w:val="center"/>
          </w:tcPr>
          <w:p>
            <w:pPr>
              <w:jc w:val="left"/>
            </w:pPr>
          </w:p>
        </w:tc>
        <w:tc>
          <w:tcPr>
            <w:tcW w:w="2657" w:type="dxa"/>
            <w:gridSpan w:val="3"/>
            <w:tcBorders>
              <w:top w:val="single" w:color="000000" w:sz="4" w:space="0"/>
              <w:left w:val="single" w:color="000000" w:sz="8" w:space="0"/>
              <w:bottom w:val="single" w:color="000000" w:sz="8"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599" w:type="dxa"/>
            <w:tcBorders>
              <w:top w:val="single" w:color="000000" w:sz="4" w:space="0"/>
              <w:left w:val="single" w:color="000000" w:sz="4" w:space="0"/>
              <w:bottom w:val="single" w:color="000000" w:sz="8"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500" w:type="dxa"/>
            <w:gridSpan w:val="6"/>
            <w:tcBorders>
              <w:top w:val="nil"/>
              <w:left w:val="nil"/>
              <w:bottom w:val="nil"/>
              <w:right w:val="nil"/>
            </w:tcBorders>
            <w:shd w:val="clear" w:color="FFFFFF"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注：本表适用于单位工程造价的汇总，如无单位工程划分，单项工程也使用本表汇总</w:t>
            </w:r>
          </w:p>
        </w:tc>
      </w:tr>
    </w:tbl>
    <w:p>
      <w:pPr>
        <w:adjustRightInd w:val="0"/>
        <w:snapToGrid w:val="0"/>
        <w:spacing w:line="300" w:lineRule="auto"/>
        <w:rPr>
          <w:rFonts w:ascii="仿宋_GB2312" w:hAnsi="仿宋_GB2312" w:eastAsia="仿宋_GB2312" w:cs="仿宋_GB2312"/>
          <w:b/>
          <w:color w:val="auto"/>
          <w:sz w:val="28"/>
          <w:szCs w:val="28"/>
          <w:highlight w:val="none"/>
        </w:rPr>
      </w:pPr>
    </w:p>
    <w:p>
      <w:pPr>
        <w:adjustRightInd w:val="0"/>
        <w:snapToGrid w:val="0"/>
        <w:spacing w:line="300" w:lineRule="auto"/>
        <w:rPr>
          <w:rFonts w:ascii="仿宋_GB2312" w:hAnsi="仿宋_GB2312" w:eastAsia="仿宋_GB2312" w:cs="仿宋_GB2312"/>
          <w:b/>
          <w:color w:val="auto"/>
          <w:sz w:val="28"/>
          <w:szCs w:val="28"/>
          <w:highlight w:val="none"/>
        </w:rPr>
      </w:pPr>
    </w:p>
    <w:p>
      <w:pPr>
        <w:spacing w:line="480" w:lineRule="auto"/>
        <w:jc w:val="center"/>
        <w:rPr>
          <w:rFonts w:hint="eastAsia" w:ascii="仿宋_GB2312" w:hAnsi="仿宋_GB2312" w:eastAsia="仿宋_GB2312" w:cs="仿宋_GB2312"/>
          <w:b/>
          <w:color w:val="auto"/>
          <w:sz w:val="28"/>
          <w:szCs w:val="28"/>
          <w:highlight w:val="none"/>
        </w:rPr>
      </w:pPr>
    </w:p>
    <w:tbl>
      <w:tblPr>
        <w:tblStyle w:val="24"/>
        <w:tblpPr w:leftFromText="180" w:rightFromText="180" w:vertAnchor="text" w:horzAnchor="page" w:tblpX="841" w:tblpY="529"/>
        <w:tblOverlap w:val="never"/>
        <w:tblW w:w="104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32"/>
        <w:gridCol w:w="1416"/>
        <w:gridCol w:w="1276"/>
        <w:gridCol w:w="2492"/>
        <w:gridCol w:w="96"/>
        <w:gridCol w:w="526"/>
        <w:gridCol w:w="1316"/>
        <w:gridCol w:w="229"/>
        <w:gridCol w:w="696"/>
        <w:gridCol w:w="925"/>
        <w:gridCol w:w="8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10410" w:type="dxa"/>
            <w:gridSpan w:val="11"/>
            <w:tcBorders>
              <w:top w:val="nil"/>
              <w:left w:val="nil"/>
              <w:bottom w:val="nil"/>
              <w:right w:val="nil"/>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816" w:type="dxa"/>
            <w:gridSpan w:val="4"/>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工程名称：建筑工程</w:t>
            </w:r>
          </w:p>
        </w:tc>
        <w:tc>
          <w:tcPr>
            <w:tcW w:w="2167" w:type="dxa"/>
            <w:gridSpan w:val="4"/>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0"/>
                <w:szCs w:val="20"/>
                <w:u w:val="none"/>
              </w:rPr>
            </w:pPr>
          </w:p>
        </w:tc>
        <w:tc>
          <w:tcPr>
            <w:tcW w:w="2427" w:type="dxa"/>
            <w:gridSpan w:val="3"/>
            <w:tcBorders>
              <w:top w:val="nil"/>
              <w:left w:val="nil"/>
              <w:bottom w:val="nil"/>
              <w:right w:val="nil"/>
            </w:tcBorders>
            <w:shd w:val="clear" w:color="FFFFFF" w:fill="FFFFFF"/>
            <w:noWrap w:val="0"/>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32" w:type="dxa"/>
            <w:vMerge w:val="restart"/>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416"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1276"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588"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526"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1316"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2656" w:type="dxa"/>
            <w:gridSpan w:val="4"/>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632" w:type="dxa"/>
            <w:vMerge w:val="continue"/>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416"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276"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2588"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526"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316"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925"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80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32" w:type="dxa"/>
            <w:vMerge w:val="continue"/>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416"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276"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2588"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526"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316"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925"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925" w:type="dxa"/>
            <w:vMerge w:val="continue"/>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80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32"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2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整个项目</w:t>
            </w:r>
          </w:p>
        </w:tc>
        <w:tc>
          <w:tcPr>
            <w:tcW w:w="258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52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3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925"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92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80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32"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010101001001</w:t>
            </w:r>
          </w:p>
        </w:tc>
        <w:tc>
          <w:tcPr>
            <w:tcW w:w="12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平整场地</w:t>
            </w:r>
          </w:p>
        </w:tc>
        <w:tc>
          <w:tcPr>
            <w:tcW w:w="258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1.平整场地厚度：300mm</w:t>
            </w:r>
          </w:p>
        </w:tc>
        <w:tc>
          <w:tcPr>
            <w:tcW w:w="52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925"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2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0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32"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010101007001</w:t>
            </w:r>
          </w:p>
        </w:tc>
        <w:tc>
          <w:tcPr>
            <w:tcW w:w="12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管沟土方</w:t>
            </w:r>
          </w:p>
        </w:tc>
        <w:tc>
          <w:tcPr>
            <w:tcW w:w="258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1.管道敷设土方开挖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2.管道埋深0.3m</w:t>
            </w:r>
          </w:p>
        </w:tc>
        <w:tc>
          <w:tcPr>
            <w:tcW w:w="52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13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52.5</w:t>
            </w:r>
          </w:p>
        </w:tc>
        <w:tc>
          <w:tcPr>
            <w:tcW w:w="925"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2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0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32"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010103001001</w:t>
            </w:r>
          </w:p>
        </w:tc>
        <w:tc>
          <w:tcPr>
            <w:tcW w:w="12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回填方</w:t>
            </w:r>
          </w:p>
        </w:tc>
        <w:tc>
          <w:tcPr>
            <w:tcW w:w="258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52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13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925"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2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0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32"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010501001001</w:t>
            </w:r>
          </w:p>
        </w:tc>
        <w:tc>
          <w:tcPr>
            <w:tcW w:w="12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100mm厚C15混凝土填层</w:t>
            </w:r>
          </w:p>
        </w:tc>
        <w:tc>
          <w:tcPr>
            <w:tcW w:w="258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1.5mm新石米回填基层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2.100mm厚C15混凝土填层</w:t>
            </w:r>
          </w:p>
        </w:tc>
        <w:tc>
          <w:tcPr>
            <w:tcW w:w="52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13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925"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2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0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632"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010515001001</w:t>
            </w:r>
          </w:p>
        </w:tc>
        <w:tc>
          <w:tcPr>
            <w:tcW w:w="12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路面双层双向直径10@150钢筋</w:t>
            </w:r>
          </w:p>
        </w:tc>
        <w:tc>
          <w:tcPr>
            <w:tcW w:w="258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1.三级钢筋:φ10@150钢筋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2.双层双向</w:t>
            </w:r>
          </w:p>
        </w:tc>
        <w:tc>
          <w:tcPr>
            <w:tcW w:w="52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13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0.452</w:t>
            </w:r>
          </w:p>
        </w:tc>
        <w:tc>
          <w:tcPr>
            <w:tcW w:w="925"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2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0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632"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010505003001</w:t>
            </w:r>
          </w:p>
        </w:tc>
        <w:tc>
          <w:tcPr>
            <w:tcW w:w="12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路面预制200mm厚钢筋混凝土C30</w:t>
            </w:r>
          </w:p>
        </w:tc>
        <w:tc>
          <w:tcPr>
            <w:tcW w:w="258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1.200mm厚C30混凝土路面预制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2.混凝土面部收光做防滑处理</w:t>
            </w:r>
          </w:p>
        </w:tc>
        <w:tc>
          <w:tcPr>
            <w:tcW w:w="52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50.5</w:t>
            </w:r>
          </w:p>
        </w:tc>
        <w:tc>
          <w:tcPr>
            <w:tcW w:w="925"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2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0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632"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010515001002</w:t>
            </w:r>
          </w:p>
        </w:tc>
        <w:tc>
          <w:tcPr>
            <w:tcW w:w="12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罐体基础双层双向直径15@200钢筋</w:t>
            </w:r>
          </w:p>
        </w:tc>
        <w:tc>
          <w:tcPr>
            <w:tcW w:w="258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1.设备基础钢筋：三级钢筋φ15@200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2.双层双向</w:t>
            </w:r>
          </w:p>
        </w:tc>
        <w:tc>
          <w:tcPr>
            <w:tcW w:w="52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13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0.3393</w:t>
            </w:r>
          </w:p>
        </w:tc>
        <w:tc>
          <w:tcPr>
            <w:tcW w:w="925"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2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0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32"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010501006001</w:t>
            </w:r>
          </w:p>
        </w:tc>
        <w:tc>
          <w:tcPr>
            <w:tcW w:w="12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罐体基础</w:t>
            </w:r>
          </w:p>
        </w:tc>
        <w:tc>
          <w:tcPr>
            <w:tcW w:w="258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1.300mm厚C30混凝土罐体基础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2.泵送混凝土增加费</w:t>
            </w:r>
          </w:p>
        </w:tc>
        <w:tc>
          <w:tcPr>
            <w:tcW w:w="52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13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w:t>
            </w:r>
          </w:p>
        </w:tc>
        <w:tc>
          <w:tcPr>
            <w:tcW w:w="925"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2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0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32"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010502001001</w:t>
            </w:r>
          </w:p>
        </w:tc>
        <w:tc>
          <w:tcPr>
            <w:tcW w:w="12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矩形柱</w:t>
            </w:r>
          </w:p>
        </w:tc>
        <w:tc>
          <w:tcPr>
            <w:tcW w:w="258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1.300*300混凝土结构柱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2.混凝土等级：C30</w:t>
            </w:r>
          </w:p>
        </w:tc>
        <w:tc>
          <w:tcPr>
            <w:tcW w:w="52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13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0.83</w:t>
            </w:r>
          </w:p>
        </w:tc>
        <w:tc>
          <w:tcPr>
            <w:tcW w:w="925"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2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0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32"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010515001003</w:t>
            </w:r>
          </w:p>
        </w:tc>
        <w:tc>
          <w:tcPr>
            <w:tcW w:w="12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现浇构件钢筋</w:t>
            </w:r>
          </w:p>
        </w:tc>
        <w:tc>
          <w:tcPr>
            <w:tcW w:w="258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1.现浇构件钢筋：三级螺纹钢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2.钢筋直径：φ25以内</w:t>
            </w:r>
          </w:p>
        </w:tc>
        <w:tc>
          <w:tcPr>
            <w:tcW w:w="52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13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0.03277504</w:t>
            </w:r>
          </w:p>
        </w:tc>
        <w:tc>
          <w:tcPr>
            <w:tcW w:w="925"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2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0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32"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010515001004</w:t>
            </w:r>
          </w:p>
        </w:tc>
        <w:tc>
          <w:tcPr>
            <w:tcW w:w="12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现浇构件钢筋</w:t>
            </w:r>
          </w:p>
        </w:tc>
        <w:tc>
          <w:tcPr>
            <w:tcW w:w="258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1.现浇构件箍筋：圆钢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2.钢筋直径：φ10以内</w:t>
            </w:r>
          </w:p>
        </w:tc>
        <w:tc>
          <w:tcPr>
            <w:tcW w:w="52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13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0.0257</w:t>
            </w:r>
          </w:p>
        </w:tc>
        <w:tc>
          <w:tcPr>
            <w:tcW w:w="925"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2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0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32"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010401003001</w:t>
            </w:r>
          </w:p>
        </w:tc>
        <w:tc>
          <w:tcPr>
            <w:tcW w:w="12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砌180mm砖墙</w:t>
            </w:r>
          </w:p>
        </w:tc>
        <w:tc>
          <w:tcPr>
            <w:tcW w:w="258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1.墙体厚度：180mm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2.墙体高度：0.4m</w:t>
            </w:r>
          </w:p>
        </w:tc>
        <w:tc>
          <w:tcPr>
            <w:tcW w:w="52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13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2.16</w:t>
            </w:r>
          </w:p>
        </w:tc>
        <w:tc>
          <w:tcPr>
            <w:tcW w:w="925"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2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0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70" w:hRule="atLeast"/>
        </w:trPr>
        <w:tc>
          <w:tcPr>
            <w:tcW w:w="632"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010603002001</w:t>
            </w:r>
          </w:p>
        </w:tc>
        <w:tc>
          <w:tcPr>
            <w:tcW w:w="12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空腹钢柱</w:t>
            </w:r>
          </w:p>
        </w:tc>
        <w:tc>
          <w:tcPr>
            <w:tcW w:w="258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1.200*200钢柱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2.6条厚8mm,长1.7米</w:t>
            </w:r>
          </w:p>
        </w:tc>
        <w:tc>
          <w:tcPr>
            <w:tcW w:w="52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13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0.4919</w:t>
            </w:r>
          </w:p>
        </w:tc>
        <w:tc>
          <w:tcPr>
            <w:tcW w:w="925"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2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0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32"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011201001001</w:t>
            </w:r>
          </w:p>
        </w:tc>
        <w:tc>
          <w:tcPr>
            <w:tcW w:w="12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墙面批荡</w:t>
            </w:r>
          </w:p>
        </w:tc>
        <w:tc>
          <w:tcPr>
            <w:tcW w:w="258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1.墙面抹灰,15厚水泥砂浆打底，5厚水泥砂浆抹面</w:t>
            </w:r>
          </w:p>
        </w:tc>
        <w:tc>
          <w:tcPr>
            <w:tcW w:w="52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37.6</w:t>
            </w:r>
          </w:p>
        </w:tc>
        <w:tc>
          <w:tcPr>
            <w:tcW w:w="925"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2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0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632"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010606009001</w:t>
            </w:r>
          </w:p>
        </w:tc>
        <w:tc>
          <w:tcPr>
            <w:tcW w:w="12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钢结构护栏</w:t>
            </w:r>
          </w:p>
        </w:tc>
        <w:tc>
          <w:tcPr>
            <w:tcW w:w="258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1.钢结构护栏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2.高度：1.5米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3.防锈漆一遍；金属面唝氟碳面漆两遍</w:t>
            </w:r>
          </w:p>
        </w:tc>
        <w:tc>
          <w:tcPr>
            <w:tcW w:w="52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3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29.8</w:t>
            </w:r>
          </w:p>
        </w:tc>
        <w:tc>
          <w:tcPr>
            <w:tcW w:w="925"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2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0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70" w:hRule="atLeast"/>
        </w:trPr>
        <w:tc>
          <w:tcPr>
            <w:tcW w:w="632"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010802001001</w:t>
            </w:r>
          </w:p>
        </w:tc>
        <w:tc>
          <w:tcPr>
            <w:tcW w:w="12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钢结构门</w:t>
            </w:r>
          </w:p>
        </w:tc>
        <w:tc>
          <w:tcPr>
            <w:tcW w:w="258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1.尺寸:宽1.8m， 高1.6m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2.配套门锁等五金</w:t>
            </w:r>
          </w:p>
        </w:tc>
        <w:tc>
          <w:tcPr>
            <w:tcW w:w="52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2.88</w:t>
            </w:r>
          </w:p>
        </w:tc>
        <w:tc>
          <w:tcPr>
            <w:tcW w:w="925"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2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0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32"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010103002003</w:t>
            </w:r>
          </w:p>
        </w:tc>
        <w:tc>
          <w:tcPr>
            <w:tcW w:w="12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建筑垃圾清理外运</w:t>
            </w:r>
          </w:p>
        </w:tc>
        <w:tc>
          <w:tcPr>
            <w:tcW w:w="258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1.垃圾清理及外运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2.运距：25km</w:t>
            </w:r>
          </w:p>
        </w:tc>
        <w:tc>
          <w:tcPr>
            <w:tcW w:w="52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13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925"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2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0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679" w:type="dxa"/>
            <w:gridSpan w:val="9"/>
            <w:tcBorders>
              <w:top w:val="single" w:color="000000" w:sz="4" w:space="0"/>
              <w:left w:val="single" w:color="000000" w:sz="8" w:space="0"/>
              <w:bottom w:val="single" w:color="000000" w:sz="8"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本页小计</w:t>
            </w:r>
          </w:p>
        </w:tc>
        <w:tc>
          <w:tcPr>
            <w:tcW w:w="925" w:type="dxa"/>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06" w:type="dxa"/>
            <w:tcBorders>
              <w:top w:val="single" w:color="000000" w:sz="4" w:space="0"/>
              <w:left w:val="single" w:color="000000" w:sz="4" w:space="0"/>
              <w:bottom w:val="single" w:color="000000" w:sz="8"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5" w:hRule="atLeast"/>
        </w:trPr>
        <w:tc>
          <w:tcPr>
            <w:tcW w:w="10410" w:type="dxa"/>
            <w:gridSpan w:val="11"/>
            <w:tcBorders>
              <w:top w:val="nil"/>
              <w:left w:val="nil"/>
              <w:bottom w:val="nil"/>
              <w:right w:val="nil"/>
            </w:tcBorders>
            <w:shd w:val="clear" w:color="FFFFFF" w:fill="FFFFFF"/>
            <w:noWrap w:val="0"/>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16" w:type="dxa"/>
            <w:gridSpan w:val="4"/>
            <w:tcBorders>
              <w:top w:val="nil"/>
              <w:left w:val="nil"/>
              <w:bottom w:val="nil"/>
              <w:right w:val="nil"/>
            </w:tcBorders>
            <w:shd w:val="clear" w:color="FFFFFF" w:fill="FFFFFF"/>
            <w:noWrap w:val="0"/>
            <w:vAlign w:val="top"/>
          </w:tcPr>
          <w:p>
            <w:pPr>
              <w:jc w:val="left"/>
              <w:rPr>
                <w:rFonts w:hint="eastAsia" w:ascii="宋体" w:hAnsi="宋体" w:eastAsia="宋体" w:cs="宋体"/>
                <w:i w:val="0"/>
                <w:iCs w:val="0"/>
                <w:color w:val="000000"/>
                <w:sz w:val="18"/>
                <w:szCs w:val="18"/>
                <w:u w:val="none"/>
              </w:rPr>
            </w:pPr>
          </w:p>
        </w:tc>
        <w:tc>
          <w:tcPr>
            <w:tcW w:w="2167" w:type="dxa"/>
            <w:gridSpan w:val="4"/>
            <w:tcBorders>
              <w:top w:val="nil"/>
              <w:left w:val="nil"/>
              <w:bottom w:val="nil"/>
              <w:right w:val="nil"/>
            </w:tcBorders>
            <w:shd w:val="clear" w:color="FFFFFF" w:fill="FFFFFF"/>
            <w:noWrap w:val="0"/>
            <w:vAlign w:val="top"/>
          </w:tcPr>
          <w:p>
            <w:pPr>
              <w:jc w:val="left"/>
              <w:rPr>
                <w:rFonts w:hint="eastAsia" w:ascii="宋体" w:hAnsi="宋体" w:eastAsia="宋体" w:cs="宋体"/>
                <w:i w:val="0"/>
                <w:iCs w:val="0"/>
                <w:color w:val="000000"/>
                <w:sz w:val="18"/>
                <w:szCs w:val="18"/>
                <w:u w:val="single"/>
              </w:rPr>
            </w:pPr>
          </w:p>
        </w:tc>
        <w:tc>
          <w:tcPr>
            <w:tcW w:w="2427" w:type="dxa"/>
            <w:gridSpan w:val="3"/>
            <w:tcBorders>
              <w:top w:val="nil"/>
              <w:left w:val="nil"/>
              <w:bottom w:val="nil"/>
              <w:right w:val="nil"/>
            </w:tcBorders>
            <w:shd w:val="clear" w:color="FFFFFF" w:fill="FFFFFF"/>
            <w:noWrap w:val="0"/>
            <w:vAlign w:val="top"/>
          </w:tcPr>
          <w:p>
            <w:pPr>
              <w:keepNext w:val="0"/>
              <w:keepLines w:val="0"/>
              <w:widowControl/>
              <w:suppressLineNumbers w:val="0"/>
              <w:jc w:val="righ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10410" w:type="dxa"/>
            <w:gridSpan w:val="11"/>
            <w:tcBorders>
              <w:top w:val="nil"/>
              <w:left w:val="nil"/>
              <w:bottom w:val="nil"/>
              <w:right w:val="nil"/>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816" w:type="dxa"/>
            <w:gridSpan w:val="4"/>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工程名称：建筑工程</w:t>
            </w:r>
          </w:p>
        </w:tc>
        <w:tc>
          <w:tcPr>
            <w:tcW w:w="2167" w:type="dxa"/>
            <w:gridSpan w:val="4"/>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0"/>
                <w:szCs w:val="20"/>
                <w:u w:val="none"/>
              </w:rPr>
            </w:pPr>
          </w:p>
        </w:tc>
        <w:tc>
          <w:tcPr>
            <w:tcW w:w="2427" w:type="dxa"/>
            <w:gridSpan w:val="3"/>
            <w:tcBorders>
              <w:top w:val="nil"/>
              <w:left w:val="nil"/>
              <w:bottom w:val="nil"/>
              <w:right w:val="nil"/>
            </w:tcBorders>
            <w:shd w:val="clear" w:color="FFFFFF" w:fill="FFFFFF"/>
            <w:noWrap w:val="0"/>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32" w:type="dxa"/>
            <w:vMerge w:val="restart"/>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416"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1276"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588"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526"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1316"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2656" w:type="dxa"/>
            <w:gridSpan w:val="4"/>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32" w:type="dxa"/>
            <w:vMerge w:val="continue"/>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416"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276"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2588"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526"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316"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925"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80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32" w:type="dxa"/>
            <w:vMerge w:val="continue"/>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416"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276"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2588"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526"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316"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925"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925" w:type="dxa"/>
            <w:vMerge w:val="continue"/>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80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32"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011406001001</w:t>
            </w:r>
          </w:p>
        </w:tc>
        <w:tc>
          <w:tcPr>
            <w:tcW w:w="12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抹灰面油漆</w:t>
            </w:r>
          </w:p>
        </w:tc>
        <w:tc>
          <w:tcPr>
            <w:tcW w:w="258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1.基层类型：墙面一般抹灰面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2.油漆品种：真石漆</w:t>
            </w:r>
          </w:p>
        </w:tc>
        <w:tc>
          <w:tcPr>
            <w:tcW w:w="52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75.2</w:t>
            </w:r>
          </w:p>
        </w:tc>
        <w:tc>
          <w:tcPr>
            <w:tcW w:w="925"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2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0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632"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010602001001</w:t>
            </w:r>
          </w:p>
        </w:tc>
        <w:tc>
          <w:tcPr>
            <w:tcW w:w="12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钢屋架</w:t>
            </w:r>
          </w:p>
        </w:tc>
        <w:tc>
          <w:tcPr>
            <w:tcW w:w="258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1.顶面钢结构艺形钢架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2.安装高度：4米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3.人字形钢骨架：300*300方钢</w:t>
            </w:r>
          </w:p>
        </w:tc>
        <w:tc>
          <w:tcPr>
            <w:tcW w:w="52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13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1.665</w:t>
            </w:r>
          </w:p>
        </w:tc>
        <w:tc>
          <w:tcPr>
            <w:tcW w:w="925"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2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0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32"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011506003001</w:t>
            </w:r>
          </w:p>
        </w:tc>
        <w:tc>
          <w:tcPr>
            <w:tcW w:w="12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雨篷</w:t>
            </w:r>
          </w:p>
        </w:tc>
        <w:tc>
          <w:tcPr>
            <w:tcW w:w="258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1.磨砂面耐力板雨棚</w:t>
            </w:r>
          </w:p>
        </w:tc>
        <w:tc>
          <w:tcPr>
            <w:tcW w:w="52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925"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2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0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32"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010904003001</w:t>
            </w:r>
          </w:p>
        </w:tc>
        <w:tc>
          <w:tcPr>
            <w:tcW w:w="12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楼(地)面砂浆防水(防潮)</w:t>
            </w:r>
          </w:p>
        </w:tc>
        <w:tc>
          <w:tcPr>
            <w:tcW w:w="258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1.地面及围堰防水层</w:t>
            </w:r>
          </w:p>
        </w:tc>
        <w:tc>
          <w:tcPr>
            <w:tcW w:w="52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w:t>
            </w:r>
          </w:p>
        </w:tc>
        <w:tc>
          <w:tcPr>
            <w:tcW w:w="925"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2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0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632"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011507001001</w:t>
            </w:r>
          </w:p>
        </w:tc>
        <w:tc>
          <w:tcPr>
            <w:tcW w:w="12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不锈钢展示板</w:t>
            </w:r>
          </w:p>
        </w:tc>
        <w:tc>
          <w:tcPr>
            <w:tcW w:w="258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1.不锈钢展示板（含警示图标）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2.尺寸：2m*1.5m</w:t>
            </w:r>
          </w:p>
        </w:tc>
        <w:tc>
          <w:tcPr>
            <w:tcW w:w="52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3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25"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2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0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trPr>
        <w:tc>
          <w:tcPr>
            <w:tcW w:w="632"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2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w:t>
            </w:r>
          </w:p>
        </w:tc>
        <w:tc>
          <w:tcPr>
            <w:tcW w:w="258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52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3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925"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92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0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32"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2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w:t>
            </w:r>
          </w:p>
        </w:tc>
        <w:tc>
          <w:tcPr>
            <w:tcW w:w="258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52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3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925"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92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80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32"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011707001001</w:t>
            </w:r>
          </w:p>
        </w:tc>
        <w:tc>
          <w:tcPr>
            <w:tcW w:w="12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施工现场围挡</w:t>
            </w:r>
          </w:p>
        </w:tc>
        <w:tc>
          <w:tcPr>
            <w:tcW w:w="258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1.彩钢板围蔽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2.高度2.2米</w:t>
            </w:r>
          </w:p>
        </w:tc>
        <w:tc>
          <w:tcPr>
            <w:tcW w:w="52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3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25"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2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0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32"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011702001001</w:t>
            </w:r>
          </w:p>
        </w:tc>
        <w:tc>
          <w:tcPr>
            <w:tcW w:w="12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基础</w:t>
            </w:r>
          </w:p>
        </w:tc>
        <w:tc>
          <w:tcPr>
            <w:tcW w:w="258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1.路面填层模板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2.综合考虑现场实际情况</w:t>
            </w:r>
          </w:p>
        </w:tc>
        <w:tc>
          <w:tcPr>
            <w:tcW w:w="52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925"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2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0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32"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011702001003</w:t>
            </w:r>
          </w:p>
        </w:tc>
        <w:tc>
          <w:tcPr>
            <w:tcW w:w="12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基础</w:t>
            </w:r>
          </w:p>
        </w:tc>
        <w:tc>
          <w:tcPr>
            <w:tcW w:w="258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1.设备基础模板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2.综合考虑现场实际情况</w:t>
            </w:r>
          </w:p>
        </w:tc>
        <w:tc>
          <w:tcPr>
            <w:tcW w:w="52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8.76</w:t>
            </w:r>
          </w:p>
        </w:tc>
        <w:tc>
          <w:tcPr>
            <w:tcW w:w="925"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2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0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32"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011702002001</w:t>
            </w:r>
          </w:p>
        </w:tc>
        <w:tc>
          <w:tcPr>
            <w:tcW w:w="12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矩形柱</w:t>
            </w:r>
          </w:p>
        </w:tc>
        <w:tc>
          <w:tcPr>
            <w:tcW w:w="258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1.矩形柱模板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2.综合考虑现场实际情况</w:t>
            </w:r>
          </w:p>
        </w:tc>
        <w:tc>
          <w:tcPr>
            <w:tcW w:w="52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11.06666667</w:t>
            </w:r>
          </w:p>
        </w:tc>
        <w:tc>
          <w:tcPr>
            <w:tcW w:w="925"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2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0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trPr>
        <w:tc>
          <w:tcPr>
            <w:tcW w:w="632"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2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单价措施合计</w:t>
            </w:r>
          </w:p>
        </w:tc>
        <w:tc>
          <w:tcPr>
            <w:tcW w:w="258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52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3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925"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92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0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32"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2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258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52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3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925"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92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80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679" w:type="dxa"/>
            <w:gridSpan w:val="9"/>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本页小计</w:t>
            </w:r>
          </w:p>
        </w:tc>
        <w:tc>
          <w:tcPr>
            <w:tcW w:w="92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0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679" w:type="dxa"/>
            <w:gridSpan w:val="9"/>
            <w:tcBorders>
              <w:top w:val="single" w:color="000000" w:sz="4" w:space="0"/>
              <w:left w:val="single" w:color="000000" w:sz="8" w:space="0"/>
              <w:bottom w:val="single" w:color="000000" w:sz="8"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925" w:type="dxa"/>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06" w:type="dxa"/>
            <w:tcBorders>
              <w:top w:val="single" w:color="000000" w:sz="4" w:space="0"/>
              <w:left w:val="single" w:color="000000" w:sz="4" w:space="0"/>
              <w:bottom w:val="single" w:color="000000" w:sz="8"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410" w:type="dxa"/>
            <w:gridSpan w:val="11"/>
            <w:tcBorders>
              <w:top w:val="nil"/>
              <w:left w:val="nil"/>
              <w:bottom w:val="nil"/>
              <w:right w:val="nil"/>
            </w:tcBorders>
            <w:shd w:val="clear" w:color="FFFFFF" w:fill="FFFFFF"/>
            <w:noWrap w:val="0"/>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注：为计取规费等的使用，可在表中增设其中：“定额人工费”。</w:t>
            </w:r>
          </w:p>
        </w:tc>
      </w:tr>
    </w:tbl>
    <w:p>
      <w:pPr>
        <w:spacing w:line="480" w:lineRule="auto"/>
        <w:jc w:val="center"/>
        <w:rPr>
          <w:rFonts w:hint="eastAsia" w:ascii="仿宋_GB2312" w:hAnsi="仿宋_GB2312" w:eastAsia="仿宋_GB2312" w:cs="仿宋_GB2312"/>
          <w:b/>
          <w:color w:val="auto"/>
          <w:sz w:val="28"/>
          <w:szCs w:val="28"/>
          <w:highlight w:val="none"/>
        </w:rPr>
      </w:pPr>
    </w:p>
    <w:tbl>
      <w:tblPr>
        <w:tblStyle w:val="24"/>
        <w:tblpPr w:leftFromText="180" w:rightFromText="180" w:vertAnchor="text" w:horzAnchor="page" w:tblpX="1103" w:tblpY="1264"/>
        <w:tblOverlap w:val="never"/>
        <w:tblW w:w="1980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69"/>
        <w:gridCol w:w="630"/>
        <w:gridCol w:w="626"/>
        <w:gridCol w:w="631"/>
        <w:gridCol w:w="993"/>
        <w:gridCol w:w="675"/>
        <w:gridCol w:w="41"/>
        <w:gridCol w:w="878"/>
        <w:gridCol w:w="219"/>
        <w:gridCol w:w="229"/>
        <w:gridCol w:w="565"/>
        <w:gridCol w:w="475"/>
        <w:gridCol w:w="218"/>
        <w:gridCol w:w="300"/>
        <w:gridCol w:w="27"/>
        <w:gridCol w:w="208"/>
        <w:gridCol w:w="28"/>
        <w:gridCol w:w="269"/>
        <w:gridCol w:w="837"/>
        <w:gridCol w:w="195"/>
        <w:gridCol w:w="836"/>
        <w:gridCol w:w="183"/>
        <w:gridCol w:w="102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9349" w:type="dxa"/>
            <w:gridSpan w:val="21"/>
            <w:tcBorders>
              <w:top w:val="nil"/>
              <w:left w:val="nil"/>
              <w:bottom w:val="nil"/>
              <w:right w:val="nil"/>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总价措施项目清单与计价表</w:t>
            </w:r>
          </w:p>
        </w:tc>
        <w:tc>
          <w:tcPr>
            <w:tcW w:w="10459" w:type="dxa"/>
            <w:gridSpan w:val="2"/>
            <w:tcBorders>
              <w:top w:val="nil"/>
              <w:left w:val="nil"/>
              <w:bottom w:val="nil"/>
              <w:right w:val="nil"/>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40"/>
                <w:szCs w:val="4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5162" w:type="dxa"/>
            <w:gridSpan w:val="9"/>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工程名称：建筑工程</w:t>
            </w:r>
          </w:p>
        </w:tc>
        <w:tc>
          <w:tcPr>
            <w:tcW w:w="2022" w:type="dxa"/>
            <w:gridSpan w:val="7"/>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0"/>
                <w:szCs w:val="20"/>
                <w:u w:val="none"/>
              </w:rPr>
            </w:pPr>
          </w:p>
        </w:tc>
        <w:tc>
          <w:tcPr>
            <w:tcW w:w="2165" w:type="dxa"/>
            <w:gridSpan w:val="5"/>
            <w:tcBorders>
              <w:top w:val="nil"/>
              <w:left w:val="nil"/>
              <w:bottom w:val="nil"/>
              <w:right w:val="nil"/>
            </w:tcBorders>
            <w:shd w:val="clear" w:color="FFFFFF" w:fill="FFFFFF"/>
            <w:noWrap w:val="0"/>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c>
          <w:tcPr>
            <w:tcW w:w="10459" w:type="dxa"/>
            <w:gridSpan w:val="2"/>
            <w:tcBorders>
              <w:top w:val="nil"/>
              <w:left w:val="nil"/>
              <w:bottom w:val="nil"/>
              <w:right w:val="nil"/>
            </w:tcBorders>
            <w:shd w:val="clear" w:color="FFFFFF" w:fill="FFFFFF"/>
            <w:noWrap w:val="0"/>
            <w:vAlign w:val="bottom"/>
          </w:tcPr>
          <w:p>
            <w:pPr>
              <w:keepNext w:val="0"/>
              <w:keepLines w:val="0"/>
              <w:widowControl/>
              <w:suppressLineNumbers w:val="0"/>
              <w:jc w:val="right"/>
              <w:textAlignment w:val="bottom"/>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459" w:type="dxa"/>
          <w:trHeight w:val="570" w:hRule="atLeast"/>
        </w:trPr>
        <w:tc>
          <w:tcPr>
            <w:tcW w:w="469" w:type="dxa"/>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630" w:type="dxa"/>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1257" w:type="dxa"/>
            <w:gridSpan w:val="2"/>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668" w:type="dxa"/>
            <w:gridSpan w:val="2"/>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919" w:type="dxa"/>
            <w:gridSpan w:val="2"/>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1013" w:type="dxa"/>
            <w:gridSpan w:val="3"/>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1256" w:type="dxa"/>
            <w:gridSpan w:val="6"/>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费率(%)</w:t>
            </w:r>
          </w:p>
        </w:tc>
        <w:tc>
          <w:tcPr>
            <w:tcW w:w="1106" w:type="dxa"/>
            <w:gridSpan w:val="2"/>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金额(元)</w:t>
            </w:r>
          </w:p>
        </w:tc>
        <w:tc>
          <w:tcPr>
            <w:tcW w:w="1031" w:type="dxa"/>
            <w:gridSpan w:val="2"/>
            <w:tcBorders>
              <w:top w:val="single" w:color="000000" w:sz="8"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459" w:type="dxa"/>
          <w:trHeight w:val="159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LSSGCSF00001</w:t>
            </w:r>
          </w:p>
        </w:tc>
        <w:tc>
          <w:tcPr>
            <w:tcW w:w="1257"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166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919"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13"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2705.45</w:t>
            </w:r>
          </w:p>
        </w:tc>
        <w:tc>
          <w:tcPr>
            <w:tcW w:w="1256"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10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31"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459" w:type="dxa"/>
          <w:trHeight w:val="2355"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WMGDZJF00001</w:t>
            </w:r>
          </w:p>
        </w:tc>
        <w:tc>
          <w:tcPr>
            <w:tcW w:w="1257"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文明工地增加费</w:t>
            </w:r>
          </w:p>
        </w:tc>
        <w:tc>
          <w:tcPr>
            <w:tcW w:w="166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919"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013"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256"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10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31"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以分部分项的人工费与施工机具费之和为计算基础，市级文明工地为1.20%；省级文明工地为2.10%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459" w:type="dxa"/>
          <w:trHeight w:val="825"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011707002001</w:t>
            </w:r>
          </w:p>
        </w:tc>
        <w:tc>
          <w:tcPr>
            <w:tcW w:w="1257"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夜间施工增加费</w:t>
            </w:r>
          </w:p>
        </w:tc>
        <w:tc>
          <w:tcPr>
            <w:tcW w:w="166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919"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013"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256"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10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31"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以夜间施工项目人工费的20%计算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459" w:type="dxa"/>
          <w:trHeight w:val="2865"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GGCSF0000001</w:t>
            </w:r>
          </w:p>
        </w:tc>
        <w:tc>
          <w:tcPr>
            <w:tcW w:w="1257"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赶工措施费</w:t>
            </w:r>
          </w:p>
        </w:tc>
        <w:tc>
          <w:tcPr>
            <w:tcW w:w="166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919"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013"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256"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10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31"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赶工措施费=（1-δ）*分部分项的（人工费+施工机具费）*0.3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459" w:type="dxa"/>
          <w:trHeight w:val="825"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QTFY00000001</w:t>
            </w:r>
          </w:p>
        </w:tc>
        <w:tc>
          <w:tcPr>
            <w:tcW w:w="1257"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166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919"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013"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256"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10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31"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按经批准的专项施工组织方案计算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459"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257"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66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919"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013"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256"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10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31"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459" w:type="dxa"/>
          <w:trHeight w:val="360" w:hRule="atLeast"/>
        </w:trPr>
        <w:tc>
          <w:tcPr>
            <w:tcW w:w="4943" w:type="dxa"/>
            <w:gridSpan w:val="8"/>
            <w:tcBorders>
              <w:top w:val="single" w:color="000000" w:sz="4" w:space="0"/>
              <w:left w:val="single" w:color="000000" w:sz="8" w:space="0"/>
              <w:bottom w:val="single" w:color="000000" w:sz="8"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1013" w:type="dxa"/>
            <w:gridSpan w:val="3"/>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20" w:type="dxa"/>
            <w:gridSpan w:val="4"/>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342" w:type="dxa"/>
            <w:gridSpan w:val="4"/>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31" w:type="dxa"/>
            <w:gridSpan w:val="2"/>
            <w:tcBorders>
              <w:top w:val="single" w:color="000000" w:sz="4" w:space="0"/>
              <w:left w:val="single" w:color="000000" w:sz="4" w:space="0"/>
              <w:bottom w:val="single" w:color="000000" w:sz="8"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795" w:hRule="atLeast"/>
        </w:trPr>
        <w:tc>
          <w:tcPr>
            <w:tcW w:w="9532" w:type="dxa"/>
            <w:gridSpan w:val="22"/>
            <w:tcBorders>
              <w:top w:val="nil"/>
              <w:left w:val="nil"/>
              <w:bottom w:val="nil"/>
              <w:right w:val="nil"/>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单位工程人材机汇总表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570" w:hRule="atLeast"/>
        </w:trPr>
        <w:tc>
          <w:tcPr>
            <w:tcW w:w="6649" w:type="dxa"/>
            <w:gridSpan w:val="13"/>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工程名称：建筑工程</w:t>
            </w:r>
          </w:p>
        </w:tc>
        <w:tc>
          <w:tcPr>
            <w:tcW w:w="300" w:type="dxa"/>
            <w:tcBorders>
              <w:top w:val="nil"/>
              <w:left w:val="nil"/>
              <w:bottom w:val="nil"/>
              <w:right w:val="nil"/>
            </w:tcBorders>
            <w:shd w:val="clear" w:color="FFFFFF" w:fill="FFFFFF"/>
            <w:noWrap w:val="0"/>
            <w:vAlign w:val="bottom"/>
          </w:tcPr>
          <w:p>
            <w:pPr>
              <w:jc w:val="center"/>
              <w:rPr>
                <w:rFonts w:hint="eastAsia" w:ascii="宋体" w:hAnsi="宋体" w:eastAsia="宋体" w:cs="宋体"/>
                <w:i w:val="0"/>
                <w:iCs w:val="0"/>
                <w:color w:val="000000"/>
                <w:sz w:val="20"/>
                <w:szCs w:val="20"/>
                <w:u w:val="none"/>
              </w:rPr>
            </w:pPr>
          </w:p>
        </w:tc>
        <w:tc>
          <w:tcPr>
            <w:tcW w:w="2583" w:type="dxa"/>
            <w:gridSpan w:val="8"/>
            <w:tcBorders>
              <w:top w:val="nil"/>
              <w:left w:val="nil"/>
              <w:bottom w:val="nil"/>
              <w:right w:val="nil"/>
            </w:tcBorders>
            <w:shd w:val="clear" w:color="FFFFFF" w:fill="FFFFFF"/>
            <w:noWrap w:val="0"/>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3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570" w:hRule="atLeast"/>
        </w:trPr>
        <w:tc>
          <w:tcPr>
            <w:tcW w:w="469" w:type="dxa"/>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256" w:type="dxa"/>
            <w:gridSpan w:val="2"/>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编码</w:t>
            </w:r>
          </w:p>
        </w:tc>
        <w:tc>
          <w:tcPr>
            <w:tcW w:w="1624" w:type="dxa"/>
            <w:gridSpan w:val="2"/>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名称及规格</w:t>
            </w:r>
          </w:p>
        </w:tc>
        <w:tc>
          <w:tcPr>
            <w:tcW w:w="716" w:type="dxa"/>
            <w:gridSpan w:val="2"/>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c>
          <w:tcPr>
            <w:tcW w:w="1326" w:type="dxa"/>
            <w:gridSpan w:val="3"/>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w:t>
            </w:r>
          </w:p>
        </w:tc>
        <w:tc>
          <w:tcPr>
            <w:tcW w:w="1040" w:type="dxa"/>
            <w:gridSpan w:val="2"/>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1050" w:type="dxa"/>
            <w:gridSpan w:val="6"/>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1032" w:type="dxa"/>
            <w:gridSpan w:val="2"/>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品牌</w:t>
            </w:r>
          </w:p>
        </w:tc>
        <w:tc>
          <w:tcPr>
            <w:tcW w:w="1019" w:type="dxa"/>
            <w:gridSpan w:val="2"/>
            <w:tcBorders>
              <w:top w:val="single" w:color="000000" w:sz="8"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厂家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00010003</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机上人工</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工日</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2.8893</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00010003@1</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机上人工</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工日</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2.52</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00010010</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人工费</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13159.7694</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00010010@2</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人工费</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1895.85</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57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01010040</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螺纹钢筋（三级钢筋）φ25以内</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0.3814</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57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01010120@1</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螺纹钢筋（三级钢筋）φ10以内</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0.461</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01030017</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镀锌低碳钢丝φ4.0</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2.0314</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01030031</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镀锌低碳钢丝φ0.7~1.2</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3.6371</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01050001</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钢丝绳φ14.1~15</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8.1304</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01090022</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圆钢φ10以内</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0.0262</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01090033</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镀锌圆钢φ10~25</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0.3788</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01110001@1</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方钢50x50x5</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39.8009</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01130001</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扁钢综合</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0.0046</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01290440@1</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彩钢板δ0.7</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49.5</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01630130</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吊装夹具</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0.0416</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02270001</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棉纱</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0.01</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02270070</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土工布</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10.9467</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03010040</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铝拉铆钉综合</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十个</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78.75</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03010425</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六角螺栓综合</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十套</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47.25</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03010430</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六角螺栓综合</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0.1904</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03011505</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镀锌六角螺栓M12×40</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十套</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5.1095</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03013001</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膨胀螺栓综合</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十套</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3.015</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03013201</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膨胀螺栓M16×200</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十套</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1.632</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03019001</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圆钉综合</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0.0799</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03019021</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圆钉50~75</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2.6596</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03134011</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水砂纸</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6.1664</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03135001</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低碳钢焊条综合</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16.7426</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03135071</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低合金钢耐热焊条综合</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5.3416</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03136191</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二氧化碳药芯焊丝V-71</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14.1648</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03210080</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镀锌钢丝网φ3×50×50</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2.0669</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03213001</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铁件综合</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50.7511</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03213121</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镀锌铁件</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66.2186</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570" w:hRule="atLeast"/>
        </w:trPr>
        <w:tc>
          <w:tcPr>
            <w:tcW w:w="469" w:type="dxa"/>
            <w:tcBorders>
              <w:top w:val="single" w:color="000000" w:sz="4" w:space="0"/>
              <w:left w:val="single" w:color="000000" w:sz="8" w:space="0"/>
              <w:bottom w:val="single" w:color="000000" w:sz="8"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1256" w:type="dxa"/>
            <w:gridSpan w:val="2"/>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04010030</w:t>
            </w:r>
          </w:p>
        </w:tc>
        <w:tc>
          <w:tcPr>
            <w:tcW w:w="1624" w:type="dxa"/>
            <w:gridSpan w:val="2"/>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复合普通硅酸盐水泥P.O 42.5</w:t>
            </w:r>
          </w:p>
        </w:tc>
        <w:tc>
          <w:tcPr>
            <w:tcW w:w="716" w:type="dxa"/>
            <w:gridSpan w:val="2"/>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1326" w:type="dxa"/>
            <w:gridSpan w:val="3"/>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0.022</w:t>
            </w:r>
          </w:p>
        </w:tc>
        <w:tc>
          <w:tcPr>
            <w:tcW w:w="1040" w:type="dxa"/>
            <w:gridSpan w:val="2"/>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8"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795" w:hRule="atLeast"/>
        </w:trPr>
        <w:tc>
          <w:tcPr>
            <w:tcW w:w="9532" w:type="dxa"/>
            <w:gridSpan w:val="22"/>
            <w:tcBorders>
              <w:top w:val="nil"/>
              <w:left w:val="nil"/>
              <w:bottom w:val="nil"/>
              <w:right w:val="nil"/>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单位工程人材机汇总表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570" w:hRule="atLeast"/>
        </w:trPr>
        <w:tc>
          <w:tcPr>
            <w:tcW w:w="6649" w:type="dxa"/>
            <w:gridSpan w:val="13"/>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工程名称：建筑工程</w:t>
            </w:r>
          </w:p>
        </w:tc>
        <w:tc>
          <w:tcPr>
            <w:tcW w:w="300" w:type="dxa"/>
            <w:tcBorders>
              <w:top w:val="nil"/>
              <w:left w:val="nil"/>
              <w:bottom w:val="nil"/>
              <w:right w:val="nil"/>
            </w:tcBorders>
            <w:shd w:val="clear" w:color="FFFFFF" w:fill="FFFFFF"/>
            <w:noWrap w:val="0"/>
            <w:vAlign w:val="bottom"/>
          </w:tcPr>
          <w:p>
            <w:pPr>
              <w:jc w:val="center"/>
              <w:rPr>
                <w:rFonts w:hint="eastAsia" w:ascii="宋体" w:hAnsi="宋体" w:eastAsia="宋体" w:cs="宋体"/>
                <w:i w:val="0"/>
                <w:iCs w:val="0"/>
                <w:color w:val="000000"/>
                <w:sz w:val="20"/>
                <w:szCs w:val="20"/>
                <w:u w:val="none"/>
              </w:rPr>
            </w:pPr>
          </w:p>
        </w:tc>
        <w:tc>
          <w:tcPr>
            <w:tcW w:w="2583" w:type="dxa"/>
            <w:gridSpan w:val="8"/>
            <w:tcBorders>
              <w:top w:val="nil"/>
              <w:left w:val="nil"/>
              <w:bottom w:val="nil"/>
              <w:right w:val="nil"/>
            </w:tcBorders>
            <w:shd w:val="clear" w:color="FFFFFF" w:fill="FFFFFF"/>
            <w:noWrap w:val="0"/>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2 页  共 3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After w:val="1"/>
          <w:wAfter w:w="10276" w:type="dxa"/>
          <w:trHeight w:val="570" w:hRule="atLeast"/>
        </w:trPr>
        <w:tc>
          <w:tcPr>
            <w:tcW w:w="469" w:type="dxa"/>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256" w:type="dxa"/>
            <w:gridSpan w:val="2"/>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编码</w:t>
            </w:r>
          </w:p>
        </w:tc>
        <w:tc>
          <w:tcPr>
            <w:tcW w:w="1624" w:type="dxa"/>
            <w:gridSpan w:val="2"/>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名称及规格</w:t>
            </w:r>
          </w:p>
        </w:tc>
        <w:tc>
          <w:tcPr>
            <w:tcW w:w="716" w:type="dxa"/>
            <w:gridSpan w:val="2"/>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c>
          <w:tcPr>
            <w:tcW w:w="1326" w:type="dxa"/>
            <w:gridSpan w:val="3"/>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w:t>
            </w:r>
          </w:p>
        </w:tc>
        <w:tc>
          <w:tcPr>
            <w:tcW w:w="1040" w:type="dxa"/>
            <w:gridSpan w:val="2"/>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1050" w:type="dxa"/>
            <w:gridSpan w:val="6"/>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1032" w:type="dxa"/>
            <w:gridSpan w:val="2"/>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品牌</w:t>
            </w:r>
          </w:p>
        </w:tc>
        <w:tc>
          <w:tcPr>
            <w:tcW w:w="1019" w:type="dxa"/>
            <w:gridSpan w:val="2"/>
            <w:tcBorders>
              <w:top w:val="single" w:color="000000" w:sz="8"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厂家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04030015</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中砂</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0.0025</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04130001</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标准砖240×115×53</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千块</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1.1735</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05030060</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板枋材综合</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0.0247</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05030080</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松杂板枋材</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0.1777</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05030320</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垫木</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0.027</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05050120</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防水胶合板模板用 18mm</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1.314</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09090001@1</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磨砂耐力板</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56.65</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12030190</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铝合金压条30×1.2</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58.08</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13010050</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醇酸清漆</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20.9131</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13010210</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环氧富锌底漆</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4.0512</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13030473</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真石漆</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309.824</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13030475</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真石面漆</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23.2368</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13030500</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腻子粉成品(一般型)</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85.2768</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13050450</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酚醛铁红防锈漆</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3.8736</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13050500</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油性防锈漆</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0.2471</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13090030</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金属氟碳漆面漆</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11.9653</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13090035</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金属氟碳漆底漆</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8.3753</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13410010</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嵌缝料</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1.1067</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14010030</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松节油</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1.2105</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14050050</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溶剂油</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0.0124</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14350140</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醇酸漆稀释剂X6</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2.3462</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14350250</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隔离剂</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2.2827</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14350273</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氟碳漆固化剂</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0.9404</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14350300</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环氧富锌底漆稀释剂</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0.4051</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14350630</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脱模剂</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0.5777</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14350680</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稀释剂</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1.9147</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14390030</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二氧化碳</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15.6049</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14390070</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氧气</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15.7322</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14390100</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乙炔气</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8.6398</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14410450</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耐候胶</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6.4108</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17030050</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镀锌钢管DN50</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0.0355</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18270090</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钢桁架</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1.665</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20010010</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镀锌法兰DN32</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331.972</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25000001</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成套灯具</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15.12</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8"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w:t>
            </w:r>
          </w:p>
        </w:tc>
        <w:tc>
          <w:tcPr>
            <w:tcW w:w="1256" w:type="dxa"/>
            <w:gridSpan w:val="2"/>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30030070@1</w:t>
            </w:r>
          </w:p>
        </w:tc>
        <w:tc>
          <w:tcPr>
            <w:tcW w:w="1624" w:type="dxa"/>
            <w:gridSpan w:val="2"/>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不锈钢展示板</w:t>
            </w:r>
          </w:p>
        </w:tc>
        <w:tc>
          <w:tcPr>
            <w:tcW w:w="716" w:type="dxa"/>
            <w:gridSpan w:val="2"/>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326" w:type="dxa"/>
            <w:gridSpan w:val="3"/>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40" w:type="dxa"/>
            <w:gridSpan w:val="2"/>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8"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795" w:hRule="atLeast"/>
        </w:trPr>
        <w:tc>
          <w:tcPr>
            <w:tcW w:w="9532" w:type="dxa"/>
            <w:gridSpan w:val="22"/>
            <w:tcBorders>
              <w:top w:val="nil"/>
              <w:left w:val="nil"/>
              <w:bottom w:val="nil"/>
              <w:right w:val="nil"/>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单位工程人材机汇总表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570" w:hRule="atLeast"/>
        </w:trPr>
        <w:tc>
          <w:tcPr>
            <w:tcW w:w="6649" w:type="dxa"/>
            <w:gridSpan w:val="13"/>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工程名称：建筑工程</w:t>
            </w:r>
          </w:p>
        </w:tc>
        <w:tc>
          <w:tcPr>
            <w:tcW w:w="300" w:type="dxa"/>
            <w:tcBorders>
              <w:top w:val="nil"/>
              <w:left w:val="nil"/>
              <w:bottom w:val="nil"/>
              <w:right w:val="nil"/>
            </w:tcBorders>
            <w:shd w:val="clear" w:color="FFFFFF" w:fill="FFFFFF"/>
            <w:noWrap w:val="0"/>
            <w:vAlign w:val="bottom"/>
          </w:tcPr>
          <w:p>
            <w:pPr>
              <w:jc w:val="center"/>
              <w:rPr>
                <w:rFonts w:hint="eastAsia" w:ascii="宋体" w:hAnsi="宋体" w:eastAsia="宋体" w:cs="宋体"/>
                <w:i w:val="0"/>
                <w:iCs w:val="0"/>
                <w:color w:val="000000"/>
                <w:sz w:val="20"/>
                <w:szCs w:val="20"/>
                <w:u w:val="none"/>
              </w:rPr>
            </w:pPr>
          </w:p>
        </w:tc>
        <w:tc>
          <w:tcPr>
            <w:tcW w:w="2583" w:type="dxa"/>
            <w:gridSpan w:val="8"/>
            <w:tcBorders>
              <w:top w:val="nil"/>
              <w:left w:val="nil"/>
              <w:bottom w:val="nil"/>
              <w:right w:val="nil"/>
            </w:tcBorders>
            <w:shd w:val="clear" w:color="FFFFFF" w:fill="FFFFFF"/>
            <w:noWrap w:val="0"/>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3 页  共 3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570" w:hRule="atLeast"/>
        </w:trPr>
        <w:tc>
          <w:tcPr>
            <w:tcW w:w="469" w:type="dxa"/>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256" w:type="dxa"/>
            <w:gridSpan w:val="2"/>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编码</w:t>
            </w:r>
          </w:p>
        </w:tc>
        <w:tc>
          <w:tcPr>
            <w:tcW w:w="1624" w:type="dxa"/>
            <w:gridSpan w:val="2"/>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名称及规格</w:t>
            </w:r>
          </w:p>
        </w:tc>
        <w:tc>
          <w:tcPr>
            <w:tcW w:w="716" w:type="dxa"/>
            <w:gridSpan w:val="2"/>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c>
          <w:tcPr>
            <w:tcW w:w="1326" w:type="dxa"/>
            <w:gridSpan w:val="3"/>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w:t>
            </w:r>
          </w:p>
        </w:tc>
        <w:tc>
          <w:tcPr>
            <w:tcW w:w="1040" w:type="dxa"/>
            <w:gridSpan w:val="2"/>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1050" w:type="dxa"/>
            <w:gridSpan w:val="6"/>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1032" w:type="dxa"/>
            <w:gridSpan w:val="2"/>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品牌</w:t>
            </w:r>
          </w:p>
        </w:tc>
        <w:tc>
          <w:tcPr>
            <w:tcW w:w="1019" w:type="dxa"/>
            <w:gridSpan w:val="2"/>
            <w:tcBorders>
              <w:top w:val="single" w:color="000000" w:sz="8"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厂家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33010365@1</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钢柱</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0.5214</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34110010</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5.6853</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34130030</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路边线轮廓标</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14.985</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35010010</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钢模板</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9.5889</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35090230</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钢支撑</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6.0411</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80090435</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干混抹灰砂浆M10</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2.0037</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80090495</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普通干混防水砂浆M10</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2.1114</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57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8021902@1</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普通预拌混凝土（泵送）碎石粒径综合考虑 C15</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5.5825</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57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8021905</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普通预拌混凝土碎石粒径综合考虑 C30</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18.6143</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99450630</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折旧费</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632.0219</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99450640</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检修费</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199.2711</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99450650</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维护费</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479.788</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99450660</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安拆费</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84.7065</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99450670</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汽油(机械用)国Ⅲ93#</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39.7078</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83</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99450680</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柴油(机械用)0#</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23.2331</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84</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99450680@1</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柴油(机械用)0#</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35.8218</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99450700</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电(机械用)</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kW·h</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503.1754</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99450760</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其他材料费</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304.5896</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87</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99451300</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校验费</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0.95</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FBC06008</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镀锌钢架</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601.02</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JXFTZ</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机械费调整</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-0.042</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补充主材001</w:t>
            </w: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方钢50*50*5</w:t>
            </w: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0.2589</w:t>
            </w: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After w:val="1"/>
          <w:wAfter w:w="10276" w:type="dxa"/>
          <w:trHeight w:val="360" w:hRule="atLeast"/>
        </w:trPr>
        <w:tc>
          <w:tcPr>
            <w:tcW w:w="46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25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624"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716"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326"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040"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276" w:type="dxa"/>
          <w:trHeight w:val="360" w:hRule="atLeast"/>
        </w:trPr>
        <w:tc>
          <w:tcPr>
            <w:tcW w:w="469" w:type="dxa"/>
            <w:tcBorders>
              <w:top w:val="single" w:color="000000" w:sz="4" w:space="0"/>
              <w:left w:val="single" w:color="000000" w:sz="8" w:space="0"/>
              <w:bottom w:val="single" w:color="000000" w:sz="8"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256" w:type="dxa"/>
            <w:gridSpan w:val="2"/>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jc w:val="center"/>
              <w:rPr>
                <w:rFonts w:hint="eastAsia" w:ascii="黑体" w:hAnsi="宋体" w:eastAsia="黑体" w:cs="黑体"/>
                <w:i w:val="0"/>
                <w:iCs w:val="0"/>
                <w:color w:val="000000"/>
                <w:sz w:val="20"/>
                <w:szCs w:val="20"/>
                <w:u w:val="none"/>
              </w:rPr>
            </w:pPr>
          </w:p>
        </w:tc>
        <w:tc>
          <w:tcPr>
            <w:tcW w:w="1624" w:type="dxa"/>
            <w:gridSpan w:val="2"/>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w:t>
            </w:r>
          </w:p>
        </w:tc>
        <w:tc>
          <w:tcPr>
            <w:tcW w:w="716" w:type="dxa"/>
            <w:gridSpan w:val="2"/>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326" w:type="dxa"/>
            <w:gridSpan w:val="3"/>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40" w:type="dxa"/>
            <w:gridSpan w:val="2"/>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050" w:type="dxa"/>
            <w:gridSpan w:val="6"/>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32" w:type="dxa"/>
            <w:gridSpan w:val="2"/>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019" w:type="dxa"/>
            <w:gridSpan w:val="2"/>
            <w:tcBorders>
              <w:top w:val="single" w:color="000000" w:sz="4" w:space="0"/>
              <w:left w:val="single" w:color="000000" w:sz="4" w:space="0"/>
              <w:bottom w:val="single" w:color="000000" w:sz="8"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bl>
    <w:p>
      <w:pPr>
        <w:spacing w:line="480" w:lineRule="auto"/>
        <w:jc w:val="center"/>
        <w:rPr>
          <w:rFonts w:hint="eastAsia" w:ascii="仿宋_GB2312" w:hAnsi="仿宋_GB2312" w:eastAsia="仿宋_GB2312" w:cs="仿宋_GB2312"/>
          <w:b/>
          <w:color w:val="auto"/>
          <w:sz w:val="28"/>
          <w:szCs w:val="28"/>
          <w:highlight w:val="none"/>
        </w:rPr>
      </w:pPr>
    </w:p>
    <w:tbl>
      <w:tblPr>
        <w:tblStyle w:val="24"/>
        <w:tblpPr w:leftFromText="180" w:rightFromText="180" w:vertAnchor="text" w:horzAnchor="page" w:tblpX="841" w:tblpY="620"/>
        <w:tblOverlap w:val="never"/>
        <w:tblW w:w="98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43"/>
        <w:gridCol w:w="703"/>
        <w:gridCol w:w="722"/>
        <w:gridCol w:w="1069"/>
        <w:gridCol w:w="2084"/>
        <w:gridCol w:w="927"/>
        <w:gridCol w:w="641"/>
        <w:gridCol w:w="921"/>
        <w:gridCol w:w="237"/>
        <w:gridCol w:w="515"/>
        <w:gridCol w:w="107"/>
        <w:gridCol w:w="831"/>
        <w:gridCol w:w="487"/>
        <w:gridCol w:w="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3" w:type="dxa"/>
          <w:trHeight w:val="795" w:hRule="atLeast"/>
        </w:trPr>
        <w:tc>
          <w:tcPr>
            <w:tcW w:w="9787" w:type="dxa"/>
            <w:gridSpan w:val="13"/>
            <w:tcBorders>
              <w:top w:val="nil"/>
              <w:left w:val="nil"/>
              <w:bottom w:val="nil"/>
              <w:right w:val="nil"/>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单位工程预算价汇总表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3" w:type="dxa"/>
          <w:trHeight w:val="570" w:hRule="atLeast"/>
        </w:trPr>
        <w:tc>
          <w:tcPr>
            <w:tcW w:w="6048" w:type="dxa"/>
            <w:gridSpan w:val="6"/>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工程名称：安装工程</w:t>
            </w:r>
          </w:p>
        </w:tc>
        <w:tc>
          <w:tcPr>
            <w:tcW w:w="1799" w:type="dxa"/>
            <w:gridSpan w:val="3"/>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0"/>
                <w:szCs w:val="20"/>
                <w:u w:val="none"/>
              </w:rPr>
            </w:pPr>
          </w:p>
        </w:tc>
        <w:tc>
          <w:tcPr>
            <w:tcW w:w="1940" w:type="dxa"/>
            <w:gridSpan w:val="4"/>
            <w:tcBorders>
              <w:top w:val="nil"/>
              <w:left w:val="nil"/>
              <w:bottom w:val="nil"/>
              <w:right w:val="nil"/>
            </w:tcBorders>
            <w:shd w:val="clear" w:color="FFFFFF" w:fill="FFFFFF"/>
            <w:noWrap w:val="0"/>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3" w:type="dxa"/>
          <w:trHeight w:val="375" w:hRule="atLeast"/>
        </w:trPr>
        <w:tc>
          <w:tcPr>
            <w:tcW w:w="1246" w:type="dxa"/>
            <w:gridSpan w:val="2"/>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3875" w:type="dxa"/>
            <w:gridSpan w:val="3"/>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汇总内容</w:t>
            </w:r>
          </w:p>
        </w:tc>
        <w:tc>
          <w:tcPr>
            <w:tcW w:w="3348" w:type="dxa"/>
            <w:gridSpan w:val="6"/>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c>
          <w:tcPr>
            <w:tcW w:w="1318" w:type="dxa"/>
            <w:gridSpan w:val="2"/>
            <w:tcBorders>
              <w:top w:val="single" w:color="000000" w:sz="8"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3" w:type="dxa"/>
          <w:trHeight w:val="360" w:hRule="atLeast"/>
        </w:trPr>
        <w:tc>
          <w:tcPr>
            <w:tcW w:w="1246"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3875"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w:t>
            </w:r>
          </w:p>
        </w:tc>
        <w:tc>
          <w:tcPr>
            <w:tcW w:w="3348"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318"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3" w:type="dxa"/>
          <w:trHeight w:val="360" w:hRule="atLeast"/>
        </w:trPr>
        <w:tc>
          <w:tcPr>
            <w:tcW w:w="1246"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3875"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措施合计</w:t>
            </w:r>
          </w:p>
        </w:tc>
        <w:tc>
          <w:tcPr>
            <w:tcW w:w="3348"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318"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3" w:type="dxa"/>
          <w:trHeight w:val="360" w:hRule="atLeast"/>
        </w:trPr>
        <w:tc>
          <w:tcPr>
            <w:tcW w:w="1246"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3875"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3348"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3462.77</w:t>
            </w:r>
          </w:p>
        </w:tc>
        <w:tc>
          <w:tcPr>
            <w:tcW w:w="1318"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3" w:type="dxa"/>
          <w:trHeight w:val="360" w:hRule="atLeast"/>
        </w:trPr>
        <w:tc>
          <w:tcPr>
            <w:tcW w:w="1246"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3875"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其他措施费</w:t>
            </w:r>
          </w:p>
        </w:tc>
        <w:tc>
          <w:tcPr>
            <w:tcW w:w="3348"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318"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3" w:type="dxa"/>
          <w:trHeight w:val="360" w:hRule="atLeast"/>
        </w:trPr>
        <w:tc>
          <w:tcPr>
            <w:tcW w:w="1246"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3875"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w:t>
            </w:r>
          </w:p>
        </w:tc>
        <w:tc>
          <w:tcPr>
            <w:tcW w:w="3348"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318"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3" w:type="dxa"/>
          <w:trHeight w:val="360" w:hRule="atLeast"/>
        </w:trPr>
        <w:tc>
          <w:tcPr>
            <w:tcW w:w="1246"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3875"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暂列金额</w:t>
            </w:r>
          </w:p>
        </w:tc>
        <w:tc>
          <w:tcPr>
            <w:tcW w:w="3348"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318"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3" w:type="dxa"/>
          <w:trHeight w:val="360" w:hRule="atLeast"/>
        </w:trPr>
        <w:tc>
          <w:tcPr>
            <w:tcW w:w="1246"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3875"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c>
          <w:tcPr>
            <w:tcW w:w="3348"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318"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3" w:type="dxa"/>
          <w:trHeight w:val="360" w:hRule="atLeast"/>
        </w:trPr>
        <w:tc>
          <w:tcPr>
            <w:tcW w:w="1246"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3875"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计日工</w:t>
            </w:r>
          </w:p>
        </w:tc>
        <w:tc>
          <w:tcPr>
            <w:tcW w:w="3348"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318"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3" w:type="dxa"/>
          <w:trHeight w:val="360" w:hRule="atLeast"/>
        </w:trPr>
        <w:tc>
          <w:tcPr>
            <w:tcW w:w="1246"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3875"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总承包服务费</w:t>
            </w:r>
          </w:p>
        </w:tc>
        <w:tc>
          <w:tcPr>
            <w:tcW w:w="3348"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318"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3" w:type="dxa"/>
          <w:trHeight w:val="360" w:hRule="atLeast"/>
        </w:trPr>
        <w:tc>
          <w:tcPr>
            <w:tcW w:w="1246"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3875"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预算包干费</w:t>
            </w:r>
          </w:p>
        </w:tc>
        <w:tc>
          <w:tcPr>
            <w:tcW w:w="3348"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318"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3" w:type="dxa"/>
          <w:trHeight w:val="360" w:hRule="atLeast"/>
        </w:trPr>
        <w:tc>
          <w:tcPr>
            <w:tcW w:w="1246"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3875"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工程优质费</w:t>
            </w:r>
          </w:p>
        </w:tc>
        <w:tc>
          <w:tcPr>
            <w:tcW w:w="3348"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318"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3" w:type="dxa"/>
          <w:trHeight w:val="360" w:hRule="atLeast"/>
        </w:trPr>
        <w:tc>
          <w:tcPr>
            <w:tcW w:w="1246"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3875"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概算幅度差</w:t>
            </w:r>
          </w:p>
        </w:tc>
        <w:tc>
          <w:tcPr>
            <w:tcW w:w="3348"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318"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3" w:type="dxa"/>
          <w:trHeight w:val="360" w:hRule="atLeast"/>
        </w:trPr>
        <w:tc>
          <w:tcPr>
            <w:tcW w:w="1246"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3875"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索赔费用</w:t>
            </w:r>
          </w:p>
        </w:tc>
        <w:tc>
          <w:tcPr>
            <w:tcW w:w="3348"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318"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3" w:type="dxa"/>
          <w:trHeight w:val="360" w:hRule="atLeast"/>
        </w:trPr>
        <w:tc>
          <w:tcPr>
            <w:tcW w:w="1246"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3875"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现场签证费用</w:t>
            </w:r>
          </w:p>
        </w:tc>
        <w:tc>
          <w:tcPr>
            <w:tcW w:w="3348"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318"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3" w:type="dxa"/>
          <w:trHeight w:val="360" w:hRule="atLeast"/>
        </w:trPr>
        <w:tc>
          <w:tcPr>
            <w:tcW w:w="1246"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w:t>
            </w:r>
          </w:p>
        </w:tc>
        <w:tc>
          <w:tcPr>
            <w:tcW w:w="3875"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3348"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318"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3" w:type="dxa"/>
          <w:trHeight w:val="360" w:hRule="atLeast"/>
        </w:trPr>
        <w:tc>
          <w:tcPr>
            <w:tcW w:w="1246"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875"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3348"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318"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3" w:type="dxa"/>
          <w:trHeight w:val="360" w:hRule="atLeast"/>
        </w:trPr>
        <w:tc>
          <w:tcPr>
            <w:tcW w:w="1246"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3875"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3348"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318"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3" w:type="dxa"/>
          <w:trHeight w:val="360" w:hRule="atLeast"/>
        </w:trPr>
        <w:tc>
          <w:tcPr>
            <w:tcW w:w="1246"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3875"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总造价</w:t>
            </w:r>
          </w:p>
        </w:tc>
        <w:tc>
          <w:tcPr>
            <w:tcW w:w="3348"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318"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3" w:type="dxa"/>
          <w:trHeight w:val="360" w:hRule="atLeast"/>
        </w:trPr>
        <w:tc>
          <w:tcPr>
            <w:tcW w:w="1246"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3875"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人工费</w:t>
            </w:r>
          </w:p>
        </w:tc>
        <w:tc>
          <w:tcPr>
            <w:tcW w:w="3348"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318"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3" w:type="dxa"/>
          <w:trHeight w:val="360" w:hRule="atLeast"/>
        </w:trPr>
        <w:tc>
          <w:tcPr>
            <w:tcW w:w="1246"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3875"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3348"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318"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3" w:type="dxa"/>
          <w:trHeight w:val="360" w:hRule="atLeast"/>
        </w:trPr>
        <w:tc>
          <w:tcPr>
            <w:tcW w:w="5121" w:type="dxa"/>
            <w:gridSpan w:val="5"/>
            <w:tcBorders>
              <w:top w:val="single" w:color="000000" w:sz="4" w:space="0"/>
              <w:left w:val="single" w:color="000000" w:sz="8" w:space="0"/>
              <w:bottom w:val="single" w:color="000000" w:sz="8"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预算价合计=1+2+3+4+5</w:t>
            </w:r>
          </w:p>
        </w:tc>
        <w:tc>
          <w:tcPr>
            <w:tcW w:w="3348" w:type="dxa"/>
            <w:gridSpan w:val="6"/>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318" w:type="dxa"/>
            <w:gridSpan w:val="2"/>
            <w:tcBorders>
              <w:top w:val="single" w:color="000000" w:sz="4" w:space="0"/>
              <w:left w:val="single" w:color="000000" w:sz="4" w:space="0"/>
              <w:bottom w:val="single" w:color="000000" w:sz="8" w:space="0"/>
              <w:right w:val="single" w:color="000000" w:sz="8"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3" w:type="dxa"/>
          <w:trHeight w:val="795" w:hRule="atLeast"/>
        </w:trPr>
        <w:tc>
          <w:tcPr>
            <w:tcW w:w="9787" w:type="dxa"/>
            <w:gridSpan w:val="13"/>
            <w:tcBorders>
              <w:top w:val="nil"/>
              <w:left w:val="nil"/>
              <w:bottom w:val="nil"/>
              <w:right w:val="nil"/>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3" w:type="dxa"/>
          <w:trHeight w:val="570" w:hRule="atLeast"/>
        </w:trPr>
        <w:tc>
          <w:tcPr>
            <w:tcW w:w="6048" w:type="dxa"/>
            <w:gridSpan w:val="6"/>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工程名称：安装工程</w:t>
            </w:r>
          </w:p>
        </w:tc>
        <w:tc>
          <w:tcPr>
            <w:tcW w:w="1799" w:type="dxa"/>
            <w:gridSpan w:val="3"/>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0"/>
                <w:szCs w:val="20"/>
                <w:u w:val="none"/>
              </w:rPr>
            </w:pPr>
          </w:p>
        </w:tc>
        <w:tc>
          <w:tcPr>
            <w:tcW w:w="1940" w:type="dxa"/>
            <w:gridSpan w:val="4"/>
            <w:tcBorders>
              <w:top w:val="nil"/>
              <w:left w:val="nil"/>
              <w:bottom w:val="nil"/>
              <w:right w:val="nil"/>
            </w:tcBorders>
            <w:shd w:val="clear" w:color="FFFFFF" w:fill="FFFFFF"/>
            <w:noWrap w:val="0"/>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3" w:type="dxa"/>
          <w:trHeight w:val="360" w:hRule="atLeast"/>
        </w:trPr>
        <w:tc>
          <w:tcPr>
            <w:tcW w:w="543" w:type="dxa"/>
            <w:vMerge w:val="restart"/>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425"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1069"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3011"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641"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921"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2177" w:type="dxa"/>
            <w:gridSpan w:val="5"/>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43" w:type="dxa"/>
            <w:vMerge w:val="continue"/>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425"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069"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3011"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641"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921"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752"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938"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500"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43" w:type="dxa"/>
            <w:vMerge w:val="continue"/>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425"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069"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3011"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641"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921"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752"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938"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500"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43"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425"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整个项目</w:t>
            </w:r>
          </w:p>
        </w:tc>
        <w:tc>
          <w:tcPr>
            <w:tcW w:w="3011"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64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2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75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93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500"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543"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25"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030304001001</w:t>
            </w:r>
          </w:p>
        </w:tc>
        <w:tc>
          <w:tcPr>
            <w:tcW w:w="106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拱顶罐制作安装</w:t>
            </w:r>
          </w:p>
        </w:tc>
        <w:tc>
          <w:tcPr>
            <w:tcW w:w="3011"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1.类型：DN2400*4700 玻璃钢卧罐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2.容积：20立方（带固定支座）</w:t>
            </w:r>
          </w:p>
        </w:tc>
        <w:tc>
          <w:tcPr>
            <w:tcW w:w="64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5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500"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543"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425"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030109006001</w:t>
            </w:r>
          </w:p>
        </w:tc>
        <w:tc>
          <w:tcPr>
            <w:tcW w:w="106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计量泵</w:t>
            </w:r>
          </w:p>
        </w:tc>
        <w:tc>
          <w:tcPr>
            <w:tcW w:w="3011"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1.变频计量泵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2.参数：Q=800~1000L/h, p=7bar, N=1.5kw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3.电动机检查接线及试运转</w:t>
            </w:r>
          </w:p>
        </w:tc>
        <w:tc>
          <w:tcPr>
            <w:tcW w:w="64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5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500"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543"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425"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031001006001</w:t>
            </w:r>
          </w:p>
        </w:tc>
        <w:tc>
          <w:tcPr>
            <w:tcW w:w="106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3011"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1.管道材质、管径：PVC， DN25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2.挖土回填深度：300mm</w:t>
            </w:r>
          </w:p>
        </w:tc>
        <w:tc>
          <w:tcPr>
            <w:tcW w:w="64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2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550</w:t>
            </w:r>
          </w:p>
        </w:tc>
        <w:tc>
          <w:tcPr>
            <w:tcW w:w="75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500"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43"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425"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031001006002</w:t>
            </w:r>
          </w:p>
        </w:tc>
        <w:tc>
          <w:tcPr>
            <w:tcW w:w="106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3011"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1.管道材质、管径：PVC， DN50</w:t>
            </w:r>
          </w:p>
        </w:tc>
        <w:tc>
          <w:tcPr>
            <w:tcW w:w="64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2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75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500"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43"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425"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030703005001</w:t>
            </w:r>
          </w:p>
        </w:tc>
        <w:tc>
          <w:tcPr>
            <w:tcW w:w="106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塑料阀门</w:t>
            </w:r>
          </w:p>
        </w:tc>
        <w:tc>
          <w:tcPr>
            <w:tcW w:w="3011"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1.材质：PVC</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2.管径：DN50</w:t>
            </w:r>
          </w:p>
        </w:tc>
        <w:tc>
          <w:tcPr>
            <w:tcW w:w="64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5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500"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43"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425"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030703005002</w:t>
            </w:r>
          </w:p>
        </w:tc>
        <w:tc>
          <w:tcPr>
            <w:tcW w:w="106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塑料阀门</w:t>
            </w:r>
          </w:p>
        </w:tc>
        <w:tc>
          <w:tcPr>
            <w:tcW w:w="3011"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1.材质：PVC</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2.管径：DN25</w:t>
            </w:r>
          </w:p>
        </w:tc>
        <w:tc>
          <w:tcPr>
            <w:tcW w:w="64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5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500"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43"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425"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w:t>
            </w:r>
          </w:p>
        </w:tc>
        <w:tc>
          <w:tcPr>
            <w:tcW w:w="3011"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64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2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75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93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500"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43"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425"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w:t>
            </w:r>
          </w:p>
        </w:tc>
        <w:tc>
          <w:tcPr>
            <w:tcW w:w="3011"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64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2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75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93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500"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43"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425"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031302007001</w:t>
            </w:r>
          </w:p>
        </w:tc>
        <w:tc>
          <w:tcPr>
            <w:tcW w:w="106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高层施工增加</w:t>
            </w:r>
          </w:p>
        </w:tc>
        <w:tc>
          <w:tcPr>
            <w:tcW w:w="3011"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64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92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5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93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500"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43"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425"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031301017001</w:t>
            </w:r>
          </w:p>
        </w:tc>
        <w:tc>
          <w:tcPr>
            <w:tcW w:w="106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脚手架搭拆费</w:t>
            </w:r>
          </w:p>
        </w:tc>
        <w:tc>
          <w:tcPr>
            <w:tcW w:w="3011"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64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92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5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93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500"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43"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425"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单价措施合计</w:t>
            </w:r>
          </w:p>
        </w:tc>
        <w:tc>
          <w:tcPr>
            <w:tcW w:w="3011"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64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2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75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93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500"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43"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425"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3011"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64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92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75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93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500"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43"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425"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3011"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64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92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752"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93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500"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8362" w:type="dxa"/>
            <w:gridSpan w:val="10"/>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本页小计</w:t>
            </w:r>
          </w:p>
        </w:tc>
        <w:tc>
          <w:tcPr>
            <w:tcW w:w="93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500"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8362" w:type="dxa"/>
            <w:gridSpan w:val="10"/>
            <w:tcBorders>
              <w:top w:val="single" w:color="000000" w:sz="4" w:space="0"/>
              <w:left w:val="single" w:color="000000" w:sz="8" w:space="0"/>
              <w:bottom w:val="single" w:color="000000" w:sz="8"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938" w:type="dxa"/>
            <w:gridSpan w:val="2"/>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500" w:type="dxa"/>
            <w:gridSpan w:val="2"/>
            <w:tcBorders>
              <w:top w:val="single" w:color="000000" w:sz="4" w:space="0"/>
              <w:left w:val="single" w:color="000000" w:sz="4" w:space="0"/>
              <w:bottom w:val="single" w:color="000000" w:sz="8"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bl>
    <w:p>
      <w:pPr>
        <w:spacing w:line="480" w:lineRule="auto"/>
        <w:jc w:val="center"/>
        <w:rPr>
          <w:rFonts w:hint="eastAsia" w:ascii="仿宋_GB2312" w:hAnsi="仿宋_GB2312" w:eastAsia="仿宋_GB2312" w:cs="仿宋_GB2312"/>
          <w:b/>
          <w:color w:val="auto"/>
          <w:sz w:val="28"/>
          <w:szCs w:val="28"/>
          <w:highlight w:val="none"/>
        </w:rPr>
      </w:pPr>
    </w:p>
    <w:tbl>
      <w:tblPr>
        <w:tblStyle w:val="24"/>
        <w:tblpPr w:leftFromText="180" w:rightFromText="180" w:vertAnchor="text" w:horzAnchor="page" w:tblpX="803" w:tblpY="624"/>
        <w:tblOverlap w:val="never"/>
        <w:tblW w:w="991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
        <w:gridCol w:w="6"/>
        <w:gridCol w:w="225"/>
        <w:gridCol w:w="150"/>
        <w:gridCol w:w="855"/>
        <w:gridCol w:w="180"/>
        <w:gridCol w:w="1230"/>
        <w:gridCol w:w="478"/>
        <w:gridCol w:w="325"/>
        <w:gridCol w:w="716"/>
        <w:gridCol w:w="239"/>
        <w:gridCol w:w="118"/>
        <w:gridCol w:w="776"/>
        <w:gridCol w:w="50"/>
        <w:gridCol w:w="15"/>
        <w:gridCol w:w="10"/>
        <w:gridCol w:w="169"/>
        <w:gridCol w:w="747"/>
        <w:gridCol w:w="185"/>
        <w:gridCol w:w="53"/>
        <w:gridCol w:w="327"/>
        <w:gridCol w:w="284"/>
        <w:gridCol w:w="15"/>
        <w:gridCol w:w="236"/>
        <w:gridCol w:w="344"/>
        <w:gridCol w:w="238"/>
        <w:gridCol w:w="178"/>
        <w:gridCol w:w="173"/>
        <w:gridCol w:w="9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9919" w:type="dxa"/>
            <w:gridSpan w:val="29"/>
            <w:tcBorders>
              <w:top w:val="nil"/>
              <w:left w:val="nil"/>
              <w:bottom w:val="nil"/>
              <w:right w:val="nil"/>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6051" w:type="dxa"/>
            <w:gridSpan w:val="16"/>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工程名称：安装工程</w:t>
            </w:r>
          </w:p>
        </w:tc>
        <w:tc>
          <w:tcPr>
            <w:tcW w:w="2016" w:type="dxa"/>
            <w:gridSpan w:val="8"/>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0"/>
                <w:szCs w:val="20"/>
                <w:u w:val="none"/>
              </w:rPr>
            </w:pPr>
          </w:p>
        </w:tc>
        <w:tc>
          <w:tcPr>
            <w:tcW w:w="1852" w:type="dxa"/>
            <w:gridSpan w:val="5"/>
            <w:tcBorders>
              <w:top w:val="nil"/>
              <w:left w:val="nil"/>
              <w:bottom w:val="nil"/>
              <w:right w:val="nil"/>
            </w:tcBorders>
            <w:shd w:val="clear" w:color="FFFFFF" w:fill="FFFFFF"/>
            <w:noWrap w:val="0"/>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78" w:type="dxa"/>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416" w:type="dxa"/>
            <w:gridSpan w:val="5"/>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1708" w:type="dxa"/>
            <w:gridSpan w:val="2"/>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398" w:type="dxa"/>
            <w:gridSpan w:val="4"/>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776" w:type="dxa"/>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1176" w:type="dxa"/>
            <w:gridSpan w:val="6"/>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915" w:type="dxa"/>
            <w:gridSpan w:val="5"/>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费率(%)</w:t>
            </w:r>
          </w:p>
        </w:tc>
        <w:tc>
          <w:tcPr>
            <w:tcW w:w="933" w:type="dxa"/>
            <w:gridSpan w:val="4"/>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金额(元)</w:t>
            </w:r>
          </w:p>
        </w:tc>
        <w:tc>
          <w:tcPr>
            <w:tcW w:w="919" w:type="dxa"/>
            <w:tcBorders>
              <w:top w:val="single" w:color="000000" w:sz="8"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678"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16"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LSSGCSF00001</w:t>
            </w:r>
          </w:p>
        </w:tc>
        <w:tc>
          <w:tcPr>
            <w:tcW w:w="170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1398"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176"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3462.77</w:t>
            </w:r>
          </w:p>
        </w:tc>
        <w:tc>
          <w:tcPr>
            <w:tcW w:w="915"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78"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416"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031301010001</w:t>
            </w:r>
          </w:p>
        </w:tc>
        <w:tc>
          <w:tcPr>
            <w:tcW w:w="170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安装与生产同时进行增加费用</w:t>
            </w:r>
          </w:p>
        </w:tc>
        <w:tc>
          <w:tcPr>
            <w:tcW w:w="1398"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w:t>
            </w:r>
          </w:p>
        </w:tc>
        <w:tc>
          <w:tcPr>
            <w:tcW w:w="7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176"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915"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78"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416"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031301011001</w:t>
            </w:r>
          </w:p>
        </w:tc>
        <w:tc>
          <w:tcPr>
            <w:tcW w:w="170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在有害身体健康环境中施工增加费</w:t>
            </w:r>
          </w:p>
        </w:tc>
        <w:tc>
          <w:tcPr>
            <w:tcW w:w="1398"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w:t>
            </w:r>
          </w:p>
        </w:tc>
        <w:tc>
          <w:tcPr>
            <w:tcW w:w="7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176"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915"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678"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416"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TSSGBWZJF001</w:t>
            </w:r>
          </w:p>
        </w:tc>
        <w:tc>
          <w:tcPr>
            <w:tcW w:w="170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在地下（暗）室、设备及大口径管道内等特殊施工部位进行施工增加费</w:t>
            </w:r>
          </w:p>
        </w:tc>
        <w:tc>
          <w:tcPr>
            <w:tcW w:w="1398"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176"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915"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5" w:hRule="atLeast"/>
        </w:trPr>
        <w:tc>
          <w:tcPr>
            <w:tcW w:w="678"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416"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粤031302008001</w:t>
            </w:r>
          </w:p>
        </w:tc>
        <w:tc>
          <w:tcPr>
            <w:tcW w:w="170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赶工措施费</w:t>
            </w:r>
          </w:p>
        </w:tc>
        <w:tc>
          <w:tcPr>
            <w:tcW w:w="1398"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7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176"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915"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678"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416"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031302002001</w:t>
            </w:r>
          </w:p>
        </w:tc>
        <w:tc>
          <w:tcPr>
            <w:tcW w:w="170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夜间施工增加费</w:t>
            </w:r>
          </w:p>
        </w:tc>
        <w:tc>
          <w:tcPr>
            <w:tcW w:w="1398"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176"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915"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678"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416"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JTGRSGZJF001</w:t>
            </w:r>
          </w:p>
        </w:tc>
        <w:tc>
          <w:tcPr>
            <w:tcW w:w="170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交通干扰工程施工增加费</w:t>
            </w:r>
          </w:p>
        </w:tc>
        <w:tc>
          <w:tcPr>
            <w:tcW w:w="1398"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176"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915"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678"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416"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粤031302009001</w:t>
            </w:r>
          </w:p>
        </w:tc>
        <w:tc>
          <w:tcPr>
            <w:tcW w:w="170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文明工地增加费</w:t>
            </w:r>
          </w:p>
        </w:tc>
        <w:tc>
          <w:tcPr>
            <w:tcW w:w="1398"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7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176"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915"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678" w:type="dxa"/>
            <w:tcBorders>
              <w:top w:val="single" w:color="000000" w:sz="4" w:space="0"/>
              <w:left w:val="single" w:color="000000" w:sz="8" w:space="0"/>
              <w:bottom w:val="single" w:color="000000" w:sz="8"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416" w:type="dxa"/>
            <w:gridSpan w:val="5"/>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DXGXJCJXF001</w:t>
            </w:r>
          </w:p>
        </w:tc>
        <w:tc>
          <w:tcPr>
            <w:tcW w:w="1708" w:type="dxa"/>
            <w:gridSpan w:val="2"/>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地下管线交叉降效费</w:t>
            </w:r>
          </w:p>
        </w:tc>
        <w:tc>
          <w:tcPr>
            <w:tcW w:w="1398" w:type="dxa"/>
            <w:gridSpan w:val="4"/>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176" w:type="dxa"/>
            <w:gridSpan w:val="6"/>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915" w:type="dxa"/>
            <w:gridSpan w:val="5"/>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8"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按实际发生或经批准的施工方案计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051" w:type="dxa"/>
            <w:gridSpan w:val="16"/>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18"/>
                <w:szCs w:val="18"/>
                <w:u w:val="none"/>
              </w:rPr>
            </w:pPr>
          </w:p>
        </w:tc>
        <w:tc>
          <w:tcPr>
            <w:tcW w:w="3868" w:type="dxa"/>
            <w:gridSpan w:val="13"/>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051" w:type="dxa"/>
            <w:gridSpan w:val="16"/>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18"/>
                <w:szCs w:val="18"/>
                <w:u w:val="none"/>
              </w:rPr>
            </w:pPr>
          </w:p>
        </w:tc>
        <w:tc>
          <w:tcPr>
            <w:tcW w:w="2016" w:type="dxa"/>
            <w:gridSpan w:val="8"/>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18"/>
                <w:szCs w:val="18"/>
                <w:u w:val="none"/>
              </w:rPr>
            </w:pPr>
          </w:p>
        </w:tc>
        <w:tc>
          <w:tcPr>
            <w:tcW w:w="1852" w:type="dxa"/>
            <w:gridSpan w:val="5"/>
            <w:tcBorders>
              <w:top w:val="nil"/>
              <w:left w:val="nil"/>
              <w:bottom w:val="nil"/>
              <w:right w:val="nil"/>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9919" w:type="dxa"/>
            <w:gridSpan w:val="29"/>
            <w:tcBorders>
              <w:top w:val="nil"/>
              <w:left w:val="nil"/>
              <w:bottom w:val="nil"/>
              <w:right w:val="nil"/>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6051" w:type="dxa"/>
            <w:gridSpan w:val="16"/>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工程名称：安装工程</w:t>
            </w:r>
          </w:p>
        </w:tc>
        <w:tc>
          <w:tcPr>
            <w:tcW w:w="2016" w:type="dxa"/>
            <w:gridSpan w:val="8"/>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0"/>
                <w:szCs w:val="20"/>
                <w:u w:val="none"/>
              </w:rPr>
            </w:pPr>
          </w:p>
        </w:tc>
        <w:tc>
          <w:tcPr>
            <w:tcW w:w="1852" w:type="dxa"/>
            <w:gridSpan w:val="5"/>
            <w:tcBorders>
              <w:top w:val="nil"/>
              <w:left w:val="nil"/>
              <w:bottom w:val="nil"/>
              <w:right w:val="nil"/>
            </w:tcBorders>
            <w:shd w:val="clear" w:color="FFFFFF" w:fill="FFFFFF"/>
            <w:noWrap w:val="0"/>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78" w:type="dxa"/>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416" w:type="dxa"/>
            <w:gridSpan w:val="5"/>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1708" w:type="dxa"/>
            <w:gridSpan w:val="2"/>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398" w:type="dxa"/>
            <w:gridSpan w:val="4"/>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776" w:type="dxa"/>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1176" w:type="dxa"/>
            <w:gridSpan w:val="6"/>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915" w:type="dxa"/>
            <w:gridSpan w:val="5"/>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费率(%)</w:t>
            </w:r>
          </w:p>
        </w:tc>
        <w:tc>
          <w:tcPr>
            <w:tcW w:w="933" w:type="dxa"/>
            <w:gridSpan w:val="4"/>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金额(元)</w:t>
            </w:r>
          </w:p>
        </w:tc>
        <w:tc>
          <w:tcPr>
            <w:tcW w:w="919" w:type="dxa"/>
            <w:tcBorders>
              <w:top w:val="single" w:color="000000" w:sz="8"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678"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416"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70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398"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176"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915"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678"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416"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QTFY00000001</w:t>
            </w:r>
          </w:p>
        </w:tc>
        <w:tc>
          <w:tcPr>
            <w:tcW w:w="170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1398"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176"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915"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78"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416"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70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398"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176"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915"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78"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416"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708" w:type="dxa"/>
            <w:gridSpan w:val="2"/>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398"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176" w:type="dxa"/>
            <w:gridSpan w:val="6"/>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915"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976" w:type="dxa"/>
            <w:gridSpan w:val="13"/>
            <w:tcBorders>
              <w:top w:val="single" w:color="000000" w:sz="4" w:space="0"/>
              <w:left w:val="single" w:color="000000" w:sz="8" w:space="0"/>
              <w:bottom w:val="single" w:color="000000" w:sz="8"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1176" w:type="dxa"/>
            <w:gridSpan w:val="6"/>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15" w:type="dxa"/>
            <w:gridSpan w:val="5"/>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8"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9919" w:type="dxa"/>
            <w:gridSpan w:val="29"/>
            <w:tcBorders>
              <w:top w:val="nil"/>
              <w:left w:val="nil"/>
              <w:bottom w:val="nil"/>
              <w:right w:val="nil"/>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026" w:type="dxa"/>
            <w:gridSpan w:val="14"/>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工程名称：安装工程</w:t>
            </w:r>
          </w:p>
        </w:tc>
        <w:tc>
          <w:tcPr>
            <w:tcW w:w="1805" w:type="dxa"/>
            <w:gridSpan w:val="9"/>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0"/>
                <w:szCs w:val="20"/>
                <w:u w:val="none"/>
              </w:rPr>
            </w:pPr>
          </w:p>
        </w:tc>
        <w:tc>
          <w:tcPr>
            <w:tcW w:w="2088" w:type="dxa"/>
            <w:gridSpan w:val="6"/>
            <w:tcBorders>
              <w:top w:val="nil"/>
              <w:left w:val="nil"/>
              <w:bottom w:val="nil"/>
              <w:right w:val="nil"/>
            </w:tcBorders>
            <w:shd w:val="clear" w:color="FFFFFF" w:fill="FFFFFF"/>
            <w:noWrap w:val="0"/>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059" w:type="dxa"/>
            <w:gridSpan w:val="4"/>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4023" w:type="dxa"/>
            <w:gridSpan w:val="7"/>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885" w:type="dxa"/>
            <w:gridSpan w:val="7"/>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c>
          <w:tcPr>
            <w:tcW w:w="1682" w:type="dxa"/>
            <w:gridSpan w:val="8"/>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结算金额（元）</w:t>
            </w:r>
          </w:p>
        </w:tc>
        <w:tc>
          <w:tcPr>
            <w:tcW w:w="1270" w:type="dxa"/>
            <w:gridSpan w:val="3"/>
            <w:tcBorders>
              <w:top w:val="single" w:color="000000" w:sz="8"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59" w:type="dxa"/>
            <w:gridSpan w:val="4"/>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023" w:type="dxa"/>
            <w:gridSpan w:val="7"/>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暂列金额</w:t>
            </w:r>
          </w:p>
        </w:tc>
        <w:tc>
          <w:tcPr>
            <w:tcW w:w="1885" w:type="dxa"/>
            <w:gridSpan w:val="7"/>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682" w:type="dxa"/>
            <w:gridSpan w:val="8"/>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270" w:type="dxa"/>
            <w:gridSpan w:val="3"/>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59" w:type="dxa"/>
            <w:gridSpan w:val="4"/>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23" w:type="dxa"/>
            <w:gridSpan w:val="7"/>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c>
          <w:tcPr>
            <w:tcW w:w="1885" w:type="dxa"/>
            <w:gridSpan w:val="7"/>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682" w:type="dxa"/>
            <w:gridSpan w:val="8"/>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270" w:type="dxa"/>
            <w:gridSpan w:val="3"/>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59" w:type="dxa"/>
            <w:gridSpan w:val="4"/>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4023" w:type="dxa"/>
            <w:gridSpan w:val="7"/>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材料暂估价</w:t>
            </w:r>
          </w:p>
        </w:tc>
        <w:tc>
          <w:tcPr>
            <w:tcW w:w="1885" w:type="dxa"/>
            <w:gridSpan w:val="7"/>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682" w:type="dxa"/>
            <w:gridSpan w:val="8"/>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270" w:type="dxa"/>
            <w:gridSpan w:val="3"/>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59" w:type="dxa"/>
            <w:gridSpan w:val="4"/>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4023" w:type="dxa"/>
            <w:gridSpan w:val="7"/>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专业工程暂估价</w:t>
            </w:r>
          </w:p>
        </w:tc>
        <w:tc>
          <w:tcPr>
            <w:tcW w:w="1885" w:type="dxa"/>
            <w:gridSpan w:val="7"/>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682" w:type="dxa"/>
            <w:gridSpan w:val="8"/>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270" w:type="dxa"/>
            <w:gridSpan w:val="3"/>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59" w:type="dxa"/>
            <w:gridSpan w:val="4"/>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023" w:type="dxa"/>
            <w:gridSpan w:val="7"/>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计日工</w:t>
            </w:r>
          </w:p>
        </w:tc>
        <w:tc>
          <w:tcPr>
            <w:tcW w:w="1885" w:type="dxa"/>
            <w:gridSpan w:val="7"/>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682" w:type="dxa"/>
            <w:gridSpan w:val="8"/>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270" w:type="dxa"/>
            <w:gridSpan w:val="3"/>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59" w:type="dxa"/>
            <w:gridSpan w:val="4"/>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023" w:type="dxa"/>
            <w:gridSpan w:val="7"/>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总承包服务费</w:t>
            </w:r>
          </w:p>
        </w:tc>
        <w:tc>
          <w:tcPr>
            <w:tcW w:w="1885" w:type="dxa"/>
            <w:gridSpan w:val="7"/>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682" w:type="dxa"/>
            <w:gridSpan w:val="8"/>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270" w:type="dxa"/>
            <w:gridSpan w:val="3"/>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59" w:type="dxa"/>
            <w:gridSpan w:val="4"/>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023" w:type="dxa"/>
            <w:gridSpan w:val="7"/>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预算包干费</w:t>
            </w:r>
          </w:p>
        </w:tc>
        <w:tc>
          <w:tcPr>
            <w:tcW w:w="1885" w:type="dxa"/>
            <w:gridSpan w:val="7"/>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682" w:type="dxa"/>
            <w:gridSpan w:val="8"/>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270" w:type="dxa"/>
            <w:gridSpan w:val="3"/>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59" w:type="dxa"/>
            <w:gridSpan w:val="4"/>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023" w:type="dxa"/>
            <w:gridSpan w:val="7"/>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工程优质费</w:t>
            </w:r>
          </w:p>
        </w:tc>
        <w:tc>
          <w:tcPr>
            <w:tcW w:w="1885" w:type="dxa"/>
            <w:gridSpan w:val="7"/>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682" w:type="dxa"/>
            <w:gridSpan w:val="8"/>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270" w:type="dxa"/>
            <w:gridSpan w:val="3"/>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59" w:type="dxa"/>
            <w:gridSpan w:val="4"/>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023" w:type="dxa"/>
            <w:gridSpan w:val="7"/>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概算幅度差</w:t>
            </w:r>
          </w:p>
        </w:tc>
        <w:tc>
          <w:tcPr>
            <w:tcW w:w="1885" w:type="dxa"/>
            <w:gridSpan w:val="7"/>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682" w:type="dxa"/>
            <w:gridSpan w:val="8"/>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270" w:type="dxa"/>
            <w:gridSpan w:val="3"/>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59" w:type="dxa"/>
            <w:gridSpan w:val="4"/>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023" w:type="dxa"/>
            <w:gridSpan w:val="7"/>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现场签证费用</w:t>
            </w:r>
          </w:p>
        </w:tc>
        <w:tc>
          <w:tcPr>
            <w:tcW w:w="1885" w:type="dxa"/>
            <w:gridSpan w:val="7"/>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682" w:type="dxa"/>
            <w:gridSpan w:val="8"/>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270" w:type="dxa"/>
            <w:gridSpan w:val="3"/>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59" w:type="dxa"/>
            <w:gridSpan w:val="4"/>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4023" w:type="dxa"/>
            <w:gridSpan w:val="7"/>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索赔费用</w:t>
            </w:r>
          </w:p>
        </w:tc>
        <w:tc>
          <w:tcPr>
            <w:tcW w:w="1885" w:type="dxa"/>
            <w:gridSpan w:val="7"/>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682" w:type="dxa"/>
            <w:gridSpan w:val="8"/>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270" w:type="dxa"/>
            <w:gridSpan w:val="3"/>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59" w:type="dxa"/>
            <w:gridSpan w:val="4"/>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4023" w:type="dxa"/>
            <w:gridSpan w:val="7"/>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1885" w:type="dxa"/>
            <w:gridSpan w:val="7"/>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682" w:type="dxa"/>
            <w:gridSpan w:val="8"/>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270" w:type="dxa"/>
            <w:gridSpan w:val="3"/>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59" w:type="dxa"/>
            <w:gridSpan w:val="4"/>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4023" w:type="dxa"/>
            <w:gridSpan w:val="7"/>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885" w:type="dxa"/>
            <w:gridSpan w:val="7"/>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682" w:type="dxa"/>
            <w:gridSpan w:val="8"/>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270" w:type="dxa"/>
            <w:gridSpan w:val="3"/>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59" w:type="dxa"/>
            <w:gridSpan w:val="4"/>
            <w:tcBorders>
              <w:top w:val="single" w:color="000000" w:sz="4" w:space="0"/>
              <w:left w:val="single" w:color="000000" w:sz="8" w:space="0"/>
              <w:bottom w:val="single" w:color="000000" w:sz="8"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18"/>
                <w:szCs w:val="18"/>
                <w:u w:val="none"/>
              </w:rPr>
            </w:pPr>
          </w:p>
        </w:tc>
        <w:tc>
          <w:tcPr>
            <w:tcW w:w="4023" w:type="dxa"/>
            <w:gridSpan w:val="7"/>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1885" w:type="dxa"/>
            <w:gridSpan w:val="7"/>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682" w:type="dxa"/>
            <w:gridSpan w:val="8"/>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18"/>
                <w:szCs w:val="18"/>
                <w:u w:val="none"/>
              </w:rPr>
            </w:pPr>
          </w:p>
        </w:tc>
        <w:tc>
          <w:tcPr>
            <w:tcW w:w="1270" w:type="dxa"/>
            <w:gridSpan w:val="3"/>
            <w:tcBorders>
              <w:top w:val="single" w:color="000000" w:sz="4" w:space="0"/>
              <w:left w:val="single" w:color="000000" w:sz="4" w:space="0"/>
              <w:bottom w:val="single" w:color="000000" w:sz="8"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r>
      <w:tr>
        <w:tblPrEx>
          <w:tblCellMar>
            <w:top w:w="0" w:type="dxa"/>
            <w:left w:w="108" w:type="dxa"/>
            <w:bottom w:w="0" w:type="dxa"/>
            <w:right w:w="108" w:type="dxa"/>
          </w:tblCellMar>
        </w:tblPrEx>
        <w:trPr>
          <w:trHeight w:val="795" w:hRule="atLeast"/>
        </w:trPr>
        <w:tc>
          <w:tcPr>
            <w:tcW w:w="9919" w:type="dxa"/>
            <w:gridSpan w:val="29"/>
            <w:tcBorders>
              <w:top w:val="nil"/>
              <w:left w:val="nil"/>
              <w:bottom w:val="nil"/>
              <w:right w:val="nil"/>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026" w:type="dxa"/>
            <w:gridSpan w:val="14"/>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工程名称：安装工程</w:t>
            </w:r>
          </w:p>
        </w:tc>
        <w:tc>
          <w:tcPr>
            <w:tcW w:w="1805" w:type="dxa"/>
            <w:gridSpan w:val="9"/>
            <w:tcBorders>
              <w:top w:val="nil"/>
              <w:left w:val="nil"/>
              <w:bottom w:val="nil"/>
              <w:right w:val="nil"/>
            </w:tcBorders>
            <w:shd w:val="clear" w:color="FFFFFF" w:fill="FFFFFF"/>
            <w:noWrap w:val="0"/>
            <w:vAlign w:val="bottom"/>
          </w:tcPr>
          <w:p>
            <w:pPr>
              <w:jc w:val="center"/>
              <w:rPr>
                <w:rFonts w:hint="eastAsia" w:ascii="宋体" w:hAnsi="宋体" w:eastAsia="宋体" w:cs="宋体"/>
                <w:i w:val="0"/>
                <w:iCs w:val="0"/>
                <w:color w:val="000000"/>
                <w:sz w:val="20"/>
                <w:szCs w:val="20"/>
                <w:u w:val="none"/>
              </w:rPr>
            </w:pPr>
          </w:p>
        </w:tc>
        <w:tc>
          <w:tcPr>
            <w:tcW w:w="2088" w:type="dxa"/>
            <w:gridSpan w:val="6"/>
            <w:tcBorders>
              <w:top w:val="nil"/>
              <w:left w:val="nil"/>
              <w:bottom w:val="nil"/>
              <w:right w:val="nil"/>
            </w:tcBorders>
            <w:shd w:val="clear" w:color="FFFFFF" w:fill="FFFFFF"/>
            <w:noWrap w:val="0"/>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09" w:type="dxa"/>
            <w:gridSpan w:val="3"/>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2415" w:type="dxa"/>
            <w:gridSpan w:val="4"/>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896" w:type="dxa"/>
            <w:gridSpan w:val="10"/>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1596" w:type="dxa"/>
            <w:gridSpan w:val="5"/>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取费基数</w:t>
            </w:r>
          </w:p>
        </w:tc>
        <w:tc>
          <w:tcPr>
            <w:tcW w:w="1011" w:type="dxa"/>
            <w:gridSpan w:val="5"/>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1092" w:type="dxa"/>
            <w:gridSpan w:val="2"/>
            <w:tcBorders>
              <w:top w:val="single" w:color="000000" w:sz="8"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09" w:type="dxa"/>
            <w:gridSpan w:val="3"/>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415"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2896" w:type="dxa"/>
            <w:gridSpan w:val="10"/>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分部分项合计+措施合计+其他项目</w:t>
            </w:r>
          </w:p>
        </w:tc>
        <w:tc>
          <w:tcPr>
            <w:tcW w:w="1596"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11"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92"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09" w:type="dxa"/>
            <w:gridSpan w:val="3"/>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2415"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2896" w:type="dxa"/>
            <w:gridSpan w:val="10"/>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596"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011"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092"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09" w:type="dxa"/>
            <w:gridSpan w:val="3"/>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2415"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2896" w:type="dxa"/>
            <w:gridSpan w:val="10"/>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596"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011"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092" w:type="dxa"/>
            <w:gridSpan w:val="2"/>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827" w:type="dxa"/>
            <w:gridSpan w:val="27"/>
            <w:tcBorders>
              <w:top w:val="single" w:color="000000" w:sz="4" w:space="0"/>
              <w:left w:val="single" w:color="000000" w:sz="8" w:space="0"/>
              <w:bottom w:val="single" w:color="000000" w:sz="8"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    计</w:t>
            </w:r>
          </w:p>
        </w:tc>
        <w:tc>
          <w:tcPr>
            <w:tcW w:w="1092" w:type="dxa"/>
            <w:gridSpan w:val="2"/>
            <w:tcBorders>
              <w:top w:val="single" w:color="000000" w:sz="4" w:space="0"/>
              <w:left w:val="single" w:color="000000" w:sz="4" w:space="0"/>
              <w:bottom w:val="single" w:color="000000" w:sz="8" w:space="0"/>
              <w:right w:val="single" w:color="000000" w:sz="8"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9919" w:type="dxa"/>
            <w:gridSpan w:val="29"/>
            <w:tcBorders>
              <w:top w:val="nil"/>
              <w:left w:val="nil"/>
              <w:bottom w:val="nil"/>
              <w:right w:val="nil"/>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单位工程人材机汇总表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7532" w:type="dxa"/>
            <w:gridSpan w:val="21"/>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工程名称：安装工程</w:t>
            </w:r>
          </w:p>
        </w:tc>
        <w:tc>
          <w:tcPr>
            <w:tcW w:w="299" w:type="dxa"/>
            <w:gridSpan w:val="2"/>
            <w:tcBorders>
              <w:top w:val="nil"/>
              <w:left w:val="nil"/>
              <w:bottom w:val="nil"/>
              <w:right w:val="nil"/>
            </w:tcBorders>
            <w:shd w:val="clear" w:color="FFFFFF" w:fill="FFFFFF"/>
            <w:noWrap w:val="0"/>
            <w:vAlign w:val="bottom"/>
          </w:tcPr>
          <w:p>
            <w:pPr>
              <w:jc w:val="center"/>
              <w:rPr>
                <w:rFonts w:hint="eastAsia" w:ascii="宋体" w:hAnsi="宋体" w:eastAsia="宋体" w:cs="宋体"/>
                <w:i w:val="0"/>
                <w:iCs w:val="0"/>
                <w:color w:val="000000"/>
                <w:sz w:val="20"/>
                <w:szCs w:val="20"/>
                <w:u w:val="none"/>
              </w:rPr>
            </w:pPr>
          </w:p>
        </w:tc>
        <w:tc>
          <w:tcPr>
            <w:tcW w:w="2088" w:type="dxa"/>
            <w:gridSpan w:val="6"/>
            <w:tcBorders>
              <w:top w:val="nil"/>
              <w:left w:val="nil"/>
              <w:bottom w:val="nil"/>
              <w:right w:val="nil"/>
            </w:tcBorders>
            <w:shd w:val="clear" w:color="FFFFFF" w:fill="FFFFFF"/>
            <w:noWrap w:val="0"/>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3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84" w:type="dxa"/>
            <w:gridSpan w:val="2"/>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230" w:type="dxa"/>
            <w:gridSpan w:val="3"/>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编码</w:t>
            </w:r>
          </w:p>
        </w:tc>
        <w:tc>
          <w:tcPr>
            <w:tcW w:w="2213" w:type="dxa"/>
            <w:gridSpan w:val="4"/>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名称及规格</w:t>
            </w:r>
          </w:p>
        </w:tc>
        <w:tc>
          <w:tcPr>
            <w:tcW w:w="716" w:type="dxa"/>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c>
          <w:tcPr>
            <w:tcW w:w="1198" w:type="dxa"/>
            <w:gridSpan w:val="5"/>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w:t>
            </w:r>
          </w:p>
        </w:tc>
        <w:tc>
          <w:tcPr>
            <w:tcW w:w="1164" w:type="dxa"/>
            <w:gridSpan w:val="5"/>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1206" w:type="dxa"/>
            <w:gridSpan w:val="5"/>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589" w:type="dxa"/>
            <w:gridSpan w:val="3"/>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品牌</w:t>
            </w:r>
          </w:p>
        </w:tc>
        <w:tc>
          <w:tcPr>
            <w:tcW w:w="919" w:type="dxa"/>
            <w:tcBorders>
              <w:top w:val="single" w:color="000000" w:sz="8"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厂家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05030200</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木板</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0.024</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206"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589"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13030240</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厚漆</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0.8</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206"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589"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19000210</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螺纹阀门DN20</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0.245</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206"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589"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24110140</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弹簧压力表Y-100 0~1.6MPa</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0.125</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18090480</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室外塑料给水管接头零件(粘接)DN50</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14.05</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00010010</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人工费</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8247.3581</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02010013</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橡胶板1~3</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0.49</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02010100</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石棉橡胶板3~6</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0.8</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02270001</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棉纱</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02270020</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白布</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03134021</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铁砂布0~2#</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9.77</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03135021</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低碳钢焊条结422 φ3.2</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0.12</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03139281</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钢锯条</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11.02</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03213261</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平垫铁Q195~Q235 2#</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23.232</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04030015</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中砂</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0.356</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04050035</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碎石20</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0.388</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13350380</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油浸石棉盘根编织 φ6~10(250℃)</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0.8</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14030030</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煤油</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14090030</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黄甘油</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0.404</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14390070</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氧气</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20.355</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14390100</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乙炔气</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7.345</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17010054</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焊接钢管DN20</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0.91</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17270175</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橡胶软管DN20</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0.425</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24590010</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压力表弯管DN15</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0.125</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17250050</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塑料给水管</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17250050@3</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塑料给水管DN25</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561</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19380001@1</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塑料阀门DN50</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4.04</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19380001@2</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塑料阀门DN25</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4.04</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33110030@1</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玻璃钢卧罐20m3</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51170001@1</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变频计量泵</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00010003</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机上人工</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工日</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01030055</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镀锌低碳钢丝φ2.5~4.0</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8"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1230" w:type="dxa"/>
            <w:gridSpan w:val="3"/>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01290003</w:t>
            </w:r>
          </w:p>
        </w:tc>
        <w:tc>
          <w:tcPr>
            <w:tcW w:w="2213" w:type="dxa"/>
            <w:gridSpan w:val="4"/>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钢板综合</w:t>
            </w:r>
          </w:p>
        </w:tc>
        <w:tc>
          <w:tcPr>
            <w:tcW w:w="716" w:type="dxa"/>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198" w:type="dxa"/>
            <w:gridSpan w:val="5"/>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164" w:type="dxa"/>
            <w:gridSpan w:val="5"/>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8"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9919" w:type="dxa"/>
            <w:gridSpan w:val="29"/>
            <w:tcBorders>
              <w:top w:val="nil"/>
              <w:left w:val="nil"/>
              <w:bottom w:val="nil"/>
              <w:right w:val="nil"/>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单位工程人材机汇总表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7532" w:type="dxa"/>
            <w:gridSpan w:val="21"/>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工程名称：安装工程</w:t>
            </w:r>
          </w:p>
        </w:tc>
        <w:tc>
          <w:tcPr>
            <w:tcW w:w="299" w:type="dxa"/>
            <w:gridSpan w:val="2"/>
            <w:tcBorders>
              <w:top w:val="nil"/>
              <w:left w:val="nil"/>
              <w:bottom w:val="nil"/>
              <w:right w:val="nil"/>
            </w:tcBorders>
            <w:shd w:val="clear" w:color="FFFFFF" w:fill="FFFFFF"/>
            <w:noWrap w:val="0"/>
            <w:vAlign w:val="bottom"/>
          </w:tcPr>
          <w:p>
            <w:pPr>
              <w:jc w:val="center"/>
              <w:rPr>
                <w:rFonts w:hint="eastAsia" w:ascii="宋体" w:hAnsi="宋体" w:eastAsia="宋体" w:cs="宋体"/>
                <w:i w:val="0"/>
                <w:iCs w:val="0"/>
                <w:color w:val="000000"/>
                <w:sz w:val="20"/>
                <w:szCs w:val="20"/>
                <w:u w:val="none"/>
              </w:rPr>
            </w:pPr>
          </w:p>
        </w:tc>
        <w:tc>
          <w:tcPr>
            <w:tcW w:w="2088" w:type="dxa"/>
            <w:gridSpan w:val="6"/>
            <w:tcBorders>
              <w:top w:val="nil"/>
              <w:left w:val="nil"/>
              <w:bottom w:val="nil"/>
              <w:right w:val="nil"/>
            </w:tcBorders>
            <w:shd w:val="clear" w:color="FFFFFF" w:fill="FFFFFF"/>
            <w:noWrap w:val="0"/>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2 页  共 3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84" w:type="dxa"/>
            <w:gridSpan w:val="2"/>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230" w:type="dxa"/>
            <w:gridSpan w:val="3"/>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编码</w:t>
            </w:r>
          </w:p>
        </w:tc>
        <w:tc>
          <w:tcPr>
            <w:tcW w:w="2213" w:type="dxa"/>
            <w:gridSpan w:val="4"/>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名称及规格</w:t>
            </w:r>
          </w:p>
        </w:tc>
        <w:tc>
          <w:tcPr>
            <w:tcW w:w="716" w:type="dxa"/>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c>
          <w:tcPr>
            <w:tcW w:w="1198" w:type="dxa"/>
            <w:gridSpan w:val="5"/>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w:t>
            </w:r>
          </w:p>
        </w:tc>
        <w:tc>
          <w:tcPr>
            <w:tcW w:w="1164" w:type="dxa"/>
            <w:gridSpan w:val="5"/>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862" w:type="dxa"/>
            <w:gridSpan w:val="4"/>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933" w:type="dxa"/>
            <w:gridSpan w:val="4"/>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品牌</w:t>
            </w:r>
          </w:p>
        </w:tc>
        <w:tc>
          <w:tcPr>
            <w:tcW w:w="919" w:type="dxa"/>
            <w:tcBorders>
              <w:top w:val="single" w:color="000000" w:sz="8"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厂家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01290043</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钢板8~15</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2.08</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02010155</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石棉橡胶板低压0.8~6</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02130040</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四氟带</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0.02</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03010430</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六角螺栓综合</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0.245</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03135001</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低碳钢焊条综合</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10.88</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03135101</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碳钢气焊条φ2以内</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0.6</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03136021</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焊锡丝综合</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0.08</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03137041</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焊锡膏</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0.016</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03213251</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平垫铁Q195~Q235 1#</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6.096</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13010130</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酚醛调和漆</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17.6</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14010030</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松节油</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14070050</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机油综合</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0.808</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14090010</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电力复合脂</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0.016</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14330030</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丙酮</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1.595</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14410410</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氯丁橡胶粘接剂</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4.07</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27170001</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电气绝缘胶带18mm×10m×0.13mm</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0.16</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27170020</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黄蜡带20mm×10m</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0.896</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34110040</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kW·h</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99450760</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其他材料费</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71.72</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17190001</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金属软管</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18150260</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金属软管活接头</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8.16</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99450630</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折旧费</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290.7825</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99450640</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检修费</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81.881</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99450650</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维护费</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194.7488</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99450660</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安拆费</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40.5398</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01130060</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镀锌扁钢综合</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04010030</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复合普通硅酸盐水泥P.O 42.5</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0.2088</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14030040</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汽油综合</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2.168</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99450670</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汽油(机械用)国Ⅲ93#</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16.128</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99450680</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柴油(机械用)0#</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26.379</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34110010</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49.705</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99450700</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电(机械用)</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kW·h</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327.1179</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8"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1230" w:type="dxa"/>
            <w:gridSpan w:val="3"/>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14410600</w:t>
            </w:r>
          </w:p>
        </w:tc>
        <w:tc>
          <w:tcPr>
            <w:tcW w:w="2213" w:type="dxa"/>
            <w:gridSpan w:val="4"/>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胶粘剂</w:t>
            </w:r>
          </w:p>
        </w:tc>
        <w:tc>
          <w:tcPr>
            <w:tcW w:w="716" w:type="dxa"/>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198" w:type="dxa"/>
            <w:gridSpan w:val="5"/>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0.36</w:t>
            </w:r>
          </w:p>
        </w:tc>
        <w:tc>
          <w:tcPr>
            <w:tcW w:w="1164" w:type="dxa"/>
            <w:gridSpan w:val="5"/>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8"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9919" w:type="dxa"/>
            <w:gridSpan w:val="29"/>
            <w:tcBorders>
              <w:top w:val="nil"/>
              <w:left w:val="nil"/>
              <w:bottom w:val="nil"/>
              <w:right w:val="nil"/>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单位工程人材机汇总表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7532" w:type="dxa"/>
            <w:gridSpan w:val="21"/>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工程名称：安装工程</w:t>
            </w:r>
          </w:p>
        </w:tc>
        <w:tc>
          <w:tcPr>
            <w:tcW w:w="299" w:type="dxa"/>
            <w:gridSpan w:val="2"/>
            <w:tcBorders>
              <w:top w:val="nil"/>
              <w:left w:val="nil"/>
              <w:bottom w:val="nil"/>
              <w:right w:val="nil"/>
            </w:tcBorders>
            <w:shd w:val="clear" w:color="FFFFFF" w:fill="FFFFFF"/>
            <w:noWrap w:val="0"/>
            <w:vAlign w:val="bottom"/>
          </w:tcPr>
          <w:p>
            <w:pPr>
              <w:jc w:val="center"/>
              <w:rPr>
                <w:rFonts w:hint="eastAsia" w:ascii="宋体" w:hAnsi="宋体" w:eastAsia="宋体" w:cs="宋体"/>
                <w:i w:val="0"/>
                <w:iCs w:val="0"/>
                <w:color w:val="000000"/>
                <w:sz w:val="20"/>
                <w:szCs w:val="20"/>
                <w:u w:val="none"/>
              </w:rPr>
            </w:pPr>
          </w:p>
        </w:tc>
        <w:tc>
          <w:tcPr>
            <w:tcW w:w="2088" w:type="dxa"/>
            <w:gridSpan w:val="6"/>
            <w:tcBorders>
              <w:top w:val="nil"/>
              <w:left w:val="nil"/>
              <w:bottom w:val="nil"/>
              <w:right w:val="nil"/>
            </w:tcBorders>
            <w:shd w:val="clear" w:color="FFFFFF" w:fill="FFFFFF"/>
            <w:noWrap w:val="0"/>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3 页  共 3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84" w:type="dxa"/>
            <w:gridSpan w:val="2"/>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230" w:type="dxa"/>
            <w:gridSpan w:val="3"/>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编码</w:t>
            </w:r>
          </w:p>
        </w:tc>
        <w:tc>
          <w:tcPr>
            <w:tcW w:w="2213" w:type="dxa"/>
            <w:gridSpan w:val="4"/>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名称及规格</w:t>
            </w:r>
          </w:p>
        </w:tc>
        <w:tc>
          <w:tcPr>
            <w:tcW w:w="716" w:type="dxa"/>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c>
          <w:tcPr>
            <w:tcW w:w="1198" w:type="dxa"/>
            <w:gridSpan w:val="5"/>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w:t>
            </w:r>
          </w:p>
        </w:tc>
        <w:tc>
          <w:tcPr>
            <w:tcW w:w="1164" w:type="dxa"/>
            <w:gridSpan w:val="5"/>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862" w:type="dxa"/>
            <w:gridSpan w:val="4"/>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933" w:type="dxa"/>
            <w:gridSpan w:val="4"/>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品牌</w:t>
            </w:r>
          </w:p>
        </w:tc>
        <w:tc>
          <w:tcPr>
            <w:tcW w:w="919" w:type="dxa"/>
            <w:tcBorders>
              <w:top w:val="single" w:color="000000" w:sz="8"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厂家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w:t>
            </w: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18090480@1</w:t>
            </w: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室外塑料给水管接头零件(粘接)DN25</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155.65</w:t>
            </w: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230" w:type="dxa"/>
            <w:gridSpan w:val="3"/>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221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7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u w:val="none"/>
              </w:rPr>
            </w:pPr>
          </w:p>
        </w:tc>
        <w:tc>
          <w:tcPr>
            <w:tcW w:w="1198"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1164" w:type="dxa"/>
            <w:gridSpan w:val="5"/>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gridSpan w:val="2"/>
            <w:tcBorders>
              <w:top w:val="single" w:color="000000" w:sz="4" w:space="0"/>
              <w:left w:val="single" w:color="000000" w:sz="8" w:space="0"/>
              <w:bottom w:val="single" w:color="000000" w:sz="8"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230" w:type="dxa"/>
            <w:gridSpan w:val="3"/>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jc w:val="center"/>
              <w:rPr>
                <w:rFonts w:hint="eastAsia" w:ascii="黑体" w:hAnsi="宋体" w:eastAsia="黑体" w:cs="黑体"/>
                <w:i w:val="0"/>
                <w:iCs w:val="0"/>
                <w:color w:val="000000"/>
                <w:sz w:val="20"/>
                <w:szCs w:val="20"/>
                <w:u w:val="none"/>
              </w:rPr>
            </w:pPr>
          </w:p>
        </w:tc>
        <w:tc>
          <w:tcPr>
            <w:tcW w:w="2213" w:type="dxa"/>
            <w:gridSpan w:val="4"/>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w:t>
            </w:r>
          </w:p>
        </w:tc>
        <w:tc>
          <w:tcPr>
            <w:tcW w:w="716" w:type="dxa"/>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198" w:type="dxa"/>
            <w:gridSpan w:val="5"/>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c>
          <w:tcPr>
            <w:tcW w:w="1164" w:type="dxa"/>
            <w:gridSpan w:val="5"/>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862" w:type="dxa"/>
            <w:gridSpan w:val="4"/>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33" w:type="dxa"/>
            <w:gridSpan w:val="4"/>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u w:val="none"/>
              </w:rPr>
            </w:pPr>
          </w:p>
        </w:tc>
        <w:tc>
          <w:tcPr>
            <w:tcW w:w="919" w:type="dxa"/>
            <w:tcBorders>
              <w:top w:val="single" w:color="000000" w:sz="4" w:space="0"/>
              <w:left w:val="single" w:color="000000" w:sz="4" w:space="0"/>
              <w:bottom w:val="single" w:color="000000" w:sz="8"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u w:val="none"/>
              </w:rPr>
            </w:pPr>
          </w:p>
        </w:tc>
      </w:tr>
    </w:tbl>
    <w:p>
      <w:pPr>
        <w:adjustRightInd w:val="0"/>
        <w:snapToGrid w:val="0"/>
        <w:spacing w:line="600" w:lineRule="exact"/>
        <w:ind w:firstLine="570"/>
        <w:rPr>
          <w:rFonts w:ascii="仿宋_GB2312" w:eastAsia="仿宋_GB2312" w:hAnsiTheme="minorEastAsia"/>
          <w:color w:val="auto"/>
          <w:sz w:val="28"/>
          <w:szCs w:val="28"/>
          <w:highlight w:val="none"/>
        </w:rPr>
      </w:pPr>
    </w:p>
    <w:p>
      <w:pPr>
        <w:adjustRightInd w:val="0"/>
        <w:snapToGrid w:val="0"/>
        <w:spacing w:line="600" w:lineRule="exact"/>
        <w:ind w:firstLine="570"/>
        <w:rPr>
          <w:rFonts w:ascii="仿宋_GB2312" w:eastAsia="仿宋_GB2312" w:hAnsiTheme="minorEastAsia"/>
          <w:color w:val="auto"/>
          <w:sz w:val="28"/>
          <w:szCs w:val="28"/>
          <w:highlight w:val="none"/>
        </w:rPr>
      </w:pPr>
    </w:p>
    <w:p>
      <w:pPr>
        <w:adjustRightInd w:val="0"/>
        <w:snapToGrid w:val="0"/>
        <w:spacing w:line="600" w:lineRule="exact"/>
        <w:ind w:firstLine="570"/>
        <w:rPr>
          <w:rFonts w:ascii="仿宋_GB2312" w:eastAsia="仿宋_GB2312" w:hAnsiTheme="minorEastAsia"/>
          <w:color w:val="auto"/>
          <w:sz w:val="28"/>
          <w:szCs w:val="28"/>
          <w:highlight w:val="none"/>
        </w:rPr>
      </w:pPr>
    </w:p>
    <w:p>
      <w:pPr>
        <w:adjustRightInd w:val="0"/>
        <w:snapToGrid w:val="0"/>
        <w:spacing w:line="600" w:lineRule="exact"/>
        <w:ind w:firstLine="570"/>
        <w:rPr>
          <w:rFonts w:ascii="仿宋_GB2312" w:eastAsia="仿宋_GB2312" w:hAnsiTheme="minorEastAsia"/>
          <w:color w:val="auto"/>
          <w:sz w:val="28"/>
          <w:szCs w:val="28"/>
          <w:highlight w:val="none"/>
        </w:rPr>
      </w:pPr>
    </w:p>
    <w:p>
      <w:pPr>
        <w:pStyle w:val="2"/>
        <w:rPr>
          <w:rFonts w:hint="default"/>
          <w:color w:val="auto"/>
          <w:highlight w:val="none"/>
          <w:lang w:val="en-US"/>
        </w:rPr>
      </w:pPr>
    </w:p>
    <w:p>
      <w:pPr>
        <w:pStyle w:val="6"/>
        <w:rPr>
          <w:rFonts w:asciiTheme="majorEastAsia" w:hAnsiTheme="majorEastAsia" w:eastAsiaTheme="majorEastAsia"/>
          <w:color w:val="auto"/>
          <w:sz w:val="28"/>
          <w:szCs w:val="28"/>
          <w:highlight w:val="none"/>
        </w:rPr>
      </w:pPr>
      <w:bookmarkStart w:id="174" w:name="_Toc87616402"/>
      <w:bookmarkStart w:id="175" w:name="_Toc16386"/>
      <w:bookmarkStart w:id="176" w:name="_Toc88209965"/>
      <w:bookmarkStart w:id="177" w:name="_Toc6058"/>
      <w:r>
        <w:rPr>
          <w:rFonts w:hint="eastAsia" w:eastAsiaTheme="majorEastAsia"/>
          <w:color w:val="auto"/>
          <w:highlight w:val="none"/>
          <w:lang w:val="en-US" w:eastAsia="zh-CN"/>
        </w:rPr>
        <w:t>6</w:t>
      </w:r>
      <w:r>
        <w:rPr>
          <w:rFonts w:hint="eastAsia" w:asciiTheme="majorEastAsia" w:hAnsiTheme="majorEastAsia" w:eastAsiaTheme="majorEastAsia"/>
          <w:color w:val="auto"/>
          <w:sz w:val="28"/>
          <w:szCs w:val="28"/>
          <w:highlight w:val="none"/>
        </w:rPr>
        <w:t>.其他资料</w:t>
      </w:r>
      <w:bookmarkEnd w:id="174"/>
      <w:bookmarkEnd w:id="175"/>
      <w:bookmarkEnd w:id="176"/>
      <w:bookmarkEnd w:id="177"/>
    </w:p>
    <w:p>
      <w:pPr>
        <w:adjustRightInd w:val="0"/>
        <w:snapToGrid w:val="0"/>
        <w:spacing w:line="600" w:lineRule="exact"/>
        <w:ind w:firstLine="570"/>
        <w:rPr>
          <w:rFonts w:ascii="仿宋_GB2312" w:eastAsia="仿宋_GB2312" w:hAnsiTheme="minorEastAsia"/>
          <w:color w:val="auto"/>
          <w:sz w:val="28"/>
          <w:szCs w:val="28"/>
          <w:highlight w:val="none"/>
        </w:rPr>
      </w:pPr>
      <w:r>
        <w:rPr>
          <w:rFonts w:ascii="仿宋_GB2312" w:eastAsia="仿宋_GB2312" w:hAnsiTheme="minorEastAsia"/>
          <w:color w:val="auto"/>
          <w:sz w:val="28"/>
          <w:szCs w:val="28"/>
          <w:highlight w:val="none"/>
        </w:rPr>
        <w:t>供应商须提交的其他资料</w:t>
      </w:r>
      <w:r>
        <w:rPr>
          <w:rFonts w:hint="eastAsia" w:ascii="仿宋_GB2312" w:eastAsia="仿宋_GB2312" w:hAnsiTheme="minorEastAsia"/>
          <w:color w:val="auto"/>
          <w:sz w:val="28"/>
          <w:szCs w:val="28"/>
          <w:highlight w:val="none"/>
        </w:rPr>
        <w:t>。</w:t>
      </w:r>
    </w:p>
    <w:p>
      <w:pPr>
        <w:rPr>
          <w:color w:val="auto"/>
          <w:highlight w:val="none"/>
        </w:rPr>
      </w:pPr>
    </w:p>
    <w:sectPr>
      <w:headerReference r:id="rId3" w:type="first"/>
      <w:footerReference r:id="rId6" w:type="first"/>
      <w:footerReference r:id="rId4" w:type="default"/>
      <w:footerReference r:id="rId5" w:type="even"/>
      <w:pgSz w:w="11906" w:h="16838"/>
      <w:pgMar w:top="2098" w:right="1474" w:bottom="1985" w:left="1588"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Batang">
    <w:panose1 w:val="02030600000101010101"/>
    <w:charset w:val="81"/>
    <w:family w:val="auto"/>
    <w:pitch w:val="default"/>
    <w:sig w:usb0="00000000" w:usb1="00000000" w:usb2="00000000" w:usb3="00000000" w:csb0="00000000"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OqXm5zwAAAAUBAAAP&#10;AAAAAAAAAAEAIAAAACIAAABkcnMvZG93bnJldi54bWxQSwECFAAUAAAACACHTuJAxvTKYK8BAABM&#10;AwAADgAAAAAAAAABACAAAAAeAQAAZHJzL2Uyb0RvYy54bWxQSwUGAAAAAAYABgBZAQAAPwUAAAAA&#10;">
              <v:fill on="f" focussize="0,0"/>
              <v:stroke on="f"/>
              <v:imagedata o:title=""/>
              <o:lock v:ext="edit" aspectratio="f"/>
              <v:textbox inset="0mm,0mm,0mm,0mm" style="mso-fit-shape-to-text:t;">
                <w:txbxContent>
                  <w:p>
                    <w:pPr>
                      <w:pStyle w:val="1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OqXm5zwAAAAUBAAAP&#10;AAAAAAAAAAEAIAAAACIAAABkcnMvZG93bnJldi54bWxQSwECFAAUAAAACACHTuJA5+cqyq8BAABM&#10;AwAADgAAAAAAAAABACAAAAAeAQAAZHJzL2Uyb0RvYy54bWxQSwUGAAAAAAYABgBZAQAAPwUAAAAA&#10;">
              <v:fill on="f" focussize="0,0"/>
              <v:stroke on="f"/>
              <v:imagedata o:title=""/>
              <o:lock v:ext="edit" aspectratio="f"/>
              <v:textbox inset="0mm,0mm,0mm,0mm" style="mso-fit-shape-to-text:t;">
                <w:txbxContent>
                  <w:p>
                    <w:pPr>
                      <w:pStyle w:val="19"/>
                    </w:pPr>
                  </w:p>
                  <w:p/>
                </w:txbxContent>
              </v:textbox>
            </v:shape>
          </w:pict>
        </mc:Fallback>
      </mc:AlternateContent>
    </w:r>
  </w:p>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docPartObj>
        <w:docPartGallery w:val="autotext"/>
      </w:docPartObj>
    </w:sdtPr>
    <w:sdtContent>
      <w:p>
        <w:pPr>
          <w:pStyle w:val="19"/>
          <w:jc w:val="right"/>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98</w:t>
        </w:r>
        <w:r>
          <w:rPr>
            <w:rFonts w:hint="eastAsia" w:ascii="仿宋_GB2312" w:eastAsia="仿宋_GB2312"/>
            <w:sz w:val="28"/>
            <w:szCs w:val="28"/>
          </w:rPr>
          <w:fldChar w:fldCharType="end"/>
        </w:r>
        <w:r>
          <w:rPr>
            <w:rFonts w:hint="eastAsia" w:ascii="仿宋_GB2312" w:eastAsia="仿宋_GB2312"/>
            <w:sz w:val="28"/>
            <w:szCs w:val="28"/>
          </w:rPr>
          <w:t>-</w:t>
        </w:r>
      </w:p>
    </w:sdtContent>
  </w:sdt>
  <w:p>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OqXm5zwAAAAUBAAAP&#10;AAAAAAAAAAEAIAAAACIAAABkcnMvZG93bnJldi54bWxQSwECFAAUAAAACACHTuJANV2Ieq8BAABM&#10;AwAADgAAAAAAAAABACAAAAAeAQAAZHJzL2Uyb0RvYy54bWxQSwUGAAAAAAYABgBZAQAAPwUAAAAA&#10;">
              <v:fill on="f" focussize="0,0"/>
              <v:stroke on="f"/>
              <v:imagedata o:title=""/>
              <o:lock v:ext="edit" aspectratio="f"/>
              <v:textbox inset="0mm,0mm,0mm,0mm" style="mso-fit-shape-to-text:t;">
                <w:txbxContent>
                  <w:p>
                    <w:pPr>
                      <w:pStyle w:val="1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C9CF724"/>
    <w:multiLevelType w:val="singleLevel"/>
    <w:tmpl w:val="CC9CF724"/>
    <w:lvl w:ilvl="0" w:tentative="0">
      <w:start w:val="1"/>
      <w:numFmt w:val="chineseCounting"/>
      <w:suff w:val="space"/>
      <w:lvlText w:val="第%1章"/>
      <w:lvlJc w:val="left"/>
      <w:rPr>
        <w:rFonts w:hint="eastAsia"/>
      </w:rPr>
    </w:lvl>
  </w:abstractNum>
  <w:abstractNum w:abstractNumId="1">
    <w:nsid w:val="F474C9A6"/>
    <w:multiLevelType w:val="singleLevel"/>
    <w:tmpl w:val="F474C9A6"/>
    <w:lvl w:ilvl="0" w:tentative="0">
      <w:start w:val="10"/>
      <w:numFmt w:val="chineseCounting"/>
      <w:suff w:val="space"/>
      <w:lvlText w:val="第%1条"/>
      <w:lvlJc w:val="left"/>
      <w:rPr>
        <w:rFonts w:hint="eastAsia"/>
      </w:rPr>
    </w:lvl>
  </w:abstractNum>
  <w:abstractNum w:abstractNumId="2">
    <w:nsid w:val="4734DCE6"/>
    <w:multiLevelType w:val="singleLevel"/>
    <w:tmpl w:val="4734DCE6"/>
    <w:lvl w:ilvl="0" w:tentative="0">
      <w:start w:val="1"/>
      <w:numFmt w:val="decimal"/>
      <w:lvlText w:val="%1."/>
      <w:lvlJc w:val="left"/>
      <w:pPr>
        <w:tabs>
          <w:tab w:val="left" w:pos="312"/>
        </w:tabs>
      </w:pPr>
    </w:lvl>
  </w:abstractNum>
  <w:abstractNum w:abstractNumId="3">
    <w:nsid w:val="63197585"/>
    <w:multiLevelType w:val="multilevel"/>
    <w:tmpl w:val="63197585"/>
    <w:lvl w:ilvl="0" w:tentative="0">
      <w:start w:val="1"/>
      <w:numFmt w:val="chineseCountingThousand"/>
      <w:suff w:val="space"/>
      <w:lvlText w:val="第%1章"/>
      <w:lvlJc w:val="left"/>
      <w:pPr>
        <w:ind w:left="425" w:hanging="425"/>
      </w:pPr>
      <w:rPr>
        <w:rFonts w:hint="eastAsia"/>
      </w:rPr>
    </w:lvl>
    <w:lvl w:ilvl="1" w:tentative="0">
      <w:start w:val="1"/>
      <w:numFmt w:val="decimal"/>
      <w:isLgl/>
      <w:suff w:val="space"/>
      <w:lvlText w:val="%1.%2"/>
      <w:lvlJc w:val="left"/>
      <w:pPr>
        <w:ind w:left="850" w:hanging="850"/>
      </w:pPr>
      <w:rPr>
        <w:rFonts w:hint="eastAsia"/>
      </w:rPr>
    </w:lvl>
    <w:lvl w:ilvl="2" w:tentative="0">
      <w:start w:val="1"/>
      <w:numFmt w:val="decimal"/>
      <w:pStyle w:val="50"/>
      <w:isLgl/>
      <w:suff w:val="space"/>
      <w:lvlText w:val="%1.%2.%3"/>
      <w:lvlJc w:val="left"/>
      <w:pPr>
        <w:ind w:left="5402" w:hanging="1275"/>
      </w:pPr>
      <w:rPr>
        <w:rFonts w:hint="eastAsia"/>
      </w:rPr>
    </w:lvl>
    <w:lvl w:ilvl="3" w:tentative="0">
      <w:start w:val="1"/>
      <w:numFmt w:val="decimal"/>
      <w:pStyle w:val="49"/>
      <w:isLgl/>
      <w:suff w:val="space"/>
      <w:lvlText w:val="%1.%2.%3.%4"/>
      <w:lvlJc w:val="left"/>
      <w:pPr>
        <w:ind w:left="3684" w:hanging="1700"/>
      </w:pPr>
      <w:rPr>
        <w:rFonts w:hint="eastAsia"/>
      </w:rPr>
    </w:lvl>
    <w:lvl w:ilvl="4" w:tentative="0">
      <w:start w:val="1"/>
      <w:numFmt w:val="decimal"/>
      <w:lvlText w:val="%1.%2.%3.%4.%5"/>
      <w:lvlJc w:val="left"/>
      <w:pPr>
        <w:ind w:left="2125" w:hanging="425"/>
      </w:pPr>
      <w:rPr>
        <w:rFonts w:hint="eastAsia"/>
      </w:rPr>
    </w:lvl>
    <w:lvl w:ilvl="5" w:tentative="0">
      <w:start w:val="1"/>
      <w:numFmt w:val="decimal"/>
      <w:lvlText w:val="%1.%2.%3.%4.%5.%6"/>
      <w:lvlJc w:val="left"/>
      <w:pPr>
        <w:ind w:left="2550" w:hanging="425"/>
      </w:pPr>
      <w:rPr>
        <w:rFonts w:hint="eastAsia"/>
      </w:rPr>
    </w:lvl>
    <w:lvl w:ilvl="6" w:tentative="0">
      <w:start w:val="1"/>
      <w:numFmt w:val="decimal"/>
      <w:lvlText w:val="%1.%2.%3.%4.%5.%6.%7"/>
      <w:lvlJc w:val="left"/>
      <w:pPr>
        <w:ind w:left="2975" w:hanging="425"/>
      </w:pPr>
      <w:rPr>
        <w:rFonts w:hint="eastAsia"/>
      </w:rPr>
    </w:lvl>
    <w:lvl w:ilvl="7" w:tentative="0">
      <w:start w:val="1"/>
      <w:numFmt w:val="decimal"/>
      <w:lvlText w:val="%1.%2.%3.%4.%5.%6.%7.%8"/>
      <w:lvlJc w:val="left"/>
      <w:pPr>
        <w:ind w:left="3400" w:hanging="425"/>
      </w:pPr>
      <w:rPr>
        <w:rFonts w:hint="eastAsia"/>
      </w:rPr>
    </w:lvl>
    <w:lvl w:ilvl="8" w:tentative="0">
      <w:start w:val="1"/>
      <w:numFmt w:val="decimal"/>
      <w:lvlText w:val="%1.%2.%3.%4.%5.%6.%7.%8.%9"/>
      <w:lvlJc w:val="left"/>
      <w:pPr>
        <w:ind w:left="3825" w:hanging="425"/>
      </w:pPr>
      <w:rPr>
        <w:rFonts w:hint="eastAsia"/>
      </w:rPr>
    </w:lvl>
  </w:abstractNum>
  <w:abstractNum w:abstractNumId="4">
    <w:nsid w:val="705D32C3"/>
    <w:multiLevelType w:val="singleLevel"/>
    <w:tmpl w:val="705D32C3"/>
    <w:lvl w:ilvl="0" w:tentative="0">
      <w:start w:val="5"/>
      <w:numFmt w:val="decimal"/>
      <w:lvlText w:val="%1."/>
      <w:lvlJc w:val="left"/>
      <w:pPr>
        <w:tabs>
          <w:tab w:val="left" w:pos="312"/>
        </w:tabs>
      </w:p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18A"/>
    <w:rsid w:val="003D60BA"/>
    <w:rsid w:val="00411689"/>
    <w:rsid w:val="005D618A"/>
    <w:rsid w:val="00911ECD"/>
    <w:rsid w:val="00A042E0"/>
    <w:rsid w:val="00B26BB1"/>
    <w:rsid w:val="00B26E21"/>
    <w:rsid w:val="00F83B64"/>
    <w:rsid w:val="013E3461"/>
    <w:rsid w:val="02090C75"/>
    <w:rsid w:val="02A23A3C"/>
    <w:rsid w:val="035D130A"/>
    <w:rsid w:val="039110A9"/>
    <w:rsid w:val="03AC246A"/>
    <w:rsid w:val="03B23056"/>
    <w:rsid w:val="03DC3EBA"/>
    <w:rsid w:val="03F9794D"/>
    <w:rsid w:val="045D5FE6"/>
    <w:rsid w:val="046A2461"/>
    <w:rsid w:val="051C2970"/>
    <w:rsid w:val="060C3611"/>
    <w:rsid w:val="06C64829"/>
    <w:rsid w:val="070E7B6E"/>
    <w:rsid w:val="07536AFE"/>
    <w:rsid w:val="077D16D2"/>
    <w:rsid w:val="082A69F3"/>
    <w:rsid w:val="08675FC8"/>
    <w:rsid w:val="09B713FD"/>
    <w:rsid w:val="09EF6ACC"/>
    <w:rsid w:val="0A315056"/>
    <w:rsid w:val="0AA213B4"/>
    <w:rsid w:val="0AF61C7E"/>
    <w:rsid w:val="0AFB45AD"/>
    <w:rsid w:val="0B351E9B"/>
    <w:rsid w:val="0B4C50D3"/>
    <w:rsid w:val="0B806B92"/>
    <w:rsid w:val="0B827E94"/>
    <w:rsid w:val="0B842F76"/>
    <w:rsid w:val="0BB965E1"/>
    <w:rsid w:val="0BD070E1"/>
    <w:rsid w:val="0C247926"/>
    <w:rsid w:val="0D794204"/>
    <w:rsid w:val="0E2125D1"/>
    <w:rsid w:val="0E214211"/>
    <w:rsid w:val="0E5F2769"/>
    <w:rsid w:val="0F4D75A3"/>
    <w:rsid w:val="0F5B2DCA"/>
    <w:rsid w:val="0FED051E"/>
    <w:rsid w:val="0FEE4C29"/>
    <w:rsid w:val="10031608"/>
    <w:rsid w:val="10046082"/>
    <w:rsid w:val="104974DD"/>
    <w:rsid w:val="111703D2"/>
    <w:rsid w:val="112B101A"/>
    <w:rsid w:val="119B53FC"/>
    <w:rsid w:val="1215733B"/>
    <w:rsid w:val="12424CDC"/>
    <w:rsid w:val="129A2738"/>
    <w:rsid w:val="12B56BF1"/>
    <w:rsid w:val="12CB1A89"/>
    <w:rsid w:val="131840FB"/>
    <w:rsid w:val="13467417"/>
    <w:rsid w:val="136E76CF"/>
    <w:rsid w:val="143C67E5"/>
    <w:rsid w:val="145F08C6"/>
    <w:rsid w:val="15776308"/>
    <w:rsid w:val="15BC6B3C"/>
    <w:rsid w:val="16360A7B"/>
    <w:rsid w:val="164D40B0"/>
    <w:rsid w:val="1694429A"/>
    <w:rsid w:val="16B7674F"/>
    <w:rsid w:val="17635326"/>
    <w:rsid w:val="17B803EA"/>
    <w:rsid w:val="1815096B"/>
    <w:rsid w:val="18236EFD"/>
    <w:rsid w:val="189D5B1F"/>
    <w:rsid w:val="18A34CD0"/>
    <w:rsid w:val="19A53EA8"/>
    <w:rsid w:val="19B64DBC"/>
    <w:rsid w:val="19EC6A4A"/>
    <w:rsid w:val="1A373ACF"/>
    <w:rsid w:val="1A895341"/>
    <w:rsid w:val="1B0D071F"/>
    <w:rsid w:val="1B4568CE"/>
    <w:rsid w:val="1B9015B7"/>
    <w:rsid w:val="1B950DA6"/>
    <w:rsid w:val="1BF54245"/>
    <w:rsid w:val="1D0E6976"/>
    <w:rsid w:val="1D5A79EE"/>
    <w:rsid w:val="1D5F3EA5"/>
    <w:rsid w:val="1E0E2CD0"/>
    <w:rsid w:val="1E51105B"/>
    <w:rsid w:val="1E831280"/>
    <w:rsid w:val="1EBC4704"/>
    <w:rsid w:val="1F172EB5"/>
    <w:rsid w:val="1F94592D"/>
    <w:rsid w:val="1FB860DE"/>
    <w:rsid w:val="203C5A02"/>
    <w:rsid w:val="209D4C94"/>
    <w:rsid w:val="20E84705"/>
    <w:rsid w:val="218400BA"/>
    <w:rsid w:val="21AB1E2F"/>
    <w:rsid w:val="21D40498"/>
    <w:rsid w:val="22767047"/>
    <w:rsid w:val="232F669D"/>
    <w:rsid w:val="23A05588"/>
    <w:rsid w:val="240476A1"/>
    <w:rsid w:val="25431AEB"/>
    <w:rsid w:val="25BE3BFB"/>
    <w:rsid w:val="25BF43FD"/>
    <w:rsid w:val="25F86BCD"/>
    <w:rsid w:val="25FE3878"/>
    <w:rsid w:val="2605748B"/>
    <w:rsid w:val="264544A6"/>
    <w:rsid w:val="269E416A"/>
    <w:rsid w:val="26C11C6B"/>
    <w:rsid w:val="26DD1A72"/>
    <w:rsid w:val="272100D3"/>
    <w:rsid w:val="272C72FC"/>
    <w:rsid w:val="275131CB"/>
    <w:rsid w:val="27EB149D"/>
    <w:rsid w:val="27FD3E52"/>
    <w:rsid w:val="28E11370"/>
    <w:rsid w:val="29334D29"/>
    <w:rsid w:val="294A756A"/>
    <w:rsid w:val="29781BF8"/>
    <w:rsid w:val="29C33ED0"/>
    <w:rsid w:val="29D5322D"/>
    <w:rsid w:val="2A025DD9"/>
    <w:rsid w:val="2A2619CB"/>
    <w:rsid w:val="2A7C2231"/>
    <w:rsid w:val="2AAC5AC8"/>
    <w:rsid w:val="2ABB753D"/>
    <w:rsid w:val="2AFE6EC4"/>
    <w:rsid w:val="2B7A49FA"/>
    <w:rsid w:val="2C615D26"/>
    <w:rsid w:val="2CB679ED"/>
    <w:rsid w:val="2D173C07"/>
    <w:rsid w:val="2D424A86"/>
    <w:rsid w:val="2DDA66B7"/>
    <w:rsid w:val="2E7B52DB"/>
    <w:rsid w:val="2ED60115"/>
    <w:rsid w:val="2F324CFE"/>
    <w:rsid w:val="2FBA09F1"/>
    <w:rsid w:val="2FEF2ACF"/>
    <w:rsid w:val="30540211"/>
    <w:rsid w:val="31112A0D"/>
    <w:rsid w:val="311F4B20"/>
    <w:rsid w:val="312D7741"/>
    <w:rsid w:val="316F137F"/>
    <w:rsid w:val="31DF525F"/>
    <w:rsid w:val="31E93E42"/>
    <w:rsid w:val="31EC162B"/>
    <w:rsid w:val="32324C2E"/>
    <w:rsid w:val="324E0D04"/>
    <w:rsid w:val="327171DF"/>
    <w:rsid w:val="32BB431D"/>
    <w:rsid w:val="32E46B9C"/>
    <w:rsid w:val="341E3434"/>
    <w:rsid w:val="34727BF6"/>
    <w:rsid w:val="34BA3AD3"/>
    <w:rsid w:val="34BB4442"/>
    <w:rsid w:val="360B7EBA"/>
    <w:rsid w:val="36416867"/>
    <w:rsid w:val="369C32FD"/>
    <w:rsid w:val="37666E72"/>
    <w:rsid w:val="38081EA3"/>
    <w:rsid w:val="38167A04"/>
    <w:rsid w:val="381C3783"/>
    <w:rsid w:val="394B167A"/>
    <w:rsid w:val="39DA2868"/>
    <w:rsid w:val="3A055F4B"/>
    <w:rsid w:val="3A4E4336"/>
    <w:rsid w:val="3A6007FE"/>
    <w:rsid w:val="3AF93D6C"/>
    <w:rsid w:val="3B7C2CE4"/>
    <w:rsid w:val="3BAF716B"/>
    <w:rsid w:val="3C0B5355"/>
    <w:rsid w:val="3CD4176B"/>
    <w:rsid w:val="3D1F44D9"/>
    <w:rsid w:val="3D5C38CD"/>
    <w:rsid w:val="3E5070F1"/>
    <w:rsid w:val="3EC370CB"/>
    <w:rsid w:val="3F6C3589"/>
    <w:rsid w:val="3F850180"/>
    <w:rsid w:val="3F9004D6"/>
    <w:rsid w:val="400E4D5E"/>
    <w:rsid w:val="40E1138C"/>
    <w:rsid w:val="40F759BD"/>
    <w:rsid w:val="413814BA"/>
    <w:rsid w:val="41872511"/>
    <w:rsid w:val="41DF1251"/>
    <w:rsid w:val="424236D9"/>
    <w:rsid w:val="42466655"/>
    <w:rsid w:val="42C82F57"/>
    <w:rsid w:val="435707E5"/>
    <w:rsid w:val="439A12B1"/>
    <w:rsid w:val="43C76AF7"/>
    <w:rsid w:val="43E97E4A"/>
    <w:rsid w:val="446828F0"/>
    <w:rsid w:val="45093E85"/>
    <w:rsid w:val="451861F3"/>
    <w:rsid w:val="45B4209D"/>
    <w:rsid w:val="45C13B4D"/>
    <w:rsid w:val="45DF4DA8"/>
    <w:rsid w:val="46054BCA"/>
    <w:rsid w:val="464C6AFC"/>
    <w:rsid w:val="468B0091"/>
    <w:rsid w:val="46A107C3"/>
    <w:rsid w:val="46B15CE2"/>
    <w:rsid w:val="46BE113D"/>
    <w:rsid w:val="46E44B13"/>
    <w:rsid w:val="46F004BC"/>
    <w:rsid w:val="4703508A"/>
    <w:rsid w:val="475023F8"/>
    <w:rsid w:val="479D361E"/>
    <w:rsid w:val="47B74789"/>
    <w:rsid w:val="480F2B9D"/>
    <w:rsid w:val="48282920"/>
    <w:rsid w:val="485321E0"/>
    <w:rsid w:val="48546AD3"/>
    <w:rsid w:val="48CA4868"/>
    <w:rsid w:val="48F005D3"/>
    <w:rsid w:val="49547ADD"/>
    <w:rsid w:val="49732351"/>
    <w:rsid w:val="498F4AF1"/>
    <w:rsid w:val="49C05787"/>
    <w:rsid w:val="49CF518D"/>
    <w:rsid w:val="4AA9748D"/>
    <w:rsid w:val="4ADA1F63"/>
    <w:rsid w:val="4AE23D89"/>
    <w:rsid w:val="4B2038D0"/>
    <w:rsid w:val="4B296E7D"/>
    <w:rsid w:val="4B79394E"/>
    <w:rsid w:val="4B877F28"/>
    <w:rsid w:val="4D2B6715"/>
    <w:rsid w:val="4D8E3C2B"/>
    <w:rsid w:val="4D916BA6"/>
    <w:rsid w:val="4DC44169"/>
    <w:rsid w:val="4DE24E21"/>
    <w:rsid w:val="4E1B19A3"/>
    <w:rsid w:val="4E48787F"/>
    <w:rsid w:val="4EF0709E"/>
    <w:rsid w:val="4F0469A4"/>
    <w:rsid w:val="4F924C22"/>
    <w:rsid w:val="50540C73"/>
    <w:rsid w:val="50BF43E4"/>
    <w:rsid w:val="513C6A7B"/>
    <w:rsid w:val="532D486F"/>
    <w:rsid w:val="5333545B"/>
    <w:rsid w:val="538D0E89"/>
    <w:rsid w:val="5450213C"/>
    <w:rsid w:val="54D24048"/>
    <w:rsid w:val="54D64CD5"/>
    <w:rsid w:val="55887D69"/>
    <w:rsid w:val="561A0928"/>
    <w:rsid w:val="56423872"/>
    <w:rsid w:val="568759BF"/>
    <w:rsid w:val="569E06BC"/>
    <w:rsid w:val="56B279F0"/>
    <w:rsid w:val="56F20F86"/>
    <w:rsid w:val="575E5B27"/>
    <w:rsid w:val="579D710E"/>
    <w:rsid w:val="581F22F6"/>
    <w:rsid w:val="586E1E17"/>
    <w:rsid w:val="58862C35"/>
    <w:rsid w:val="58C14957"/>
    <w:rsid w:val="58CC23D2"/>
    <w:rsid w:val="58E66050"/>
    <w:rsid w:val="5AE83A50"/>
    <w:rsid w:val="5B353193"/>
    <w:rsid w:val="5BAB2917"/>
    <w:rsid w:val="5BFC33FA"/>
    <w:rsid w:val="5C3107A4"/>
    <w:rsid w:val="5C3B1B93"/>
    <w:rsid w:val="5C9220DF"/>
    <w:rsid w:val="5D0043AA"/>
    <w:rsid w:val="5D4A15F3"/>
    <w:rsid w:val="5D69542A"/>
    <w:rsid w:val="5D783B72"/>
    <w:rsid w:val="5E0930EF"/>
    <w:rsid w:val="5E3D4D53"/>
    <w:rsid w:val="5E4717E6"/>
    <w:rsid w:val="5E55774C"/>
    <w:rsid w:val="5E8A70FF"/>
    <w:rsid w:val="60045F96"/>
    <w:rsid w:val="60104DDC"/>
    <w:rsid w:val="605C0804"/>
    <w:rsid w:val="6189617B"/>
    <w:rsid w:val="61B52BB6"/>
    <w:rsid w:val="61B749C2"/>
    <w:rsid w:val="61F5249C"/>
    <w:rsid w:val="62280D20"/>
    <w:rsid w:val="62CA2457"/>
    <w:rsid w:val="638240A1"/>
    <w:rsid w:val="63833423"/>
    <w:rsid w:val="63A5257B"/>
    <w:rsid w:val="63B517FE"/>
    <w:rsid w:val="63BD3DCC"/>
    <w:rsid w:val="63C61741"/>
    <w:rsid w:val="64560967"/>
    <w:rsid w:val="656B1D10"/>
    <w:rsid w:val="658E3395"/>
    <w:rsid w:val="65B841F9"/>
    <w:rsid w:val="66022B28"/>
    <w:rsid w:val="664A38E2"/>
    <w:rsid w:val="66581E87"/>
    <w:rsid w:val="66FA11D5"/>
    <w:rsid w:val="674302C7"/>
    <w:rsid w:val="680A5986"/>
    <w:rsid w:val="680D5F4B"/>
    <w:rsid w:val="68113F51"/>
    <w:rsid w:val="68E94770"/>
    <w:rsid w:val="68EA1359"/>
    <w:rsid w:val="68F949C9"/>
    <w:rsid w:val="695A4290"/>
    <w:rsid w:val="6A334932"/>
    <w:rsid w:val="6A3353FF"/>
    <w:rsid w:val="6A5D63E6"/>
    <w:rsid w:val="6A5F24D1"/>
    <w:rsid w:val="6ACA70C4"/>
    <w:rsid w:val="6AE347EB"/>
    <w:rsid w:val="6B330365"/>
    <w:rsid w:val="6B434AF0"/>
    <w:rsid w:val="6B57675A"/>
    <w:rsid w:val="6B87098A"/>
    <w:rsid w:val="6BDD7B4D"/>
    <w:rsid w:val="6EBC0B3A"/>
    <w:rsid w:val="6EF51C7D"/>
    <w:rsid w:val="6F8363E5"/>
    <w:rsid w:val="6FA80CCD"/>
    <w:rsid w:val="6FAC3CC5"/>
    <w:rsid w:val="6FAD56A0"/>
    <w:rsid w:val="6FC746F5"/>
    <w:rsid w:val="70317AC6"/>
    <w:rsid w:val="704B26F7"/>
    <w:rsid w:val="70697B21"/>
    <w:rsid w:val="70863262"/>
    <w:rsid w:val="70A76ED3"/>
    <w:rsid w:val="717A714D"/>
    <w:rsid w:val="71860B17"/>
    <w:rsid w:val="723B27CC"/>
    <w:rsid w:val="72687227"/>
    <w:rsid w:val="72A03FD9"/>
    <w:rsid w:val="73406CFF"/>
    <w:rsid w:val="7383028C"/>
    <w:rsid w:val="73A25E44"/>
    <w:rsid w:val="741F68CF"/>
    <w:rsid w:val="75252DF3"/>
    <w:rsid w:val="75621536"/>
    <w:rsid w:val="75BF3154"/>
    <w:rsid w:val="764A07CF"/>
    <w:rsid w:val="764F6B3D"/>
    <w:rsid w:val="76CD2B7B"/>
    <w:rsid w:val="76D80645"/>
    <w:rsid w:val="76E03371"/>
    <w:rsid w:val="780E5898"/>
    <w:rsid w:val="782642CC"/>
    <w:rsid w:val="7894095E"/>
    <w:rsid w:val="78964555"/>
    <w:rsid w:val="78CF4963"/>
    <w:rsid w:val="79000679"/>
    <w:rsid w:val="791C0FE5"/>
    <w:rsid w:val="79A416F0"/>
    <w:rsid w:val="79B03EB6"/>
    <w:rsid w:val="7AE15A5C"/>
    <w:rsid w:val="7AF37579"/>
    <w:rsid w:val="7AF87F64"/>
    <w:rsid w:val="7B1C0C84"/>
    <w:rsid w:val="7B5A62DF"/>
    <w:rsid w:val="7B7A04A8"/>
    <w:rsid w:val="7C0C3F6D"/>
    <w:rsid w:val="7C22163C"/>
    <w:rsid w:val="7C457B4B"/>
    <w:rsid w:val="7C595075"/>
    <w:rsid w:val="7C6B07B2"/>
    <w:rsid w:val="7D133243"/>
    <w:rsid w:val="7D945420"/>
    <w:rsid w:val="7DA367B1"/>
    <w:rsid w:val="7E394207"/>
    <w:rsid w:val="7E4007A2"/>
    <w:rsid w:val="7E791CAD"/>
    <w:rsid w:val="7EA50DFB"/>
    <w:rsid w:val="7EC86878"/>
    <w:rsid w:val="7EE91400"/>
    <w:rsid w:val="7F16390D"/>
    <w:rsid w:val="7F752917"/>
    <w:rsid w:val="7FE37961"/>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31"/>
    <w:qFormat/>
    <w:uiPriority w:val="9"/>
    <w:pPr>
      <w:keepNext/>
      <w:keepLines/>
      <w:spacing w:before="340" w:after="330" w:line="578" w:lineRule="auto"/>
      <w:jc w:val="center"/>
      <w:outlineLvl w:val="0"/>
    </w:pPr>
    <w:rPr>
      <w:rFonts w:eastAsia="方正小标宋简体"/>
      <w:bCs/>
      <w:kern w:val="44"/>
      <w:sz w:val="44"/>
      <w:szCs w:val="44"/>
    </w:rPr>
  </w:style>
  <w:style w:type="paragraph" w:styleId="5">
    <w:name w:val="heading 2"/>
    <w:basedOn w:val="1"/>
    <w:next w:val="1"/>
    <w:link w:val="32"/>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6">
    <w:name w:val="heading 3"/>
    <w:basedOn w:val="1"/>
    <w:next w:val="1"/>
    <w:link w:val="3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7">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26">
    <w:name w:val="Default Paragraph Font"/>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adjustRightInd w:val="0"/>
      <w:spacing w:line="360" w:lineRule="auto"/>
      <w:ind w:left="0" w:leftChars="0" w:firstLine="420"/>
      <w:textAlignment w:val="baseline"/>
    </w:pPr>
    <w:rPr>
      <w:rFonts w:eastAsia="等线" w:cs="Times New Roman"/>
      <w:color w:val="000000"/>
      <w:szCs w:val="24"/>
    </w:rPr>
  </w:style>
  <w:style w:type="paragraph" w:styleId="3">
    <w:name w:val="Body Text Indent"/>
    <w:basedOn w:val="1"/>
    <w:qFormat/>
    <w:uiPriority w:val="0"/>
    <w:pPr>
      <w:widowControl w:val="0"/>
      <w:adjustRightInd w:val="0"/>
      <w:snapToGrid w:val="0"/>
      <w:spacing w:after="0" w:line="360" w:lineRule="exact"/>
      <w:ind w:firstLine="630"/>
      <w:jc w:val="both"/>
      <w:textAlignment w:val="baseline"/>
    </w:pPr>
    <w:rPr>
      <w:rFonts w:ascii="宋体" w:hAnsi="宋体" w:cs="Times New Roman"/>
      <w:color w:val="auto"/>
      <w:kern w:val="0"/>
      <w:sz w:val="24"/>
      <w:szCs w:val="20"/>
    </w:rPr>
  </w:style>
  <w:style w:type="paragraph" w:styleId="8">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9">
    <w:name w:val="annotation text"/>
    <w:basedOn w:val="1"/>
    <w:unhideWhenUsed/>
    <w:qFormat/>
    <w:uiPriority w:val="99"/>
    <w:pPr>
      <w:jc w:val="left"/>
    </w:pPr>
  </w:style>
  <w:style w:type="paragraph" w:styleId="10">
    <w:name w:val="Body Text 3"/>
    <w:basedOn w:val="1"/>
    <w:link w:val="41"/>
    <w:unhideWhenUsed/>
    <w:qFormat/>
    <w:uiPriority w:val="99"/>
    <w:pPr>
      <w:spacing w:after="120"/>
    </w:pPr>
    <w:rPr>
      <w:sz w:val="16"/>
      <w:szCs w:val="16"/>
    </w:rPr>
  </w:style>
  <w:style w:type="paragraph" w:styleId="11">
    <w:name w:val="Body Text"/>
    <w:basedOn w:val="1"/>
    <w:next w:val="12"/>
    <w:qFormat/>
    <w:uiPriority w:val="99"/>
    <w:pPr>
      <w:spacing w:after="120"/>
    </w:pPr>
  </w:style>
  <w:style w:type="paragraph" w:styleId="12">
    <w:name w:val="Body Text 2"/>
    <w:basedOn w:val="1"/>
    <w:qFormat/>
    <w:uiPriority w:val="0"/>
    <w:pPr>
      <w:spacing w:after="120" w:line="480" w:lineRule="auto"/>
    </w:pPr>
  </w:style>
  <w:style w:type="paragraph" w:styleId="13">
    <w:name w:val="toc 3"/>
    <w:basedOn w:val="1"/>
    <w:next w:val="1"/>
    <w:unhideWhenUsed/>
    <w:qFormat/>
    <w:uiPriority w:val="39"/>
    <w:pPr>
      <w:widowControl/>
      <w:spacing w:after="100" w:line="276" w:lineRule="auto"/>
      <w:ind w:left="440"/>
      <w:jc w:val="left"/>
    </w:pPr>
    <w:rPr>
      <w:kern w:val="0"/>
      <w:sz w:val="22"/>
    </w:rPr>
  </w:style>
  <w:style w:type="paragraph" w:styleId="14">
    <w:name w:val="Plain Text"/>
    <w:basedOn w:val="1"/>
    <w:next w:val="15"/>
    <w:qFormat/>
    <w:uiPriority w:val="0"/>
    <w:rPr>
      <w:rFonts w:ascii="宋体" w:hAnsi="Courier New"/>
      <w:szCs w:val="21"/>
    </w:rPr>
  </w:style>
  <w:style w:type="paragraph" w:customStyle="1" w:styleId="15">
    <w:name w:val="Default"/>
    <w:next w:val="16"/>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styleId="16">
    <w:name w:val="List"/>
    <w:basedOn w:val="1"/>
    <w:next w:val="1"/>
    <w:qFormat/>
    <w:uiPriority w:val="0"/>
    <w:pPr>
      <w:snapToGrid w:val="0"/>
    </w:pPr>
    <w:rPr>
      <w:szCs w:val="24"/>
    </w:rPr>
  </w:style>
  <w:style w:type="paragraph" w:styleId="17">
    <w:name w:val="Body Text Indent 2"/>
    <w:basedOn w:val="1"/>
    <w:unhideWhenUsed/>
    <w:qFormat/>
    <w:uiPriority w:val="99"/>
    <w:pPr>
      <w:adjustRightInd w:val="0"/>
      <w:spacing w:after="120" w:line="480" w:lineRule="auto"/>
      <w:ind w:left="420" w:leftChars="200" w:firstLine="567"/>
      <w:jc w:val="left"/>
      <w:textAlignment w:val="baseline"/>
    </w:pPr>
    <w:rPr>
      <w:sz w:val="28"/>
    </w:rPr>
  </w:style>
  <w:style w:type="paragraph" w:styleId="18">
    <w:name w:val="Balloon Text"/>
    <w:basedOn w:val="1"/>
    <w:link w:val="36"/>
    <w:semiHidden/>
    <w:unhideWhenUsed/>
    <w:qFormat/>
    <w:uiPriority w:val="99"/>
    <w:rPr>
      <w:sz w:val="18"/>
      <w:szCs w:val="18"/>
    </w:rPr>
  </w:style>
  <w:style w:type="paragraph" w:styleId="19">
    <w:name w:val="footer"/>
    <w:basedOn w:val="1"/>
    <w:link w:val="30"/>
    <w:unhideWhenUsed/>
    <w:qFormat/>
    <w:uiPriority w:val="99"/>
    <w:pPr>
      <w:tabs>
        <w:tab w:val="center" w:pos="4153"/>
        <w:tab w:val="right" w:pos="8306"/>
      </w:tabs>
      <w:snapToGrid w:val="0"/>
      <w:jc w:val="left"/>
    </w:pPr>
    <w:rPr>
      <w:sz w:val="18"/>
      <w:szCs w:val="18"/>
    </w:rPr>
  </w:style>
  <w:style w:type="paragraph" w:styleId="20">
    <w:name w:val="header"/>
    <w:basedOn w:val="1"/>
    <w:link w:val="29"/>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unhideWhenUsed/>
    <w:qFormat/>
    <w:uiPriority w:val="39"/>
    <w:pPr>
      <w:widowControl/>
      <w:spacing w:after="100" w:line="276" w:lineRule="auto"/>
      <w:jc w:val="left"/>
    </w:pPr>
    <w:rPr>
      <w:kern w:val="0"/>
      <w:sz w:val="22"/>
    </w:rPr>
  </w:style>
  <w:style w:type="paragraph" w:styleId="22">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3">
    <w:name w:val="Normal (Web)"/>
    <w:basedOn w:val="1"/>
    <w:qFormat/>
    <w:uiPriority w:val="0"/>
    <w:pPr>
      <w:widowControl/>
      <w:spacing w:before="100" w:beforeAutospacing="1" w:after="100" w:afterAutospacing="1"/>
      <w:jc w:val="left"/>
    </w:pPr>
    <w:rPr>
      <w:rFonts w:ascii="宋体" w:hAnsi="宋体"/>
      <w:color w:val="000000"/>
      <w:kern w:val="0"/>
      <w:sz w:val="24"/>
    </w:rPr>
  </w:style>
  <w:style w:type="table" w:styleId="25">
    <w:name w:val="Table Grid"/>
    <w:basedOn w:val="2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7">
    <w:name w:val="Strong"/>
    <w:basedOn w:val="26"/>
    <w:qFormat/>
    <w:uiPriority w:val="22"/>
    <w:rPr>
      <w:rFonts w:eastAsia="宋体"/>
      <w:b/>
      <w:bCs/>
      <w:kern w:val="2"/>
      <w:sz w:val="24"/>
      <w:szCs w:val="24"/>
      <w:lang w:val="en-US" w:eastAsia="zh-CN" w:bidi="ar-SA"/>
    </w:rPr>
  </w:style>
  <w:style w:type="character" w:styleId="28">
    <w:name w:val="Hyperlink"/>
    <w:basedOn w:val="26"/>
    <w:unhideWhenUsed/>
    <w:qFormat/>
    <w:uiPriority w:val="99"/>
    <w:rPr>
      <w:color w:val="0000FF" w:themeColor="hyperlink"/>
      <w:u w:val="single"/>
      <w14:textFill>
        <w14:solidFill>
          <w14:schemeClr w14:val="hlink"/>
        </w14:solidFill>
      </w14:textFill>
    </w:rPr>
  </w:style>
  <w:style w:type="character" w:customStyle="1" w:styleId="29">
    <w:name w:val="页眉 Char"/>
    <w:basedOn w:val="26"/>
    <w:link w:val="20"/>
    <w:semiHidden/>
    <w:qFormat/>
    <w:uiPriority w:val="99"/>
    <w:rPr>
      <w:sz w:val="18"/>
      <w:szCs w:val="18"/>
    </w:rPr>
  </w:style>
  <w:style w:type="character" w:customStyle="1" w:styleId="30">
    <w:name w:val="页脚 Char"/>
    <w:basedOn w:val="26"/>
    <w:link w:val="19"/>
    <w:qFormat/>
    <w:uiPriority w:val="99"/>
    <w:rPr>
      <w:sz w:val="18"/>
      <w:szCs w:val="18"/>
    </w:rPr>
  </w:style>
  <w:style w:type="character" w:customStyle="1" w:styleId="31">
    <w:name w:val="标题 1 Char"/>
    <w:basedOn w:val="26"/>
    <w:link w:val="4"/>
    <w:qFormat/>
    <w:uiPriority w:val="9"/>
    <w:rPr>
      <w:rFonts w:eastAsia="方正小标宋简体"/>
      <w:bCs/>
      <w:kern w:val="44"/>
      <w:sz w:val="44"/>
      <w:szCs w:val="44"/>
    </w:rPr>
  </w:style>
  <w:style w:type="character" w:customStyle="1" w:styleId="32">
    <w:name w:val="标题 2 Char"/>
    <w:basedOn w:val="26"/>
    <w:link w:val="5"/>
    <w:qFormat/>
    <w:uiPriority w:val="9"/>
    <w:rPr>
      <w:rFonts w:eastAsia="方正小标宋简体" w:asciiTheme="majorHAnsi" w:hAnsiTheme="majorHAnsi" w:cstheme="majorBidi"/>
      <w:bCs/>
      <w:sz w:val="36"/>
      <w:szCs w:val="32"/>
    </w:rPr>
  </w:style>
  <w:style w:type="character" w:customStyle="1" w:styleId="33">
    <w:name w:val="标题 3 Char"/>
    <w:basedOn w:val="26"/>
    <w:link w:val="6"/>
    <w:qFormat/>
    <w:uiPriority w:val="9"/>
    <w:rPr>
      <w:rFonts w:ascii="Calibri" w:hAnsi="Calibri" w:eastAsia="宋体" w:cs="Times New Roman"/>
      <w:b/>
      <w:bCs/>
      <w:sz w:val="32"/>
      <w:szCs w:val="32"/>
    </w:rPr>
  </w:style>
  <w:style w:type="paragraph" w:styleId="34">
    <w:name w:val="List Paragraph"/>
    <w:basedOn w:val="1"/>
    <w:link w:val="42"/>
    <w:qFormat/>
    <w:uiPriority w:val="34"/>
    <w:pPr>
      <w:ind w:firstLine="420" w:firstLineChars="200"/>
    </w:pPr>
  </w:style>
  <w:style w:type="paragraph" w:customStyle="1" w:styleId="35">
    <w:name w:val="TOC Heading"/>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6">
    <w:name w:val="批注框文本 Char"/>
    <w:basedOn w:val="26"/>
    <w:link w:val="18"/>
    <w:semiHidden/>
    <w:qFormat/>
    <w:uiPriority w:val="99"/>
    <w:rPr>
      <w:sz w:val="18"/>
      <w:szCs w:val="18"/>
    </w:rPr>
  </w:style>
  <w:style w:type="paragraph" w:styleId="37">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
    <w:name w:val="CM97"/>
    <w:basedOn w:val="15"/>
    <w:next w:val="15"/>
    <w:qFormat/>
    <w:uiPriority w:val="0"/>
    <w:pPr>
      <w:spacing w:after="373"/>
    </w:pPr>
    <w:rPr>
      <w:color w:val="auto"/>
    </w:rPr>
  </w:style>
  <w:style w:type="paragraph" w:customStyle="1" w:styleId="39">
    <w:name w:val="CM91"/>
    <w:basedOn w:val="15"/>
    <w:next w:val="15"/>
    <w:qFormat/>
    <w:uiPriority w:val="0"/>
    <w:pPr>
      <w:spacing w:after="160"/>
    </w:pPr>
    <w:rPr>
      <w:color w:val="auto"/>
    </w:rPr>
  </w:style>
  <w:style w:type="character" w:customStyle="1" w:styleId="40">
    <w:name w:val="正文文本 3 Char"/>
    <w:link w:val="10"/>
    <w:qFormat/>
    <w:uiPriority w:val="99"/>
    <w:rPr>
      <w:sz w:val="16"/>
      <w:szCs w:val="16"/>
    </w:rPr>
  </w:style>
  <w:style w:type="character" w:customStyle="1" w:styleId="41">
    <w:name w:val="正文文本 3 Char1"/>
    <w:basedOn w:val="26"/>
    <w:link w:val="10"/>
    <w:semiHidden/>
    <w:qFormat/>
    <w:uiPriority w:val="99"/>
    <w:rPr>
      <w:sz w:val="16"/>
      <w:szCs w:val="16"/>
    </w:rPr>
  </w:style>
  <w:style w:type="character" w:customStyle="1" w:styleId="42">
    <w:name w:val="列出段落 Char"/>
    <w:link w:val="34"/>
    <w:qFormat/>
    <w:uiPriority w:val="34"/>
  </w:style>
  <w:style w:type="paragraph" w:customStyle="1" w:styleId="43">
    <w:name w:val="1"/>
    <w:basedOn w:val="1"/>
    <w:next w:val="14"/>
    <w:qFormat/>
    <w:uiPriority w:val="99"/>
    <w:pPr>
      <w:widowControl w:val="0"/>
      <w:jc w:val="both"/>
    </w:pPr>
    <w:rPr>
      <w:rFonts w:ascii="宋体" w:hAnsi="Courier New"/>
      <w:kern w:val="2"/>
    </w:rPr>
  </w:style>
  <w:style w:type="paragraph" w:customStyle="1" w:styleId="44">
    <w:name w:val="WPSOffice手动目录 1"/>
    <w:qFormat/>
    <w:uiPriority w:val="0"/>
    <w:pPr>
      <w:ind w:leftChars="0"/>
    </w:pPr>
    <w:rPr>
      <w:rFonts w:asciiTheme="minorHAnsi" w:hAnsiTheme="minorHAnsi" w:eastAsiaTheme="minorEastAsia" w:cstheme="minorBidi"/>
      <w:sz w:val="20"/>
      <w:szCs w:val="20"/>
    </w:rPr>
  </w:style>
  <w:style w:type="paragraph" w:customStyle="1" w:styleId="45">
    <w:name w:val="WPSOffice手动目录 2"/>
    <w:qFormat/>
    <w:uiPriority w:val="0"/>
    <w:pPr>
      <w:ind w:leftChars="200"/>
    </w:pPr>
    <w:rPr>
      <w:rFonts w:asciiTheme="minorHAnsi" w:hAnsiTheme="minorHAnsi" w:eastAsiaTheme="minorEastAsia" w:cstheme="minorBidi"/>
      <w:sz w:val="20"/>
      <w:szCs w:val="20"/>
    </w:rPr>
  </w:style>
  <w:style w:type="paragraph" w:customStyle="1" w:styleId="46">
    <w:name w:val="WPSOffice手动目录 3"/>
    <w:qFormat/>
    <w:uiPriority w:val="0"/>
    <w:pPr>
      <w:ind w:leftChars="400"/>
    </w:pPr>
    <w:rPr>
      <w:rFonts w:asciiTheme="minorHAnsi" w:hAnsiTheme="minorHAnsi" w:eastAsiaTheme="minorEastAsia" w:cstheme="minorBidi"/>
      <w:sz w:val="20"/>
      <w:szCs w:val="20"/>
    </w:rPr>
  </w:style>
  <w:style w:type="paragraph" w:customStyle="1" w:styleId="47">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paragraph" w:customStyle="1" w:styleId="48">
    <w:name w:val="说明书正文"/>
    <w:basedOn w:val="11"/>
    <w:qFormat/>
    <w:uiPriority w:val="0"/>
    <w:pPr>
      <w:tabs>
        <w:tab w:val="left" w:pos="3555"/>
      </w:tabs>
      <w:adjustRightInd w:val="0"/>
      <w:snapToGrid w:val="0"/>
      <w:spacing w:after="0" w:line="360" w:lineRule="auto"/>
      <w:ind w:firstLine="560" w:firstLineChars="200"/>
      <w:jc w:val="left"/>
    </w:pPr>
    <w:rPr>
      <w:rFonts w:cs="Arial"/>
      <w:kern w:val="0"/>
      <w:sz w:val="24"/>
      <w:szCs w:val="28"/>
    </w:rPr>
  </w:style>
  <w:style w:type="paragraph" w:customStyle="1" w:styleId="49">
    <w:name w:val="AA-4级"/>
    <w:basedOn w:val="7"/>
    <w:qFormat/>
    <w:uiPriority w:val="0"/>
    <w:pPr>
      <w:keepLines w:val="0"/>
      <w:widowControl/>
      <w:numPr>
        <w:ilvl w:val="3"/>
        <w:numId w:val="1"/>
      </w:numPr>
      <w:spacing w:before="0" w:after="0" w:line="360" w:lineRule="auto"/>
      <w:ind w:left="0" w:firstLine="0" w:firstLineChars="0"/>
      <w:jc w:val="left"/>
    </w:pPr>
    <w:rPr>
      <w:rFonts w:eastAsia="宋体"/>
      <w:sz w:val="24"/>
      <w:lang w:val="zh-CN"/>
    </w:rPr>
  </w:style>
  <w:style w:type="paragraph" w:customStyle="1" w:styleId="50">
    <w:name w:val="AA-3级"/>
    <w:basedOn w:val="6"/>
    <w:next w:val="1"/>
    <w:qFormat/>
    <w:uiPriority w:val="0"/>
    <w:pPr>
      <w:numPr>
        <w:ilvl w:val="2"/>
        <w:numId w:val="1"/>
      </w:numPr>
      <w:spacing w:before="0" w:after="0" w:line="360" w:lineRule="auto"/>
      <w:ind w:left="0" w:firstLine="0" w:firstLineChars="0"/>
    </w:pPr>
    <w:rPr>
      <w:rFonts w:ascii="Times New Roman" w:hAnsi="Times New Roman"/>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100</Pages>
  <Words>6324</Words>
  <Characters>36048</Characters>
  <Lines>300</Lines>
  <Paragraphs>84</Paragraphs>
  <TotalTime>1</TotalTime>
  <ScaleCrop>false</ScaleCrop>
  <LinksUpToDate>false</LinksUpToDate>
  <CharactersWithSpaces>42288</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2022-04-28T08:15:00Z</dcterms:created>
  <dc:creator>陈义春</dc:creator>
  <cp:lastModifiedBy>林煜韩</cp:lastModifiedBy>
  <dcterms:modified xsi:type="dcterms:W3CDTF">2022-06-24T08:30:14Z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ICV">
    <vt:lpwstr>5DCCEA4AA0464F2F8B3C605061C02275</vt:lpwstr>
  </property>
</Properties>
</file>