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广州市净水有限公司2022年大坦沙分公司、江高分公司6套在线监测仪器设备第三方校准服务项目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4275"/>
      <w:bookmarkStart w:id="5" w:name="_Toc1669"/>
      <w:bookmarkStart w:id="6" w:name="_Toc17801"/>
      <w:bookmarkStart w:id="7" w:name="_Toc31938"/>
      <w:bookmarkStart w:id="8" w:name="_Toc7519"/>
      <w:bookmarkStart w:id="9" w:name="_Toc19609"/>
      <w:bookmarkStart w:id="10" w:name="_Toc11322"/>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26363"/>
      <w:bookmarkStart w:id="12" w:name="_Toc88209924"/>
      <w:bookmarkStart w:id="13" w:name="_Toc15709"/>
      <w:bookmarkStart w:id="14" w:name="_Toc5230"/>
      <w:bookmarkStart w:id="15" w:name="_Toc8201"/>
      <w:bookmarkStart w:id="16" w:name="_Toc999"/>
      <w:bookmarkStart w:id="17" w:name="_Toc2659"/>
      <w:bookmarkStart w:id="18" w:name="_Toc30989"/>
      <w:bookmarkStart w:id="19" w:name="_Toc14238"/>
      <w:bookmarkStart w:id="20" w:name="_Toc10122"/>
      <w:bookmarkStart w:id="21" w:name="_Toc30131"/>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rPr>
        <w:t>（采购项目名称）</w:t>
      </w:r>
      <w:r>
        <w:rPr>
          <w:u w:val="single"/>
        </w:rPr>
        <w:t xml:space="preserve">  </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大坦沙分公司、江高分公司6套在线监测</w:t>
      </w:r>
      <w:r>
        <w:rPr>
          <w:rFonts w:hint="eastAsia" w:ascii="仿宋_GB2312" w:eastAsia="仿宋_GB2312"/>
          <w:sz w:val="28"/>
          <w:szCs w:val="28"/>
          <w:u w:val="single"/>
          <w:lang w:eastAsia="zh-CN"/>
        </w:rPr>
        <w:t>仪器设备第三方校准服务</w:t>
      </w:r>
      <w:r>
        <w:rPr>
          <w:rFonts w:hint="eastAsia" w:ascii="仿宋_GB2312" w:eastAsia="仿宋_GB2312"/>
          <w:sz w:val="28"/>
          <w:szCs w:val="28"/>
          <w:u w:val="single"/>
        </w:rPr>
        <w:t xml:space="preserve"> </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2022年大坦沙分公司、江高分公司6套在线监测仪器设备第三方校准服务</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 w:hAnsi="仿宋" w:eastAsia="仿宋"/>
          <w:sz w:val="32"/>
          <w:szCs w:val="32"/>
          <w:u w:val="single"/>
          <w:lang w:val="en-US" w:eastAsia="zh-CN"/>
        </w:rPr>
        <w:t>SZZX</w:t>
      </w:r>
      <w:r>
        <w:rPr>
          <w:rFonts w:ascii="仿宋" w:hAnsi="仿宋" w:eastAsia="仿宋"/>
          <w:sz w:val="32"/>
          <w:szCs w:val="32"/>
          <w:u w:val="single"/>
        </w:rPr>
        <w:t>X</w:t>
      </w:r>
      <w:r>
        <w:rPr>
          <w:rFonts w:hint="eastAsia" w:ascii="仿宋" w:hAnsi="仿宋" w:eastAsia="仿宋"/>
          <w:sz w:val="32"/>
          <w:szCs w:val="32"/>
          <w:u w:val="single"/>
          <w:lang w:val="en-US" w:eastAsia="zh-CN"/>
        </w:rPr>
        <w:t>J</w:t>
      </w:r>
      <w:r>
        <w:rPr>
          <w:rFonts w:ascii="仿宋" w:hAnsi="仿宋" w:eastAsia="仿宋"/>
          <w:sz w:val="32"/>
          <w:szCs w:val="32"/>
          <w:u w:val="single"/>
        </w:rPr>
        <w:t>-20220</w:t>
      </w:r>
      <w:r>
        <w:rPr>
          <w:rFonts w:hint="eastAsia" w:ascii="仿宋" w:hAnsi="仿宋" w:eastAsia="仿宋"/>
          <w:sz w:val="32"/>
          <w:szCs w:val="32"/>
          <w:u w:val="single"/>
          <w:lang w:val="en-US" w:eastAsia="zh-CN"/>
        </w:rPr>
        <w:t>623</w:t>
      </w:r>
      <w:r>
        <w:rPr>
          <w:rFonts w:ascii="仿宋" w:hAnsi="仿宋" w:eastAsia="仿宋"/>
          <w:sz w:val="32"/>
          <w:szCs w:val="32"/>
          <w:u w:val="single"/>
        </w:rPr>
        <w:t>-1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45600</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为保障公司下辖大坦沙分公司、江高分公司在用的6套在线监测仪器设备计量和测定示值的准确性，现申请开展委托有资质的第三方单位实施2022年在线监测仪器设备校准服务工作。</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合同签订之日起至2022年12月31日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大坦沙分公司、江高分公司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实验室计量校准认证资质（CNAS），所认证的校准能力必须包含但不限于本项目中所要求的校准项目，并能出具CNAS校准证书</w:t>
      </w:r>
      <w:r>
        <w:rPr>
          <w:rFonts w:hint="eastAsia" w:ascii="仿宋_GB2312" w:eastAsia="仿宋_GB2312"/>
          <w:sz w:val="28"/>
          <w:szCs w:val="28"/>
          <w:u w:val="single"/>
          <w:lang w:val="en-US" w:eastAsia="zh-CN"/>
        </w:rPr>
        <w:t>的</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计量校准服务项目业绩</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bookmarkStart w:id="186" w:name="_GoBack"/>
      <w:bookmarkEnd w:id="186"/>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广州市荔湾区桥中南路10号广州市净水有限公司水质检测中心</w:t>
      </w:r>
      <w:r>
        <w:rPr>
          <w:rFonts w:hint="eastAsia" w:ascii="仿宋_GB2312" w:eastAsia="仿宋_GB2312"/>
          <w:sz w:val="28"/>
          <w:szCs w:val="28"/>
          <w:u w:val="single"/>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广州市荔湾区桥中南路10号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020-81534299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rPr>
          <w:rFonts w:hint="eastAsia"/>
        </w:rPr>
      </w:pPr>
    </w:p>
    <w:p>
      <w:pPr>
        <w:pStyle w:val="2"/>
        <w:rPr>
          <w:rFonts w:hint="eastAsia"/>
        </w:rPr>
      </w:pPr>
    </w:p>
    <w:p>
      <w:pPr>
        <w:pStyle w:val="4"/>
      </w:pPr>
      <w:bookmarkStart w:id="26" w:name="_Toc25603"/>
      <w:bookmarkStart w:id="27" w:name="_Toc23749"/>
      <w:bookmarkStart w:id="28" w:name="_Toc2331"/>
      <w:bookmarkStart w:id="29" w:name="_Toc7340"/>
      <w:bookmarkStart w:id="30" w:name="_Toc16557"/>
      <w:bookmarkStart w:id="31" w:name="_Toc19295"/>
      <w:bookmarkStart w:id="32" w:name="_Toc9448"/>
      <w:bookmarkStart w:id="33" w:name="_Toc2324"/>
      <w:bookmarkStart w:id="34" w:name="_Toc32588"/>
      <w:bookmarkStart w:id="35" w:name="_Toc16705"/>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7616371"/>
      <w:bookmarkStart w:id="41" w:name="_Toc88209934"/>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7118"/>
      <w:bookmarkStart w:id="47" w:name="_Toc14552"/>
      <w:bookmarkStart w:id="48" w:name="_Toc20594"/>
      <w:bookmarkStart w:id="49" w:name="_Toc14870"/>
      <w:bookmarkStart w:id="50" w:name="_Toc19759"/>
      <w:bookmarkStart w:id="51" w:name="_Toc7437"/>
      <w:bookmarkStart w:id="52" w:name="_Toc19050"/>
      <w:bookmarkStart w:id="53" w:name="_Toc23581"/>
      <w:bookmarkStart w:id="54" w:name="_Toc10930"/>
      <w:bookmarkStart w:id="55" w:name="_Toc3156"/>
      <w:bookmarkStart w:id="56" w:name="_Toc4952"/>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21079"/>
      <w:bookmarkStart w:id="58" w:name="_Toc30530"/>
      <w:bookmarkStart w:id="59" w:name="_Toc13898"/>
      <w:bookmarkStart w:id="60" w:name="_Toc6308"/>
      <w:bookmarkStart w:id="61" w:name="_Toc32607"/>
      <w:bookmarkStart w:id="62" w:name="_Toc21840"/>
      <w:bookmarkStart w:id="63" w:name="_Toc7831"/>
      <w:bookmarkStart w:id="64" w:name="_Toc29484"/>
      <w:bookmarkStart w:id="65" w:name="_Toc29345"/>
      <w:bookmarkStart w:id="66" w:name="_Toc88209941"/>
      <w:bookmarkStart w:id="67" w:name="_Toc22212"/>
      <w:bookmarkStart w:id="68" w:name="_Toc87616378"/>
      <w:bookmarkStart w:id="69" w:name="_Toc1217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bookmarkEnd w:id="72"/>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sz w:val="28"/>
          <w:szCs w:val="28"/>
          <w:u w:val="none"/>
          <w:lang w:eastAsia="zh-CN"/>
        </w:rPr>
      </w:pPr>
      <w:r>
        <w:rPr>
          <w:rFonts w:hint="eastAsia" w:ascii="仿宋" w:hAnsi="仿宋" w:eastAsia="仿宋" w:cs="仿宋"/>
          <w:bCs/>
          <w:sz w:val="28"/>
          <w:szCs w:val="28"/>
          <w:u w:val="none"/>
          <w:lang w:val="zh-CN" w:eastAsia="zh-CN"/>
        </w:rPr>
        <w:t>大坦沙分公司、江高分公司6套在线监测系统目前由水质中心运维，根据《广州市净水有限公司水质管理办法》（穗净水〔2021〕253号）中关于在线监测仪器设备管理要求，</w:t>
      </w:r>
      <w:r>
        <w:rPr>
          <w:rFonts w:hint="eastAsia" w:ascii="仿宋" w:hAnsi="仿宋" w:eastAsia="仿宋" w:cs="仿宋"/>
          <w:bCs/>
          <w:sz w:val="28"/>
          <w:szCs w:val="28"/>
          <w:lang w:val="zh-CN" w:eastAsia="zh-CN"/>
        </w:rPr>
        <w:t>保</w:t>
      </w:r>
      <w:r>
        <w:rPr>
          <w:rFonts w:hint="eastAsia" w:ascii="仿宋" w:hAnsi="仿宋" w:eastAsia="仿宋" w:cs="仿宋"/>
          <w:bCs/>
          <w:sz w:val="28"/>
          <w:szCs w:val="28"/>
          <w:u w:val="none"/>
          <w:lang w:val="zh-CN" w:eastAsia="zh-CN"/>
        </w:rPr>
        <w:t>障大坦沙分公司、江高分公司在用的6套在线监测仪器设备计量和测定示值的准确性，委托具有CNAS资质第三方校准单位负责2022年大坦沙分公司、江高分公司在用的6套在线监测仪器设备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ascii="仿宋" w:hAnsi="仿宋" w:eastAsia="仿宋" w:cs="仿宋"/>
          <w:sz w:val="28"/>
          <w:szCs w:val="28"/>
          <w:lang w:val="zh-CN"/>
        </w:rPr>
        <w:t>计划时间服务要求</w:t>
      </w:r>
    </w:p>
    <w:tbl>
      <w:tblPr>
        <w:tblStyle w:val="22"/>
        <w:tblpPr w:leftFromText="180" w:rightFromText="180" w:vertAnchor="text" w:horzAnchor="page" w:tblpX="1339" w:tblpY="629"/>
        <w:tblOverlap w:val="never"/>
        <w:tblW w:w="9598" w:type="dxa"/>
        <w:tblInd w:w="0" w:type="dxa"/>
        <w:tblLayout w:type="fixed"/>
        <w:tblCellMar>
          <w:top w:w="0" w:type="dxa"/>
          <w:left w:w="0" w:type="dxa"/>
          <w:bottom w:w="0" w:type="dxa"/>
          <w:right w:w="0" w:type="dxa"/>
        </w:tblCellMar>
      </w:tblPr>
      <w:tblGrid>
        <w:gridCol w:w="987"/>
        <w:gridCol w:w="2972"/>
        <w:gridCol w:w="1779"/>
        <w:gridCol w:w="1238"/>
        <w:gridCol w:w="2622"/>
      </w:tblGrid>
      <w:tr>
        <w:tblPrEx>
          <w:tblCellMar>
            <w:top w:w="0" w:type="dxa"/>
            <w:left w:w="0" w:type="dxa"/>
            <w:bottom w:w="0" w:type="dxa"/>
            <w:right w:w="0" w:type="dxa"/>
          </w:tblCellMar>
        </w:tblPrEx>
        <w:trPr>
          <w:trHeight w:val="655"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大坦沙分公司</w:t>
            </w:r>
            <w:r>
              <w:rPr>
                <w:rFonts w:hint="eastAsia" w:ascii="宋体" w:hAnsi="宋体" w:eastAsia="宋体" w:cs="宋体"/>
                <w:b/>
                <w:sz w:val="36"/>
                <w:szCs w:val="36"/>
                <w:lang w:eastAsia="zh-CN" w:bidi="ar"/>
              </w:rPr>
              <w:t>2022年</w:t>
            </w:r>
            <w:r>
              <w:rPr>
                <w:rFonts w:hint="eastAsia" w:ascii="宋体" w:hAnsi="宋体" w:eastAsia="宋体" w:cs="宋体"/>
                <w:b/>
                <w:sz w:val="36"/>
                <w:szCs w:val="36"/>
                <w:lang w:val="en-US" w:eastAsia="zh-CN" w:bidi="ar"/>
              </w:rPr>
              <w:t>在线监测</w:t>
            </w:r>
            <w:r>
              <w:rPr>
                <w:rFonts w:hint="eastAsia" w:ascii="宋体" w:hAnsi="宋体" w:eastAsia="宋体" w:cs="宋体"/>
                <w:b/>
                <w:sz w:val="36"/>
                <w:szCs w:val="36"/>
                <w:lang w:eastAsia="zh-CN" w:bidi="ar"/>
              </w:rPr>
              <w:t>仪器校准需求统计表</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碧兴COD</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碧兴氨氮</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碧兴总磷总氮</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TCU/TPN111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进水碧兴pH在线监测仪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进水碧兴SS在线监测仪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w:t>
            </w:r>
            <w:r>
              <w:rPr>
                <w:rFonts w:hint="eastAsia" w:ascii="宋体" w:hAnsi="宋体" w:eastAsia="宋体" w:cs="宋体"/>
                <w:b/>
                <w:sz w:val="22"/>
                <w:szCs w:val="22"/>
                <w:lang w:val="en-US" w:eastAsia="zh-CN" w:bidi="ar"/>
              </w:rPr>
              <w:t>在线</w:t>
            </w:r>
            <w:r>
              <w:rPr>
                <w:rFonts w:hint="eastAsia" w:ascii="宋体" w:hAnsi="宋体" w:eastAsia="宋体" w:cs="宋体"/>
                <w:b/>
                <w:sz w:val="22"/>
                <w:szCs w:val="22"/>
                <w:lang w:eastAsia="zh-CN" w:bidi="ar"/>
              </w:rPr>
              <w:t>留样仪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W310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出水哈希COD在线监测仪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CODmax Ⅱ</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出水哈希氨氮在线监测仪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NA8000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出水哈希总磷在线监测仪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出水哈希总氮在线监测仪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 pH在线监测仪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出水哈希SS在线监测仪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出水信达在线留样器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ZSC-VI</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出水水温在线监测仪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DTO1S42012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bl>
    <w:p>
      <w:pPr>
        <w:spacing w:line="360" w:lineRule="auto"/>
        <w:jc w:val="both"/>
        <w:rPr>
          <w:rFonts w:ascii="仿宋_GB2312" w:eastAsia="仿宋_GB2312"/>
          <w:sz w:val="32"/>
          <w:szCs w:val="32"/>
          <w:lang w:eastAsia="zh-CN"/>
        </w:rPr>
      </w:pPr>
    </w:p>
    <w:tbl>
      <w:tblPr>
        <w:tblStyle w:val="22"/>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江高分公司</w:t>
            </w:r>
            <w:r>
              <w:rPr>
                <w:rFonts w:hint="eastAsia" w:ascii="宋体" w:hAnsi="宋体" w:eastAsia="宋体" w:cs="宋体"/>
                <w:b/>
                <w:sz w:val="36"/>
                <w:szCs w:val="36"/>
                <w:lang w:eastAsia="zh-CN" w:bidi="ar"/>
              </w:rPr>
              <w:t>2022年</w:t>
            </w:r>
            <w:r>
              <w:rPr>
                <w:rFonts w:hint="eastAsia" w:ascii="宋体" w:hAnsi="宋体" w:eastAsia="宋体" w:cs="宋体"/>
                <w:b/>
                <w:sz w:val="36"/>
                <w:szCs w:val="36"/>
                <w:lang w:val="en-US" w:eastAsia="zh-CN" w:bidi="ar"/>
              </w:rPr>
              <w:t>在线监测</w:t>
            </w:r>
            <w:r>
              <w:rPr>
                <w:rFonts w:hint="eastAsia" w:ascii="宋体" w:hAnsi="宋体" w:eastAsia="宋体" w:cs="宋体"/>
                <w:b/>
                <w:sz w:val="36"/>
                <w:szCs w:val="36"/>
                <w:lang w:eastAsia="zh-CN" w:bidi="ar"/>
              </w:rPr>
              <w:t>仪器校准需求统计表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出水总磷总氮在线监测仪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出水氨氮在线监测仪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出水COD在线监测仪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出水</w:t>
            </w:r>
            <w:r>
              <w:rPr>
                <w:rFonts w:hint="eastAsia" w:ascii="宋体" w:hAnsi="宋体" w:eastAsia="宋体" w:cs="宋体"/>
                <w:b/>
                <w:color w:val="000000"/>
                <w:sz w:val="22"/>
                <w:szCs w:val="22"/>
                <w:lang w:val="en-US" w:eastAsia="zh-CN" w:bidi="ar"/>
              </w:rPr>
              <w:t>SS</w:t>
            </w:r>
            <w:r>
              <w:rPr>
                <w:rFonts w:hint="eastAsia" w:ascii="宋体" w:hAnsi="宋体" w:eastAsia="宋体" w:cs="宋体"/>
                <w:b/>
                <w:sz w:val="22"/>
                <w:szCs w:val="22"/>
                <w:lang w:val="en-US" w:eastAsia="zh-CN" w:bidi="ar"/>
              </w:rPr>
              <w:t>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出水</w:t>
            </w:r>
            <w:r>
              <w:rPr>
                <w:rFonts w:hint="eastAsia" w:ascii="宋体" w:hAnsi="宋体" w:eastAsia="宋体" w:cs="宋体"/>
                <w:b/>
                <w:color w:val="000000"/>
                <w:sz w:val="22"/>
                <w:szCs w:val="22"/>
                <w:lang w:val="en-US" w:eastAsia="zh-CN" w:bidi="ar"/>
              </w:rPr>
              <w:t>pH水温</w:t>
            </w:r>
            <w:r>
              <w:rPr>
                <w:rFonts w:hint="eastAsia" w:ascii="宋体" w:hAnsi="宋体" w:eastAsia="宋体" w:cs="宋体"/>
                <w:b/>
                <w:sz w:val="22"/>
                <w:szCs w:val="22"/>
                <w:lang w:val="en-US" w:eastAsia="zh-CN" w:bidi="ar"/>
              </w:rPr>
              <w:t>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进水总磷总氮在线监测仪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进水氨氮在线监测仪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进水COD在线监测仪</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11</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color w:val="000000"/>
                <w:sz w:val="22"/>
                <w:szCs w:val="22"/>
                <w:lang w:val="en-US" w:eastAsia="zh-CN" w:bidi="ar"/>
              </w:rPr>
              <w:t>SS</w:t>
            </w:r>
            <w:r>
              <w:rPr>
                <w:rFonts w:hint="eastAsia" w:ascii="宋体" w:hAnsi="宋体" w:eastAsia="宋体" w:cs="宋体"/>
                <w:b/>
                <w:sz w:val="22"/>
                <w:szCs w:val="22"/>
                <w:lang w:val="en-US" w:eastAsia="zh-CN" w:bidi="ar"/>
              </w:rPr>
              <w:t>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12</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color w:val="000000"/>
                <w:sz w:val="22"/>
                <w:szCs w:val="22"/>
                <w:lang w:val="en-US" w:eastAsia="zh-CN" w:bidi="ar"/>
              </w:rPr>
              <w:t>pH水温</w:t>
            </w:r>
            <w:r>
              <w:rPr>
                <w:rFonts w:hint="eastAsia" w:ascii="宋体" w:hAnsi="宋体" w:eastAsia="宋体" w:cs="宋体"/>
                <w:b/>
                <w:sz w:val="22"/>
                <w:szCs w:val="22"/>
                <w:lang w:val="en-US" w:eastAsia="zh-CN" w:bidi="ar"/>
              </w:rPr>
              <w:t>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bl>
    <w:p>
      <w:pPr>
        <w:pStyle w:val="2"/>
        <w:rPr>
          <w:rFonts w:hint="eastAsia"/>
        </w:rPr>
      </w:pPr>
    </w:p>
    <w:p>
      <w:pPr>
        <w:pStyle w:val="12"/>
        <w:spacing w:line="300" w:lineRule="auto"/>
        <w:ind w:firstLine="560" w:firstLineChars="200"/>
        <w:rPr>
          <w:rFonts w:hint="eastAsia" w:ascii="仿宋" w:hAnsi="仿宋" w:eastAsia="仿宋" w:cs="仿宋"/>
          <w:bCs/>
          <w:sz w:val="28"/>
          <w:szCs w:val="28"/>
          <w:lang w:val="zh-CN"/>
        </w:rPr>
      </w:pPr>
    </w:p>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1.工期：合同签订之日起至2022年12月31日，报价人接到询价人校准通知后须于36小时内以书面方式向询价人确认，并于10个工作日内到指定地点开展校准服务。报价人在校准之日起7天内，将校准证书发送至询价人。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3.询价人将自承包商履行完合同义务之日起15个工作日内组织验收，审定报价人校准/检定情况，进行结算审核。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5.承包方式：</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2"/>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6.其他要求：报价单位的报价若低于本项目最高限价的60%，必须说明报价理由。</w:t>
      </w:r>
    </w:p>
    <w:p>
      <w:pPr>
        <w:pStyle w:val="2"/>
        <w:rPr>
          <w:rFonts w:hint="default"/>
          <w:lang w:val="en-US" w:eastAsia="zh-CN"/>
        </w:rPr>
      </w:pPr>
    </w:p>
    <w:p>
      <w:pPr>
        <w:spacing w:line="360" w:lineRule="auto"/>
        <w:ind w:firstLine="560" w:firstLineChars="200"/>
        <w:jc w:val="both"/>
        <w:rPr>
          <w:rFonts w:hint="default" w:eastAsia="仿宋_GB2312"/>
          <w:sz w:val="28"/>
          <w:szCs w:val="28"/>
          <w:lang w:val="en-US" w:eastAsia="zh-CN"/>
        </w:rPr>
      </w:pPr>
    </w:p>
    <w:p>
      <w:pPr>
        <w:autoSpaceDE w:val="0"/>
        <w:autoSpaceDN w:val="0"/>
        <w:ind w:firstLine="560" w:firstLineChars="200"/>
        <w:rPr>
          <w:rFonts w:hint="eastAsia" w:eastAsia="仿宋_GB2312"/>
          <w:sz w:val="28"/>
          <w:szCs w:val="28"/>
        </w:rPr>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4"/>
      </w:pPr>
      <w:bookmarkStart w:id="73" w:name="_Toc25925"/>
      <w:bookmarkStart w:id="74" w:name="_Toc15570"/>
      <w:bookmarkStart w:id="75" w:name="_Toc1284"/>
      <w:bookmarkStart w:id="76" w:name="_Toc1496"/>
      <w:bookmarkStart w:id="77" w:name="_Toc23353"/>
      <w:bookmarkStart w:id="78" w:name="_Toc12135"/>
      <w:bookmarkStart w:id="79" w:name="_Toc18538"/>
      <w:bookmarkStart w:id="80" w:name="_Toc537"/>
      <w:bookmarkStart w:id="81" w:name="_Toc29835"/>
      <w:bookmarkStart w:id="82" w:name="_Toc23330"/>
      <w:bookmarkStart w:id="83" w:name="_Toc4680"/>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5"/>
      </w:pPr>
    </w:p>
    <w:p>
      <w:pPr>
        <w:pStyle w:val="4"/>
      </w:pPr>
      <w:bookmarkStart w:id="84" w:name="_Toc22501"/>
      <w:bookmarkStart w:id="85" w:name="_Toc19686"/>
      <w:bookmarkStart w:id="86" w:name="_Toc19088"/>
      <w:bookmarkStart w:id="87" w:name="_Toc88209949"/>
      <w:bookmarkStart w:id="88" w:name="_Toc12968"/>
      <w:bookmarkStart w:id="89" w:name="_Toc22797"/>
      <w:bookmarkStart w:id="90" w:name="_Toc1375"/>
      <w:bookmarkStart w:id="91" w:name="_Toc323"/>
      <w:bookmarkStart w:id="92" w:name="_Toc12980"/>
      <w:bookmarkStart w:id="93" w:name="_Toc12721"/>
      <w:bookmarkStart w:id="94" w:name="_Toc87616386"/>
      <w:bookmarkStart w:id="95" w:name="_Toc13309"/>
      <w:bookmarkStart w:id="96" w:name="_Toc8183"/>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b/>
          <w:sz w:val="52"/>
          <w:szCs w:val="84"/>
        </w:rPr>
      </w:pPr>
      <w:r>
        <w:rPr>
          <w:rFonts w:hint="eastAsia"/>
          <w:b/>
          <w:sz w:val="52"/>
          <w:szCs w:val="84"/>
          <w:lang w:val="en-US" w:eastAsia="zh-CN"/>
        </w:rPr>
        <w:t>校准</w:t>
      </w:r>
      <w:r>
        <w:rPr>
          <w:b/>
          <w:sz w:val="52"/>
          <w:szCs w:val="84"/>
        </w:rPr>
        <w:t>服务合同</w:t>
      </w:r>
    </w:p>
    <w:p>
      <w:pPr>
        <w:jc w:val="center"/>
        <w:rPr>
          <w:sz w:val="30"/>
        </w:rPr>
      </w:pPr>
    </w:p>
    <w:p>
      <w:pPr>
        <w:rPr>
          <w:sz w:val="30"/>
        </w:rPr>
      </w:pPr>
    </w:p>
    <w:p>
      <w:pPr>
        <w:ind w:left="1500" w:hanging="1500" w:hangingChars="500"/>
        <w:rPr>
          <w:b/>
          <w:bCs/>
          <w:color w:val="000000"/>
          <w:sz w:val="30"/>
          <w:szCs w:val="30"/>
        </w:rPr>
      </w:pPr>
      <w:r>
        <w:rPr>
          <w:sz w:val="30"/>
        </w:rPr>
        <w:t>项目名称：</w:t>
      </w:r>
      <w:r>
        <w:rPr>
          <w:b/>
          <w:bCs/>
          <w:color w:val="000000"/>
          <w:sz w:val="30"/>
          <w:szCs w:val="30"/>
        </w:rPr>
        <w:t>广州市净水有限公司</w:t>
      </w:r>
      <w:r>
        <w:rPr>
          <w:rFonts w:hint="eastAsia"/>
          <w:b/>
          <w:bCs/>
          <w:color w:val="000000"/>
          <w:sz w:val="30"/>
          <w:szCs w:val="30"/>
          <w:lang w:eastAsia="zh-CN"/>
        </w:rPr>
        <w:t>202</w:t>
      </w:r>
      <w:r>
        <w:rPr>
          <w:b/>
          <w:bCs/>
          <w:color w:val="000000"/>
          <w:sz w:val="30"/>
          <w:szCs w:val="30"/>
          <w:lang w:eastAsia="zh-CN"/>
        </w:rPr>
        <w:t>2</w:t>
      </w:r>
      <w:r>
        <w:rPr>
          <w:rFonts w:hint="eastAsia"/>
          <w:b/>
          <w:bCs/>
          <w:color w:val="000000"/>
          <w:sz w:val="30"/>
          <w:szCs w:val="30"/>
          <w:lang w:eastAsia="zh-CN"/>
        </w:rPr>
        <w:t>年</w:t>
      </w:r>
      <w:r>
        <w:rPr>
          <w:rFonts w:hint="eastAsia"/>
          <w:b/>
          <w:bCs/>
          <w:color w:val="000000"/>
          <w:sz w:val="30"/>
          <w:szCs w:val="30"/>
          <w:lang w:val="en-US" w:eastAsia="zh-CN"/>
        </w:rPr>
        <w:t>大坦沙分公司、江高分公司6套在线监测</w:t>
      </w:r>
      <w:r>
        <w:rPr>
          <w:rFonts w:hint="eastAsia"/>
          <w:b/>
          <w:bCs/>
          <w:color w:val="000000"/>
          <w:sz w:val="30"/>
          <w:szCs w:val="30"/>
          <w:lang w:eastAsia="zh-CN"/>
        </w:rPr>
        <w:t>仪器设备第三方校准服务</w:t>
      </w:r>
      <w:r>
        <w:rPr>
          <w:b/>
          <w:bCs/>
          <w:color w:val="000000"/>
          <w:sz w:val="30"/>
          <w:szCs w:val="30"/>
        </w:rPr>
        <w:t>项目</w:t>
      </w:r>
    </w:p>
    <w:p>
      <w:pPr>
        <w:rPr>
          <w:sz w:val="30"/>
          <w:szCs w:val="30"/>
        </w:rPr>
      </w:pPr>
      <w:r>
        <w:rPr>
          <w:sz w:val="30"/>
        </w:rPr>
        <w:t>合同编号：</w:t>
      </w:r>
      <w:r>
        <w:rPr>
          <w:b/>
          <w:bCs/>
          <w:color w:val="000000"/>
          <w:sz w:val="30"/>
          <w:szCs w:val="30"/>
        </w:rPr>
        <w:t>穗净水合[     ]    号</w:t>
      </w:r>
    </w:p>
    <w:p>
      <w:pPr>
        <w:rPr>
          <w:sz w:val="30"/>
          <w:szCs w:val="30"/>
        </w:rPr>
      </w:pPr>
      <w:r>
        <w:rPr>
          <w:rFonts w:hint="eastAsia"/>
          <w:sz w:val="30"/>
          <w:szCs w:val="30"/>
        </w:rPr>
        <w:t>项目编号：</w:t>
      </w:r>
    </w:p>
    <w:p>
      <w:pPr>
        <w:jc w:val="center"/>
        <w:rPr>
          <w:sz w:val="30"/>
          <w:szCs w:val="30"/>
        </w:rPr>
      </w:pPr>
    </w:p>
    <w:p>
      <w:pPr>
        <w:rPr>
          <w:color w:val="000000"/>
          <w:sz w:val="30"/>
          <w:szCs w:val="30"/>
        </w:rPr>
      </w:pPr>
    </w:p>
    <w:p>
      <w:pPr>
        <w:rPr>
          <w:rFonts w:hint="eastAsia"/>
          <w:color w:val="000000"/>
          <w:sz w:val="30"/>
        </w:rPr>
      </w:pPr>
    </w:p>
    <w:p>
      <w:pPr>
        <w:rPr>
          <w:rFonts w:hint="eastAsia"/>
          <w:color w:val="000000"/>
          <w:sz w:val="30"/>
        </w:rPr>
      </w:pPr>
    </w:p>
    <w:p>
      <w:pPr>
        <w:rPr>
          <w:color w:val="000000"/>
          <w:sz w:val="30"/>
          <w:u w:val="single"/>
        </w:rPr>
      </w:pPr>
      <w:r>
        <w:rPr>
          <w:rFonts w:hint="eastAsia"/>
          <w:color w:val="000000"/>
          <w:sz w:val="30"/>
        </w:rPr>
        <w:t>甲方（买方）：</w:t>
      </w:r>
      <w:r>
        <w:rPr>
          <w:rFonts w:hint="eastAsia"/>
          <w:color w:val="000000"/>
          <w:sz w:val="30"/>
          <w:u w:val="single"/>
        </w:rPr>
        <w:t>广州市净水有限公司</w:t>
      </w:r>
    </w:p>
    <w:p>
      <w:pPr>
        <w:rPr>
          <w:color w:val="000000"/>
          <w:sz w:val="30"/>
        </w:rPr>
      </w:pPr>
      <w:r>
        <w:rPr>
          <w:rFonts w:hint="eastAsia"/>
          <w:color w:val="000000"/>
          <w:sz w:val="30"/>
        </w:rPr>
        <w:t>乙方（卖方）：</w:t>
      </w:r>
      <w:r>
        <w:rPr>
          <w:rFonts w:hint="eastAsia"/>
          <w:color w:val="000000"/>
          <w:sz w:val="30"/>
          <w:u w:val="single"/>
          <w:lang w:val="en-US" w:eastAsia="zh-CN"/>
        </w:rPr>
        <w:t xml:space="preserve">                 </w:t>
      </w:r>
    </w:p>
    <w:p>
      <w:pPr>
        <w:rPr>
          <w:rFonts w:hint="eastAsia"/>
          <w:color w:val="000000"/>
          <w:sz w:val="30"/>
        </w:rPr>
      </w:pPr>
    </w:p>
    <w:p>
      <w:pPr>
        <w:rPr>
          <w:rFonts w:hint="eastAsia"/>
          <w:color w:val="000000"/>
          <w:sz w:val="30"/>
        </w:rPr>
      </w:pPr>
    </w:p>
    <w:p>
      <w:pPr>
        <w:rPr>
          <w:rFonts w:hint="eastAsia"/>
          <w:color w:val="000000"/>
          <w:sz w:val="30"/>
        </w:rPr>
      </w:pPr>
    </w:p>
    <w:p>
      <w:pPr>
        <w:rPr>
          <w:rFonts w:hint="eastAsia"/>
          <w:color w:val="000000"/>
          <w:sz w:val="30"/>
        </w:rPr>
      </w:pPr>
      <w:r>
        <w:rPr>
          <w:rFonts w:hint="eastAsia"/>
          <w:color w:val="000000"/>
          <w:sz w:val="30"/>
        </w:rPr>
        <w:t>签订日期：</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 xml:space="preserve">年   </w:t>
      </w:r>
      <w:r>
        <w:rPr>
          <w:color w:val="000000"/>
          <w:sz w:val="30"/>
        </w:rPr>
        <w:t xml:space="preserve">   </w:t>
      </w:r>
      <w:r>
        <w:rPr>
          <w:rFonts w:hint="eastAsia"/>
          <w:color w:val="000000"/>
          <w:sz w:val="30"/>
        </w:rPr>
        <w:t>月</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日</w:t>
      </w:r>
    </w:p>
    <w:p>
      <w:pPr>
        <w:rPr>
          <w:color w:val="000000"/>
          <w:sz w:val="30"/>
        </w:rPr>
      </w:pPr>
      <w:r>
        <w:rPr>
          <w:rFonts w:hint="eastAsia"/>
          <w:color w:val="000000"/>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rPr>
        <w:t>广州市净水有限公司</w:t>
      </w:r>
      <w:r>
        <w:rPr>
          <w:rFonts w:hint="eastAsia"/>
          <w:bCs/>
          <w:sz w:val="24"/>
          <w:u w:val="single"/>
          <w:lang w:eastAsia="zh-CN"/>
        </w:rPr>
        <w:t>2022年</w:t>
      </w:r>
      <w:r>
        <w:rPr>
          <w:rFonts w:hint="eastAsia"/>
          <w:bCs/>
          <w:sz w:val="24"/>
          <w:u w:val="single"/>
          <w:lang w:val="en-US" w:eastAsia="zh-CN"/>
        </w:rPr>
        <w:t>大坦沙分公司、江高分公司6套在线监测</w:t>
      </w:r>
      <w:r>
        <w:rPr>
          <w:rFonts w:hint="eastAsia"/>
          <w:bCs/>
          <w:sz w:val="24"/>
          <w:u w:val="single"/>
          <w:lang w:eastAsia="zh-CN"/>
        </w:rPr>
        <w:t>仪器设备第三方校准服务</w:t>
      </w:r>
      <w:r>
        <w:rPr>
          <w:rFonts w:hint="eastAsia"/>
          <w:bCs/>
          <w:sz w:val="24"/>
        </w:rPr>
        <w:t>项目开展相关指标校准服务工作</w:t>
      </w:r>
      <w:bookmarkStart w:id="97" w:name="_Toc183666513"/>
      <w:bookmarkStart w:id="98" w:name="_Toc518992986"/>
      <w:bookmarkStart w:id="99" w:name="_Toc1018"/>
      <w:bookmarkStart w:id="100" w:name="_Toc474245210"/>
      <w:bookmarkStart w:id="101" w:name="_Toc520190026"/>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360" w:lineRule="auto"/>
        <w:ind w:firstLine="482"/>
        <w:rPr>
          <w:rFonts w:ascii="宋体" w:hAnsi="宋体" w:cs="宋体"/>
          <w:bCs/>
          <w:color w:val="000000"/>
          <w:sz w:val="24"/>
        </w:rPr>
      </w:pPr>
      <w:r>
        <w:rPr>
          <w:rFonts w:hint="eastAsia" w:ascii="宋体" w:hAnsi="宋体" w:cs="宋体"/>
          <w:bCs/>
          <w:color w:val="000000"/>
          <w:sz w:val="24"/>
        </w:rPr>
        <w:t xml:space="preserve">⑺ </w:t>
      </w:r>
      <w:r>
        <w:rPr>
          <w:rFonts w:hint="eastAsia" w:ascii="宋体" w:hAnsi="宋体" w:cs="宋体"/>
          <w:color w:val="000000"/>
          <w:sz w:val="24"/>
        </w:rPr>
        <w:t>工程报价单</w:t>
      </w:r>
      <w:r>
        <w:rPr>
          <w:rFonts w:hint="eastAsia" w:ascii="宋体" w:hAnsi="宋体" w:cs="宋体"/>
          <w:bCs/>
          <w:color w:val="000000"/>
          <w:sz w:val="24"/>
        </w:rPr>
        <w:t>；</w:t>
      </w:r>
    </w:p>
    <w:p>
      <w:pPr>
        <w:spacing w:line="360" w:lineRule="auto"/>
        <w:ind w:firstLine="482"/>
        <w:rPr>
          <w:rFonts w:ascii="宋体" w:hAnsi="宋体" w:cs="宋体"/>
          <w:bCs/>
          <w:color w:val="000000"/>
          <w:sz w:val="24"/>
        </w:rPr>
      </w:pPr>
      <w:r>
        <w:rPr>
          <w:rFonts w:hint="eastAsia" w:ascii="宋体" w:hAnsi="宋体" w:cs="宋体"/>
          <w:bCs/>
          <w:color w:val="000000"/>
          <w:sz w:val="24"/>
        </w:rPr>
        <w:t>⑻ 本合同其他附件；</w:t>
      </w:r>
    </w:p>
    <w:p>
      <w:pPr>
        <w:spacing w:line="360" w:lineRule="auto"/>
        <w:ind w:firstLine="482" w:firstLineChars="200"/>
        <w:rPr>
          <w:rFonts w:ascii="宋体" w:hAnsi="宋体" w:cs="宋体"/>
          <w:bCs/>
          <w:sz w:val="24"/>
        </w:rPr>
      </w:pPr>
      <w:bookmarkStart w:id="102" w:name="_Toc474245211"/>
      <w:bookmarkStart w:id="103" w:name="_Toc107446842"/>
      <w:bookmarkStart w:id="104" w:name="_Toc183666514"/>
      <w:bookmarkStart w:id="105" w:name="_Toc26357"/>
      <w:bookmarkStart w:id="106" w:name="_Toc520190027"/>
      <w:bookmarkStart w:id="107" w:name="_Toc107447235"/>
      <w:bookmarkStart w:id="108" w:name="_Toc518992987"/>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服务工期：合同签订之日起至2022年12月31日。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9" w:name="_Toc518992989"/>
      <w:bookmarkStart w:id="110" w:name="_Toc520190029"/>
      <w:bookmarkStart w:id="111" w:name="_Toc474245213"/>
      <w:bookmarkStart w:id="112" w:name="_Toc107447236"/>
      <w:bookmarkStart w:id="113" w:name="_Toc107446843"/>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宋体" w:hAnsi="宋体" w:cs="宋体"/>
          <w:sz w:val="24"/>
        </w:rPr>
      </w:pPr>
      <w:bookmarkStart w:id="114" w:name="_Toc14703"/>
      <w:bookmarkStart w:id="115" w:name="_Toc183666516"/>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4"/>
    <w:bookmarkEnd w:id="115"/>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2"/>
    <w:bookmarkEnd w:id="103"/>
    <w:bookmarkEnd w:id="104"/>
    <w:bookmarkEnd w:id="105"/>
    <w:bookmarkEnd w:id="106"/>
    <w:bookmarkEnd w:id="107"/>
    <w:bookmarkEnd w:id="108"/>
    <w:p>
      <w:pPr>
        <w:spacing w:line="440" w:lineRule="exact"/>
        <w:ind w:firstLine="482"/>
        <w:rPr>
          <w:b/>
          <w:sz w:val="24"/>
        </w:rPr>
      </w:pPr>
      <w:bookmarkStart w:id="116" w:name="_Toc257"/>
      <w:bookmarkStart w:id="117" w:name="_Toc474245215"/>
      <w:bookmarkStart w:id="118" w:name="_Toc183666534"/>
      <w:bookmarkStart w:id="119" w:name="_Toc520190030"/>
      <w:bookmarkStart w:id="120" w:name="_Toc518992990"/>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sz w:val="24"/>
        </w:rPr>
      </w:pPr>
      <w:r>
        <w:rPr>
          <w:rFonts w:hint="eastAsia"/>
          <w:sz w:val="24"/>
        </w:rPr>
        <w:t>7</w:t>
      </w:r>
      <w:r>
        <w:rPr>
          <w:sz w:val="24"/>
        </w:rPr>
        <w:t>.3</w:t>
      </w:r>
      <w:r>
        <w:rPr>
          <w:rFonts w:hint="eastAsia" w:ascii="宋体" w:hAnsi="宋体" w:cs="宋体"/>
          <w:sz w:val="24"/>
        </w:rPr>
        <w:t>乙方所具有实验室计量校准认证资质（CNAS），</w:t>
      </w:r>
      <w:r>
        <w:rPr>
          <w:rFonts w:ascii="宋体" w:hAnsi="宋体" w:cs="宋体"/>
          <w:sz w:val="24"/>
        </w:rPr>
        <w:t>所认证的校准能力</w:t>
      </w:r>
      <w:r>
        <w:rPr>
          <w:rFonts w:hint="eastAsia" w:ascii="宋体" w:hAnsi="宋体" w:cs="宋体"/>
          <w:sz w:val="24"/>
        </w:rPr>
        <w:t>涵盖本项目中所要求的校准设备种类，并能出具CNAS校准证书。</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6"/>
    <w:bookmarkEnd w:id="117"/>
    <w:bookmarkEnd w:id="118"/>
    <w:bookmarkEnd w:id="119"/>
    <w:bookmarkEnd w:id="120"/>
    <w:p>
      <w:pPr>
        <w:spacing w:line="440" w:lineRule="exact"/>
        <w:ind w:firstLine="482"/>
        <w:rPr>
          <w:bCs/>
          <w:sz w:val="24"/>
        </w:rPr>
      </w:pPr>
      <w:bookmarkStart w:id="121" w:name="_Toc520190038"/>
      <w:bookmarkStart w:id="122" w:name="_Toc107446861"/>
      <w:bookmarkStart w:id="123" w:name="_Toc107447254"/>
      <w:bookmarkStart w:id="124" w:name="_Toc474245224"/>
      <w:bookmarkStart w:id="125" w:name="_Toc518992998"/>
      <w:bookmarkStart w:id="126" w:name="_Toc306350465"/>
      <w:bookmarkStart w:id="127" w:name="_Toc118086592"/>
      <w:bookmarkStart w:id="128" w:name="_Toc107446860"/>
      <w:bookmarkStart w:id="129" w:name="_Toc183666529"/>
      <w:bookmarkStart w:id="130" w:name="_Toc5166"/>
      <w:bookmarkStart w:id="131" w:name="_Toc107447253"/>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2" w:name="_Toc5786"/>
      <w:bookmarkStart w:id="133" w:name="_Toc183666530"/>
      <w:bookmarkStart w:id="134" w:name="_Toc306350466"/>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2"/>
    <w:bookmarkEnd w:id="133"/>
    <w:bookmarkEnd w:id="134"/>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21"/>
    <w:bookmarkEnd w:id="122"/>
    <w:bookmarkEnd w:id="123"/>
    <w:bookmarkEnd w:id="124"/>
    <w:bookmarkEnd w:id="125"/>
    <w:bookmarkEnd w:id="126"/>
    <w:bookmarkEnd w:id="127"/>
    <w:bookmarkEnd w:id="128"/>
    <w:bookmarkEnd w:id="129"/>
    <w:bookmarkEnd w:id="130"/>
    <w:bookmarkEnd w:id="131"/>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spacing w:line="360" w:lineRule="auto"/>
        <w:jc w:val="both"/>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rPr>
          <w:rFonts w:hint="eastAsia" w:ascii="宋体" w:hAnsi="宋体" w:cs="宋体"/>
          <w:b/>
          <w:bCs/>
          <w:szCs w:val="21"/>
        </w:rPr>
      </w:pPr>
    </w:p>
    <w:p>
      <w:pPr>
        <w:pStyle w:val="2"/>
        <w:rPr>
          <w:rFonts w:hint="eastAsia"/>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大坦沙分公司、江高分公司6套在线监测</w:t>
      </w:r>
      <w:r>
        <w:rPr>
          <w:rFonts w:hint="eastAsia" w:ascii="仿宋_GB2312" w:hAnsi="仿宋_GB2312" w:eastAsia="仿宋_GB2312" w:cs="仿宋_GB2312"/>
          <w:bCs/>
          <w:sz w:val="28"/>
          <w:szCs w:val="28"/>
          <w:u w:val="single"/>
          <w:lang w:eastAsia="zh-CN"/>
        </w:rPr>
        <w:t>仪器设备第三方校准服务</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大坦沙分公司、江高分公司6套在线监测</w:t>
      </w:r>
      <w:r>
        <w:rPr>
          <w:rFonts w:hint="eastAsia" w:ascii="仿宋_GB2312" w:hAnsi="仿宋_GB2312" w:eastAsia="仿宋_GB2312" w:cs="仿宋_GB2312"/>
          <w:bCs/>
          <w:sz w:val="28"/>
          <w:szCs w:val="28"/>
          <w:u w:val="single"/>
          <w:lang w:eastAsia="zh-CN"/>
        </w:rPr>
        <w:t>仪器设备第三方校准服务</w:t>
      </w:r>
      <w:r>
        <w:rPr>
          <w:rFonts w:hint="eastAsia" w:ascii="仿宋_GB2312" w:hAnsi="仿宋_GB2312" w:eastAsia="仿宋_GB2312" w:cs="仿宋_GB2312"/>
          <w:bCs/>
          <w:sz w:val="28"/>
          <w:szCs w:val="28"/>
          <w:u w:val="single"/>
          <w:lang w:val="en-US" w:eastAsia="zh-CN"/>
        </w:rPr>
        <w:t>项目</w:t>
      </w:r>
      <w:r>
        <w:rPr>
          <w:rFonts w:hint="eastAsia" w:ascii="仿宋_GB2312" w:hAnsi="仿宋_GB2312" w:eastAsia="仿宋_GB2312" w:cs="仿宋_GB2312"/>
          <w:bCs/>
          <w:sz w:val="28"/>
          <w:szCs w:val="28"/>
          <w:u w:val="single"/>
        </w:rPr>
        <w:t>（合同编号：穗净水合[</w:t>
      </w:r>
      <w:r>
        <w:rPr>
          <w:rFonts w:ascii="仿宋_GB2312" w:hAnsi="仿宋_GB2312" w:eastAsia="仿宋_GB2312" w:cs="仿宋_GB2312"/>
          <w:bCs/>
          <w:sz w:val="28"/>
          <w:szCs w:val="28"/>
          <w:u w:val="single"/>
        </w:rPr>
        <w:t xml:space="preserve">2022]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六</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四</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二</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5"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ascii="宋体" w:hAnsi="宋体" w:cs="宋体"/>
          <w:color w:val="000000"/>
          <w:sz w:val="24"/>
          <w:u w:val="single"/>
        </w:rPr>
        <w:t>广州市净水有限公司</w:t>
      </w:r>
      <w:r>
        <w:rPr>
          <w:rFonts w:hint="eastAsia" w:ascii="宋体" w:hAnsi="宋体" w:cs="宋体"/>
          <w:color w:val="000000"/>
          <w:sz w:val="24"/>
          <w:u w:val="single"/>
          <w:lang w:eastAsia="zh-CN"/>
        </w:rPr>
        <w:t>2022年</w:t>
      </w:r>
      <w:r>
        <w:rPr>
          <w:rFonts w:hint="eastAsia" w:ascii="宋体" w:hAnsi="宋体" w:cs="宋体"/>
          <w:color w:val="000000"/>
          <w:sz w:val="24"/>
          <w:u w:val="single"/>
          <w:lang w:val="en-US" w:eastAsia="zh-CN"/>
        </w:rPr>
        <w:t>大坦沙分公司、江高分公司6套在线监测</w:t>
      </w:r>
      <w:r>
        <w:rPr>
          <w:rFonts w:hint="eastAsia" w:ascii="宋体" w:hAnsi="宋体" w:cs="宋体"/>
          <w:color w:val="000000"/>
          <w:sz w:val="24"/>
          <w:u w:val="single"/>
          <w:lang w:eastAsia="zh-CN"/>
        </w:rPr>
        <w:t>仪器设备第三方校准服务</w:t>
      </w:r>
      <w:r>
        <w:rPr>
          <w:rFonts w:hint="eastAsia" w:ascii="宋体" w:hAnsi="宋体" w:cs="宋体"/>
          <w:color w:val="000000"/>
          <w:sz w:val="24"/>
          <w:u w:val="single"/>
          <w:lang w:val="en-US" w:eastAsia="zh-CN"/>
        </w:rPr>
        <w:t>项目</w:t>
      </w:r>
      <w:r>
        <w:rPr>
          <w:rFonts w:hint="eastAsia" w:ascii="宋体" w:hAnsi="宋体" w:cs="宋体"/>
          <w:color w:val="000000"/>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5"/>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5"/>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pPr>
      <w:bookmarkStart w:id="136" w:name="_Toc23515"/>
      <w:bookmarkStart w:id="137" w:name="_Toc16552"/>
      <w:bookmarkStart w:id="138" w:name="_Toc3723"/>
      <w:bookmarkStart w:id="139" w:name="_Toc5129"/>
      <w:bookmarkStart w:id="140" w:name="_Toc30824"/>
      <w:bookmarkStart w:id="141" w:name="_Toc8147"/>
      <w:bookmarkStart w:id="142" w:name="_Toc12169"/>
      <w:bookmarkStart w:id="143" w:name="_Toc21847"/>
      <w:bookmarkStart w:id="144" w:name="_Toc1563"/>
      <w:bookmarkStart w:id="145" w:name="_Toc28358"/>
      <w:bookmarkStart w:id="146" w:name="_Toc6230"/>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36"/>
      <w:bookmarkEnd w:id="137"/>
      <w:bookmarkEnd w:id="138"/>
      <w:bookmarkEnd w:id="139"/>
      <w:bookmarkEnd w:id="140"/>
      <w:bookmarkEnd w:id="141"/>
      <w:bookmarkEnd w:id="142"/>
      <w:bookmarkEnd w:id="143"/>
      <w:bookmarkEnd w:id="144"/>
      <w:bookmarkEnd w:id="145"/>
      <w:bookmarkEnd w:id="146"/>
    </w:p>
    <w:p>
      <w:pPr>
        <w:pStyle w:val="35"/>
      </w:pPr>
    </w:p>
    <w:p>
      <w:pPr>
        <w:pStyle w:val="4"/>
      </w:pPr>
      <w:bookmarkStart w:id="147" w:name="_Toc12610"/>
      <w:bookmarkStart w:id="148" w:name="_Toc5342"/>
      <w:bookmarkStart w:id="149" w:name="_Toc88209951"/>
      <w:bookmarkStart w:id="150" w:name="_Toc17119"/>
      <w:bookmarkStart w:id="151" w:name="_Toc87616388"/>
      <w:bookmarkStart w:id="152" w:name="_Toc10840"/>
      <w:bookmarkStart w:id="153" w:name="_Toc31564"/>
      <w:bookmarkStart w:id="154" w:name="_Toc30157"/>
      <w:bookmarkStart w:id="155" w:name="_Toc24490"/>
      <w:bookmarkStart w:id="156" w:name="_Toc22764"/>
      <w:bookmarkStart w:id="157" w:name="_Toc24815"/>
      <w:bookmarkStart w:id="158" w:name="_Toc12769"/>
      <w:bookmarkStart w:id="159" w:name="_Toc21675"/>
      <w:r>
        <w:rPr>
          <w:rFonts w:hint="eastAsia"/>
        </w:rPr>
        <w:t>响应文件</w:t>
      </w:r>
      <w:r>
        <w:rPr>
          <w:rFonts w:hint="eastAsia"/>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 w:hAnsi="仿宋" w:eastAsia="仿宋"/>
          <w:sz w:val="32"/>
          <w:szCs w:val="32"/>
          <w:u w:val="single"/>
          <w:lang w:val="en-US" w:eastAsia="zh-CN"/>
        </w:rPr>
        <w:t>SZZX</w:t>
      </w:r>
      <w:r>
        <w:rPr>
          <w:rFonts w:ascii="仿宋" w:hAnsi="仿宋" w:eastAsia="仿宋"/>
          <w:sz w:val="32"/>
          <w:szCs w:val="32"/>
          <w:u w:val="single"/>
        </w:rPr>
        <w:t>X</w:t>
      </w:r>
      <w:r>
        <w:rPr>
          <w:rFonts w:hint="eastAsia" w:ascii="仿宋" w:hAnsi="仿宋" w:eastAsia="仿宋"/>
          <w:sz w:val="32"/>
          <w:szCs w:val="32"/>
          <w:u w:val="single"/>
          <w:lang w:val="en-US" w:eastAsia="zh-CN"/>
        </w:rPr>
        <w:t>J</w:t>
      </w:r>
      <w:r>
        <w:rPr>
          <w:rFonts w:ascii="仿宋" w:hAnsi="仿宋" w:eastAsia="仿宋"/>
          <w:sz w:val="32"/>
          <w:szCs w:val="32"/>
          <w:u w:val="single"/>
        </w:rPr>
        <w:t>-20220</w:t>
      </w:r>
      <w:r>
        <w:rPr>
          <w:rFonts w:hint="eastAsia" w:ascii="仿宋" w:hAnsi="仿宋" w:eastAsia="仿宋"/>
          <w:sz w:val="32"/>
          <w:szCs w:val="32"/>
          <w:u w:val="single"/>
          <w:lang w:val="en-US" w:eastAsia="zh-CN"/>
        </w:rPr>
        <w:t>623</w:t>
      </w:r>
      <w:r>
        <w:rPr>
          <w:rFonts w:ascii="仿宋" w:hAnsi="仿宋" w:eastAsia="仿宋"/>
          <w:sz w:val="32"/>
          <w:szCs w:val="32"/>
          <w:u w:val="single"/>
        </w:rPr>
        <w:t>-1</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0" w:name="_Toc87616389"/>
      <w:bookmarkStart w:id="161" w:name="_Toc88209952"/>
      <w:r>
        <w:rPr>
          <w:rFonts w:hint="eastAsia" w:ascii="仿宋_GB2312" w:eastAsia="仿宋_GB2312"/>
          <w:sz w:val="28"/>
          <w:szCs w:val="28"/>
        </w:rPr>
        <w:t>1.响应函</w:t>
      </w:r>
      <w:bookmarkEnd w:id="160"/>
      <w:bookmarkEnd w:id="161"/>
    </w:p>
    <w:p>
      <w:pPr>
        <w:spacing w:line="600" w:lineRule="exact"/>
        <w:rPr>
          <w:rFonts w:hint="eastAsia" w:ascii="仿宋_GB2312" w:eastAsia="仿宋_GB2312"/>
          <w:sz w:val="28"/>
          <w:szCs w:val="28"/>
        </w:rPr>
      </w:pPr>
      <w:bookmarkStart w:id="162" w:name="_Toc88209953"/>
      <w:bookmarkStart w:id="163" w:name="_Toc87616390"/>
      <w:r>
        <w:rPr>
          <w:rFonts w:hint="eastAsia" w:ascii="仿宋_GB2312" w:eastAsia="仿宋_GB2312"/>
          <w:sz w:val="28"/>
          <w:szCs w:val="28"/>
        </w:rPr>
        <w:t>2.法定代表人证明或授权委托书</w:t>
      </w:r>
      <w:bookmarkEnd w:id="162"/>
      <w:bookmarkEnd w:id="163"/>
      <w:bookmarkStart w:id="164" w:name="_Toc88209956"/>
      <w:bookmarkStart w:id="165"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4"/>
      <w:bookmarkEnd w:id="16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66" w:name="_Toc12665"/>
      <w:bookmarkStart w:id="167" w:name="_Toc88209957"/>
      <w:bookmarkStart w:id="168" w:name="_Toc87616394"/>
      <w:bookmarkStart w:id="169" w:name="_Toc28619645"/>
      <w:bookmarkStart w:id="170" w:name="_Toc6313"/>
      <w:r>
        <w:rPr>
          <w:rFonts w:hint="eastAsia" w:asciiTheme="minorEastAsia" w:hAnsiTheme="minorEastAsia" w:eastAsiaTheme="minorEastAsia"/>
          <w:sz w:val="28"/>
          <w:szCs w:val="28"/>
        </w:rPr>
        <w:t>1.响应函</w:t>
      </w:r>
      <w:bookmarkEnd w:id="166"/>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71" w:name="_Toc22527"/>
      <w:bookmarkStart w:id="172" w:name="_Toc88209958"/>
      <w:bookmarkStart w:id="173" w:name="_Toc87616395"/>
      <w:bookmarkStart w:id="174" w:name="_Toc2983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1"/>
      <w:bookmarkEnd w:id="172"/>
      <w:bookmarkEnd w:id="173"/>
      <w:bookmarkEnd w:id="17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5" w:name="_Toc88209963"/>
      <w:bookmarkStart w:id="176" w:name="_Toc87616400"/>
      <w:bookmarkStart w:id="177" w:name="_Toc19830"/>
      <w:bookmarkStart w:id="178"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5"/>
      <w:bookmarkEnd w:id="176"/>
      <w:bookmarkEnd w:id="177"/>
      <w:bookmarkEnd w:id="17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仿宋_GB2312" w:eastAsia="仿宋_GB2312" w:hAnsiTheme="minorEastAsia"/>
          <w:sz w:val="28"/>
          <w:szCs w:val="28"/>
        </w:rPr>
      </w:pPr>
      <w:bookmarkStart w:id="180" w:name="_Toc19423"/>
      <w:bookmarkStart w:id="181" w:name="_Toc32430"/>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0"/>
      <w:bookmarkEnd w:id="181"/>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大坦沙分公司2022年在线监测仪器校准需求合同报价清单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rPr>
      </w:pPr>
    </w:p>
    <w:p>
      <w:pPr>
        <w:pStyle w:val="2"/>
        <w:ind w:left="0" w:leftChars="0" w:firstLine="0" w:firstLineChars="0"/>
        <w:rPr>
          <w:rFonts w:hint="eastAsia"/>
        </w:rPr>
      </w:pP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6"/>
        <w:rPr>
          <w:rFonts w:asciiTheme="majorEastAsia" w:hAnsiTheme="majorEastAsia" w:eastAsiaTheme="majorEastAsia"/>
          <w:sz w:val="28"/>
          <w:szCs w:val="28"/>
        </w:rPr>
      </w:pPr>
      <w:bookmarkStart w:id="182" w:name="_Toc87616402"/>
      <w:bookmarkStart w:id="183" w:name="_Toc16386"/>
      <w:bookmarkStart w:id="184" w:name="_Toc88209965"/>
      <w:bookmarkStart w:id="185"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1982470</wp:posOffset>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1pt;margin-top:3pt;height:144pt;width:144pt;mso-position-horizontal-relative:margin;mso-wrap-style:none;z-index:251662336;mso-width-relative:page;mso-height-relative:page;" filled="f" stroked="f" coordsize="21600,21600" o:gfxdata="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2sJ/DVAAAACQEAAA8AAAAAAAAAAQAgAAAAIgAAAGRycy9kb3ducmV2LnhtbFBL&#10;AQIUABQAAAAIAIdO4kDUd5jmMgIAAGMEAAAOAAAAAAAAAAEAIAAAACQBAABkcnMvZTJvRG9jLnht&#10;bFBLBQYAAAAABgAGAFkBAADIBQAAAAA=&#10;">
              <v:fill on="f" focussize="0,0"/>
              <v:stroke on="f" weight="0.5pt"/>
              <v:imagedata o:title=""/>
              <o:lock v:ext="edit" aspectratio="f"/>
              <v:textbox inset="0mm,0mm,0mm,0mm" style="mso-fit-shape-to-text:t;">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ED051E"/>
    <w:rsid w:val="0FEE4C29"/>
    <w:rsid w:val="10046082"/>
    <w:rsid w:val="112B101A"/>
    <w:rsid w:val="119B53FC"/>
    <w:rsid w:val="12424CDC"/>
    <w:rsid w:val="129A2738"/>
    <w:rsid w:val="12B56BF1"/>
    <w:rsid w:val="12CB1A89"/>
    <w:rsid w:val="131840FB"/>
    <w:rsid w:val="13201CCE"/>
    <w:rsid w:val="13467417"/>
    <w:rsid w:val="136E76CF"/>
    <w:rsid w:val="156A20D5"/>
    <w:rsid w:val="15BC6B3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D40498"/>
    <w:rsid w:val="22767047"/>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12D7741"/>
    <w:rsid w:val="316F137F"/>
    <w:rsid w:val="31980C95"/>
    <w:rsid w:val="31DF525F"/>
    <w:rsid w:val="32324C2E"/>
    <w:rsid w:val="327171DF"/>
    <w:rsid w:val="339C2F6B"/>
    <w:rsid w:val="341E3434"/>
    <w:rsid w:val="360B7EBA"/>
    <w:rsid w:val="369C32FD"/>
    <w:rsid w:val="37666E72"/>
    <w:rsid w:val="38167A04"/>
    <w:rsid w:val="38194957"/>
    <w:rsid w:val="394B167A"/>
    <w:rsid w:val="3A4E4336"/>
    <w:rsid w:val="3A6007FE"/>
    <w:rsid w:val="3B7C2CE4"/>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C76AF7"/>
    <w:rsid w:val="43FC6A30"/>
    <w:rsid w:val="444E0CFB"/>
    <w:rsid w:val="446828F0"/>
    <w:rsid w:val="44E62DBC"/>
    <w:rsid w:val="45C13B4D"/>
    <w:rsid w:val="46054BCA"/>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2BC7F12"/>
    <w:rsid w:val="5333545B"/>
    <w:rsid w:val="5450213C"/>
    <w:rsid w:val="54D24048"/>
    <w:rsid w:val="54D64CD5"/>
    <w:rsid w:val="55887D69"/>
    <w:rsid w:val="561A0928"/>
    <w:rsid w:val="56423872"/>
    <w:rsid w:val="56B279F0"/>
    <w:rsid w:val="579D710E"/>
    <w:rsid w:val="581F22F6"/>
    <w:rsid w:val="586E1E17"/>
    <w:rsid w:val="58862C35"/>
    <w:rsid w:val="58C14957"/>
    <w:rsid w:val="5AB06A3C"/>
    <w:rsid w:val="5AE83A50"/>
    <w:rsid w:val="5BAB2917"/>
    <w:rsid w:val="5BFC33FA"/>
    <w:rsid w:val="5C3107A4"/>
    <w:rsid w:val="5C3B1B93"/>
    <w:rsid w:val="5C6F328C"/>
    <w:rsid w:val="5C9220DF"/>
    <w:rsid w:val="5D4A15F3"/>
    <w:rsid w:val="5D69542A"/>
    <w:rsid w:val="5E0930EF"/>
    <w:rsid w:val="5E3116FD"/>
    <w:rsid w:val="5E3D4D53"/>
    <w:rsid w:val="5E4717E6"/>
    <w:rsid w:val="5E55774C"/>
    <w:rsid w:val="60104DDC"/>
    <w:rsid w:val="60294BDB"/>
    <w:rsid w:val="605C0804"/>
    <w:rsid w:val="6189617B"/>
    <w:rsid w:val="61B52BB6"/>
    <w:rsid w:val="61B749C2"/>
    <w:rsid w:val="62280D20"/>
    <w:rsid w:val="622C111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C6E0A51"/>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E6327"/>
    <w:rsid w:val="79B03EB6"/>
    <w:rsid w:val="7AF37579"/>
    <w:rsid w:val="7AF87F64"/>
    <w:rsid w:val="7B1C0C84"/>
    <w:rsid w:val="7B5A62DF"/>
    <w:rsid w:val="7B7A04A8"/>
    <w:rsid w:val="7B803250"/>
    <w:rsid w:val="7C0C3F6D"/>
    <w:rsid w:val="7C22163C"/>
    <w:rsid w:val="7C595075"/>
    <w:rsid w:val="7C6B07B2"/>
    <w:rsid w:val="7D133243"/>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18565</Words>
  <Characters>20120</Characters>
  <Lines>300</Lines>
  <Paragraphs>84</Paragraphs>
  <TotalTime>2</TotalTime>
  <ScaleCrop>false</ScaleCrop>
  <LinksUpToDate>false</LinksUpToDate>
  <CharactersWithSpaces>22185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张启俊</cp:lastModifiedBy>
  <dcterms:modified xsi:type="dcterms:W3CDTF">2022-06-23T00:49:49Z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4A51231AF7AB4CF7B9F6E61D09088537</vt:lpwstr>
  </property>
</Properties>
</file>