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广州市净水有限公司龙归分公司</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2022年危险废物处置服务项目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4275"/>
      <w:bookmarkStart w:id="5" w:name="_Toc11322"/>
      <w:bookmarkStart w:id="6" w:name="_Toc19609"/>
      <w:bookmarkStart w:id="7" w:name="_Toc7519"/>
      <w:bookmarkStart w:id="8" w:name="_Toc1669"/>
      <w:bookmarkStart w:id="9" w:name="_Toc31938"/>
      <w:bookmarkStart w:id="10" w:name="_Toc17801"/>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2235835</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6.05pt;margin-top:39.95pt;height:0pt;width:75.5pt;z-index:251673600;mso-width-relative:page;mso-height-relative:page;" filled="f" stroked="t" coordsize="21600,21600" o:gfxdata="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ztk2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31750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3.65pt;margin-top:2.5pt;height:0pt;width:75.5pt;z-index:251672576;mso-width-relative:page;mso-height-relative:page;" filled="f" stroked="t" coordsize="21600,21600" o:gfxdata="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GtjCd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u w:val="single"/>
        </w:rPr>
        <w:t>龙归分公司</w:t>
      </w:r>
      <w:r>
        <w:rPr>
          <w:rFonts w:hint="eastAsia" w:ascii="仿宋" w:hAnsi="仿宋" w:eastAsia="仿宋" w:cs="仿宋"/>
          <w:b w:val="0"/>
          <w:bCs w:val="0"/>
          <w:color w:val="000000"/>
          <w:sz w:val="28"/>
          <w:szCs w:val="28"/>
          <w:u w:val="single"/>
          <w:lang w:val="en-US" w:eastAsia="zh-CN"/>
        </w:rPr>
        <w:t>2022年危险废物处置服务</w:t>
      </w:r>
      <w:r>
        <w:rPr>
          <w:rFonts w:hint="eastAsia" w:ascii="仿宋" w:hAnsi="仿宋" w:eastAsia="仿宋" w:cs="仿宋"/>
          <w:color w:val="auto"/>
          <w:sz w:val="28"/>
          <w:szCs w:val="28"/>
          <w:highlight w:val="none"/>
          <w:u w:val="single"/>
          <w:lang w:val="en-US" w:eastAsia="zh-CN"/>
        </w:rPr>
        <w:t>项目</w:t>
      </w:r>
      <w:r>
        <w:rPr>
          <w:rFonts w:hint="eastAsia" w:ascii="仿宋" w:hAnsi="仿宋" w:eastAsia="仿宋" w:cs="仿宋"/>
          <w:color w:val="auto"/>
          <w:sz w:val="28"/>
          <w:szCs w:val="28"/>
          <w:highlight w:val="none"/>
        </w:rPr>
        <w:t>已具备采购条件，</w:t>
      </w:r>
      <w:r>
        <w:rPr>
          <w:rFonts w:hint="eastAsia" w:ascii="仿宋" w:hAnsi="仿宋" w:eastAsia="仿宋" w:cs="仿宋"/>
          <w:sz w:val="28"/>
          <w:szCs w:val="28"/>
        </w:rPr>
        <w:t>现</w:t>
      </w:r>
      <w:r>
        <w:rPr>
          <w:rFonts w:hint="eastAsia" w:ascii="仿宋" w:hAnsi="仿宋" w:eastAsia="仿宋" w:cs="仿宋"/>
          <w:sz w:val="28"/>
          <w:szCs w:val="28"/>
          <w:lang w:val="en-US" w:eastAsia="zh-CN"/>
        </w:rPr>
        <w:t>邀请合格</w:t>
      </w:r>
      <w:r>
        <w:rPr>
          <w:rFonts w:hint="eastAsia" w:ascii="仿宋" w:hAnsi="仿宋" w:eastAsia="仿宋" w:cs="仿宋"/>
          <w:sz w:val="28"/>
          <w:szCs w:val="28"/>
          <w:u w:val="none"/>
          <w:lang w:val="en-US" w:eastAsia="zh-CN"/>
        </w:rPr>
        <w:t>单位</w:t>
      </w:r>
      <w:r>
        <w:rPr>
          <w:rFonts w:hint="eastAsia" w:ascii="仿宋" w:hAnsi="仿宋" w:eastAsia="仿宋" w:cs="仿宋"/>
          <w:sz w:val="28"/>
          <w:szCs w:val="28"/>
        </w:rPr>
        <w:t xml:space="preserve">参加本□施工  </w:t>
      </w:r>
      <w:r>
        <w:rPr>
          <w:rFonts w:hint="eastAsia" w:ascii="仿宋" w:hAnsi="仿宋" w:eastAsia="仿宋" w:cs="仿宋"/>
          <w:sz w:val="28"/>
          <w:szCs w:val="28"/>
          <w:lang w:eastAsia="zh-CN"/>
        </w:rPr>
        <w:t>□</w:t>
      </w:r>
      <w:r>
        <w:rPr>
          <w:rFonts w:hint="eastAsia" w:ascii="仿宋" w:hAnsi="仿宋" w:eastAsia="仿宋" w:cs="仿宋"/>
          <w:sz w:val="28"/>
          <w:szCs w:val="28"/>
        </w:rPr>
        <w:t xml:space="preserve">货物 </w:t>
      </w:r>
      <w:r>
        <w:rPr>
          <w:rFonts w:hint="eastAsia" w:ascii="仿宋" w:hAnsi="仿宋" w:eastAsia="仿宋" w:cs="仿宋"/>
          <w:sz w:val="28"/>
          <w:szCs w:val="28"/>
        </w:rPr>
        <w:sym w:font="Wingdings 2" w:char="0052"/>
      </w:r>
      <w:r>
        <w:rPr>
          <w:rFonts w:hint="eastAsia" w:ascii="仿宋" w:hAnsi="仿宋" w:eastAsia="仿宋" w:cs="仿宋"/>
          <w:sz w:val="28"/>
          <w:szCs w:val="28"/>
        </w:rPr>
        <w:t>服务项目采购活动，采用</w:t>
      </w:r>
      <w:r>
        <w:rPr>
          <w:rFonts w:hint="eastAsia" w:ascii="仿宋" w:hAnsi="仿宋" w:eastAsia="仿宋" w:cs="仿宋"/>
          <w:sz w:val="28"/>
          <w:szCs w:val="28"/>
          <w:u w:val="single"/>
        </w:rPr>
        <w:sym w:font="Wingdings 2" w:char="00A3"/>
      </w:r>
      <w:r>
        <w:rPr>
          <w:rFonts w:hint="eastAsia" w:ascii="仿宋" w:hAnsi="仿宋" w:eastAsia="仿宋" w:cs="仿宋"/>
          <w:sz w:val="28"/>
          <w:szCs w:val="28"/>
          <w:u w:val="single"/>
          <w:lang w:val="en-US" w:eastAsia="zh-CN"/>
        </w:rPr>
        <w:t>邀请</w:t>
      </w:r>
      <w:r>
        <w:rPr>
          <w:rFonts w:hint="eastAsia" w:ascii="仿宋" w:hAnsi="仿宋" w:eastAsia="仿宋" w:cs="仿宋"/>
          <w:sz w:val="28"/>
          <w:szCs w:val="28"/>
          <w:u w:val="single"/>
        </w:rPr>
        <w:t>询比</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sym w:font="Wingdings 2" w:char="0052"/>
      </w:r>
      <w:r>
        <w:rPr>
          <w:rFonts w:hint="eastAsia" w:ascii="仿宋" w:hAnsi="仿宋" w:eastAsia="仿宋" w:cs="仿宋"/>
          <w:sz w:val="28"/>
          <w:szCs w:val="28"/>
          <w:u w:val="single"/>
          <w:lang w:val="en-US" w:eastAsia="zh-CN"/>
        </w:rPr>
        <w:t>公开询比</w:t>
      </w:r>
      <w:r>
        <w:rPr>
          <w:rFonts w:hint="eastAsia" w:ascii="仿宋" w:hAnsi="仿宋" w:eastAsia="仿宋" w:cs="仿宋"/>
          <w:sz w:val="28"/>
          <w:szCs w:val="28"/>
        </w:rPr>
        <w:t>的方式邀请合格供应商参加本项目采购活动。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u w:val="single"/>
        </w:rPr>
        <w:t>龙归分公司</w:t>
      </w:r>
      <w:r>
        <w:rPr>
          <w:rFonts w:hint="eastAsia" w:ascii="仿宋" w:hAnsi="仿宋" w:eastAsia="仿宋" w:cs="仿宋"/>
          <w:b w:val="0"/>
          <w:bCs w:val="0"/>
          <w:color w:val="000000"/>
          <w:sz w:val="28"/>
          <w:szCs w:val="28"/>
          <w:u w:val="single"/>
          <w:lang w:val="en-US" w:eastAsia="zh-CN"/>
        </w:rPr>
        <w:t>2022年危险废物处置服务</w:t>
      </w:r>
      <w:r>
        <w:rPr>
          <w:rFonts w:hint="eastAsia" w:ascii="仿宋" w:hAnsi="仿宋" w:eastAsia="仿宋" w:cs="仿宋"/>
          <w:color w:val="auto"/>
          <w:sz w:val="28"/>
          <w:szCs w:val="28"/>
          <w:highlight w:val="none"/>
          <w:u w:val="single"/>
          <w:lang w:val="en-US" w:eastAsia="zh-CN"/>
        </w:rPr>
        <w:t>项目</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1.2项目编号：</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 xml:space="preserve">自有资金 </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49000</w:t>
      </w:r>
      <w:r>
        <w:rPr>
          <w:rFonts w:hint="eastAsia" w:ascii="仿宋" w:hAnsi="仿宋" w:eastAsia="仿宋" w:cs="仿宋"/>
          <w:sz w:val="28"/>
          <w:szCs w:val="28"/>
          <w:u w:val="single"/>
        </w:rPr>
        <w:t>元（人民币）</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lang w:val="en-US" w:eastAsia="zh-CN"/>
        </w:rPr>
        <w:t>无</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2.1采购内容和范围：</w:t>
      </w:r>
    </w:p>
    <w:tbl>
      <w:tblPr>
        <w:tblStyle w:val="22"/>
        <w:tblW w:w="5012"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2"/>
        <w:gridCol w:w="1202"/>
        <w:gridCol w:w="1203"/>
        <w:gridCol w:w="1203"/>
        <w:gridCol w:w="1416"/>
        <w:gridCol w:w="1203"/>
        <w:gridCol w:w="1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5"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所属单位</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序号</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废物名称</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废物类别</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废物代码</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年预计量</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年预计量单位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5"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龙归分公司</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废机油</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HW08</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900-214-08</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0.8</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实验室</w:t>
            </w:r>
          </w:p>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废液</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HW49</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900-047-49</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4</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3</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废包装物</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HW49</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900-041-49</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0.1</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备注：合同期内需满足免费运输龙归公司以上废物3次。</w:t>
            </w:r>
          </w:p>
        </w:tc>
      </w:tr>
    </w:tbl>
    <w:p>
      <w:pPr>
        <w:pStyle w:val="21"/>
        <w:rPr>
          <w:rFonts w:hint="eastAsia"/>
        </w:rPr>
      </w:pP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2.2项目工期：□计划工期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交货期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服务期为</w:t>
      </w:r>
      <w:r>
        <w:rPr>
          <w:rFonts w:hint="eastAsia" w:ascii="仿宋" w:hAnsi="仿宋" w:eastAsia="仿宋" w:cs="仿宋"/>
          <w:color w:val="auto"/>
          <w:sz w:val="28"/>
          <w:szCs w:val="28"/>
          <w:highlight w:val="none"/>
          <w:u w:val="single"/>
          <w:lang w:val="en-US" w:eastAsia="zh-CN"/>
        </w:rPr>
        <w:t>合同签订后一年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2.3地点：□建设地点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交货地点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服务地点位于</w:t>
      </w:r>
      <w:r>
        <w:rPr>
          <w:rFonts w:hint="eastAsia" w:ascii="仿宋" w:hAnsi="仿宋" w:eastAsia="仿宋" w:cs="仿宋"/>
          <w:color w:val="auto"/>
          <w:sz w:val="28"/>
          <w:szCs w:val="28"/>
          <w:highlight w:val="none"/>
          <w:u w:val="single"/>
          <w:lang w:val="en-US" w:eastAsia="zh-CN"/>
        </w:rPr>
        <w:t>广州市净水有限公司龙归分公司</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2.4质量要求：□施工质量要求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货物质量标准或主要技术性能指标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rPr>
        <w:t xml:space="preserve"> 报价人根据甲方的生产情况和废物的产生情况，在合同协定的服务标准和时间内对甲方的危险废物进行合法合规运输处置工作。</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2.5其他：□安全目标如下：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single"/>
        </w:rPr>
        <w:t>有效的广东省环保厅核发的《危险废物经营许可证》（废物代码为900-214-08、900-041-49、900-047-49等废物处置资质和《中华人民共和国道路运输经营许可证》（道路运输经营范围需包含危险废物）。</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2019年1月1日至今，最少具有一项危险废物处置服务业绩（提供合同复印件证明，包括但不限于项目名称、金额及实施内容、合同签字盖章、签订日期）。</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）项目负责人应当具备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资格条件。</w:t>
      </w:r>
    </w:p>
    <w:p>
      <w:pPr>
        <w:pStyle w:val="21"/>
        <w:adjustRightInd w:val="0"/>
        <w:snapToGrid w:val="0"/>
        <w:spacing w:line="600" w:lineRule="exact"/>
        <w:ind w:firstLine="0"/>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6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22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6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30 </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踏勘现场</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不组织</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w:t>
      </w:r>
    </w:p>
    <w:p>
      <w:pPr>
        <w:adjustRightInd w:val="0"/>
        <w:snapToGrid w:val="0"/>
        <w:spacing w:line="600" w:lineRule="exac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踏勘时间：</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t>踏勘集中地点：</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30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广州市白云区南岭龙岗北路20号</w:t>
      </w:r>
      <w:r>
        <w:rPr>
          <w:rFonts w:hint="eastAsia" w:ascii="仿宋" w:hAnsi="仿宋" w:eastAsia="仿宋" w:cs="仿宋"/>
          <w:color w:val="auto"/>
          <w:sz w:val="28"/>
          <w:szCs w:val="28"/>
          <w:highlight w:val="none"/>
          <w:u w:val="single"/>
          <w:lang w:val="en-US" w:eastAsia="zh-CN"/>
        </w:rPr>
        <w:t>广州市净水有限公司龙归分公司生产部</w:t>
      </w:r>
      <w:r>
        <w:rPr>
          <w:rFonts w:hint="eastAsia" w:ascii="仿宋" w:hAnsi="仿宋" w:eastAsia="仿宋" w:cs="仿宋"/>
          <w:color w:val="auto"/>
          <w:sz w:val="28"/>
          <w:szCs w:val="28"/>
          <w:highlight w:val="none"/>
        </w:rPr>
        <w:t>。</w:t>
      </w:r>
    </w:p>
    <w:p>
      <w:pPr>
        <w:pStyle w:val="21"/>
        <w:ind w:firstLine="56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广州市净水有限公司龙归分公司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val="en-US" w:eastAsia="zh-CN"/>
        </w:rPr>
        <w:t>020-86282618</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广州市白云区南岭龙岗北路20号广州市净水有限公司龙归分公司</w:t>
      </w:r>
      <w:r>
        <w:rPr>
          <w:rFonts w:hint="eastAsia" w:ascii="仿宋" w:hAnsi="仿宋" w:eastAsia="仿宋" w:cs="仿宋"/>
          <w:color w:val="auto"/>
          <w:sz w:val="28"/>
          <w:szCs w:val="28"/>
          <w:highlight w:val="none"/>
        </w:rPr>
        <w:t>。</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402"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4557"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4"/>
                <w:highlight w:val="none"/>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3"/>
        <w:tblW w:w="8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广州市净水有限公司龙归分公司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广州市白云区南岭龙岗北路20号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梁工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话：020-</w:t>
            </w:r>
            <w:r>
              <w:rPr>
                <w:rFonts w:hint="eastAsia" w:ascii="仿宋" w:hAnsi="仿宋" w:eastAsia="仿宋" w:cs="仿宋"/>
                <w:color w:val="auto"/>
                <w:sz w:val="28"/>
                <w:szCs w:val="28"/>
                <w:highlight w:val="none"/>
                <w:lang w:val="en-US" w:eastAsia="zh-CN"/>
              </w:rPr>
              <w:t>86282618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rPr>
            </w:pPr>
          </w:p>
          <w:p>
            <w:pPr>
              <w:adjustRightInd w:val="0"/>
              <w:snapToGrid w:val="0"/>
              <w:spacing w:line="60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color w:val="auto"/>
          <w:szCs w:val="21"/>
          <w:highlight w:val="none"/>
          <w:lang w:eastAsia="zh-CN"/>
        </w:rPr>
      </w:pPr>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现场踏勘委派书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如需</w:t>
      </w:r>
      <w:r>
        <w:rPr>
          <w:rFonts w:hint="eastAsia" w:ascii="仿宋" w:hAnsi="仿宋" w:eastAsia="仿宋" w:cs="仿宋"/>
          <w:b/>
          <w:color w:val="auto"/>
          <w:sz w:val="28"/>
          <w:szCs w:val="28"/>
          <w:highlight w:val="none"/>
          <w:lang w:eastAsia="zh-CN"/>
        </w:rPr>
        <w:t>）</w:t>
      </w:r>
    </w:p>
    <w:p>
      <w:pPr>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广州净水有限公司</w:t>
      </w:r>
      <w:r>
        <w:rPr>
          <w:rFonts w:hint="eastAsia" w:ascii="仿宋" w:hAnsi="仿宋" w:eastAsia="仿宋" w:cs="仿宋"/>
          <w:color w:val="auto"/>
          <w:sz w:val="28"/>
          <w:szCs w:val="28"/>
          <w:highlight w:val="none"/>
          <w:lang w:val="en-US" w:eastAsia="zh-CN"/>
        </w:rPr>
        <w:t>龙归分公司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（报价单位名称）</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现委派</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（姓名、职务、身份证号）   </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处理本项目</w:t>
      </w:r>
      <w:r>
        <w:rPr>
          <w:rFonts w:hint="eastAsia" w:ascii="仿宋" w:hAnsi="仿宋" w:eastAsia="仿宋" w:cs="仿宋"/>
          <w:color w:val="auto"/>
          <w:sz w:val="28"/>
          <w:szCs w:val="28"/>
          <w:highlight w:val="none"/>
          <w:lang w:val="en-US" w:eastAsia="zh-CN"/>
        </w:rPr>
        <w:t>广州市净水有限公司龙归分公司2022年危险废物处置服务项目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的现场踏勘事宜。</w:t>
      </w:r>
    </w:p>
    <w:p>
      <w:pPr>
        <w:spacing w:line="360" w:lineRule="auto"/>
        <w:ind w:firstLine="54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进厂要求详见响应文件递交防疫要求</w:t>
      </w:r>
      <w:r>
        <w:rPr>
          <w:rFonts w:hint="eastAsia" w:ascii="仿宋" w:hAnsi="仿宋" w:eastAsia="仿宋" w:cs="仿宋"/>
          <w:color w:val="auto"/>
          <w:sz w:val="28"/>
          <w:szCs w:val="28"/>
          <w:highlight w:val="none"/>
        </w:rPr>
        <w:t>）</w:t>
      </w:r>
    </w:p>
    <w:p>
      <w:pPr>
        <w:spacing w:line="360" w:lineRule="auto"/>
        <w:ind w:firstLine="5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特此声明！</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报价单位法定代表人（或法定授权代表）签字：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报价单位名称（签章）：</w:t>
      </w:r>
      <w:r>
        <w:rPr>
          <w:rFonts w:hint="eastAsia" w:ascii="仿宋" w:hAnsi="仿宋" w:eastAsia="仿宋" w:cs="仿宋"/>
          <w:color w:val="auto"/>
          <w:sz w:val="28"/>
          <w:szCs w:val="28"/>
          <w:highlight w:val="none"/>
          <w:u w:val="singl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广州净水有限公司龙归分公司</w:t>
            </w:r>
          </w:p>
          <w:p>
            <w:pPr>
              <w:spacing w:line="360" w:lineRule="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（盖章）</w:t>
            </w:r>
          </w:p>
          <w:p>
            <w:pPr>
              <w:spacing w:line="360" w:lineRule="auto"/>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经办人：</w:t>
            </w:r>
          </w:p>
          <w:p>
            <w:pPr>
              <w:spacing w:line="360" w:lineRule="auto"/>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rPr>
          <w:rFonts w:hint="eastAsia"/>
          <w:color w:val="auto"/>
          <w:highlight w:val="none"/>
        </w:rPr>
      </w:pPr>
    </w:p>
    <w:p>
      <w:pPr>
        <w:pStyle w:val="2"/>
        <w:rPr>
          <w:rFonts w:hint="eastAsia"/>
        </w:rPr>
      </w:pPr>
    </w:p>
    <w:p>
      <w:pPr>
        <w:pStyle w:val="3"/>
        <w:rPr>
          <w:color w:val="auto"/>
          <w:highlight w:val="none"/>
        </w:rPr>
      </w:pPr>
      <w:bookmarkStart w:id="14" w:name="_Toc2331"/>
      <w:bookmarkStart w:id="15" w:name="_Toc25603"/>
      <w:bookmarkStart w:id="16" w:name="_Toc19295"/>
      <w:bookmarkStart w:id="17" w:name="_Toc32588"/>
      <w:bookmarkStart w:id="18" w:name="_Toc2324"/>
      <w:bookmarkStart w:id="19" w:name="_Toc7340"/>
      <w:bookmarkStart w:id="20" w:name="_Toc16705"/>
      <w:bookmarkStart w:id="21" w:name="_Toc16557"/>
      <w:bookmarkStart w:id="22" w:name="_Toc23749"/>
      <w:bookmarkStart w:id="23" w:name="_Toc9448"/>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2178685</wp:posOffset>
                </wp:positionH>
                <wp:positionV relativeFrom="paragraph">
                  <wp:posOffset>593090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1.55pt;margin-top:46.7pt;height:0pt;width:75.5pt;z-index:251675648;mso-width-relative:page;mso-height-relative:page;" filled="f" stroked="t" coordsize="21600,21600" o:gfxdata="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BD8Nb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2186305</wp:posOffset>
                </wp:positionH>
                <wp:positionV relativeFrom="paragraph">
                  <wp:posOffset>127000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2.15pt;margin-top:10pt;height:0pt;width:75.5pt;z-index:251674624;mso-width-relative:page;mso-height-relative:page;" filled="f" stroked="t" coordsize="21600,21600" o:gfxdata="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N6uP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color w:val="auto"/>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2204085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55pt;margin-top:46.25pt;height:0pt;width:75.5pt;z-index:251663360;mso-width-relative:page;mso-height-relative:page;" filled="f" stroked="t" coordsize="21600,21600" o:gfxdata="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rAdRT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2211070</wp:posOffset>
                </wp:positionH>
                <wp:positionV relativeFrom="paragraph">
                  <wp:posOffset>147320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4.1pt;margin-top:11.6pt;height:0pt;width:75.5pt;z-index:251662336;mso-width-relative:page;mso-height-relative:page;" filled="f" stroked="t" coordsize="21600,21600" o:gfxdata="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wptk/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8209934"/>
      <w:bookmarkStart w:id="29" w:name="_Toc87616371"/>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4"/>
        <w:rPr>
          <w:rFonts w:hint="eastAsia"/>
          <w:color w:val="auto"/>
          <w:highlight w:val="none"/>
        </w:rPr>
      </w:pPr>
      <w:bookmarkStart w:id="32" w:name="_Toc3789"/>
      <w:bookmarkStart w:id="33" w:name="_Toc24895"/>
    </w:p>
    <w:p>
      <w:pPr>
        <w:rPr>
          <w:rFonts w:hint="eastAsia"/>
        </w:rPr>
      </w:pPr>
    </w:p>
    <w:p>
      <w:pPr>
        <w:pStyle w:val="4"/>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广州市白云区南岭龙岗北路20号广州市净水有限公司龙归分公司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7437"/>
      <w:bookmarkStart w:id="35" w:name="_Toc23581"/>
      <w:bookmarkStart w:id="36" w:name="_Toc14870"/>
      <w:bookmarkStart w:id="37" w:name="_Toc14552"/>
      <w:bookmarkStart w:id="38" w:name="_Toc10930"/>
      <w:bookmarkStart w:id="39" w:name="_Toc19050"/>
      <w:bookmarkStart w:id="40" w:name="_Toc19759"/>
      <w:bookmarkStart w:id="41" w:name="_Toc3156"/>
      <w:bookmarkStart w:id="42" w:name="_Toc7118"/>
      <w:bookmarkStart w:id="43" w:name="_Toc20594"/>
      <w:bookmarkStart w:id="44" w:name="_Toc49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2192020</wp:posOffset>
                </wp:positionH>
                <wp:positionV relativeFrom="paragraph">
                  <wp:posOffset>681990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2.6pt;margin-top:53.7pt;height:0pt;width:75.5pt;z-index:251665408;mso-width-relative:page;mso-height-relative:page;" filled="f" stroked="t" coordsize="21600,21600" o:gfxdata="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WFYZ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232410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1.85pt;margin-top:18.3pt;height:0pt;width:75.5pt;z-index:251664384;mso-width-relative:page;mso-height-relative:page;" filled="f" stroked="t" coordsize="21600,21600" o:gfxdata="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39FDt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13898"/>
      <w:bookmarkStart w:id="46" w:name="_Toc32607"/>
      <w:bookmarkStart w:id="47" w:name="_Toc22212"/>
      <w:bookmarkStart w:id="48" w:name="_Toc21840"/>
      <w:bookmarkStart w:id="49" w:name="_Toc6308"/>
      <w:bookmarkStart w:id="50" w:name="_Toc7831"/>
      <w:bookmarkStart w:id="51" w:name="_Toc29484"/>
      <w:bookmarkStart w:id="52" w:name="_Toc87616378"/>
      <w:bookmarkStart w:id="53" w:name="_Toc30530"/>
      <w:bookmarkStart w:id="54" w:name="_Toc29345"/>
      <w:bookmarkStart w:id="55" w:name="_Toc21079"/>
      <w:bookmarkStart w:id="56" w:name="_Toc12177"/>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2169160</wp:posOffset>
                </wp:positionH>
                <wp:positionV relativeFrom="paragraph">
                  <wp:posOffset>497840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0.8pt;margin-top:39.2pt;height:0pt;width:75.5pt;z-index:251677696;mso-width-relative:page;mso-height-relative:page;" filled="f" stroked="t" coordsize="21600,21600" o:gfxdata="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Efkjd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2195830</wp:posOffset>
                </wp:positionH>
                <wp:positionV relativeFrom="paragraph">
                  <wp:posOffset>79375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2.9pt;margin-top:6.25pt;height:0pt;width:75.5pt;z-index:251676672;mso-width-relative:page;mso-height-relative:page;" filled="f" stroked="t" coordsize="21600,21600" o:gfxdata="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2zvh7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pStyle w:val="21"/>
        <w:rPr>
          <w:rFonts w:ascii="仿宋_GB2312" w:eastAsia="仿宋_GB2312" w:hAnsiTheme="minorEastAsia"/>
          <w:color w:val="auto"/>
          <w:szCs w:val="21"/>
          <w:highlight w:val="none"/>
        </w:rPr>
      </w:pPr>
    </w:p>
    <w:p>
      <w:pPr>
        <w:pStyle w:val="11"/>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auto"/>
        <w:textAlignment w:val="auto"/>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
          <w:sz w:val="28"/>
          <w:szCs w:val="28"/>
          <w:lang w:val="en-US" w:eastAsia="zh-CN"/>
        </w:rPr>
        <w:t>根据《中华人民共和国固体废物污染环境防治法》的要求，产生、收集、贮存、运输 、利用、处置危险废物的单位，不得擅自倾倒、堆放、丢弃、遗撒危险废物。按照生态环境部发布《国家危险废物名录》（2021年版）最新标准，计划开展2022年危险废物处置服务。</w:t>
      </w:r>
    </w:p>
    <w:p>
      <w:pPr>
        <w:pStyle w:val="11"/>
        <w:keepNext w:val="0"/>
        <w:keepLines w:val="0"/>
        <w:pageBreakBefore w:val="0"/>
        <w:widowControl/>
        <w:numPr>
          <w:ilvl w:val="0"/>
          <w:numId w:val="4"/>
        </w:numPr>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color w:val="000000"/>
          <w:sz w:val="28"/>
          <w:szCs w:val="28"/>
          <w:lang w:val="zh-CN"/>
        </w:rPr>
        <w:t>项目技术要求</w:t>
      </w:r>
    </w:p>
    <w:p>
      <w:pPr>
        <w:pStyle w:val="12"/>
        <w:rPr>
          <w:rFonts w:hint="eastAsia" w:eastAsia="仿宋_GB2312"/>
          <w:lang w:val="en-US" w:eastAsia="zh-CN"/>
        </w:rPr>
      </w:pPr>
      <w:r>
        <w:rPr>
          <w:rFonts w:hint="eastAsia" w:ascii="仿宋_GB2312" w:hAnsi="仿宋_GB2312" w:eastAsia="仿宋_GB2312" w:cs="仿宋_GB2312"/>
          <w:b/>
          <w:bCs/>
          <w:sz w:val="28"/>
          <w:szCs w:val="28"/>
        </w:rPr>
        <w:t>危废处置要求</w:t>
      </w:r>
      <w:r>
        <w:rPr>
          <w:rFonts w:hint="eastAsia" w:ascii="仿宋_GB2312" w:hAnsi="仿宋_GB2312" w:eastAsia="仿宋_GB2312" w:cs="仿宋_GB2312"/>
          <w:b/>
          <w:bCs/>
          <w:sz w:val="28"/>
          <w:szCs w:val="28"/>
          <w:lang w:eastAsia="zh-CN"/>
        </w:rPr>
        <w:t>：</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1、报价人必须具备危险废物处置的核准经营范围和有效期内的《危险废物经营许可证》（废物代码为900-214-08、900-041-49、900-047-49等废物处置资质），同时提供废物运输服务。</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根据甲方提供的废物情况，报价人明白本合同的废物料的特点和性质、由废物或处理程序所导致或引起的健康、安全和环境危害，以及根据本合同订定的废物服务所需具备的专门技术、人员、设备、设施、许可证和执照。</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3、报价单位必须具有履行服务所必需的设备和专业技术能力。</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4、报价人负责废物的运输：</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（1）报价人需严格执行环保相关法律、法规提供相应的运输服务，运输单位具备危险品运输许可证，及危险废物运输的项目许可证。守法经营，安全处理处置废物。</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（2）运输的车辆必须车况良好，采取符合安全、环保标准的相关措施，适于运输本合同规定的废物，需要运输的废物中存在危险废物的，报价人提供服务的运输单位必须提供持危运证的车辆进行运输。</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报价人根据甲方的生产情况和废物的产生情况，双方议定运输时间，报价人在运输时间内自备运输车辆和装卸人员到甲方指定的地点收取废物，保证不积存，不影响甲方生产。在甲方的废物严重影响生产或其他特殊情况出现时，甲方可提前3个工作日通知报价人前来收取废物，报价人予以积极配合。</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（4）报价人运输车辆的司机与装卸员工，在甲方厂区内应文明作业，遵守甲方的安全卫生制度。</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（5）合同期内各分公司需免费运输以上废物3次</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5、报价人在废物无害化处理过程中，应该符合国家法律规定的环保和消防要求或标准，并接受甲方的监督和指导。</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6、报价人在废物无害化处理过程中，应该符合国家法律规定的环保和消防要求或标准，并接受甲方的监督和指导。</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7、报价人应依照《危险废物转移联单管理办法》及地方环保行政主管部门有关要求办理危险废物转移联单，做到依法依规转移危险废物，按照国家法律法规的要求进行废物处理处置。</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8、报价人在危废品在处理过程中，应该符合国家规定的环保和消防要求或标准，并接受相关部门的监督和指导。</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本项目执行标准：《中华人民共和国固体废物污染环境防治法》（2020年修订）、《危险废物贮存污染控制标准》（GB18597-2001）、《危险废物产生单位管理计划制定指南》（中华人民共和国环境保护部公告2016年第7号）、《危险废物经营许可证管理办法》、《危险废物转移联单管理办法》 、《危险废物焚烧污染控制标准》（GB18484）、《危险废物填埋污染控制标准》（GB18598）、《国家危险废物名录》（2021年版）。</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10、危废具体情况如下：</w:t>
      </w:r>
    </w:p>
    <w:tbl>
      <w:tblPr>
        <w:tblStyle w:val="22"/>
        <w:tblW w:w="4910"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6"/>
        <w:gridCol w:w="1172"/>
        <w:gridCol w:w="1172"/>
        <w:gridCol w:w="1172"/>
        <w:gridCol w:w="1416"/>
        <w:gridCol w:w="1173"/>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2" w:type="pct"/>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所属单位</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序号</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废物名称</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废物类别</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废物代码</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年预计量</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年预计量单位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2"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龙归分公司</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废机油</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HW08</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900-214-08</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0.8</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2"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实验室废液</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HW49</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900-047-49</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4</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2"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3</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废包装物</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HW49</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900-041-49</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0.1</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备注：合同期内需满足免费运输龙归分公司以上废物3次</w:t>
            </w:r>
          </w:p>
        </w:tc>
      </w:tr>
    </w:tbl>
    <w:p>
      <w:pPr>
        <w:pStyle w:val="21"/>
        <w:ind w:left="0" w:leftChars="0" w:firstLine="0" w:firstLineChars="0"/>
        <w:rPr>
          <w:rFonts w:hint="eastAsia" w:ascii="仿宋" w:hAnsi="仿宋" w:eastAsia="仿宋" w:cs="仿宋"/>
          <w:color w:val="auto"/>
          <w:sz w:val="28"/>
          <w:szCs w:val="28"/>
          <w:highlight w:val="none"/>
          <w:lang w:val="en-US" w:eastAsia="zh-CN"/>
        </w:rPr>
      </w:pPr>
    </w:p>
    <w:p>
      <w:pPr>
        <w:pStyle w:val="21"/>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三、项目商务要求</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1、服务期：自双方签订合同后为期一年。</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2、服务要求：报价人根据甲方的生产情况和废物的产生情况，在合同协定的服务标准和时间内对甲方的危险废物进行合法合规运输处置工作。</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3、付款方式：采用支票、网银支付两种形式。</w:t>
      </w:r>
    </w:p>
    <w:p>
      <w:pPr>
        <w:pStyle w:val="21"/>
        <w:rPr>
          <w:rFonts w:ascii="仿宋_GB2312" w:eastAsia="仿宋_GB2312"/>
          <w:color w:val="auto"/>
          <w:sz w:val="28"/>
          <w:szCs w:val="28"/>
          <w:highlight w:val="none"/>
        </w:rPr>
      </w:pPr>
      <w:r>
        <w:rPr>
          <w:rFonts w:hint="eastAsia" w:ascii="仿宋" w:hAnsi="仿宋" w:eastAsia="仿宋" w:cs="仿宋"/>
          <w:color w:val="auto"/>
          <w:sz w:val="28"/>
          <w:szCs w:val="28"/>
          <w:highlight w:val="none"/>
        </w:rPr>
        <w:t>4、承包方式：单价包干</w:t>
      </w:r>
    </w:p>
    <w:p>
      <w:pPr>
        <w:pStyle w:val="21"/>
        <w:rPr>
          <w:rFonts w:hint="eastAsia"/>
          <w:color w:val="auto"/>
          <w:highlight w:val="none"/>
        </w:rPr>
      </w:pPr>
      <w:bookmarkStart w:id="61" w:name="_Toc29835"/>
      <w:bookmarkStart w:id="62" w:name="_Toc15570"/>
      <w:bookmarkStart w:id="63" w:name="_Toc12135"/>
      <w:bookmarkStart w:id="64" w:name="_Toc4680"/>
      <w:bookmarkStart w:id="65" w:name="_Toc18538"/>
      <w:bookmarkStart w:id="66" w:name="_Toc537"/>
      <w:bookmarkStart w:id="67" w:name="_Toc1284"/>
      <w:bookmarkStart w:id="68" w:name="_Toc25925"/>
      <w:bookmarkStart w:id="69" w:name="_Toc23353"/>
      <w:bookmarkStart w:id="70" w:name="_Toc23330"/>
      <w:bookmarkStart w:id="71" w:name="_Toc1496"/>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1pt;margin-top:40.95pt;height:0pt;width:75.5pt;z-index:251667456;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spaVf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2201545</wp:posOffset>
                </wp:positionH>
                <wp:positionV relativeFrom="paragraph">
                  <wp:posOffset>60960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3.35pt;margin-top:4.8pt;height:0pt;width:75.5pt;z-index:251666432;mso-width-relative:page;mso-height-relative:page;" filled="f" stroked="t" coordsize="21600,21600" o:gfxdata="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nC1f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
      </w:pPr>
      <w:r>
        <w:rPr>
          <w:rFonts w:hint="eastAsia"/>
        </w:rPr>
        <w:t>合同</w:t>
      </w: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bookmarkStart w:id="72" w:name="_Toc8183"/>
      <w:bookmarkStart w:id="73" w:name="_Toc323"/>
      <w:bookmarkStart w:id="74" w:name="_Toc13309"/>
      <w:bookmarkStart w:id="75" w:name="_Toc1375"/>
      <w:bookmarkStart w:id="76" w:name="_Toc22501"/>
      <w:bookmarkStart w:id="77" w:name="_Toc88209949"/>
      <w:bookmarkStart w:id="78" w:name="_Toc19088"/>
      <w:bookmarkStart w:id="79" w:name="_Toc12980"/>
      <w:bookmarkStart w:id="80" w:name="_Toc19686"/>
      <w:bookmarkStart w:id="81" w:name="_Toc12968"/>
      <w:bookmarkStart w:id="82" w:name="_Toc12721"/>
      <w:bookmarkStart w:id="83" w:name="_Toc22797"/>
      <w:bookmarkStart w:id="84" w:name="_Toc87616386"/>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b/>
          <w:sz w:val="28"/>
        </w:rPr>
      </w:pPr>
      <w:r>
        <w:rPr>
          <w:rFonts w:hint="eastAsia" w:ascii="宋体" w:hAnsi="宋体" w:cs="Times New Roman"/>
          <w:b/>
          <w:color w:val="auto"/>
          <w:sz w:val="48"/>
          <w:szCs w:val="48"/>
          <w:lang w:val="en-US" w:eastAsia="zh-CN"/>
          <w14:shadow w14:blurRad="50800" w14:dist="38100" w14:dir="2700000" w14:sx="100000" w14:sy="100000" w14:kx="0" w14:ky="0" w14:algn="tl">
            <w14:srgbClr w14:val="000000">
              <w14:alpha w14:val="60000"/>
            </w14:srgbClr>
          </w14:shadow>
        </w:rPr>
        <w:t>龙归分公司2022年危险废物处置服务</w:t>
      </w:r>
    </w:p>
    <w:p>
      <w:pPr>
        <w:jc w:val="center"/>
        <w:rPr>
          <w:color w:val="auto"/>
          <w:sz w:val="30"/>
        </w:rPr>
      </w:pP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w:t>
      </w:r>
      <w:r>
        <w:rPr>
          <w:rFonts w:hint="eastAsia" w:ascii="宋体" w:hAnsi="宋体" w:cs="宋体"/>
          <w:b/>
          <w:bCs/>
          <w:color w:val="auto"/>
          <w:sz w:val="30"/>
          <w:szCs w:val="30"/>
          <w:lang w:val="en-US" w:eastAsia="zh-CN"/>
        </w:rPr>
        <w:t>2022</w:t>
      </w:r>
      <w:r>
        <w:rPr>
          <w:rFonts w:hint="eastAsia" w:ascii="宋体" w:hAnsi="宋体" w:cs="宋体"/>
          <w:b/>
          <w:bCs/>
          <w:color w:val="auto"/>
          <w:sz w:val="30"/>
          <w:szCs w:val="30"/>
        </w:rPr>
        <w:t>]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hint="eastAsia" w:ascii="宋体" w:hAnsi="宋体" w:cs="宋体"/>
          <w:b/>
          <w:bCs/>
          <w:color w:val="auto"/>
          <w:sz w:val="30"/>
        </w:rPr>
      </w:pPr>
      <w:r>
        <w:rPr>
          <w:rFonts w:hint="eastAsia" w:ascii="宋体" w:hAnsi="宋体" w:cs="宋体"/>
          <w:b/>
          <w:bCs/>
          <w:color w:val="auto"/>
          <w:sz w:val="30"/>
        </w:rPr>
        <w:t>签约地点：广州市</w:t>
      </w:r>
    </w:p>
    <w:p>
      <w:pPr>
        <w:pStyle w:val="21"/>
        <w:rPr>
          <w:rFonts w:hint="eastAsia" w:ascii="宋体" w:hAnsi="宋体" w:cs="宋体"/>
          <w:b/>
          <w:bCs/>
          <w:color w:val="auto"/>
          <w:sz w:val="30"/>
        </w:rPr>
      </w:pPr>
    </w:p>
    <w:p>
      <w:pPr>
        <w:jc w:val="both"/>
        <w:rPr>
          <w:b/>
          <w:bCs/>
          <w:color w:val="auto"/>
          <w:sz w:val="30"/>
        </w:rPr>
      </w:pPr>
    </w:p>
    <w:p>
      <w:pPr>
        <w:jc w:val="both"/>
        <w:rPr>
          <w:rFonts w:hint="eastAsia" w:ascii="宋体" w:hAnsi="宋体" w:cs="宋体"/>
          <w:b/>
          <w:bCs/>
          <w:color w:val="auto"/>
          <w:sz w:val="24"/>
          <w:szCs w:val="24"/>
          <w:lang w:val="zh-CN"/>
        </w:rPr>
      </w:pPr>
    </w:p>
    <w:p>
      <w:pPr>
        <w:rPr>
          <w:color w:val="auto"/>
        </w:rPr>
        <w:sectPr>
          <w:footerReference r:id="rId4" w:type="default"/>
          <w:headerReference r:id="rId3" w:type="even"/>
          <w:footerReference r:id="rId5" w:type="even"/>
          <w:pgSz w:w="11907" w:h="16840"/>
          <w:pgMar w:top="1440" w:right="1746" w:bottom="1440" w:left="1746" w:header="851" w:footer="992" w:gutter="0"/>
          <w:cols w:space="720" w:num="1"/>
          <w:docGrid w:type="linesAndChars" w:linePitch="381" w:charSpace="0"/>
        </w:sectPr>
      </w:pPr>
    </w:p>
    <w:bookmarkEnd w:id="72"/>
    <w:bookmarkEnd w:id="73"/>
    <w:bookmarkEnd w:id="74"/>
    <w:bookmarkEnd w:id="75"/>
    <w:bookmarkEnd w:id="76"/>
    <w:bookmarkEnd w:id="77"/>
    <w:bookmarkEnd w:id="78"/>
    <w:bookmarkEnd w:id="79"/>
    <w:bookmarkEnd w:id="80"/>
    <w:bookmarkEnd w:id="81"/>
    <w:bookmarkEnd w:id="82"/>
    <w:bookmarkEnd w:id="83"/>
    <w:bookmarkEnd w:id="84"/>
    <w:p>
      <w:pPr>
        <w:spacing w:line="300" w:lineRule="auto"/>
        <w:ind w:firstLine="480" w:firstLineChars="200"/>
        <w:rPr>
          <w:rFonts w:hAnsi="宋体" w:cs="宋体"/>
          <w:bCs/>
          <w:sz w:val="24"/>
        </w:rPr>
      </w:pPr>
      <w:r>
        <w:rPr>
          <w:rFonts w:hAnsi="宋体" w:cs="宋体"/>
          <w:bCs/>
          <w:sz w:val="24"/>
        </w:rPr>
        <w:t>为了</w:t>
      </w:r>
      <w:r>
        <w:rPr>
          <w:rFonts w:hint="eastAsia" w:hAnsi="宋体" w:cs="宋体"/>
          <w:bCs/>
          <w:sz w:val="24"/>
        </w:rPr>
        <w:t>更好</w:t>
      </w:r>
      <w:r>
        <w:rPr>
          <w:rFonts w:hAnsi="宋体" w:cs="宋体"/>
          <w:bCs/>
          <w:sz w:val="24"/>
        </w:rPr>
        <w:t>防治</w:t>
      </w:r>
      <w:r>
        <w:rPr>
          <w:rFonts w:hint="eastAsia" w:hAnsi="宋体" w:cs="宋体"/>
          <w:bCs/>
          <w:sz w:val="24"/>
        </w:rPr>
        <w:t>危险废物</w:t>
      </w:r>
      <w:r>
        <w:rPr>
          <w:rFonts w:hAnsi="宋体" w:cs="宋体"/>
          <w:bCs/>
          <w:sz w:val="24"/>
        </w:rPr>
        <w:t>污染环境，保障人体健康，维护生态安全，促进经济社会可持续发展</w:t>
      </w:r>
      <w:r>
        <w:rPr>
          <w:rFonts w:hint="eastAsia" w:hAnsi="宋体" w:cs="宋体"/>
          <w:bCs/>
          <w:sz w:val="24"/>
        </w:rPr>
        <w:t>，</w:t>
      </w:r>
      <w:r>
        <w:rPr>
          <w:rFonts w:hAnsi="宋体" w:cs="宋体"/>
          <w:bCs/>
          <w:sz w:val="24"/>
        </w:rPr>
        <w:t>根据《中华人民共和国固体废物污染环境防治法》及</w:t>
      </w:r>
      <w:r>
        <w:rPr>
          <w:rFonts w:hint="eastAsia" w:hAnsi="宋体" w:cs="宋体"/>
          <w:bCs/>
          <w:sz w:val="24"/>
        </w:rPr>
        <w:t>相关</w:t>
      </w:r>
      <w:r>
        <w:rPr>
          <w:rFonts w:hAnsi="宋体" w:cs="宋体"/>
          <w:bCs/>
          <w:sz w:val="24"/>
        </w:rPr>
        <w:t>法律、法规，</w:t>
      </w:r>
      <w:r>
        <w:rPr>
          <w:rFonts w:hint="eastAsia" w:hAnsi="宋体" w:cs="宋体"/>
          <w:bCs/>
          <w:sz w:val="24"/>
        </w:rPr>
        <w:t>乙方作为广东省危险废物处理处置的经营单位，受甲方委托，负责依法依规处理处置本合同约定的甲方生产过程中产生的废物。</w:t>
      </w:r>
    </w:p>
    <w:p>
      <w:pPr>
        <w:spacing w:line="300" w:lineRule="auto"/>
        <w:ind w:firstLine="480" w:firstLineChars="200"/>
        <w:rPr>
          <w:rFonts w:hAnsi="宋体" w:cs="宋体"/>
          <w:bCs/>
          <w:sz w:val="24"/>
        </w:rPr>
      </w:pPr>
      <w:r>
        <w:rPr>
          <w:rFonts w:hint="eastAsia" w:hAnsi="宋体" w:cs="宋体"/>
          <w:bCs/>
          <w:sz w:val="24"/>
        </w:rPr>
        <w:t>广州市净水有限公司</w:t>
      </w:r>
      <w:r>
        <w:rPr>
          <w:rFonts w:hint="eastAsia" w:hAnsi="宋体" w:cs="宋体"/>
          <w:bCs/>
          <w:sz w:val="24"/>
          <w:u w:val="single"/>
          <w:lang w:val="en-US" w:eastAsia="zh-CN"/>
        </w:rPr>
        <w:t>龙归</w:t>
      </w:r>
      <w:r>
        <w:rPr>
          <w:rFonts w:hint="eastAsia" w:hAnsi="宋体" w:cs="宋体"/>
          <w:bCs/>
          <w:sz w:val="24"/>
        </w:rPr>
        <w:t>分公司为广州市净水有限公司直接管理的非独立法人，在其经营过程中产生的废物以广州市净水有限公司名义签订相关废物处理合同，以广州市净水有限公司</w:t>
      </w:r>
      <w:r>
        <w:rPr>
          <w:rFonts w:hint="eastAsia" w:hAnsi="宋体" w:cs="宋体"/>
          <w:bCs/>
          <w:sz w:val="24"/>
          <w:u w:val="single"/>
          <w:lang w:val="en-US" w:eastAsia="zh-CN"/>
        </w:rPr>
        <w:t>龙归</w:t>
      </w:r>
      <w:r>
        <w:rPr>
          <w:rFonts w:hint="eastAsia" w:hAnsi="宋体" w:cs="宋体"/>
          <w:bCs/>
          <w:sz w:val="24"/>
        </w:rPr>
        <w:t>分公司在广东省固体废物环境监管信息平台备案转移相关废物，废物产生转移地点为</w:t>
      </w:r>
      <w:r>
        <w:rPr>
          <w:rFonts w:hint="eastAsia" w:hAnsi="宋体" w:cs="宋体"/>
          <w:bCs/>
          <w:sz w:val="24"/>
          <w:u w:val="single"/>
        </w:rPr>
        <w:t xml:space="preserve"> </w:t>
      </w:r>
      <w:r>
        <w:rPr>
          <w:rFonts w:hAnsi="宋体" w:cs="宋体"/>
          <w:bCs/>
          <w:sz w:val="24"/>
          <w:u w:val="single"/>
        </w:rPr>
        <w:t xml:space="preserve">              </w:t>
      </w:r>
      <w:r>
        <w:rPr>
          <w:rFonts w:hint="eastAsia" w:hAnsi="宋体" w:cs="宋体"/>
          <w:bCs/>
          <w:sz w:val="24"/>
        </w:rPr>
        <w:t>。</w:t>
      </w:r>
    </w:p>
    <w:p>
      <w:pPr>
        <w:spacing w:before="72" w:beforeLines="30" w:line="384" w:lineRule="auto"/>
        <w:ind w:left="210" w:leftChars="100" w:firstLine="600" w:firstLineChars="250"/>
        <w:rPr>
          <w:rFonts w:hAnsi="宋体" w:cs="宋体"/>
          <w:bCs/>
          <w:sz w:val="24"/>
        </w:rPr>
      </w:pPr>
      <w:r>
        <w:rPr>
          <w:rFonts w:hint="eastAsia" w:hAnsi="宋体" w:cs="宋体"/>
          <w:bCs/>
          <w:sz w:val="24"/>
        </w:rPr>
        <w:t>本着符合环境保护的要求，平等互利的原则，为确保双方合法利益，维护正常合作，经双方友好协商，特订立本合同。</w:t>
      </w:r>
    </w:p>
    <w:p>
      <w:pPr>
        <w:spacing w:before="72"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（1）</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（2）本合同书；</w:t>
      </w:r>
    </w:p>
    <w:p>
      <w:pPr>
        <w:spacing w:line="384" w:lineRule="auto"/>
        <w:ind w:firstLine="482"/>
        <w:rPr>
          <w:rFonts w:ascii="宋体" w:hAnsi="宋体" w:cs="宋体"/>
          <w:bCs/>
          <w:sz w:val="24"/>
        </w:rPr>
      </w:pPr>
      <w:r>
        <w:rPr>
          <w:rFonts w:hint="eastAsia" w:ascii="宋体" w:hAnsi="宋体" w:cs="宋体"/>
          <w:bCs/>
          <w:sz w:val="24"/>
        </w:rPr>
        <w:t>（3）发包通知书；</w:t>
      </w:r>
    </w:p>
    <w:p>
      <w:pPr>
        <w:spacing w:line="384" w:lineRule="auto"/>
        <w:ind w:firstLine="482"/>
        <w:rPr>
          <w:rFonts w:ascii="宋体" w:hAnsi="宋体" w:cs="宋体"/>
          <w:bCs/>
          <w:sz w:val="24"/>
        </w:rPr>
      </w:pPr>
      <w:r>
        <w:rPr>
          <w:rFonts w:hint="eastAsia" w:ascii="宋体" w:hAnsi="宋体" w:cs="宋体"/>
          <w:bCs/>
          <w:sz w:val="24"/>
        </w:rPr>
        <w:t>（4）询价文件；</w:t>
      </w:r>
    </w:p>
    <w:p>
      <w:pPr>
        <w:spacing w:line="384" w:lineRule="auto"/>
        <w:ind w:firstLine="482"/>
        <w:rPr>
          <w:rFonts w:ascii="宋体" w:hAnsi="宋体" w:cs="宋体"/>
          <w:bCs/>
          <w:sz w:val="24"/>
        </w:rPr>
      </w:pPr>
      <w:r>
        <w:rPr>
          <w:rFonts w:hint="eastAsia" w:ascii="宋体" w:hAnsi="宋体" w:cs="宋体"/>
          <w:bCs/>
          <w:sz w:val="24"/>
        </w:rPr>
        <w:t>（5）响应文件；</w:t>
      </w:r>
    </w:p>
    <w:p>
      <w:pPr>
        <w:spacing w:line="384" w:lineRule="auto"/>
        <w:ind w:firstLine="482"/>
        <w:rPr>
          <w:rFonts w:ascii="宋体" w:hAnsi="宋体" w:cs="宋体"/>
          <w:bCs/>
          <w:sz w:val="24"/>
        </w:rPr>
      </w:pPr>
      <w:r>
        <w:rPr>
          <w:rFonts w:hint="eastAsia" w:ascii="宋体" w:hAnsi="宋体" w:cs="宋体"/>
          <w:bCs/>
          <w:sz w:val="24"/>
        </w:rPr>
        <w:t>（6）标准、规范及有关技术性文件；</w:t>
      </w:r>
    </w:p>
    <w:p>
      <w:pPr>
        <w:spacing w:line="384" w:lineRule="auto"/>
        <w:ind w:firstLine="482"/>
        <w:rPr>
          <w:rFonts w:ascii="宋体" w:hAnsi="宋体" w:cs="宋体"/>
          <w:bCs/>
          <w:sz w:val="24"/>
        </w:rPr>
      </w:pPr>
      <w:r>
        <w:rPr>
          <w:rFonts w:hint="eastAsia" w:ascii="宋体" w:hAnsi="宋体" w:cs="宋体"/>
          <w:bCs/>
          <w:sz w:val="24"/>
        </w:rPr>
        <w:t>（7）工程量清单/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（8）本合同其他附件；</w:t>
      </w:r>
    </w:p>
    <w:p>
      <w:pPr>
        <w:spacing w:line="384" w:lineRule="auto"/>
        <w:ind w:firstLine="482"/>
        <w:rPr>
          <w:rFonts w:ascii="宋体" w:hAnsi="宋体" w:cs="宋体"/>
          <w:b/>
          <w:bCs/>
          <w:sz w:val="24"/>
        </w:rPr>
      </w:pPr>
      <w:r>
        <w:rPr>
          <w:rFonts w:hint="eastAsia" w:ascii="宋体" w:hAnsi="宋体" w:cs="宋体"/>
          <w:b/>
          <w:bCs/>
          <w:sz w:val="24"/>
        </w:rPr>
        <w:t>第二条 服务内容及义务</w:t>
      </w:r>
    </w:p>
    <w:p>
      <w:pPr>
        <w:spacing w:line="384" w:lineRule="auto"/>
        <w:ind w:firstLine="480" w:firstLineChars="200"/>
        <w:rPr>
          <w:rFonts w:ascii="宋体" w:hAnsi="宋体" w:cs="宋体"/>
          <w:sz w:val="24"/>
        </w:rPr>
      </w:pPr>
      <w:r>
        <w:rPr>
          <w:rFonts w:hint="eastAsia" w:ascii="宋体" w:hAnsi="宋体" w:cs="宋体"/>
          <w:sz w:val="24"/>
        </w:rPr>
        <w:t>2.1服务内容</w:t>
      </w:r>
    </w:p>
    <w:p>
      <w:pPr>
        <w:spacing w:line="384" w:lineRule="auto"/>
        <w:ind w:firstLine="480" w:firstLineChars="200"/>
        <w:rPr>
          <w:rFonts w:hint="default" w:ascii="仿宋_GB2312" w:hAnsi="仿宋_GB2312" w:eastAsia="仿宋_GB2312" w:cs="仿宋_GB2312"/>
          <w:b/>
          <w:bCs/>
          <w:color w:val="000000"/>
          <w:sz w:val="24"/>
          <w:u w:val="single"/>
          <w:lang w:val="en-US" w:eastAsia="zh-CN"/>
        </w:rPr>
      </w:pPr>
      <w:r>
        <w:rPr>
          <w:rFonts w:hint="eastAsia" w:ascii="宋体" w:hAnsi="宋体" w:cs="宋体"/>
          <w:sz w:val="24"/>
        </w:rPr>
        <w:t>2.1.1服务名称：</w:t>
      </w:r>
      <w:r>
        <w:rPr>
          <w:rFonts w:hint="eastAsia" w:ascii="宋体" w:hAnsi="宋体" w:eastAsia="宋体" w:cs="宋体"/>
          <w:b w:val="0"/>
          <w:bCs w:val="0"/>
          <w:color w:val="000000"/>
          <w:sz w:val="24"/>
          <w:szCs w:val="24"/>
          <w:lang w:val="en-US" w:eastAsia="zh-CN"/>
        </w:rPr>
        <w:t>广州市净水有限公司龙归分公司2022年危险废物处置服务</w:t>
      </w:r>
    </w:p>
    <w:p>
      <w:pPr>
        <w:spacing w:line="384" w:lineRule="auto"/>
        <w:ind w:firstLine="480" w:firstLineChars="200"/>
        <w:rPr>
          <w:rFonts w:hint="default" w:ascii="宋体" w:hAnsi="宋体" w:eastAsia="宋体" w:cs="宋体"/>
          <w:sz w:val="24"/>
          <w:u w:val="single"/>
          <w:lang w:val="en-US" w:eastAsia="zh-CN"/>
        </w:rPr>
      </w:pPr>
      <w:r>
        <w:rPr>
          <w:rFonts w:hint="eastAsia" w:ascii="宋体" w:hAnsi="宋体" w:cs="宋体"/>
          <w:sz w:val="24"/>
        </w:rPr>
        <w:t>2.1.2产废地址：</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w:t>
      </w:r>
      <w:r>
        <w:rPr>
          <w:rFonts w:ascii="宋体" w:hAnsi="宋体" w:cs="宋体"/>
          <w:sz w:val="24"/>
        </w:rPr>
        <w:t>.1.3</w:t>
      </w:r>
      <w:r>
        <w:rPr>
          <w:rFonts w:hint="eastAsia" w:ascii="宋体" w:hAnsi="宋体" w:cs="宋体"/>
          <w:sz w:val="24"/>
        </w:rPr>
        <w:t>处置设施地址：</w:t>
      </w:r>
      <w:r>
        <w:rPr>
          <w:rFonts w:hint="eastAsia" w:ascii="宋体" w:hAnsi="宋体" w:cs="宋体"/>
          <w:sz w:val="24"/>
          <w:u w:val="single"/>
        </w:rPr>
        <w:t xml:space="preserve"> </w:t>
      </w:r>
      <w:r>
        <w:rPr>
          <w:rFonts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2.1.</w:t>
      </w:r>
      <w:r>
        <w:rPr>
          <w:rFonts w:ascii="宋体" w:hAnsi="宋体" w:cs="宋体"/>
          <w:sz w:val="24"/>
        </w:rPr>
        <w:t>4</w:t>
      </w:r>
      <w:r>
        <w:rPr>
          <w:rFonts w:hint="eastAsia" w:ascii="宋体" w:hAnsi="宋体" w:cs="宋体"/>
          <w:sz w:val="24"/>
        </w:rPr>
        <w:t>服务内容：</w:t>
      </w:r>
      <w:r>
        <w:rPr>
          <w:rFonts w:hint="eastAsia" w:ascii="宋体" w:hAnsi="宋体" w:cs="宋体"/>
          <w:sz w:val="24"/>
          <w:u w:val="single"/>
        </w:rPr>
        <w:t xml:space="preserve">  收集、运输、处理、处置广州净水有限公司</w:t>
      </w:r>
      <w:r>
        <w:rPr>
          <w:rFonts w:hint="eastAsia" w:ascii="宋体" w:hAnsi="宋体" w:cs="宋体"/>
          <w:sz w:val="24"/>
          <w:u w:val="single"/>
          <w:lang w:val="en-US" w:eastAsia="zh-CN"/>
        </w:rPr>
        <w:t>龙归</w:t>
      </w:r>
      <w:r>
        <w:rPr>
          <w:rFonts w:hint="eastAsia" w:ascii="宋体" w:hAnsi="宋体" w:cs="宋体"/>
          <w:sz w:val="24"/>
          <w:u w:val="single"/>
        </w:rPr>
        <w:t>分公司在合同</w:t>
      </w:r>
      <w:r>
        <w:rPr>
          <w:rFonts w:hint="eastAsia" w:ascii="宋体" w:hAnsi="宋体" w:cs="宋体"/>
          <w:sz w:val="24"/>
          <w:u w:val="single"/>
          <w:lang w:val="en-US" w:eastAsia="zh-CN"/>
        </w:rPr>
        <w:t>服务</w:t>
      </w:r>
      <w:r>
        <w:rPr>
          <w:rFonts w:hint="eastAsia" w:ascii="宋体" w:hAnsi="宋体" w:cs="宋体"/>
          <w:sz w:val="24"/>
          <w:u w:val="single"/>
        </w:rPr>
        <w:t>期内生产过程中产生的危险废物；为广州市净水有限公司</w:t>
      </w:r>
      <w:r>
        <w:rPr>
          <w:rFonts w:hint="eastAsia" w:ascii="宋体" w:hAnsi="宋体" w:cs="宋体"/>
          <w:sz w:val="24"/>
          <w:u w:val="single"/>
          <w:lang w:val="en-US" w:eastAsia="zh-CN"/>
        </w:rPr>
        <w:t>龙归</w:t>
      </w:r>
      <w:r>
        <w:rPr>
          <w:rFonts w:hint="eastAsia" w:ascii="宋体" w:hAnsi="宋体" w:cs="宋体"/>
          <w:sz w:val="24"/>
          <w:u w:val="single"/>
        </w:rPr>
        <w:t>分公司危险废物的污染治理提供咨询服务及技术指导；指导广州市净水有限公司</w:t>
      </w:r>
      <w:r>
        <w:rPr>
          <w:rFonts w:hint="eastAsia" w:ascii="宋体" w:hAnsi="宋体" w:cs="宋体"/>
          <w:sz w:val="24"/>
          <w:u w:val="single"/>
          <w:lang w:val="en-US" w:eastAsia="zh-CN"/>
        </w:rPr>
        <w:t>龙归</w:t>
      </w:r>
      <w:r>
        <w:rPr>
          <w:rFonts w:hint="eastAsia" w:ascii="宋体" w:hAnsi="宋体" w:cs="宋体"/>
          <w:sz w:val="24"/>
          <w:u w:val="single"/>
        </w:rPr>
        <w:t>分公司危险废物的识别、分类、收集、贮存及规范化管理；为广州市净水有限公司</w:t>
      </w:r>
      <w:r>
        <w:rPr>
          <w:rFonts w:hint="eastAsia" w:ascii="宋体" w:hAnsi="宋体" w:cs="宋体"/>
          <w:sz w:val="24"/>
          <w:u w:val="single"/>
          <w:lang w:val="en-US" w:eastAsia="zh-CN"/>
        </w:rPr>
        <w:t>龙归</w:t>
      </w:r>
      <w:r>
        <w:rPr>
          <w:rFonts w:hint="eastAsia" w:ascii="宋体" w:hAnsi="宋体" w:cs="宋体"/>
          <w:sz w:val="24"/>
          <w:u w:val="single"/>
        </w:rPr>
        <w:t>分公司设计危险废物有关的生产工艺的改造提供技术指导。</w:t>
      </w:r>
    </w:p>
    <w:p>
      <w:pPr>
        <w:spacing w:line="384" w:lineRule="auto"/>
        <w:ind w:firstLine="480" w:firstLineChars="200"/>
        <w:rPr>
          <w:rFonts w:ascii="宋体" w:hAnsi="宋体" w:cs="宋体"/>
          <w:sz w:val="24"/>
        </w:rPr>
      </w:pPr>
      <w:r>
        <w:rPr>
          <w:rFonts w:hint="eastAsia" w:ascii="宋体" w:hAnsi="宋体" w:cs="宋体"/>
          <w:sz w:val="24"/>
        </w:rPr>
        <w:t>2.1.4项目承包范围：危废品种类（如需可附表）</w:t>
      </w:r>
    </w:p>
    <w:p>
      <w:pPr>
        <w:spacing w:line="384" w:lineRule="auto"/>
        <w:ind w:firstLine="480" w:firstLineChars="200"/>
        <w:rPr>
          <w:rFonts w:ascii="宋体" w:hAnsi="宋体" w:cs="宋体"/>
          <w:sz w:val="24"/>
        </w:rPr>
      </w:pPr>
    </w:p>
    <w:tbl>
      <w:tblPr>
        <w:tblStyle w:val="22"/>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393"/>
        <w:gridCol w:w="910"/>
        <w:gridCol w:w="1117"/>
        <w:gridCol w:w="866"/>
        <w:gridCol w:w="567"/>
        <w:gridCol w:w="871"/>
        <w:gridCol w:w="857"/>
        <w:gridCol w:w="1233"/>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922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22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仿宋" w:hAnsi="仿宋" w:eastAsia="仿宋" w:cs="仿宋"/>
                <w:sz w:val="24"/>
                <w:szCs w:val="24"/>
              </w:rPr>
            </w:pPr>
            <w:r>
              <w:rPr>
                <w:rFonts w:hint="eastAsia" w:ascii="仿宋" w:hAnsi="仿宋" w:eastAsia="仿宋" w:cs="仿宋"/>
                <w:sz w:val="24"/>
              </w:rPr>
              <w:t>产废单位（甲方）：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9" w:hRule="atLeast"/>
          <w:jc w:val="center"/>
        </w:trPr>
        <w:tc>
          <w:tcPr>
            <w:tcW w:w="922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0"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9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仿宋" w:hAnsi="仿宋" w:eastAsia="仿宋"/>
                <w:sz w:val="24"/>
                <w:highlight w:val="yellow"/>
              </w:rPr>
            </w:pPr>
            <w:r>
              <w:rPr>
                <w:rFonts w:ascii="仿宋" w:hAnsi="仿宋" w:eastAsia="仿宋"/>
                <w:sz w:val="24"/>
              </w:rPr>
              <w:t>HW08</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仿宋" w:hAnsi="仿宋" w:eastAsia="仿宋"/>
                <w:sz w:val="24"/>
                <w:highlight w:val="yellow"/>
                <w:lang w:val="en-US" w:eastAsia="zh-CN"/>
              </w:rPr>
            </w:pPr>
            <w:r>
              <w:rPr>
                <w:rFonts w:hint="eastAsia" w:ascii="仿宋" w:hAnsi="仿宋" w:eastAsia="仿宋"/>
                <w:sz w:val="24"/>
                <w:highlight w:val="none"/>
                <w:lang w:val="en-US" w:eastAsia="zh-CN"/>
              </w:rPr>
              <w:t>900-214-08</w:t>
            </w:r>
          </w:p>
        </w:tc>
        <w:tc>
          <w:tcPr>
            <w:tcW w:w="8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废酸、废碱</w:t>
            </w:r>
          </w:p>
        </w:tc>
        <w:tc>
          <w:tcPr>
            <w:tcW w:w="9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900-047-49</w:t>
            </w:r>
          </w:p>
        </w:tc>
        <w:tc>
          <w:tcPr>
            <w:tcW w:w="8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9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900-041-49</w:t>
            </w:r>
          </w:p>
        </w:tc>
        <w:tc>
          <w:tcPr>
            <w:tcW w:w="8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tc>
        <w:tc>
          <w:tcPr>
            <w:tcW w:w="1393" w:type="dxa"/>
            <w:tcBorders>
              <w:top w:val="single" w:color="auto" w:sz="4" w:space="0"/>
              <w:left w:val="single" w:color="auto" w:sz="4" w:space="0"/>
              <w:bottom w:val="single" w:color="auto" w:sz="4" w:space="0"/>
              <w:right w:val="single" w:color="auto" w:sz="4" w:space="0"/>
            </w:tcBorders>
            <w:noWrap w:val="0"/>
            <w:vAlign w:val="center"/>
          </w:tcPr>
          <w:p/>
        </w:tc>
        <w:tc>
          <w:tcPr>
            <w:tcW w:w="910" w:type="dxa"/>
            <w:tcBorders>
              <w:top w:val="single" w:color="auto" w:sz="4" w:space="0"/>
              <w:left w:val="single" w:color="auto" w:sz="4" w:space="0"/>
              <w:bottom w:val="single" w:color="auto" w:sz="4" w:space="0"/>
              <w:right w:val="single" w:color="auto" w:sz="4" w:space="0"/>
            </w:tcBorders>
            <w:noWrap w:val="0"/>
            <w:vAlign w:val="center"/>
          </w:tcPr>
          <w:p/>
        </w:tc>
        <w:tc>
          <w:tcPr>
            <w:tcW w:w="1117" w:type="dxa"/>
            <w:tcBorders>
              <w:top w:val="single" w:color="auto" w:sz="4" w:space="0"/>
              <w:left w:val="single" w:color="auto" w:sz="4" w:space="0"/>
              <w:bottom w:val="single" w:color="auto" w:sz="4" w:space="0"/>
              <w:right w:val="single" w:color="auto" w:sz="4" w:space="0"/>
            </w:tcBorders>
            <w:noWrap w:val="0"/>
            <w:vAlign w:val="center"/>
          </w:tcPr>
          <w:p/>
        </w:tc>
        <w:tc>
          <w:tcPr>
            <w:tcW w:w="866" w:type="dxa"/>
            <w:tcBorders>
              <w:top w:val="single" w:color="auto" w:sz="4" w:space="0"/>
              <w:left w:val="single" w:color="auto" w:sz="4" w:space="0"/>
              <w:bottom w:val="single" w:color="auto" w:sz="4" w:space="0"/>
              <w:right w:val="single" w:color="auto" w:sz="4" w:space="0"/>
            </w:tcBorders>
            <w:noWrap w:val="0"/>
            <w:vAlign w:val="center"/>
          </w:tcPr>
          <w:p/>
        </w:tc>
        <w:tc>
          <w:tcPr>
            <w:tcW w:w="567" w:type="dxa"/>
            <w:tcBorders>
              <w:top w:val="single" w:color="auto" w:sz="4" w:space="0"/>
              <w:left w:val="single" w:color="auto" w:sz="4" w:space="0"/>
              <w:bottom w:val="single" w:color="auto" w:sz="4" w:space="0"/>
              <w:right w:val="single" w:color="auto" w:sz="4" w:space="0"/>
            </w:tcBorders>
            <w:noWrap w:val="0"/>
            <w:vAlign w:val="center"/>
          </w:tcPr>
          <w:p/>
        </w:tc>
        <w:tc>
          <w:tcPr>
            <w:tcW w:w="871" w:type="dxa"/>
            <w:tcBorders>
              <w:top w:val="single" w:color="auto" w:sz="4" w:space="0"/>
              <w:left w:val="single" w:color="auto" w:sz="4" w:space="0"/>
              <w:bottom w:val="single" w:color="auto" w:sz="4" w:space="0"/>
              <w:right w:val="single" w:color="auto" w:sz="4" w:space="0"/>
            </w:tcBorders>
            <w:noWrap w:val="0"/>
            <w:vAlign w:val="center"/>
          </w:tcPr>
          <w:p/>
        </w:tc>
        <w:tc>
          <w:tcPr>
            <w:tcW w:w="857" w:type="dxa"/>
            <w:tcBorders>
              <w:top w:val="single" w:color="auto" w:sz="4" w:space="0"/>
              <w:left w:val="single" w:color="auto" w:sz="4" w:space="0"/>
              <w:bottom w:val="single" w:color="auto" w:sz="4" w:space="0"/>
              <w:right w:val="single" w:color="auto" w:sz="4" w:space="0"/>
            </w:tcBorders>
            <w:noWrap w:val="0"/>
            <w:vAlign w:val="center"/>
          </w:tcPr>
          <w:p/>
        </w:tc>
        <w:tc>
          <w:tcPr>
            <w:tcW w:w="1233" w:type="dxa"/>
            <w:tcBorders>
              <w:top w:val="single" w:color="auto" w:sz="4" w:space="0"/>
              <w:left w:val="single" w:color="auto" w:sz="4" w:space="0"/>
              <w:bottom w:val="single" w:color="auto" w:sz="4" w:space="0"/>
              <w:right w:val="single" w:color="auto" w:sz="4" w:space="0"/>
            </w:tcBorders>
            <w:noWrap w:val="0"/>
            <w:vAlign w:val="center"/>
          </w:tcPr>
          <w:p/>
        </w:tc>
        <w:tc>
          <w:tcPr>
            <w:tcW w:w="931"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6"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8745"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ascii="仿宋" w:hAnsi="仿宋" w:eastAsia="仿宋"/>
                <w:sz w:val="24"/>
              </w:rPr>
            </w:pPr>
            <w:r>
              <w:rPr>
                <w:rFonts w:hint="eastAsia" w:ascii="仿宋" w:hAnsi="仿宋" w:eastAsia="仿宋" w:cs="仿宋"/>
                <w:sz w:val="24"/>
                <w:lang w:val="en-US" w:eastAsia="zh-CN"/>
              </w:rPr>
              <w:t>1.</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spacing w:line="300" w:lineRule="auto"/>
              <w:jc w:val="left"/>
              <w:rPr>
                <w:rFonts w:ascii="仿宋" w:hAnsi="仿宋" w:eastAsia="仿宋"/>
                <w:sz w:val="24"/>
              </w:rPr>
            </w:pPr>
            <w:r>
              <w:rPr>
                <w:rFonts w:hint="eastAsia" w:ascii="仿宋" w:hAnsi="仿宋" w:eastAsia="仿宋" w:cs="仿宋"/>
                <w:sz w:val="24"/>
                <w:lang w:val="en-US" w:eastAsia="zh-CN"/>
              </w:rPr>
              <w:t>2</w:t>
            </w:r>
            <w:r>
              <w:rPr>
                <w:rFonts w:ascii="仿宋" w:hAnsi="仿宋" w:eastAsia="仿宋" w:cs="仿宋"/>
                <w:sz w:val="24"/>
              </w:rPr>
              <w:t>.</w:t>
            </w:r>
            <w:r>
              <w:rPr>
                <w:rFonts w:hint="eastAsia" w:ascii="仿宋" w:hAnsi="仿宋" w:eastAsia="仿宋" w:cs="仿宋"/>
                <w:sz w:val="24"/>
              </w:rPr>
              <w:t>以上报价含税，合同</w:t>
            </w:r>
            <w:r>
              <w:rPr>
                <w:rFonts w:hint="eastAsia" w:ascii="仿宋" w:hAnsi="仿宋" w:eastAsia="仿宋" w:cs="仿宋"/>
                <w:sz w:val="24"/>
                <w:lang w:val="en-US" w:eastAsia="zh-CN"/>
              </w:rPr>
              <w:t>服务</w:t>
            </w:r>
            <w:r>
              <w:rPr>
                <w:rFonts w:hint="eastAsia" w:ascii="仿宋" w:hAnsi="仿宋" w:eastAsia="仿宋" w:cs="仿宋"/>
                <w:sz w:val="24"/>
              </w:rPr>
              <w:t>期内乙方免费运输以上废物</w:t>
            </w:r>
            <w:r>
              <w:rPr>
                <w:rFonts w:hint="eastAsia" w:ascii="仿宋" w:hAnsi="仿宋" w:eastAsia="仿宋" w:cs="仿宋"/>
                <w:sz w:val="24"/>
                <w:u w:val="single"/>
              </w:rPr>
              <w:t>【3】</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pStyle w:val="2"/>
      </w:pPr>
    </w:p>
    <w:p>
      <w:pPr>
        <w:spacing w:line="384" w:lineRule="auto"/>
        <w:ind w:firstLine="480" w:firstLineChars="200"/>
        <w:rPr>
          <w:rFonts w:ascii="宋体" w:hAnsi="宋体" w:cs="宋体"/>
          <w:sz w:val="24"/>
        </w:rPr>
      </w:pPr>
      <w:r>
        <w:rPr>
          <w:rFonts w:hint="eastAsia" w:ascii="宋体" w:hAnsi="宋体" w:cs="宋体"/>
          <w:sz w:val="24"/>
        </w:rPr>
        <w:t>2.2 双方义务</w:t>
      </w:r>
    </w:p>
    <w:p>
      <w:pPr>
        <w:spacing w:line="384" w:lineRule="auto"/>
        <w:ind w:firstLine="480" w:firstLineChars="200"/>
        <w:rPr>
          <w:rFonts w:ascii="宋体" w:hAnsi="宋体" w:cs="宋体"/>
          <w:sz w:val="24"/>
        </w:rPr>
      </w:pPr>
      <w:r>
        <w:rPr>
          <w:rFonts w:hint="eastAsia" w:ascii="宋体" w:hAnsi="宋体" w:cs="宋体"/>
          <w:sz w:val="24"/>
        </w:rPr>
        <w:t>2.2.1 甲方义务</w:t>
      </w:r>
    </w:p>
    <w:p>
      <w:pPr>
        <w:spacing w:line="384" w:lineRule="auto"/>
        <w:ind w:firstLine="480" w:firstLineChars="200"/>
        <w:rPr>
          <w:rFonts w:ascii="宋体" w:hAnsi="宋体" w:cs="宋体"/>
          <w:sz w:val="24"/>
        </w:rPr>
      </w:pPr>
      <w:r>
        <w:rPr>
          <w:rFonts w:hint="eastAsia" w:ascii="宋体" w:hAnsi="宋体" w:cs="宋体"/>
          <w:sz w:val="24"/>
        </w:rPr>
        <w:t>（一）甲方将本合同约定的生产经营过程中产生的危险废物连同包装物全部交予乙方处理处置，若合同期内甲方擅自将本合同约定的危险废物连同包装物自行处理处置或者交由第三方处理处置，由此而产生的全部费用及法律责任均由甲方自行承担。</w:t>
      </w:r>
    </w:p>
    <w:p>
      <w:pPr>
        <w:spacing w:line="384" w:lineRule="auto"/>
        <w:ind w:firstLine="480" w:firstLineChars="200"/>
        <w:rPr>
          <w:rFonts w:ascii="宋体" w:hAnsi="宋体" w:cs="宋体"/>
          <w:sz w:val="24"/>
        </w:rPr>
      </w:pPr>
      <w:r>
        <w:rPr>
          <w:rFonts w:hint="eastAsia" w:ascii="宋体" w:hAnsi="宋体" w:cs="宋体"/>
          <w:sz w:val="24"/>
        </w:rPr>
        <w:t>（二）甲方须完整填写《危险废物调查表》，如实告知乙方废物相关特性及安全注意事项。</w:t>
      </w:r>
    </w:p>
    <w:p>
      <w:pPr>
        <w:spacing w:line="384" w:lineRule="auto"/>
        <w:ind w:firstLine="480" w:firstLineChars="200"/>
        <w:rPr>
          <w:rFonts w:ascii="宋体" w:hAnsi="宋体" w:cs="宋体"/>
          <w:sz w:val="24"/>
        </w:rPr>
      </w:pPr>
      <w:r>
        <w:rPr>
          <w:rFonts w:hint="eastAsia" w:ascii="宋体" w:hAnsi="宋体" w:cs="宋体"/>
          <w:sz w:val="24"/>
        </w:rPr>
        <w:t>（三）甲方应按地方环保行政主管部门的危险废物转移相关要求，注册并如实填写《广东省固体废物环境监管信息平台》的各项内容，在合同</w:t>
      </w:r>
      <w:r>
        <w:rPr>
          <w:rFonts w:hint="eastAsia" w:ascii="宋体" w:hAnsi="宋体" w:cs="宋体"/>
          <w:sz w:val="24"/>
          <w:lang w:val="en-US" w:eastAsia="zh-CN"/>
        </w:rPr>
        <w:t>服务</w:t>
      </w:r>
      <w:r>
        <w:rPr>
          <w:rFonts w:hint="eastAsia" w:ascii="宋体" w:hAnsi="宋体" w:cs="宋体"/>
          <w:sz w:val="24"/>
        </w:rPr>
        <w:t>期间内完成信息平台的危险废物管理计划年度备案，如甲方未能及时完成废物转移备案手续工作而导致合同期内未能成功转移废物，该责任由甲方独自承担，乙方不予退还甲方已支付的处置费用。</w:t>
      </w:r>
    </w:p>
    <w:p>
      <w:pPr>
        <w:spacing w:line="384" w:lineRule="auto"/>
        <w:ind w:firstLine="480" w:firstLineChars="200"/>
        <w:rPr>
          <w:rFonts w:ascii="宋体" w:hAnsi="宋体" w:cs="宋体"/>
          <w:sz w:val="24"/>
        </w:rPr>
      </w:pPr>
      <w:r>
        <w:rPr>
          <w:rFonts w:hint="eastAsia" w:ascii="宋体" w:hAnsi="宋体" w:cs="宋体"/>
          <w:sz w:val="24"/>
        </w:rPr>
        <w:t>（四）甲方应将各类危险废物分开存放，规范做好标记标识，保证包装完好或者封盖严密，不混入其他杂物，以保障乙方处理处置方便及操作安全。</w:t>
      </w:r>
    </w:p>
    <w:p>
      <w:pPr>
        <w:spacing w:line="384" w:lineRule="auto"/>
        <w:ind w:firstLine="480" w:firstLineChars="200"/>
        <w:rPr>
          <w:rFonts w:ascii="宋体" w:hAnsi="宋体" w:cs="宋体"/>
          <w:sz w:val="24"/>
        </w:rPr>
      </w:pPr>
      <w:r>
        <w:rPr>
          <w:rFonts w:hint="eastAsia" w:ascii="宋体" w:hAnsi="宋体" w:cs="宋体"/>
          <w:sz w:val="24"/>
        </w:rPr>
        <w:t>（五）甲方承诺并保证提供给乙方的危险废物不出现下列异常情况：</w:t>
      </w:r>
    </w:p>
    <w:p>
      <w:pPr>
        <w:spacing w:line="384" w:lineRule="auto"/>
        <w:ind w:firstLine="480" w:firstLineChars="200"/>
        <w:rPr>
          <w:rFonts w:ascii="宋体" w:hAnsi="宋体" w:cs="宋体"/>
          <w:sz w:val="24"/>
        </w:rPr>
      </w:pPr>
      <w:r>
        <w:rPr>
          <w:rFonts w:hint="eastAsia" w:ascii="宋体" w:hAnsi="宋体" w:cs="宋体"/>
          <w:sz w:val="24"/>
        </w:rPr>
        <w:t>1.包装桶内的固态残留物大于桶重的5%，或有液态残留物。</w:t>
      </w:r>
    </w:p>
    <w:p>
      <w:pPr>
        <w:spacing w:line="384" w:lineRule="auto"/>
        <w:ind w:firstLine="480" w:firstLineChars="200"/>
        <w:rPr>
          <w:rFonts w:ascii="宋体" w:hAnsi="宋体" w:cs="宋体"/>
          <w:sz w:val="24"/>
        </w:rPr>
      </w:pPr>
      <w:r>
        <w:rPr>
          <w:rFonts w:hint="eastAsia" w:ascii="宋体" w:hAnsi="宋体" w:cs="宋体"/>
          <w:sz w:val="24"/>
        </w:rPr>
        <w:t>2.破碎或带有底座的含汞荧光灯管（泡）等。</w:t>
      </w:r>
    </w:p>
    <w:p>
      <w:pPr>
        <w:spacing w:line="384" w:lineRule="auto"/>
        <w:ind w:firstLine="480" w:firstLineChars="200"/>
        <w:rPr>
          <w:rFonts w:ascii="宋体" w:hAnsi="宋体" w:cs="宋体"/>
          <w:sz w:val="24"/>
        </w:rPr>
      </w:pPr>
      <w:r>
        <w:rPr>
          <w:rFonts w:hint="eastAsia" w:ascii="宋体" w:hAnsi="宋体" w:cs="宋体"/>
          <w:sz w:val="24"/>
        </w:rPr>
        <w:t>3.其他违反危险废物运输包装的国家标准、行业标准及通用技术条件的异常情况。</w:t>
      </w:r>
    </w:p>
    <w:p>
      <w:pPr>
        <w:spacing w:line="384" w:lineRule="auto"/>
        <w:ind w:firstLine="480" w:firstLineChars="200"/>
        <w:rPr>
          <w:rFonts w:ascii="宋体" w:hAnsi="宋体" w:cs="宋体"/>
          <w:sz w:val="24"/>
        </w:rPr>
      </w:pPr>
      <w:r>
        <w:rPr>
          <w:rFonts w:hint="eastAsia" w:ascii="宋体" w:hAnsi="宋体" w:cs="宋体"/>
          <w:sz w:val="24"/>
        </w:rPr>
        <w:t>（六）本合同约定的危险废物需要收运时，甲方应提前十五个工作日通知乙方。</w:t>
      </w:r>
    </w:p>
    <w:p>
      <w:pPr>
        <w:spacing w:line="384" w:lineRule="auto"/>
        <w:ind w:firstLine="480" w:firstLineChars="200"/>
        <w:rPr>
          <w:rFonts w:ascii="宋体" w:hAnsi="宋体" w:cs="宋体"/>
          <w:sz w:val="24"/>
        </w:rPr>
      </w:pPr>
      <w:r>
        <w:rPr>
          <w:rFonts w:hint="eastAsia" w:ascii="宋体" w:hAnsi="宋体" w:cs="宋体"/>
          <w:sz w:val="24"/>
        </w:rPr>
        <w:t>（七）乙方收运人员及车辆进入甲方作业辖区前，甲方有义务并有责任将其公司的安全管理要求提前告知或培训，甲方对此承担监督管理责任。</w:t>
      </w:r>
    </w:p>
    <w:p>
      <w:pPr>
        <w:spacing w:line="384" w:lineRule="auto"/>
        <w:ind w:firstLine="480" w:firstLineChars="200"/>
        <w:rPr>
          <w:rFonts w:ascii="宋体" w:hAnsi="宋体" w:cs="宋体"/>
          <w:sz w:val="24"/>
        </w:rPr>
      </w:pPr>
      <w:r>
        <w:rPr>
          <w:rFonts w:hint="eastAsia" w:ascii="宋体" w:hAnsi="宋体" w:cs="宋体"/>
          <w:sz w:val="24"/>
        </w:rPr>
        <w:t>（八）甲方应协助乙方办理进场作业相关手续，并向乙方提供危险废物装车所需的提升机械（叉车等），以便于乙方装运。</w:t>
      </w:r>
    </w:p>
    <w:p>
      <w:pPr>
        <w:spacing w:line="384" w:lineRule="auto"/>
        <w:ind w:firstLine="480" w:firstLineChars="200"/>
        <w:rPr>
          <w:rFonts w:ascii="宋体" w:hAnsi="宋体" w:cs="宋体"/>
          <w:sz w:val="24"/>
        </w:rPr>
      </w:pPr>
      <w:r>
        <w:rPr>
          <w:rFonts w:hint="eastAsia" w:ascii="宋体" w:hAnsi="宋体" w:cs="宋体"/>
          <w:sz w:val="24"/>
        </w:rPr>
        <w:t>2.2.2 乙方义务</w:t>
      </w:r>
    </w:p>
    <w:p>
      <w:pPr>
        <w:spacing w:line="384" w:lineRule="auto"/>
        <w:ind w:firstLine="480" w:firstLineChars="200"/>
        <w:rPr>
          <w:rFonts w:ascii="宋体" w:hAnsi="宋体" w:cs="宋体"/>
          <w:color w:val="000000"/>
          <w:sz w:val="24"/>
        </w:rPr>
      </w:pPr>
      <w:r>
        <w:rPr>
          <w:rFonts w:hint="eastAsia" w:ascii="宋体" w:hAnsi="宋体" w:cs="宋体"/>
          <w:sz w:val="24"/>
        </w:rPr>
        <w:t>（一）乙方在合同</w:t>
      </w:r>
      <w:r>
        <w:rPr>
          <w:rFonts w:hint="eastAsia" w:ascii="宋体" w:hAnsi="宋体" w:cs="宋体"/>
          <w:sz w:val="24"/>
          <w:lang w:val="en-US" w:eastAsia="zh-CN"/>
        </w:rPr>
        <w:t>服务</w:t>
      </w:r>
      <w:r>
        <w:rPr>
          <w:rFonts w:hint="eastAsia" w:ascii="宋体" w:hAnsi="宋体" w:cs="宋体"/>
          <w:sz w:val="24"/>
        </w:rPr>
        <w:t>期内，持有的营业执照、经营许可证等相关证件应合法有效，并具备本合同约定的危险废物收集、贮存、处理处置资质，</w:t>
      </w:r>
      <w:r>
        <w:rPr>
          <w:rFonts w:hint="eastAsia" w:ascii="宋体" w:hAnsi="宋体" w:cs="宋体"/>
          <w:color w:val="000000"/>
          <w:sz w:val="24"/>
        </w:rPr>
        <w:t>同时提供废物运输服务，运输单位必须有相应的危险废物运输资质。</w:t>
      </w:r>
    </w:p>
    <w:p>
      <w:pPr>
        <w:spacing w:line="384" w:lineRule="auto"/>
        <w:ind w:firstLine="480" w:firstLineChars="200"/>
        <w:rPr>
          <w:rFonts w:ascii="宋体" w:hAnsi="宋体" w:cs="宋体"/>
          <w:sz w:val="24"/>
        </w:rPr>
      </w:pPr>
      <w:r>
        <w:rPr>
          <w:rFonts w:hint="eastAsia" w:ascii="宋体" w:hAnsi="宋体" w:cs="宋体"/>
          <w:sz w:val="24"/>
        </w:rPr>
        <w:t>（二）乙方应具备收集、贮存、处理处置合同约定的危险废物所需条件和设施，保证各项处理条件和设施符合国家法律、法规对处理危险废物（液）的技术要求，并在运输和处置过程中，不产生对环境的二次污染。</w:t>
      </w:r>
    </w:p>
    <w:p>
      <w:pPr>
        <w:spacing w:line="384" w:lineRule="auto"/>
        <w:ind w:firstLine="480" w:firstLineChars="200"/>
        <w:rPr>
          <w:rFonts w:ascii="宋体" w:hAnsi="宋体" w:cs="宋体"/>
          <w:sz w:val="24"/>
        </w:rPr>
      </w:pPr>
      <w:r>
        <w:rPr>
          <w:rFonts w:hint="eastAsia" w:ascii="宋体" w:hAnsi="宋体" w:cs="宋体"/>
          <w:sz w:val="24"/>
        </w:rPr>
        <w:t>（三）乙方收到甲方收运需求通知后，应按甲方的收运要求极力协调安排运输车辆，不得恶意推延或无理拒绝，按双方商定计划时间，自备具有相应资质的运输车辆和装卸人员到甲方收取危险废物。</w:t>
      </w:r>
    </w:p>
    <w:p>
      <w:pPr>
        <w:spacing w:line="384" w:lineRule="auto"/>
        <w:ind w:firstLine="480" w:firstLineChars="200"/>
        <w:rPr>
          <w:rFonts w:ascii="宋体" w:hAnsi="宋体" w:cs="宋体"/>
          <w:sz w:val="24"/>
        </w:rPr>
      </w:pPr>
      <w:r>
        <w:rPr>
          <w:rFonts w:hint="eastAsia" w:ascii="宋体" w:hAnsi="宋体" w:cs="宋体"/>
          <w:sz w:val="24"/>
        </w:rPr>
        <w:t>（四）乙方收运人员及车辆进入甲方作业辖区前，应自觉接受甲方的安全教育培训，遵守甲方的相关环境以及安全管理规定，在甲方厂区内文明作业，作业完毕后将其作业范围内清理干净。</w:t>
      </w:r>
    </w:p>
    <w:p>
      <w:pPr>
        <w:spacing w:line="384" w:lineRule="auto"/>
        <w:ind w:firstLine="480" w:firstLineChars="200"/>
        <w:rPr>
          <w:rFonts w:ascii="宋体" w:hAnsi="宋体" w:cs="宋体"/>
          <w:sz w:val="24"/>
        </w:rPr>
      </w:pPr>
      <w:r>
        <w:rPr>
          <w:rFonts w:hint="eastAsia" w:ascii="宋体" w:hAnsi="宋体" w:cs="宋体"/>
          <w:sz w:val="24"/>
        </w:rPr>
        <w:t>（五）乙方应依照《危险废物转移联单管理办法》及地方环保行政主管部门有关要求办理危险废物转移联单，做到依法依规转移危险废物，按照国家法律法规的要求进行废物处理处置。</w:t>
      </w:r>
    </w:p>
    <w:p>
      <w:pPr>
        <w:spacing w:line="384" w:lineRule="auto"/>
        <w:ind w:firstLine="480" w:firstLineChars="200"/>
        <w:rPr>
          <w:rFonts w:ascii="宋体" w:hAnsi="宋体" w:cs="宋体"/>
          <w:sz w:val="24"/>
        </w:rPr>
      </w:pPr>
      <w:r>
        <w:rPr>
          <w:rFonts w:hint="eastAsia" w:ascii="宋体" w:hAnsi="宋体" w:cs="宋体"/>
          <w:sz w:val="24"/>
        </w:rPr>
        <w:t>（六）乙方应根据甲方提供的危险废物特性信息，做好相关安全防护措施。</w:t>
      </w:r>
    </w:p>
    <w:p>
      <w:pPr>
        <w:spacing w:line="384" w:lineRule="auto"/>
        <w:ind w:firstLine="480" w:firstLineChars="200"/>
        <w:rPr>
          <w:rFonts w:ascii="宋体" w:hAnsi="宋体" w:cs="宋体"/>
          <w:sz w:val="24"/>
        </w:rPr>
      </w:pPr>
      <w:r>
        <w:rPr>
          <w:rFonts w:hint="eastAsia" w:ascii="宋体" w:hAnsi="宋体" w:cs="宋体"/>
          <w:sz w:val="24"/>
        </w:rPr>
        <w:t>（七）乙方应保证</w:t>
      </w:r>
      <w:r>
        <w:rPr>
          <w:rFonts w:hint="eastAsia" w:ascii="宋体" w:hAnsi="宋体" w:cs="宋体"/>
          <w:sz w:val="24"/>
          <w:lang w:val="en-US" w:eastAsia="zh-CN"/>
        </w:rPr>
        <w:t>服务</w:t>
      </w:r>
      <w:r>
        <w:rPr>
          <w:rFonts w:hint="eastAsia" w:ascii="宋体" w:hAnsi="宋体" w:cs="宋体"/>
          <w:sz w:val="24"/>
        </w:rPr>
        <w:t>期内有足够处置合同标的的能力，如出现处置能力不足完成合同的情况，甲方有权解除合同并委托第三方进行处置，产生的所有费用和甲方的损失由乙方承担，并保留追究乙方违约责任的权利。</w:t>
      </w:r>
    </w:p>
    <w:p>
      <w:pPr>
        <w:spacing w:line="384" w:lineRule="auto"/>
        <w:ind w:firstLine="482" w:firstLineChars="200"/>
        <w:rPr>
          <w:rFonts w:ascii="宋体" w:hAnsi="宋体" w:cs="宋体"/>
          <w:b/>
          <w:bCs/>
          <w:sz w:val="24"/>
        </w:rPr>
      </w:pPr>
      <w:r>
        <w:rPr>
          <w:rFonts w:hint="eastAsia" w:ascii="宋体" w:hAnsi="宋体" w:cs="宋体"/>
          <w:b/>
          <w:bCs/>
          <w:sz w:val="24"/>
        </w:rPr>
        <w:t>第三条 计量和转接责任</w:t>
      </w:r>
    </w:p>
    <w:p>
      <w:pPr>
        <w:spacing w:line="384" w:lineRule="auto"/>
        <w:ind w:firstLine="480" w:firstLineChars="200"/>
        <w:rPr>
          <w:rFonts w:ascii="宋体" w:hAnsi="宋体" w:cs="宋体"/>
          <w:sz w:val="24"/>
        </w:rPr>
      </w:pPr>
      <w:r>
        <w:rPr>
          <w:rFonts w:hint="eastAsia" w:ascii="宋体" w:hAnsi="宋体" w:cs="宋体"/>
          <w:sz w:val="24"/>
        </w:rPr>
        <w:t>3.1 危险废物的计重应按下列方式进行：在甲方或乙方厂区内使用有效的计重工具免费称重，任何一方对称重有异议时，双方协商解决。</w:t>
      </w:r>
    </w:p>
    <w:p>
      <w:pPr>
        <w:spacing w:line="384" w:lineRule="auto"/>
        <w:ind w:firstLine="480" w:firstLineChars="200"/>
        <w:rPr>
          <w:rFonts w:ascii="宋体" w:hAnsi="宋体" w:cs="宋体"/>
          <w:sz w:val="24"/>
        </w:rPr>
      </w:pPr>
      <w:r>
        <w:rPr>
          <w:rFonts w:hint="eastAsia" w:ascii="宋体" w:hAnsi="宋体" w:cs="宋体"/>
          <w:sz w:val="24"/>
        </w:rPr>
        <w:t>3.2 过磅时，甲乙双方工作人员应严格区分不同种类的废物，分别称重。若双方过磅误差超过5%时，以甲方过磅数为准。</w:t>
      </w:r>
    </w:p>
    <w:p>
      <w:pPr>
        <w:spacing w:line="384" w:lineRule="auto"/>
        <w:ind w:firstLine="480" w:firstLineChars="200"/>
        <w:rPr>
          <w:rFonts w:ascii="宋体" w:hAnsi="宋体" w:cs="宋体"/>
          <w:sz w:val="24"/>
        </w:rPr>
      </w:pPr>
      <w:r>
        <w:rPr>
          <w:rFonts w:hint="eastAsia" w:ascii="宋体" w:hAnsi="宋体" w:cs="宋体"/>
          <w:sz w:val="24"/>
        </w:rPr>
        <w:t>3.3 对于需要以浓度或含量来计价的有价废物，以双方交接时现场取样的浓度或含量为准，该样品应由甲方或送至双方认可的机构进行检测核准。</w:t>
      </w:r>
    </w:p>
    <w:p>
      <w:pPr>
        <w:spacing w:line="384" w:lineRule="auto"/>
        <w:ind w:firstLine="480" w:firstLineChars="200"/>
        <w:rPr>
          <w:rFonts w:ascii="宋体" w:hAnsi="宋体" w:cs="宋体"/>
          <w:sz w:val="24"/>
        </w:rPr>
      </w:pPr>
      <w:r>
        <w:rPr>
          <w:rFonts w:hint="eastAsia" w:ascii="宋体" w:hAnsi="宋体" w:cs="宋体"/>
          <w:sz w:val="24"/>
        </w:rPr>
        <w:t>3.4 本合同涉及的危险废物应严格执行《中华人民共和国固体废物污染环境防治法》的规定，企业的危险废物管理计划年度备案须在《广东省固体废物环境监管信息平台》通过后方可转移废物。</w:t>
      </w:r>
    </w:p>
    <w:p>
      <w:pPr>
        <w:spacing w:line="384" w:lineRule="auto"/>
        <w:ind w:firstLine="480" w:firstLineChars="200"/>
        <w:rPr>
          <w:rFonts w:ascii="宋体" w:hAnsi="宋体" w:cs="宋体"/>
          <w:sz w:val="24"/>
        </w:rPr>
      </w:pPr>
      <w:r>
        <w:rPr>
          <w:rFonts w:hint="eastAsia" w:ascii="宋体" w:hAnsi="宋体" w:cs="宋体"/>
          <w:sz w:val="24"/>
        </w:rPr>
        <w:t>3.5 办理危险废物转移联单时，原则每转移一车次同类危险废物应填写一份联单转移；如一车次有多类危险废物，应按每一类危险废物各填写一份联单；各类废物联单处置量不能超出《广东省固体废物环境监管信息平台》企业的年度备案转移量。当各类废物累计联单确认量已接近危险废物转移计划量，后续仍有转移需求时，甲方应提前和乙方协商确认并办理新的备案申请，备案通过后方可再次进行废物转移。</w:t>
      </w:r>
    </w:p>
    <w:p>
      <w:pPr>
        <w:spacing w:line="384" w:lineRule="auto"/>
        <w:ind w:firstLine="480" w:firstLineChars="200"/>
        <w:rPr>
          <w:rFonts w:ascii="宋体" w:hAnsi="宋体" w:cs="宋体"/>
          <w:sz w:val="24"/>
        </w:rPr>
      </w:pPr>
      <w:r>
        <w:rPr>
          <w:rFonts w:hint="eastAsia" w:ascii="宋体" w:hAnsi="宋体" w:cs="宋体"/>
          <w:sz w:val="24"/>
        </w:rPr>
        <w:t>3.6 危险废物在甲方收运交付乙方后，双方人员须如实填写“收(送)货单”，废物名称、数量或重量核对无误后双方签名确认，为联单确认与结算提供凭证。</w:t>
      </w:r>
    </w:p>
    <w:p>
      <w:pPr>
        <w:spacing w:line="384" w:lineRule="auto"/>
        <w:ind w:firstLine="480" w:firstLineChars="200"/>
        <w:rPr>
          <w:rFonts w:ascii="宋体" w:hAnsi="宋体" w:cs="宋体"/>
          <w:sz w:val="24"/>
        </w:rPr>
      </w:pPr>
      <w:r>
        <w:rPr>
          <w:rFonts w:hint="eastAsia" w:ascii="宋体" w:hAnsi="宋体" w:cs="宋体"/>
          <w:sz w:val="24"/>
        </w:rPr>
        <w:t>3.7 危险废物收运后，乙方根据双方签名确认的“收(送)货单”对废物进行核实验收并确认联单。如乙方核实验收时发现废物的名称、数量、特性、形态、包装方式与联单填写内容不符的,应当及时向接受地环境保护行政主管部门报告,并通知产生单位。</w:t>
      </w:r>
    </w:p>
    <w:p>
      <w:pPr>
        <w:spacing w:line="384" w:lineRule="auto"/>
        <w:ind w:firstLine="480" w:firstLineChars="200"/>
        <w:rPr>
          <w:rFonts w:ascii="宋体" w:hAnsi="宋体" w:cs="宋体"/>
          <w:sz w:val="24"/>
        </w:rPr>
      </w:pPr>
      <w:r>
        <w:rPr>
          <w:rFonts w:hint="eastAsia" w:ascii="宋体" w:hAnsi="宋体" w:cs="宋体"/>
          <w:sz w:val="24"/>
        </w:rPr>
        <w:t>3.8 若发生意外或者事故，废物由甲方交乙方签收前，责任由甲方自行承担；废物由甲方交乙方签收后，责任由乙方自行承担。</w:t>
      </w:r>
    </w:p>
    <w:p>
      <w:pPr>
        <w:spacing w:line="384" w:lineRule="auto"/>
        <w:ind w:firstLine="480" w:firstLineChars="200"/>
        <w:rPr>
          <w:rFonts w:ascii="宋体" w:hAnsi="宋体" w:cs="宋体"/>
          <w:sz w:val="24"/>
        </w:rPr>
      </w:pPr>
    </w:p>
    <w:p>
      <w:pPr>
        <w:spacing w:line="384" w:lineRule="auto"/>
        <w:ind w:firstLine="480" w:firstLineChars="200"/>
        <w:rPr>
          <w:rFonts w:ascii="宋体" w:hAnsi="宋体" w:cs="宋体"/>
          <w:sz w:val="24"/>
        </w:rPr>
      </w:pPr>
      <w:r>
        <w:rPr>
          <w:rFonts w:hint="eastAsia" w:ascii="宋体" w:hAnsi="宋体" w:cs="宋体"/>
          <w:sz w:val="24"/>
        </w:rPr>
        <w:t>3.9 在协议存续期间，若由于乙方收运危险废物已达资质许可数量时或资质证书办理期间，乙方有权不接受甲方的废物处置请求，同时甲方有权委托有资质的第三方处理。</w:t>
      </w:r>
    </w:p>
    <w:p>
      <w:pPr>
        <w:spacing w:line="384" w:lineRule="auto"/>
        <w:ind w:firstLine="482" w:firstLineChars="200"/>
        <w:rPr>
          <w:rFonts w:ascii="宋体" w:hAnsi="宋体" w:cs="宋体"/>
          <w:b/>
          <w:bCs/>
          <w:sz w:val="24"/>
        </w:rPr>
      </w:pPr>
      <w:r>
        <w:rPr>
          <w:rFonts w:hint="eastAsia" w:ascii="宋体" w:hAnsi="宋体" w:cs="宋体"/>
          <w:b/>
          <w:bCs/>
          <w:sz w:val="24"/>
        </w:rPr>
        <w:t>第四条 合同价款及期限</w:t>
      </w:r>
    </w:p>
    <w:p>
      <w:pPr>
        <w:spacing w:line="384" w:lineRule="auto"/>
        <w:ind w:firstLine="480" w:firstLineChars="200"/>
        <w:rPr>
          <w:rFonts w:ascii="宋体" w:hAnsi="宋体" w:cs="宋体"/>
          <w:bCs/>
          <w:sz w:val="24"/>
          <w:bdr w:val="single" w:color="auto" w:sz="4" w:space="0"/>
        </w:rPr>
      </w:pPr>
      <w:r>
        <w:rPr>
          <w:rFonts w:hint="eastAsia" w:ascii="宋体" w:hAnsi="宋体" w:cs="宋体"/>
          <w:sz w:val="24"/>
        </w:rPr>
        <w:t>4.1合同价款按以下执行。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rPr>
        <w:t>（1）</w:t>
      </w:r>
      <w:r>
        <w:rPr>
          <w:rFonts w:hint="eastAsia" w:ascii="宋体" w:hAnsi="宋体" w:cs="宋体"/>
          <w:sz w:val="24"/>
          <w:highlight w:val="none"/>
        </w:rPr>
        <w:t>合同以单价包干形式，合同暂定总价为：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p>
    <w:p>
      <w:pPr>
        <w:pStyle w:val="46"/>
        <w:ind w:firstLine="480" w:firstLineChars="200"/>
        <w:rPr>
          <w:rFonts w:hAnsi="宋体" w:eastAsia="宋体"/>
          <w:color w:val="auto"/>
          <w:kern w:val="2"/>
          <w:szCs w:val="22"/>
          <w:highlight w:val="none"/>
        </w:rPr>
      </w:pPr>
      <w:r>
        <w:rPr>
          <w:rFonts w:hint="eastAsia" w:hAnsi="宋体" w:eastAsia="宋体"/>
          <w:color w:val="auto"/>
          <w:kern w:val="2"/>
          <w:szCs w:val="22"/>
          <w:highlight w:val="none"/>
        </w:rPr>
        <w:t>（2）合同价款按以下支付：</w:t>
      </w:r>
    </w:p>
    <w:p>
      <w:pPr>
        <w:pStyle w:val="46"/>
        <w:spacing w:line="360" w:lineRule="auto"/>
        <w:ind w:firstLine="480" w:firstLineChars="200"/>
        <w:rPr>
          <w:rFonts w:hint="eastAsia" w:hAnsi="宋体" w:eastAsia="宋体"/>
          <w:color w:val="auto"/>
          <w:kern w:val="2"/>
          <w:szCs w:val="22"/>
        </w:rPr>
      </w:pPr>
      <w:r>
        <w:rPr>
          <w:rFonts w:hint="eastAsia" w:hAnsi="宋体" w:eastAsia="宋体"/>
          <w:color w:val="auto"/>
          <w:kern w:val="2"/>
          <w:szCs w:val="22"/>
          <w:highlight w:val="none"/>
        </w:rPr>
        <w:t>服务期满后，由乙方提交申请支付资料，经甲方下属各单位审核确认服务期内危废处置总量并提交相关审核部门确定服务最终结算价。确定结算价后，乙方应于1</w:t>
      </w:r>
      <w:r>
        <w:rPr>
          <w:rFonts w:hAnsi="宋体" w:eastAsia="宋体"/>
          <w:color w:val="auto"/>
          <w:kern w:val="2"/>
          <w:szCs w:val="22"/>
          <w:highlight w:val="none"/>
        </w:rPr>
        <w:t>5</w:t>
      </w:r>
      <w:r>
        <w:rPr>
          <w:rFonts w:hint="eastAsia" w:hAnsi="宋体" w:eastAsia="宋体"/>
          <w:color w:val="auto"/>
          <w:kern w:val="2"/>
          <w:szCs w:val="22"/>
          <w:highlight w:val="none"/>
        </w:rPr>
        <w:t>个工作日内开具相应金额的增值税专用发票至甲方下属各单位。甲方下属各单位收到发票后</w:t>
      </w:r>
      <w:r>
        <w:rPr>
          <w:rFonts w:hAnsi="宋体" w:eastAsia="宋体"/>
          <w:color w:val="auto"/>
          <w:kern w:val="2"/>
          <w:szCs w:val="22"/>
          <w:highlight w:val="none"/>
        </w:rPr>
        <w:t>30</w:t>
      </w:r>
      <w:r>
        <w:rPr>
          <w:rFonts w:hint="eastAsia" w:hAnsi="宋体" w:eastAsia="宋体"/>
          <w:color w:val="auto"/>
          <w:kern w:val="2"/>
          <w:szCs w:val="22"/>
          <w:highlight w:val="none"/>
        </w:rPr>
        <w:t>天内已结算审定价支付。</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tabs>
          <w:tab w:val="left" w:pos="851"/>
        </w:tabs>
        <w:adjustRightInd w:val="0"/>
        <w:snapToGrid w:val="0"/>
        <w:spacing w:line="384" w:lineRule="auto"/>
        <w:ind w:firstLine="480" w:firstLineChars="200"/>
        <w:rPr>
          <w:rFonts w:ascii="宋体" w:hAnsi="宋体" w:cs="宋体"/>
          <w:sz w:val="24"/>
        </w:rPr>
      </w:pPr>
      <w:r>
        <w:rPr>
          <w:rFonts w:hint="eastAsia" w:ascii="宋体" w:hAnsi="宋体" w:cs="宋体"/>
          <w:sz w:val="24"/>
        </w:rPr>
        <w:t>4.3 合同服务期限为合同签订日起为期一年，共365天。</w:t>
      </w:r>
    </w:p>
    <w:p>
      <w:pPr>
        <w:spacing w:line="384" w:lineRule="auto"/>
        <w:ind w:firstLine="482" w:firstLineChars="200"/>
        <w:rPr>
          <w:rFonts w:ascii="宋体" w:hAnsi="宋体" w:cs="宋体"/>
          <w:sz w:val="24"/>
        </w:rPr>
      </w:pPr>
      <w:r>
        <w:rPr>
          <w:rFonts w:hint="eastAsia" w:ascii="宋体" w:hAnsi="宋体" w:cs="宋体"/>
          <w:b/>
          <w:bCs/>
          <w:sz w:val="24"/>
        </w:rPr>
        <w:t>第五条 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rPr>
        <w:t>5.1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hint="eastAsia" w:ascii="宋体" w:hAnsi="宋体" w:cs="宋体"/>
          <w:sz w:val="28"/>
          <w:szCs w:val="28"/>
        </w:rPr>
        <w:t xml:space="preserve"> </w:t>
      </w:r>
      <w:r>
        <w:rPr>
          <w:rFonts w:ascii="宋体" w:hAnsi="宋体" w:cs="宋体"/>
          <w:sz w:val="28"/>
          <w:szCs w:val="28"/>
        </w:rPr>
        <w:sym w:font="Wingdings 2" w:char="00A3"/>
      </w:r>
      <w:r>
        <w:rPr>
          <w:rFonts w:hint="eastAsia" w:ascii="宋体" w:hAnsi="宋体" w:cs="宋体"/>
          <w:bCs/>
          <w:sz w:val="24"/>
        </w:rPr>
        <w:t>有,合同签订后，乙方开具等额的增值税专用发票及提交履约担保（如有）后</w:t>
      </w:r>
      <w:r>
        <w:rPr>
          <w:rFonts w:hint="eastAsia" w:ascii="宋体" w:hAnsi="宋体" w:cs="宋体"/>
          <w:bCs/>
          <w:sz w:val="24"/>
          <w:u w:val="single"/>
        </w:rPr>
        <w:t xml:space="preserve"> 10 </w:t>
      </w:r>
      <w:r>
        <w:rPr>
          <w:rFonts w:hint="eastAsia" w:ascii="宋体" w:hAnsi="宋体" w:cs="宋体"/>
          <w:bCs/>
          <w:sz w:val="24"/>
        </w:rPr>
        <w:t>个工作日内，甲方以广州市净水有限公司</w:t>
      </w:r>
      <w:r>
        <w:rPr>
          <w:rFonts w:hint="eastAsia" w:ascii="宋体" w:hAnsi="宋体" w:cs="宋体"/>
          <w:bCs/>
          <w:sz w:val="24"/>
          <w:u w:val="single"/>
          <w:lang w:val="en-US" w:eastAsia="zh-CN"/>
        </w:rPr>
        <w:t>龙归</w:t>
      </w:r>
      <w:r>
        <w:rPr>
          <w:rFonts w:hint="eastAsia" w:ascii="宋体" w:hAnsi="宋体" w:cs="宋体"/>
          <w:bCs/>
          <w:sz w:val="24"/>
        </w:rPr>
        <w:t>分公司名称及账户采用银行转账形式支付至合同</w:t>
      </w:r>
      <w:r>
        <w:rPr>
          <w:rFonts w:hint="eastAsia" w:ascii="宋体" w:hAnsi="宋体" w:cs="宋体"/>
          <w:sz w:val="24"/>
        </w:rPr>
        <w:t>总价</w:t>
      </w:r>
      <w:r>
        <w:rPr>
          <w:rFonts w:hint="eastAsia" w:ascii="宋体" w:hAnsi="宋体" w:cs="宋体"/>
          <w:bCs/>
          <w:sz w:val="24"/>
        </w:rPr>
        <w:t>的</w:t>
      </w:r>
      <w:r>
        <w:rPr>
          <w:rFonts w:ascii="宋体" w:hAnsi="宋体" w:cs="宋体"/>
          <w:bCs/>
          <w:sz w:val="24"/>
          <w:u w:val="single"/>
        </w:rPr>
        <w:t>3</w:t>
      </w:r>
      <w:r>
        <w:rPr>
          <w:rFonts w:hint="eastAsia" w:ascii="宋体" w:hAnsi="宋体" w:cs="宋体"/>
          <w:bCs/>
          <w:sz w:val="24"/>
          <w:u w:val="single"/>
        </w:rPr>
        <w:t>0%</w:t>
      </w:r>
      <w:r>
        <w:rPr>
          <w:rFonts w:hint="eastAsia" w:ascii="宋体" w:hAnsi="宋体" w:cs="宋体"/>
          <w:sz w:val="24"/>
        </w:rPr>
        <w:t xml:space="preserve">即  </w:t>
      </w:r>
      <w:r>
        <w:rPr>
          <w:rFonts w:hint="eastAsia" w:ascii="宋体" w:hAnsi="宋体" w:cs="宋体"/>
          <w:sz w:val="24"/>
          <w:u w:val="single"/>
        </w:rPr>
        <w:t xml:space="preserve">    元，（大写：）</w:t>
      </w:r>
      <w:r>
        <w:rPr>
          <w:rFonts w:hint="eastAsia" w:ascii="宋体" w:hAnsi="宋体" w:cs="宋体"/>
          <w:bCs/>
          <w:sz w:val="24"/>
        </w:rPr>
        <w:t>作为预付款，同时乙方需提供等额的</w:t>
      </w:r>
      <w:r>
        <w:rPr>
          <w:rFonts w:hint="eastAsia" w:ascii="宋体" w:hAnsi="宋体" w:cs="宋体"/>
          <w:bCs/>
          <w:sz w:val="24"/>
          <w:u w:val="single"/>
        </w:rPr>
        <w:t>预付款保函</w:t>
      </w:r>
      <w:r>
        <w:rPr>
          <w:rFonts w:hint="eastAsia" w:ascii="宋体" w:hAnsi="宋体" w:cs="宋体"/>
          <w:bCs/>
          <w:sz w:val="24"/>
        </w:rPr>
        <w:t>，预付款保</w:t>
      </w:r>
      <w:r>
        <w:rPr>
          <w:rFonts w:hint="eastAsia" w:ascii="宋体" w:hAnsi="宋体" w:cs="宋体"/>
          <w:bCs/>
          <w:sz w:val="24"/>
          <w:lang w:val="en-US" w:eastAsia="zh-CN"/>
        </w:rPr>
        <w:t>函</w:t>
      </w:r>
      <w:r>
        <w:rPr>
          <w:rFonts w:hint="eastAsia" w:ascii="宋体" w:hAnsi="宋体" w:cs="宋体"/>
          <w:bCs/>
          <w:sz w:val="24"/>
        </w:rPr>
        <w:t>在扣减完成后予以返还。</w:t>
      </w:r>
      <w:r>
        <w:rPr>
          <w:rFonts w:hint="eastAsia" w:ascii="宋体" w:hAnsi="宋体" w:cs="宋体"/>
          <w:sz w:val="24"/>
        </w:rPr>
        <w:t>若合同解除或终止，乙方在</w:t>
      </w:r>
      <w:r>
        <w:rPr>
          <w:rFonts w:hint="eastAsia"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Ansi="宋体" w:cs="宋体"/>
          <w:sz w:val="24"/>
          <w:szCs w:val="24"/>
        </w:rPr>
      </w:pPr>
      <w:r>
        <w:rPr>
          <w:rFonts w:hint="eastAsia" w:hAnsi="宋体" w:cs="宋体"/>
          <w:sz w:val="24"/>
          <w:szCs w:val="24"/>
        </w:rPr>
        <w:t>5.2合同服务期满后，由乙方提交申请支付资料</w:t>
      </w:r>
      <w:r>
        <w:rPr>
          <w:rFonts w:hint="eastAsia" w:hAnsi="宋体" w:cs="宋体"/>
          <w:sz w:val="24"/>
          <w:szCs w:val="24"/>
          <w:u w:val="single"/>
        </w:rPr>
        <w:t xml:space="preserve"> 15 </w:t>
      </w:r>
      <w:r>
        <w:rPr>
          <w:rFonts w:hint="eastAsia" w:hAnsi="宋体" w:cs="宋体"/>
          <w:sz w:val="24"/>
          <w:szCs w:val="24"/>
        </w:rPr>
        <w:t>个工作日内，甲方支付至合同总价的100％即￥</w:t>
      </w:r>
      <w:r>
        <w:rPr>
          <w:rFonts w:hint="eastAsia" w:hAnsi="宋体" w:cs="宋体"/>
          <w:sz w:val="24"/>
          <w:szCs w:val="24"/>
          <w:u w:val="single"/>
        </w:rPr>
        <w:t xml:space="preserve">    </w:t>
      </w:r>
      <w:r>
        <w:rPr>
          <w:rFonts w:hint="eastAsia" w:hAnsi="宋体" w:cs="宋体"/>
          <w:sz w:val="24"/>
          <w:szCs w:val="24"/>
        </w:rPr>
        <w:t>元给乙方。</w:t>
      </w:r>
    </w:p>
    <w:p>
      <w:pPr>
        <w:spacing w:line="384" w:lineRule="auto"/>
        <w:ind w:firstLine="480" w:firstLineChars="200"/>
        <w:rPr>
          <w:rFonts w:ascii="宋体" w:hAnsi="宋体" w:cs="宋体"/>
          <w:sz w:val="24"/>
          <w:szCs w:val="24"/>
        </w:rPr>
      </w:pPr>
      <w:r>
        <w:rPr>
          <w:rFonts w:hint="eastAsia" w:ascii="宋体" w:hAnsi="宋体" w:cs="宋体"/>
          <w:sz w:val="24"/>
        </w:rPr>
        <w:t>5.3乙方收款账户：；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rPr>
        <w:t>5.4乙方在收款前需提交等额增值税专用发票给甲方。增值税专用发票信息：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税号：91440101755584729Q</w:t>
      </w:r>
    </w:p>
    <w:p>
      <w:pPr>
        <w:spacing w:line="384" w:lineRule="auto"/>
        <w:ind w:firstLine="960" w:firstLineChars="400"/>
        <w:rPr>
          <w:rFonts w:ascii="宋体" w:hAnsi="宋体" w:cs="宋体"/>
          <w:sz w:val="24"/>
        </w:rPr>
      </w:pPr>
      <w:r>
        <w:rPr>
          <w:rFonts w:hint="eastAsia" w:ascii="宋体" w:hAnsi="宋体" w:cs="宋体"/>
          <w:sz w:val="24"/>
        </w:rPr>
        <w:t>地址：广州市天河区临江大道501号 ，020-38890283</w:t>
      </w:r>
    </w:p>
    <w:p>
      <w:pPr>
        <w:spacing w:line="384" w:lineRule="auto"/>
        <w:ind w:firstLine="960" w:firstLineChars="400"/>
        <w:rPr>
          <w:rFonts w:ascii="宋体" w:hAnsi="宋体" w:cs="宋体"/>
          <w:sz w:val="24"/>
        </w:rPr>
      </w:pPr>
      <w:r>
        <w:rPr>
          <w:rFonts w:hint="eastAsia" w:ascii="宋体" w:hAnsi="宋体" w:cs="宋体"/>
          <w:sz w:val="24"/>
        </w:rPr>
        <w:t>开户行：民生银行广州分行</w:t>
      </w:r>
    </w:p>
    <w:p>
      <w:pPr>
        <w:spacing w:line="384" w:lineRule="auto"/>
        <w:ind w:firstLine="960" w:firstLineChars="400"/>
        <w:rPr>
          <w:rFonts w:ascii="宋体" w:hAnsi="宋体" w:cs="宋体"/>
          <w:sz w:val="24"/>
        </w:rPr>
      </w:pPr>
      <w:r>
        <w:rPr>
          <w:rFonts w:hint="eastAsia" w:ascii="宋体" w:hAnsi="宋体" w:cs="宋体"/>
          <w:sz w:val="24"/>
        </w:rPr>
        <w:t>账号：0301014140006932</w:t>
      </w:r>
    </w:p>
    <w:p>
      <w:pPr>
        <w:spacing w:line="384" w:lineRule="auto"/>
        <w:ind w:firstLine="480" w:firstLineChars="200"/>
        <w:outlineLvl w:val="0"/>
        <w:rPr>
          <w:rFonts w:ascii="宋体" w:hAnsi="宋体" w:cs="宋体"/>
          <w:sz w:val="24"/>
        </w:rPr>
      </w:pPr>
      <w:r>
        <w:rPr>
          <w:rFonts w:hint="eastAsia" w:ascii="宋体" w:hAnsi="宋体" w:cs="宋体"/>
          <w:sz w:val="24"/>
        </w:rPr>
        <w:t>5.5履约担保：</w:t>
      </w:r>
      <w:r>
        <w:rPr>
          <w:rFonts w:ascii="宋体" w:hAnsi="宋体" w:cs="宋体"/>
          <w:sz w:val="28"/>
          <w:szCs w:val="28"/>
        </w:rPr>
        <w:sym w:font="Wingdings 2" w:char="F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本合同签订后10日内</w:t>
      </w:r>
      <w:r>
        <w:rPr>
          <w:rFonts w:hint="eastAsia" w:ascii="宋体" w:hAnsi="宋体" w:cs="宋体"/>
          <w:sz w:val="24"/>
          <w:u w:val="single"/>
        </w:rPr>
        <w:t>以合同暂定总价的10%作为履约保证金，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合同暂定总价20%</w:t>
      </w:r>
      <w:r>
        <w:rPr>
          <w:rFonts w:hint="eastAsia" w:ascii="宋体" w:hAnsi="宋体" w:cs="宋体"/>
          <w:sz w:val="24"/>
        </w:rPr>
        <w:t>作为违约金。</w:t>
      </w:r>
    </w:p>
    <w:p>
      <w:pPr>
        <w:pStyle w:val="20"/>
        <w:spacing w:before="0" w:beforeAutospacing="0" w:after="0" w:afterAutospacing="0" w:line="384" w:lineRule="auto"/>
        <w:ind w:firstLine="480" w:firstLineChars="200"/>
        <w:rPr>
          <w:rFonts w:cs="Times New Roman"/>
        </w:rPr>
      </w:pPr>
      <w:r>
        <w:rPr>
          <w:rFonts w:hint="eastAsia" w:cs="宋体"/>
          <w:color w:val="auto"/>
        </w:rPr>
        <w:t>5.5.1</w:t>
      </w:r>
      <w:r>
        <w:rPr>
          <w:rFonts w:hint="eastAsia"/>
        </w:rPr>
        <w:t>履约担保按以下任一种形式提供：</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rPr>
        <w:t>5.5.2履约担保的担保期限和返还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（4）现金履约保证金的退还：合同履行完成后，由乙方提出申请，甲方在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hint="eastAsia" w:ascii="宋体" w:hAnsi="宋体" w:cs="宋体"/>
          <w:sz w:val="24"/>
        </w:rPr>
        <w:t>5.5.3甲方按本合同规定提取履约担保金额后，乙方应在收到甲方通知后</w:t>
      </w:r>
    </w:p>
    <w:p>
      <w:pPr>
        <w:spacing w:line="384" w:lineRule="auto"/>
        <w:rPr>
          <w:rFonts w:ascii="宋体" w:hAnsi="宋体" w:cs="宋体"/>
          <w:sz w:val="24"/>
        </w:rPr>
      </w:pPr>
      <w:r>
        <w:rPr>
          <w:rFonts w:hint="eastAsia"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5.6</w:t>
      </w:r>
      <w:r>
        <w:rPr>
          <w:rFonts w:hint="eastAsia" w:ascii="宋体" w:hAnsi="宋体" w:cs="宋体"/>
          <w:sz w:val="24"/>
        </w:rPr>
        <w:t xml:space="preserve">付款方式： </w:t>
      </w:r>
      <w:r>
        <w:rPr>
          <w:rFonts w:ascii="宋体" w:hAnsi="宋体" w:cs="宋体"/>
          <w:sz w:val="28"/>
          <w:szCs w:val="28"/>
        </w:rPr>
        <w:sym w:font="Wingdings 2" w:char="F052"/>
      </w:r>
      <w:r>
        <w:rPr>
          <w:rFonts w:hint="eastAsia" w:ascii="宋体" w:hAnsi="宋体" w:cs="宋体"/>
          <w:sz w:val="24"/>
        </w:rPr>
        <w:t xml:space="preserve">网银支付；  </w:t>
      </w:r>
      <w:r>
        <w:rPr>
          <w:rFonts w:ascii="宋体" w:hAnsi="宋体" w:cs="宋体"/>
          <w:sz w:val="24"/>
        </w:rPr>
        <w:sym w:font="Wingdings" w:char="F0A8"/>
      </w:r>
      <w:r>
        <w:rPr>
          <w:rFonts w:hint="eastAsia" w:ascii="宋体" w:hAnsi="宋体" w:cs="宋体"/>
          <w:sz w:val="24"/>
        </w:rPr>
        <w:t xml:space="preserve">支票；   </w:t>
      </w:r>
      <w:r>
        <w:rPr>
          <w:rFonts w:ascii="宋体" w:hAnsi="宋体" w:cs="宋体"/>
          <w:sz w:val="24"/>
        </w:rPr>
        <w:sym w:font="Wingdings" w:char="F0A8"/>
      </w:r>
      <w:r>
        <w:rPr>
          <w:rFonts w:hint="eastAsia" w:ascii="宋体" w:hAnsi="宋体" w:cs="宋体"/>
          <w:sz w:val="24"/>
        </w:rPr>
        <w:t>其他：/</w:t>
      </w:r>
    </w:p>
    <w:p>
      <w:pPr>
        <w:spacing w:before="120" w:beforeLines="50" w:after="120" w:afterLines="50" w:line="384" w:lineRule="auto"/>
        <w:ind w:firstLine="422" w:firstLineChars="175"/>
        <w:jc w:val="left"/>
        <w:rPr>
          <w:rFonts w:ascii="宋体" w:hAnsi="宋体" w:cs="宋体"/>
          <w:sz w:val="24"/>
          <w:szCs w:val="24"/>
        </w:rPr>
      </w:pPr>
      <w:r>
        <w:rPr>
          <w:rFonts w:hint="eastAsia" w:ascii="宋体" w:hAnsi="宋体" w:cs="宋体"/>
          <w:b/>
          <w:bCs/>
          <w:sz w:val="24"/>
        </w:rPr>
        <w:t>第六条 不可抗力</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jc w:val="left"/>
        <w:rPr>
          <w:rFonts w:ascii="宋体" w:hAnsi="宋体" w:cs="宋体"/>
          <w:b/>
          <w:bCs/>
          <w:sz w:val="24"/>
        </w:rPr>
      </w:pPr>
      <w:r>
        <w:rPr>
          <w:rFonts w:hint="eastAsia" w:ascii="宋体" w:hAnsi="宋体" w:cs="宋体"/>
          <w:bCs/>
          <w:sz w:val="24"/>
        </w:rPr>
        <w:t>6.4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第七条 争议和解决</w:t>
      </w:r>
    </w:p>
    <w:p>
      <w:pPr>
        <w:spacing w:line="384" w:lineRule="auto"/>
        <w:ind w:firstLine="480" w:firstLineChars="200"/>
        <w:rPr>
          <w:rFonts w:ascii="宋体" w:hAnsi="宋体" w:cs="宋体"/>
          <w:bCs/>
          <w:sz w:val="24"/>
        </w:rPr>
      </w:pPr>
      <w:r>
        <w:rPr>
          <w:rFonts w:hint="eastAsia" w:ascii="宋体" w:hAnsi="宋体" w:cs="宋体"/>
          <w:bCs/>
          <w:sz w:val="24"/>
        </w:rPr>
        <w:t>7.1 甲乙双方应通过友好协商，解决在执行本合同所发生的或与本合同有关的一切争议。如协商不能解决争议，任何一方均可依法向甲方所在地人民法院提起诉讼。</w:t>
      </w:r>
    </w:p>
    <w:p>
      <w:pPr>
        <w:spacing w:line="384" w:lineRule="auto"/>
        <w:ind w:firstLine="480" w:firstLineChars="200"/>
        <w:jc w:val="left"/>
        <w:rPr>
          <w:rFonts w:ascii="宋体" w:hAnsi="宋体" w:cs="宋体"/>
          <w:sz w:val="24"/>
        </w:rPr>
      </w:pPr>
      <w:r>
        <w:rPr>
          <w:rFonts w:hint="eastAsia" w:ascii="宋体" w:hAnsi="宋体" w:cs="宋体"/>
          <w:bCs/>
          <w:sz w:val="24"/>
        </w:rPr>
        <w:t xml:space="preserve">7.2 </w:t>
      </w:r>
      <w:r>
        <w:rPr>
          <w:rFonts w:hint="eastAsia" w:ascii="宋体" w:hAnsi="宋体" w:cs="宋体"/>
          <w:sz w:val="24"/>
        </w:rPr>
        <w:t>在甲方同意的情况下，除有争端之外的合同其它部分在争端解决前应继续执行。</w:t>
      </w:r>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第八条 合同违约责任</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8.1 合同一方违反本合同的规定，守约方有权要求违约方停止并纠正违约行为，造成守约方经济以及其他方面损失的，违约方应予以赔偿。</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8.2 除法律或本合同另有规定外，合同一方无正当理由撤销或者解除合同，造成合同另一方损失的，应赔偿由此造成的实际损失。</w:t>
      </w:r>
    </w:p>
    <w:p>
      <w:pPr>
        <w:spacing w:before="120" w:after="120" w:afterLines="50" w:line="384" w:lineRule="auto"/>
        <w:ind w:firstLine="480" w:firstLineChars="200"/>
        <w:jc w:val="left"/>
        <w:rPr>
          <w:rFonts w:hint="eastAsia" w:ascii="宋体" w:hAnsi="宋体" w:cs="宋体"/>
          <w:sz w:val="24"/>
        </w:rPr>
      </w:pPr>
      <w:r>
        <w:rPr>
          <w:rFonts w:hint="eastAsia" w:ascii="宋体" w:hAnsi="宋体" w:cs="宋体"/>
          <w:sz w:val="24"/>
        </w:rPr>
        <w:t>8.3 双方交接危险废物时乙方发现甲方所交付的危险废物不符合本合同规定的，由乙方就不符合本合同规定的危险废物重新提出报价单交于甲方，经双方商议同意后，由乙方负责处理；若双方未能协商一致的，不符合本合同规定的危险废物按甲方要求转交于第三方处理或者由甲方负责处理，乙方不承担由此而产生的费用及转交过程中的风险。</w:t>
      </w:r>
    </w:p>
    <w:p>
      <w:pPr>
        <w:spacing w:before="120" w:after="120" w:afterLines="50" w:line="384" w:lineRule="auto"/>
        <w:ind w:firstLine="480" w:firstLineChars="200"/>
        <w:jc w:val="left"/>
        <w:rPr>
          <w:rFonts w:hint="default" w:ascii="宋体" w:hAnsi="宋体" w:eastAsia="宋体" w:cs="宋体"/>
          <w:b w:val="0"/>
          <w:bCs w:val="0"/>
          <w:sz w:val="24"/>
          <w:szCs w:val="24"/>
        </w:rPr>
      </w:pPr>
      <w:r>
        <w:rPr>
          <w:rFonts w:hint="eastAsia" w:ascii="宋体" w:hAnsi="宋体" w:eastAsia="宋体" w:cs="宋体"/>
          <w:sz w:val="24"/>
          <w:lang w:val="en-US" w:eastAsia="zh-CN"/>
        </w:rPr>
        <w:t>8.4</w:t>
      </w:r>
      <w:r>
        <w:rPr>
          <w:rFonts w:hint="eastAsia" w:ascii="宋体" w:hAnsi="宋体" w:eastAsia="宋体" w:cs="宋体"/>
          <w:b w:val="0"/>
          <w:bCs w:val="0"/>
          <w:sz w:val="24"/>
          <w:szCs w:val="24"/>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eastAsia="宋体" w:cs="宋体"/>
          <w:b w:val="0"/>
          <w:bCs w:val="0"/>
          <w:sz w:val="24"/>
          <w:szCs w:val="24"/>
          <w:lang w:val="en-US" w:eastAsia="zh-CN"/>
        </w:rPr>
        <w:t>4。</w:t>
      </w:r>
    </w:p>
    <w:p>
      <w:pPr>
        <w:spacing w:line="384" w:lineRule="auto"/>
        <w:ind w:firstLine="482"/>
        <w:jc w:val="left"/>
        <w:rPr>
          <w:rFonts w:ascii="宋体" w:hAnsi="宋体" w:cs="宋体"/>
          <w:b/>
          <w:bCs/>
          <w:sz w:val="24"/>
        </w:rPr>
      </w:pPr>
      <w:r>
        <w:rPr>
          <w:rFonts w:hint="eastAsia" w:ascii="宋体" w:hAnsi="宋体" w:cs="宋体"/>
          <w:b/>
          <w:bCs/>
          <w:sz w:val="24"/>
        </w:rPr>
        <w:t>第九条 合同生效及其他</w:t>
      </w:r>
    </w:p>
    <w:p>
      <w:pPr>
        <w:spacing w:line="384" w:lineRule="auto"/>
        <w:ind w:firstLine="480"/>
        <w:rPr>
          <w:rFonts w:ascii="宋体" w:hAnsi="宋体" w:cs="宋体"/>
          <w:sz w:val="24"/>
        </w:rPr>
      </w:pPr>
      <w:r>
        <w:rPr>
          <w:rFonts w:hint="eastAsia" w:ascii="宋体" w:hAnsi="宋体" w:cs="宋体"/>
          <w:sz w:val="24"/>
        </w:rPr>
        <w:t>9.1本合同经双方法定代表人或授权代表签名并加盖双方公章后生效.</w:t>
      </w:r>
    </w:p>
    <w:p>
      <w:pPr>
        <w:spacing w:line="384" w:lineRule="auto"/>
        <w:ind w:firstLine="480"/>
        <w:rPr>
          <w:rFonts w:ascii="宋体" w:hAnsi="宋体" w:cs="宋体"/>
          <w:sz w:val="24"/>
        </w:rPr>
      </w:pPr>
      <w:r>
        <w:rPr>
          <w:rFonts w:hint="eastAsia" w:ascii="宋体" w:hAnsi="宋体" w:cs="宋体"/>
          <w:sz w:val="24"/>
        </w:rPr>
        <w:t>9.2本合同正文一式陆份，其中：甲方肆份，乙方贰份。</w:t>
      </w:r>
    </w:p>
    <w:p>
      <w:pPr>
        <w:spacing w:line="384" w:lineRule="auto"/>
        <w:ind w:firstLine="480"/>
        <w:rPr>
          <w:rFonts w:ascii="宋体" w:hAnsi="宋体" w:cs="宋体"/>
          <w:sz w:val="24"/>
        </w:rPr>
      </w:pPr>
      <w:r>
        <w:rPr>
          <w:rFonts w:hint="eastAsia" w:ascii="宋体" w:hAnsi="宋体" w:cs="宋体"/>
          <w:sz w:val="24"/>
        </w:rPr>
        <w:t>9.3补充条款</w:t>
      </w:r>
      <w:r>
        <w:rPr>
          <w:rFonts w:hint="eastAsia" w:ascii="宋体" w:hAnsi="宋体" w:cs="宋体"/>
          <w:sz w:val="24"/>
          <w:u w:val="single"/>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附件：1.发包通知书</w:t>
      </w:r>
    </w:p>
    <w:p>
      <w:pPr>
        <w:spacing w:line="384" w:lineRule="auto"/>
        <w:ind w:firstLine="720" w:firstLineChars="300"/>
        <w:rPr>
          <w:rFonts w:ascii="宋体" w:hAnsi="宋体" w:cs="宋体"/>
          <w:sz w:val="24"/>
        </w:rPr>
      </w:pPr>
      <w:r>
        <w:rPr>
          <w:rFonts w:hint="eastAsia" w:ascii="宋体" w:hAnsi="宋体" w:cs="宋体"/>
          <w:sz w:val="24"/>
        </w:rPr>
        <w:t>2.廉洁协议</w:t>
      </w:r>
    </w:p>
    <w:p>
      <w:pPr>
        <w:spacing w:line="384" w:lineRule="auto"/>
        <w:ind w:firstLine="720" w:firstLineChars="300"/>
        <w:rPr>
          <w:rFonts w:hint="eastAsia" w:ascii="宋体" w:hAnsi="宋体" w:cs="宋体"/>
          <w:sz w:val="24"/>
        </w:rPr>
      </w:pPr>
      <w:r>
        <w:rPr>
          <w:rFonts w:hint="eastAsia" w:ascii="宋体" w:hAnsi="宋体" w:cs="宋体"/>
          <w:sz w:val="24"/>
        </w:rPr>
        <w:t>3.工业废物处置安全协议书</w:t>
      </w:r>
    </w:p>
    <w:p>
      <w:pPr>
        <w:adjustRightInd/>
        <w:snapToGrid/>
        <w:spacing w:line="384"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sz w:val="24"/>
          <w:lang w:val="en-US" w:eastAsia="zh-CN"/>
        </w:rPr>
        <w:t>4.</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jc w:val="left"/>
        <w:rPr>
          <w:rFonts w:ascii="宋体" w:hAnsi="宋体" w:cs="宋体"/>
          <w:sz w:val="24"/>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val="0"/>
          <w:sz w:val="24"/>
          <w:lang w:val="en-US" w:eastAsia="zh-CN"/>
        </w:rPr>
        <w:t>防疫</w:t>
      </w:r>
      <w:r>
        <w:rPr>
          <w:rFonts w:hint="eastAsia" w:ascii="宋体" w:hAnsi="宋体" w:eastAsia="宋体" w:cs="宋体"/>
          <w:b w:val="0"/>
          <w:sz w:val="24"/>
        </w:rPr>
        <w:t>管理协议书</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ascii="宋体" w:hAnsi="宋体" w:cs="宋体"/>
          <w:sz w:val="24"/>
        </w:rPr>
      </w:pPr>
      <w:r>
        <w:rPr>
          <w:rFonts w:hint="eastAsia" w:ascii="宋体" w:hAnsi="宋体" w:cs="宋体"/>
          <w:sz w:val="24"/>
        </w:rPr>
        <w:t>法定代表人或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spacing w:line="360" w:lineRule="auto"/>
        <w:rPr>
          <w:rFonts w:hint="eastAsia" w:ascii="宋体" w:hAnsi="宋体" w:eastAsia="宋体" w:cs="宋体"/>
          <w:b/>
          <w:bCs/>
          <w:szCs w:val="21"/>
          <w:lang w:val="en-US" w:eastAsia="zh-CN"/>
        </w:rPr>
      </w:pPr>
      <w:r>
        <w:rPr>
          <w:rFonts w:hint="eastAsia" w:ascii="宋体" w:hAnsi="宋体"/>
          <w:b/>
          <w:szCs w:val="21"/>
        </w:rPr>
        <w:t>附件1 发包通知书</w:t>
      </w:r>
    </w:p>
    <w:p>
      <w:pPr>
        <w:spacing w:line="360" w:lineRule="auto"/>
        <w:rPr>
          <w:rFonts w:hint="eastAsia" w:ascii="宋体" w:hAnsi="宋体" w:eastAsia="宋体" w:cs="宋体"/>
          <w:b/>
          <w:bCs/>
          <w:szCs w:val="21"/>
        </w:rPr>
      </w:pPr>
      <w:r>
        <w:rPr>
          <w:rFonts w:hint="eastAsia" w:ascii="宋体" w:hAnsi="宋体" w:eastAsia="宋体" w:cs="宋体"/>
          <w:b/>
          <w:bCs/>
          <w:szCs w:val="21"/>
          <w:lang w:val="en-US" w:eastAsia="zh-CN"/>
        </w:rPr>
        <w:t>附件2：</w:t>
      </w:r>
      <w:r>
        <w:rPr>
          <w:rFonts w:hint="eastAsia" w:ascii="宋体" w:hAnsi="宋体" w:eastAsia="宋体" w:cs="宋体"/>
          <w:b/>
          <w:bCs/>
          <w:szCs w:val="21"/>
        </w:rPr>
        <w:t>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bookmarkStart w:id="85" w:name="_Toc387080836"/>
      <w:bookmarkStart w:id="86" w:name="_Toc389815339"/>
      <w:bookmarkStart w:id="87" w:name="_Toc389815031"/>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3</w:t>
      </w:r>
      <w:r>
        <w:rPr>
          <w:rFonts w:hint="eastAsia" w:ascii="宋体" w:hAnsi="宋体" w:eastAsia="宋体" w:cs="宋体"/>
          <w:b/>
          <w:szCs w:val="21"/>
        </w:rPr>
        <w:t>：</w:t>
      </w:r>
      <w:bookmarkEnd w:id="85"/>
      <w:bookmarkEnd w:id="86"/>
      <w:bookmarkEnd w:id="87"/>
      <w:r>
        <w:rPr>
          <w:rFonts w:hint="eastAsia" w:ascii="宋体" w:hAnsi="宋体" w:eastAsia="宋体" w:cs="宋体"/>
          <w:b/>
          <w:szCs w:val="21"/>
          <w:lang w:val="en-US" w:eastAsia="zh-CN"/>
        </w:rPr>
        <w:t>工业废物处置</w:t>
      </w:r>
      <w:r>
        <w:rPr>
          <w:rFonts w:hint="eastAsia" w:ascii="宋体" w:hAnsi="宋体" w:eastAsia="宋体" w:cs="宋体"/>
          <w:b/>
          <w:szCs w:val="21"/>
        </w:rPr>
        <w:t>安全协议书</w:t>
      </w:r>
    </w:p>
    <w:p>
      <w:pPr>
        <w:spacing w:line="360" w:lineRule="auto"/>
        <w:jc w:val="center"/>
        <w:rPr>
          <w:rFonts w:hint="eastAsia" w:ascii="宋体" w:hAnsi="宋体" w:eastAsia="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工业废物处置安全协议书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88"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宋体" w:hAnsi="宋体" w:eastAsia="宋体"/>
          <w:b w:val="0"/>
          <w:u w:val="single"/>
        </w:rPr>
      </w:pPr>
    </w:p>
    <w:bookmarkEnd w:id="88"/>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left="105"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cs="宋体"/>
          <w:b w:val="0"/>
          <w:bCs w:val="0"/>
          <w:sz w:val="24"/>
          <w:szCs w:val="24"/>
          <w:lang w:val="en-US" w:eastAsia="zh-CN"/>
        </w:rPr>
        <w:t>广州市净水有限公司（  分公司）2022年危险废物处置服</w:t>
      </w:r>
      <w:r>
        <w:rPr>
          <w:rFonts w:hint="eastAsia" w:ascii="宋体" w:hAnsi="宋体" w:eastAsia="宋体"/>
          <w:sz w:val="24"/>
        </w:rPr>
        <w:t>的组成部分，与主合同具有同等法律。</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二、甲方权责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（二）告知乙方需转移、处置的工业废物类型、数量、危险性及注意事项等，不得转移未告知的其他废物。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（三）遵守甲方制定的安全管理要求。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（五）涉及危险废物（或严控废物）的处置，必须按照在约定的地点、方式进行处置。如发生处置地点变更、处置方式变更，必须经甲方书面同意确认。因擅自处理造成事故的，由乙方承担责任。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（六）制定应急预案，在发生事故后，立即按预案开展应急工作。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（二）乙方人员违规进入未经甲方允许的区域，造成事故的，乙方负全部事故责任；乙方人员遭受人身伤害的，乙方负全部责任。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（三）乙方在任何场所发生生产安全事故后，必须在一小时内向甲方报告，迟报或者隐瞒不报生产安全事故，承担事故的全部责任或因工业废物无法安全转移、处置的全部责任。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（五）乙方委托的第三方运输单位或个人，违反本协议的，全部责任均由乙方承担。</w:t>
      </w:r>
    </w:p>
    <w:p>
      <w:pPr>
        <w:pStyle w:val="36"/>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p>
      <w:pPr>
        <w:spacing w:line="560" w:lineRule="exact"/>
        <w:ind w:left="5490" w:leftChars="100" w:hanging="5280" w:hangingChars="2200"/>
        <w:rPr>
          <w:rFonts w:ascii="宋体" w:hAnsi="宋体" w:cs="Arial"/>
          <w:kern w:val="0"/>
          <w:sz w:val="24"/>
        </w:rPr>
      </w:pPr>
      <w:r>
        <w:rPr>
          <w:rFonts w:ascii="宋体" w:hAnsi="宋体" w:cs="宋体"/>
          <w:kern w:val="0"/>
          <w:sz w:val="24"/>
        </w:rPr>
        <w:t>甲方：</w:t>
      </w:r>
      <w:r>
        <w:rPr>
          <w:sz w:val="24"/>
        </w:rPr>
        <w:t xml:space="preserve">                      </w:t>
      </w:r>
      <w:r>
        <w:rPr>
          <w:rFonts w:hint="eastAsia" w:ascii="宋体" w:hAnsi="宋体" w:cs="宋体"/>
          <w:kern w:val="0"/>
          <w:sz w:val="24"/>
        </w:rPr>
        <w:t>　</w:t>
      </w:r>
      <w:r>
        <w:rPr>
          <w:rFonts w:ascii="宋体" w:hAnsi="宋体" w:cs="宋体"/>
          <w:kern w:val="0"/>
          <w:sz w:val="24"/>
        </w:rPr>
        <w:t xml:space="preserve">             乙方：</w:t>
      </w:r>
      <w:r>
        <w:rPr>
          <w:rFonts w:ascii="宋体" w:hAnsi="宋体" w:cs="Arial"/>
          <w:kern w:val="0"/>
          <w:sz w:val="24"/>
        </w:rPr>
        <w:t xml:space="preserve"> </w:t>
      </w:r>
    </w:p>
    <w:p>
      <w:pPr>
        <w:widowControl/>
        <w:spacing w:line="560" w:lineRule="exact"/>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560" w:lineRule="exact"/>
        <w:ind w:firstLine="240" w:firstLineChars="100"/>
        <w:jc w:val="left"/>
        <w:rPr>
          <w:rFonts w:ascii="宋体" w:hAnsi="宋体" w:cs="宋体"/>
          <w:kern w:val="0"/>
          <w:sz w:val="24"/>
        </w:rPr>
      </w:pPr>
      <w:r>
        <w:rPr>
          <w:rFonts w:ascii="宋体" w:hAnsi="宋体" w:cs="宋体"/>
          <w:kern w:val="0"/>
          <w:sz w:val="24"/>
        </w:rPr>
        <w:t>地址：</w:t>
      </w:r>
      <w:r>
        <w:rPr>
          <w:sz w:val="24"/>
        </w:rPr>
        <w:t xml:space="preserve">                        </w:t>
      </w:r>
      <w:r>
        <w:rPr>
          <w:rFonts w:ascii="宋体" w:hAnsi="宋体" w:cs="宋体"/>
          <w:kern w:val="0"/>
          <w:sz w:val="24"/>
        </w:rPr>
        <w:t xml:space="preserve">    　       地址： </w:t>
      </w:r>
    </w:p>
    <w:p>
      <w:pPr>
        <w:widowControl/>
        <w:spacing w:line="560" w:lineRule="exact"/>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w:t>
      </w:r>
      <w:r>
        <w:rPr>
          <w:rFonts w:ascii="宋体" w:hAnsi="宋体" w:cs="宋体"/>
          <w:kern w:val="0"/>
          <w:sz w:val="24"/>
        </w:rPr>
        <w:t xml:space="preserve">     电话：</w:t>
      </w:r>
    </w:p>
    <w:p>
      <w:pPr>
        <w:widowControl/>
        <w:spacing w:line="560" w:lineRule="exact"/>
        <w:ind w:firstLine="1560" w:firstLineChars="650"/>
        <w:jc w:val="left"/>
        <w:rPr>
          <w:rFonts w:ascii="宋体" w:hAnsi="宋体" w:cs="宋体"/>
          <w:kern w:val="0"/>
          <w:sz w:val="24"/>
        </w:rPr>
      </w:pPr>
      <w:r>
        <w:rPr>
          <w:rFonts w:ascii="宋体" w:hAnsi="宋体" w:cs="宋体"/>
          <w:kern w:val="0"/>
          <w:sz w:val="24"/>
        </w:rPr>
        <w:t xml:space="preserve">年   月   日         </w:t>
      </w:r>
      <w:r>
        <w:rPr>
          <w:rFonts w:ascii="宋体" w:hAnsi="宋体" w:cs="宋体"/>
          <w:kern w:val="0"/>
          <w:sz w:val="24"/>
        </w:rPr>
        <w:tab/>
      </w:r>
      <w:r>
        <w:rPr>
          <w:rFonts w:ascii="宋体" w:hAnsi="宋体" w:cs="宋体"/>
          <w:kern w:val="0"/>
          <w:sz w:val="24"/>
        </w:rPr>
        <w:t xml:space="preserve">                年   月    日</w:t>
      </w:r>
    </w:p>
    <w:p>
      <w:pPr>
        <w:pStyle w:val="11"/>
        <w:tabs>
          <w:tab w:val="left" w:pos="1260"/>
        </w:tabs>
        <w:spacing w:line="500" w:lineRule="exact"/>
        <w:jc w:val="left"/>
        <w:rPr>
          <w:rFonts w:hint="eastAsia" w:ascii="宋体" w:hAnsi="宋体" w:eastAsia="宋体" w:cs="宋体"/>
          <w:kern w:val="2"/>
          <w:sz w:val="24"/>
          <w:szCs w:val="24"/>
          <w:lang w:val="en-US" w:eastAsia="zh-CN" w:bidi="ar-SA"/>
        </w:rPr>
      </w:pPr>
    </w:p>
    <w:p>
      <w:pPr>
        <w:pStyle w:val="21"/>
        <w:rPr>
          <w:rFonts w:hint="eastAsia"/>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附件4.</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11"/>
        <w:tabs>
          <w:tab w:val="left" w:pos="1260"/>
        </w:tabs>
        <w:spacing w:line="500" w:lineRule="exact"/>
        <w:jc w:val="both"/>
        <w:rPr>
          <w:rFonts w:hint="eastAsia" w:ascii="仿宋" w:hAnsi="仿宋" w:eastAsia="仿宋" w:cs="仿宋"/>
          <w:b/>
          <w:spacing w:val="100"/>
          <w:w w:val="110"/>
          <w:kern w:val="0"/>
          <w:sz w:val="36"/>
          <w:szCs w:val="36"/>
          <w:u w:val="single"/>
        </w:rPr>
      </w:pPr>
    </w:p>
    <w:p>
      <w:pPr>
        <w:pStyle w:val="46"/>
        <w:rPr>
          <w:rFonts w:hint="eastAsia" w:ascii="宋体" w:hAnsi="宋体" w:cs="宋体"/>
          <w:color w:val="000000"/>
          <w:szCs w:val="21"/>
          <w:highlight w:val="none"/>
        </w:rPr>
      </w:pPr>
      <w:r>
        <w:rPr>
          <w:rFonts w:hint="eastAsia" w:hAnsi="宋体" w:cs="宋体"/>
          <w:color w:val="000000"/>
          <w:szCs w:val="21"/>
          <w:highlight w:val="none"/>
          <w:lang w:eastAsia="zh-CN"/>
        </w:rPr>
        <w:t>附</w:t>
      </w:r>
      <w:r>
        <w:rPr>
          <w:rFonts w:hint="eastAsia" w:ascii="宋体" w:hAnsi="宋体" w:cs="宋体"/>
          <w:color w:val="000000"/>
          <w:szCs w:val="21"/>
          <w:highlight w:val="none"/>
        </w:rPr>
        <w:t>件：</w:t>
      </w:r>
    </w:p>
    <w:p>
      <w:pPr>
        <w:pStyle w:val="46"/>
        <w:rPr>
          <w:rFonts w:hint="eastAsia" w:ascii="宋体" w:hAnsi="宋体" w:cs="宋体"/>
          <w:color w:val="000000"/>
          <w:szCs w:val="21"/>
          <w:highlight w:val="none"/>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pStyle w:val="21"/>
        <w:rPr>
          <w:rFonts w:hint="eastAsia" w:ascii="宋体" w:hAnsi="宋体" w:cs="宋体"/>
          <w:b/>
          <w:bCs/>
          <w:color w:val="000000"/>
          <w:sz w:val="24"/>
          <w:szCs w:val="24"/>
          <w:highlight w:val="none"/>
          <w:lang w:val="en-US" w:eastAsia="zh-CN"/>
        </w:rPr>
      </w:pPr>
    </w:p>
    <w:p>
      <w:pPr>
        <w:pStyle w:val="21"/>
        <w:ind w:left="0" w:leftChars="0" w:firstLine="0" w:firstLineChars="0"/>
        <w:rPr>
          <w:rFonts w:hint="eastAsia" w:ascii="宋体" w:hAnsi="宋体" w:cs="宋体"/>
          <w:b/>
          <w:bCs/>
          <w:color w:val="000000"/>
          <w:sz w:val="24"/>
          <w:szCs w:val="24"/>
          <w:highlight w:val="none"/>
          <w:lang w:val="en-US" w:eastAsia="zh-CN"/>
        </w:rPr>
      </w:pPr>
    </w:p>
    <w:tbl>
      <w:tblPr>
        <w:tblStyle w:val="22"/>
        <w:tblW w:w="9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1"/>
        <w:gridCol w:w="795"/>
        <w:gridCol w:w="661"/>
        <w:gridCol w:w="2158"/>
        <w:gridCol w:w="1321"/>
        <w:gridCol w:w="1014"/>
        <w:gridCol w:w="1282"/>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 w:hRule="atLeast"/>
        </w:trPr>
        <w:tc>
          <w:tcPr>
            <w:tcW w:w="1176"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661"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2158"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32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1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28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90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 w:hRule="atLeast"/>
        </w:trPr>
        <w:tc>
          <w:tcPr>
            <w:tcW w:w="9516"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 w:hRule="atLeast"/>
        </w:trPr>
        <w:tc>
          <w:tcPr>
            <w:tcW w:w="38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79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66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2158"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5521"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8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2158"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79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66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79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9"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67"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2"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9"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5"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 w:hRule="atLeast"/>
        </w:trPr>
        <w:tc>
          <w:tcPr>
            <w:tcW w:w="3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21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3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2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9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9516"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1"/>
              <w:rPr>
                <w:rFonts w:hint="eastAsia"/>
              </w:rPr>
            </w:pPr>
          </w:p>
        </w:tc>
      </w:tr>
    </w:tbl>
    <w:p>
      <w:pPr>
        <w:pStyle w:val="21"/>
        <w:ind w:left="0" w:leftChars="0" w:firstLine="0" w:firstLineChars="0"/>
        <w:rPr>
          <w:rFonts w:hint="eastAsia" w:ascii="宋体" w:hAnsi="宋体" w:cs="宋体"/>
          <w:b/>
          <w:bCs/>
          <w:color w:val="000000"/>
          <w:sz w:val="24"/>
          <w:szCs w:val="24"/>
          <w:highlight w:val="none"/>
          <w:lang w:val="en-US" w:eastAsia="zh-CN"/>
        </w:rPr>
      </w:pPr>
    </w:p>
    <w:tbl>
      <w:tblPr>
        <w:tblStyle w:val="22"/>
        <w:tblW w:w="9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05"/>
        <w:gridCol w:w="464"/>
        <w:gridCol w:w="3748"/>
        <w:gridCol w:w="1024"/>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trPr>
        <w:tc>
          <w:tcPr>
            <w:tcW w:w="749"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6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748"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2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10"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10"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10"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10"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09"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2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6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2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71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71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42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0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2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1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0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2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6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2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4"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2"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2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2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74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8" w:hRule="atLeast"/>
        </w:trPr>
        <w:tc>
          <w:tcPr>
            <w:tcW w:w="9534"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1"/>
              <w:rPr>
                <w:rFonts w:hint="eastAsia"/>
              </w:rPr>
            </w:pPr>
          </w:p>
        </w:tc>
      </w:tr>
    </w:tbl>
    <w:p>
      <w:pPr>
        <w:pStyle w:val="11"/>
        <w:tabs>
          <w:tab w:val="left" w:pos="1260"/>
        </w:tabs>
        <w:spacing w:line="500" w:lineRule="exact"/>
        <w:jc w:val="center"/>
        <w:rPr>
          <w:rFonts w:hint="eastAsia" w:ascii="仿宋" w:hAnsi="仿宋" w:eastAsia="仿宋" w:cs="仿宋"/>
          <w:b/>
          <w:spacing w:val="100"/>
          <w:w w:val="110"/>
          <w:kern w:val="0"/>
          <w:sz w:val="36"/>
          <w:szCs w:val="36"/>
          <w:u w:val="single"/>
        </w:rPr>
      </w:pPr>
    </w:p>
    <w:p>
      <w:pPr>
        <w:pStyle w:val="12"/>
        <w:rPr>
          <w:rFonts w:hint="eastAsia" w:ascii="仿宋" w:hAnsi="仿宋" w:eastAsia="仿宋" w:cs="仿宋"/>
          <w:b/>
          <w:spacing w:val="100"/>
          <w:w w:val="110"/>
          <w:kern w:val="0"/>
          <w:sz w:val="36"/>
          <w:szCs w:val="36"/>
          <w:u w:val="single"/>
        </w:rPr>
      </w:pPr>
    </w:p>
    <w:p>
      <w:pPr>
        <w:pStyle w:val="13"/>
        <w:rPr>
          <w:rFonts w:hint="eastAsia" w:ascii="仿宋" w:hAnsi="仿宋" w:eastAsia="仿宋" w:cs="仿宋"/>
          <w:b/>
          <w:spacing w:val="100"/>
          <w:w w:val="110"/>
          <w:kern w:val="0"/>
          <w:sz w:val="36"/>
          <w:szCs w:val="36"/>
          <w:u w:val="single"/>
        </w:rPr>
      </w:pPr>
    </w:p>
    <w:p>
      <w:pPr>
        <w:rPr>
          <w:rFonts w:hint="eastAsia" w:ascii="仿宋" w:hAnsi="仿宋" w:eastAsia="仿宋" w:cs="仿宋"/>
          <w:b/>
          <w:spacing w:val="100"/>
          <w:w w:val="110"/>
          <w:kern w:val="0"/>
          <w:sz w:val="36"/>
          <w:szCs w:val="36"/>
          <w:u w:val="single"/>
        </w:rPr>
      </w:pPr>
    </w:p>
    <w:p>
      <w:pPr>
        <w:pStyle w:val="2"/>
        <w:rPr>
          <w:rFonts w:hint="eastAsia" w:ascii="仿宋" w:hAnsi="仿宋" w:eastAsia="仿宋" w:cs="仿宋"/>
          <w:b/>
          <w:spacing w:val="100"/>
          <w:w w:val="110"/>
          <w:kern w:val="0"/>
          <w:sz w:val="36"/>
          <w:szCs w:val="36"/>
          <w:u w:val="single"/>
        </w:rPr>
      </w:pPr>
    </w:p>
    <w:p>
      <w:pPr>
        <w:pStyle w:val="2"/>
        <w:rPr>
          <w:rFonts w:hint="eastAsia" w:ascii="仿宋" w:hAnsi="仿宋" w:eastAsia="仿宋" w:cs="仿宋"/>
          <w:b/>
          <w:spacing w:val="100"/>
          <w:w w:val="110"/>
          <w:kern w:val="0"/>
          <w:sz w:val="36"/>
          <w:szCs w:val="36"/>
          <w:u w:val="single"/>
        </w:rPr>
      </w:pPr>
    </w:p>
    <w:p>
      <w:pPr>
        <w:pStyle w:val="2"/>
        <w:rPr>
          <w:rFonts w:hint="eastAsia" w:ascii="仿宋" w:hAnsi="仿宋" w:eastAsia="仿宋" w:cs="仿宋"/>
          <w:b/>
          <w:spacing w:val="100"/>
          <w:w w:val="110"/>
          <w:kern w:val="0"/>
          <w:sz w:val="36"/>
          <w:szCs w:val="36"/>
          <w:u w:val="single"/>
        </w:rPr>
      </w:pPr>
    </w:p>
    <w:p>
      <w:pPr>
        <w:pStyle w:val="2"/>
        <w:rPr>
          <w:rFonts w:hint="eastAsia" w:ascii="仿宋" w:hAnsi="仿宋" w:eastAsia="仿宋" w:cs="仿宋"/>
          <w:b/>
          <w:spacing w:val="100"/>
          <w:w w:val="110"/>
          <w:kern w:val="0"/>
          <w:sz w:val="36"/>
          <w:szCs w:val="36"/>
          <w:u w:val="single"/>
        </w:rPr>
      </w:pPr>
    </w:p>
    <w:p>
      <w:pPr>
        <w:pStyle w:val="2"/>
        <w:rPr>
          <w:rFonts w:hint="eastAsia" w:ascii="仿宋" w:hAnsi="仿宋" w:eastAsia="仿宋" w:cs="仿宋"/>
          <w:b/>
          <w:spacing w:val="100"/>
          <w:w w:val="110"/>
          <w:kern w:val="0"/>
          <w:sz w:val="36"/>
          <w:szCs w:val="36"/>
          <w:u w:val="single"/>
        </w:rPr>
      </w:pPr>
    </w:p>
    <w:p>
      <w:pPr>
        <w:pStyle w:val="2"/>
        <w:rPr>
          <w:rFonts w:hint="eastAsia" w:ascii="仿宋" w:hAnsi="仿宋" w:eastAsia="仿宋" w:cs="仿宋"/>
          <w:b/>
          <w:spacing w:val="100"/>
          <w:w w:val="110"/>
          <w:kern w:val="0"/>
          <w:sz w:val="36"/>
          <w:szCs w:val="36"/>
          <w:u w:val="single"/>
        </w:rPr>
      </w:pPr>
    </w:p>
    <w:p>
      <w:pPr>
        <w:pStyle w:val="2"/>
        <w:rPr>
          <w:rFonts w:hint="eastAsia" w:ascii="仿宋" w:hAnsi="仿宋" w:eastAsia="仿宋" w:cs="仿宋"/>
          <w:b/>
          <w:spacing w:val="100"/>
          <w:w w:val="110"/>
          <w:kern w:val="0"/>
          <w:sz w:val="36"/>
          <w:szCs w:val="36"/>
          <w:u w:val="single"/>
        </w:rPr>
      </w:pPr>
    </w:p>
    <w:p>
      <w:pPr>
        <w:pStyle w:val="2"/>
        <w:rPr>
          <w:rFonts w:hint="eastAsia" w:ascii="仿宋" w:hAnsi="仿宋" w:eastAsia="仿宋" w:cs="仿宋"/>
          <w:b/>
          <w:spacing w:val="100"/>
          <w:w w:val="110"/>
          <w:kern w:val="0"/>
          <w:sz w:val="36"/>
          <w:szCs w:val="36"/>
          <w:u w:val="single"/>
        </w:rPr>
      </w:pPr>
    </w:p>
    <w:p>
      <w:pPr>
        <w:pStyle w:val="2"/>
        <w:rPr>
          <w:rFonts w:hint="eastAsia" w:ascii="仿宋" w:hAnsi="仿宋" w:eastAsia="仿宋" w:cs="仿宋"/>
          <w:b/>
          <w:spacing w:val="100"/>
          <w:w w:val="110"/>
          <w:kern w:val="0"/>
          <w:sz w:val="36"/>
          <w:szCs w:val="36"/>
          <w:u w:val="single"/>
        </w:rPr>
      </w:pPr>
    </w:p>
    <w:p>
      <w:pPr>
        <w:pStyle w:val="2"/>
        <w:rPr>
          <w:rFonts w:hint="eastAsia" w:ascii="仿宋" w:hAnsi="仿宋" w:eastAsia="仿宋" w:cs="仿宋"/>
          <w:b/>
          <w:spacing w:val="100"/>
          <w:w w:val="110"/>
          <w:kern w:val="0"/>
          <w:sz w:val="36"/>
          <w:szCs w:val="36"/>
          <w:u w:val="single"/>
        </w:rPr>
      </w:pPr>
    </w:p>
    <w:p>
      <w:pPr>
        <w:spacing w:line="384" w:lineRule="auto"/>
        <w:jc w:val="left"/>
        <w:rPr>
          <w:rFonts w:hint="eastAsia" w:ascii="宋体" w:hAnsi="宋体" w:eastAsia="宋体" w:cs="宋体"/>
          <w:b/>
          <w:bCs/>
          <w:sz w:val="24"/>
          <w:szCs w:val="24"/>
        </w:rPr>
      </w:pPr>
      <w:r>
        <w:rPr>
          <w:rFonts w:hint="eastAsia" w:ascii="宋体" w:hAnsi="宋体" w:eastAsia="宋体" w:cs="宋体"/>
          <w:b/>
          <w:bCs/>
          <w:sz w:val="21"/>
          <w:szCs w:val="21"/>
          <w:lang w:val="en-US" w:eastAsia="zh-CN"/>
        </w:rPr>
        <w:t>附件5.防疫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5"/>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5"/>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6"/>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pStyle w:val="11"/>
        <w:tabs>
          <w:tab w:val="left" w:pos="1260"/>
        </w:tabs>
        <w:spacing w:line="500" w:lineRule="exact"/>
        <w:jc w:val="center"/>
        <w:rPr>
          <w:rFonts w:hint="eastAsia" w:ascii="仿宋" w:hAnsi="仿宋" w:eastAsia="仿宋" w:cs="仿宋"/>
          <w:b/>
          <w:spacing w:val="100"/>
          <w:w w:val="110"/>
          <w:kern w:val="0"/>
          <w:sz w:val="36"/>
          <w:szCs w:val="36"/>
          <w:u w:val="single"/>
        </w:rPr>
      </w:pPr>
    </w:p>
    <w:p>
      <w:pPr>
        <w:pStyle w:val="11"/>
        <w:tabs>
          <w:tab w:val="left" w:pos="1260"/>
        </w:tabs>
        <w:spacing w:line="500" w:lineRule="exact"/>
        <w:jc w:val="center"/>
        <w:rPr>
          <w:rFonts w:hint="eastAsia" w:ascii="仿宋" w:hAnsi="仿宋" w:eastAsia="仿宋" w:cs="仿宋"/>
          <w:b/>
          <w:spacing w:val="100"/>
          <w:w w:val="110"/>
          <w:kern w:val="0"/>
          <w:sz w:val="36"/>
          <w:szCs w:val="36"/>
          <w:u w:val="single"/>
        </w:rPr>
      </w:pPr>
    </w:p>
    <w:p>
      <w:pPr>
        <w:pStyle w:val="11"/>
        <w:tabs>
          <w:tab w:val="left" w:pos="1260"/>
        </w:tabs>
        <w:spacing w:line="500" w:lineRule="exact"/>
        <w:jc w:val="center"/>
        <w:rPr>
          <w:rFonts w:hint="eastAsia" w:ascii="仿宋" w:hAnsi="仿宋" w:eastAsia="仿宋" w:cs="仿宋"/>
          <w:b/>
          <w:spacing w:val="100"/>
          <w:w w:val="110"/>
          <w:kern w:val="0"/>
          <w:sz w:val="36"/>
          <w:szCs w:val="36"/>
          <w:u w:val="single"/>
        </w:rPr>
      </w:pPr>
    </w:p>
    <w:p>
      <w:pPr>
        <w:pStyle w:val="11"/>
        <w:tabs>
          <w:tab w:val="left" w:pos="1260"/>
        </w:tabs>
        <w:spacing w:line="500" w:lineRule="exact"/>
        <w:jc w:val="center"/>
        <w:rPr>
          <w:rFonts w:hint="eastAsia" w:ascii="仿宋" w:hAnsi="仿宋" w:eastAsia="仿宋" w:cs="仿宋"/>
          <w:b/>
          <w:spacing w:val="100"/>
          <w:w w:val="110"/>
          <w:kern w:val="0"/>
          <w:sz w:val="36"/>
          <w:szCs w:val="36"/>
          <w:u w:val="single"/>
        </w:rPr>
      </w:pPr>
    </w:p>
    <w:p>
      <w:pPr>
        <w:pStyle w:val="11"/>
        <w:tabs>
          <w:tab w:val="left" w:pos="1260"/>
        </w:tabs>
        <w:spacing w:line="500" w:lineRule="exact"/>
        <w:jc w:val="center"/>
        <w:rPr>
          <w:rFonts w:hint="eastAsia" w:ascii="仿宋" w:hAnsi="仿宋" w:eastAsia="仿宋" w:cs="仿宋"/>
          <w:b/>
          <w:spacing w:val="100"/>
          <w:w w:val="110"/>
          <w:kern w:val="0"/>
          <w:sz w:val="36"/>
          <w:szCs w:val="36"/>
          <w:u w:val="single"/>
        </w:rPr>
      </w:pPr>
    </w:p>
    <w:p>
      <w:pPr>
        <w:pStyle w:val="11"/>
        <w:tabs>
          <w:tab w:val="left" w:pos="1260"/>
        </w:tabs>
        <w:spacing w:line="500" w:lineRule="exact"/>
        <w:jc w:val="center"/>
        <w:rPr>
          <w:rFonts w:hint="eastAsia" w:ascii="仿宋" w:hAnsi="仿宋" w:eastAsia="仿宋" w:cs="仿宋"/>
          <w:b/>
          <w:spacing w:val="100"/>
          <w:w w:val="110"/>
          <w:kern w:val="0"/>
          <w:sz w:val="36"/>
          <w:szCs w:val="36"/>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3"/>
        <w:rPr>
          <w:color w:val="auto"/>
          <w:highlight w:val="none"/>
        </w:rPr>
      </w:pPr>
      <w:bookmarkStart w:id="89" w:name="_Toc3723"/>
      <w:bookmarkStart w:id="90" w:name="_Toc5129"/>
      <w:bookmarkStart w:id="91" w:name="_Toc8147"/>
      <w:bookmarkStart w:id="92" w:name="_Toc30824"/>
      <w:bookmarkStart w:id="93" w:name="_Toc6230"/>
      <w:bookmarkStart w:id="94" w:name="_Toc23515"/>
      <w:bookmarkStart w:id="95" w:name="_Toc16552"/>
      <w:bookmarkStart w:id="96" w:name="_Toc12169"/>
      <w:bookmarkStart w:id="97" w:name="_Toc28358"/>
      <w:bookmarkStart w:id="98" w:name="_Toc1563"/>
      <w:bookmarkStart w:id="99" w:name="_Toc21847"/>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2334895</wp:posOffset>
                </wp:positionH>
                <wp:positionV relativeFrom="paragraph">
                  <wp:posOffset>481965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85pt;margin-top:37.95pt;height:0pt;width:75.5pt;z-index:251669504;mso-width-relative:page;mso-height-relative:page;" filled="f" stroked="t" coordsize="21600,21600" o:gfxdata="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3cK7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80010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6.3pt;height:0pt;width:75.5pt;z-index:251668480;mso-width-relative:page;mso-height-relative:page;" filled="f" stroked="t" coordsize="21600,21600" o:gfxdata="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4mjS9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89"/>
      <w:bookmarkEnd w:id="90"/>
      <w:bookmarkEnd w:id="91"/>
      <w:bookmarkEnd w:id="92"/>
      <w:bookmarkEnd w:id="93"/>
      <w:bookmarkEnd w:id="94"/>
      <w:bookmarkEnd w:id="95"/>
      <w:bookmarkEnd w:id="96"/>
      <w:bookmarkEnd w:id="97"/>
      <w:bookmarkEnd w:id="98"/>
      <w:bookmarkEnd w:id="99"/>
    </w:p>
    <w:p>
      <w:pPr>
        <w:pStyle w:val="36"/>
        <w:rPr>
          <w:color w:val="auto"/>
          <w:highlight w:val="none"/>
        </w:rPr>
      </w:pPr>
    </w:p>
    <w:p>
      <w:pPr>
        <w:pStyle w:val="3"/>
        <w:rPr>
          <w:color w:val="auto"/>
          <w:highlight w:val="none"/>
        </w:rPr>
      </w:pPr>
      <w:bookmarkStart w:id="100" w:name="_Toc5342"/>
      <w:bookmarkStart w:id="101" w:name="_Toc17119"/>
      <w:bookmarkStart w:id="102" w:name="_Toc21675"/>
      <w:bookmarkStart w:id="103" w:name="_Toc24815"/>
      <w:bookmarkStart w:id="104" w:name="_Toc22764"/>
      <w:bookmarkStart w:id="105" w:name="_Toc88209951"/>
      <w:bookmarkStart w:id="106" w:name="_Toc12769"/>
      <w:bookmarkStart w:id="107" w:name="_Toc31564"/>
      <w:bookmarkStart w:id="108" w:name="_Toc30157"/>
      <w:bookmarkStart w:id="109" w:name="_Toc87616388"/>
      <w:bookmarkStart w:id="110" w:name="_Toc24490"/>
      <w:bookmarkStart w:id="111" w:name="_Toc12610"/>
      <w:bookmarkStart w:id="112" w:name="_Toc10840"/>
      <w:r>
        <w:rPr>
          <w:rFonts w:hint="eastAsia"/>
          <w:color w:val="auto"/>
          <w:highlight w:val="none"/>
        </w:rPr>
        <w:t>响应文件</w:t>
      </w:r>
      <w:r>
        <w:rPr>
          <w:rFonts w:hint="eastAsia"/>
          <w:color w:val="auto"/>
          <w:highlight w:val="none"/>
          <w:lang w:val="en-US" w:eastAsia="zh-CN"/>
        </w:rPr>
        <w:t>格式要求</w:t>
      </w:r>
      <w:bookmarkEnd w:id="100"/>
      <w:bookmarkEnd w:id="101"/>
      <w:bookmarkEnd w:id="102"/>
      <w:bookmarkEnd w:id="103"/>
      <w:bookmarkEnd w:id="104"/>
      <w:bookmarkEnd w:id="105"/>
      <w:bookmarkEnd w:id="106"/>
      <w:bookmarkEnd w:id="107"/>
      <w:bookmarkEnd w:id="108"/>
      <w:bookmarkEnd w:id="109"/>
      <w:bookmarkEnd w:id="110"/>
      <w:bookmarkEnd w:id="111"/>
      <w:bookmarkEnd w:id="11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3" w:name="_Toc87616389"/>
      <w:bookmarkStart w:id="114" w:name="_Toc88209952"/>
      <w:r>
        <w:rPr>
          <w:rFonts w:hint="eastAsia" w:ascii="仿宋_GB2312" w:eastAsia="仿宋_GB2312"/>
          <w:color w:val="auto"/>
          <w:sz w:val="28"/>
          <w:szCs w:val="28"/>
          <w:highlight w:val="none"/>
        </w:rPr>
        <w:t>1.响应函</w:t>
      </w:r>
      <w:bookmarkEnd w:id="113"/>
      <w:bookmarkEnd w:id="114"/>
    </w:p>
    <w:p>
      <w:pPr>
        <w:spacing w:line="600" w:lineRule="exact"/>
        <w:rPr>
          <w:rFonts w:hint="eastAsia" w:ascii="仿宋_GB2312" w:eastAsia="仿宋_GB2312"/>
          <w:color w:val="auto"/>
          <w:sz w:val="28"/>
          <w:szCs w:val="28"/>
          <w:highlight w:val="none"/>
        </w:rPr>
      </w:pPr>
      <w:bookmarkStart w:id="115" w:name="_Toc88209953"/>
      <w:bookmarkStart w:id="116" w:name="_Toc87616390"/>
      <w:r>
        <w:rPr>
          <w:rFonts w:hint="eastAsia" w:ascii="仿宋_GB2312" w:eastAsia="仿宋_GB2312"/>
          <w:color w:val="auto"/>
          <w:sz w:val="28"/>
          <w:szCs w:val="28"/>
          <w:highlight w:val="none"/>
        </w:rPr>
        <w:t>2.法定代表人证明或授权委托书</w:t>
      </w:r>
      <w:bookmarkEnd w:id="115"/>
      <w:bookmarkEnd w:id="116"/>
      <w:bookmarkStart w:id="117" w:name="_Toc87616393"/>
      <w:bookmarkStart w:id="11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7"/>
      <w:bookmarkEnd w:id="11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pPr>
    </w:p>
    <w:p>
      <w:pPr>
        <w:pStyle w:val="5"/>
        <w:rPr>
          <w:rFonts w:asciiTheme="minorEastAsia" w:hAnsiTheme="minorEastAsia" w:eastAsiaTheme="minorEastAsia"/>
          <w:color w:val="auto"/>
          <w:sz w:val="28"/>
          <w:szCs w:val="28"/>
          <w:highlight w:val="none"/>
        </w:rPr>
      </w:pPr>
      <w:bookmarkStart w:id="119" w:name="_Toc88209957"/>
      <w:bookmarkStart w:id="120" w:name="_Toc87616394"/>
      <w:bookmarkStart w:id="121" w:name="_Toc28619645"/>
      <w:bookmarkStart w:id="122" w:name="_Toc6313"/>
      <w:bookmarkStart w:id="123" w:name="_Toc12665"/>
      <w:r>
        <w:rPr>
          <w:rFonts w:hint="eastAsia" w:asciiTheme="minorEastAsia" w:hAnsiTheme="minorEastAsia" w:eastAsiaTheme="minorEastAsia"/>
          <w:color w:val="auto"/>
          <w:sz w:val="28"/>
          <w:szCs w:val="28"/>
          <w:highlight w:val="none"/>
        </w:rPr>
        <w:t>1.响应函</w:t>
      </w:r>
      <w:bookmarkEnd w:id="119"/>
      <w:bookmarkEnd w:id="120"/>
      <w:bookmarkEnd w:id="121"/>
      <w:bookmarkEnd w:id="122"/>
      <w:bookmarkEnd w:id="12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4" w:name="_Toc87616395"/>
      <w:bookmarkStart w:id="125" w:name="_Toc88209958"/>
      <w:bookmarkStart w:id="126" w:name="_Toc22527"/>
      <w:bookmarkStart w:id="127"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4"/>
      <w:bookmarkEnd w:id="125"/>
      <w:bookmarkEnd w:id="126"/>
      <w:bookmarkEnd w:id="12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8" w:name="_Toc88209963"/>
      <w:bookmarkStart w:id="129" w:name="_Toc8086"/>
      <w:bookmarkStart w:id="130" w:name="_Toc87616400"/>
      <w:bookmarkStart w:id="131"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lang w:val="en-US" w:eastAsia="zh-CN"/>
        </w:rPr>
        <w:t>龙归分公司龙归分公司2022年危险废物处置服务</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33" w:name="_Toc19423"/>
      <w:bookmarkStart w:id="134"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3"/>
      <w:bookmarkEnd w:id="134"/>
      <w:bookmarkStart w:id="139" w:name="_GoBack"/>
      <w:bookmarkEnd w:id="139"/>
    </w:p>
    <w:tbl>
      <w:tblPr>
        <w:tblStyle w:val="2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87"/>
        <w:gridCol w:w="709"/>
        <w:gridCol w:w="1534"/>
        <w:gridCol w:w="852"/>
        <w:gridCol w:w="851"/>
        <w:gridCol w:w="993"/>
        <w:gridCol w:w="977"/>
        <w:gridCol w:w="140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50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仿宋" w:hAnsi="仿宋" w:eastAsia="仿宋" w:cs="仿宋"/>
                <w:sz w:val="36"/>
                <w:szCs w:val="36"/>
              </w:rPr>
            </w:pPr>
            <w:r>
              <w:rPr>
                <w:rFonts w:hint="eastAsia" w:ascii="仿宋" w:hAnsi="仿宋" w:eastAsia="仿宋"/>
                <w:b/>
                <w:bCs/>
                <w:sz w:val="36"/>
                <w:szCs w:val="36"/>
              </w:rPr>
              <w:t>危险废物处理处置报价单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hint="default" w:ascii="仿宋" w:hAnsi="仿宋" w:eastAsia="仿宋" w:cs="仿宋"/>
                <w:sz w:val="24"/>
                <w:szCs w:val="24"/>
                <w:lang w:val="en-US" w:eastAsia="zh-CN"/>
              </w:rPr>
            </w:pPr>
            <w:r>
              <w:rPr>
                <w:rFonts w:hint="eastAsia" w:ascii="仿宋" w:hAnsi="仿宋" w:eastAsia="仿宋" w:cs="仿宋"/>
                <w:sz w:val="24"/>
              </w:rPr>
              <w:t>产废单位（甲方）：</w:t>
            </w:r>
            <w:r>
              <w:rPr>
                <w:rFonts w:hint="eastAsia" w:ascii="仿宋" w:hAnsi="仿宋" w:eastAsia="仿宋" w:cs="仿宋"/>
                <w:sz w:val="24"/>
                <w:lang w:val="en-US" w:eastAsia="zh-CN"/>
              </w:rPr>
              <w:t>龙归分公司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00"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仿宋" w:hAnsi="仿宋" w:eastAsia="仿宋" w:cs="仿宋"/>
                <w:sz w:val="24"/>
              </w:rPr>
            </w:pPr>
            <w:r>
              <w:rPr>
                <w:rFonts w:hint="eastAsia" w:ascii="仿宋" w:hAnsi="仿宋" w:eastAsia="仿宋" w:cs="仿宋"/>
                <w:sz w:val="24"/>
              </w:rPr>
              <w:t xml:space="preserve">处置单位（乙方）：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cs="Times New Roman"/>
                <w:sz w:val="24"/>
              </w:rPr>
            </w:pPr>
            <w:r>
              <w:rPr>
                <w:rFonts w:hint="eastAsia" w:ascii="仿宋" w:hAnsi="仿宋" w:eastAsia="仿宋"/>
                <w:sz w:val="24"/>
              </w:rPr>
              <w:t>序号</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废物类别</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废物代码</w:t>
            </w:r>
          </w:p>
        </w:tc>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年预计量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包装方式</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处理方式</w:t>
            </w: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处理单价￥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付款方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1</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废机油</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仿宋" w:hAnsi="仿宋" w:eastAsia="仿宋"/>
                <w:sz w:val="24"/>
                <w:highlight w:val="yellow"/>
              </w:rPr>
            </w:pPr>
            <w:r>
              <w:rPr>
                <w:rFonts w:ascii="仿宋" w:hAnsi="仿宋" w:eastAsia="仿宋"/>
                <w:sz w:val="24"/>
              </w:rPr>
              <w:t>HW08</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仿宋" w:hAnsi="仿宋" w:eastAsia="仿宋"/>
                <w:sz w:val="24"/>
                <w:highlight w:val="yellow"/>
                <w:lang w:val="en-US" w:eastAsia="zh-CN"/>
              </w:rPr>
            </w:pPr>
            <w:r>
              <w:rPr>
                <w:rFonts w:hint="eastAsia" w:ascii="仿宋" w:hAnsi="仿宋" w:eastAsia="仿宋"/>
                <w:sz w:val="24"/>
                <w:highlight w:val="none"/>
                <w:lang w:val="en-US" w:eastAsia="zh-CN"/>
              </w:rPr>
              <w:t>900-214-08</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0.8</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2</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实验室废液</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900-047-49</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4</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r>
              <w:rPr>
                <w:rFonts w:hint="eastAsia" w:ascii="仿宋" w:hAnsi="仿宋" w:eastAsia="仿宋"/>
                <w:sz w:val="24"/>
              </w:rPr>
              <w:t>3</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废包装物</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仿宋" w:hAnsi="仿宋" w:eastAsia="仿宋"/>
                <w:sz w:val="24"/>
              </w:rPr>
            </w:pPr>
            <w:r>
              <w:rPr>
                <w:rFonts w:ascii="仿宋" w:hAnsi="仿宋" w:eastAsia="仿宋"/>
                <w:sz w:val="24"/>
              </w:rPr>
              <w:t>HW49</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900-041-49</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sz w:val="24"/>
                <w:lang w:val="en-US" w:eastAsia="zh-CN"/>
              </w:rPr>
            </w:pPr>
            <w:r>
              <w:rPr>
                <w:rFonts w:hint="eastAsia" w:ascii="仿宋" w:hAnsi="仿宋" w:eastAsia="仿宋"/>
                <w:sz w:val="24"/>
                <w:lang w:val="en-US" w:eastAsia="zh-CN"/>
              </w:rPr>
              <w:t>0.1</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ascii="仿宋" w:hAnsi="仿宋" w:eastAsia="仿宋" w:cs="仿宋"/>
                <w:sz w:val="24"/>
              </w:rPr>
            </w:pPr>
            <w:r>
              <w:rPr>
                <w:rFonts w:hint="eastAsia" w:ascii="仿宋" w:hAnsi="仿宋" w:eastAsia="仿宋"/>
                <w:sz w:val="24"/>
              </w:rPr>
              <w:t>备注</w:t>
            </w:r>
          </w:p>
        </w:tc>
        <w:tc>
          <w:tcPr>
            <w:tcW w:w="9958" w:type="dxa"/>
            <w:gridSpan w:val="9"/>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00" w:lineRule="auto"/>
              <w:jc w:val="left"/>
              <w:rPr>
                <w:rFonts w:ascii="仿宋" w:hAnsi="仿宋" w:eastAsia="仿宋"/>
                <w:sz w:val="24"/>
              </w:rPr>
            </w:pPr>
            <w:r>
              <w:rPr>
                <w:rFonts w:hint="eastAsia" w:ascii="仿宋" w:hAnsi="仿宋" w:eastAsia="仿宋"/>
                <w:sz w:val="24"/>
              </w:rPr>
              <w:t>1.此报价单为合同编号：</w:t>
            </w:r>
            <w:r>
              <w:rPr>
                <w:rFonts w:hint="eastAsia" w:ascii="仿宋" w:hAnsi="仿宋" w:eastAsia="仿宋"/>
                <w:sz w:val="24"/>
                <w:u w:val="single"/>
              </w:rPr>
              <w:t xml:space="preserve">                            </w:t>
            </w:r>
            <w:r>
              <w:rPr>
                <w:rFonts w:hint="eastAsia" w:ascii="仿宋" w:hAnsi="仿宋" w:eastAsia="仿宋"/>
                <w:sz w:val="24"/>
              </w:rPr>
              <w:t>的合同附件。</w:t>
            </w:r>
          </w:p>
          <w:p>
            <w:pPr>
              <w:spacing w:line="300" w:lineRule="auto"/>
              <w:jc w:val="left"/>
              <w:rPr>
                <w:rFonts w:ascii="仿宋" w:hAnsi="仿宋" w:eastAsia="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以上各类废物实际收运量小于或等于本合同约定的年预计量时，乙方按甲方废物实际量与单价乘积计算费用；若实际收运量大于本合同约定的年预计量时，超出部分乙方有权拒收或双方另行协商确定。</w:t>
            </w:r>
          </w:p>
          <w:p>
            <w:pPr>
              <w:numPr>
                <w:ilvl w:val="0"/>
                <w:numId w:val="0"/>
              </w:numPr>
              <w:spacing w:line="300" w:lineRule="auto"/>
              <w:jc w:val="left"/>
              <w:rPr>
                <w:rFonts w:ascii="仿宋" w:hAnsi="仿宋" w:eastAsia="仿宋"/>
                <w:sz w:val="24"/>
              </w:rPr>
            </w:pPr>
            <w:r>
              <w:rPr>
                <w:rFonts w:ascii="仿宋" w:hAnsi="仿宋" w:eastAsia="仿宋" w:cs="仿宋"/>
                <w:sz w:val="24"/>
              </w:rPr>
              <w:t>3</w:t>
            </w:r>
            <w:r>
              <w:rPr>
                <w:rFonts w:hint="eastAsia" w:ascii="仿宋" w:hAnsi="仿宋" w:eastAsia="仿宋" w:cs="仿宋"/>
                <w:sz w:val="24"/>
              </w:rPr>
              <w:t>.以上报价含税，合同期内乙方免费运输以上废物</w:t>
            </w:r>
            <w:r>
              <w:rPr>
                <w:rFonts w:hint="eastAsia" w:ascii="仿宋" w:hAnsi="仿宋" w:eastAsia="仿宋" w:cs="仿宋"/>
                <w:sz w:val="24"/>
                <w:u w:val="single"/>
              </w:rPr>
              <w:t>【3】</w:t>
            </w:r>
            <w:r>
              <w:rPr>
                <w:rFonts w:hint="eastAsia" w:ascii="仿宋" w:hAnsi="仿宋" w:eastAsia="仿宋" w:cs="仿宋"/>
                <w:sz w:val="24"/>
              </w:rPr>
              <w:t>次。</w:t>
            </w:r>
          </w:p>
          <w:p>
            <w:pPr>
              <w:spacing w:line="300" w:lineRule="auto"/>
              <w:ind w:left="360"/>
              <w:jc w:val="left"/>
              <w:rPr>
                <w:rFonts w:ascii="仿宋" w:hAnsi="仿宋" w:eastAsia="仿宋"/>
                <w:sz w:val="24"/>
              </w:rPr>
            </w:pPr>
          </w:p>
          <w:p>
            <w:pPr>
              <w:spacing w:line="300" w:lineRule="auto"/>
              <w:ind w:left="360"/>
              <w:jc w:val="left"/>
              <w:rPr>
                <w:rFonts w:ascii="仿宋" w:hAnsi="仿宋" w:eastAsia="仿宋"/>
                <w:sz w:val="24"/>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500" w:lineRule="exact"/>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jc w:val="left"/>
        <w:rPr>
          <w:rFonts w:hint="eastAsia"/>
          <w:lang w:eastAsia="zh-CN"/>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1"/>
        <w:ind w:left="0" w:leftChars="0" w:firstLine="0" w:firstLineChars="0"/>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35" w:name="_Toc16386"/>
      <w:bookmarkStart w:id="136" w:name="_Toc88209965"/>
      <w:bookmarkStart w:id="137" w:name="_Toc87616402"/>
      <w:bookmarkStart w:id="138"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5"/>
      <w:bookmarkEnd w:id="136"/>
      <w:bookmarkEnd w:id="137"/>
      <w:bookmarkEnd w:id="13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YmI1OWNkYmQwYWE4YjcyODJlOGIwOTQ0MmFkZDcifQ=="/>
  </w:docVars>
  <w:rsids>
    <w:rsidRoot w:val="005D618A"/>
    <w:rsid w:val="003D60BA"/>
    <w:rsid w:val="00411689"/>
    <w:rsid w:val="005D618A"/>
    <w:rsid w:val="00911ECD"/>
    <w:rsid w:val="009A167B"/>
    <w:rsid w:val="00A042E0"/>
    <w:rsid w:val="00B26BB1"/>
    <w:rsid w:val="00B26E21"/>
    <w:rsid w:val="00F83B64"/>
    <w:rsid w:val="013E3461"/>
    <w:rsid w:val="02090C75"/>
    <w:rsid w:val="02A23A3C"/>
    <w:rsid w:val="03307D9E"/>
    <w:rsid w:val="039110A9"/>
    <w:rsid w:val="03A11CF5"/>
    <w:rsid w:val="03AC246A"/>
    <w:rsid w:val="03B23056"/>
    <w:rsid w:val="03CC54B6"/>
    <w:rsid w:val="03DC3EBA"/>
    <w:rsid w:val="03F9794D"/>
    <w:rsid w:val="046A2461"/>
    <w:rsid w:val="051C2970"/>
    <w:rsid w:val="05CC643C"/>
    <w:rsid w:val="06C64829"/>
    <w:rsid w:val="077D16D2"/>
    <w:rsid w:val="082A69F3"/>
    <w:rsid w:val="08675FC8"/>
    <w:rsid w:val="08E204A3"/>
    <w:rsid w:val="09B713FD"/>
    <w:rsid w:val="09DC2017"/>
    <w:rsid w:val="09EF6ACC"/>
    <w:rsid w:val="0A315056"/>
    <w:rsid w:val="0A8C746C"/>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059278A"/>
    <w:rsid w:val="111703D2"/>
    <w:rsid w:val="112B101A"/>
    <w:rsid w:val="119B53FC"/>
    <w:rsid w:val="12424CDC"/>
    <w:rsid w:val="129A2738"/>
    <w:rsid w:val="12B56BF1"/>
    <w:rsid w:val="12CB1A89"/>
    <w:rsid w:val="12CF6B9E"/>
    <w:rsid w:val="131840FB"/>
    <w:rsid w:val="13467417"/>
    <w:rsid w:val="136E76CF"/>
    <w:rsid w:val="136F0D71"/>
    <w:rsid w:val="145F08C6"/>
    <w:rsid w:val="149E71E2"/>
    <w:rsid w:val="15753835"/>
    <w:rsid w:val="15776308"/>
    <w:rsid w:val="15BC6B3C"/>
    <w:rsid w:val="164D40B0"/>
    <w:rsid w:val="166333C2"/>
    <w:rsid w:val="1694429A"/>
    <w:rsid w:val="17635326"/>
    <w:rsid w:val="18027F75"/>
    <w:rsid w:val="18236EFD"/>
    <w:rsid w:val="189D5B1F"/>
    <w:rsid w:val="18A34CD0"/>
    <w:rsid w:val="19A53EA8"/>
    <w:rsid w:val="19B64DBC"/>
    <w:rsid w:val="1A373ACF"/>
    <w:rsid w:val="1A895341"/>
    <w:rsid w:val="1B0D071F"/>
    <w:rsid w:val="1B4568CE"/>
    <w:rsid w:val="1B9015B7"/>
    <w:rsid w:val="1BF54245"/>
    <w:rsid w:val="1D0E6976"/>
    <w:rsid w:val="1D5A79EE"/>
    <w:rsid w:val="1DEC0C62"/>
    <w:rsid w:val="1E0E2CD0"/>
    <w:rsid w:val="1E831280"/>
    <w:rsid w:val="1EBC4704"/>
    <w:rsid w:val="1F172EB5"/>
    <w:rsid w:val="1F94592D"/>
    <w:rsid w:val="1FB860DE"/>
    <w:rsid w:val="203C5A02"/>
    <w:rsid w:val="209D4C94"/>
    <w:rsid w:val="20E84705"/>
    <w:rsid w:val="2112092C"/>
    <w:rsid w:val="218400BA"/>
    <w:rsid w:val="21AB1E2F"/>
    <w:rsid w:val="21D40498"/>
    <w:rsid w:val="22767047"/>
    <w:rsid w:val="23A05588"/>
    <w:rsid w:val="23FB4FA9"/>
    <w:rsid w:val="240476A1"/>
    <w:rsid w:val="25431AEB"/>
    <w:rsid w:val="25596CE2"/>
    <w:rsid w:val="25BF43FD"/>
    <w:rsid w:val="25F86BCD"/>
    <w:rsid w:val="25FD232B"/>
    <w:rsid w:val="2605748B"/>
    <w:rsid w:val="269E416A"/>
    <w:rsid w:val="272100D3"/>
    <w:rsid w:val="272C72FC"/>
    <w:rsid w:val="275131CB"/>
    <w:rsid w:val="27EB149D"/>
    <w:rsid w:val="27FD3E52"/>
    <w:rsid w:val="28E11370"/>
    <w:rsid w:val="294A564C"/>
    <w:rsid w:val="294A756A"/>
    <w:rsid w:val="29781BF8"/>
    <w:rsid w:val="29C33ED0"/>
    <w:rsid w:val="29D5322D"/>
    <w:rsid w:val="2A025DD9"/>
    <w:rsid w:val="2A2619CB"/>
    <w:rsid w:val="2A7C2231"/>
    <w:rsid w:val="2ABB753D"/>
    <w:rsid w:val="2B7A49FA"/>
    <w:rsid w:val="2C2A3FA7"/>
    <w:rsid w:val="2C615D26"/>
    <w:rsid w:val="2CB679ED"/>
    <w:rsid w:val="2D173C07"/>
    <w:rsid w:val="2D2D4896"/>
    <w:rsid w:val="2D424A86"/>
    <w:rsid w:val="2D832D14"/>
    <w:rsid w:val="2DF65663"/>
    <w:rsid w:val="2E7B52DB"/>
    <w:rsid w:val="2F324CFE"/>
    <w:rsid w:val="2FBA09F1"/>
    <w:rsid w:val="2FEF2ACF"/>
    <w:rsid w:val="30540211"/>
    <w:rsid w:val="309B0299"/>
    <w:rsid w:val="31112A0D"/>
    <w:rsid w:val="311F4B20"/>
    <w:rsid w:val="312D7741"/>
    <w:rsid w:val="316F137F"/>
    <w:rsid w:val="31DF525F"/>
    <w:rsid w:val="32324C2E"/>
    <w:rsid w:val="327171DF"/>
    <w:rsid w:val="32825E43"/>
    <w:rsid w:val="33BF2BC9"/>
    <w:rsid w:val="341E3434"/>
    <w:rsid w:val="34BB4442"/>
    <w:rsid w:val="360B7EBA"/>
    <w:rsid w:val="369C32FD"/>
    <w:rsid w:val="37666E72"/>
    <w:rsid w:val="38167A04"/>
    <w:rsid w:val="394B167A"/>
    <w:rsid w:val="39DA2868"/>
    <w:rsid w:val="39E71BF2"/>
    <w:rsid w:val="3A4E4336"/>
    <w:rsid w:val="3A6007FE"/>
    <w:rsid w:val="3B7C2CE4"/>
    <w:rsid w:val="3B8F6A82"/>
    <w:rsid w:val="3C0B5355"/>
    <w:rsid w:val="3CD4176B"/>
    <w:rsid w:val="3D1F44D9"/>
    <w:rsid w:val="3D5C38CD"/>
    <w:rsid w:val="3E5070F1"/>
    <w:rsid w:val="3E8B061E"/>
    <w:rsid w:val="3F04666D"/>
    <w:rsid w:val="3F6C3589"/>
    <w:rsid w:val="3F850180"/>
    <w:rsid w:val="3F9004D6"/>
    <w:rsid w:val="3F967F93"/>
    <w:rsid w:val="400E26BA"/>
    <w:rsid w:val="400E4D5E"/>
    <w:rsid w:val="40E1138C"/>
    <w:rsid w:val="413814BA"/>
    <w:rsid w:val="41872511"/>
    <w:rsid w:val="42466655"/>
    <w:rsid w:val="42C82F57"/>
    <w:rsid w:val="435707E5"/>
    <w:rsid w:val="43C76AF7"/>
    <w:rsid w:val="446828F0"/>
    <w:rsid w:val="45093E85"/>
    <w:rsid w:val="45C13B4D"/>
    <w:rsid w:val="46054BCA"/>
    <w:rsid w:val="46235D12"/>
    <w:rsid w:val="464C6AFC"/>
    <w:rsid w:val="468B0091"/>
    <w:rsid w:val="46A107C3"/>
    <w:rsid w:val="46B15CE2"/>
    <w:rsid w:val="46BE113D"/>
    <w:rsid w:val="46E44B13"/>
    <w:rsid w:val="4703508A"/>
    <w:rsid w:val="475023F8"/>
    <w:rsid w:val="479D361E"/>
    <w:rsid w:val="47B74789"/>
    <w:rsid w:val="47D77B63"/>
    <w:rsid w:val="480F2B9D"/>
    <w:rsid w:val="48282920"/>
    <w:rsid w:val="485321E0"/>
    <w:rsid w:val="48546AD3"/>
    <w:rsid w:val="48CA4868"/>
    <w:rsid w:val="48F005D3"/>
    <w:rsid w:val="498F4AF1"/>
    <w:rsid w:val="49C05787"/>
    <w:rsid w:val="49CF518D"/>
    <w:rsid w:val="4ADA1F63"/>
    <w:rsid w:val="4AE23D89"/>
    <w:rsid w:val="4B2038D0"/>
    <w:rsid w:val="4B296E7D"/>
    <w:rsid w:val="4B877F28"/>
    <w:rsid w:val="4BEF4DBE"/>
    <w:rsid w:val="4C262EAE"/>
    <w:rsid w:val="4C891187"/>
    <w:rsid w:val="4D916BA6"/>
    <w:rsid w:val="4DC44169"/>
    <w:rsid w:val="4EC36F16"/>
    <w:rsid w:val="4EF0709E"/>
    <w:rsid w:val="4F0469A4"/>
    <w:rsid w:val="513C6A7B"/>
    <w:rsid w:val="514E2635"/>
    <w:rsid w:val="521956EA"/>
    <w:rsid w:val="532D486F"/>
    <w:rsid w:val="5333545B"/>
    <w:rsid w:val="538D0E89"/>
    <w:rsid w:val="5450213C"/>
    <w:rsid w:val="54BB4AAB"/>
    <w:rsid w:val="54D24048"/>
    <w:rsid w:val="54D64CD5"/>
    <w:rsid w:val="55887D69"/>
    <w:rsid w:val="561A0928"/>
    <w:rsid w:val="56423872"/>
    <w:rsid w:val="56B279F0"/>
    <w:rsid w:val="579D710E"/>
    <w:rsid w:val="581F22F6"/>
    <w:rsid w:val="586E1E17"/>
    <w:rsid w:val="587C3C57"/>
    <w:rsid w:val="58862C35"/>
    <w:rsid w:val="58C14957"/>
    <w:rsid w:val="590D5A26"/>
    <w:rsid w:val="59946046"/>
    <w:rsid w:val="5AE83A50"/>
    <w:rsid w:val="5B353193"/>
    <w:rsid w:val="5BAB2917"/>
    <w:rsid w:val="5BFC33FA"/>
    <w:rsid w:val="5C3107A4"/>
    <w:rsid w:val="5C387CE7"/>
    <w:rsid w:val="5C3B1B93"/>
    <w:rsid w:val="5C9220DF"/>
    <w:rsid w:val="5D4A15F3"/>
    <w:rsid w:val="5D69542A"/>
    <w:rsid w:val="5D783B72"/>
    <w:rsid w:val="5E0930EF"/>
    <w:rsid w:val="5E3D4D53"/>
    <w:rsid w:val="5E4717E6"/>
    <w:rsid w:val="5E55774C"/>
    <w:rsid w:val="5F074E2D"/>
    <w:rsid w:val="60045F96"/>
    <w:rsid w:val="60104DDC"/>
    <w:rsid w:val="605C0804"/>
    <w:rsid w:val="60BD7ED8"/>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FA11D5"/>
    <w:rsid w:val="674302C7"/>
    <w:rsid w:val="67BF57A9"/>
    <w:rsid w:val="680A5986"/>
    <w:rsid w:val="680D5F4B"/>
    <w:rsid w:val="68113F51"/>
    <w:rsid w:val="689B7AF3"/>
    <w:rsid w:val="68E94770"/>
    <w:rsid w:val="68F949C9"/>
    <w:rsid w:val="695A4290"/>
    <w:rsid w:val="6A334932"/>
    <w:rsid w:val="6A3353FF"/>
    <w:rsid w:val="6A5D63E6"/>
    <w:rsid w:val="6A5F24D1"/>
    <w:rsid w:val="6AE347EB"/>
    <w:rsid w:val="6B015715"/>
    <w:rsid w:val="6B434AF0"/>
    <w:rsid w:val="6B57675A"/>
    <w:rsid w:val="6BDD7B4D"/>
    <w:rsid w:val="6C4F2D50"/>
    <w:rsid w:val="6DBB0CE8"/>
    <w:rsid w:val="6E59623F"/>
    <w:rsid w:val="6E5D3E0B"/>
    <w:rsid w:val="6EBC0B3A"/>
    <w:rsid w:val="6EF51C7D"/>
    <w:rsid w:val="6F8363E5"/>
    <w:rsid w:val="6FC746F5"/>
    <w:rsid w:val="70003004"/>
    <w:rsid w:val="70317AC6"/>
    <w:rsid w:val="70863262"/>
    <w:rsid w:val="70A76ED3"/>
    <w:rsid w:val="71192D04"/>
    <w:rsid w:val="715426D6"/>
    <w:rsid w:val="71860B17"/>
    <w:rsid w:val="723B27CC"/>
    <w:rsid w:val="72687227"/>
    <w:rsid w:val="72A03FD9"/>
    <w:rsid w:val="73406CFF"/>
    <w:rsid w:val="7383028C"/>
    <w:rsid w:val="73A25E44"/>
    <w:rsid w:val="741F68CF"/>
    <w:rsid w:val="75252DF3"/>
    <w:rsid w:val="75621536"/>
    <w:rsid w:val="75BF3154"/>
    <w:rsid w:val="764A07CF"/>
    <w:rsid w:val="764F6B3D"/>
    <w:rsid w:val="76CC62BF"/>
    <w:rsid w:val="76CD2B7B"/>
    <w:rsid w:val="76D80645"/>
    <w:rsid w:val="76E03371"/>
    <w:rsid w:val="780E5898"/>
    <w:rsid w:val="782642CC"/>
    <w:rsid w:val="7894095E"/>
    <w:rsid w:val="78964555"/>
    <w:rsid w:val="78CF4963"/>
    <w:rsid w:val="79000679"/>
    <w:rsid w:val="79851BC7"/>
    <w:rsid w:val="79A416F0"/>
    <w:rsid w:val="79B03EB6"/>
    <w:rsid w:val="7AE15A5C"/>
    <w:rsid w:val="7AF37579"/>
    <w:rsid w:val="7AF87F64"/>
    <w:rsid w:val="7B1C0C84"/>
    <w:rsid w:val="7B5A62DF"/>
    <w:rsid w:val="7B7A04A8"/>
    <w:rsid w:val="7BAF703F"/>
    <w:rsid w:val="7C0C3F6D"/>
    <w:rsid w:val="7C22163C"/>
    <w:rsid w:val="7C457B4B"/>
    <w:rsid w:val="7C595075"/>
    <w:rsid w:val="7C6B07B2"/>
    <w:rsid w:val="7D133243"/>
    <w:rsid w:val="7D3B2BA1"/>
    <w:rsid w:val="7D945420"/>
    <w:rsid w:val="7DB703C3"/>
    <w:rsid w:val="7E394207"/>
    <w:rsid w:val="7E4007A2"/>
    <w:rsid w:val="7E791CAD"/>
    <w:rsid w:val="7EA50DFB"/>
    <w:rsid w:val="7EC86878"/>
    <w:rsid w:val="7F16390D"/>
    <w:rsid w:val="7F3174F6"/>
    <w:rsid w:val="7F752917"/>
    <w:rsid w:val="7FE37961"/>
    <w:rsid w:val="7FEE25C4"/>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customStyle="1" w:styleId="28">
    <w:name w:val="页眉 Char"/>
    <w:basedOn w:val="24"/>
    <w:link w:val="17"/>
    <w:semiHidden/>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3"/>
    <w:qFormat/>
    <w:uiPriority w:val="9"/>
    <w:rPr>
      <w:rFonts w:eastAsia="方正小标宋简体"/>
      <w:bCs/>
      <w:kern w:val="44"/>
      <w:sz w:val="44"/>
      <w:szCs w:val="44"/>
    </w:rPr>
  </w:style>
  <w:style w:type="character" w:customStyle="1" w:styleId="31">
    <w:name w:val="标题 2 Char"/>
    <w:basedOn w:val="24"/>
    <w:link w:val="4"/>
    <w:qFormat/>
    <w:uiPriority w:val="9"/>
    <w:rPr>
      <w:rFonts w:eastAsia="方正小标宋简体" w:asciiTheme="majorHAnsi" w:hAnsiTheme="majorHAnsi" w:cstheme="majorBidi"/>
      <w:bCs/>
      <w:sz w:val="36"/>
      <w:szCs w:val="32"/>
    </w:rPr>
  </w:style>
  <w:style w:type="character" w:customStyle="1" w:styleId="32">
    <w:name w:val="标题 3 Char"/>
    <w:basedOn w:val="24"/>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4"/>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26853</Words>
  <Characters>28315</Characters>
  <Lines>300</Lines>
  <Paragraphs>84</Paragraphs>
  <TotalTime>175</TotalTime>
  <ScaleCrop>false</ScaleCrop>
  <LinksUpToDate>false</LinksUpToDate>
  <CharactersWithSpaces>30692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Yincy</cp:lastModifiedBy>
  <dcterms:modified xsi:type="dcterms:W3CDTF">2022-06-22T10:30:13Z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F27B5779746140489646E8BDAF1801DE</vt:lpwstr>
  </property>
</Properties>
</file>