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广州市净水有限公司</w:t>
      </w:r>
      <w:r>
        <w:rPr>
          <w:rFonts w:hint="eastAsia" w:ascii="宋体" w:hAnsi="宋体" w:eastAsia="宋体" w:cs="宋体"/>
          <w:b/>
          <w:bCs/>
          <w:sz w:val="52"/>
          <w:szCs w:val="52"/>
          <w:highlight w:val="none"/>
          <w:lang w:eastAsia="zh-CN"/>
        </w:rPr>
        <w:t>健康城</w:t>
      </w:r>
      <w:r>
        <w:rPr>
          <w:rFonts w:hint="eastAsia" w:ascii="宋体" w:hAnsi="宋体" w:eastAsia="宋体" w:cs="宋体"/>
          <w:b/>
          <w:bCs/>
          <w:sz w:val="52"/>
          <w:szCs w:val="52"/>
          <w:highlight w:val="none"/>
          <w:lang w:val="en-US" w:eastAsia="zh-CN"/>
        </w:rPr>
        <w:t>分</w:t>
      </w:r>
      <w:r>
        <w:rPr>
          <w:rFonts w:hint="eastAsia" w:ascii="宋体" w:hAnsi="宋体" w:eastAsia="宋体" w:cs="宋体"/>
          <w:b/>
          <w:bCs/>
          <w:sz w:val="52"/>
          <w:szCs w:val="52"/>
          <w:highlight w:val="none"/>
          <w:lang w:eastAsia="zh-CN"/>
        </w:rPr>
        <w:t>公司</w:t>
      </w:r>
      <w:r>
        <w:rPr>
          <w:rFonts w:hint="eastAsia" w:ascii="宋体" w:hAnsi="宋体" w:eastAsia="宋体" w:cs="宋体"/>
          <w:b/>
          <w:bCs/>
          <w:sz w:val="52"/>
          <w:szCs w:val="52"/>
          <w:highlight w:val="none"/>
          <w:lang w:val="en-US" w:eastAsia="zh-CN"/>
        </w:rPr>
        <w:t>2022</w:t>
      </w:r>
      <w:r>
        <w:rPr>
          <w:rFonts w:hint="eastAsia" w:ascii="宋体" w:hAnsi="宋体" w:eastAsia="宋体" w:cs="宋体"/>
          <w:b/>
          <w:bCs/>
          <w:sz w:val="52"/>
          <w:szCs w:val="52"/>
          <w:highlight w:val="none"/>
          <w:lang w:eastAsia="zh-CN"/>
        </w:rPr>
        <w:t>年柴油发电机维保服务项目</w:t>
      </w:r>
    </w:p>
    <w:p>
      <w:pPr>
        <w:jc w:val="center"/>
        <w:rPr>
          <w:rFonts w:ascii="方正小标宋简体" w:eastAsia="方正小标宋简体"/>
          <w:sz w:val="52"/>
          <w:szCs w:val="52"/>
          <w:highlight w:val="none"/>
        </w:rPr>
      </w:pPr>
      <w:r>
        <w:rPr>
          <w:rFonts w:hint="eastAsia" w:ascii="宋体" w:hAnsi="宋体" w:eastAsia="宋体" w:cs="宋体"/>
          <w:b/>
          <w:bCs/>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1322"/>
      <w:bookmarkStart w:id="5" w:name="_Toc7519"/>
      <w:bookmarkStart w:id="6" w:name="_Toc19609"/>
      <w:bookmarkStart w:id="7" w:name="_Toc1669"/>
      <w:bookmarkStart w:id="8" w:name="_Toc4275"/>
      <w:bookmarkStart w:id="9" w:name="_Toc31938"/>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spacing w:line="600" w:lineRule="exact"/>
        <w:jc w:val="center"/>
        <w:rPr>
          <w:rFonts w:hint="eastAsia"/>
          <w:highlight w:val="none"/>
          <w:u w:val="single"/>
          <w:lang w:val="en-US" w:eastAsia="zh-CN"/>
        </w:rPr>
      </w:pPr>
      <w:bookmarkStart w:id="11" w:name="_Toc21373"/>
      <w:bookmarkStart w:id="12" w:name="_Toc9680"/>
      <w:r>
        <w:rPr>
          <w:rFonts w:hint="eastAsia" w:eastAsia="方正小标宋简体" w:asciiTheme="majorHAnsi" w:hAnsiTheme="majorHAnsi" w:cstheme="majorBidi"/>
          <w:b w:val="0"/>
          <w:bCs/>
          <w:sz w:val="36"/>
          <w:szCs w:val="32"/>
          <w:highlight w:val="none"/>
          <w:u w:val="single"/>
          <w:lang w:val="en-US" w:eastAsia="zh-CN"/>
        </w:rPr>
        <w:t>广州市净水有限公司</w:t>
      </w:r>
      <w:r>
        <w:rPr>
          <w:rFonts w:hint="eastAsia" w:eastAsia="方正小标宋简体" w:asciiTheme="majorHAnsi" w:hAnsiTheme="majorHAnsi" w:cstheme="majorBidi"/>
          <w:b w:val="0"/>
          <w:bCs/>
          <w:sz w:val="36"/>
          <w:szCs w:val="32"/>
          <w:highlight w:val="none"/>
          <w:u w:val="single"/>
          <w:lang w:eastAsia="zh-CN"/>
        </w:rPr>
        <w:t>健康城</w:t>
      </w:r>
      <w:r>
        <w:rPr>
          <w:rFonts w:hint="eastAsia" w:eastAsia="方正小标宋简体" w:asciiTheme="majorHAnsi" w:hAnsiTheme="majorHAnsi" w:cstheme="majorBidi"/>
          <w:b w:val="0"/>
          <w:bCs/>
          <w:sz w:val="36"/>
          <w:szCs w:val="32"/>
          <w:highlight w:val="none"/>
          <w:u w:val="single"/>
          <w:lang w:val="en-US" w:eastAsia="zh-CN"/>
        </w:rPr>
        <w:t>分</w:t>
      </w:r>
      <w:r>
        <w:rPr>
          <w:rFonts w:hint="eastAsia" w:eastAsia="方正小标宋简体" w:asciiTheme="majorHAnsi" w:hAnsiTheme="majorHAnsi" w:cstheme="majorBidi"/>
          <w:b w:val="0"/>
          <w:bCs/>
          <w:sz w:val="36"/>
          <w:szCs w:val="32"/>
          <w:highlight w:val="none"/>
          <w:u w:val="single"/>
          <w:lang w:eastAsia="zh-CN"/>
        </w:rPr>
        <w:t>公司2022年柴油发电机维保服务项目</w:t>
      </w:r>
    </w:p>
    <w:p>
      <w:pPr>
        <w:pStyle w:val="4"/>
        <w:ind w:firstLine="3600" w:firstLineChars="1000"/>
        <w:jc w:val="both"/>
        <w:rPr>
          <w:rFonts w:hint="eastAsia" w:eastAsia="方正小标宋简体"/>
          <w:color w:val="auto"/>
          <w:sz w:val="36"/>
          <w:szCs w:val="36"/>
          <w:highlight w:val="none"/>
          <w:lang w:eastAsia="zh-CN"/>
        </w:rPr>
      </w:pPr>
      <w:r>
        <w:rPr>
          <w:rFonts w:hint="eastAsia"/>
          <w:color w:val="auto"/>
          <w:sz w:val="36"/>
          <w:szCs w:val="36"/>
          <w:highlight w:val="none"/>
          <w:lang w:eastAsia="zh-CN"/>
        </w:rPr>
        <w:t>采购公告</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 w:hAnsi="仿宋" w:eastAsia="仿宋" w:cs="仿宋"/>
          <w:sz w:val="28"/>
          <w:szCs w:val="28"/>
          <w:highlight w:val="none"/>
          <w:u w:val="single"/>
          <w:lang w:val="en-US" w:eastAsia="zh-CN"/>
        </w:rPr>
        <w:t>广州市净水有限公司健康城分公司2022年柴油发电机维保服务项目</w:t>
      </w:r>
      <w:r>
        <w:rPr>
          <w:rFonts w:hint="eastAsia" w:ascii="仿宋" w:hAnsi="仿宋" w:eastAsia="仿宋" w:cs="仿宋"/>
          <w:sz w:val="28"/>
          <w:szCs w:val="28"/>
          <w:highlight w:val="none"/>
          <w:u w:val="single"/>
        </w:rPr>
        <w:t xml:space="preserve"> </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参加本</w:t>
      </w:r>
      <w:r>
        <w:rPr>
          <w:rFonts w:hint="eastAsia" w:ascii="仿宋" w:hAnsi="仿宋" w:eastAsia="仿宋" w:cs="仿宋"/>
          <w:sz w:val="28"/>
          <w:szCs w:val="28"/>
        </w:rPr>
        <w:sym w:font="Wingdings 2" w:char="00A3"/>
      </w:r>
      <w:r>
        <w:rPr>
          <w:rFonts w:hint="eastAsia" w:ascii="仿宋" w:hAnsi="仿宋" w:eastAsia="仿宋" w:cs="仿宋"/>
          <w:sz w:val="28"/>
          <w:szCs w:val="28"/>
        </w:rPr>
        <w:t xml:space="preserve">施工  □货物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服务项目采购活动，采用</w:t>
      </w:r>
      <w:r>
        <w:rPr>
          <w:rFonts w:hint="eastAsia" w:ascii="仿宋" w:hAnsi="仿宋" w:eastAsia="仿宋" w:cs="仿宋"/>
          <w:sz w:val="28"/>
          <w:szCs w:val="28"/>
          <w:u w:val="single"/>
        </w:rPr>
        <w:sym w:font="Wingdings 2" w:char="00A3"/>
      </w:r>
      <w:r>
        <w:rPr>
          <w:rFonts w:hint="eastAsia" w:ascii="仿宋" w:hAnsi="仿宋" w:eastAsia="仿宋" w:cs="仿宋"/>
          <w:sz w:val="28"/>
          <w:szCs w:val="28"/>
          <w:u w:val="single"/>
          <w:lang w:val="en-US" w:eastAsia="zh-CN"/>
        </w:rPr>
        <w:t>邀请</w:t>
      </w:r>
      <w:r>
        <w:rPr>
          <w:rFonts w:hint="eastAsia" w:ascii="仿宋" w:hAnsi="仿宋" w:eastAsia="仿宋" w:cs="仿宋"/>
          <w:sz w:val="28"/>
          <w:szCs w:val="28"/>
          <w:u w:val="single"/>
        </w:rPr>
        <w:t>询比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en-US" w:eastAsia="zh-CN"/>
        </w:rPr>
        <w:sym w:font="Wingdings 2" w:char="0052"/>
      </w:r>
      <w:r>
        <w:rPr>
          <w:rFonts w:hint="eastAsia" w:ascii="仿宋" w:hAnsi="仿宋" w:eastAsia="仿宋" w:cs="仿宋"/>
          <w:sz w:val="28"/>
          <w:szCs w:val="28"/>
          <w:u w:val="single"/>
          <w:lang w:val="en-US" w:eastAsia="zh-CN"/>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sz w:val="28"/>
          <w:szCs w:val="28"/>
          <w:highlight w:val="none"/>
          <w:u w:val="single"/>
          <w:lang w:val="en-US" w:eastAsia="zh-CN"/>
        </w:rPr>
        <w:t>广州市净水有限公司健康城分公司2022年柴油发电机维保服务项目</w:t>
      </w:r>
      <w:r>
        <w:rPr>
          <w:rFonts w:hint="eastAsia" w:ascii="仿宋" w:hAnsi="仿宋" w:eastAsia="仿宋" w:cs="仿宋"/>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widowControl/>
        <w:adjustRightInd/>
        <w:snapToGrid/>
        <w:spacing w:line="24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lang w:val="en-US" w:eastAsia="zh-CN"/>
        </w:rPr>
        <w:t>XJ-20220622-1</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自有资金</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u w:val="single"/>
          <w:lang w:val="en-US" w:eastAsia="zh-CN"/>
        </w:rPr>
        <w:t xml:space="preserve"> 64978.20</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utoSpaceDE w:val="0"/>
        <w:autoSpaceDN w:val="0"/>
        <w:adjustRightInd/>
        <w:snapToGrid/>
        <w:spacing w:line="360" w:lineRule="auto"/>
        <w:ind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eastAsia" w:ascii="仿宋" w:hAnsi="仿宋" w:eastAsia="仿宋" w:cs="仿宋"/>
          <w:sz w:val="28"/>
          <w:szCs w:val="28"/>
          <w:u w:val="single"/>
          <w:lang w:val="en-US" w:eastAsia="zh-CN"/>
        </w:rPr>
        <w:t>对健康城分公司柴油发电机（南通柴油机TCR1000）1台提供以下维保服务： 1、年度保养更换过滤器、机油、水箱宝等。 2、提供月度巡检，每月对发电机进行检测保养。 3、提供故障抢修服务（合同期内无限次数）。 4、提供动力柴油1000L。 5、更换启动及维修发电机启动电机一台。</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lang w:val="en-US" w:eastAsia="zh-CN"/>
        </w:rPr>
        <w:t>自双方签订合同之日起</w:t>
      </w:r>
      <w:r>
        <w:rPr>
          <w:rFonts w:hint="eastAsia" w:ascii="仿宋" w:hAnsi="仿宋" w:eastAsia="仿宋" w:cs="仿宋"/>
          <w:color w:val="auto"/>
          <w:sz w:val="28"/>
          <w:szCs w:val="28"/>
          <w:highlight w:val="none"/>
          <w:u w:val="single"/>
          <w:lang w:val="en-US" w:eastAsia="zh-CN"/>
        </w:rPr>
        <w:t>1年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sz w:val="28"/>
          <w:szCs w:val="28"/>
          <w:highlight w:val="none"/>
          <w:u w:val="single"/>
        </w:rPr>
      </w:pPr>
      <w:r>
        <w:rPr>
          <w:rFonts w:hint="eastAsia" w:ascii="仿宋" w:hAnsi="仿宋" w:eastAsia="仿宋" w:cs="仿宋"/>
          <w:color w:val="auto"/>
          <w:sz w:val="28"/>
          <w:szCs w:val="28"/>
          <w:highlight w:val="none"/>
        </w:rPr>
        <w:t xml:space="preserve">2.3地点：□建设地点  □交货地点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sz w:val="28"/>
          <w:szCs w:val="28"/>
          <w:highlight w:val="none"/>
          <w:u w:val="single"/>
          <w:lang w:val="en-US" w:eastAsia="zh-CN"/>
        </w:rPr>
        <w:t>广州市净水有限公司健康城分公司。</w:t>
      </w:r>
      <w:r>
        <w:rPr>
          <w:rFonts w:hint="eastAsia" w:ascii="仿宋" w:hAnsi="仿宋" w:eastAsia="仿宋" w:cs="仿宋"/>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 xml:space="preserve">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sz w:val="28"/>
          <w:szCs w:val="28"/>
          <w:highlight w:val="none"/>
          <w:u w:val="single"/>
        </w:rPr>
        <w:t xml:space="preserve"> 按合同条款和有关技术标准规范进行验收。使用的各种材料必须符合设计和</w:t>
      </w:r>
      <w:r>
        <w:rPr>
          <w:rFonts w:hint="eastAsia" w:ascii="仿宋" w:hAnsi="仿宋" w:eastAsia="仿宋" w:cs="仿宋"/>
          <w:sz w:val="28"/>
          <w:szCs w:val="28"/>
          <w:highlight w:val="none"/>
          <w:u w:val="single"/>
          <w:lang w:val="en-US" w:eastAsia="zh-CN"/>
        </w:rPr>
        <w:t>有关技术标准</w:t>
      </w:r>
      <w:r>
        <w:rPr>
          <w:rFonts w:hint="eastAsia" w:ascii="仿宋" w:hAnsi="仿宋" w:eastAsia="仿宋" w:cs="仿宋"/>
          <w:sz w:val="28"/>
          <w:szCs w:val="28"/>
          <w:highlight w:val="none"/>
          <w:u w:val="single"/>
        </w:rPr>
        <w:t>规范要求。</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供应商应当具备</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资</w:t>
      </w:r>
      <w:r>
        <w:rPr>
          <w:rFonts w:hint="eastAsia" w:ascii="仿宋" w:hAnsi="仿宋" w:eastAsia="仿宋" w:cs="仿宋"/>
          <w:color w:val="auto"/>
          <w:sz w:val="28"/>
          <w:szCs w:val="28"/>
          <w:highlight w:val="none"/>
        </w:rPr>
        <w:t>质。</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2019</w:t>
      </w:r>
      <w:r>
        <w:rPr>
          <w:rFonts w:hint="eastAsia" w:ascii="仿宋" w:hAnsi="仿宋" w:eastAsia="仿宋" w:cs="仿宋"/>
          <w:color w:val="auto"/>
          <w:sz w:val="28"/>
          <w:szCs w:val="28"/>
          <w:highlight w:val="none"/>
          <w:lang w:val="en-US" w:eastAsia="zh-CN"/>
        </w:rPr>
        <w:t>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一项类似</w:t>
      </w:r>
      <w:r>
        <w:rPr>
          <w:rFonts w:hint="eastAsia" w:ascii="仿宋" w:hAnsi="仿宋" w:eastAsia="仿宋" w:cs="仿宋"/>
          <w:color w:val="auto"/>
          <w:sz w:val="28"/>
          <w:szCs w:val="28"/>
          <w:highlight w:val="none"/>
          <w:u w:val="none"/>
          <w:lang w:val="en-US" w:eastAsia="zh-CN"/>
        </w:rPr>
        <w:t>柴油发电机设备的维修</w:t>
      </w:r>
      <w:r>
        <w:rPr>
          <w:rFonts w:hint="eastAsia" w:ascii="仿宋" w:hAnsi="仿宋" w:eastAsia="仿宋" w:cs="仿宋"/>
          <w:color w:val="auto"/>
          <w:sz w:val="28"/>
          <w:szCs w:val="28"/>
          <w:highlight w:val="none"/>
          <w:u w:val="none"/>
          <w:lang w:val="en-US" w:eastAsia="zh-CN"/>
        </w:rPr>
        <w:t>或</w:t>
      </w:r>
      <w:r>
        <w:rPr>
          <w:rFonts w:hint="eastAsia" w:ascii="仿宋" w:hAnsi="仿宋" w:eastAsia="仿宋" w:cs="仿宋"/>
          <w:color w:val="auto"/>
          <w:sz w:val="28"/>
          <w:szCs w:val="28"/>
          <w:highlight w:val="none"/>
          <w:u w:val="none"/>
          <w:lang w:val="en-US" w:eastAsia="zh-CN"/>
        </w:rPr>
        <w:t>保养服务</w:t>
      </w:r>
      <w:r>
        <w:rPr>
          <w:rFonts w:hint="eastAsia" w:ascii="仿宋" w:hAnsi="仿宋" w:eastAsia="仿宋" w:cs="仿宋"/>
          <w:color w:val="auto"/>
          <w:sz w:val="28"/>
          <w:szCs w:val="28"/>
          <w:highlight w:val="none"/>
          <w:u w:val="none"/>
        </w:rPr>
        <w:t>业绩</w:t>
      </w:r>
      <w:r>
        <w:rPr>
          <w:rFonts w:hint="eastAsia" w:ascii="仿宋" w:hAnsi="仿宋" w:eastAsia="仿宋" w:cs="仿宋"/>
          <w:color w:val="auto"/>
          <w:sz w:val="28"/>
          <w:szCs w:val="28"/>
          <w:highlight w:val="none"/>
        </w:rPr>
        <w:t>。（提供合同复印件证明，包括但不限于项目名称、金额及实施内容、合同签字盖章、签订日期，加盖单位公章）</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资格条件。</w:t>
      </w:r>
    </w:p>
    <w:p>
      <w:pPr>
        <w:pStyle w:val="2"/>
        <w:adjustRightInd w:val="0"/>
        <w:snapToGrid w:val="0"/>
        <w:spacing w:line="600" w:lineRule="exact"/>
        <w:ind w:firstLine="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）其他要求：</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广州市天河区临江大道501号</w:t>
      </w:r>
      <w:r>
        <w:rPr>
          <w:rFonts w:hint="eastAsia" w:ascii="仿宋" w:hAnsi="仿宋" w:eastAsia="仿宋" w:cs="仿宋"/>
          <w:color w:val="auto"/>
          <w:sz w:val="28"/>
          <w:szCs w:val="28"/>
          <w:highlight w:val="none"/>
          <w:u w:val="single"/>
          <w:lang w:val="en-US" w:eastAsia="zh-CN"/>
        </w:rPr>
        <w:t>广州市净水有限公司6楼招标部</w:t>
      </w:r>
      <w:r>
        <w:rPr>
          <w:rFonts w:hint="eastAsia" w:ascii="仿宋" w:hAnsi="仿宋" w:eastAsia="仿宋" w:cs="仿宋"/>
          <w:color w:val="auto"/>
          <w:sz w:val="28"/>
          <w:szCs w:val="28"/>
          <w:highlight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38890841/</w:t>
      </w:r>
      <w:r>
        <w:rPr>
          <w:rFonts w:hint="eastAsia" w:ascii="仿宋" w:hAnsi="仿宋" w:eastAsia="仿宋" w:cs="仿宋"/>
          <w:color w:val="auto"/>
          <w:sz w:val="28"/>
          <w:szCs w:val="28"/>
          <w:highlight w:val="none"/>
          <w:u w:val="none"/>
          <w:lang w:val="en-US" w:eastAsia="zh-CN"/>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22</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5603"/>
      <w:bookmarkStart w:id="15" w:name="_Toc23749"/>
      <w:bookmarkStart w:id="16" w:name="_Toc7340"/>
      <w:bookmarkStart w:id="17" w:name="_Toc16705"/>
      <w:bookmarkStart w:id="18" w:name="_Toc32588"/>
      <w:bookmarkStart w:id="19" w:name="_Toc19295"/>
      <w:bookmarkStart w:id="20" w:name="_Toc9448"/>
      <w:bookmarkStart w:id="21" w:name="_Toc2324"/>
      <w:bookmarkStart w:id="22" w:name="_Toc16557"/>
      <w:bookmarkStart w:id="23" w:name="_Toc2331"/>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87616371"/>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118"/>
      <w:bookmarkStart w:id="36" w:name="_Toc3156"/>
      <w:bookmarkStart w:id="37" w:name="_Toc23581"/>
      <w:bookmarkStart w:id="38" w:name="_Toc14870"/>
      <w:bookmarkStart w:id="39" w:name="_Toc10930"/>
      <w:bookmarkStart w:id="40" w:name="_Toc19759"/>
      <w:bookmarkStart w:id="41" w:name="_Toc14552"/>
      <w:bookmarkStart w:id="42" w:name="_Toc7437"/>
      <w:bookmarkStart w:id="43" w:name="_Toc20594"/>
      <w:bookmarkStart w:id="44" w:name="_Toc4952"/>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9484"/>
      <w:bookmarkStart w:id="46" w:name="_Toc22212"/>
      <w:bookmarkStart w:id="47" w:name="_Toc87616378"/>
      <w:bookmarkStart w:id="48" w:name="_Toc21840"/>
      <w:bookmarkStart w:id="49" w:name="_Toc6308"/>
      <w:bookmarkStart w:id="50" w:name="_Toc29345"/>
      <w:bookmarkStart w:id="51" w:name="_Toc13898"/>
      <w:bookmarkStart w:id="52" w:name="_Toc32607"/>
      <w:bookmarkStart w:id="53" w:name="_Toc21079"/>
      <w:bookmarkStart w:id="54" w:name="_Toc7831"/>
      <w:bookmarkStart w:id="55" w:name="_Toc88209941"/>
      <w:bookmarkStart w:id="56" w:name="_Toc30530"/>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highlight w:val="none"/>
        </w:rPr>
      </w:pPr>
      <w:bookmarkStart w:id="58" w:name="_Toc23033"/>
      <w:bookmarkStart w:id="59" w:name="_Toc26826"/>
      <w:r>
        <w:rPr>
          <w:rFonts w:hint="eastAsia"/>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项目情况介绍</w:t>
      </w:r>
    </w:p>
    <w:p>
      <w:pPr>
        <w:autoSpaceDE w:val="0"/>
        <w:autoSpaceDN w:val="0"/>
        <w:spacing w:line="360" w:lineRule="auto"/>
        <w:ind w:firstLine="560" w:firstLineChars="200"/>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本项目拟请有资质的单位对应急柴油发电机</w:t>
      </w:r>
      <w:r>
        <w:rPr>
          <w:rFonts w:hint="eastAsia" w:ascii="仿宋_GB2312" w:hAnsi="仿宋_GB2312" w:eastAsia="仿宋_GB2312" w:cs="仿宋_GB2312"/>
          <w:sz w:val="28"/>
          <w:szCs w:val="28"/>
          <w:lang w:val="en-US" w:eastAsia="zh-CN"/>
        </w:rPr>
        <w:t>（南通柴油机TCR1000）</w:t>
      </w:r>
      <w:r>
        <w:rPr>
          <w:rFonts w:hint="eastAsia" w:ascii="仿宋_GB2312" w:hAnsi="仿宋_GB2312" w:eastAsia="仿宋_GB2312" w:cs="仿宋_GB2312"/>
          <w:kern w:val="2"/>
          <w:sz w:val="28"/>
          <w:szCs w:val="28"/>
          <w:lang w:val="en-US" w:eastAsia="zh-CN"/>
        </w:rPr>
        <w:t>进行维保，维保内容包括：1、柴油发电机年度维保（更换润滑油、各级过滤器等）；2、柴油发电机月度巡检及抢修；3、更换维修柴油发电机启动电机；4、为柴油发电机提供1000L动力0#柴油。</w:t>
      </w:r>
    </w:p>
    <w:p>
      <w:pPr>
        <w:pStyle w:val="12"/>
        <w:adjustRightInd w:val="0"/>
        <w:snapToGrid w:val="0"/>
        <w:spacing w:line="520" w:lineRule="exact"/>
        <w:ind w:firstLine="560" w:firstLineChars="200"/>
        <w:rPr>
          <w:rFonts w:hint="eastAsia" w:ascii="仿宋_GB2312" w:hAnsi="仿宋_GB2312" w:eastAsia="仿宋_GB2312" w:cs="仿宋_GB2312"/>
          <w:bCs/>
          <w:sz w:val="28"/>
          <w:szCs w:val="28"/>
          <w:highlight w:val="none"/>
          <w:lang w:val="en-US" w:eastAsia="zh-CN"/>
        </w:rPr>
      </w:pPr>
    </w:p>
    <w:p>
      <w:pPr>
        <w:pStyle w:val="12"/>
        <w:numPr>
          <w:ilvl w:val="0"/>
          <w:numId w:val="0"/>
        </w:numPr>
        <w:adjustRightInd w:val="0"/>
        <w:snapToGrid w:val="0"/>
        <w:spacing w:line="300" w:lineRule="auto"/>
        <w:ind w:left="0" w:leftChars="0" w:firstLine="0" w:firstLineChars="0"/>
        <w:rPr>
          <w:rFonts w:ascii="仿宋" w:hAnsi="仿宋" w:eastAsia="仿宋" w:cs="仿宋_GB2312"/>
          <w:b/>
          <w:sz w:val="28"/>
          <w:szCs w:val="28"/>
        </w:rPr>
      </w:pP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rPr>
        <w:t>项目技术要求</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（1）柴油发电机年度维保</w:t>
      </w:r>
    </w:p>
    <w:p>
      <w:pPr>
        <w:autoSpaceDE w:val="0"/>
        <w:autoSpaceDN w:val="0"/>
        <w:spacing w:line="360" w:lineRule="auto"/>
        <w:ind w:firstLine="840" w:firstLineChars="300"/>
        <w:rPr>
          <w:rFonts w:hint="default" w:hAnsi="宋体" w:cs="宋体"/>
          <w:kern w:val="0"/>
          <w:lang w:val="en-US" w:eastAsia="zh-CN"/>
        </w:rPr>
      </w:pPr>
      <w:r>
        <w:rPr>
          <w:rFonts w:hint="eastAsia" w:ascii="仿宋_GB2312" w:hAnsi="仿宋_GB2312" w:eastAsia="仿宋_GB2312" w:cs="仿宋_GB2312"/>
          <w:sz w:val="28"/>
          <w:szCs w:val="28"/>
          <w:lang w:val="en-US" w:eastAsia="zh-CN"/>
        </w:rPr>
        <w:t>初定年度维保日期为2022年10月，年度维保内容如表1。</w:t>
      </w:r>
    </w:p>
    <w:tbl>
      <w:tblPr>
        <w:tblStyle w:val="23"/>
        <w:tblW w:w="7315" w:type="dxa"/>
        <w:jc w:val="center"/>
        <w:tblLayout w:type="autofit"/>
        <w:tblCellMar>
          <w:top w:w="0" w:type="dxa"/>
          <w:left w:w="108" w:type="dxa"/>
          <w:bottom w:w="0" w:type="dxa"/>
          <w:right w:w="108" w:type="dxa"/>
        </w:tblCellMar>
      </w:tblPr>
      <w:tblGrid>
        <w:gridCol w:w="1041"/>
        <w:gridCol w:w="2219"/>
        <w:gridCol w:w="1196"/>
        <w:gridCol w:w="1041"/>
        <w:gridCol w:w="1818"/>
      </w:tblGrid>
      <w:tr>
        <w:tblPrEx>
          <w:tblCellMar>
            <w:top w:w="0" w:type="dxa"/>
            <w:left w:w="108" w:type="dxa"/>
            <w:bottom w:w="0" w:type="dxa"/>
            <w:right w:w="108" w:type="dxa"/>
          </w:tblCellMar>
        </w:tblPrEx>
        <w:trPr>
          <w:trHeight w:val="285" w:hRule="atLeast"/>
          <w:jc w:val="center"/>
        </w:trPr>
        <w:tc>
          <w:tcPr>
            <w:tcW w:w="1041" w:type="dxa"/>
            <w:tcBorders>
              <w:top w:val="single" w:color="auto" w:sz="4" w:space="0"/>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19"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9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w:t>
            </w:r>
          </w:p>
        </w:tc>
        <w:tc>
          <w:tcPr>
            <w:tcW w:w="1041"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81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维护保养服务内容</w:t>
            </w:r>
          </w:p>
        </w:tc>
      </w:tr>
      <w:tr>
        <w:tblPrEx>
          <w:tblCellMar>
            <w:top w:w="0" w:type="dxa"/>
            <w:left w:w="108" w:type="dxa"/>
            <w:bottom w:w="0" w:type="dxa"/>
            <w:right w:w="108" w:type="dxa"/>
          </w:tblCellMar>
        </w:tblPrEx>
        <w:trPr>
          <w:trHeight w:val="90" w:hRule="atLeast"/>
          <w:jc w:val="center"/>
        </w:trPr>
        <w:tc>
          <w:tcPr>
            <w:tcW w:w="104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19"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柴油滤清器</w:t>
            </w:r>
          </w:p>
        </w:tc>
        <w:tc>
          <w:tcPr>
            <w:tcW w:w="1196" w:type="dxa"/>
            <w:vMerge w:val="restart"/>
            <w:tcBorders>
              <w:top w:val="nil"/>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南通柴油机TCR1000</w:t>
            </w:r>
          </w:p>
        </w:tc>
        <w:tc>
          <w:tcPr>
            <w:tcW w:w="10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81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19"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机油滤清器</w:t>
            </w:r>
          </w:p>
        </w:tc>
        <w:tc>
          <w:tcPr>
            <w:tcW w:w="1196"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81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19"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w:t>
            </w:r>
          </w:p>
        </w:tc>
        <w:tc>
          <w:tcPr>
            <w:tcW w:w="1196"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81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19"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美国水箱宝（冷却液）</w:t>
            </w:r>
          </w:p>
        </w:tc>
        <w:tc>
          <w:tcPr>
            <w:tcW w:w="1196" w:type="dxa"/>
            <w:vMerge w:val="continue"/>
            <w:tcBorders>
              <w:left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w:t>
            </w:r>
          </w:p>
        </w:tc>
        <w:tc>
          <w:tcPr>
            <w:tcW w:w="181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90" w:hRule="atLeast"/>
          <w:jc w:val="center"/>
        </w:trPr>
        <w:tc>
          <w:tcPr>
            <w:tcW w:w="104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19"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发动机润滑油</w:t>
            </w:r>
          </w:p>
        </w:tc>
        <w:tc>
          <w:tcPr>
            <w:tcW w:w="1196"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4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10桶</w:t>
            </w:r>
          </w:p>
        </w:tc>
        <w:tc>
          <w:tcPr>
            <w:tcW w:w="181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表1：柴油发电机年度维保内容</w:t>
      </w:r>
    </w:p>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第一步：厂家到达发电机房内，检查发电机组水箱水位、机油液位、柴油液位，确保开机条件后。开机运行 3 分钟，让机组充分预热，即关闭发电机组。 </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第二步：关掉控制器保险开关，确保控制器与电池电源阻隔。随后，用专用工具，将机组上的柴油滤清器、机油滤清器、空气滤清器拆卸；接着将油底壳螺丝打开，将废机油收集至甲方准备的废油桶内。 </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第三步：安装全新柴油滤清器、机油滤清器、空气滤清器到机组上，并往发动机缸体内添加全新润滑油至标准刻度。 </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第四步：往水箱内添加水箱宝。 </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第五步：清洁发电机组外观灰尘，并做开机准备。 </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第六步：连接控制器保险，接通电源，启动机组运行 8-10 分钟，观察机组水温、转速、频率、电压是否正常，并倾听机组有无异响。确保各项指标达到正常值后，关闭发电机组。 </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第七步：沟通机组平常的运行状态，交流日常维护细则，待对接事宜完成，整理相关工具撤场。</w:t>
      </w:r>
    </w:p>
    <w:p>
      <w:pPr>
        <w:pageBreakBefore w:val="0"/>
        <w:widowControl w:val="0"/>
        <w:numPr>
          <w:ilvl w:val="0"/>
          <w:numId w:val="0"/>
        </w:numPr>
        <w:tabs>
          <w:tab w:val="left" w:pos="315"/>
          <w:tab w:val="left" w:pos="360"/>
        </w:tabs>
        <w:wordWrap/>
        <w:topLinePunct w:val="0"/>
        <w:bidi w:val="0"/>
        <w:snapToGrid/>
        <w:spacing w:line="360" w:lineRule="auto"/>
        <w:ind w:right="-145" w:rightChars="-69" w:firstLine="420" w:firstLineChars="200"/>
        <w:textAlignment w:val="auto"/>
        <w:rPr>
          <w:rFonts w:hint="eastAsia" w:hAnsi="宋体" w:cs="宋体"/>
          <w:kern w:val="0"/>
          <w:lang w:val="en-US" w:eastAsia="zh-CN"/>
        </w:rPr>
      </w:pP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（2）柴油发电机月度巡检及抢修</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柴油发电机月度巡检检查内容见表2。</w:t>
      </w:r>
    </w:p>
    <w:tbl>
      <w:tblPr>
        <w:tblStyle w:val="23"/>
        <w:tblW w:w="6254" w:type="dxa"/>
        <w:jc w:val="center"/>
        <w:tblLayout w:type="autofit"/>
        <w:tblCellMar>
          <w:top w:w="0" w:type="dxa"/>
          <w:left w:w="108" w:type="dxa"/>
          <w:bottom w:w="0" w:type="dxa"/>
          <w:right w:w="108" w:type="dxa"/>
        </w:tblCellMar>
      </w:tblPr>
      <w:tblGrid>
        <w:gridCol w:w="1060"/>
        <w:gridCol w:w="2274"/>
        <w:gridCol w:w="1060"/>
        <w:gridCol w:w="1860"/>
      </w:tblGrid>
      <w:tr>
        <w:tblPrEx>
          <w:tblCellMar>
            <w:top w:w="0" w:type="dxa"/>
            <w:left w:w="108" w:type="dxa"/>
            <w:bottom w:w="0" w:type="dxa"/>
            <w:right w:w="108" w:type="dxa"/>
          </w:tblCellMar>
        </w:tblPrEx>
        <w:trPr>
          <w:trHeight w:val="28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维护保养服务内容</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蓄电池充电器、电接头、电解液、润滑油、冷却液检查</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风扇皮带、连接软管、卡箍检查及调整</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水箱散热器、发动机机身清洁除尘</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发电机试运行记录发电机运行情况排除非正常运行因素</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bl>
    <w:p>
      <w:pPr>
        <w:pageBreakBefore w:val="0"/>
        <w:widowControl w:val="0"/>
        <w:numPr>
          <w:ilvl w:val="0"/>
          <w:numId w:val="0"/>
        </w:numPr>
        <w:tabs>
          <w:tab w:val="left" w:pos="315"/>
          <w:tab w:val="left" w:pos="360"/>
        </w:tabs>
        <w:wordWrap/>
        <w:topLinePunct w:val="0"/>
        <w:bidi w:val="0"/>
        <w:snapToGrid/>
        <w:spacing w:line="360" w:lineRule="auto"/>
        <w:ind w:right="-145" w:rightChars="-69"/>
        <w:jc w:val="center"/>
        <w:textAlignment w:val="auto"/>
        <w:rPr>
          <w:rFonts w:hint="default"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0"/>
          <w:szCs w:val="20"/>
          <w:u w:val="none"/>
          <w:lang w:val="en-US" w:eastAsia="zh-CN" w:bidi="ar"/>
        </w:rPr>
        <w:t>表2：柴油发电机月度巡检检查内容</w:t>
      </w:r>
    </w:p>
    <w:p>
      <w:pPr>
        <w:autoSpaceDE w:val="0"/>
        <w:autoSpaceDN w:val="0"/>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当柴油发电机发生突发故障，维保厂家在接到我方通知后，指导我方对故障进行处理，必要时根据我方要求2小时内到达现场进行抢修。月度巡检及抢修服务期为1年，其中抢修次数在服务期内无限次数。</w:t>
      </w: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（3）更换维修柴油发电机启动电机</w:t>
      </w:r>
    </w:p>
    <w:p>
      <w:pPr>
        <w:autoSpaceDE w:val="0"/>
        <w:autoSpaceDN w:val="0"/>
        <w:spacing w:line="360" w:lineRule="auto"/>
        <w:ind w:firstLine="560" w:firstLineChars="200"/>
        <w:rPr>
          <w:rFonts w:hint="eastAsia"/>
          <w:lang w:val="en-US" w:eastAsia="zh-CN"/>
        </w:rPr>
      </w:pPr>
      <w:r>
        <w:rPr>
          <w:rFonts w:hint="eastAsia" w:ascii="仿宋_GB2312" w:hAnsi="仿宋_GB2312" w:eastAsia="仿宋_GB2312" w:cs="仿宋_GB2312"/>
          <w:sz w:val="28"/>
          <w:szCs w:val="28"/>
          <w:lang w:val="en-US" w:eastAsia="zh-CN"/>
        </w:rPr>
        <w:t>对柴油发电机启动电机进行更换，把更换下来的启动电机进行维修作备机。更换的启动电机参数如表3所示。</w:t>
      </w:r>
    </w:p>
    <w:tbl>
      <w:tblPr>
        <w:tblStyle w:val="23"/>
        <w:tblW w:w="6254" w:type="dxa"/>
        <w:jc w:val="center"/>
        <w:tblLayout w:type="autofit"/>
        <w:tblCellMar>
          <w:top w:w="0" w:type="dxa"/>
          <w:left w:w="108" w:type="dxa"/>
          <w:bottom w:w="0" w:type="dxa"/>
          <w:right w:w="108" w:type="dxa"/>
        </w:tblCellMar>
      </w:tblPr>
      <w:tblGrid>
        <w:gridCol w:w="1060"/>
        <w:gridCol w:w="2274"/>
        <w:gridCol w:w="1060"/>
        <w:gridCol w:w="1860"/>
      </w:tblGrid>
      <w:tr>
        <w:tblPrEx>
          <w:tblCellMar>
            <w:top w:w="0" w:type="dxa"/>
            <w:left w:w="108" w:type="dxa"/>
            <w:bottom w:w="0" w:type="dxa"/>
            <w:right w:w="108" w:type="dxa"/>
          </w:tblCellMar>
        </w:tblPrEx>
        <w:trPr>
          <w:trHeight w:val="28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维护保养服务内容</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更换全新发电机启动电机，对旧电机进行维修</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维修及更换</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表3：启动电机参数</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autoSpaceDE w:val="0"/>
        <w:autoSpaceDN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（4）为柴油发电机提供1000L动力0#柴油。</w:t>
      </w:r>
    </w:p>
    <w:p>
      <w:pPr>
        <w:autoSpaceDE w:val="0"/>
        <w:autoSpaceDN w:val="0"/>
        <w:spacing w:line="360" w:lineRule="auto"/>
        <w:ind w:firstLine="560" w:firstLineChars="200"/>
        <w:rPr>
          <w:rFonts w:hint="eastAsia"/>
          <w:lang w:val="en-US" w:eastAsia="zh-CN"/>
        </w:rPr>
      </w:pPr>
      <w:r>
        <w:rPr>
          <w:rFonts w:hint="eastAsia" w:ascii="仿宋_GB2312" w:hAnsi="仿宋_GB2312" w:eastAsia="仿宋_GB2312" w:cs="仿宋_GB2312"/>
          <w:sz w:val="28"/>
          <w:szCs w:val="28"/>
          <w:lang w:val="en-US" w:eastAsia="zh-CN"/>
        </w:rPr>
        <w:t>分批或一次提供1000L动力国标0#柴油，具体提供时间由分公司根据实际使用情况而定，厂家在接到分公司通知后5个工作日把动力柴油送达，并负责对发电机进行添加柴油。</w:t>
      </w:r>
    </w:p>
    <w:p>
      <w:pPr>
        <w:pStyle w:val="10"/>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（5）服务工程量清单</w:t>
      </w:r>
    </w:p>
    <w:tbl>
      <w:tblPr>
        <w:tblStyle w:val="23"/>
        <w:tblW w:w="93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721"/>
        <w:gridCol w:w="2638"/>
        <w:gridCol w:w="2480"/>
        <w:gridCol w:w="952"/>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9392"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仿宋_GB2312" w:hAnsi="仿宋_GB2312" w:eastAsia="仿宋_GB2312" w:cs="仿宋_GB2312"/>
                <w:sz w:val="28"/>
                <w:szCs w:val="28"/>
                <w:lang w:val="en-US" w:eastAsia="zh-CN"/>
              </w:rPr>
              <w:t>健康城分公司2022年柴油发电机维保服务项目服务工程量清单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柴油滤清器</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现场更换</w:t>
            </w:r>
          </w:p>
        </w:tc>
        <w:tc>
          <w:tcPr>
            <w:tcW w:w="24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仿宋_GB2312" w:hAnsi="仿宋_GB2312" w:eastAsia="仿宋_GB2312" w:cs="仿宋_GB2312"/>
                <w:sz w:val="28"/>
                <w:szCs w:val="28"/>
                <w:lang w:val="en-US" w:eastAsia="zh-CN"/>
              </w:rPr>
              <w:t>南通柴油机TCR1000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机油滤清器</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现场更换</w:t>
            </w:r>
          </w:p>
        </w:tc>
        <w:tc>
          <w:tcPr>
            <w:tcW w:w="24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空气滤清器</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现场更换</w:t>
            </w:r>
          </w:p>
        </w:tc>
        <w:tc>
          <w:tcPr>
            <w:tcW w:w="24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美国水箱宝</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现场更换</w:t>
            </w:r>
          </w:p>
        </w:tc>
        <w:tc>
          <w:tcPr>
            <w:tcW w:w="24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发动机润滑油</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现场更换</w:t>
            </w:r>
          </w:p>
        </w:tc>
        <w:tc>
          <w:tcPr>
            <w:tcW w:w="24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启动电机</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现场更换</w:t>
            </w:r>
          </w:p>
        </w:tc>
        <w:tc>
          <w:tcPr>
            <w:tcW w:w="24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启动电机维修</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旧启动电机维修作备件</w:t>
            </w:r>
          </w:p>
        </w:tc>
        <w:tc>
          <w:tcPr>
            <w:tcW w:w="248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月度巡检</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1、检查蓄电池充电器、电接头、电解液、润滑油、冷却液等检查；</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每月1次，共12月</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2、对风扇皮带、连接软管、卡箍检查及调整；水箱散热器、发动机机身清洁除尘；</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每月1次，共12月</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3、记录发电机运行情况排除非正常运行因素等</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每月1次，共12月</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应急抢修</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抢修人员在2小时内到达现场进行故障抢修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服务期内不限次数</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柴油发电机动力柴油</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分批送达现场并添加</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国标0#柴油</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配件及运输交通</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技术服务</w:t>
            </w:r>
          </w:p>
        </w:tc>
        <w:tc>
          <w:tcPr>
            <w:tcW w:w="26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pPr>
        <w:pStyle w:val="12"/>
        <w:adjustRightInd w:val="0"/>
        <w:snapToGrid w:val="0"/>
        <w:spacing w:line="30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Style w:val="12"/>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1.服务期：自双方</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lang w:val="zh-CN" w:eastAsia="zh-CN"/>
        </w:rPr>
        <w:t>签订</w:t>
      </w:r>
      <w:r>
        <w:rPr>
          <w:rFonts w:hint="eastAsia" w:ascii="仿宋_GB2312" w:hAnsi="仿宋_GB2312" w:eastAsia="仿宋_GB2312" w:cs="仿宋_GB2312"/>
          <w:sz w:val="28"/>
          <w:szCs w:val="28"/>
          <w:lang w:val="en-US" w:eastAsia="zh-CN"/>
        </w:rPr>
        <w:t>之日起</w:t>
      </w:r>
      <w:r>
        <w:rPr>
          <w:rFonts w:hint="eastAsia" w:ascii="仿宋_GB2312" w:hAnsi="仿宋_GB2312" w:eastAsia="仿宋_GB2312" w:cs="仿宋_GB2312"/>
          <w:sz w:val="28"/>
          <w:szCs w:val="28"/>
          <w:lang w:val="zh-CN" w:eastAsia="zh-CN"/>
        </w:rPr>
        <w:t>1年</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2.质量要求：</w:t>
      </w:r>
      <w:r>
        <w:rPr>
          <w:rFonts w:hint="eastAsia" w:ascii="仿宋_GB2312" w:hAnsi="仿宋_GB2312" w:eastAsia="仿宋_GB2312" w:cs="仿宋_GB2312"/>
          <w:sz w:val="28"/>
          <w:szCs w:val="28"/>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3.总包及分包规定：</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）验收依据：询价文件、询价响应文件、</w:t>
      </w:r>
      <w:r>
        <w:rPr>
          <w:rFonts w:hint="eastAsia" w:ascii="仿宋_GB2312" w:hAnsi="仿宋_GB2312" w:eastAsia="仿宋_GB2312" w:cs="仿宋_GB2312"/>
          <w:sz w:val="28"/>
          <w:szCs w:val="28"/>
          <w:lang w:val="en-US" w:eastAsia="zh-CN"/>
        </w:rPr>
        <w:t>相关管道安装</w:t>
      </w:r>
      <w:r>
        <w:rPr>
          <w:rFonts w:hint="eastAsia" w:ascii="仿宋_GB2312" w:hAnsi="仿宋_GB2312" w:eastAsia="仿宋_GB2312" w:cs="仿宋_GB2312"/>
          <w:sz w:val="28"/>
          <w:szCs w:val="28"/>
          <w:lang w:val="zh-CN" w:eastAsia="zh-CN"/>
        </w:rPr>
        <w:t>有关的质量标准规定，均为验收依据。</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）承包单位根据要求进行</w:t>
      </w:r>
      <w:r>
        <w:rPr>
          <w:rFonts w:hint="eastAsia" w:ascii="仿宋_GB2312" w:hAnsi="仿宋_GB2312" w:eastAsia="仿宋_GB2312" w:cs="仿宋_GB2312"/>
          <w:sz w:val="28"/>
          <w:szCs w:val="28"/>
          <w:lang w:val="en-US" w:eastAsia="zh-CN"/>
        </w:rPr>
        <w:t>管道、支架安装。</w:t>
      </w:r>
      <w:r>
        <w:rPr>
          <w:rFonts w:hint="eastAsia" w:ascii="仿宋_GB2312" w:hAnsi="仿宋_GB2312" w:eastAsia="仿宋_GB2312" w:cs="仿宋_GB2312"/>
          <w:sz w:val="28"/>
          <w:szCs w:val="28"/>
          <w:lang w:val="zh-CN" w:eastAsia="zh-CN"/>
        </w:rPr>
        <w:t>完成之后，</w:t>
      </w:r>
      <w:r>
        <w:rPr>
          <w:rFonts w:hint="eastAsia" w:ascii="仿宋_GB2312" w:hAnsi="仿宋_GB2312" w:eastAsia="仿宋_GB2312" w:cs="仿宋_GB2312"/>
          <w:sz w:val="28"/>
          <w:szCs w:val="28"/>
          <w:lang w:val="en-US" w:eastAsia="zh-CN"/>
        </w:rPr>
        <w:t>确保管道正常运行</w:t>
      </w:r>
      <w:r>
        <w:rPr>
          <w:rFonts w:hint="eastAsia" w:ascii="仿宋_GB2312" w:hAnsi="仿宋_GB2312" w:eastAsia="仿宋_GB2312" w:cs="仿宋_GB2312"/>
          <w:sz w:val="28"/>
          <w:szCs w:val="28"/>
          <w:lang w:val="zh-CN" w:eastAsia="zh-CN"/>
        </w:rPr>
        <w:t>的要求。</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）发包人有权委托我国相关具有检验资质的部门、单位、机构针对</w:t>
      </w:r>
      <w:r>
        <w:rPr>
          <w:rFonts w:hint="eastAsia" w:ascii="仿宋_GB2312" w:hAnsi="仿宋_GB2312" w:eastAsia="仿宋_GB2312" w:cs="仿宋_GB2312"/>
          <w:sz w:val="28"/>
          <w:szCs w:val="28"/>
          <w:lang w:val="en-US" w:eastAsia="zh-CN"/>
        </w:rPr>
        <w:t>相关无线网桥传输况</w:t>
      </w:r>
      <w:r>
        <w:rPr>
          <w:rFonts w:hint="eastAsia" w:ascii="仿宋_GB2312" w:hAnsi="仿宋_GB2312" w:eastAsia="仿宋_GB2312" w:cs="仿宋_GB2312"/>
          <w:sz w:val="28"/>
          <w:szCs w:val="28"/>
          <w:lang w:val="zh-CN" w:eastAsia="zh-CN"/>
        </w:rPr>
        <w:t>进行检验，其检验结果将作为验收标准的组成部分之一。</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6.承包方式：</w:t>
      </w:r>
      <w:r>
        <w:rPr>
          <w:rFonts w:hint="eastAsia" w:ascii="仿宋_GB2312" w:hAnsi="仿宋_GB2312" w:eastAsia="仿宋_GB2312" w:cs="仿宋_GB2312"/>
          <w:sz w:val="28"/>
          <w:szCs w:val="28"/>
          <w:lang w:val="zh-CN" w:eastAsia="zh-CN"/>
        </w:rPr>
        <w:t>单价</w:t>
      </w:r>
      <w:r>
        <w:rPr>
          <w:rFonts w:hint="eastAsia" w:ascii="仿宋_GB2312" w:hAnsi="仿宋_GB2312" w:eastAsia="仿宋_GB2312" w:cs="仿宋_GB2312"/>
          <w:sz w:val="28"/>
          <w:szCs w:val="28"/>
          <w:lang w:val="en-US" w:eastAsia="zh-CN"/>
        </w:rPr>
        <w:t>包干。</w:t>
      </w: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highlight w:val="none"/>
        </w:rPr>
      </w:pPr>
      <w:bookmarkStart w:id="61" w:name="_Toc537"/>
      <w:bookmarkStart w:id="62" w:name="_Toc1496"/>
      <w:bookmarkStart w:id="63" w:name="_Toc23330"/>
      <w:bookmarkStart w:id="64" w:name="_Toc1284"/>
      <w:bookmarkStart w:id="65" w:name="_Toc15570"/>
      <w:bookmarkStart w:id="66" w:name="_Toc18538"/>
      <w:bookmarkStart w:id="67" w:name="_Toc12135"/>
      <w:bookmarkStart w:id="68" w:name="_Toc4680"/>
      <w:bookmarkStart w:id="69" w:name="_Toc29835"/>
      <w:bookmarkStart w:id="70" w:name="_Toc25925"/>
      <w:bookmarkStart w:id="71" w:name="_Toc23353"/>
      <w:r>
        <w:rPr>
          <w:highlight w:val="none"/>
        </w:rPr>
        <w:pict>
          <v:shape id="_x0000_s2074" o:spid="_x0000_s2074" o:spt="32" type="#_x0000_t32" style="position:absolute;left:0pt;margin-left:183.05pt;margin-top:37.25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path arrowok="t"/>
            <v:fill on="f" focussize="0,0"/>
            <v:stroke color="#000000" joinstyle="round"/>
            <v:imagedata o:title=""/>
            <o:lock v:ext="edit" aspectratio="f"/>
          </v:shape>
        </w:pict>
      </w:r>
      <w:r>
        <w:rPr>
          <w:highlight w:val="none"/>
        </w:rPr>
        <w:pict>
          <v:shape id="_x0000_s2075" o:spid="_x0000_s2075" o:spt="32" type="#_x0000_t32" style="position:absolute;left:0pt;margin-left:183.8pt;margin-top:10.5pt;height:0pt;width:75.5pt;z-index:25167462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path arrowok="t"/>
            <v:fill on="f" focussize="0,0"/>
            <v:stroke color="#000000" joinstyle="round"/>
            <v:imagedata o:title=""/>
            <o:lock v:ext="edit" aspectratio="f"/>
          </v:shape>
        </w:pict>
      </w:r>
      <w:r>
        <w:rPr>
          <w:rFonts w:hint="eastAsia"/>
          <w:highlight w:val="none"/>
        </w:rPr>
        <w:t>第六章</w:t>
      </w:r>
    </w:p>
    <w:bookmarkEnd w:id="61"/>
    <w:bookmarkEnd w:id="62"/>
    <w:bookmarkEnd w:id="63"/>
    <w:bookmarkEnd w:id="64"/>
    <w:bookmarkEnd w:id="65"/>
    <w:bookmarkEnd w:id="66"/>
    <w:bookmarkEnd w:id="67"/>
    <w:bookmarkEnd w:id="68"/>
    <w:bookmarkEnd w:id="69"/>
    <w:bookmarkEnd w:id="70"/>
    <w:bookmarkEnd w:id="71"/>
    <w:p>
      <w:pPr>
        <w:pStyle w:val="36"/>
        <w:rPr>
          <w:color w:val="auto"/>
          <w:highlight w:val="none"/>
        </w:rPr>
      </w:pPr>
    </w:p>
    <w:p>
      <w:pPr>
        <w:pStyle w:val="4"/>
        <w:rPr>
          <w:color w:val="auto"/>
          <w:highlight w:val="none"/>
        </w:rPr>
      </w:pPr>
      <w:bookmarkStart w:id="72" w:name="_Toc13309"/>
      <w:bookmarkStart w:id="73" w:name="_Toc12980"/>
      <w:bookmarkStart w:id="74" w:name="_Toc323"/>
      <w:bookmarkStart w:id="75" w:name="_Toc12968"/>
      <w:bookmarkStart w:id="76" w:name="_Toc22797"/>
      <w:bookmarkStart w:id="77" w:name="_Toc87616386"/>
      <w:bookmarkStart w:id="78" w:name="_Toc22501"/>
      <w:bookmarkStart w:id="79" w:name="_Toc88209949"/>
      <w:bookmarkStart w:id="80" w:name="_Toc19088"/>
      <w:bookmarkStart w:id="81" w:name="_Toc1375"/>
      <w:bookmarkStart w:id="82" w:name="_Toc19686"/>
      <w:bookmarkStart w:id="83" w:name="_Toc8183"/>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line="400" w:lineRule="atLeast"/>
        <w:jc w:val="center"/>
        <w:rPr>
          <w:rFonts w:hint="eastAsia" w:ascii="宋体" w:hAnsi="宋体" w:cs="宋体"/>
          <w:b/>
          <w:bCs/>
          <w:sz w:val="48"/>
          <w:szCs w:val="48"/>
        </w:rPr>
      </w:pPr>
      <w:bookmarkStart w:id="85" w:name="_Toc28358"/>
      <w:bookmarkStart w:id="86" w:name="_Toc16552"/>
      <w:bookmarkStart w:id="87" w:name="_Toc5129"/>
      <w:bookmarkStart w:id="88" w:name="_Toc23515"/>
      <w:bookmarkStart w:id="89" w:name="_Toc6230"/>
      <w:bookmarkStart w:id="90" w:name="_Toc30824"/>
      <w:bookmarkStart w:id="91" w:name="_Toc1563"/>
      <w:bookmarkStart w:id="92" w:name="_Toc3723"/>
      <w:bookmarkStart w:id="93" w:name="_Toc12169"/>
      <w:bookmarkStart w:id="94" w:name="_Toc8147"/>
      <w:bookmarkStart w:id="95" w:name="_Toc21847"/>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eastAsia="宋体" w:cs="宋体"/>
          <w:b/>
          <w:bCs/>
          <w:sz w:val="48"/>
          <w:szCs w:val="48"/>
          <w:lang w:eastAsia="zh-CN"/>
        </w:rPr>
        <w:t>健康城</w:t>
      </w:r>
      <w:r>
        <w:rPr>
          <w:rFonts w:hint="eastAsia" w:ascii="宋体" w:hAnsi="宋体" w:eastAsia="宋体" w:cs="宋体"/>
          <w:b/>
          <w:bCs/>
          <w:sz w:val="48"/>
          <w:szCs w:val="48"/>
          <w:lang w:val="en-US" w:eastAsia="zh-CN"/>
        </w:rPr>
        <w:t>分</w:t>
      </w:r>
      <w:r>
        <w:rPr>
          <w:rFonts w:hint="eastAsia" w:ascii="宋体" w:hAnsi="宋体" w:eastAsia="宋体" w:cs="宋体"/>
          <w:b/>
          <w:bCs/>
          <w:sz w:val="48"/>
          <w:szCs w:val="48"/>
          <w:lang w:eastAsia="zh-CN"/>
        </w:rPr>
        <w:t>公司2022年柴油发电机维保服务项目</w:t>
      </w:r>
      <w:r>
        <w:rPr>
          <w:rFonts w:hint="eastAsia" w:ascii="宋体" w:hAnsi="宋体" w:cs="宋体"/>
          <w:b/>
          <w:bCs/>
          <w:sz w:val="48"/>
          <w:szCs w:val="48"/>
        </w:rPr>
        <w:t>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default" w:ascii="宋体" w:hAnsi="宋体" w:eastAsia="宋体" w:cs="宋体"/>
          <w:b/>
          <w:sz w:val="30"/>
          <w:szCs w:val="30"/>
          <w:lang w:val="en-US"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健康城</w:t>
      </w:r>
      <w:r>
        <w:rPr>
          <w:rFonts w:hint="eastAsia" w:ascii="宋体" w:hAnsi="宋体" w:cs="宋体"/>
          <w:b/>
          <w:sz w:val="30"/>
          <w:szCs w:val="30"/>
          <w:lang w:val="en-US" w:eastAsia="zh-CN"/>
        </w:rPr>
        <w:t>分</w:t>
      </w:r>
      <w:r>
        <w:rPr>
          <w:rFonts w:hint="eastAsia" w:ascii="宋体" w:hAnsi="宋体" w:cs="宋体"/>
          <w:b/>
          <w:sz w:val="30"/>
          <w:szCs w:val="30"/>
          <w:lang w:eastAsia="zh-CN"/>
        </w:rPr>
        <w:t>公司2022年柴油发电机维保服务项目</w:t>
      </w:r>
    </w:p>
    <w:p>
      <w:pPr>
        <w:pStyle w:val="46"/>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sz w:val="24"/>
          <w:u w:val="single"/>
        </w:rPr>
      </w:pPr>
      <w:r>
        <w:rPr>
          <w:rFonts w:hint="eastAsia" w:ascii="宋体" w:hAnsi="宋体" w:cs="宋体"/>
          <w:b/>
          <w:sz w:val="30"/>
        </w:rPr>
        <w:t>签约地点：广州市</w:t>
      </w: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 xml:space="preserve">（以下简称“乙方”）就 </w:t>
      </w:r>
      <w:r>
        <w:rPr>
          <w:rFonts w:hint="eastAsia" w:ascii="宋体" w:hAnsi="宋体" w:eastAsia="宋体" w:cs="宋体"/>
          <w:sz w:val="24"/>
          <w:u w:val="single"/>
          <w:lang w:eastAsia="zh-CN"/>
        </w:rPr>
        <w:t>健康城分公司2022年柴油发电机维保服务项目</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hint="eastAsia" w:ascii="宋体" w:hAnsi="宋体" w:cs="宋体"/>
          <w:b/>
          <w:bCs/>
          <w:sz w:val="24"/>
        </w:rPr>
      </w:pP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健康城分公司2022年柴油发电机维保服务项目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lang w:eastAsia="zh-CN"/>
        </w:rPr>
        <w:t>广州市净水有限公司健康城分公司</w:t>
      </w:r>
      <w:r>
        <w:rPr>
          <w:rFonts w:hint="eastAsia" w:ascii="宋体" w:hAnsi="宋体" w:cs="宋体"/>
          <w:sz w:val="24"/>
          <w:u w:val="single"/>
        </w:rPr>
        <w:t>。</w:t>
      </w:r>
    </w:p>
    <w:p>
      <w:pPr>
        <w:spacing w:line="384" w:lineRule="auto"/>
        <w:ind w:firstLine="480" w:firstLineChars="200"/>
        <w:rPr>
          <w:rFonts w:hint="eastAsia" w:ascii="宋体" w:hAnsi="宋体" w:cs="宋体"/>
          <w:sz w:val="24"/>
        </w:rPr>
      </w:pPr>
      <w:r>
        <w:rPr>
          <w:rFonts w:hint="eastAsia" w:ascii="宋体" w:hAnsi="宋体" w:cs="宋体"/>
          <w:sz w:val="24"/>
        </w:rPr>
        <w:t>2.3项目内容：</w:t>
      </w:r>
    </w:p>
    <w:p>
      <w:pPr>
        <w:spacing w:line="384" w:lineRule="auto"/>
        <w:ind w:firstLine="480" w:firstLineChars="200"/>
        <w:rPr>
          <w:rFonts w:hint="eastAsia" w:ascii="宋体" w:hAnsi="宋体" w:eastAsia="宋体" w:cs="宋体"/>
          <w:sz w:val="24"/>
          <w:lang w:val="zh-CN"/>
        </w:rPr>
      </w:pPr>
      <w:r>
        <w:rPr>
          <w:rFonts w:hint="eastAsia" w:ascii="宋体" w:hAnsi="宋体" w:eastAsia="宋体" w:cs="宋体"/>
          <w:sz w:val="24"/>
          <w:lang w:val="en-US" w:eastAsia="zh-CN"/>
        </w:rPr>
        <w:t xml:space="preserve">对健康城分公司柴油发电机（南通柴油机TCR1000）1台提供以下维保服务： </w:t>
      </w:r>
    </w:p>
    <w:p>
      <w:pPr>
        <w:spacing w:line="384" w:lineRule="auto"/>
        <w:ind w:firstLine="480" w:firstLineChars="200"/>
        <w:rPr>
          <w:rFonts w:hint="eastAsia" w:ascii="宋体" w:hAnsi="宋体" w:eastAsia="宋体" w:cs="宋体"/>
          <w:sz w:val="24"/>
          <w:lang w:val="zh-CN"/>
        </w:rPr>
      </w:pPr>
      <w:r>
        <w:rPr>
          <w:rFonts w:hint="eastAsia" w:ascii="宋体" w:hAnsi="宋体" w:eastAsia="宋体" w:cs="宋体"/>
          <w:sz w:val="24"/>
          <w:lang w:val="en-US" w:eastAsia="zh-CN"/>
        </w:rPr>
        <w:t xml:space="preserve">1、年度保养更换过滤器、机油、水箱宝等。 </w:t>
      </w:r>
    </w:p>
    <w:p>
      <w:pPr>
        <w:spacing w:line="384" w:lineRule="auto"/>
        <w:ind w:firstLine="480" w:firstLineChars="200"/>
        <w:rPr>
          <w:rFonts w:hint="eastAsia" w:ascii="宋体" w:hAnsi="宋体" w:eastAsia="宋体" w:cs="宋体"/>
          <w:sz w:val="24"/>
          <w:lang w:val="zh-CN"/>
        </w:rPr>
      </w:pPr>
      <w:r>
        <w:rPr>
          <w:rFonts w:hint="eastAsia" w:ascii="宋体" w:hAnsi="宋体" w:eastAsia="宋体" w:cs="宋体"/>
          <w:sz w:val="24"/>
          <w:lang w:val="en-US" w:eastAsia="zh-CN"/>
        </w:rPr>
        <w:t xml:space="preserve">2、提供月度巡检，每月对发电机进行检测保养。 </w:t>
      </w:r>
    </w:p>
    <w:p>
      <w:pPr>
        <w:spacing w:line="384" w:lineRule="auto"/>
        <w:ind w:firstLine="480" w:firstLineChars="200"/>
        <w:rPr>
          <w:rFonts w:hint="eastAsia" w:ascii="宋体" w:hAnsi="宋体" w:eastAsia="宋体" w:cs="宋体"/>
          <w:sz w:val="24"/>
          <w:lang w:val="zh-CN"/>
        </w:rPr>
      </w:pPr>
      <w:r>
        <w:rPr>
          <w:rFonts w:hint="eastAsia" w:ascii="宋体" w:hAnsi="宋体" w:eastAsia="宋体" w:cs="宋体"/>
          <w:sz w:val="24"/>
          <w:lang w:val="en-US" w:eastAsia="zh-CN"/>
        </w:rPr>
        <w:t xml:space="preserve">3、提供故障抢修服务（合同期内无限次数）。 </w:t>
      </w:r>
    </w:p>
    <w:p>
      <w:pPr>
        <w:spacing w:line="384" w:lineRule="auto"/>
        <w:ind w:firstLine="480" w:firstLineChars="200"/>
        <w:rPr>
          <w:rFonts w:hint="eastAsia" w:ascii="宋体" w:hAnsi="宋体" w:eastAsia="宋体" w:cs="宋体"/>
          <w:sz w:val="24"/>
          <w:lang w:val="zh-CN"/>
        </w:rPr>
      </w:pPr>
      <w:r>
        <w:rPr>
          <w:rFonts w:hint="eastAsia" w:ascii="宋体" w:hAnsi="宋体" w:eastAsia="宋体" w:cs="宋体"/>
          <w:sz w:val="24"/>
          <w:lang w:val="en-US" w:eastAsia="zh-CN"/>
        </w:rPr>
        <w:t xml:space="preserve">4、提供动力柴油1000L。 </w:t>
      </w:r>
    </w:p>
    <w:p>
      <w:pPr>
        <w:spacing w:line="384" w:lineRule="auto"/>
        <w:ind w:firstLine="480" w:firstLineChars="200"/>
        <w:rPr>
          <w:rFonts w:hint="eastAsia" w:ascii="宋体" w:hAnsi="宋体" w:eastAsia="宋体" w:cs="宋体"/>
          <w:sz w:val="24"/>
          <w:u w:val="single"/>
          <w:lang w:val="en-US" w:eastAsia="zh-CN"/>
        </w:rPr>
      </w:pPr>
      <w:r>
        <w:rPr>
          <w:rFonts w:hint="eastAsia" w:ascii="宋体" w:hAnsi="宋体" w:eastAsia="宋体" w:cs="宋体"/>
          <w:sz w:val="24"/>
          <w:lang w:val="en-US" w:eastAsia="zh-CN"/>
        </w:rPr>
        <w:t>5、更换启动及维修发电机启动电机一台。</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highlight w:val="none"/>
              </w:rPr>
            </w:pPr>
          </w:p>
        </w:tc>
        <w:tc>
          <w:tcPr>
            <w:tcW w:w="3544" w:type="dxa"/>
            <w:tcBorders>
              <w:left w:val="single" w:color="auto" w:sz="4" w:space="0"/>
            </w:tcBorders>
            <w:noWrap w:val="0"/>
            <w:vAlign w:val="center"/>
          </w:tcPr>
          <w:p>
            <w:pPr>
              <w:spacing w:line="384" w:lineRule="auto"/>
              <w:jc w:val="center"/>
              <w:rPr>
                <w:rFonts w:ascii="宋体" w:hAnsi="宋体" w:cs="宋体"/>
                <w:bCs/>
                <w:sz w:val="24"/>
                <w:highlight w:val="none"/>
              </w:rPr>
            </w:pPr>
          </w:p>
        </w:tc>
        <w:tc>
          <w:tcPr>
            <w:tcW w:w="1305" w:type="dxa"/>
            <w:tcBorders>
              <w:right w:val="single" w:color="auto" w:sz="4" w:space="0"/>
            </w:tcBorders>
            <w:noWrap w:val="0"/>
            <w:vAlign w:val="center"/>
          </w:tcPr>
          <w:p>
            <w:pPr>
              <w:spacing w:line="384" w:lineRule="auto"/>
              <w:jc w:val="center"/>
              <w:rPr>
                <w:rFonts w:ascii="宋体" w:hAnsi="宋体" w:cs="宋体"/>
                <w:bCs/>
                <w:sz w:val="24"/>
                <w:highlight w:val="none"/>
              </w:rPr>
            </w:pPr>
          </w:p>
        </w:tc>
        <w:tc>
          <w:tcPr>
            <w:tcW w:w="963" w:type="dxa"/>
            <w:tcBorders>
              <w:left w:val="single" w:color="auto" w:sz="4" w:space="0"/>
            </w:tcBorders>
            <w:noWrap w:val="0"/>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hint="eastAsia" w:ascii="宋体" w:hAnsi="宋体" w:cs="宋体"/>
          <w:b/>
          <w:bCs/>
          <w:sz w:val="24"/>
          <w:highlight w:val="none"/>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hint="eastAsia" w:ascii="宋体" w:hAnsi="宋体" w:eastAsia="宋体" w:cs="宋体"/>
          <w:b/>
          <w:bCs/>
          <w:sz w:val="24"/>
          <w:highlight w:val="none"/>
          <w:lang w:val="en-US" w:eastAsia="zh-CN"/>
        </w:rPr>
      </w:pPr>
      <w:r>
        <w:rPr>
          <w:rFonts w:hint="eastAsia" w:ascii="宋体" w:hAnsi="宋体" w:cs="宋体"/>
          <w:szCs w:val="21"/>
          <w:highlight w:val="none"/>
        </w:rPr>
        <w:sym w:font="Wingdings 2" w:char="00A3"/>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第四条 </w:t>
      </w:r>
      <w:r>
        <w:rPr>
          <w:rFonts w:hint="eastAsia" w:ascii="宋体" w:hAnsi="宋体" w:eastAsia="宋体" w:cs="宋体"/>
          <w:b/>
          <w:bCs/>
          <w:sz w:val="24"/>
          <w:highlight w:val="none"/>
        </w:rPr>
        <w:t>维保服务内容及要求</w:t>
      </w:r>
    </w:p>
    <w:p>
      <w:pPr>
        <w:spacing w:line="384" w:lineRule="auto"/>
        <w:ind w:firstLine="480" w:firstLineChars="200"/>
        <w:rPr>
          <w:rFonts w:hint="eastAsia"/>
          <w:lang w:val="en-US" w:eastAsia="zh-CN"/>
        </w:rPr>
      </w:pPr>
      <w:r>
        <w:rPr>
          <w:rFonts w:hint="eastAsia" w:ascii="宋体" w:hAnsi="宋体" w:eastAsia="宋体" w:cs="宋体"/>
          <w:sz w:val="24"/>
          <w:lang w:val="en-US" w:eastAsia="zh-CN"/>
        </w:rPr>
        <w:t>对健康城分公司柴油发电机（南通柴油机TCR1000）1台进行定期安全检查、维保、维修、检测等服务，服务内容应包括但不限于：</w:t>
      </w:r>
    </w:p>
    <w:p>
      <w:pPr>
        <w:spacing w:line="384"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4.1柴油发电机年度维保</w:t>
      </w:r>
    </w:p>
    <w:p>
      <w:pPr>
        <w:spacing w:line="384" w:lineRule="auto"/>
        <w:ind w:firstLine="960" w:firstLineChars="400"/>
        <w:rPr>
          <w:rFonts w:hint="default" w:hAnsi="宋体" w:cs="宋体"/>
          <w:kern w:val="0"/>
          <w:lang w:val="en-US" w:eastAsia="zh-CN"/>
        </w:rPr>
      </w:pPr>
      <w:r>
        <w:rPr>
          <w:rFonts w:hint="eastAsia" w:ascii="宋体" w:hAnsi="宋体" w:eastAsia="宋体" w:cs="宋体"/>
          <w:sz w:val="24"/>
          <w:lang w:val="en-US" w:eastAsia="zh-CN"/>
        </w:rPr>
        <w:t>初定年度维保日期为2022年10月，年度维保内容如表1。</w:t>
      </w:r>
    </w:p>
    <w:tbl>
      <w:tblPr>
        <w:tblStyle w:val="23"/>
        <w:tblW w:w="7470" w:type="dxa"/>
        <w:jc w:val="center"/>
        <w:tblLayout w:type="autofit"/>
        <w:tblCellMar>
          <w:top w:w="0" w:type="dxa"/>
          <w:left w:w="108" w:type="dxa"/>
          <w:bottom w:w="0" w:type="dxa"/>
          <w:right w:w="108" w:type="dxa"/>
        </w:tblCellMar>
      </w:tblPr>
      <w:tblGrid>
        <w:gridCol w:w="1061"/>
        <w:gridCol w:w="2270"/>
        <w:gridCol w:w="1216"/>
        <w:gridCol w:w="1061"/>
        <w:gridCol w:w="1862"/>
      </w:tblGrid>
      <w:tr>
        <w:tblPrEx>
          <w:tblCellMar>
            <w:top w:w="0" w:type="dxa"/>
            <w:left w:w="108" w:type="dxa"/>
            <w:bottom w:w="0" w:type="dxa"/>
            <w:right w:w="108" w:type="dxa"/>
          </w:tblCellMar>
        </w:tblPrEx>
        <w:trPr>
          <w:trHeight w:val="285" w:hRule="atLeast"/>
          <w:jc w:val="center"/>
        </w:trPr>
        <w:tc>
          <w:tcPr>
            <w:tcW w:w="1061" w:type="dxa"/>
            <w:tcBorders>
              <w:top w:val="single" w:color="auto" w:sz="4" w:space="0"/>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70"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1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061"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862"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维护保养服务内容</w:t>
            </w:r>
          </w:p>
        </w:tc>
      </w:tr>
      <w:tr>
        <w:tblPrEx>
          <w:tblCellMar>
            <w:top w:w="0" w:type="dxa"/>
            <w:left w:w="108" w:type="dxa"/>
            <w:bottom w:w="0" w:type="dxa"/>
            <w:right w:w="108" w:type="dxa"/>
          </w:tblCellMar>
        </w:tblPrEx>
        <w:trPr>
          <w:trHeight w:val="285" w:hRule="atLeast"/>
          <w:jc w:val="center"/>
        </w:trPr>
        <w:tc>
          <w:tcPr>
            <w:tcW w:w="106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70"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柴油滤清器</w:t>
            </w:r>
          </w:p>
        </w:tc>
        <w:tc>
          <w:tcPr>
            <w:tcW w:w="1216" w:type="dxa"/>
            <w:vMerge w:val="restart"/>
            <w:tcBorders>
              <w:top w:val="nil"/>
              <w:left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南通柴油机TCR1000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6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86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285" w:hRule="atLeast"/>
          <w:jc w:val="center"/>
        </w:trPr>
        <w:tc>
          <w:tcPr>
            <w:tcW w:w="106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70"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机油滤清器</w:t>
            </w:r>
          </w:p>
        </w:tc>
        <w:tc>
          <w:tcPr>
            <w:tcW w:w="1216" w:type="dxa"/>
            <w:vMerge w:val="continue"/>
            <w:tcBorders>
              <w:left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6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86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285" w:hRule="atLeast"/>
          <w:jc w:val="center"/>
        </w:trPr>
        <w:tc>
          <w:tcPr>
            <w:tcW w:w="106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70"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w:t>
            </w:r>
          </w:p>
        </w:tc>
        <w:tc>
          <w:tcPr>
            <w:tcW w:w="1216" w:type="dxa"/>
            <w:vMerge w:val="continue"/>
            <w:tcBorders>
              <w:left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6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86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285" w:hRule="atLeast"/>
          <w:jc w:val="center"/>
        </w:trPr>
        <w:tc>
          <w:tcPr>
            <w:tcW w:w="1061" w:type="dxa"/>
            <w:tcBorders>
              <w:top w:val="nil"/>
              <w:left w:val="single" w:color="auto" w:sz="4" w:space="0"/>
              <w:bottom w:val="single" w:color="000000" w:sz="8"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70"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美国水箱宝（冷却液）</w:t>
            </w:r>
          </w:p>
        </w:tc>
        <w:tc>
          <w:tcPr>
            <w:tcW w:w="1216" w:type="dxa"/>
            <w:vMerge w:val="continue"/>
            <w:tcBorders>
              <w:left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6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w:t>
            </w:r>
          </w:p>
        </w:tc>
        <w:tc>
          <w:tcPr>
            <w:tcW w:w="186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r>
        <w:tblPrEx>
          <w:tblCellMar>
            <w:top w:w="0" w:type="dxa"/>
            <w:left w:w="108" w:type="dxa"/>
            <w:bottom w:w="0" w:type="dxa"/>
            <w:right w:w="108" w:type="dxa"/>
          </w:tblCellMar>
        </w:tblPrEx>
        <w:trPr>
          <w:trHeight w:val="735" w:hRule="atLeast"/>
          <w:jc w:val="center"/>
        </w:trPr>
        <w:tc>
          <w:tcPr>
            <w:tcW w:w="106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70"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发动机润滑油</w:t>
            </w:r>
          </w:p>
        </w:tc>
        <w:tc>
          <w:tcPr>
            <w:tcW w:w="1216" w:type="dxa"/>
            <w:vMerge w:val="continue"/>
            <w:tcBorders>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06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10桶</w:t>
            </w:r>
          </w:p>
        </w:tc>
        <w:tc>
          <w:tcPr>
            <w:tcW w:w="186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表1：柴油发电机年度维保内容</w:t>
      </w:r>
    </w:p>
    <w:p>
      <w:pPr>
        <w:spacing w:line="384" w:lineRule="auto"/>
        <w:ind w:firstLine="0" w:firstLineChars="0"/>
        <w:rPr>
          <w:rFonts w:hint="eastAsia" w:ascii="宋体" w:hAnsi="宋体" w:eastAsia="宋体" w:cs="宋体"/>
          <w:sz w:val="24"/>
          <w:lang w:val="en-US" w:eastAsia="zh-CN"/>
        </w:rPr>
      </w:pPr>
    </w:p>
    <w:p>
      <w:pPr>
        <w:spacing w:line="384" w:lineRule="auto"/>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4.2 柴油发电机月度巡检及抢修</w:t>
      </w:r>
    </w:p>
    <w:p>
      <w:pPr>
        <w:spacing w:line="384"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柴油发电机月度巡检检查内容见表2。</w:t>
      </w:r>
    </w:p>
    <w:tbl>
      <w:tblPr>
        <w:tblStyle w:val="23"/>
        <w:tblW w:w="7470" w:type="dxa"/>
        <w:jc w:val="center"/>
        <w:tblLayout w:type="autofit"/>
        <w:tblCellMar>
          <w:top w:w="0" w:type="dxa"/>
          <w:left w:w="108" w:type="dxa"/>
          <w:bottom w:w="0" w:type="dxa"/>
          <w:right w:w="108" w:type="dxa"/>
        </w:tblCellMar>
      </w:tblPr>
      <w:tblGrid>
        <w:gridCol w:w="1060"/>
        <w:gridCol w:w="2274"/>
        <w:gridCol w:w="1216"/>
        <w:gridCol w:w="1060"/>
        <w:gridCol w:w="1860"/>
      </w:tblGrid>
      <w:tr>
        <w:tblPrEx>
          <w:tblCellMar>
            <w:top w:w="0" w:type="dxa"/>
            <w:left w:w="108" w:type="dxa"/>
            <w:bottom w:w="0" w:type="dxa"/>
            <w:right w:w="108" w:type="dxa"/>
          </w:tblCellMar>
        </w:tblPrEx>
        <w:trPr>
          <w:trHeight w:val="28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维护保养服务内容</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蓄电池充电器、电接头、电解液、润滑油、冷却液检查</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风扇皮带、连接软管、卡箍检查及调整</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水箱散热器、发动机机身清洁除尘</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发电机试运行记录发电机运行情况排除非正常运行因素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月度检查出具维保报告</w:t>
            </w:r>
          </w:p>
        </w:tc>
      </w:tr>
    </w:tbl>
    <w:p>
      <w:pPr>
        <w:pageBreakBefore w:val="0"/>
        <w:widowControl w:val="0"/>
        <w:numPr>
          <w:ilvl w:val="0"/>
          <w:numId w:val="0"/>
        </w:numPr>
        <w:tabs>
          <w:tab w:val="left" w:pos="315"/>
          <w:tab w:val="left" w:pos="360"/>
        </w:tabs>
        <w:wordWrap/>
        <w:topLinePunct w:val="0"/>
        <w:bidi w:val="0"/>
        <w:snapToGrid/>
        <w:spacing w:line="360" w:lineRule="auto"/>
        <w:ind w:right="-145" w:rightChars="-69"/>
        <w:jc w:val="center"/>
        <w:textAlignment w:val="auto"/>
        <w:rPr>
          <w:rFonts w:hint="default" w:ascii="仿宋_GB2312" w:hAnsi="仿宋_GB2312" w:eastAsia="仿宋_GB2312" w:cs="仿宋_GB2312"/>
          <w:sz w:val="28"/>
          <w:szCs w:val="28"/>
          <w:lang w:val="en-US" w:eastAsia="zh-CN"/>
        </w:rPr>
      </w:pPr>
      <w:r>
        <w:rPr>
          <w:rFonts w:hint="eastAsia" w:ascii="宋体" w:hAnsi="宋体" w:eastAsia="宋体" w:cs="宋体"/>
          <w:i w:val="0"/>
          <w:iCs w:val="0"/>
          <w:color w:val="000000"/>
          <w:kern w:val="0"/>
          <w:sz w:val="20"/>
          <w:szCs w:val="20"/>
          <w:u w:val="none"/>
          <w:lang w:val="en-US" w:eastAsia="zh-CN" w:bidi="ar"/>
        </w:rPr>
        <w:t>表2：柴油发电机月度巡检检查内容</w:t>
      </w:r>
    </w:p>
    <w:p>
      <w:pPr>
        <w:spacing w:line="384" w:lineRule="auto"/>
        <w:ind w:firstLine="480" w:firstLineChars="200"/>
        <w:rPr>
          <w:rFonts w:hint="eastAsia" w:ascii="宋体" w:hAnsi="宋体" w:eastAsia="宋体" w:cs="宋体"/>
          <w:sz w:val="24"/>
          <w:lang w:val="en-US" w:eastAsia="zh-CN"/>
        </w:rPr>
      </w:pPr>
    </w:p>
    <w:p>
      <w:pPr>
        <w:spacing w:line="384"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当柴油发电机发生突发故障，维保厂家在接到我方通知后，指导我方对故障进行处理，必要时根据我方要求2小时内到达现场进行抢修。月度巡检及抢修服务期为1年，其中抢修次数在服务期内无限次数。</w:t>
      </w:r>
    </w:p>
    <w:p>
      <w:pPr>
        <w:autoSpaceDE w:val="0"/>
        <w:autoSpaceDN w:val="0"/>
        <w:spacing w:line="360" w:lineRule="auto"/>
        <w:ind w:firstLine="560" w:firstLineChars="200"/>
        <w:rPr>
          <w:rFonts w:hint="default" w:ascii="仿宋_GB2312" w:hAnsi="仿宋_GB2312" w:eastAsia="仿宋_GB2312" w:cs="仿宋_GB2312"/>
          <w:sz w:val="28"/>
          <w:szCs w:val="28"/>
          <w:lang w:val="en-US" w:eastAsia="zh-CN"/>
        </w:rPr>
      </w:pPr>
    </w:p>
    <w:p>
      <w:pPr>
        <w:spacing w:line="384"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4.3 更换维修柴油发电机启动电机</w:t>
      </w:r>
    </w:p>
    <w:p>
      <w:pPr>
        <w:spacing w:line="384"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对柴油发电机启动电机进行更换，把更换下来的启动电机进行维修作备机。更换的启动电机参数如表3所示。</w:t>
      </w:r>
    </w:p>
    <w:p>
      <w:pPr>
        <w:spacing w:line="360" w:lineRule="auto"/>
        <w:ind w:firstLine="640"/>
        <w:rPr>
          <w:rFonts w:hint="default"/>
          <w:lang w:val="en-US" w:eastAsia="zh-CN"/>
        </w:rPr>
      </w:pPr>
      <w:r>
        <w:rPr>
          <w:rFonts w:hint="eastAsia"/>
          <w:lang w:val="en-US" w:eastAsia="zh-CN"/>
        </w:rPr>
        <w:t xml:space="preserve"> </w:t>
      </w:r>
    </w:p>
    <w:tbl>
      <w:tblPr>
        <w:tblStyle w:val="23"/>
        <w:tblW w:w="7470" w:type="dxa"/>
        <w:jc w:val="center"/>
        <w:tblLayout w:type="autofit"/>
        <w:tblCellMar>
          <w:top w:w="0" w:type="dxa"/>
          <w:left w:w="108" w:type="dxa"/>
          <w:bottom w:w="0" w:type="dxa"/>
          <w:right w:w="108" w:type="dxa"/>
        </w:tblCellMar>
      </w:tblPr>
      <w:tblGrid>
        <w:gridCol w:w="1060"/>
        <w:gridCol w:w="2274"/>
        <w:gridCol w:w="1216"/>
        <w:gridCol w:w="1060"/>
        <w:gridCol w:w="1860"/>
      </w:tblGrid>
      <w:tr>
        <w:tblPrEx>
          <w:tblCellMar>
            <w:top w:w="0" w:type="dxa"/>
            <w:left w:w="108" w:type="dxa"/>
            <w:bottom w:w="0" w:type="dxa"/>
            <w:right w:w="108" w:type="dxa"/>
          </w:tblCellMar>
        </w:tblPrEx>
        <w:trPr>
          <w:trHeight w:val="28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维护保养服务内容</w:t>
            </w:r>
          </w:p>
        </w:tc>
      </w:tr>
      <w:tr>
        <w:tblPrEx>
          <w:tblCellMar>
            <w:top w:w="0" w:type="dxa"/>
            <w:left w:w="108" w:type="dxa"/>
            <w:bottom w:w="0" w:type="dxa"/>
            <w:right w:w="108" w:type="dxa"/>
          </w:tblCellMar>
        </w:tblPrEx>
        <w:trPr>
          <w:trHeight w:val="49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更换全新发电机启动电机，对旧电机进行维修</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南通柴油机TCR1000</w:t>
            </w:r>
          </w:p>
          <w:p>
            <w:pPr>
              <w:jc w:val="center"/>
              <w:rPr>
                <w:rFonts w:hint="default" w:ascii="宋体" w:hAnsi="宋体" w:eastAsia="宋体" w:cs="宋体"/>
                <w:i w:val="0"/>
                <w:iCs w:val="0"/>
                <w:color w:val="000000"/>
                <w:sz w:val="20"/>
                <w:szCs w:val="20"/>
                <w:u w:val="none"/>
                <w:lang w:val="en-US" w:eastAsia="zh-CN"/>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18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维修及更换</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表3：启动电机参数</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pStyle w:val="2"/>
        <w:rPr>
          <w:rFonts w:hint="eastAsia"/>
          <w:lang w:val="en-US" w:eastAsia="zh-CN"/>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spacing w:line="384"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4.4 柴油发电机提供1000L动力0#柴油。</w:t>
      </w:r>
    </w:p>
    <w:p>
      <w:pPr>
        <w:spacing w:line="384"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分批或一次提供1000L动力国标0#柴油，具体提供时间由分公司根据实际使用情况而定，厂家在接到分公司通知后5个工作日把动力柴油送达，并负责对发电机进行添加柴油，必要时需向健康分公司提供符合国家标准存储柴油的油桶。</w:t>
      </w:r>
    </w:p>
    <w:p>
      <w:pPr>
        <w:pStyle w:val="22"/>
        <w:ind w:firstLine="0"/>
      </w:pPr>
    </w:p>
    <w:p>
      <w:pPr>
        <w:spacing w:line="384" w:lineRule="auto"/>
        <w:ind w:firstLine="482" w:firstLineChars="200"/>
        <w:rPr>
          <w:rFonts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五</w:t>
      </w:r>
      <w:r>
        <w:rPr>
          <w:rFonts w:hint="eastAsia" w:ascii="宋体" w:hAnsi="宋体" w:cs="宋体"/>
          <w:b/>
          <w:bCs/>
          <w:sz w:val="24"/>
        </w:rPr>
        <w:t>条 技术要求</w:t>
      </w:r>
    </w:p>
    <w:p>
      <w:pPr>
        <w:spacing w:line="384" w:lineRule="auto"/>
        <w:ind w:firstLine="480" w:firstLineChars="200"/>
        <w:rPr>
          <w:rFonts w:ascii="宋体" w:hAnsi="宋体" w:cs="宋体"/>
          <w:sz w:val="24"/>
        </w:rPr>
      </w:pPr>
      <w:r>
        <w:rPr>
          <w:rFonts w:hint="eastAsia" w:ascii="宋体" w:hAnsi="宋体" w:cs="宋体"/>
          <w:sz w:val="24"/>
          <w:lang w:val="en-US" w:eastAsia="zh-CN"/>
        </w:rPr>
        <w:t xml:space="preserve">5.1 </w:t>
      </w:r>
      <w:r>
        <w:rPr>
          <w:rFonts w:hint="eastAsia" w:ascii="宋体" w:hAnsi="宋体" w:cs="宋体"/>
          <w:sz w:val="24"/>
        </w:rPr>
        <w:t>服务质量应符合有关机构发布的最新行业标准或国家标准。</w:t>
      </w:r>
    </w:p>
    <w:p>
      <w:pPr>
        <w:spacing w:line="384" w:lineRule="auto"/>
        <w:ind w:firstLine="480" w:firstLineChars="200"/>
        <w:rPr>
          <w:rFonts w:ascii="宋体" w:hAnsi="宋体" w:cs="宋体"/>
          <w:sz w:val="24"/>
        </w:rPr>
      </w:pPr>
      <w:r>
        <w:rPr>
          <w:rFonts w:hint="eastAsia" w:ascii="宋体" w:hAnsi="宋体" w:cs="宋体"/>
          <w:sz w:val="24"/>
          <w:lang w:val="en-US" w:eastAsia="zh-CN"/>
        </w:rPr>
        <w:t>5.2</w:t>
      </w:r>
      <w:r>
        <w:rPr>
          <w:rFonts w:hint="eastAsia" w:ascii="宋体" w:hAnsi="宋体" w:cs="宋体"/>
          <w:sz w:val="24"/>
        </w:rPr>
        <w:t>乙方技术人员进入</w:t>
      </w:r>
      <w:r>
        <w:rPr>
          <w:rFonts w:hint="eastAsia" w:ascii="宋体" w:hAnsi="宋体" w:cs="宋体"/>
          <w:sz w:val="24"/>
          <w:highlight w:val="none"/>
        </w:rPr>
        <w:t>甲方</w:t>
      </w:r>
      <w:r>
        <w:rPr>
          <w:rFonts w:hint="eastAsia" w:ascii="宋体" w:hAnsi="宋体" w:cs="宋体"/>
          <w:sz w:val="24"/>
        </w:rPr>
        <w:t>生产现场服务时，应按照甲方的相关规定办理进入生产现场的手续。</w:t>
      </w:r>
    </w:p>
    <w:p>
      <w:pPr>
        <w:spacing w:line="384" w:lineRule="auto"/>
        <w:ind w:firstLine="480" w:firstLineChars="200"/>
        <w:rPr>
          <w:rFonts w:ascii="宋体" w:hAnsi="宋体" w:cs="宋体"/>
          <w:sz w:val="24"/>
        </w:rPr>
      </w:pPr>
      <w:r>
        <w:rPr>
          <w:rFonts w:hint="eastAsia" w:ascii="宋体" w:hAnsi="宋体" w:cs="宋体"/>
          <w:sz w:val="24"/>
          <w:lang w:val="en-US" w:eastAsia="zh-CN"/>
        </w:rPr>
        <w:t>5.3</w:t>
      </w:r>
      <w:r>
        <w:rPr>
          <w:rFonts w:hint="eastAsia" w:ascii="宋体" w:hAnsi="宋体" w:cs="宋体"/>
          <w:sz w:val="24"/>
        </w:rPr>
        <w:t>乙方收到甲方或</w:t>
      </w:r>
      <w:r>
        <w:rPr>
          <w:rFonts w:hint="eastAsia" w:ascii="宋体" w:hAnsi="宋体" w:cs="宋体"/>
          <w:sz w:val="24"/>
          <w:highlight w:val="none"/>
        </w:rPr>
        <w:t>甲方</w:t>
      </w:r>
      <w:r>
        <w:rPr>
          <w:rFonts w:hint="eastAsia" w:ascii="宋体" w:hAnsi="宋体" w:cs="宋体"/>
          <w:sz w:val="24"/>
        </w:rPr>
        <w:t>的通知后，乙方需在五个工作日内派员上门到甲方指定的地点进行处理。</w:t>
      </w:r>
    </w:p>
    <w:p>
      <w:pPr>
        <w:spacing w:line="384" w:lineRule="auto"/>
        <w:ind w:firstLine="480" w:firstLineChars="200"/>
        <w:rPr>
          <w:rFonts w:ascii="宋体" w:hAnsi="宋体" w:cs="宋体"/>
          <w:sz w:val="24"/>
        </w:rPr>
      </w:pPr>
      <w:r>
        <w:rPr>
          <w:rFonts w:hint="eastAsia" w:ascii="宋体" w:hAnsi="宋体" w:cs="宋体"/>
          <w:sz w:val="24"/>
          <w:lang w:val="en-US" w:eastAsia="zh-CN"/>
        </w:rPr>
        <w:t>5.4</w:t>
      </w:r>
      <w:r>
        <w:rPr>
          <w:rFonts w:hint="eastAsia" w:ascii="宋体" w:hAnsi="宋体" w:cs="宋体"/>
          <w:sz w:val="24"/>
        </w:rPr>
        <w:t>检测</w:t>
      </w:r>
      <w:r>
        <w:rPr>
          <w:rFonts w:hint="eastAsia" w:ascii="宋体" w:hAnsi="宋体" w:cs="宋体"/>
          <w:sz w:val="24"/>
          <w:lang w:val="en-US" w:eastAsia="zh-CN"/>
        </w:rPr>
        <w:t>维保</w:t>
      </w:r>
      <w:r>
        <w:rPr>
          <w:rFonts w:hint="eastAsia" w:ascii="宋体" w:hAnsi="宋体" w:cs="宋体"/>
          <w:sz w:val="24"/>
        </w:rPr>
        <w:t>报告开具后，乙方应在七个工作日内把专业有效的纸质检测报告免费送至甲方指定的地点。</w:t>
      </w:r>
    </w:p>
    <w:p>
      <w:pPr>
        <w:spacing w:line="384" w:lineRule="auto"/>
        <w:ind w:firstLine="480" w:firstLineChars="200"/>
        <w:rPr>
          <w:rFonts w:ascii="宋体" w:hAnsi="宋体" w:cs="宋体"/>
          <w:sz w:val="24"/>
        </w:rPr>
      </w:pPr>
      <w:r>
        <w:rPr>
          <w:rFonts w:hint="eastAsia" w:ascii="宋体" w:hAnsi="宋体" w:cs="宋体"/>
          <w:sz w:val="24"/>
          <w:lang w:val="en-US" w:eastAsia="zh-CN"/>
        </w:rPr>
        <w:t>5.5</w:t>
      </w:r>
      <w:r>
        <w:rPr>
          <w:rFonts w:hint="eastAsia" w:ascii="宋体" w:hAnsi="宋体" w:cs="宋体"/>
          <w:sz w:val="24"/>
        </w:rPr>
        <w:t>严格执行安全生产各项规章制度，杜绝违章作业，试验过程将按照相关标准和要求进行，包括有关安全设施的设置、实施和资料的准备等。</w:t>
      </w:r>
    </w:p>
    <w:p>
      <w:pPr>
        <w:pStyle w:val="22"/>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六</w:t>
      </w:r>
      <w:r>
        <w:rPr>
          <w:rFonts w:hint="eastAsia" w:ascii="宋体" w:hAnsi="宋体" w:cs="宋体"/>
          <w:b/>
          <w:bCs/>
          <w:sz w:val="24"/>
          <w:highlight w:val="none"/>
        </w:rPr>
        <w:t>条</w:t>
      </w:r>
      <w:r>
        <w:rPr>
          <w:rFonts w:hint="eastAsia" w:ascii="宋体" w:hAnsi="宋体" w:cs="宋体"/>
          <w:b/>
          <w:bCs/>
          <w:sz w:val="24"/>
          <w:highlight w:val="none"/>
          <w:lang w:val="en-US" w:eastAsia="zh-CN"/>
        </w:rPr>
        <w:t xml:space="preserve"> </w:t>
      </w:r>
      <w:r>
        <w:rPr>
          <w:rFonts w:hint="eastAsia" w:ascii="宋体" w:hAnsi="宋体" w:cs="宋体"/>
          <w:b/>
          <w:bCs/>
          <w:sz w:val="24"/>
          <w:highlight w:val="none"/>
        </w:rPr>
        <w:t>合同价款</w:t>
      </w:r>
    </w:p>
    <w:p>
      <w:pPr>
        <w:spacing w:line="384" w:lineRule="auto"/>
        <w:ind w:firstLine="480" w:firstLineChars="200"/>
        <w:rPr>
          <w:rFonts w:ascii="宋体" w:hAnsi="宋体" w:cs="宋体"/>
          <w:bCs/>
          <w:sz w:val="24"/>
          <w:highlight w:val="none"/>
          <w:bdr w:val="single" w:color="auto" w:sz="4" w:space="0"/>
        </w:rPr>
      </w:pPr>
      <w:r>
        <w:rPr>
          <w:rFonts w:hint="eastAsia" w:ascii="宋体" w:hAnsi="宋体" w:cs="宋体"/>
          <w:sz w:val="24"/>
          <w:highlight w:val="none"/>
          <w:lang w:val="en-US" w:eastAsia="zh-CN"/>
        </w:rPr>
        <w:t>6</w:t>
      </w:r>
      <w:r>
        <w:rPr>
          <w:rFonts w:ascii="宋体" w:hAnsi="宋体" w:cs="宋体"/>
          <w:sz w:val="24"/>
          <w:highlight w:val="none"/>
        </w:rPr>
        <w:t>.1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hint="eastAsia" w:ascii="宋体" w:hAnsi="宋体" w:cs="宋体"/>
          <w:kern w:val="0"/>
          <w:sz w:val="24"/>
          <w:highlight w:val="none"/>
          <w:lang w:val="en-US" w:eastAsia="zh-CN"/>
        </w:rPr>
        <w:t>6</w:t>
      </w:r>
      <w:r>
        <w:rPr>
          <w:rFonts w:ascii="宋体" w:hAnsi="宋体" w:cs="宋体"/>
          <w:kern w:val="0"/>
          <w:sz w:val="24"/>
          <w:highlight w:val="none"/>
          <w:lang w:val="zh-CN"/>
        </w:rPr>
        <w:t>.2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6.3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cs="宋体"/>
          <w:sz w:val="24"/>
        </w:rPr>
      </w:pPr>
      <w:r>
        <w:rPr>
          <w:rFonts w:hint="eastAsia" w:ascii="宋体" w:hAnsi="宋体" w:eastAsia="宋体" w:cs="宋体"/>
          <w:sz w:val="24"/>
          <w:szCs w:val="24"/>
          <w:highlight w:val="none"/>
          <w:lang w:val="en-US" w:eastAsia="zh-CN"/>
        </w:rPr>
        <w:t xml:space="preserve">  3.按1、2组价后下浮5%计取。</w:t>
      </w:r>
    </w:p>
    <w:p>
      <w:pPr>
        <w:widowControl/>
        <w:tabs>
          <w:tab w:val="left" w:pos="851"/>
        </w:tabs>
        <w:adjustRightInd w:val="0"/>
        <w:snapToGrid w:val="0"/>
        <w:spacing w:line="384" w:lineRule="auto"/>
        <w:ind w:firstLine="482" w:firstLineChars="200"/>
        <w:jc w:val="left"/>
        <w:rPr>
          <w:rFonts w:hint="eastAsia" w:ascii="宋体" w:hAnsi="宋体" w:cs="宋体"/>
          <w:b/>
          <w:bCs/>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七</w:t>
      </w:r>
      <w:r>
        <w:rPr>
          <w:rFonts w:hint="eastAsia" w:ascii="宋体" w:hAnsi="宋体" w:cs="宋体"/>
          <w:b/>
          <w:bCs/>
          <w:sz w:val="24"/>
        </w:rPr>
        <w:t>条工期及要求</w:t>
      </w:r>
    </w:p>
    <w:p>
      <w:pPr>
        <w:widowControl/>
        <w:spacing w:line="384" w:lineRule="auto"/>
        <w:ind w:firstLine="480" w:firstLineChars="200"/>
        <w:jc w:val="left"/>
        <w:rPr>
          <w:rFonts w:ascii="宋体" w:hAnsi="宋体" w:cs="宋体"/>
          <w:sz w:val="24"/>
        </w:rPr>
      </w:pPr>
      <w:r>
        <w:rPr>
          <w:rFonts w:hint="eastAsia" w:ascii="宋体" w:hAnsi="宋体" w:cs="宋体"/>
          <w:sz w:val="24"/>
          <w:lang w:val="en-US" w:eastAsia="zh-CN"/>
        </w:rPr>
        <w:t>7</w:t>
      </w:r>
      <w:r>
        <w:rPr>
          <w:rFonts w:ascii="宋体" w:hAnsi="宋体" w:cs="宋体"/>
          <w:sz w:val="24"/>
        </w:rPr>
        <w:t>.1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b/>
          <w:bCs/>
          <w:sz w:val="24"/>
          <w:u w:val="single"/>
          <w:lang w:val="en-US" w:eastAsia="zh-CN"/>
        </w:rPr>
        <w:t>365</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none"/>
          <w:lang w:val="en-US" w:eastAsia="zh-CN"/>
        </w:rPr>
        <w:t xml:space="preserve"> </w:t>
      </w:r>
      <w:r>
        <w:rPr>
          <w:rFonts w:hint="eastAsia" w:ascii="宋体" w:hAnsi="宋体" w:cs="宋体"/>
          <w:sz w:val="24"/>
          <w:highlight w:val="none"/>
          <w:u w:val="single"/>
          <w:lang w:val="en-US" w:eastAsia="zh-CN"/>
        </w:rPr>
        <w:t>20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hint="eastAsia" w:ascii="宋体" w:hAnsi="宋体" w:cs="宋体"/>
          <w:bCs/>
          <w:sz w:val="24"/>
          <w:lang w:val="en-US" w:eastAsia="zh-CN"/>
        </w:rPr>
        <w:t>7</w:t>
      </w:r>
      <w:r>
        <w:rPr>
          <w:rFonts w:ascii="宋体" w:hAnsi="宋体" w:cs="宋体"/>
          <w:bCs/>
          <w:sz w:val="24"/>
        </w:rPr>
        <w:t>.5乙方不履行合同义务、或履行合同义务不符合合同约定、或违反国家、省、市行业标准的，甲方有权要求乙方限期整改。乙方逾期未完成整改的，每项每超过1日支付违约金人民币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highlight w:val="none"/>
          <w:u w:val="single"/>
          <w:lang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.6乙方不得随意更换项目负责人及</w:t>
      </w:r>
      <w:r>
        <w:rPr>
          <w:rFonts w:hint="eastAsia" w:ascii="宋体" w:hAnsi="宋体" w:eastAsia="宋体" w:cs="宋体"/>
          <w:sz w:val="24"/>
          <w:szCs w:val="24"/>
          <w:lang w:val="en-US" w:eastAsia="zh-CN"/>
        </w:rPr>
        <w:t>附件5中的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46"/>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7.8施工过程中，乙方应负责配备现场的应急物资。具体应急物资配备详见附件应急救援物资清单。</w:t>
      </w:r>
    </w:p>
    <w:p>
      <w:pPr>
        <w:topLinePunct/>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7.9</w:t>
      </w:r>
      <w:r>
        <w:rPr>
          <w:rFonts w:hint="eastAsia" w:ascii="宋体" w:hAnsi="宋体" w:eastAsia="宋体" w:cs="宋体"/>
          <w:sz w:val="24"/>
          <w:szCs w:val="24"/>
        </w:rPr>
        <w:t>在合同有效期内，若乙方发生不诚信行为情形的，乙方自愿接受甲方按</w:t>
      </w:r>
      <w:r>
        <w:rPr>
          <w:rFonts w:hint="eastAsia" w:ascii="宋体" w:hAnsi="宋体" w:eastAsia="宋体" w:cs="宋体"/>
          <w:sz w:val="24"/>
          <w:szCs w:val="24"/>
          <w:lang w:eastAsia="zh-CN"/>
        </w:rPr>
        <w:t>《广州市净水有限公司经营建设项目参建企业不诚信行为管理办法》</w:t>
      </w:r>
      <w:r>
        <w:rPr>
          <w:rFonts w:hint="eastAsia" w:ascii="宋体" w:hAnsi="宋体" w:eastAsia="宋体" w:cs="宋体"/>
          <w:sz w:val="24"/>
          <w:szCs w:val="24"/>
        </w:rPr>
        <w:t>处理</w:t>
      </w:r>
      <w:r>
        <w:rPr>
          <w:rFonts w:hint="eastAsia" w:ascii="宋体" w:hAnsi="宋体" w:eastAsia="宋体" w:cs="宋体"/>
          <w:sz w:val="24"/>
          <w:szCs w:val="24"/>
          <w:lang w:eastAsia="zh-CN"/>
        </w:rPr>
        <w:t>，具体处理标准详见附件</w:t>
      </w:r>
      <w:r>
        <w:rPr>
          <w:rFonts w:hint="eastAsia" w:ascii="宋体" w:hAnsi="宋体" w:eastAsia="宋体" w:cs="宋体"/>
          <w:sz w:val="24"/>
          <w:szCs w:val="24"/>
          <w:lang w:val="en-US" w:eastAsia="zh-CN"/>
        </w:rPr>
        <w:t>3。</w:t>
      </w:r>
    </w:p>
    <w:p>
      <w:pPr>
        <w:pStyle w:val="4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八</w:t>
      </w:r>
      <w:r>
        <w:rPr>
          <w:rFonts w:hint="eastAsia" w:ascii="宋体" w:hAnsi="宋体" w:cs="宋体"/>
          <w:b/>
          <w:sz w:val="24"/>
        </w:rPr>
        <w:t>条</w:t>
      </w:r>
      <w:r>
        <w:rPr>
          <w:rFonts w:hint="eastAsia" w:ascii="宋体" w:hAnsi="宋体" w:cs="宋体"/>
          <w:b/>
          <w:sz w:val="24"/>
          <w:lang w:val="en-US" w:eastAsia="zh-CN"/>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hint="eastAsia" w:ascii="宋体" w:hAnsi="宋体" w:cs="宋体"/>
          <w:sz w:val="24"/>
          <w:lang w:val="en-US" w:eastAsia="zh-CN"/>
        </w:rPr>
        <w:t>8</w:t>
      </w:r>
      <w:r>
        <w:rPr>
          <w:rFonts w:ascii="宋体" w:hAnsi="宋体" w:cs="宋体"/>
          <w:sz w:val="24"/>
        </w:rPr>
        <w:t>.6</w:t>
      </w:r>
      <w:r>
        <w:rPr>
          <w:rFonts w:hint="eastAsia" w:ascii="宋体" w:hAnsi="宋体" w:cs="宋体"/>
          <w:sz w:val="24"/>
        </w:rPr>
        <w:t>按相关法律法规及甲方相关作业施工管理要求执行。</w:t>
      </w:r>
    </w:p>
    <w:p>
      <w:pPr>
        <w:pStyle w:val="12"/>
        <w:spacing w:line="384" w:lineRule="auto"/>
        <w:ind w:firstLine="482" w:firstLineChars="200"/>
        <w:rPr>
          <w:rFonts w:hAnsi="宋体" w:cs="宋体"/>
          <w:b/>
          <w:bCs/>
          <w:sz w:val="24"/>
          <w:szCs w:val="24"/>
        </w:rPr>
      </w:pPr>
      <w:r>
        <w:rPr>
          <w:rFonts w:hint="eastAsia" w:hAnsi="宋体" w:cs="宋体"/>
          <w:b/>
          <w:bCs/>
          <w:sz w:val="24"/>
          <w:szCs w:val="24"/>
        </w:rPr>
        <w:t>第</w:t>
      </w:r>
      <w:r>
        <w:rPr>
          <w:rFonts w:hint="eastAsia" w:hAnsi="宋体" w:cs="宋体"/>
          <w:b/>
          <w:bCs/>
          <w:sz w:val="24"/>
          <w:szCs w:val="24"/>
          <w:lang w:val="en-US" w:eastAsia="zh-CN"/>
        </w:rPr>
        <w:t>九</w:t>
      </w:r>
      <w:r>
        <w:rPr>
          <w:rFonts w:hint="eastAsia" w:hAnsi="宋体" w:cs="宋体"/>
          <w:b/>
          <w:bCs/>
          <w:sz w:val="24"/>
          <w:szCs w:val="24"/>
        </w:rPr>
        <w:t>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hint="eastAsia" w:ascii="宋体" w:hAnsi="宋体" w:cs="宋体"/>
          <w:sz w:val="24"/>
          <w:lang w:val="en-US" w:eastAsia="zh-CN"/>
        </w:rPr>
        <w:t>9</w:t>
      </w:r>
      <w:r>
        <w:rPr>
          <w:rFonts w:ascii="宋体" w:hAnsi="宋体" w:cs="宋体"/>
          <w:sz w:val="24"/>
        </w:rPr>
        <w:t>.2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 xml:space="preserve">.5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hint="eastAsia" w:ascii="宋体" w:hAnsi="宋体" w:cs="宋体"/>
          <w:sz w:val="24"/>
          <w:lang w:val="en-US" w:eastAsia="zh-CN"/>
        </w:rPr>
        <w:t>9</w:t>
      </w:r>
      <w:r>
        <w:rPr>
          <w:rFonts w:ascii="宋体" w:hAnsi="宋体" w:cs="宋体"/>
          <w:sz w:val="24"/>
        </w:rPr>
        <w:t xml:space="preserve">.6 </w:t>
      </w:r>
      <w:r>
        <w:rPr>
          <w:rFonts w:hint="eastAsia" w:ascii="宋体" w:hAnsi="宋体" w:cs="宋体"/>
          <w:sz w:val="24"/>
        </w:rPr>
        <w:t>承包范围之内工程所用之设备，由乙方提供。</w:t>
      </w:r>
    </w:p>
    <w:p>
      <w:pPr>
        <w:spacing w:line="384" w:lineRule="auto"/>
        <w:ind w:firstLine="482" w:firstLineChars="200"/>
        <w:rPr>
          <w:rFonts w:hint="eastAsia" w:ascii="宋体" w:hAnsi="宋体" w:cs="宋体"/>
          <w:b/>
          <w:bCs/>
          <w:sz w:val="24"/>
        </w:rPr>
      </w:pPr>
    </w:p>
    <w:p>
      <w:pPr>
        <w:spacing w:line="384" w:lineRule="auto"/>
        <w:ind w:firstLine="482" w:firstLineChars="200"/>
        <w:rPr>
          <w:rFonts w:ascii="宋体" w:hAnsi="宋体" w:cs="宋体"/>
          <w:sz w:val="24"/>
        </w:rPr>
      </w:pPr>
      <w:r>
        <w:rPr>
          <w:rFonts w:hint="eastAsia" w:ascii="宋体" w:hAnsi="宋体" w:cs="宋体"/>
          <w:b/>
          <w:bCs/>
          <w:sz w:val="24"/>
        </w:rPr>
        <w:t>第</w:t>
      </w:r>
      <w:r>
        <w:rPr>
          <w:rFonts w:hint="eastAsia" w:ascii="宋体" w:hAnsi="宋体" w:cs="宋体"/>
          <w:b/>
          <w:bCs/>
          <w:sz w:val="24"/>
          <w:lang w:val="en-US" w:eastAsia="zh-CN"/>
        </w:rPr>
        <w:t>十</w:t>
      </w:r>
      <w:r>
        <w:rPr>
          <w:rFonts w:hint="eastAsia" w:ascii="宋体" w:hAnsi="宋体" w:cs="宋体"/>
          <w:b/>
          <w:bCs/>
          <w:sz w:val="24"/>
        </w:rPr>
        <w:t>条</w:t>
      </w:r>
      <w:r>
        <w:rPr>
          <w:rFonts w:hint="eastAsia" w:ascii="宋体" w:hAnsi="宋体" w:cs="宋体"/>
          <w:b/>
          <w:bCs/>
          <w:sz w:val="24"/>
          <w:lang w:val="en-US" w:eastAsia="zh-CN"/>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hint="eastAsia" w:ascii="宋体" w:hAnsi="宋体" w:cs="宋体"/>
          <w:sz w:val="24"/>
          <w:lang w:val="en-US" w:eastAsia="zh-CN"/>
        </w:rPr>
        <w:t>10</w:t>
      </w:r>
      <w:r>
        <w:rPr>
          <w:rFonts w:ascii="宋体" w:hAnsi="宋体" w:cs="宋体"/>
          <w:sz w:val="24"/>
        </w:rPr>
        <w:t>.1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0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lang w:val="en-US" w:eastAsia="zh-CN"/>
        </w:rPr>
        <w:t>30%</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tabs>
          <w:tab w:val="left" w:pos="0"/>
        </w:tabs>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10</w:t>
      </w:r>
      <w:r>
        <w:rPr>
          <w:rFonts w:ascii="宋体" w:hAnsi="宋体" w:cs="宋体"/>
          <w:sz w:val="24"/>
        </w:rPr>
        <w:t>.</w:t>
      </w:r>
      <w:r>
        <w:rPr>
          <w:rFonts w:hint="eastAsia" w:ascii="宋体" w:hAnsi="宋体" w:cs="宋体"/>
          <w:sz w:val="24"/>
          <w:lang w:val="en-US" w:eastAsia="zh-CN"/>
        </w:rPr>
        <w:t>2</w:t>
      </w:r>
      <w:r>
        <w:rPr>
          <w:rFonts w:hint="eastAsia" w:ascii="宋体" w:hAnsi="宋体" w:cs="宋体"/>
          <w:sz w:val="24"/>
          <w:u w:val="single"/>
          <w:lang w:val="en-US" w:eastAsia="zh-CN"/>
        </w:rPr>
        <w:t>项目验收合格后，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hint="eastAsia" w:ascii="宋体" w:hAnsi="宋体" w:cs="宋体"/>
          <w:sz w:val="24"/>
          <w:lang w:val="en-US" w:eastAsia="zh-CN"/>
        </w:rPr>
        <w:t>100</w:t>
      </w:r>
      <w:r>
        <w:rPr>
          <w:rFonts w:ascii="宋体" w:hAnsi="宋体" w:cs="宋体"/>
          <w:sz w:val="24"/>
        </w:rPr>
        <w:t>%</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u w:val="single"/>
          <w:lang w:val="en-US" w:eastAsia="zh-CN"/>
        </w:rPr>
      </w:pPr>
      <w:r>
        <w:rPr>
          <w:rFonts w:hint="eastAsia" w:hAnsi="宋体" w:cs="宋体"/>
          <w:sz w:val="24"/>
          <w:szCs w:val="24"/>
          <w:lang w:val="en-US" w:eastAsia="zh-CN"/>
        </w:rPr>
        <w:t>10.2.1</w:t>
      </w:r>
      <w:r>
        <w:rPr>
          <w:rFonts w:hint="eastAsia" w:hAnsi="宋体" w:cs="宋体"/>
          <w:sz w:val="24"/>
          <w:szCs w:val="24"/>
        </w:rPr>
        <w:t>本项目工程款的支付单位为：</w:t>
      </w:r>
      <w:r>
        <w:rPr>
          <w:rFonts w:hint="eastAsia" w:hAnsi="宋体" w:cs="宋体"/>
          <w:sz w:val="24"/>
          <w:szCs w:val="24"/>
          <w:u w:val="single"/>
          <w:lang w:val="en-US" w:eastAsia="zh-CN"/>
        </w:rPr>
        <w:t xml:space="preserve">广州净水有限公司健康城分公司 </w:t>
      </w:r>
    </w:p>
    <w:p>
      <w:pPr>
        <w:spacing w:line="384" w:lineRule="auto"/>
        <w:ind w:firstLine="480" w:firstLineChars="200"/>
        <w:rPr>
          <w:rFonts w:ascii="宋体" w:hAnsi="宋体" w:cs="宋体"/>
          <w:sz w:val="24"/>
          <w:u w:val="single"/>
        </w:rPr>
      </w:pPr>
      <w:r>
        <w:rPr>
          <w:rFonts w:hint="eastAsia" w:ascii="宋体" w:hAnsi="宋体" w:cs="宋体"/>
          <w:sz w:val="24"/>
          <w:lang w:val="en-US" w:eastAsia="zh-CN"/>
        </w:rPr>
        <w:t>10</w:t>
      </w:r>
      <w:r>
        <w:rPr>
          <w:rFonts w:ascii="宋体" w:hAnsi="宋体" w:cs="宋体"/>
          <w:sz w:val="24"/>
        </w:rPr>
        <w:t>.3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hint="eastAsia" w:ascii="宋体" w:hAnsi="宋体" w:cs="宋体"/>
          <w:sz w:val="24"/>
          <w:lang w:val="en-US" w:eastAsia="zh-CN"/>
        </w:rPr>
        <w:t>10</w:t>
      </w:r>
      <w:r>
        <w:rPr>
          <w:rFonts w:ascii="宋体" w:hAnsi="宋体" w:cs="宋体"/>
          <w:sz w:val="24"/>
        </w:rPr>
        <w:t>.4</w:t>
      </w:r>
      <w:r>
        <w:rPr>
          <w:rFonts w:hint="eastAsia" w:ascii="宋体" w:hAnsi="宋体" w:cs="宋体"/>
          <w:sz w:val="24"/>
        </w:rPr>
        <w:t>乙方在收款前需提交等额增值税专用发票给甲方。增值税专用发票信息：</w:t>
      </w:r>
    </w:p>
    <w:p>
      <w:pPr>
        <w:keepNext w:val="0"/>
        <w:keepLines w:val="0"/>
        <w:pageBreakBefore w:val="0"/>
        <w:kinsoku/>
        <w:wordWrap/>
        <w:overflowPunct/>
        <w:topLinePunct w:val="0"/>
        <w:bidi w:val="0"/>
        <w:spacing w:line="500" w:lineRule="exact"/>
        <w:ind w:firstLine="960" w:firstLineChars="400"/>
        <w:textAlignment w:val="auto"/>
        <w:rPr>
          <w:rFonts w:hint="eastAsia" w:ascii="宋体" w:hAnsi="宋体" w:eastAsia="宋体" w:cs="宋体"/>
          <w:sz w:val="24"/>
          <w:u w:val="single"/>
        </w:rPr>
      </w:pPr>
      <w:r>
        <w:rPr>
          <w:rFonts w:hint="eastAsia" w:ascii="宋体" w:hAnsi="宋体" w:eastAsia="宋体" w:cs="宋体"/>
          <w:sz w:val="24"/>
        </w:rPr>
        <w:t>名称：</w:t>
      </w:r>
      <w:r>
        <w:rPr>
          <w:rFonts w:hint="eastAsia" w:ascii="宋体" w:hAnsi="宋体" w:eastAsia="宋体" w:cs="宋体"/>
          <w:sz w:val="24"/>
          <w:u w:val="single"/>
        </w:rPr>
        <w:t>广州市净水有限公司</w:t>
      </w:r>
    </w:p>
    <w:p>
      <w:pPr>
        <w:keepNext w:val="0"/>
        <w:keepLines w:val="0"/>
        <w:pageBreakBefore w:val="0"/>
        <w:kinsoku/>
        <w:wordWrap/>
        <w:overflowPunct/>
        <w:topLinePunct w:val="0"/>
        <w:bidi w:val="0"/>
        <w:spacing w:line="500" w:lineRule="exact"/>
        <w:ind w:firstLine="960" w:firstLineChars="400"/>
        <w:textAlignment w:val="auto"/>
        <w:rPr>
          <w:rFonts w:hint="eastAsia" w:ascii="宋体" w:hAnsi="宋体" w:eastAsia="宋体" w:cs="宋体"/>
          <w:sz w:val="24"/>
        </w:rPr>
      </w:pPr>
      <w:r>
        <w:rPr>
          <w:rFonts w:hint="eastAsia" w:ascii="宋体" w:hAnsi="宋体" w:eastAsia="宋体" w:cs="宋体"/>
          <w:sz w:val="24"/>
        </w:rPr>
        <w:t>税号：</w:t>
      </w:r>
      <w:r>
        <w:rPr>
          <w:rFonts w:hint="eastAsia" w:ascii="宋体" w:hAnsi="宋体" w:eastAsia="宋体" w:cs="宋体"/>
          <w:sz w:val="24"/>
          <w:u w:val="single"/>
        </w:rPr>
        <w:t>91440101755584729Q</w:t>
      </w:r>
    </w:p>
    <w:p>
      <w:pPr>
        <w:keepNext w:val="0"/>
        <w:keepLines w:val="0"/>
        <w:pageBreakBefore w:val="0"/>
        <w:kinsoku/>
        <w:wordWrap/>
        <w:overflowPunct/>
        <w:topLinePunct w:val="0"/>
        <w:bidi w:val="0"/>
        <w:spacing w:line="500" w:lineRule="exact"/>
        <w:ind w:firstLine="960" w:firstLineChars="400"/>
        <w:textAlignment w:val="auto"/>
        <w:rPr>
          <w:rFonts w:hint="eastAsia" w:ascii="宋体" w:hAnsi="宋体" w:eastAsia="宋体" w:cs="宋体"/>
          <w:sz w:val="24"/>
          <w:u w:val="none"/>
          <w:lang w:eastAsia="zh-CN"/>
        </w:rPr>
      </w:pPr>
      <w:r>
        <w:rPr>
          <w:rFonts w:hint="eastAsia" w:ascii="宋体" w:hAnsi="宋体" w:eastAsia="宋体" w:cs="宋体"/>
          <w:sz w:val="24"/>
        </w:rPr>
        <w:t>地址及电话：</w:t>
      </w:r>
      <w:r>
        <w:rPr>
          <w:rFonts w:hint="eastAsia" w:ascii="宋体" w:hAnsi="宋体" w:eastAsia="宋体" w:cs="宋体"/>
          <w:sz w:val="24"/>
          <w:u w:val="single"/>
        </w:rPr>
        <w:t>广州市天河区临江大道501号 020-38890283</w:t>
      </w:r>
      <w:r>
        <w:rPr>
          <w:rFonts w:hint="eastAsia" w:ascii="宋体" w:hAnsi="宋体" w:eastAsia="宋体" w:cs="宋体"/>
          <w:sz w:val="24"/>
          <w:u w:val="none"/>
          <w:lang w:eastAsia="zh-CN"/>
        </w:rPr>
        <w:t>；</w:t>
      </w:r>
    </w:p>
    <w:p>
      <w:pPr>
        <w:spacing w:line="384" w:lineRule="auto"/>
        <w:ind w:firstLine="960" w:firstLineChars="400"/>
        <w:outlineLvl w:val="0"/>
        <w:rPr>
          <w:rFonts w:hint="default" w:ascii="宋体" w:hAnsi="宋体" w:eastAsia="宋体" w:cs="宋体"/>
          <w:sz w:val="24"/>
          <w:lang w:val="en-US" w:eastAsia="zh-CN"/>
        </w:rPr>
      </w:pPr>
      <w:r>
        <w:rPr>
          <w:rFonts w:hint="eastAsia" w:ascii="宋体" w:hAnsi="宋体" w:eastAsia="宋体" w:cs="宋体"/>
          <w:sz w:val="24"/>
        </w:rPr>
        <w:t>开户行</w:t>
      </w:r>
      <w:r>
        <w:rPr>
          <w:rFonts w:hint="eastAsia" w:ascii="宋体" w:hAnsi="宋体" w:eastAsia="宋体" w:cs="宋体"/>
          <w:sz w:val="24"/>
          <w:lang w:val="en-US" w:eastAsia="zh-CN"/>
        </w:rPr>
        <w:t>/</w:t>
      </w:r>
      <w:r>
        <w:rPr>
          <w:rFonts w:hint="eastAsia" w:ascii="宋体" w:hAnsi="宋体" w:eastAsia="宋体" w:cs="宋体"/>
          <w:sz w:val="24"/>
        </w:rPr>
        <w:t>账号：</w:t>
      </w:r>
      <w:r>
        <w:rPr>
          <w:rFonts w:hint="eastAsia" w:ascii="宋体" w:hAnsi="宋体" w:eastAsia="宋体" w:cs="宋体"/>
          <w:sz w:val="24"/>
          <w:u w:val="single"/>
        </w:rPr>
        <w:t>民生银行广州分行0301014140006932</w:t>
      </w:r>
      <w:r>
        <w:rPr>
          <w:rFonts w:hint="eastAsia" w:ascii="宋体" w:hAnsi="宋体" w:eastAsia="宋体" w:cs="宋体"/>
          <w:sz w:val="24"/>
          <w:lang w:eastAsia="zh-CN"/>
        </w:rPr>
        <w:t>。</w:t>
      </w:r>
    </w:p>
    <w:p>
      <w:pPr>
        <w:spacing w:line="384" w:lineRule="auto"/>
        <w:ind w:firstLine="480" w:firstLineChars="200"/>
        <w:outlineLvl w:val="0"/>
        <w:rPr>
          <w:rFonts w:ascii="宋体" w:hAnsi="宋体" w:cs="宋体"/>
          <w:sz w:val="24"/>
        </w:rPr>
      </w:pPr>
      <w:r>
        <w:rPr>
          <w:rFonts w:hint="eastAsia" w:ascii="宋体" w:hAnsi="宋体" w:cs="宋体"/>
          <w:sz w:val="24"/>
          <w:lang w:val="en-US" w:eastAsia="zh-CN"/>
        </w:rPr>
        <w:t>10</w:t>
      </w:r>
      <w:r>
        <w:rPr>
          <w:rFonts w:ascii="宋体" w:hAnsi="宋体" w:cs="宋体"/>
          <w:sz w:val="24"/>
        </w:rPr>
        <w:t>.5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sym w:font="Wingdings 2" w:char="00A3"/>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hint="eastAsia" w:cs="宋体"/>
          <w:color w:val="auto"/>
          <w:lang w:val="en-US" w:eastAsia="zh-CN"/>
        </w:rPr>
        <w:t>10</w:t>
      </w:r>
      <w:r>
        <w:rPr>
          <w:rFonts w:cs="宋体"/>
          <w:color w:val="auto"/>
        </w:rPr>
        <w:t>.5.1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（1）符合甲方要求（详见附件7保函格式）的银行独立保函，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hint="eastAsia" w:ascii="宋体" w:hAnsi="宋体" w:cs="宋体"/>
          <w:sz w:val="24"/>
          <w:lang w:val="en-US" w:eastAsia="zh-CN"/>
        </w:rPr>
        <w:t>10</w:t>
      </w:r>
      <w:r>
        <w:rPr>
          <w:rFonts w:ascii="宋体" w:hAnsi="宋体" w:cs="宋体"/>
          <w:sz w:val="24"/>
        </w:rPr>
        <w:t>.5.2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hint="eastAsia" w:ascii="宋体" w:hAnsi="宋体" w:cs="宋体"/>
          <w:sz w:val="24"/>
          <w:lang w:val="en-US" w:eastAsia="zh-CN"/>
        </w:rPr>
        <w:t>10</w:t>
      </w:r>
      <w:r>
        <w:rPr>
          <w:rFonts w:ascii="宋体" w:hAnsi="宋体" w:cs="宋体"/>
          <w:sz w:val="24"/>
        </w:rPr>
        <w:t>.5.3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sz w:val="24"/>
        </w:rPr>
      </w:pPr>
      <w:r>
        <w:rPr>
          <w:rFonts w:hint="eastAsia" w:hAnsi="宋体" w:cs="宋体"/>
          <w:sz w:val="24"/>
          <w:lang w:val="en-US" w:eastAsia="zh-CN"/>
        </w:rPr>
        <w:t>10</w:t>
      </w:r>
      <w:r>
        <w:rPr>
          <w:rFonts w:hAnsi="宋体" w:cs="宋体"/>
          <w:sz w:val="24"/>
        </w:rPr>
        <w:t>.6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numPr>
          <w:ilvl w:val="0"/>
          <w:numId w:val="0"/>
        </w:numPr>
        <w:spacing w:before="120" w:afterLines="50" w:line="384" w:lineRule="auto"/>
        <w:ind w:firstLine="482" w:firstLineChars="200"/>
        <w:jc w:val="left"/>
        <w:rPr>
          <w:rFonts w:ascii="宋体" w:hAnsi="宋体" w:cs="宋体"/>
          <w:sz w:val="24"/>
        </w:rPr>
      </w:pPr>
      <w:bookmarkStart w:id="96" w:name="_Toc520190034"/>
      <w:bookmarkStart w:id="97" w:name="_Toc518992994"/>
      <w:bookmarkStart w:id="98" w:name="_Toc474245220"/>
      <w:r>
        <w:rPr>
          <w:rFonts w:hint="eastAsia" w:ascii="宋体" w:hAnsi="宋体" w:cs="宋体"/>
          <w:b/>
          <w:bCs/>
          <w:sz w:val="24"/>
          <w:lang w:val="en-US" w:eastAsia="zh-CN"/>
        </w:rPr>
        <w:t xml:space="preserve">第十一条 </w:t>
      </w:r>
      <w:r>
        <w:rPr>
          <w:rFonts w:hint="eastAsia" w:ascii="宋体" w:hAnsi="宋体" w:cs="宋体"/>
          <w:b/>
          <w:bCs/>
          <w:sz w:val="24"/>
        </w:rPr>
        <w:t>质量保证</w:t>
      </w:r>
      <w:bookmarkEnd w:id="96"/>
      <w:bookmarkEnd w:id="97"/>
      <w:bookmarkEnd w:id="98"/>
    </w:p>
    <w:p>
      <w:pPr>
        <w:numPr>
          <w:ilvl w:val="0"/>
          <w:numId w:val="0"/>
        </w:numPr>
        <w:spacing w:before="120" w:afterLines="50" w:line="384" w:lineRule="auto"/>
        <w:ind w:firstLine="480" w:firstLineChars="200"/>
        <w:jc w:val="left"/>
        <w:rPr>
          <w:rFonts w:ascii="宋体" w:hAnsi="宋体" w:cs="宋体"/>
          <w:sz w:val="24"/>
        </w:rPr>
      </w:pPr>
      <w:r>
        <w:rPr>
          <w:rFonts w:hint="eastAsia" w:ascii="宋体" w:hAnsi="宋体" w:cs="宋体"/>
          <w:sz w:val="24"/>
          <w:lang w:val="en-US" w:eastAsia="zh-CN"/>
        </w:rPr>
        <w:t>11</w:t>
      </w:r>
      <w:r>
        <w:rPr>
          <w:rFonts w:ascii="宋体" w:hAnsi="宋体" w:cs="宋体"/>
          <w:sz w:val="24"/>
        </w:rPr>
        <w:t>.1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1</w:t>
      </w:r>
      <w:r>
        <w:rPr>
          <w:rFonts w:hint="eastAsia" w:ascii="宋体" w:hAnsi="宋体" w:cs="宋体"/>
          <w:bCs/>
          <w:sz w:val="24"/>
          <w:lang w:val="en-US" w:eastAsia="zh-CN"/>
        </w:rPr>
        <w:t>1</w:t>
      </w:r>
      <w:r>
        <w:rPr>
          <w:rFonts w:ascii="宋体" w:hAnsi="宋体" w:cs="宋体"/>
          <w:bCs/>
          <w:sz w:val="24"/>
        </w:rPr>
        <w:t xml:space="preserve">.2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1</w:t>
      </w:r>
      <w:r>
        <w:rPr>
          <w:rFonts w:hint="eastAsia" w:ascii="宋体" w:hAnsi="宋体" w:cs="宋体"/>
          <w:kern w:val="0"/>
          <w:sz w:val="24"/>
          <w:lang w:val="zh-CN"/>
        </w:rPr>
        <w:t>年。</w:t>
      </w:r>
    </w:p>
    <w:p>
      <w:pPr>
        <w:spacing w:beforeLines="-2147483648" w:afterLines="-2147483648" w:line="384" w:lineRule="auto"/>
        <w:ind w:firstLine="420" w:firstLineChars="175"/>
        <w:jc w:val="left"/>
        <w:rPr>
          <w:rFonts w:hint="eastAsia" w:ascii="宋体" w:hAnsi="宋体" w:cs="宋体"/>
          <w:b/>
          <w:bCs/>
          <w:sz w:val="24"/>
        </w:rPr>
      </w:pPr>
      <w:r>
        <w:rPr>
          <w:rFonts w:ascii="宋体" w:hAnsi="宋体" w:cs="宋体"/>
          <w:bCs/>
          <w:sz w:val="24"/>
        </w:rPr>
        <w:t>1</w:t>
      </w:r>
      <w:r>
        <w:rPr>
          <w:rFonts w:hint="eastAsia" w:ascii="宋体" w:hAnsi="宋体" w:cs="宋体"/>
          <w:bCs/>
          <w:sz w:val="24"/>
          <w:lang w:val="en-US" w:eastAsia="zh-CN"/>
        </w:rPr>
        <w:t>1</w:t>
      </w:r>
      <w:r>
        <w:rPr>
          <w:rFonts w:ascii="宋体" w:hAnsi="宋体" w:cs="宋体"/>
          <w:bCs/>
          <w:sz w:val="24"/>
        </w:rPr>
        <w:t>.3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bookmarkStart w:id="99" w:name="_Toc107447255"/>
      <w:bookmarkStart w:id="100" w:name="_Toc19692"/>
      <w:bookmarkStart w:id="101" w:name="_Toc306350467"/>
      <w:bookmarkStart w:id="102" w:name="_Toc183666531"/>
      <w:bookmarkStart w:id="103" w:name="_Toc474245226"/>
      <w:bookmarkStart w:id="104" w:name="_Toc520190040"/>
      <w:bookmarkStart w:id="105" w:name="_Toc107446862"/>
      <w:bookmarkStart w:id="106" w:name="_Toc518993000"/>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w:t>
      </w:r>
      <w:r>
        <w:rPr>
          <w:rFonts w:hint="eastAsia" w:ascii="宋体" w:hAnsi="宋体" w:cs="宋体"/>
          <w:b/>
          <w:bCs/>
          <w:sz w:val="24"/>
          <w:lang w:val="en-US" w:eastAsia="zh-CN"/>
        </w:rPr>
        <w:t>二</w:t>
      </w:r>
      <w:r>
        <w:rPr>
          <w:rFonts w:hint="eastAsia" w:ascii="宋体" w:hAnsi="宋体" w:cs="宋体"/>
          <w:b/>
          <w:bCs/>
          <w:sz w:val="24"/>
        </w:rPr>
        <w:t>条不可抗力</w:t>
      </w:r>
      <w:bookmarkEnd w:id="99"/>
      <w:bookmarkEnd w:id="100"/>
      <w:bookmarkEnd w:id="101"/>
      <w:bookmarkEnd w:id="102"/>
      <w:bookmarkEnd w:id="103"/>
      <w:bookmarkEnd w:id="104"/>
      <w:bookmarkEnd w:id="105"/>
      <w:bookmarkEnd w:id="106"/>
    </w:p>
    <w:p>
      <w:pPr>
        <w:widowControl/>
        <w:autoSpaceDE w:val="0"/>
        <w:autoSpaceDN w:val="0"/>
        <w:adjustRightInd w:val="0"/>
        <w:spacing w:line="384" w:lineRule="auto"/>
        <w:ind w:firstLine="480" w:firstLineChars="200"/>
        <w:rPr>
          <w:rFonts w:ascii="宋体" w:hAnsi="宋体" w:cs="宋体"/>
          <w:bCs/>
          <w:sz w:val="24"/>
        </w:rPr>
      </w:pPr>
      <w:bookmarkStart w:id="107" w:name="_Toc183666532"/>
      <w:bookmarkStart w:id="108" w:name="_Toc306350468"/>
      <w:bookmarkStart w:id="109" w:name="_Toc12010"/>
      <w:r>
        <w:rPr>
          <w:rFonts w:ascii="宋体" w:hAnsi="宋体" w:cs="宋体"/>
          <w:bCs/>
          <w:sz w:val="24"/>
        </w:rPr>
        <w:t>1</w:t>
      </w:r>
      <w:r>
        <w:rPr>
          <w:rFonts w:hint="eastAsia" w:ascii="宋体" w:hAnsi="宋体" w:cs="宋体"/>
          <w:bCs/>
          <w:sz w:val="24"/>
          <w:lang w:val="en-US" w:eastAsia="zh-CN"/>
        </w:rPr>
        <w:t>2</w:t>
      </w:r>
      <w:r>
        <w:rPr>
          <w:rFonts w:ascii="宋体" w:hAnsi="宋体" w:cs="宋体"/>
          <w:bCs/>
          <w:sz w:val="24"/>
        </w:rPr>
        <w:t xml:space="preserve">.1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lang w:val="en-US" w:eastAsia="zh-CN"/>
        </w:rPr>
        <w:t>12</w:t>
      </w:r>
      <w:r>
        <w:rPr>
          <w:rFonts w:ascii="宋体" w:hAnsi="宋体" w:cs="宋体"/>
          <w:bCs/>
          <w:sz w:val="24"/>
        </w:rPr>
        <w:t xml:space="preserve">.2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1</w:t>
      </w:r>
      <w:r>
        <w:rPr>
          <w:rFonts w:hint="eastAsia" w:ascii="宋体" w:hAnsi="宋体" w:cs="宋体"/>
          <w:bCs/>
          <w:sz w:val="24"/>
          <w:lang w:val="en-US" w:eastAsia="zh-CN"/>
        </w:rPr>
        <w:t>2</w:t>
      </w:r>
      <w:r>
        <w:rPr>
          <w:rFonts w:ascii="宋体" w:hAnsi="宋体" w:cs="宋体"/>
          <w:bCs/>
          <w:sz w:val="24"/>
        </w:rPr>
        <w:t xml:space="preserve">.3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hint="eastAsia" w:ascii="宋体" w:hAnsi="宋体" w:cs="宋体"/>
          <w:b/>
          <w:bCs/>
          <w:sz w:val="24"/>
        </w:rPr>
      </w:pPr>
      <w:r>
        <w:rPr>
          <w:rFonts w:ascii="宋体" w:hAnsi="宋体" w:cs="宋体"/>
          <w:bCs/>
          <w:sz w:val="24"/>
        </w:rPr>
        <w:t>1</w:t>
      </w:r>
      <w:r>
        <w:rPr>
          <w:rFonts w:hint="eastAsia" w:ascii="宋体" w:hAnsi="宋体" w:cs="宋体"/>
          <w:bCs/>
          <w:sz w:val="24"/>
          <w:lang w:val="en-US" w:eastAsia="zh-CN"/>
        </w:rPr>
        <w:t>2</w:t>
      </w:r>
      <w:r>
        <w:rPr>
          <w:rFonts w:ascii="宋体" w:hAnsi="宋体" w:cs="宋体"/>
          <w:bCs/>
          <w:sz w:val="24"/>
        </w:rPr>
        <w:t xml:space="preserve">.4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107446864"/>
      <w:bookmarkStart w:id="111" w:name="_Toc518993001"/>
      <w:bookmarkStart w:id="112" w:name="_Toc118172294"/>
      <w:bookmarkStart w:id="113" w:name="_Toc520190041"/>
      <w:bookmarkStart w:id="114" w:name="_Toc474245227"/>
      <w:bookmarkStart w:id="115" w:name="_Toc107447257"/>
    </w:p>
    <w:p>
      <w:pPr>
        <w:spacing w:beforeLines="50" w:afterLines="50" w:line="384" w:lineRule="auto"/>
        <w:ind w:firstLine="482"/>
        <w:jc w:val="left"/>
        <w:rPr>
          <w:rFonts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三</w:t>
      </w:r>
      <w:r>
        <w:rPr>
          <w:rFonts w:hint="eastAsia" w:ascii="宋体" w:hAnsi="宋体" w:cs="宋体"/>
          <w:b/>
          <w:bCs/>
          <w:sz w:val="24"/>
        </w:rPr>
        <w:t>条</w:t>
      </w:r>
      <w:r>
        <w:rPr>
          <w:rFonts w:hint="eastAsia" w:ascii="宋体" w:hAnsi="宋体" w:cs="宋体"/>
          <w:b/>
          <w:bCs/>
          <w:sz w:val="24"/>
          <w:lang w:val="en-US" w:eastAsia="zh-CN"/>
        </w:rPr>
        <w:t xml:space="preserve"> </w:t>
      </w:r>
      <w:r>
        <w:rPr>
          <w:rFonts w:hint="eastAsia" w:ascii="宋体" w:hAnsi="宋体" w:cs="宋体"/>
          <w:b/>
          <w:bCs/>
          <w:sz w:val="24"/>
        </w:rPr>
        <w:t>争议解决</w:t>
      </w:r>
      <w:bookmarkEnd w:id="107"/>
      <w:bookmarkEnd w:id="108"/>
      <w:bookmarkEnd w:id="109"/>
      <w:bookmarkEnd w:id="110"/>
      <w:bookmarkEnd w:id="111"/>
      <w:bookmarkEnd w:id="112"/>
      <w:bookmarkEnd w:id="113"/>
      <w:bookmarkEnd w:id="114"/>
      <w:bookmarkEnd w:id="115"/>
    </w:p>
    <w:p>
      <w:pPr>
        <w:spacing w:line="384" w:lineRule="auto"/>
        <w:ind w:firstLine="482"/>
        <w:rPr>
          <w:rFonts w:ascii="宋体" w:hAnsi="宋体" w:cs="宋体"/>
          <w:bCs/>
          <w:sz w:val="24"/>
        </w:rPr>
      </w:pPr>
      <w:bookmarkStart w:id="116" w:name="_Toc306350469"/>
      <w:bookmarkStart w:id="117" w:name="_Toc183666533"/>
      <w:r>
        <w:rPr>
          <w:rFonts w:ascii="宋体" w:hAnsi="宋体" w:cs="宋体"/>
          <w:bCs/>
          <w:sz w:val="24"/>
        </w:rPr>
        <w:t>1</w:t>
      </w:r>
      <w:r>
        <w:rPr>
          <w:rFonts w:hint="eastAsia" w:ascii="宋体" w:hAnsi="宋体" w:cs="宋体"/>
          <w:bCs/>
          <w:sz w:val="24"/>
          <w:lang w:val="en-US" w:eastAsia="zh-CN"/>
        </w:rPr>
        <w:t>3</w:t>
      </w:r>
      <w:r>
        <w:rPr>
          <w:rFonts w:ascii="宋体" w:hAnsi="宋体" w:cs="宋体"/>
          <w:bCs/>
          <w:sz w:val="24"/>
        </w:rPr>
        <w:t xml:space="preserve">.1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hint="eastAsia" w:ascii="宋体" w:hAnsi="宋体" w:cs="宋体"/>
          <w:b/>
          <w:bCs/>
          <w:sz w:val="24"/>
        </w:rPr>
      </w:pPr>
      <w:r>
        <w:rPr>
          <w:rFonts w:ascii="宋体" w:hAnsi="宋体" w:cs="宋体"/>
          <w:bCs/>
          <w:sz w:val="24"/>
        </w:rPr>
        <w:t>1</w:t>
      </w:r>
      <w:r>
        <w:rPr>
          <w:rFonts w:hint="eastAsia" w:ascii="宋体" w:hAnsi="宋体" w:cs="宋体"/>
          <w:bCs/>
          <w:sz w:val="24"/>
          <w:lang w:val="en-US" w:eastAsia="zh-CN"/>
        </w:rPr>
        <w:t>3</w:t>
      </w:r>
      <w:r>
        <w:rPr>
          <w:rFonts w:ascii="宋体" w:hAnsi="宋体" w:cs="宋体"/>
          <w:bCs/>
          <w:sz w:val="24"/>
        </w:rPr>
        <w:t xml:space="preserve">.2 </w:t>
      </w:r>
      <w:r>
        <w:rPr>
          <w:rFonts w:hint="eastAsia" w:ascii="宋体" w:hAnsi="宋体" w:cs="宋体"/>
          <w:sz w:val="24"/>
        </w:rPr>
        <w:t>在甲方同意的情况下，除有争端之外的合同其它部分在争端解决前应继续执行。</w:t>
      </w:r>
      <w:bookmarkEnd w:id="116"/>
      <w:bookmarkEnd w:id="117"/>
      <w:bookmarkStart w:id="118" w:name="_Toc474245229"/>
      <w:bookmarkStart w:id="119" w:name="_Toc520190043"/>
      <w:bookmarkStart w:id="120" w:name="_Toc518993003"/>
    </w:p>
    <w:p>
      <w:pPr>
        <w:spacing w:line="384" w:lineRule="auto"/>
        <w:ind w:firstLine="482"/>
        <w:jc w:val="left"/>
        <w:rPr>
          <w:rFonts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 xml:space="preserve">四 </w:t>
      </w:r>
      <w:r>
        <w:rPr>
          <w:rFonts w:hint="eastAsia" w:ascii="宋体" w:hAnsi="宋体" w:cs="宋体"/>
          <w:b/>
          <w:bCs/>
          <w:sz w:val="24"/>
        </w:rPr>
        <w:t>条</w:t>
      </w:r>
      <w:bookmarkStart w:id="121" w:name="_Toc107447264"/>
      <w:bookmarkStart w:id="122" w:name="_Toc107446871"/>
      <w:r>
        <w:rPr>
          <w:rFonts w:hint="eastAsia" w:ascii="宋体" w:hAnsi="宋体" w:cs="宋体"/>
          <w:b/>
          <w:bCs/>
          <w:sz w:val="24"/>
        </w:rPr>
        <w:t>合同生效及其他</w:t>
      </w:r>
      <w:bookmarkEnd w:id="118"/>
      <w:bookmarkEnd w:id="119"/>
      <w:bookmarkEnd w:id="120"/>
      <w:bookmarkEnd w:id="121"/>
      <w:bookmarkEnd w:id="122"/>
    </w:p>
    <w:p>
      <w:pPr>
        <w:spacing w:line="384" w:lineRule="auto"/>
        <w:ind w:firstLine="480"/>
        <w:rPr>
          <w:rFonts w:ascii="宋体" w:hAnsi="宋体" w:cs="宋体"/>
          <w:sz w:val="24"/>
        </w:rPr>
      </w:pPr>
      <w:r>
        <w:rPr>
          <w:rFonts w:ascii="宋体" w:hAnsi="宋体" w:cs="宋体"/>
          <w:sz w:val="24"/>
        </w:rPr>
        <w:t>1</w:t>
      </w:r>
      <w:r>
        <w:rPr>
          <w:rFonts w:hint="eastAsia" w:ascii="宋体" w:hAnsi="宋体" w:cs="宋体"/>
          <w:sz w:val="24"/>
          <w:lang w:val="en-US" w:eastAsia="zh-CN"/>
        </w:rPr>
        <w:t>4</w:t>
      </w:r>
      <w:r>
        <w:rPr>
          <w:rFonts w:ascii="宋体" w:hAnsi="宋体" w:cs="宋体"/>
          <w:sz w:val="24"/>
        </w:rPr>
        <w:t>.1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w:t>
      </w:r>
      <w:r>
        <w:rPr>
          <w:rFonts w:hint="eastAsia" w:ascii="宋体" w:hAnsi="宋体" w:cs="宋体"/>
          <w:sz w:val="24"/>
          <w:lang w:val="en-US" w:eastAsia="zh-CN"/>
        </w:rPr>
        <w:t>4</w:t>
      </w:r>
      <w:r>
        <w:rPr>
          <w:rFonts w:ascii="宋体" w:hAnsi="宋体" w:cs="宋体"/>
          <w:sz w:val="24"/>
        </w:rPr>
        <w:t>.2</w:t>
      </w:r>
      <w:r>
        <w:rPr>
          <w:rFonts w:hint="eastAsia" w:ascii="宋体" w:hAnsi="宋体" w:cs="宋体"/>
          <w:sz w:val="24"/>
        </w:rPr>
        <w:t>本合同正文一式</w:t>
      </w:r>
      <w:r>
        <w:rPr>
          <w:rFonts w:hint="eastAsia" w:ascii="宋体" w:hAnsi="宋体" w:cs="宋体"/>
          <w:sz w:val="24"/>
          <w:u w:val="single"/>
          <w:lang w:val="en-US" w:eastAsia="zh-CN"/>
        </w:rPr>
        <w:t>陆</w:t>
      </w:r>
      <w:r>
        <w:rPr>
          <w:rFonts w:hint="eastAsia" w:ascii="宋体" w:hAnsi="宋体" w:cs="宋体"/>
          <w:sz w:val="24"/>
        </w:rPr>
        <w:t>份，其中：甲方</w:t>
      </w:r>
      <w:r>
        <w:rPr>
          <w:rFonts w:hint="eastAsia" w:ascii="宋体" w:hAnsi="宋体" w:cs="宋体"/>
          <w:sz w:val="24"/>
          <w:u w:val="single"/>
          <w:lang w:val="en-US" w:eastAsia="zh-CN"/>
        </w:rPr>
        <w:t>伍</w:t>
      </w:r>
      <w:r>
        <w:rPr>
          <w:rFonts w:hint="eastAsia" w:ascii="宋体" w:hAnsi="宋体" w:cs="宋体"/>
          <w:sz w:val="24"/>
        </w:rPr>
        <w:t>份，乙方</w:t>
      </w:r>
      <w:r>
        <w:rPr>
          <w:rFonts w:hint="eastAsia" w:ascii="宋体" w:hAnsi="宋体" w:cs="宋体"/>
          <w:sz w:val="24"/>
          <w:u w:val="single"/>
          <w:lang w:val="en-US" w:eastAsia="zh-CN"/>
        </w:rPr>
        <w:t>壹</w:t>
      </w:r>
      <w:r>
        <w:rPr>
          <w:rFonts w:hint="eastAsia" w:ascii="宋体" w:hAnsi="宋体" w:cs="宋体"/>
          <w:sz w:val="24"/>
        </w:rPr>
        <w:t>份。</w:t>
      </w:r>
    </w:p>
    <w:p>
      <w:pPr>
        <w:spacing w:line="384" w:lineRule="auto"/>
        <w:ind w:firstLine="480"/>
      </w:pPr>
      <w:r>
        <w:rPr>
          <w:rFonts w:ascii="宋体" w:hAnsi="宋体" w:cs="宋体"/>
          <w:sz w:val="24"/>
        </w:rPr>
        <w:t>1</w:t>
      </w:r>
      <w:r>
        <w:rPr>
          <w:rFonts w:hint="eastAsia" w:ascii="宋体" w:hAnsi="宋体" w:cs="宋体"/>
          <w:sz w:val="24"/>
          <w:lang w:val="en-US" w:eastAsia="zh-CN"/>
        </w:rPr>
        <w:t>4</w:t>
      </w:r>
      <w:r>
        <w:rPr>
          <w:rFonts w:ascii="宋体" w:hAnsi="宋体" w:cs="宋体"/>
          <w:sz w:val="24"/>
        </w:rPr>
        <w:t>.</w:t>
      </w:r>
      <w:r>
        <w:rPr>
          <w:rFonts w:hint="eastAsia" w:ascii="宋体" w:hAnsi="宋体" w:cs="宋体"/>
          <w:sz w:val="24"/>
        </w:rPr>
        <w:t>3补充条款</w:t>
      </w:r>
      <w:r>
        <w:rPr>
          <w:rFonts w:hint="eastAsia" w:ascii="宋体" w:hAnsi="宋体" w:cs="宋体"/>
          <w:sz w:val="24"/>
          <w:lang w:eastAsia="zh-CN"/>
        </w:rPr>
        <w:t>：</w:t>
      </w:r>
      <w:r>
        <w:rPr>
          <w:rFonts w:hint="eastAsia" w:ascii="宋体" w:hAnsi="宋体" w:cs="宋体"/>
          <w:sz w:val="24"/>
          <w:lang w:val="en-US" w:eastAsia="zh-CN"/>
        </w:rPr>
        <w:t>甲方指导项目负责人</w:t>
      </w:r>
      <w:r>
        <w:rPr>
          <w:rFonts w:hint="eastAsia" w:ascii="宋体" w:hAnsi="宋体" w:cs="宋体"/>
          <w:sz w:val="24"/>
          <w:u w:val="single"/>
          <w:lang w:val="en-US" w:eastAsia="zh-CN"/>
        </w:rPr>
        <w:t xml:space="preserve">       </w:t>
      </w:r>
      <w:r>
        <w:rPr>
          <w:rFonts w:hint="eastAsia" w:ascii="宋体" w:hAnsi="宋体" w:cs="宋体"/>
          <w:sz w:val="24"/>
          <w:lang w:val="en-US" w:eastAsia="zh-CN"/>
        </w:rPr>
        <w:t>电话：</w:t>
      </w:r>
    </w:p>
    <w:p>
      <w:pPr>
        <w:spacing w:line="500" w:lineRule="exact"/>
        <w:ind w:firstLine="480" w:firstLineChars="200"/>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lang w:val="en-US" w:eastAsia="zh-CN"/>
        </w:rPr>
        <w:t>发包</w:t>
      </w:r>
      <w:r>
        <w:rPr>
          <w:rFonts w:hint="eastAsia" w:ascii="宋体" w:hAnsi="宋体" w:cs="宋体"/>
          <w:sz w:val="24"/>
          <w:highlight w:val="none"/>
        </w:rPr>
        <w:t>通知书</w:t>
      </w:r>
    </w:p>
    <w:p>
      <w:pPr>
        <w:spacing w:line="500" w:lineRule="exact"/>
        <w:ind w:firstLine="720" w:firstLineChars="3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廉洁协议</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3.营运场所施工安全协议书</w:t>
      </w:r>
    </w:p>
    <w:p>
      <w:pPr>
        <w:spacing w:line="500" w:lineRule="exact"/>
        <w:ind w:firstLine="720" w:firstLineChars="300"/>
        <w:rPr>
          <w:rFonts w:ascii="宋体" w:hAnsi="宋体" w:cs="宋体"/>
          <w:sz w:val="24"/>
          <w:highlight w:val="none"/>
        </w:rPr>
      </w:pPr>
      <w:r>
        <w:rPr>
          <w:rFonts w:hint="eastAsia" w:ascii="宋体" w:hAnsi="宋体" w:cs="宋体"/>
          <w:sz w:val="24"/>
          <w:highlight w:val="none"/>
        </w:rPr>
        <w:t>4.防疫管理协议书</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工程量清单报价</w:t>
      </w:r>
    </w:p>
    <w:p>
      <w:pPr>
        <w:spacing w:line="500" w:lineRule="exact"/>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项目投入人员架构表</w:t>
      </w:r>
    </w:p>
    <w:p>
      <w:pPr>
        <w:spacing w:line="500" w:lineRule="exact"/>
        <w:ind w:firstLine="720" w:firstLineChars="300"/>
        <w:rPr>
          <w:rFonts w:ascii="宋体" w:hAnsi="宋体" w:cs="宋体"/>
          <w:sz w:val="24"/>
          <w:szCs w:val="24"/>
          <w:highlight w:val="none"/>
        </w:rPr>
      </w:pPr>
      <w:r>
        <w:rPr>
          <w:rFonts w:hint="eastAsia" w:ascii="宋体" w:hAnsi="宋体" w:cs="宋体"/>
          <w:sz w:val="24"/>
          <w:szCs w:val="24"/>
          <w:highlight w:val="none"/>
        </w:rPr>
        <w:t>7.不诚信行为的情形及相应被暂停参与投标活动的处理标准</w:t>
      </w:r>
    </w:p>
    <w:p>
      <w:pPr>
        <w:spacing w:line="480" w:lineRule="exact"/>
        <w:ind w:firstLine="720" w:firstLineChars="300"/>
        <w:rPr>
          <w:rFonts w:hint="eastAsia" w:ascii="宋体" w:hAnsi="宋体" w:eastAsia="宋体" w:cs="宋体"/>
          <w:sz w:val="24"/>
          <w:szCs w:val="24"/>
        </w:rPr>
      </w:pPr>
    </w:p>
    <w:p>
      <w:pPr>
        <w:pStyle w:val="22"/>
        <w:ind w:left="0" w:leftChars="0" w:firstLine="0" w:firstLineChars="0"/>
        <w:rPr>
          <w:rFonts w:hint="eastAsia" w:ascii="宋体" w:hAnsi="宋体" w:eastAsia="宋体" w:cs="宋体"/>
          <w:sz w:val="24"/>
          <w:szCs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hint="eastAsia" w:ascii="宋体" w:hAnsi="宋体" w:cs="宋体"/>
          <w:sz w:val="24"/>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500" w:lineRule="exact"/>
        <w:ind w:right="-624" w:rightChars="-297"/>
        <w:rPr>
          <w:rFonts w:hAnsi="宋体"/>
          <w:b/>
          <w:bCs/>
          <w:szCs w:val="21"/>
          <w:highlight w:val="none"/>
        </w:rPr>
      </w:pPr>
      <w:r>
        <w:rPr>
          <w:rFonts w:hint="eastAsia"/>
          <w:b/>
          <w:bCs/>
          <w:highlight w:val="none"/>
        </w:rPr>
        <w:t>以下空白。</w:t>
      </w:r>
    </w:p>
    <w:p>
      <w:pPr>
        <w:spacing w:line="360" w:lineRule="auto"/>
        <w:rPr>
          <w:rFonts w:hint="eastAsia" w:ascii="宋体" w:hAnsi="宋体" w:cs="宋体"/>
          <w:b/>
          <w:bCs/>
          <w:szCs w:val="21"/>
          <w:highlight w:val="none"/>
        </w:rPr>
      </w:pPr>
    </w:p>
    <w:p>
      <w:pPr>
        <w:spacing w:line="360" w:lineRule="auto"/>
        <w:rPr>
          <w:rFonts w:ascii="宋体" w:hAnsi="宋体" w:cs="宋体"/>
          <w:sz w:val="24"/>
          <w:highlight w:val="none"/>
        </w:rPr>
      </w:pPr>
      <w:r>
        <w:rPr>
          <w:rFonts w:hint="eastAsia" w:ascii="宋体" w:hAnsi="宋体" w:cs="宋体"/>
          <w:b/>
          <w:bCs/>
          <w:szCs w:val="21"/>
          <w:highlight w:val="none"/>
        </w:rPr>
        <w:t xml:space="preserve">附件1  </w:t>
      </w:r>
      <w:r>
        <w:rPr>
          <w:rFonts w:hint="eastAsia" w:ascii="宋体" w:hAnsi="宋体" w:cs="宋体"/>
          <w:b/>
          <w:bCs/>
          <w:szCs w:val="21"/>
          <w:highlight w:val="none"/>
          <w:lang w:val="en-US" w:eastAsia="zh-CN"/>
        </w:rPr>
        <w:t>发包</w:t>
      </w:r>
      <w:r>
        <w:rPr>
          <w:rFonts w:hint="eastAsia" w:ascii="宋体" w:hAnsi="宋体" w:cs="宋体"/>
          <w:b/>
          <w:bCs/>
          <w:szCs w:val="21"/>
          <w:highlight w:val="none"/>
        </w:rPr>
        <w:t>通知书</w:t>
      </w:r>
    </w:p>
    <w:p>
      <w:pPr>
        <w:spacing w:line="360" w:lineRule="auto"/>
        <w:rPr>
          <w:rFonts w:ascii="宋体" w:hAnsi="宋体" w:cs="宋体"/>
          <w:b/>
          <w:bCs/>
          <w:szCs w:val="21"/>
          <w:highlight w:val="none"/>
        </w:rPr>
      </w:pPr>
      <w:r>
        <w:rPr>
          <w:rFonts w:hint="eastAsia" w:ascii="宋体" w:hAnsi="宋体" w:cs="宋体"/>
          <w:b/>
          <w:bCs/>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3" w:name="_Toc389815339"/>
      <w:bookmarkStart w:id="124" w:name="_Toc389815031"/>
      <w:bookmarkStart w:id="125" w:name="_Toc387080836"/>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ascii="宋体" w:hAnsi="宋体" w:cs="宋体"/>
          <w:b/>
          <w:szCs w:val="21"/>
          <w:highlight w:val="none"/>
        </w:rPr>
      </w:pPr>
      <w:r>
        <w:rPr>
          <w:rFonts w:hint="eastAsia" w:ascii="宋体" w:hAnsi="宋体" w:cs="宋体"/>
          <w:b/>
          <w:szCs w:val="21"/>
          <w:highlight w:val="none"/>
        </w:rPr>
        <w:t>附件3：</w:t>
      </w:r>
      <w:bookmarkEnd w:id="123"/>
      <w:bookmarkEnd w:id="124"/>
      <w:bookmarkEnd w:id="125"/>
      <w:r>
        <w:rPr>
          <w:rFonts w:hint="eastAsia" w:ascii="宋体" w:hAnsi="宋体" w:cs="宋体"/>
          <w:b/>
          <w:szCs w:val="21"/>
          <w:highlight w:val="none"/>
        </w:rPr>
        <w:t>营运场所施工安全协议书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26" w:name="_Toc21391"/>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jc w:val="left"/>
        <w:rPr>
          <w:rStyle w:val="26"/>
          <w:rFonts w:asciiTheme="minorEastAsia" w:hAnsiTheme="minorEastAsia" w:eastAsiaTheme="minorEastAsia"/>
          <w:b w:val="0"/>
          <w:highlight w:val="none"/>
          <w:u w:val="single"/>
        </w:rPr>
      </w:pPr>
    </w:p>
    <w:bookmarkEnd w:id="126"/>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lang w:eastAsia="zh-CN"/>
        </w:rPr>
        <w:t>广州市净水有限公司健康城分公司</w:t>
      </w:r>
      <w:r>
        <w:rPr>
          <w:rFonts w:hint="eastAsia" w:asciiTheme="minorEastAsia" w:hAnsiTheme="minorEastAsia" w:eastAsiaTheme="minorEastAsia" w:cstheme="minorBidi"/>
          <w:b w:val="0"/>
          <w:bCs w:val="0"/>
          <w:color w:val="auto"/>
          <w:sz w:val="24"/>
          <w:szCs w:val="22"/>
          <w:highlight w:val="none"/>
          <w:u w:val="single"/>
          <w:lang w:eastAsia="zh-CN"/>
        </w:rPr>
        <w:t>2022年柴油发电机维保服务项目</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15</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w:t>
      </w:r>
      <w:bookmarkStart w:id="153" w:name="_GoBack"/>
      <w:bookmarkEnd w:id="153"/>
      <w:r>
        <w:rPr>
          <w:rFonts w:hint="eastAsia" w:asciiTheme="minorEastAsia" w:hAnsiTheme="minorEastAsia" w:eastAsiaTheme="minorEastAsia"/>
          <w:sz w:val="24"/>
          <w:highlight w:val="none"/>
        </w:rPr>
        <w:t>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spacing w:line="360" w:lineRule="auto"/>
        <w:rPr>
          <w:rFonts w:ascii="宋体" w:hAnsi="宋体" w:cs="宋体"/>
          <w:b/>
          <w:szCs w:val="21"/>
          <w:highlight w:val="none"/>
        </w:rPr>
      </w:pPr>
    </w:p>
    <w:p>
      <w:pPr>
        <w:pStyle w:val="9"/>
        <w:rPr>
          <w:highlight w:val="none"/>
        </w:rPr>
      </w:pPr>
    </w:p>
    <w:p>
      <w:pPr>
        <w:rPr>
          <w:rFonts w:hint="eastAsia" w:ascii="宋体" w:hAnsi="宋体" w:cs="宋体"/>
          <w:b/>
          <w:szCs w:val="21"/>
          <w:highlight w:val="none"/>
        </w:rPr>
      </w:pPr>
      <w:r>
        <w:rPr>
          <w:rFonts w:hint="eastAsia" w:ascii="宋体" w:hAnsi="宋体" w:cs="宋体"/>
          <w:b/>
          <w:szCs w:val="21"/>
          <w:highlight w:val="none"/>
        </w:rPr>
        <w:br w:type="page"/>
      </w:r>
    </w:p>
    <w:p>
      <w:pPr>
        <w:spacing w:line="360" w:lineRule="auto"/>
        <w:rPr>
          <w:rFonts w:ascii="宋体" w:hAnsi="宋体" w:cs="宋体"/>
          <w:b/>
          <w:szCs w:val="21"/>
          <w:highlight w:val="none"/>
        </w:rPr>
      </w:pPr>
      <w:r>
        <w:rPr>
          <w:rFonts w:hint="eastAsia" w:ascii="宋体" w:hAnsi="宋体" w:cs="宋体"/>
          <w:b/>
          <w:szCs w:val="21"/>
          <w:highlight w:val="none"/>
        </w:rPr>
        <w:t>附件4：防疫管理协议书</w:t>
      </w:r>
    </w:p>
    <w:p>
      <w:pPr>
        <w:spacing w:line="440" w:lineRule="exact"/>
        <w:jc w:val="center"/>
        <w:rPr>
          <w:rFonts w:ascii="仿宋_GB2312" w:eastAsia="仿宋_GB2312"/>
          <w:b/>
          <w:bCs/>
          <w:sz w:val="28"/>
          <w:szCs w:val="28"/>
          <w:highlight w:val="none"/>
        </w:rPr>
      </w:pPr>
      <w:r>
        <w:rPr>
          <w:rFonts w:hint="eastAsia" w:ascii="仿宋_GB2312" w:eastAsia="仿宋_GB2312"/>
          <w:b/>
          <w:bCs/>
          <w:sz w:val="28"/>
          <w:szCs w:val="28"/>
          <w:highlight w:val="none"/>
          <w:lang w:val="en-US" w:eastAsia="zh-CN"/>
        </w:rPr>
        <w:t>防疫</w:t>
      </w:r>
      <w:r>
        <w:rPr>
          <w:rFonts w:hint="eastAsia" w:ascii="仿宋_GB2312" w:eastAsia="仿宋_GB2312"/>
          <w:b/>
          <w:bCs/>
          <w:sz w:val="28"/>
          <w:szCs w:val="28"/>
          <w:highlight w:val="none"/>
        </w:rPr>
        <w:t>管理协议书</w:t>
      </w:r>
    </w:p>
    <w:p>
      <w:pPr>
        <w:spacing w:line="440" w:lineRule="exact"/>
        <w:rPr>
          <w:rFonts w:ascii="仿宋_GB2312" w:hAnsi="宋体" w:eastAsia="仿宋_GB2312"/>
          <w:sz w:val="24"/>
          <w:highlight w:val="none"/>
        </w:rPr>
      </w:pP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highlight w:val="none"/>
          <w:u w:val="singl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Style w:val="26"/>
          <w:rFonts w:hint="eastAsia" w:ascii="仿宋" w:hAnsi="仿宋" w:eastAsia="仿宋" w:cs="仿宋"/>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（一）开展疫情防控宣传教育，提高</w:t>
      </w:r>
      <w:r>
        <w:rPr>
          <w:rFonts w:hint="eastAsia" w:ascii="仿宋" w:hAnsi="仿宋" w:eastAsia="仿宋" w:cs="仿宋"/>
          <w:sz w:val="24"/>
          <w:highlight w:val="none"/>
          <w:lang w:val="en-US" w:eastAsia="zh-CN"/>
        </w:rPr>
        <w:t>乙方</w:t>
      </w:r>
      <w:r>
        <w:rPr>
          <w:rFonts w:hint="eastAsia" w:ascii="仿宋" w:hAnsi="仿宋" w:eastAsia="仿宋" w:cs="仿宋"/>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sz w:val="24"/>
          <w:highlight w:val="none"/>
          <w:lang w:val="en-US" w:eastAsia="zh-CN"/>
        </w:rPr>
        <w:t>做好乙方人员防控工作管理，及时提交防疫资料，落实疫情防控备案，必要时需</w:t>
      </w:r>
      <w:r>
        <w:rPr>
          <w:rFonts w:hint="eastAsia" w:ascii="仿宋" w:hAnsi="仿宋" w:eastAsia="仿宋" w:cs="仿宋"/>
          <w:kern w:val="2"/>
          <w:sz w:val="24"/>
          <w:szCs w:val="24"/>
          <w:highlight w:val="none"/>
          <w:lang w:val="en-US" w:eastAsia="zh-CN" w:bidi="ar-SA"/>
        </w:rPr>
        <w:t>编制防控管理工作方案</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（三）乙方人员须按</w:t>
      </w:r>
      <w:r>
        <w:rPr>
          <w:rFonts w:hint="eastAsia" w:ascii="仿宋" w:hAnsi="仿宋" w:eastAsia="仿宋" w:cs="仿宋"/>
          <w:color w:val="auto"/>
          <w:sz w:val="24"/>
          <w:highlight w:val="none"/>
          <w:lang w:val="en-US" w:eastAsia="zh-CN"/>
        </w:rPr>
        <w:t>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kern w:val="2"/>
          <w:sz w:val="24"/>
          <w:szCs w:val="24"/>
          <w:highlight w:val="none"/>
          <w:lang w:val="en-US" w:eastAsia="zh-CN" w:bidi="ar-SA"/>
        </w:rPr>
        <w:t>（五）各级政府、有关部门及甲方的其他</w:t>
      </w:r>
      <w:r>
        <w:rPr>
          <w:rFonts w:hint="eastAsia" w:ascii="仿宋" w:hAnsi="仿宋" w:eastAsia="仿宋" w:cs="仿宋"/>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highlight w:val="none"/>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highlight w:val="none"/>
        </w:rPr>
      </w:pPr>
    </w:p>
    <w:p>
      <w:pPr>
        <w:pStyle w:val="36"/>
        <w:spacing w:line="44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、补充条款：</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pPr>
        <w:adjustRightInd w:val="0"/>
        <w:snapToGrid w:val="0"/>
        <w:spacing w:line="440" w:lineRule="exac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、附则</w:t>
      </w:r>
    </w:p>
    <w:p>
      <w:pPr>
        <w:adjustRightInd w:val="0"/>
        <w:snapToGrid w:val="0"/>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本协议与合同同时签订、同时终止、同时生效，具有相同的法律效力。合同由甲乙双方签字、盖章生效，甲乙双方各</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份。</w:t>
      </w:r>
    </w:p>
    <w:p>
      <w:pPr>
        <w:adjustRightInd w:val="0"/>
        <w:snapToGrid w:val="0"/>
        <w:spacing w:line="440" w:lineRule="exact"/>
        <w:rPr>
          <w:rFonts w:hint="eastAsia" w:ascii="仿宋" w:hAnsi="仿宋" w:eastAsia="仿宋" w:cs="仿宋"/>
          <w:sz w:val="24"/>
          <w:highlight w:val="none"/>
        </w:rPr>
      </w:pPr>
    </w:p>
    <w:p>
      <w:pPr>
        <w:adjustRightInd w:val="0"/>
        <w:snapToGrid w:val="0"/>
        <w:spacing w:line="440" w:lineRule="exact"/>
        <w:ind w:left="1330" w:leftChars="5" w:hanging="1320" w:hangingChars="55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 xml:space="preserve">代表 （章）：                             </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代表（章）：                                                           　　              　　　　　　　</w:t>
      </w:r>
    </w:p>
    <w:p>
      <w:pPr>
        <w:adjustRightInd w:val="0"/>
        <w:snapToGrid w:val="0"/>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年 　月　  日　　　　　                 年   月  　日</w:t>
      </w:r>
    </w:p>
    <w:p>
      <w:pPr>
        <w:pStyle w:val="2"/>
        <w:ind w:firstLine="0"/>
        <w:rPr>
          <w:rFonts w:hint="eastAsia"/>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r>
        <w:rPr>
          <w:rFonts w:hint="eastAsia" w:ascii="宋体" w:hAnsi="宋体" w:cs="宋体"/>
          <w:b/>
          <w:bCs/>
          <w:szCs w:val="21"/>
          <w:highlight w:val="none"/>
        </w:rPr>
        <w:t>附件5：工程量清单报价</w:t>
      </w:r>
    </w:p>
    <w:tbl>
      <w:tblPr>
        <w:tblStyle w:val="23"/>
        <w:tblpPr w:leftFromText="180" w:rightFromText="180" w:vertAnchor="text" w:horzAnchor="page" w:tblpX="580" w:tblpY="579"/>
        <w:tblOverlap w:val="never"/>
        <w:tblW w:w="10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1415"/>
        <w:gridCol w:w="1760"/>
        <w:gridCol w:w="2149"/>
        <w:gridCol w:w="1745"/>
        <w:gridCol w:w="894"/>
        <w:gridCol w:w="1212"/>
        <w:gridCol w:w="1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39"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健康城分公司2022年柴油发电机维保服务项目服务工程量清单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单价含税（元）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4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南通柴油机TCR1000</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美国水箱宝</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启动电机</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214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启动电机维修</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旧启动电机维修作备件</w:t>
            </w:r>
          </w:p>
        </w:tc>
        <w:tc>
          <w:tcPr>
            <w:tcW w:w="214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3、记录发电机运行情况排除非正常运行因素等</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应急抢修</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抢修人员在2小时内到达现场进行故障抢修</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服务期内不限次数</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分批送达现场并添加</w:t>
            </w: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国标0#柴油</w:t>
            </w: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配件及运输交通</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技术服务</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   元含税（ %）：</w:t>
            </w:r>
          </w:p>
        </w:tc>
        <w:tc>
          <w:tcPr>
            <w:tcW w:w="8769"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bl>
    <w:p>
      <w:pPr>
        <w:pStyle w:val="2"/>
        <w:ind w:firstLine="0"/>
      </w:pPr>
    </w:p>
    <w:p>
      <w:pPr>
        <w:spacing w:line="360" w:lineRule="auto"/>
        <w:rPr>
          <w:rFonts w:ascii="宋体" w:hAnsi="宋体" w:cs="宋体"/>
          <w:b/>
          <w:bCs/>
          <w:szCs w:val="21"/>
          <w:highlight w:val="none"/>
        </w:rPr>
      </w:pPr>
      <w:r>
        <w:rPr>
          <w:rFonts w:hint="eastAsia" w:ascii="宋体" w:hAnsi="宋体" w:cs="宋体"/>
          <w:b/>
          <w:bCs/>
          <w:szCs w:val="21"/>
          <w:highlight w:val="none"/>
        </w:rPr>
        <w:t>附件6 ：项目投入人员架构表/应急救援物资清单</w:t>
      </w:r>
    </w:p>
    <w:p>
      <w:pPr>
        <w:spacing w:line="360" w:lineRule="auto"/>
        <w:jc w:val="center"/>
        <w:outlineLvl w:val="3"/>
        <w:rPr>
          <w:rFonts w:ascii="宋体" w:hAnsi="宋体" w:cs="宋体"/>
          <w:b/>
          <w:sz w:val="24"/>
          <w:szCs w:val="24"/>
          <w:highlight w:val="none"/>
        </w:rPr>
      </w:pPr>
    </w:p>
    <w:p>
      <w:pPr>
        <w:spacing w:line="360" w:lineRule="auto"/>
        <w:jc w:val="center"/>
        <w:outlineLvl w:val="3"/>
        <w:rPr>
          <w:rFonts w:ascii="宋体" w:hAnsi="宋体" w:cs="宋体"/>
          <w:b/>
          <w:bCs/>
          <w:sz w:val="24"/>
          <w:szCs w:val="24"/>
          <w:highlight w:val="none"/>
        </w:rPr>
      </w:pPr>
      <w:r>
        <w:rPr>
          <w:rFonts w:hint="eastAsia" w:ascii="宋体" w:hAnsi="宋体" w:cs="宋体"/>
          <w:b/>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szCs w:val="24"/>
                <w:highlight w:val="none"/>
              </w:rPr>
            </w:pPr>
          </w:p>
        </w:tc>
      </w:tr>
    </w:tbl>
    <w:p>
      <w:pPr>
        <w:spacing w:line="360" w:lineRule="auto"/>
        <w:rPr>
          <w:rFonts w:ascii="宋体" w:hAnsi="宋体" w:cs="宋体"/>
          <w:sz w:val="24"/>
          <w:szCs w:val="24"/>
          <w:highlight w:val="none"/>
        </w:rPr>
      </w:pPr>
      <w:r>
        <w:rPr>
          <w:rFonts w:hint="eastAsia" w:ascii="宋体" w:hAnsi="宋体" w:cs="宋体"/>
          <w:b/>
          <w:bCs/>
          <w:sz w:val="24"/>
          <w:szCs w:val="24"/>
          <w:highlight w:val="none"/>
        </w:rPr>
        <w:t>注： 本表作为合同附件，其内容必须是真实有效。</w:t>
      </w:r>
    </w:p>
    <w:p>
      <w:pPr>
        <w:pStyle w:val="46"/>
        <w:rPr>
          <w:rFonts w:hAnsi="宋体" w:eastAsia="宋体"/>
          <w:b/>
          <w:color w:val="auto"/>
          <w:highlight w:val="none"/>
        </w:rPr>
      </w:pPr>
    </w:p>
    <w:p>
      <w:pPr>
        <w:rPr>
          <w:rFonts w:ascii="宋体" w:hAnsi="宋体" w:cs="宋体"/>
          <w:bCs/>
          <w:sz w:val="24"/>
          <w:szCs w:val="24"/>
          <w:highlight w:val="none"/>
        </w:rPr>
      </w:pPr>
    </w:p>
    <w:p>
      <w:pPr>
        <w:pStyle w:val="9"/>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pStyle w:val="10"/>
        <w:rPr>
          <w:rFonts w:ascii="宋体" w:hAnsi="宋体" w:cs="宋体"/>
          <w:bCs/>
          <w:sz w:val="24"/>
          <w:szCs w:val="24"/>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line="360" w:lineRule="auto"/>
        <w:rPr>
          <w:rFonts w:ascii="宋体" w:hAnsi="宋体" w:cs="宋体"/>
          <w:b/>
          <w:bCs/>
          <w:szCs w:val="21"/>
          <w:highlight w:val="none"/>
        </w:rPr>
      </w:pPr>
      <w:r>
        <w:rPr>
          <w:rFonts w:hint="eastAsia" w:ascii="宋体" w:hAnsi="宋体" w:cs="宋体"/>
          <w:b/>
          <w:bCs/>
          <w:szCs w:val="21"/>
          <w:highlight w:val="none"/>
        </w:rPr>
        <w:t>附件7 ：不诚信行为的情形及相应被暂停参与投标活动的处理标准</w:t>
      </w:r>
    </w:p>
    <w:p>
      <w:pPr>
        <w:adjustRightInd w:val="0"/>
        <w:snapToGrid w:val="0"/>
        <w:rPr>
          <w:rFonts w:ascii="宋体" w:hAnsi="宋体" w:cs="宋体"/>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widowControl/>
        <w:jc w:val="left"/>
        <w:rPr>
          <w:rFonts w:hint="eastAsia" w:ascii="宋体" w:hAnsi="宋体" w:cs="宋体"/>
          <w:color w:val="000000" w:themeColor="text1"/>
          <w:szCs w:val="21"/>
          <w:highlight w:val="none"/>
          <w:lang w:eastAsia="zh-CN"/>
        </w:rPr>
      </w:pPr>
    </w:p>
    <w:p>
      <w:pPr>
        <w:widowControl/>
        <w:jc w:val="left"/>
        <w:rPr>
          <w:rFonts w:hint="eastAsia" w:ascii="宋体" w:hAnsi="宋体" w:cs="宋体"/>
          <w:color w:val="000000" w:themeColor="text1"/>
          <w:szCs w:val="21"/>
          <w:highlight w:val="none"/>
          <w:lang w:eastAsia="zh-CN"/>
        </w:rPr>
      </w:pPr>
    </w:p>
    <w:p>
      <w:pPr>
        <w:rPr>
          <w:rFonts w:hint="eastAsia" w:ascii="宋体" w:hAnsi="宋体" w:cs="宋体"/>
          <w:b/>
          <w:bCs/>
          <w:color w:val="000000" w:themeColor="text1"/>
          <w:sz w:val="24"/>
          <w:szCs w:val="24"/>
          <w:highlight w:val="none"/>
          <w:lang w:val="en-US" w:eastAsia="zh-CN"/>
        </w:rPr>
      </w:pPr>
    </w:p>
    <w:p>
      <w:pPr>
        <w:pStyle w:val="2"/>
        <w:rPr>
          <w:rFonts w:hint="eastAsia" w:ascii="宋体" w:hAnsi="宋体" w:cs="宋体"/>
          <w:b/>
          <w:bCs/>
          <w:color w:val="000000" w:themeColor="text1"/>
          <w:sz w:val="24"/>
          <w:szCs w:val="24"/>
          <w:highlight w:val="none"/>
          <w:lang w:val="en-US" w:eastAsia="zh-CN"/>
        </w:rPr>
      </w:pPr>
    </w:p>
    <w:p>
      <w:pPr>
        <w:pStyle w:val="2"/>
        <w:rPr>
          <w:rFonts w:hint="eastAsia" w:ascii="宋体" w:hAnsi="宋体" w:cs="宋体"/>
          <w:b/>
          <w:bCs/>
          <w:color w:val="000000" w:themeColor="text1"/>
          <w:sz w:val="24"/>
          <w:szCs w:val="24"/>
          <w:highlight w:val="none"/>
          <w:lang w:val="en-US" w:eastAsia="zh-CN"/>
        </w:rPr>
      </w:pPr>
    </w:p>
    <w:p>
      <w:pPr>
        <w:pStyle w:val="2"/>
        <w:rPr>
          <w:rFonts w:hint="eastAsia" w:ascii="宋体" w:hAnsi="宋体" w:cs="宋体"/>
          <w:b/>
          <w:bCs/>
          <w:color w:val="000000" w:themeColor="text1"/>
          <w:sz w:val="24"/>
          <w:szCs w:val="24"/>
          <w:highlight w:val="none"/>
          <w:lang w:val="en-US" w:eastAsia="zh-CN"/>
        </w:rPr>
      </w:pPr>
    </w:p>
    <w:p>
      <w:pPr>
        <w:pStyle w:val="2"/>
        <w:rPr>
          <w:rFonts w:hint="eastAsia" w:ascii="宋体" w:hAnsi="宋体" w:cs="宋体"/>
          <w:b/>
          <w:bCs/>
          <w:color w:val="000000" w:themeColor="text1"/>
          <w:sz w:val="24"/>
          <w:szCs w:val="24"/>
          <w:highlight w:val="none"/>
          <w:lang w:val="en-US" w:eastAsia="zh-CN"/>
        </w:rPr>
      </w:pPr>
    </w:p>
    <w:tbl>
      <w:tblPr>
        <w:tblStyle w:val="23"/>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扣合同金额的30%～50%；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扣合同金额的20%～30%；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扣合同金额的10%～20%；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扣合同金额的5%～10%;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扣合同金额的3%～5%；</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扣合同金额的1%～2%；</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扣合同金额的0.5%～1%；</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扣合同金额的0.3%～0.4%；</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highlight w:val="none"/>
                <w:lang w:val="en-US" w:eastAsia="zh-CN"/>
              </w:rPr>
            </w:pPr>
            <w:r>
              <w:rPr>
                <w:rFonts w:hint="eastAsia"/>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rPr>
            </w:pPr>
            <w:r>
              <w:rPr>
                <w:rFonts w:hint="eastAsia" w:ascii="仿宋_GB2312" w:hAnsi="仿宋_GB2312" w:eastAsia="仿宋_GB2312" w:cs="仿宋_GB2312"/>
                <w:color w:val="000000" w:themeColor="text1"/>
                <w:sz w:val="13"/>
                <w:szCs w:val="13"/>
                <w:highlight w:val="none"/>
                <w:lang w:val="en-US" w:eastAsia="zh-CN"/>
              </w:rPr>
              <w:t>2.本处理标准出自</w:t>
            </w:r>
            <w:r>
              <w:rPr>
                <w:rFonts w:hint="eastAsia" w:ascii="仿宋_GB2312" w:hAnsi="仿宋_GB2312" w:eastAsia="仿宋_GB2312" w:cs="仿宋_GB2312"/>
                <w:color w:val="000000" w:themeColor="text1"/>
                <w:sz w:val="13"/>
                <w:szCs w:val="13"/>
                <w:highlight w:val="none"/>
              </w:rPr>
              <w:t>《</w:t>
            </w:r>
            <w:r>
              <w:rPr>
                <w:rFonts w:hint="eastAsia" w:ascii="宋体" w:hAnsi="宋体" w:eastAsia="宋体" w:cs="宋体"/>
                <w:color w:val="000000" w:themeColor="text1"/>
                <w:sz w:val="13"/>
                <w:szCs w:val="13"/>
                <w:highlight w:val="none"/>
                <w:lang w:eastAsia="zh-CN"/>
              </w:rPr>
              <w:t>广州净水公司工程项目承包单位质量安全考评细则（试行）</w:t>
            </w:r>
            <w:r>
              <w:rPr>
                <w:rFonts w:hint="eastAsia" w:ascii="仿宋_GB2312" w:hAnsi="仿宋_GB2312" w:eastAsia="仿宋_GB2312" w:cs="仿宋_GB2312"/>
                <w:color w:val="000000" w:themeColor="text1"/>
                <w:sz w:val="13"/>
                <w:szCs w:val="13"/>
                <w:highlight w:val="none"/>
              </w:rPr>
              <w:t>》</w:t>
            </w:r>
            <w:r>
              <w:rPr>
                <w:rFonts w:hint="eastAsia" w:ascii="仿宋_GB2312" w:hAnsi="仿宋_GB2312" w:eastAsia="仿宋_GB2312" w:cs="仿宋_GB2312"/>
                <w:color w:val="000000" w:themeColor="text1"/>
                <w:sz w:val="13"/>
                <w:szCs w:val="13"/>
                <w:highlight w:val="none"/>
                <w:lang w:eastAsia="zh-CN"/>
              </w:rPr>
              <w:t>。</w:t>
            </w:r>
          </w:p>
          <w:p>
            <w:pPr>
              <w:pStyle w:val="2"/>
              <w:rPr>
                <w:rFonts w:hint="eastAsia"/>
                <w:highlight w:val="none"/>
              </w:rPr>
            </w:pPr>
          </w:p>
        </w:tc>
      </w:tr>
    </w:tbl>
    <w:p>
      <w:pPr>
        <w:pStyle w:val="2"/>
        <w:ind w:left="0" w:leftChars="0" w:firstLine="0" w:firstLineChars="0"/>
        <w:rPr>
          <w:rFonts w:hint="eastAsia" w:ascii="宋体" w:hAnsi="宋体" w:cs="宋体"/>
          <w:b/>
          <w:bCs/>
          <w:color w:val="000000" w:themeColor="text1"/>
          <w:sz w:val="24"/>
          <w:szCs w:val="24"/>
          <w:highlight w:val="none"/>
          <w:lang w:val="en-US" w:eastAsia="zh-CN"/>
        </w:rPr>
      </w:pPr>
    </w:p>
    <w:p>
      <w:pPr>
        <w:pStyle w:val="2"/>
        <w:ind w:left="0" w:leftChars="0" w:firstLine="0" w:firstLineChars="0"/>
        <w:rPr>
          <w:rFonts w:hint="eastAsia" w:ascii="宋体" w:hAnsi="宋体" w:cs="宋体"/>
          <w:b/>
          <w:bCs/>
          <w:color w:val="000000" w:themeColor="text1"/>
          <w:sz w:val="24"/>
          <w:szCs w:val="24"/>
          <w:highlight w:val="none"/>
          <w:lang w:val="en-US" w:eastAsia="zh-CN"/>
        </w:rPr>
      </w:pPr>
    </w:p>
    <w:tbl>
      <w:tblPr>
        <w:tblStyle w:val="23"/>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highlight w:val="none"/>
                <w:u w:val="none"/>
              </w:rPr>
            </w:pPr>
            <w:r>
              <w:rPr>
                <w:rFonts w:hint="eastAsia" w:ascii="等线" w:hAnsi="等线" w:eastAsia="等线" w:cs="等线"/>
                <w:b/>
                <w:i w:val="0"/>
                <w:color w:val="000000"/>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1.发生事故或事件隐瞒不报的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5.未及时处理导致事故扩大的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缺资料扣3～5分/项；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施工点介绍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缺施工方案扣4～8分/项；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5.应急预案，内容至少包括：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现场情况介绍</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风险评估</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应急流程</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应急物资清单</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缺应急预案扣4～8分/项；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安全责任人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缺安全架构扣5～10分/项；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7.施工人员花名册，人员应包含：</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一般施工人员</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缺花名册扣3～5分/项；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1.施工现场未开展有效围蔽</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highlight w:val="none"/>
                <w:u w:val="none"/>
              </w:rPr>
            </w:pPr>
            <w:r>
              <w:rPr>
                <w:rFonts w:hint="eastAsia" w:ascii="等线" w:hAnsi="等线" w:eastAsia="等线" w:cs="等线"/>
                <w:i w:val="0"/>
                <w:color w:val="000000"/>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highlight w:val="none"/>
                <w:u w:val="none"/>
                <w:lang w:val="en-US" w:eastAsia="zh-CN" w:bidi="ar"/>
              </w:rPr>
              <w:br w:type="textWrapping"/>
            </w:r>
            <w:r>
              <w:rPr>
                <w:rFonts w:hint="eastAsia" w:ascii="仿宋_GB2312" w:hAnsi="等线" w:eastAsia="仿宋_GB2312" w:cs="仿宋_GB2312"/>
                <w:i w:val="0"/>
                <w:color w:val="000000"/>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highlight w:val="none"/>
                <w:u w:val="none"/>
              </w:rPr>
            </w:pPr>
            <w:r>
              <w:rPr>
                <w:rFonts w:hint="eastAsia" w:ascii="仿宋_GB2312" w:hAnsi="等线" w:eastAsia="仿宋_GB2312" w:cs="仿宋_GB2312"/>
                <w:i w:val="0"/>
                <w:color w:val="000000"/>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highlight w:val="none"/>
                <w:u w:val="none"/>
              </w:rPr>
            </w:pPr>
          </w:p>
        </w:tc>
      </w:tr>
    </w:tbl>
    <w:p>
      <w:pPr>
        <w:pStyle w:val="4"/>
        <w:jc w:val="both"/>
        <w:rPr>
          <w:rFonts w:hint="eastAsia"/>
          <w:color w:val="auto"/>
          <w:highlight w:val="none"/>
        </w:rPr>
      </w:pPr>
    </w:p>
    <w:p>
      <w:pPr>
        <w:pStyle w:val="4"/>
        <w:rPr>
          <w:highlight w:val="none"/>
        </w:rPr>
      </w:pPr>
      <w:r>
        <w:rPr>
          <w:highlight w:val="none"/>
        </w:rPr>
        <w:pict>
          <v:shape id="_x0000_s2077" o:spid="_x0000_s2077" o:spt="32" type="#_x0000_t32" style="position:absolute;left:0pt;margin-left:183.8pt;margin-top:37.95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path arrowok="t"/>
            <v:fill on="f" focussize="0,0"/>
            <v:stroke color="#000000" joinstyle="round"/>
            <v:imagedata o:title=""/>
            <o:lock v:ext="edit" aspectratio="f"/>
          </v:shape>
        </w:pict>
      </w:r>
      <w:r>
        <w:rPr>
          <w:highlight w:val="none"/>
        </w:rPr>
        <w:pict>
          <v:shape id="_x0000_s2076" o:spid="_x0000_s2076" o:spt="32" type="#_x0000_t32" style="position:absolute;left:0pt;margin-left:182.35pt;margin-top:6.85pt;height:0pt;width:75.5pt;z-index:25167667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path arrowok="t"/>
            <v:fill on="f" focussize="0,0"/>
            <v:stroke color="#000000" joinstyle="round"/>
            <v:imagedata o:title=""/>
            <o:lock v:ext="edit" aspectratio="f"/>
          </v:shape>
        </w:pict>
      </w:r>
      <w:r>
        <w:rPr>
          <w:rFonts w:hint="eastAsia"/>
          <w:highlight w:val="none"/>
        </w:rPr>
        <w:t>第七章</w:t>
      </w:r>
    </w:p>
    <w:p>
      <w:pPr>
        <w:pStyle w:val="36"/>
        <w:rPr>
          <w:highlight w:val="none"/>
        </w:rPr>
      </w:pPr>
    </w:p>
    <w:p>
      <w:pPr>
        <w:pStyle w:val="4"/>
        <w:rPr>
          <w:highlight w:val="none"/>
        </w:rPr>
      </w:pPr>
      <w:r>
        <w:rPr>
          <w:rFonts w:hint="eastAsia"/>
          <w:highlight w:val="none"/>
        </w:rPr>
        <w:t>响应文件</w:t>
      </w:r>
      <w:r>
        <w:rPr>
          <w:rFonts w:hint="eastAsia"/>
          <w:highlight w:val="none"/>
          <w:lang w:val="en-US" w:eastAsia="zh-CN"/>
        </w:rPr>
        <w:t>格式要求</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sz w:val="30"/>
          <w:szCs w:val="30"/>
          <w:highlight w:val="none"/>
        </w:rPr>
      </w:pP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bookmarkEnd w:id="85"/>
    <w:bookmarkEnd w:id="86"/>
    <w:bookmarkEnd w:id="87"/>
    <w:bookmarkEnd w:id="88"/>
    <w:bookmarkEnd w:id="89"/>
    <w:bookmarkEnd w:id="90"/>
    <w:bookmarkEnd w:id="91"/>
    <w:bookmarkEnd w:id="92"/>
    <w:bookmarkEnd w:id="93"/>
    <w:bookmarkEnd w:id="94"/>
    <w:bookmarkEnd w:id="95"/>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7616389"/>
      <w:bookmarkStart w:id="128" w:name="_Toc88209952"/>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7616390"/>
      <w:bookmarkStart w:id="130" w:name="_Toc88209953"/>
      <w:r>
        <w:rPr>
          <w:rFonts w:hint="eastAsia" w:ascii="仿宋_GB2312" w:eastAsia="仿宋_GB2312"/>
          <w:color w:val="auto"/>
          <w:sz w:val="28"/>
          <w:szCs w:val="28"/>
          <w:highlight w:val="none"/>
        </w:rPr>
        <w:t>2.法定代表人证明或授权委托书</w:t>
      </w:r>
      <w:bookmarkEnd w:id="129"/>
      <w:bookmarkEnd w:id="130"/>
      <w:bookmarkStart w:id="131" w:name="_Toc88209956"/>
      <w:bookmarkStart w:id="13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3" w:name="_Toc12665"/>
      <w:bookmarkStart w:id="134" w:name="_Toc28619645"/>
      <w:bookmarkStart w:id="135" w:name="_Toc87616394"/>
      <w:bookmarkStart w:id="136" w:name="_Toc6313"/>
      <w:bookmarkStart w:id="137" w:name="_Toc88209957"/>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7616395"/>
      <w:bookmarkStart w:id="139" w:name="_Toc88209958"/>
      <w:bookmarkStart w:id="140" w:name="_Toc29833"/>
      <w:bookmarkStart w:id="141"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643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7456;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2" w:name="_Toc8086"/>
      <w:bookmarkStart w:id="143" w:name="_Toc87616400"/>
      <w:bookmarkStart w:id="144" w:name="_Toc19830"/>
      <w:bookmarkStart w:id="145"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7" w:name="_Toc19423"/>
      <w:bookmarkStart w:id="148"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p>
    <w:tbl>
      <w:tblPr>
        <w:tblStyle w:val="23"/>
        <w:tblpPr w:leftFromText="180" w:rightFromText="180" w:vertAnchor="text" w:horzAnchor="page" w:tblpX="580" w:tblpY="579"/>
        <w:tblOverlap w:val="never"/>
        <w:tblW w:w="100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1337"/>
        <w:gridCol w:w="1838"/>
        <w:gridCol w:w="1494"/>
        <w:gridCol w:w="1760"/>
        <w:gridCol w:w="1096"/>
        <w:gridCol w:w="952"/>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013"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健康城分公司2022年柴油发电机维保服务项目报价表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项目名称描述</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主要参数</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单价含税（元）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总价含税（元）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49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南通柴油机TCR1000</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49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49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美国水箱宝</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49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发动机润滑油</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49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启动电机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现场更换</w:t>
            </w:r>
          </w:p>
        </w:tc>
        <w:tc>
          <w:tcPr>
            <w:tcW w:w="149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启动电机维修</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旧启动电机维修作备件</w:t>
            </w:r>
          </w:p>
        </w:tc>
        <w:tc>
          <w:tcPr>
            <w:tcW w:w="149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3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月度巡检</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1、检查蓄电池充电器、电接头、电解液、润滑油、冷却液等检查；</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2、对风扇皮带、连接软管、卡箍检查及调整；水箱散热器、发动机机身清洁除尘；</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3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3、记录发电机运行情况排除非正常运行因素等</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每月1次，共12月</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应急抢修</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抢修人员在2小时内到达现场进行故障抢修</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服务期内不限次数</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柴油发电机动力柴油</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分批送达现场并添加</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国标0#柴油</w:t>
            </w: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配件及运输交通</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技术服务</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4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   元含税（ %）：</w:t>
            </w:r>
          </w:p>
        </w:tc>
        <w:tc>
          <w:tcPr>
            <w:tcW w:w="812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49" w:name="_Toc87616402"/>
      <w:bookmarkStart w:id="150" w:name="_Toc16386"/>
      <w:bookmarkStart w:id="151" w:name="_Toc88209965"/>
      <w:bookmarkStart w:id="152"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VlYjAxMWRhOWJkMjc3ZjdhNDJhODkwNDAxMWRiMTMifQ=="/>
  </w:docVars>
  <w:rsids>
    <w:rsidRoot w:val="005D618A"/>
    <w:rsid w:val="003D60BA"/>
    <w:rsid w:val="00411689"/>
    <w:rsid w:val="005D618A"/>
    <w:rsid w:val="00911ECD"/>
    <w:rsid w:val="00A042E0"/>
    <w:rsid w:val="00B26BB1"/>
    <w:rsid w:val="00B26E21"/>
    <w:rsid w:val="00F83B64"/>
    <w:rsid w:val="013E3461"/>
    <w:rsid w:val="02090C75"/>
    <w:rsid w:val="02374FB2"/>
    <w:rsid w:val="02A23A3C"/>
    <w:rsid w:val="035D130A"/>
    <w:rsid w:val="039110A9"/>
    <w:rsid w:val="03AC246A"/>
    <w:rsid w:val="03B23056"/>
    <w:rsid w:val="03DC3EBA"/>
    <w:rsid w:val="03F9794D"/>
    <w:rsid w:val="046A2461"/>
    <w:rsid w:val="04794AEB"/>
    <w:rsid w:val="051C2970"/>
    <w:rsid w:val="060C3611"/>
    <w:rsid w:val="06C64829"/>
    <w:rsid w:val="06E13A83"/>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175D97"/>
    <w:rsid w:val="0D794204"/>
    <w:rsid w:val="0E2125D1"/>
    <w:rsid w:val="0E214211"/>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3C75DA5"/>
    <w:rsid w:val="145F08C6"/>
    <w:rsid w:val="15776308"/>
    <w:rsid w:val="15BC6B3C"/>
    <w:rsid w:val="164D40B0"/>
    <w:rsid w:val="1694429A"/>
    <w:rsid w:val="172F3E74"/>
    <w:rsid w:val="17635326"/>
    <w:rsid w:val="18236EFD"/>
    <w:rsid w:val="18686C29"/>
    <w:rsid w:val="189D5B1F"/>
    <w:rsid w:val="18A34CD0"/>
    <w:rsid w:val="18E57275"/>
    <w:rsid w:val="19A53EA8"/>
    <w:rsid w:val="19B64DBC"/>
    <w:rsid w:val="1A373ACF"/>
    <w:rsid w:val="1A895341"/>
    <w:rsid w:val="1B0D071F"/>
    <w:rsid w:val="1B4568CE"/>
    <w:rsid w:val="1B9015B7"/>
    <w:rsid w:val="1BF54245"/>
    <w:rsid w:val="1C8E15E2"/>
    <w:rsid w:val="1D0E6976"/>
    <w:rsid w:val="1D5A79EE"/>
    <w:rsid w:val="1E0E2CD0"/>
    <w:rsid w:val="1E831280"/>
    <w:rsid w:val="1EBC4704"/>
    <w:rsid w:val="1F172EB5"/>
    <w:rsid w:val="1F94592D"/>
    <w:rsid w:val="1FB860DE"/>
    <w:rsid w:val="203C5A02"/>
    <w:rsid w:val="209D4C94"/>
    <w:rsid w:val="20E84705"/>
    <w:rsid w:val="215610CB"/>
    <w:rsid w:val="218400BA"/>
    <w:rsid w:val="21AB1E2F"/>
    <w:rsid w:val="21D40498"/>
    <w:rsid w:val="22767047"/>
    <w:rsid w:val="23A05588"/>
    <w:rsid w:val="240476A1"/>
    <w:rsid w:val="25431AEB"/>
    <w:rsid w:val="25BF43FD"/>
    <w:rsid w:val="25F86BCD"/>
    <w:rsid w:val="2605748B"/>
    <w:rsid w:val="269E416A"/>
    <w:rsid w:val="272100D3"/>
    <w:rsid w:val="272C72FC"/>
    <w:rsid w:val="275131CB"/>
    <w:rsid w:val="27EB149D"/>
    <w:rsid w:val="27F26EFD"/>
    <w:rsid w:val="27FD3E52"/>
    <w:rsid w:val="28E11370"/>
    <w:rsid w:val="294A756A"/>
    <w:rsid w:val="29781BF8"/>
    <w:rsid w:val="29C33ED0"/>
    <w:rsid w:val="29D5322D"/>
    <w:rsid w:val="2A025DD9"/>
    <w:rsid w:val="2A2619CB"/>
    <w:rsid w:val="2A7C2231"/>
    <w:rsid w:val="2ABB753D"/>
    <w:rsid w:val="2B7A49FA"/>
    <w:rsid w:val="2BB54947"/>
    <w:rsid w:val="2C615D26"/>
    <w:rsid w:val="2CB679ED"/>
    <w:rsid w:val="2CCF7C53"/>
    <w:rsid w:val="2D173C07"/>
    <w:rsid w:val="2D424A86"/>
    <w:rsid w:val="2D5D7769"/>
    <w:rsid w:val="2E7B52DB"/>
    <w:rsid w:val="2F324CFE"/>
    <w:rsid w:val="2FBA09F1"/>
    <w:rsid w:val="2FEF2ACF"/>
    <w:rsid w:val="30540211"/>
    <w:rsid w:val="31112A0D"/>
    <w:rsid w:val="311F4B20"/>
    <w:rsid w:val="312D7741"/>
    <w:rsid w:val="31696AEF"/>
    <w:rsid w:val="316F137F"/>
    <w:rsid w:val="31DF525F"/>
    <w:rsid w:val="31EC162B"/>
    <w:rsid w:val="32324C2E"/>
    <w:rsid w:val="327171DF"/>
    <w:rsid w:val="341E3434"/>
    <w:rsid w:val="34BB4442"/>
    <w:rsid w:val="360B7EBA"/>
    <w:rsid w:val="361760BF"/>
    <w:rsid w:val="369C32FD"/>
    <w:rsid w:val="3743002A"/>
    <w:rsid w:val="37666E72"/>
    <w:rsid w:val="38081EA3"/>
    <w:rsid w:val="38167A04"/>
    <w:rsid w:val="390C6CD8"/>
    <w:rsid w:val="394B167A"/>
    <w:rsid w:val="39DA2868"/>
    <w:rsid w:val="3A4E4336"/>
    <w:rsid w:val="3A6007FE"/>
    <w:rsid w:val="3AF93D6C"/>
    <w:rsid w:val="3B7C2CE4"/>
    <w:rsid w:val="3BAF716B"/>
    <w:rsid w:val="3C0B5355"/>
    <w:rsid w:val="3C350749"/>
    <w:rsid w:val="3C605640"/>
    <w:rsid w:val="3CD4176B"/>
    <w:rsid w:val="3D1F44D9"/>
    <w:rsid w:val="3D5C38CD"/>
    <w:rsid w:val="3E5070F1"/>
    <w:rsid w:val="3F6C3589"/>
    <w:rsid w:val="3F850180"/>
    <w:rsid w:val="3F9004D6"/>
    <w:rsid w:val="400E4D5E"/>
    <w:rsid w:val="40E1138C"/>
    <w:rsid w:val="413814BA"/>
    <w:rsid w:val="41872511"/>
    <w:rsid w:val="424236D9"/>
    <w:rsid w:val="42466655"/>
    <w:rsid w:val="42C82F57"/>
    <w:rsid w:val="435707E5"/>
    <w:rsid w:val="43C76AF7"/>
    <w:rsid w:val="446828F0"/>
    <w:rsid w:val="45093E85"/>
    <w:rsid w:val="45C13B4D"/>
    <w:rsid w:val="46054BCA"/>
    <w:rsid w:val="464C6AFC"/>
    <w:rsid w:val="468B0091"/>
    <w:rsid w:val="46A107C3"/>
    <w:rsid w:val="46B15CE2"/>
    <w:rsid w:val="46BE113D"/>
    <w:rsid w:val="46E44B13"/>
    <w:rsid w:val="4703508A"/>
    <w:rsid w:val="475023F8"/>
    <w:rsid w:val="479D361E"/>
    <w:rsid w:val="47B141B1"/>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D916BA6"/>
    <w:rsid w:val="4DC44169"/>
    <w:rsid w:val="4DE24E21"/>
    <w:rsid w:val="4E1B19A3"/>
    <w:rsid w:val="4EF0709E"/>
    <w:rsid w:val="4F0469A4"/>
    <w:rsid w:val="513C6A7B"/>
    <w:rsid w:val="51911ABC"/>
    <w:rsid w:val="53040ABD"/>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8A6766"/>
    <w:rsid w:val="5AE83A50"/>
    <w:rsid w:val="5B353193"/>
    <w:rsid w:val="5BAB2917"/>
    <w:rsid w:val="5BFC33FA"/>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1DE0D97"/>
    <w:rsid w:val="62280D20"/>
    <w:rsid w:val="62CA2457"/>
    <w:rsid w:val="638240A1"/>
    <w:rsid w:val="63833423"/>
    <w:rsid w:val="63A5257B"/>
    <w:rsid w:val="63BD3DCC"/>
    <w:rsid w:val="63C61741"/>
    <w:rsid w:val="640F65F5"/>
    <w:rsid w:val="64560967"/>
    <w:rsid w:val="656B1D10"/>
    <w:rsid w:val="65B841F9"/>
    <w:rsid w:val="66022B28"/>
    <w:rsid w:val="664A38E2"/>
    <w:rsid w:val="66581E87"/>
    <w:rsid w:val="66FA11D5"/>
    <w:rsid w:val="674302C7"/>
    <w:rsid w:val="680A5986"/>
    <w:rsid w:val="680D5F4B"/>
    <w:rsid w:val="68113F51"/>
    <w:rsid w:val="68E94770"/>
    <w:rsid w:val="68F949C9"/>
    <w:rsid w:val="693749A8"/>
    <w:rsid w:val="695A4290"/>
    <w:rsid w:val="69A31286"/>
    <w:rsid w:val="6A334932"/>
    <w:rsid w:val="6A3353FF"/>
    <w:rsid w:val="6A5D63E6"/>
    <w:rsid w:val="6A5F24D1"/>
    <w:rsid w:val="6AE347EB"/>
    <w:rsid w:val="6B0D086A"/>
    <w:rsid w:val="6B434AF0"/>
    <w:rsid w:val="6B57675A"/>
    <w:rsid w:val="6BDD7B4D"/>
    <w:rsid w:val="6C5E04F2"/>
    <w:rsid w:val="6EBC0B3A"/>
    <w:rsid w:val="6EF51C7D"/>
    <w:rsid w:val="6F8363E5"/>
    <w:rsid w:val="6FAC3CC5"/>
    <w:rsid w:val="6FC746F5"/>
    <w:rsid w:val="70276B9E"/>
    <w:rsid w:val="70317AC6"/>
    <w:rsid w:val="704B26F7"/>
    <w:rsid w:val="70863262"/>
    <w:rsid w:val="70A76ED3"/>
    <w:rsid w:val="71860B17"/>
    <w:rsid w:val="719D7A69"/>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AE15A5C"/>
    <w:rsid w:val="7AF37579"/>
    <w:rsid w:val="7AF87F64"/>
    <w:rsid w:val="7B1C0C84"/>
    <w:rsid w:val="7B5A62DF"/>
    <w:rsid w:val="7B7A04A8"/>
    <w:rsid w:val="7B8907ED"/>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64"/>
        <o:r id="V:Rule6" type="connector" idref="#_x0000_s2065"/>
        <o:r id="V:Rule7" type="connector" idref="#_x0000_s2066"/>
        <o:r id="V:Rule8" type="connector" idref="#_x0000_s2067"/>
        <o:r id="V:Rule9" type="connector" idref="#_x0000_s2072"/>
        <o:r id="V:Rule10" type="connector" idref="#_x0000_s2073"/>
        <o:r id="V:Rule11" type="connector" idref="#_x0000_s2074"/>
        <o:r id="V:Rule12" type="connector" idref="#_x0000_s2075"/>
        <o:r id="V:Rule13" type="connector" idref="#_x0000_s2076"/>
        <o:r id="V:Rule14" type="connector" idref="#_x0000_s207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5"/>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74"/>
    <customShpInfo spid="_x0000_s2075"/>
    <customShpInfo spid="_x0000_s2077"/>
    <customShpInfo spid="_x0000_s2076"/>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30066</Words>
  <Characters>31565</Characters>
  <Lines>300</Lines>
  <Paragraphs>84</Paragraphs>
  <TotalTime>66</TotalTime>
  <ScaleCrop>false</ScaleCrop>
  <LinksUpToDate>false</LinksUpToDate>
  <CharactersWithSpaces>34284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2022-06-17T06:36:00Z</cp:lastPrinted>
  <dcterms:modified xsi:type="dcterms:W3CDTF">2022-06-22T08:49:54Z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3927FF0156CD49BAB900188957443792</vt:lpwstr>
  </property>
</Properties>
</file>