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default" w:ascii="方正小标宋简体" w:eastAsia="方正小标宋简体"/>
          <w:b/>
          <w:bCs/>
          <w:sz w:val="52"/>
          <w:szCs w:val="52"/>
          <w:lang w:val="en-US" w:eastAsia="zh-CN"/>
        </w:rPr>
      </w:pPr>
      <w:r>
        <w:rPr>
          <w:rFonts w:hint="eastAsia" w:ascii="方正小标宋简体" w:eastAsia="方正小标宋简体"/>
          <w:b/>
          <w:bCs/>
          <w:sz w:val="52"/>
          <w:szCs w:val="52"/>
          <w:lang w:val="en-US" w:eastAsia="zh-CN"/>
        </w:rPr>
        <w:t>广州市净水有限公司在线监测数据智慧管理系统项目</w:t>
      </w:r>
    </w:p>
    <w:p>
      <w:pPr>
        <w:jc w:val="center"/>
        <w:rPr>
          <w:rFonts w:ascii="方正小标宋简体" w:eastAsia="方正小标宋简体"/>
          <w:sz w:val="52"/>
          <w:szCs w:val="52"/>
        </w:rPr>
      </w:pPr>
      <w:r>
        <w:rPr>
          <w:rFonts w:hint="eastAsia" w:ascii="方正小标宋简体" w:eastAsia="方正小标宋简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4"/>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696"/>
      <w:bookmarkStart w:id="3" w:name="_Toc1711"/>
    </w:p>
    <w:p>
      <w:pPr>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4"/>
        <w:rPr>
          <w:rFonts w:hint="eastAsia"/>
        </w:rPr>
      </w:pPr>
      <w:bookmarkStart w:id="4" w:name="_Toc17801"/>
      <w:bookmarkStart w:id="5" w:name="_Toc1669"/>
      <w:bookmarkStart w:id="6" w:name="_Toc4275"/>
      <w:bookmarkStart w:id="7" w:name="_Toc7519"/>
      <w:bookmarkStart w:id="8" w:name="_Toc19609"/>
      <w:bookmarkStart w:id="9" w:name="_Toc31938"/>
      <w:bookmarkStart w:id="10" w:name="_Toc11322"/>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4"/>
      </w:pPr>
      <w:bookmarkStart w:id="11" w:name="_Toc30989"/>
      <w:bookmarkStart w:id="12" w:name="_Toc5230"/>
      <w:bookmarkStart w:id="13" w:name="_Toc999"/>
      <w:bookmarkStart w:id="14" w:name="_Toc10122"/>
      <w:bookmarkStart w:id="15" w:name="_Toc2659"/>
      <w:bookmarkStart w:id="16" w:name="_Toc15709"/>
      <w:bookmarkStart w:id="17" w:name="_Toc30131"/>
      <w:bookmarkStart w:id="18" w:name="_Toc88209924"/>
      <w:bookmarkStart w:id="19" w:name="_Toc26363"/>
      <w:bookmarkStart w:id="20" w:name="_Toc8201"/>
      <w:bookmarkStart w:id="21" w:name="_Toc28995"/>
      <w:bookmarkStart w:id="22" w:name="_Toc14238"/>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rPr>
          <w:rFonts w:hint="eastAsia" w:ascii="仿宋" w:hAnsi="仿宋" w:eastAsia="仿宋" w:cs="仿宋"/>
        </w:rPr>
      </w:pPr>
      <w:bookmarkStart w:id="23" w:name="_Toc9680"/>
      <w:bookmarkStart w:id="24" w:name="_Toc21373"/>
      <w:r>
        <w:rPr>
          <w:rFonts w:hint="eastAsia" w:ascii="仿宋" w:hAnsi="仿宋" w:eastAsia="仿宋" w:cs="仿宋"/>
        </w:rPr>
        <w:t>广州市净水有限公司在线监测数据智慧管理系统</w:t>
      </w:r>
    </w:p>
    <w:p>
      <w:pPr>
        <w:pStyle w:val="5"/>
        <w:spacing w:line="600" w:lineRule="exact"/>
        <w:rPr>
          <w:rFonts w:hint="eastAsia" w:ascii="仿宋" w:hAnsi="仿宋" w:eastAsia="仿宋" w:cs="仿宋"/>
        </w:rPr>
      </w:pPr>
      <w:r>
        <w:rPr>
          <w:rFonts w:hint="eastAsia" w:ascii="仿宋" w:hAnsi="仿宋" w:eastAsia="仿宋" w:cs="仿宋"/>
        </w:rPr>
        <w:t>项目采购公告</w:t>
      </w:r>
      <w:bookmarkEnd w:id="23"/>
      <w:bookmarkEnd w:id="24"/>
    </w:p>
    <w:p>
      <w:pPr>
        <w:pStyle w:val="5"/>
        <w:spacing w:line="600" w:lineRule="exact"/>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广州市净水有限公司在线监测数据智慧管理系统项目  </w:t>
      </w:r>
      <w:r>
        <w:rPr>
          <w:rFonts w:hint="eastAsia" w:ascii="仿宋" w:hAnsi="仿宋" w:eastAsia="仿宋" w:cs="仿宋"/>
          <w:sz w:val="28"/>
          <w:szCs w:val="28"/>
        </w:rPr>
        <w:t xml:space="preserve">已具备采购条件，现对该□施工  </w:t>
      </w:r>
      <w:r>
        <w:rPr>
          <w:rFonts w:hint="eastAsia" w:ascii="仿宋" w:hAnsi="仿宋" w:eastAsia="仿宋" w:cs="仿宋"/>
          <w:sz w:val="28"/>
          <w:szCs w:val="28"/>
          <w:lang w:eastAsia="zh-CN"/>
        </w:rPr>
        <w:t>☑</w:t>
      </w:r>
      <w:r>
        <w:rPr>
          <w:rFonts w:hint="eastAsia" w:ascii="仿宋" w:hAnsi="仿宋" w:eastAsia="仿宋" w:cs="仿宋"/>
          <w:sz w:val="28"/>
          <w:szCs w:val="28"/>
        </w:rPr>
        <w:t>货物 □服务项目实施公开采购活动，采用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lang w:val="en-US" w:eastAsia="zh-CN"/>
        </w:rPr>
        <w:t>邀请</w:t>
      </w:r>
      <w:r>
        <w:rPr>
          <w:rFonts w:hint="eastAsia" w:ascii="仿宋" w:hAnsi="仿宋" w:eastAsia="仿宋" w:cs="仿宋"/>
          <w:sz w:val="28"/>
          <w:szCs w:val="28"/>
          <w:u w:val="single"/>
        </w:rPr>
        <w:t>询比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sym w:font="Wingdings 2" w:char="0052"/>
      </w:r>
      <w:r>
        <w:rPr>
          <w:rFonts w:hint="eastAsia" w:ascii="仿宋" w:hAnsi="仿宋" w:eastAsia="仿宋" w:cs="仿宋"/>
          <w:sz w:val="28"/>
          <w:szCs w:val="28"/>
          <w:u w:val="single"/>
          <w:lang w:val="en-US" w:eastAsia="zh-CN"/>
        </w:rPr>
        <w:t>公开询比</w:t>
      </w:r>
      <w:r>
        <w:rPr>
          <w:rFonts w:hint="eastAsia" w:ascii="仿宋" w:hAnsi="仿宋" w:eastAsia="仿宋" w:cs="仿宋"/>
          <w:sz w:val="28"/>
          <w:szCs w:val="28"/>
        </w:rPr>
        <w:t>方式公开邀请合格供应商参加本项目采购竞争。</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1.采购项目简介</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广州市净水有限公司在线监测数据智慧管理系统项目                                               </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1.2项目编号：</w:t>
      </w:r>
      <w:r>
        <w:rPr>
          <w:rFonts w:hint="eastAsia" w:ascii="仿宋" w:hAnsi="仿宋" w:eastAsia="仿宋" w:cs="仿宋"/>
          <w:sz w:val="28"/>
          <w:szCs w:val="28"/>
          <w:lang w:val="en-US" w:eastAsia="zh-CN"/>
        </w:rPr>
        <w:t>XJ-20220615-1</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资金来源：</w:t>
      </w:r>
      <w:r>
        <w:rPr>
          <w:rFonts w:hint="eastAsia" w:ascii="仿宋" w:hAnsi="仿宋" w:eastAsia="仿宋" w:cs="仿宋"/>
          <w:sz w:val="28"/>
          <w:szCs w:val="28"/>
          <w:u w:val="single"/>
          <w:lang w:val="en-US" w:eastAsia="zh-CN"/>
        </w:rPr>
        <w:t xml:space="preserve">自有资金 </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最高限价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color w:val="auto"/>
          <w:sz w:val="28"/>
          <w:szCs w:val="28"/>
          <w:highlight w:val="none"/>
          <w:u w:val="single"/>
        </w:rPr>
        <w:t>998100</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标段划分：</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无</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2.采购内容和范围</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u w:val="single"/>
          <w:lang w:bidi="ar"/>
        </w:rPr>
      </w:pPr>
      <w:r>
        <w:rPr>
          <w:rFonts w:hint="eastAsia" w:ascii="仿宋" w:hAnsi="仿宋" w:eastAsia="仿宋" w:cs="仿宋"/>
          <w:sz w:val="28"/>
          <w:szCs w:val="28"/>
        </w:rPr>
        <w:t>2.1采购内容和范围：</w:t>
      </w:r>
      <w:r>
        <w:rPr>
          <w:rFonts w:hint="eastAsia" w:ascii="仿宋" w:hAnsi="仿宋" w:eastAsia="仿宋" w:cs="仿宋"/>
          <w:color w:val="auto"/>
          <w:sz w:val="28"/>
          <w:szCs w:val="28"/>
          <w:u w:val="single"/>
        </w:rPr>
        <w:t>本项目为采购和建设在线监测数据智慧管理系统一套，该系统须符合环境保护政策、环境保护信息化标准与软件开发类标准等相关要求，具有对在线监测数据的查询与统计、数据标识及仪器状态读取、报警及预警管理、设备台账管理、异常管理、故障运维提醒、</w:t>
      </w:r>
      <w:r>
        <w:rPr>
          <w:rFonts w:hint="eastAsia" w:ascii="仿宋" w:hAnsi="仿宋" w:eastAsia="仿宋" w:cs="仿宋"/>
          <w:color w:val="auto"/>
          <w:sz w:val="28"/>
          <w:szCs w:val="28"/>
          <w:u w:val="single"/>
          <w:lang w:val="en-US" w:eastAsia="zh-CN"/>
        </w:rPr>
        <w:t>运维日志管理、运维工作质量评价管理、</w:t>
      </w:r>
      <w:r>
        <w:rPr>
          <w:rFonts w:hint="eastAsia" w:ascii="仿宋" w:hAnsi="仿宋" w:eastAsia="仿宋" w:cs="仿宋"/>
          <w:color w:val="auto"/>
          <w:sz w:val="28"/>
          <w:szCs w:val="28"/>
          <w:u w:val="single"/>
        </w:rPr>
        <w:t>大数据分析应用、网页端与移动端应用等智慧管理功能，主要参数详见项目技术要求。</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2.2项目工期：</w:t>
      </w:r>
      <w:r>
        <w:rPr>
          <w:rFonts w:hint="eastAsia" w:ascii="仿宋" w:hAnsi="仿宋" w:eastAsia="仿宋" w:cs="仿宋"/>
          <w:sz w:val="28"/>
          <w:szCs w:val="28"/>
          <w:lang w:eastAsia="zh-CN"/>
        </w:rPr>
        <w:t>☑</w:t>
      </w:r>
      <w:r>
        <w:rPr>
          <w:rFonts w:hint="eastAsia" w:ascii="仿宋" w:hAnsi="仿宋" w:eastAsia="仿宋" w:cs="仿宋"/>
          <w:sz w:val="28"/>
          <w:szCs w:val="28"/>
        </w:rPr>
        <w:t xml:space="preserve">计划工期   □交货期  </w:t>
      </w:r>
      <w:r>
        <w:rPr>
          <w:rFonts w:hint="eastAsia" w:ascii="仿宋" w:hAnsi="仿宋" w:eastAsia="仿宋" w:cs="仿宋"/>
          <w:sz w:val="28"/>
          <w:szCs w:val="28"/>
          <w:lang w:eastAsia="zh-CN"/>
        </w:rPr>
        <w:t>□</w:t>
      </w:r>
      <w:r>
        <w:rPr>
          <w:rFonts w:hint="eastAsia" w:ascii="仿宋" w:hAnsi="仿宋" w:eastAsia="仿宋" w:cs="仿宋"/>
          <w:sz w:val="28"/>
          <w:szCs w:val="28"/>
        </w:rPr>
        <w:t>服务期为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合同签订之日起120天内，完成系统上线，并且完成设备安装、调试和联网完毕，进行系统试运行。自合同签订之日起150天内，系统稳定性、成熟度、安全性满足发包人要求并完成验收。                       </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2.3地点：</w:t>
      </w:r>
      <w:r>
        <w:rPr>
          <w:rFonts w:hint="eastAsia" w:ascii="仿宋" w:hAnsi="仿宋" w:eastAsia="仿宋" w:cs="仿宋"/>
          <w:sz w:val="28"/>
          <w:szCs w:val="28"/>
          <w:lang w:eastAsia="zh-CN"/>
        </w:rPr>
        <w:t>☑</w:t>
      </w:r>
      <w:r>
        <w:rPr>
          <w:rFonts w:hint="eastAsia" w:ascii="仿宋" w:hAnsi="仿宋" w:eastAsia="仿宋" w:cs="仿宋"/>
          <w:sz w:val="28"/>
          <w:szCs w:val="28"/>
        </w:rPr>
        <w:t>建设地点  □交货地点  □服务地点位于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广州市净水有限公司各分公司进出水在线监测站房（含从化区）</w:t>
      </w:r>
      <w:r>
        <w:rPr>
          <w:rFonts w:hint="eastAsia" w:ascii="仿宋" w:hAnsi="仿宋" w:eastAsia="仿宋" w:cs="仿宋"/>
          <w:sz w:val="28"/>
          <w:szCs w:val="28"/>
          <w:u w:val="single"/>
        </w:rPr>
        <w:t xml:space="preserve"> </w:t>
      </w:r>
    </w:p>
    <w:p>
      <w:pPr>
        <w:adjustRightInd w:val="0"/>
        <w:snapToGrid w:val="0"/>
        <w:spacing w:line="600" w:lineRule="exact"/>
        <w:ind w:left="420" w:right="-370"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 xml:space="preserve">2.4质量要求：□施工质量要求   </w:t>
      </w:r>
      <w:r>
        <w:rPr>
          <w:rFonts w:hint="eastAsia" w:ascii="仿宋" w:hAnsi="仿宋" w:eastAsia="仿宋" w:cs="仿宋"/>
          <w:sz w:val="28"/>
          <w:szCs w:val="28"/>
          <w:lang w:eastAsia="zh-CN"/>
        </w:rPr>
        <w:t>☑</w:t>
      </w:r>
      <w:r>
        <w:rPr>
          <w:rFonts w:hint="eastAsia" w:ascii="仿宋" w:hAnsi="仿宋" w:eastAsia="仿宋" w:cs="仿宋"/>
          <w:sz w:val="28"/>
          <w:szCs w:val="28"/>
        </w:rPr>
        <w:t>货物质量标准或主要技术性能指标  □服务质量要求或服务标准如下：</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详见询价文件</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ind w:left="420" w:right="-370"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2.5其他：</w:t>
      </w:r>
      <w:r>
        <w:rPr>
          <w:rFonts w:hint="eastAsia" w:ascii="仿宋" w:hAnsi="仿宋" w:eastAsia="仿宋" w:cs="仿宋"/>
          <w:sz w:val="28"/>
          <w:szCs w:val="28"/>
          <w:lang w:eastAsia="zh-CN"/>
        </w:rPr>
        <w:t>☑</w:t>
      </w:r>
      <w:r>
        <w:rPr>
          <w:rFonts w:hint="eastAsia" w:ascii="仿宋" w:hAnsi="仿宋" w:eastAsia="仿宋" w:cs="仿宋"/>
          <w:sz w:val="28"/>
          <w:szCs w:val="28"/>
        </w:rPr>
        <w:t>安全目标如下：</w:t>
      </w:r>
      <w:r>
        <w:rPr>
          <w:rFonts w:hint="eastAsia" w:ascii="仿宋" w:hAnsi="仿宋" w:eastAsia="仿宋" w:cs="仿宋"/>
          <w:sz w:val="28"/>
          <w:szCs w:val="28"/>
          <w:u w:val="single"/>
        </w:rPr>
        <w:t xml:space="preserve"> 满足国家相关法律、法规、规章等规定，并符合本项目相关质量要求、安全文明施工要求的工程</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b/>
          <w:sz w:val="32"/>
          <w:szCs w:val="32"/>
          <w:lang w:eastAsia="zh-CN"/>
        </w:rPr>
      </w:pPr>
      <w:r>
        <w:rPr>
          <w:rFonts w:hint="eastAsia" w:ascii="仿宋" w:hAnsi="仿宋" w:eastAsia="仿宋" w:cs="仿宋"/>
          <w:b/>
          <w:sz w:val="32"/>
          <w:szCs w:val="32"/>
        </w:rPr>
        <w:t>3.供应商资格要求</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须提供复印件并加盖单位公章</w:t>
      </w:r>
      <w:r>
        <w:rPr>
          <w:rFonts w:hint="eastAsia" w:ascii="仿宋" w:hAnsi="仿宋" w:eastAsia="仿宋" w:cs="仿宋"/>
          <w:b/>
          <w:sz w:val="32"/>
          <w:szCs w:val="32"/>
          <w:lang w:eastAsia="zh-CN"/>
        </w:rPr>
        <w:t>）</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lang w:eastAsia="zh-CN"/>
        </w:rPr>
        <w:sym w:font="Wingdings 2" w:char="00A3"/>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供应商应当具备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资质。</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u w:val="none"/>
          <w:lang w:val="en-US" w:eastAsia="zh-CN"/>
        </w:rPr>
        <w:t>2019</w:t>
      </w:r>
      <w:r>
        <w:rPr>
          <w:rFonts w:hint="eastAsia" w:ascii="仿宋" w:hAnsi="仿宋" w:eastAsia="仿宋" w:cs="仿宋"/>
          <w:sz w:val="28"/>
          <w:szCs w:val="28"/>
          <w:u w:val="none"/>
          <w:lang w:val="en-US" w:eastAsia="zh-CN"/>
        </w:rPr>
        <w:t>年1月1日至今，</w:t>
      </w:r>
      <w:r>
        <w:rPr>
          <w:rFonts w:hint="eastAsia" w:ascii="仿宋" w:hAnsi="仿宋" w:eastAsia="仿宋" w:cs="仿宋"/>
          <w:sz w:val="28"/>
          <w:szCs w:val="28"/>
          <w:u w:val="none"/>
        </w:rPr>
        <w:t>供应商</w:t>
      </w:r>
      <w:r>
        <w:rPr>
          <w:rFonts w:hint="eastAsia" w:ascii="仿宋" w:hAnsi="仿宋" w:eastAsia="仿宋" w:cs="仿宋"/>
          <w:sz w:val="28"/>
          <w:szCs w:val="28"/>
          <w:u w:val="none"/>
          <w:lang w:val="en-US" w:eastAsia="zh-CN"/>
        </w:rPr>
        <w:t>最少</w:t>
      </w:r>
      <w:r>
        <w:rPr>
          <w:rFonts w:hint="eastAsia" w:ascii="仿宋" w:hAnsi="仿宋" w:eastAsia="仿宋" w:cs="仿宋"/>
          <w:sz w:val="28"/>
          <w:szCs w:val="28"/>
          <w:u w:val="none"/>
        </w:rPr>
        <w:t>具有</w:t>
      </w:r>
      <w:r>
        <w:rPr>
          <w:rFonts w:hint="eastAsia" w:ascii="仿宋" w:hAnsi="仿宋" w:eastAsia="仿宋" w:cs="仿宋"/>
          <w:sz w:val="28"/>
          <w:szCs w:val="28"/>
          <w:u w:val="none"/>
          <w:lang w:val="en-US" w:eastAsia="zh-CN"/>
        </w:rPr>
        <w:t>一项</w:t>
      </w:r>
      <w:r>
        <w:rPr>
          <w:rFonts w:hint="eastAsia" w:ascii="仿宋" w:hAnsi="仿宋" w:eastAsia="仿宋" w:cs="仿宋"/>
          <w:color w:val="auto"/>
          <w:sz w:val="28"/>
          <w:szCs w:val="28"/>
          <w:u w:val="none"/>
        </w:rPr>
        <w:t>单项合同金额不少于</w:t>
      </w:r>
      <w:r>
        <w:rPr>
          <w:rFonts w:hint="eastAsia" w:ascii="仿宋" w:hAnsi="仿宋" w:eastAsia="仿宋" w:cs="仿宋"/>
          <w:color w:val="auto"/>
          <w:sz w:val="28"/>
          <w:szCs w:val="28"/>
          <w:u w:val="none"/>
          <w:lang w:val="en-US" w:eastAsia="zh-CN"/>
        </w:rPr>
        <w:t>65</w:t>
      </w:r>
      <w:r>
        <w:rPr>
          <w:rFonts w:hint="eastAsia" w:ascii="仿宋" w:hAnsi="仿宋" w:eastAsia="仿宋" w:cs="仿宋"/>
          <w:color w:val="auto"/>
          <w:sz w:val="28"/>
          <w:szCs w:val="28"/>
          <w:u w:val="none"/>
        </w:rPr>
        <w:t>万元</w:t>
      </w:r>
      <w:r>
        <w:rPr>
          <w:rFonts w:hint="eastAsia" w:ascii="仿宋" w:hAnsi="仿宋" w:eastAsia="仿宋" w:cs="仿宋"/>
          <w:color w:val="auto"/>
          <w:sz w:val="28"/>
          <w:szCs w:val="28"/>
          <w:u w:val="none"/>
          <w:lang w:val="en-US" w:eastAsia="zh-CN"/>
        </w:rPr>
        <w:t>在线监测系统</w:t>
      </w:r>
      <w:r>
        <w:rPr>
          <w:rFonts w:hint="eastAsia" w:ascii="仿宋" w:hAnsi="仿宋" w:eastAsia="仿宋" w:cs="仿宋"/>
          <w:color w:val="auto"/>
          <w:sz w:val="28"/>
          <w:szCs w:val="28"/>
          <w:u w:val="none"/>
        </w:rPr>
        <w:t>平台建设</w:t>
      </w:r>
      <w:r>
        <w:rPr>
          <w:rFonts w:hint="eastAsia" w:ascii="仿宋" w:hAnsi="仿宋" w:eastAsia="仿宋" w:cs="仿宋"/>
          <w:color w:val="auto"/>
          <w:sz w:val="28"/>
          <w:szCs w:val="28"/>
          <w:u w:val="none"/>
          <w:lang w:val="en-US" w:eastAsia="zh-CN"/>
        </w:rPr>
        <w:t>或运维项目</w:t>
      </w:r>
      <w:r>
        <w:rPr>
          <w:rFonts w:hint="eastAsia" w:ascii="仿宋" w:hAnsi="仿宋" w:eastAsia="仿宋" w:cs="仿宋"/>
          <w:sz w:val="28"/>
          <w:szCs w:val="28"/>
        </w:rPr>
        <w:t>业绩。（提供合同复印件证明，包括但不限于项目名称、金额及实施内容、合同签字盖章、签订日期，加盖单位公章）</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）项目负责人应当具备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环境类或计算机信息软件类高级工程师</w:t>
      </w:r>
      <w:r>
        <w:rPr>
          <w:rFonts w:hint="eastAsia" w:ascii="仿宋" w:hAnsi="仿宋" w:eastAsia="仿宋" w:cs="仿宋"/>
          <w:sz w:val="28"/>
          <w:szCs w:val="28"/>
          <w:u w:val="single"/>
        </w:rPr>
        <w:t xml:space="preserve">                             </w:t>
      </w:r>
      <w:r>
        <w:rPr>
          <w:rFonts w:hint="eastAsia" w:ascii="仿宋" w:hAnsi="仿宋" w:eastAsia="仿宋" w:cs="仿宋"/>
          <w:sz w:val="28"/>
          <w:szCs w:val="28"/>
        </w:rPr>
        <w:t>资格条件。</w:t>
      </w:r>
    </w:p>
    <w:p>
      <w:pPr>
        <w:pStyle w:val="22"/>
        <w:adjustRightInd w:val="0"/>
        <w:snapToGrid w:val="0"/>
        <w:spacing w:line="600" w:lineRule="exact"/>
        <w:ind w:firstLine="0"/>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A3"/>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）其他要求：</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3.2供应商在响应文件提交截止日期止不得存在下列情形之一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须出具承诺函</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3.3本次项目</w:t>
      </w:r>
      <w:r>
        <w:rPr>
          <w:rFonts w:hint="eastAsia" w:ascii="仿宋" w:hAnsi="仿宋" w:eastAsia="仿宋" w:cs="仿宋"/>
          <w:sz w:val="28"/>
          <w:szCs w:val="28"/>
          <w:u w:val="single"/>
        </w:rPr>
        <w:t>不接受</w:t>
      </w:r>
      <w:r>
        <w:rPr>
          <w:rFonts w:hint="eastAsia" w:ascii="仿宋" w:hAnsi="仿宋" w:eastAsia="仿宋" w:cs="仿宋"/>
          <w:sz w:val="28"/>
          <w:szCs w:val="28"/>
        </w:rPr>
        <w:t>联合体参加采购活动</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日至</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u w:val="single"/>
          <w:lang w:val="en-US" w:eastAsia="zh-CN"/>
        </w:rPr>
        <w:t>广州市净水有限公司门户网站</w:t>
      </w:r>
      <w:r>
        <w:rPr>
          <w:rFonts w:hint="eastAsia" w:ascii="仿宋" w:hAnsi="仿宋" w:eastAsia="仿宋" w:cs="仿宋"/>
          <w:sz w:val="28"/>
          <w:szCs w:val="28"/>
        </w:rPr>
        <w:t xml:space="preserve">下载采购文件。 </w:t>
      </w:r>
    </w:p>
    <w:p>
      <w:pPr>
        <w:numPr>
          <w:ilvl w:val="0"/>
          <w:numId w:val="2"/>
        </w:numPr>
        <w:adjustRightInd w:val="0"/>
        <w:snapToGrid w:val="0"/>
        <w:spacing w:line="600" w:lineRule="exact"/>
        <w:jc w:val="left"/>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踏勘现场</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不组织</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highlight w:val="none"/>
        </w:rPr>
        <w:t>□组织</w:t>
      </w:r>
    </w:p>
    <w:p>
      <w:pPr>
        <w:adjustRightInd w:val="0"/>
        <w:snapToGrid w:val="0"/>
        <w:spacing w:line="60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踏勘时间：</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rPr>
        <w:t xml:space="preserve">   </w:t>
      </w:r>
    </w:p>
    <w:p>
      <w:pPr>
        <w:adjustRightInd w:val="0"/>
        <w:snapToGrid w:val="0"/>
        <w:spacing w:line="600" w:lineRule="exact"/>
        <w:jc w:val="left"/>
        <w:rPr>
          <w:rFonts w:hint="eastAsia" w:ascii="仿宋" w:hAnsi="仿宋" w:eastAsia="仿宋" w:cs="仿宋"/>
          <w:b/>
          <w:sz w:val="32"/>
          <w:szCs w:val="32"/>
          <w:lang w:val="en-US" w:eastAsia="zh-CN"/>
        </w:rPr>
      </w:pPr>
      <w:r>
        <w:rPr>
          <w:rFonts w:hint="eastAsia" w:ascii="仿宋" w:hAnsi="仿宋" w:eastAsia="仿宋" w:cs="仿宋"/>
          <w:sz w:val="28"/>
          <w:szCs w:val="28"/>
          <w:highlight w:val="none"/>
        </w:rPr>
        <w:t>踏勘集中地点：</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响应文件的递交</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.1递交响应文件截止时间：</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
          <w:sz w:val="28"/>
          <w:szCs w:val="28"/>
          <w:lang w:val="en-US" w:eastAsia="zh-CN"/>
        </w:rPr>
        <w:t>前</w:t>
      </w:r>
      <w:r>
        <w:rPr>
          <w:rFonts w:hint="eastAsia" w:ascii="仿宋" w:hAnsi="仿宋" w:eastAsia="仿宋" w:cs="仿宋"/>
          <w:sz w:val="28"/>
          <w:szCs w:val="28"/>
        </w:rPr>
        <w:t>（北京时间）。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.2递交</w:t>
      </w:r>
      <w:r>
        <w:rPr>
          <w:rFonts w:hint="eastAsia" w:ascii="仿宋" w:hAnsi="仿宋" w:eastAsia="仿宋" w:cs="仿宋"/>
          <w:sz w:val="28"/>
          <w:szCs w:val="28"/>
          <w:lang w:val="en-US" w:eastAsia="zh-CN"/>
        </w:rPr>
        <w:t>及快递</w:t>
      </w:r>
      <w:r>
        <w:rPr>
          <w:rFonts w:hint="eastAsia" w:ascii="仿宋" w:hAnsi="仿宋" w:eastAsia="仿宋" w:cs="仿宋"/>
          <w:sz w:val="28"/>
          <w:szCs w:val="28"/>
        </w:rPr>
        <w:t>地址：</w:t>
      </w:r>
      <w:r>
        <w:rPr>
          <w:rFonts w:hint="eastAsia" w:ascii="仿宋" w:hAnsi="仿宋" w:eastAsia="仿宋" w:cs="仿宋"/>
          <w:sz w:val="28"/>
          <w:szCs w:val="28"/>
          <w:lang w:val="en-US" w:eastAsia="zh-CN"/>
        </w:rPr>
        <w:t>广州市天河区临江大道501号</w:t>
      </w:r>
      <w:r>
        <w:rPr>
          <w:rFonts w:hint="eastAsia" w:ascii="仿宋" w:hAnsi="仿宋" w:eastAsia="仿宋" w:cs="仿宋"/>
          <w:sz w:val="28"/>
          <w:szCs w:val="28"/>
          <w:u w:val="single"/>
          <w:lang w:val="en-US" w:eastAsia="zh-CN"/>
        </w:rPr>
        <w:t>广州市净水有限公司6楼招标部</w:t>
      </w:r>
      <w:r>
        <w:rPr>
          <w:rFonts w:hint="eastAsia" w:ascii="仿宋" w:hAnsi="仿宋" w:eastAsia="仿宋" w:cs="仿宋"/>
          <w:sz w:val="28"/>
          <w:szCs w:val="28"/>
        </w:rPr>
        <w:t>。</w:t>
      </w:r>
    </w:p>
    <w:p>
      <w:pPr>
        <w:pStyle w:val="22"/>
        <w:ind w:firstLine="560" w:firstLineChars="200"/>
        <w:rPr>
          <w:rFonts w:hint="eastAsia" w:ascii="仿宋" w:hAnsi="仿宋" w:eastAsia="仿宋" w:cs="仿宋"/>
          <w:lang w:val="en-US" w:eastAsia="zh-CN"/>
        </w:rPr>
      </w:pPr>
      <w:r>
        <w:rPr>
          <w:rFonts w:hint="eastAsia" w:ascii="仿宋" w:hAnsi="仿宋" w:eastAsia="仿宋" w:cs="仿宋"/>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7</w:t>
      </w:r>
      <w:r>
        <w:rPr>
          <w:rFonts w:hint="eastAsia" w:ascii="仿宋" w:hAnsi="仿宋" w:eastAsia="仿宋" w:cs="仿宋"/>
          <w:b/>
          <w:sz w:val="32"/>
          <w:szCs w:val="32"/>
        </w:rPr>
        <w:t>.其他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.1发布公告的其他媒介</w:t>
      </w:r>
    </w:p>
    <w:p>
      <w:pPr>
        <w:adjustRightInd w:val="0"/>
        <w:snapToGrid w:val="0"/>
        <w:spacing w:line="600" w:lineRule="exact"/>
        <w:ind w:firstLine="555"/>
        <w:rPr>
          <w:rFonts w:hint="eastAsia" w:ascii="仿宋" w:hAnsi="仿宋" w:eastAsia="仿宋" w:cs="仿宋"/>
          <w:sz w:val="28"/>
          <w:szCs w:val="28"/>
        </w:rPr>
      </w:pPr>
      <w:r>
        <w:rPr>
          <w:rFonts w:hint="eastAsia" w:ascii="仿宋" w:hAnsi="仿宋" w:eastAsia="仿宋" w:cs="仿宋"/>
          <w:sz w:val="28"/>
          <w:szCs w:val="28"/>
        </w:rPr>
        <w:t>本项目采购公告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补充和修改</w:t>
      </w:r>
      <w:r>
        <w:rPr>
          <w:rFonts w:hint="eastAsia" w:ascii="仿宋" w:hAnsi="仿宋" w:eastAsia="仿宋" w:cs="仿宋"/>
          <w:sz w:val="28"/>
          <w:szCs w:val="28"/>
        </w:rPr>
        <w:t>同时在广州市净水有限公司门户网</w:t>
      </w:r>
      <w:r>
        <w:rPr>
          <w:rFonts w:hint="eastAsia" w:ascii="仿宋" w:hAnsi="仿宋" w:eastAsia="仿宋" w:cs="仿宋"/>
          <w:sz w:val="28"/>
          <w:szCs w:val="28"/>
          <w:lang w:val="en-US" w:eastAsia="zh-CN"/>
        </w:rPr>
        <w:t>站和阳光平台</w:t>
      </w:r>
      <w:r>
        <w:rPr>
          <w:rFonts w:hint="eastAsia" w:ascii="仿宋" w:hAnsi="仿宋" w:eastAsia="仿宋" w:cs="仿宋"/>
          <w:sz w:val="28"/>
          <w:szCs w:val="28"/>
        </w:rPr>
        <w:t>上发布。本公告在各媒体发布的文本如有不同之处，以</w:t>
      </w:r>
      <w:r>
        <w:rPr>
          <w:rFonts w:hint="eastAsia" w:ascii="仿宋" w:hAnsi="仿宋" w:eastAsia="仿宋" w:cs="仿宋"/>
          <w:sz w:val="28"/>
          <w:szCs w:val="28"/>
          <w:lang w:val="en-US" w:eastAsia="zh-CN"/>
        </w:rPr>
        <w:t>净水公司门户网站</w:t>
      </w:r>
      <w:r>
        <w:rPr>
          <w:rFonts w:hint="eastAsia" w:ascii="仿宋" w:hAnsi="仿宋" w:eastAsia="仿宋" w:cs="仿宋"/>
          <w:sz w:val="28"/>
          <w:szCs w:val="28"/>
        </w:rPr>
        <w:t>为准。</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.2响应文件递交注意事项</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rPr>
      </w:pPr>
      <w:r>
        <w:rPr>
          <w:rFonts w:hint="eastAsia" w:ascii="仿宋" w:hAnsi="仿宋" w:eastAsia="仿宋" w:cs="仿宋"/>
          <w:b/>
          <w:sz w:val="32"/>
          <w:szCs w:val="32"/>
          <w:lang w:val="en-US" w:eastAsia="zh-CN"/>
        </w:rPr>
        <w:t>8</w:t>
      </w:r>
      <w:r>
        <w:rPr>
          <w:rFonts w:hint="eastAsia" w:ascii="仿宋" w:hAnsi="仿宋" w:eastAsia="仿宋" w:cs="仿宋"/>
          <w:b/>
          <w:sz w:val="32"/>
          <w:szCs w:val="32"/>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潜在供应商或利害关系人对本采购公告及采购文件中任何违法及不公平内容有异议的，可以在提交响应文件截止之日</w:t>
      </w:r>
      <w:r>
        <w:rPr>
          <w:rFonts w:hint="eastAsia" w:ascii="仿宋" w:hAnsi="仿宋" w:eastAsia="仿宋" w:cs="仿宋"/>
          <w:color w:val="000000" w:themeColor="text1"/>
          <w:sz w:val="28"/>
          <w:szCs w:val="28"/>
          <w:u w:val="single"/>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异议受理部门：</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
          <w:color w:val="000000" w:themeColor="text1"/>
          <w:sz w:val="28"/>
          <w:szCs w:val="28"/>
          <w14:textFill>
            <w14:solidFill>
              <w14:schemeClr w14:val="tx1"/>
            </w14:solidFill>
          </w14:textFill>
        </w:rPr>
        <w:t>，电话：</w:t>
      </w:r>
      <w:r>
        <w:rPr>
          <w:rFonts w:hint="eastAsia" w:ascii="仿宋" w:hAnsi="仿宋" w:eastAsia="仿宋" w:cs="仿宋"/>
          <w:color w:val="000000" w:themeColor="text1"/>
          <w:sz w:val="28"/>
          <w:szCs w:val="28"/>
          <w:lang w:val="en-US" w:eastAsia="zh-CN"/>
          <w14:textFill>
            <w14:solidFill>
              <w14:schemeClr w14:val="tx1"/>
            </w14:solidFill>
          </w14:textFill>
        </w:rPr>
        <w:t>38890841/</w:t>
      </w:r>
      <w:r>
        <w:rPr>
          <w:rFonts w:hint="eastAsia" w:ascii="仿宋" w:hAnsi="仿宋" w:eastAsia="仿宋" w:cs="仿宋"/>
          <w:color w:val="000000" w:themeColor="text1"/>
          <w:sz w:val="28"/>
          <w:szCs w:val="28"/>
          <w:u w:val="single"/>
          <w:lang w:val="en-US" w:eastAsia="zh-CN"/>
          <w14:textFill>
            <w14:solidFill>
              <w14:schemeClr w14:val="tx1"/>
            </w14:solidFill>
          </w14:textFill>
        </w:rPr>
        <w:t>62315524</w:t>
      </w:r>
      <w:r>
        <w:rPr>
          <w:rFonts w:hint="eastAsia" w:ascii="仿宋" w:hAnsi="仿宋" w:eastAsia="仿宋" w:cs="仿宋"/>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 w:hAnsi="仿宋" w:eastAsia="仿宋" w:cs="仿宋"/>
          <w:color w:val="000000" w:themeColor="text1"/>
          <w:sz w:val="28"/>
          <w:szCs w:val="28"/>
          <w14:textFill>
            <w14:solidFill>
              <w14:schemeClr w14:val="tx1"/>
            </w14:solidFill>
          </w14:textFill>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9</w:t>
      </w:r>
      <w:r>
        <w:rPr>
          <w:rFonts w:hint="eastAsia" w:ascii="仿宋" w:hAnsi="仿宋" w:eastAsia="仿宋" w:cs="仿宋"/>
          <w:b/>
          <w:sz w:val="32"/>
          <w:szCs w:val="32"/>
        </w:rPr>
        <w:t>. 被书面限制参与采购活动的企业名单</w:t>
      </w:r>
    </w:p>
    <w:p>
      <w:pPr>
        <w:adjustRightInd w:val="0"/>
        <w:snapToGrid w:val="0"/>
        <w:spacing w:line="6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2021年11月18日</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2021年11月18日</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sz w:val="24"/>
                <w:szCs w:val="24"/>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2022年1月1日</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10</w:t>
      </w:r>
      <w:r>
        <w:rPr>
          <w:rFonts w:hint="eastAsia" w:ascii="仿宋" w:hAnsi="仿宋" w:eastAsia="仿宋" w:cs="仿宋"/>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地  址：</w:t>
            </w:r>
            <w:r>
              <w:rPr>
                <w:rFonts w:hint="eastAsia" w:ascii="仿宋" w:hAnsi="仿宋" w:eastAsia="仿宋" w:cs="仿宋"/>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tc>
      </w:tr>
    </w:tbl>
    <w:p>
      <w:pPr>
        <w:pStyle w:val="2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rPr>
          <w:rFonts w:hint="eastAsia"/>
        </w:rPr>
      </w:pPr>
    </w:p>
    <w:p>
      <w:pPr>
        <w:pStyle w:val="2"/>
        <w:rPr>
          <w:rFonts w:hint="eastAsia"/>
        </w:rPr>
      </w:pPr>
    </w:p>
    <w:p>
      <w:pPr>
        <w:rPr>
          <w:rFonts w:hint="eastAsia"/>
        </w:rPr>
      </w:pPr>
    </w:p>
    <w:p>
      <w:pPr>
        <w:pStyle w:val="4"/>
      </w:pPr>
      <w:bookmarkStart w:id="26" w:name="_Toc2324"/>
      <w:bookmarkStart w:id="27" w:name="_Toc23749"/>
      <w:bookmarkStart w:id="28" w:name="_Toc32588"/>
      <w:bookmarkStart w:id="29" w:name="_Toc25603"/>
      <w:bookmarkStart w:id="30" w:name="_Toc16705"/>
      <w:bookmarkStart w:id="31" w:name="_Toc7340"/>
      <w:bookmarkStart w:id="32" w:name="_Toc2331"/>
      <w:bookmarkStart w:id="33" w:name="_Toc19295"/>
      <w:bookmarkStart w:id="34" w:name="_Toc9448"/>
      <w:bookmarkStart w:id="35" w:name="_Toc1655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6"/>
      </w:pPr>
    </w:p>
    <w:p>
      <w:pPr>
        <w:pStyle w:val="5"/>
      </w:pPr>
      <w:bookmarkStart w:id="40" w:name="_Toc88209934"/>
      <w:bookmarkStart w:id="41" w:name="_Toc87616371"/>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9050"/>
      <w:bookmarkStart w:id="47" w:name="_Toc23581"/>
      <w:bookmarkStart w:id="48" w:name="_Toc4952"/>
      <w:bookmarkStart w:id="49" w:name="_Toc14870"/>
      <w:bookmarkStart w:id="50" w:name="_Toc7118"/>
      <w:bookmarkStart w:id="51" w:name="_Toc10930"/>
      <w:bookmarkStart w:id="52" w:name="_Toc19759"/>
      <w:bookmarkStart w:id="53" w:name="_Toc7437"/>
      <w:bookmarkStart w:id="54" w:name="_Toc14552"/>
      <w:bookmarkStart w:id="55" w:name="_Toc3156"/>
      <w:bookmarkStart w:id="56" w:name="_Toc20594"/>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6"/>
      </w:pPr>
    </w:p>
    <w:p>
      <w:pPr>
        <w:pStyle w:val="4"/>
      </w:pPr>
      <w:bookmarkStart w:id="57" w:name="_Toc30530"/>
      <w:bookmarkStart w:id="58" w:name="_Toc29484"/>
      <w:bookmarkStart w:id="59" w:name="_Toc88209941"/>
      <w:bookmarkStart w:id="60" w:name="_Toc12177"/>
      <w:bookmarkStart w:id="61" w:name="_Toc21840"/>
      <w:bookmarkStart w:id="62" w:name="_Toc87616378"/>
      <w:bookmarkStart w:id="63" w:name="_Toc6308"/>
      <w:bookmarkStart w:id="64" w:name="_Toc32607"/>
      <w:bookmarkStart w:id="65" w:name="_Toc21079"/>
      <w:bookmarkStart w:id="66" w:name="_Toc29345"/>
      <w:bookmarkStart w:id="67" w:name="_Toc7831"/>
      <w:bookmarkStart w:id="68" w:name="_Toc22212"/>
      <w:bookmarkStart w:id="69" w:name="_Toc13898"/>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4"/>
        <w:rPr>
          <w:rFonts w:hint="eastAsia"/>
        </w:rPr>
      </w:pPr>
      <w:bookmarkStart w:id="72" w:name="_Toc88209947"/>
    </w:p>
    <w:p>
      <w:pPr>
        <w:pStyle w:val="4"/>
        <w:rPr>
          <w:rFonts w:hint="eastAsia"/>
        </w:rPr>
      </w:pPr>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bookmarkEnd w:id="72"/>
    <w:p>
      <w:pPr>
        <w:pStyle w:val="2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3"/>
        <w:rPr>
          <w:rFonts w:ascii="仿宋_GB2312" w:eastAsia="仿宋_GB2312"/>
          <w:sz w:val="28"/>
          <w:szCs w:val="28"/>
        </w:rPr>
      </w:pPr>
    </w:p>
    <w:p>
      <w:pPr>
        <w:pStyle w:val="3"/>
        <w:rPr>
          <w:rFonts w:ascii="仿宋_GB2312" w:eastAsia="仿宋_GB2312"/>
          <w:sz w:val="28"/>
          <w:szCs w:val="28"/>
        </w:rPr>
      </w:pPr>
    </w:p>
    <w:p>
      <w:pPr>
        <w:pStyle w:val="3"/>
        <w:rPr>
          <w:rFonts w:ascii="仿宋_GB2312" w:eastAsia="仿宋_GB2312"/>
          <w:sz w:val="28"/>
          <w:szCs w:val="28"/>
        </w:rPr>
      </w:pPr>
    </w:p>
    <w:p>
      <w:pPr>
        <w:pStyle w:val="11"/>
        <w:adjustRightInd w:val="0"/>
        <w:snapToGrid w:val="0"/>
        <w:ind w:firstLine="560" w:firstLineChars="200"/>
        <w:rPr>
          <w:rFonts w:ascii="仿宋" w:hAnsi="仿宋" w:eastAsia="仿宋" w:cs="仿宋"/>
          <w:color w:val="auto"/>
          <w:sz w:val="28"/>
          <w:szCs w:val="28"/>
        </w:rPr>
      </w:pPr>
    </w:p>
    <w:p>
      <w:pPr>
        <w:pStyle w:val="11"/>
        <w:adjustRightInd w:val="0"/>
        <w:snapToGrid w:val="0"/>
        <w:ind w:firstLine="560" w:firstLineChars="200"/>
        <w:rPr>
          <w:rFonts w:ascii="仿宋" w:hAnsi="仿宋" w:eastAsia="仿宋" w:cs="仿宋"/>
          <w:color w:val="auto"/>
          <w:sz w:val="28"/>
          <w:szCs w:val="28"/>
        </w:rPr>
      </w:pPr>
      <w:r>
        <w:rPr>
          <w:rFonts w:ascii="仿宋" w:hAnsi="仿宋" w:eastAsia="仿宋" w:cs="仿宋"/>
          <w:color w:val="auto"/>
          <w:sz w:val="28"/>
          <w:szCs w:val="28"/>
        </w:rPr>
        <w:t xml:space="preserve">报价单位须对本项目为单位的服务进行整体响应，任何只对其中一部分内容进行的响应都被视为无效响应。 </w:t>
      </w:r>
    </w:p>
    <w:p>
      <w:pPr>
        <w:pStyle w:val="11"/>
        <w:adjustRightInd w:val="0"/>
        <w:snapToGrid w:val="0"/>
        <w:ind w:firstLine="560" w:firstLineChars="200"/>
        <w:rPr>
          <w:rFonts w:ascii="仿宋" w:hAnsi="仿宋" w:eastAsia="仿宋" w:cs="仿宋"/>
          <w:color w:val="auto"/>
          <w:sz w:val="28"/>
          <w:szCs w:val="28"/>
        </w:rPr>
      </w:pPr>
      <w:r>
        <w:rPr>
          <w:rFonts w:ascii="仿宋" w:hAnsi="仿宋" w:eastAsia="仿宋" w:cs="仿宋"/>
          <w:color w:val="auto"/>
          <w:sz w:val="28"/>
          <w:szCs w:val="28"/>
        </w:rPr>
        <w:t>询价文件中所有要求均为实质性响应条款，报价单位如有任何一条负偏离则导致响应文件无效。</w:t>
      </w:r>
    </w:p>
    <w:p>
      <w:pPr>
        <w:pStyle w:val="11"/>
        <w:adjustRightInd w:val="0"/>
        <w:snapToGrid w:val="0"/>
        <w:ind w:firstLine="562" w:firstLineChars="200"/>
        <w:rPr>
          <w:rFonts w:ascii="仿宋" w:hAnsi="仿宋" w:eastAsia="仿宋" w:cs="仿宋"/>
          <w:b/>
          <w:bCs/>
          <w:color w:val="auto"/>
          <w:sz w:val="28"/>
          <w:szCs w:val="28"/>
          <w:lang w:val="zh-CN"/>
        </w:rPr>
      </w:pPr>
      <w:r>
        <w:rPr>
          <w:rFonts w:ascii="仿宋" w:hAnsi="仿宋" w:eastAsia="仿宋" w:cs="仿宋"/>
          <w:b/>
          <w:bCs/>
          <w:color w:val="auto"/>
          <w:sz w:val="28"/>
          <w:szCs w:val="28"/>
        </w:rPr>
        <w:t>一、</w:t>
      </w:r>
      <w:r>
        <w:rPr>
          <w:rFonts w:ascii="仿宋" w:hAnsi="仿宋" w:eastAsia="仿宋" w:cs="仿宋"/>
          <w:b/>
          <w:bCs/>
          <w:color w:val="auto"/>
          <w:sz w:val="28"/>
          <w:szCs w:val="28"/>
          <w:lang w:val="zh-CN"/>
        </w:rPr>
        <w:t>项目情况介绍</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采购在线监测数据智慧管理系统，实时监控净水厂水质，该系统须以我公司在线监测数据管理为中心，并符合环境保护政策、环境保护信息化标准与软件开发类标准等相关要求，具有对</w:t>
      </w:r>
      <w:r>
        <w:rPr>
          <w:rFonts w:hint="eastAsia" w:ascii="仿宋" w:hAnsi="仿宋" w:eastAsia="仿宋" w:cs="仿宋"/>
          <w:color w:val="auto"/>
          <w:sz w:val="28"/>
          <w:szCs w:val="28"/>
          <w:lang w:val="en-US" w:eastAsia="zh-CN"/>
        </w:rPr>
        <w:t>广州市内（含从化）58套在线监测系统的</w:t>
      </w:r>
      <w:r>
        <w:rPr>
          <w:rFonts w:hint="eastAsia" w:ascii="仿宋" w:hAnsi="仿宋" w:eastAsia="仿宋" w:cs="仿宋"/>
          <w:color w:val="auto"/>
          <w:sz w:val="28"/>
          <w:szCs w:val="28"/>
        </w:rPr>
        <w:t>监测数据的数据查询、数据筛选统计、数据标识及仪器状态读取、异常数据及预警提醒、故障运维提醒、</w:t>
      </w:r>
      <w:r>
        <w:rPr>
          <w:rFonts w:hint="eastAsia" w:ascii="仿宋" w:hAnsi="仿宋" w:eastAsia="仿宋" w:cs="仿宋"/>
          <w:color w:val="auto"/>
          <w:sz w:val="28"/>
          <w:szCs w:val="28"/>
          <w:lang w:val="en-US" w:eastAsia="zh-CN"/>
        </w:rPr>
        <w:t>运维日志管理、运维工作质量评价管理</w:t>
      </w:r>
      <w:r>
        <w:rPr>
          <w:rFonts w:hint="eastAsia" w:ascii="仿宋" w:hAnsi="仿宋" w:eastAsia="仿宋" w:cs="仿宋"/>
          <w:color w:val="auto"/>
          <w:sz w:val="28"/>
          <w:szCs w:val="28"/>
        </w:rPr>
        <w:t>设备台账管理、大数据应用、网页端与移动端应用等智慧管理功能。</w:t>
      </w:r>
    </w:p>
    <w:p>
      <w:pPr>
        <w:pStyle w:val="11"/>
        <w:adjustRightInd w:val="0"/>
        <w:snapToGrid w:val="0"/>
        <w:ind w:firstLine="562" w:firstLineChars="200"/>
        <w:rPr>
          <w:rFonts w:ascii="仿宋" w:hAnsi="仿宋" w:eastAsia="仿宋" w:cs="仿宋"/>
          <w:b/>
          <w:bCs/>
          <w:color w:val="auto"/>
          <w:sz w:val="28"/>
          <w:szCs w:val="28"/>
        </w:rPr>
      </w:pPr>
      <w:r>
        <w:rPr>
          <w:rFonts w:ascii="仿宋" w:hAnsi="仿宋" w:eastAsia="仿宋" w:cs="仿宋"/>
          <w:b/>
          <w:bCs/>
          <w:color w:val="auto"/>
          <w:sz w:val="28"/>
          <w:szCs w:val="28"/>
        </w:rPr>
        <w:t>二、</w:t>
      </w:r>
      <w:r>
        <w:rPr>
          <w:rFonts w:ascii="仿宋" w:hAnsi="仿宋" w:eastAsia="仿宋" w:cs="仿宋"/>
          <w:b/>
          <w:bCs/>
          <w:color w:val="auto"/>
          <w:sz w:val="28"/>
          <w:szCs w:val="28"/>
          <w:lang w:val="zh-CN"/>
        </w:rPr>
        <w:t>项目技术要求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线监测数据智慧管理系统主要包括基础设施层、架构支撑层、数据中心层、业务中心层、平台服务层共五个层次的功能。系统整体建设按照国家有关要求，遵循环境保护政策、环境保护信息化标准与软件开发标准等规定。该项目技术要求主要分为三个部分：系统及硬件技术要求、软件技术要求、系统功能及服务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1.系统及硬件技术要求</w:t>
      </w:r>
    </w:p>
    <w:tbl>
      <w:tblPr>
        <w:tblStyle w:val="23"/>
        <w:tblW w:w="8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29"/>
        <w:gridCol w:w="1540"/>
        <w:gridCol w:w="55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tblHeader/>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建设内容</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模块（服务）名称</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功能（型号版本）</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1" w:hRule="atLeast"/>
          <w:jc w:val="center"/>
        </w:trPr>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在线监测数据智慧管理系统及项目实施</w:t>
            </w:r>
          </w:p>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（基本业务管理，资源管理，质量控制管理，查询与数据统计分析，其他功能管理）</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基本业务管理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宋体" w:hAnsi="宋体" w:cs="宋体"/>
                <w:color w:val="auto"/>
                <w:szCs w:val="21"/>
              </w:rPr>
            </w:pPr>
            <w:r>
              <w:rPr>
                <w:rFonts w:hint="eastAsia" w:ascii="宋体" w:hAnsi="宋体" w:cs="宋体"/>
                <w:color w:val="auto"/>
                <w:szCs w:val="21"/>
              </w:rPr>
              <w:t>数据查询与统计、数据标识与读取仪器状态、报警及预警管理、设备台账管理、异常管理、故障运维提醒、</w:t>
            </w:r>
            <w:r>
              <w:rPr>
                <w:rFonts w:hint="eastAsia" w:ascii="宋体" w:hAnsi="宋体" w:cs="宋体"/>
                <w:color w:val="auto"/>
                <w:szCs w:val="21"/>
                <w:lang w:val="en-US" w:eastAsia="zh-CN"/>
              </w:rPr>
              <w:t>运维日志管理、运维工作质量评价管理、</w:t>
            </w:r>
            <w:r>
              <w:rPr>
                <w:rFonts w:hint="eastAsia" w:ascii="宋体" w:hAnsi="宋体" w:cs="宋体"/>
                <w:color w:val="auto"/>
                <w:szCs w:val="21"/>
              </w:rPr>
              <w:t>大数据应用、网页端应用、移动端应用等，加100人并发用户数（同时在线人数）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资源管理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hint="eastAsia" w:ascii="宋体" w:hAnsi="宋体" w:cs="宋体"/>
                <w:color w:val="auto"/>
                <w:szCs w:val="21"/>
              </w:rPr>
            </w:pPr>
            <w:r>
              <w:rPr>
                <w:rFonts w:hint="eastAsia" w:ascii="宋体" w:hAnsi="宋体" w:cs="宋体"/>
                <w:color w:val="auto"/>
                <w:szCs w:val="21"/>
              </w:rPr>
              <w:t>账号管理、运维单位信息管理、仪器资产信息管理、监测点信息管理、用户管理、角色权限管理、组织结构管理、系统日志、多语言支持、报表工具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ascii="宋体" w:hAnsi="宋体" w:cs="宋体"/>
                <w:color w:val="auto"/>
                <w:szCs w:val="21"/>
              </w:rPr>
            </w:pPr>
            <w:r>
              <w:rPr>
                <w:rFonts w:hint="eastAsia" w:ascii="宋体" w:hAnsi="宋体" w:cs="宋体"/>
                <w:color w:val="auto"/>
                <w:szCs w:val="21"/>
              </w:rPr>
              <w:t>运行参数管理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截距、斜率、相关系数、仪器量程、测量精度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ascii="宋体" w:hAnsi="宋体" w:cs="宋体"/>
                <w:color w:val="auto"/>
                <w:szCs w:val="21"/>
              </w:rPr>
            </w:pPr>
            <w:r>
              <w:rPr>
                <w:rFonts w:hint="eastAsia" w:ascii="宋体" w:hAnsi="宋体" w:cs="宋体"/>
                <w:color w:val="auto"/>
                <w:szCs w:val="21"/>
              </w:rPr>
              <w:t>仪器数据采集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对数采仪读取、采集数据功能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ascii="宋体" w:hAnsi="宋体" w:cs="宋体"/>
                <w:color w:val="auto"/>
                <w:szCs w:val="21"/>
              </w:rPr>
            </w:pPr>
            <w:r>
              <w:rPr>
                <w:rFonts w:hint="eastAsia" w:ascii="宋体" w:hAnsi="宋体" w:cs="宋体"/>
                <w:color w:val="auto"/>
                <w:szCs w:val="21"/>
              </w:rPr>
              <w:t>运维日志管理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记录运维日常工作日志，试剂更换登记、标液核查登记、校准校验登记、质控比对登记、废液清理登记、备品配件更换记录等，可拍照留存。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ascii="宋体" w:hAnsi="宋体" w:cs="宋体"/>
                <w:color w:val="auto"/>
                <w:szCs w:val="21"/>
              </w:rPr>
            </w:pPr>
            <w:r>
              <w:rPr>
                <w:rFonts w:hint="eastAsia" w:ascii="宋体" w:hAnsi="宋体" w:cs="宋体"/>
                <w:color w:val="auto"/>
                <w:szCs w:val="21"/>
              </w:rPr>
              <w:t>统计分析</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统计功能（监测指标、数据统计报表、大数据分析、资源管理统计）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系统培训</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宋体" w:hAnsi="宋体" w:eastAsia="宋体" w:cs="宋体"/>
                <w:color w:val="auto"/>
                <w:szCs w:val="21"/>
                <w:lang w:val="en-US" w:eastAsia="zh-CN"/>
              </w:rPr>
            </w:pPr>
            <w:r>
              <w:rPr>
                <w:rFonts w:hint="eastAsia" w:ascii="宋体" w:hAnsi="宋体" w:cs="宋体"/>
                <w:color w:val="auto"/>
                <w:szCs w:val="21"/>
              </w:rPr>
              <w:t>系统维护及使用培训、运行调试、维保1年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配套服务器</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云服务器操作系统</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宋体" w:hAnsi="宋体" w:cs="宋体"/>
                <w:color w:val="auto"/>
                <w:szCs w:val="21"/>
              </w:rPr>
            </w:pPr>
            <w:r>
              <w:rPr>
                <w:rFonts w:hint="eastAsia" w:ascii="宋体" w:hAnsi="宋体" w:cs="宋体"/>
                <w:color w:val="auto"/>
                <w:szCs w:val="21"/>
              </w:rPr>
              <w:t>正版操作系统或开源系统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云数据库</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宋体" w:hAnsi="宋体" w:cs="宋体"/>
                <w:color w:val="auto"/>
                <w:szCs w:val="21"/>
              </w:rPr>
            </w:pPr>
            <w:r>
              <w:rPr>
                <w:rFonts w:hint="eastAsia" w:ascii="宋体" w:hAnsi="宋体" w:cs="宋体"/>
                <w:color w:val="auto"/>
                <w:szCs w:val="21"/>
              </w:rPr>
              <w:t>正版数据库或开源数据库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olor w:val="auto"/>
                <w:szCs w:val="21"/>
              </w:rPr>
              <w:t>云服务器</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default"/>
                <w:color w:val="auto"/>
                <w:lang w:val="en-US" w:eastAsia="zh-CN"/>
              </w:rPr>
            </w:pPr>
            <w:r>
              <w:rPr>
                <w:rFonts w:hint="eastAsia"/>
                <w:color w:val="auto"/>
                <w:lang w:val="en-US" w:eastAsia="zh-CN"/>
              </w:rPr>
              <w:t>选用电信、移动或联通三大通讯运营商的云服务器资源；</w:t>
            </w:r>
          </w:p>
          <w:p>
            <w:pPr>
              <w:pStyle w:val="2"/>
              <w:tabs>
                <w:tab w:val="left" w:pos="720"/>
              </w:tabs>
              <w:rPr>
                <w:rFonts w:hint="default"/>
                <w:color w:val="auto"/>
                <w:lang w:val="en-US" w:eastAsia="zh-CN"/>
              </w:rPr>
            </w:pPr>
            <w:r>
              <w:rPr>
                <w:rFonts w:hint="eastAsia" w:ascii="宋体" w:hAnsi="宋体" w:eastAsia="宋体" w:cs="宋体"/>
                <w:color w:val="auto"/>
                <w:kern w:val="2"/>
                <w:sz w:val="21"/>
                <w:szCs w:val="21"/>
                <w:lang w:val="en-US" w:eastAsia="zh-CN" w:bidi="ar-SA"/>
              </w:rPr>
              <w:t>每台服务器要求：CPU≥8核，内存≥16GB，系统盘≥100GB，数据盘≥500GB，带宽≥10Mbit/s，平 均 响 应 时 间（秒）≤ 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网络安全防护</w:t>
            </w:r>
          </w:p>
        </w:tc>
        <w:tc>
          <w:tcPr>
            <w:tcW w:w="154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安全服务器与防护服务</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宋体" w:hAnsi="宋体" w:cs="宋体"/>
                <w:color w:val="auto"/>
                <w:szCs w:val="21"/>
              </w:rPr>
            </w:pPr>
            <w:r>
              <w:rPr>
                <w:rFonts w:hint="eastAsia" w:ascii="宋体" w:hAnsi="宋体" w:cs="宋体"/>
                <w:color w:val="auto"/>
                <w:szCs w:val="21"/>
              </w:rPr>
              <w:t>完成</w:t>
            </w:r>
            <w:r>
              <w:rPr>
                <w:rFonts w:hint="eastAsia" w:ascii="宋体" w:hAnsi="宋体" w:cs="宋体"/>
                <w:color w:val="auto"/>
                <w:szCs w:val="21"/>
                <w:lang w:val="en-US" w:eastAsia="zh-CN"/>
              </w:rPr>
              <w:t>至少1次</w:t>
            </w:r>
            <w:r>
              <w:rPr>
                <w:rFonts w:hint="eastAsia" w:ascii="宋体" w:hAnsi="宋体" w:eastAsia="宋体" w:cs="宋体"/>
                <w:color w:val="auto"/>
                <w:szCs w:val="21"/>
              </w:rPr>
              <w:t>信息安全等级保护二级</w:t>
            </w:r>
            <w:r>
              <w:rPr>
                <w:rFonts w:hint="eastAsia" w:ascii="宋体" w:hAnsi="宋体" w:eastAsia="宋体" w:cs="宋体"/>
                <w:color w:val="auto"/>
                <w:szCs w:val="21"/>
                <w:lang w:val="en-US" w:eastAsia="zh-CN"/>
              </w:rPr>
              <w:t>测评</w:t>
            </w:r>
            <w:r>
              <w:rPr>
                <w:rFonts w:hint="eastAsia" w:ascii="宋体" w:hAnsi="宋体" w:eastAsia="宋体" w:cs="宋体"/>
                <w:color w:val="auto"/>
                <w:szCs w:val="21"/>
              </w:rPr>
              <w:t>(</w:t>
            </w:r>
            <w:r>
              <w:rPr>
                <w:rFonts w:hint="eastAsia" w:ascii="宋体" w:hAnsi="宋体" w:cs="宋体"/>
                <w:color w:val="auto"/>
                <w:szCs w:val="21"/>
              </w:rPr>
              <w:t>含测评实施和相关测评所需的安全服务、软件采购、应用软件升级实施、部署以及公安部门备案）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cs="宋体"/>
                <w:color w:val="auto"/>
                <w:szCs w:val="21"/>
              </w:rPr>
            </w:pPr>
          </w:p>
        </w:tc>
        <w:tc>
          <w:tcPr>
            <w:tcW w:w="1540"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color w:val="auto"/>
                <w:szCs w:val="21"/>
              </w:rPr>
            </w:pP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宋体" w:hAnsi="宋体" w:cs="宋体"/>
                <w:color w:val="auto"/>
                <w:szCs w:val="21"/>
              </w:rPr>
            </w:pPr>
            <w:r>
              <w:rPr>
                <w:rFonts w:hint="eastAsia" w:ascii="宋体" w:hAnsi="宋体" w:cs="宋体"/>
                <w:color w:val="auto"/>
                <w:szCs w:val="21"/>
                <w:lang w:val="en-US" w:eastAsia="zh-CN"/>
              </w:rPr>
              <w:t>提供至少1年符合</w:t>
            </w:r>
            <w:r>
              <w:rPr>
                <w:rFonts w:hint="eastAsia" w:ascii="宋体" w:hAnsi="宋体" w:eastAsia="宋体" w:cs="宋体"/>
                <w:color w:val="auto"/>
                <w:szCs w:val="21"/>
              </w:rPr>
              <w:t>信息安全等级保护二级</w:t>
            </w:r>
            <w:r>
              <w:rPr>
                <w:rFonts w:hint="eastAsia" w:ascii="宋体" w:hAnsi="宋体" w:eastAsia="宋体" w:cs="宋体"/>
                <w:color w:val="auto"/>
                <w:szCs w:val="21"/>
                <w:lang w:val="en-US" w:eastAsia="zh-CN"/>
              </w:rPr>
              <w:t>测评</w:t>
            </w:r>
            <w:r>
              <w:rPr>
                <w:rFonts w:hint="eastAsia" w:ascii="宋体" w:hAnsi="宋体" w:cs="宋体"/>
                <w:color w:val="auto"/>
                <w:szCs w:val="21"/>
                <w:lang w:val="en-US" w:eastAsia="zh-CN"/>
              </w:rPr>
              <w:t>所需的安全服务措施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系统运维   服务</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eastAsia="宋体" w:cs="Calibri"/>
                <w:color w:val="auto"/>
                <w:kern w:val="2"/>
                <w:sz w:val="21"/>
                <w:szCs w:val="21"/>
                <w:lang w:val="en-US" w:eastAsia="zh-CN" w:bidi="ar-SA"/>
              </w:rPr>
            </w:pPr>
            <w:r>
              <w:rPr>
                <w:rFonts w:hint="eastAsia" w:ascii="宋体" w:hAnsi="宋体"/>
                <w:color w:val="auto"/>
                <w:szCs w:val="21"/>
                <w:lang w:val="en-US" w:eastAsia="zh-CN"/>
              </w:rPr>
              <w:t>运维服务</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宋体" w:hAnsi="宋体" w:cs="宋体"/>
                <w:color w:val="auto"/>
                <w:kern w:val="2"/>
                <w:sz w:val="21"/>
                <w:szCs w:val="21"/>
                <w:lang w:val="en-US" w:eastAsia="zh-CN" w:bidi="ar-SA"/>
              </w:rPr>
            </w:pPr>
            <w:r>
              <w:rPr>
                <w:rFonts w:hint="eastAsia" w:ascii="宋体" w:hAnsi="宋体" w:eastAsia="宋体" w:cs="宋体"/>
                <w:color w:val="auto"/>
                <w:szCs w:val="21"/>
                <w:lang w:val="en-US" w:eastAsia="zh-CN"/>
              </w:rPr>
              <w:t>提供至少1年运维服务，包含但不限于系统每日巡检、服务器定期巡检、应用系统与操作系统定期安全检查、系统打补丁、系统数据定期备份、防火墙病毒库定期更新、系统安全口令定期更换、系统适应性升级、系统故障处置及现场故障处理等内容</w:t>
            </w:r>
          </w:p>
        </w:tc>
      </w:tr>
    </w:tbl>
    <w:p>
      <w:pPr>
        <w:pStyle w:val="11"/>
        <w:adjustRightInd w:val="0"/>
        <w:snapToGrid w:val="0"/>
        <w:ind w:firstLine="420" w:firstLineChars="200"/>
        <w:rPr>
          <w:rFonts w:hint="eastAsia" w:ascii="仿宋" w:hAnsi="仿宋" w:eastAsia="仿宋" w:cs="仿宋"/>
          <w:color w:val="auto"/>
          <w:sz w:val="28"/>
          <w:szCs w:val="28"/>
        </w:rPr>
      </w:pPr>
      <w:r>
        <w:rPr>
          <w:rFonts w:hint="eastAsia"/>
          <w:color w:val="auto"/>
        </w:rPr>
        <w:t xml:space="preserve"> </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软件技术要求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2.1系统符合软件开发/水质自动监测业务管理流程，报价人提供的软件产品能够包含软件开发/水质自动监测业务的全方位管理的功能，并有灵活性、扩展性，可以随着应用深入，增加新功能和新应用。</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2.2系统功能须全面完善、成熟度高，在合同签订后可在3个月完成调研和系统配置，达到系统可以上线运行条件。</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2.3系统须为B/S的架构，客户端无需额外安装软件即可正常使用，减少系统维护的工作量。界面美观、简洁、高效，界面各部件的布局应保持合理性和一致性。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2.4系统采用Java架构的多层体系结构，易于升级和发展，保持技术的先进性。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2.5系统须集成先进的HTML5技术，提高系统可用性和兼容性，支持任意操作系统、任意浏览器访问。</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2.6系统须自带报表工具，用户系统管理员可以自行设计查询统计报表。</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2.7系统具有仪器数据采集模块，通过设置即可实现具有标准输出接口仪器的数据自动采集，不需要编写任何代码。</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2.8系统自带图形化展示功能，不需要后台编写代码，直接在界面上进行图表的拖拽，即可实现图形化展示。</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2.9系统提供http+json的接口，接口必须提供token认证机制，保障接口安全性，以便于与公司已有系统进行数据共享。</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2.10系统自带可自定义的超标限值、异常规则、故障规则、报警预警方案管理。</w:t>
      </w:r>
    </w:p>
    <w:p>
      <w:pPr>
        <w:pStyle w:val="11"/>
        <w:adjustRightInd w:val="0"/>
        <w:snapToGrid w:val="0"/>
        <w:ind w:firstLine="560" w:firstLineChars="200"/>
        <w:rPr>
          <w:rFonts w:hint="eastAsia" w:ascii="仿宋" w:hAnsi="仿宋" w:eastAsia="仿宋" w:cs="仿宋"/>
          <w:color w:val="auto"/>
          <w:sz w:val="28"/>
          <w:szCs w:val="28"/>
        </w:rPr>
      </w:pPr>
      <w:bookmarkStart w:id="73" w:name="_Hlk514332930"/>
      <w:r>
        <w:rPr>
          <w:rFonts w:hint="eastAsia" w:ascii="仿宋" w:hAnsi="仿宋" w:eastAsia="仿宋" w:cs="仿宋"/>
          <w:color w:val="auto"/>
          <w:sz w:val="28"/>
          <w:szCs w:val="28"/>
        </w:rPr>
        <w:t>2.11系统提供中英文支持,中英文界面切换。用户界面友好，易于学习和掌握。</w:t>
      </w:r>
      <w:bookmarkEnd w:id="73"/>
      <w:r>
        <w:rPr>
          <w:rFonts w:hint="eastAsia" w:ascii="仿宋" w:hAnsi="仿宋" w:eastAsia="仿宋" w:cs="仿宋"/>
          <w:color w:val="auto"/>
          <w:sz w:val="28"/>
          <w:szCs w:val="28"/>
        </w:rPr>
        <w:t>软件系统必须符合环境保护政策、环境保护信息化标准与软件开发类标准等国内和国际标准和准则的要求，系统必须通过国家规定的信息安全等级保护二级</w:t>
      </w:r>
      <w:r>
        <w:rPr>
          <w:rFonts w:hint="eastAsia" w:ascii="仿宋" w:hAnsi="仿宋" w:eastAsia="仿宋" w:cs="仿宋"/>
          <w:color w:val="auto"/>
          <w:sz w:val="28"/>
          <w:szCs w:val="28"/>
          <w:lang w:val="en-US" w:eastAsia="zh-CN"/>
        </w:rPr>
        <w:t>测评</w:t>
      </w:r>
      <w:r>
        <w:rPr>
          <w:rFonts w:hint="eastAsia" w:ascii="仿宋" w:hAnsi="仿宋" w:eastAsia="仿宋" w:cs="仿宋"/>
          <w:color w:val="auto"/>
          <w:sz w:val="28"/>
          <w:szCs w:val="28"/>
        </w:rPr>
        <w:t>。当上述标准更新时，在线数据监测智慧管理系统能够适应这种变化。</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2.12系统的设计、软件选型中，应采用目前主流的、成熟、先进的代表业界最新的技术，确保开发的应用系统具有较长的生命周期，操作系统、数据库、客户端软件需均为正版或开源软件且适配当前主流配置，应用软件系统采用最新版本。</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2.13系统的在线数据接收、数据处理和统计运算均符合信息化行业规范。</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系统方案在设计和最终开发、建设过程中须遵循以下标准：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《中华人民共和国环境保护法》</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《中华人民共和国水污染防治法》</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《污染源自动监控管理办法》（国家环境保护总局令第28号）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《全国环保部门环境应急能力建设标准》（环发[2010]146号）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《全国环境监测站建设标准》（环发〔2007〕56号）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《2012年环境监察执法能力建设项目申报技术指南》</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《污染源自动监控管理办法》（国家环境保护总局令第28号）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《环境信息化标准指南》（HJ511-2009）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《环境信息系统集成技术规范》（HJ/T418-2007）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《环境数据库设计与运行管理规范》（HJ/T419-2007）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《污染源自动监控设施运行管理办法》(环发[2008]6号)；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《水污染物排放总量监测技术规范》（HJ/T92-2002）</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《水污染源在线监测系统（COD</w:t>
      </w:r>
      <w:r>
        <w:rPr>
          <w:rFonts w:hint="eastAsia" w:ascii="仿宋" w:hAnsi="仿宋" w:eastAsia="仿宋" w:cs="仿宋"/>
          <w:color w:val="auto"/>
          <w:sz w:val="28"/>
          <w:szCs w:val="28"/>
          <w:vertAlign w:val="subscript"/>
        </w:rPr>
        <w:t>Cr</w:t>
      </w:r>
      <w:r>
        <w:rPr>
          <w:rFonts w:hint="eastAsia" w:ascii="仿宋" w:hAnsi="仿宋" w:eastAsia="仿宋" w:cs="仿宋"/>
          <w:color w:val="auto"/>
          <w:sz w:val="28"/>
          <w:szCs w:val="28"/>
        </w:rPr>
        <w:t>、NH</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-N等）安装技术规范》（HJ353-2019）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《水污染源在线监测系统（COD</w:t>
      </w:r>
      <w:r>
        <w:rPr>
          <w:rFonts w:hint="eastAsia" w:ascii="仿宋" w:hAnsi="仿宋" w:eastAsia="仿宋" w:cs="仿宋"/>
          <w:color w:val="auto"/>
          <w:sz w:val="28"/>
          <w:szCs w:val="28"/>
          <w:vertAlign w:val="subscript"/>
        </w:rPr>
        <w:t>Cr</w:t>
      </w:r>
      <w:r>
        <w:rPr>
          <w:rFonts w:hint="eastAsia" w:ascii="仿宋" w:hAnsi="仿宋" w:eastAsia="仿宋" w:cs="仿宋"/>
          <w:color w:val="auto"/>
          <w:sz w:val="28"/>
          <w:szCs w:val="28"/>
        </w:rPr>
        <w:t>、NH</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-N等）验收技术规范》（HJ354-2019）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《水污染源在线监测系统（COD</w:t>
      </w:r>
      <w:r>
        <w:rPr>
          <w:rFonts w:hint="eastAsia" w:ascii="仿宋" w:hAnsi="仿宋" w:eastAsia="仿宋" w:cs="仿宋"/>
          <w:color w:val="auto"/>
          <w:sz w:val="28"/>
          <w:szCs w:val="28"/>
          <w:vertAlign w:val="subscript"/>
        </w:rPr>
        <w:t>Cr</w:t>
      </w:r>
      <w:r>
        <w:rPr>
          <w:rFonts w:hint="eastAsia" w:ascii="仿宋" w:hAnsi="仿宋" w:eastAsia="仿宋" w:cs="仿宋"/>
          <w:color w:val="auto"/>
          <w:sz w:val="28"/>
          <w:szCs w:val="28"/>
        </w:rPr>
        <w:t>、NH</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-N等）运行技术规范》（HJ355-2019）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《水污染源在线监测系统（COD</w:t>
      </w:r>
      <w:r>
        <w:rPr>
          <w:rFonts w:hint="eastAsia" w:ascii="仿宋" w:hAnsi="仿宋" w:eastAsia="仿宋" w:cs="仿宋"/>
          <w:color w:val="auto"/>
          <w:sz w:val="28"/>
          <w:szCs w:val="28"/>
          <w:vertAlign w:val="subscript"/>
        </w:rPr>
        <w:t>Cr</w:t>
      </w:r>
      <w:r>
        <w:rPr>
          <w:rFonts w:hint="eastAsia" w:ascii="仿宋" w:hAnsi="仿宋" w:eastAsia="仿宋" w:cs="仿宋"/>
          <w:color w:val="auto"/>
          <w:sz w:val="28"/>
          <w:szCs w:val="28"/>
        </w:rPr>
        <w:t>、NH</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-N等）数据有效性判别技术规范》（HJ356-2019）《地表水环境质量标准》（GB3838-2002）</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《地表水和污水监测技术规范》（HJ/T91-2002）</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《水和废水监测分析方法》（第四版）</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环境信息共享互联互通平台总体框架技术规范》（HJ718-2014）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《环境信息系统数据库访问接口规范》（HJ719-2014）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《环境信息元数据规范》（HJ720-2014）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《环境数据集加工汇交流程》（HJ721-2014）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《环境数据集说明文档格式》（HJ722-2014）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《环境信息数据字典规范》（HJ723-2014）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《环境基础空间数据加工处理技术规范》（HJ724-2014）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《环境信息网络验收规范》（HJ725-2014）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《环境空间数据交换技术规范》（HJ726-2014）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《环境信息交换技术规范》（HJ727-2014）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《环境信息系统测试与验收规范一一软件部分》（HJ728-2014）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《环境信息系统安全技术规范》（HJ729-2014）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《信息技术软件生存周期过程》（GB/T8566-2001）</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《环境信息术语》（HJ/T416-2007）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《环境信息分类与代码》（HJ/T417-2007）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《环境信息系统集成技术规范》（HJ/T418-2007）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《环境数据库设计与运行管理规范》（HJ/T419-2007）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《环境信息网络建设规范》（HJ460-2009）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《环境信息网络管理维护规范》（HJ461-2009）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《环境信息化标准指南》（HJ_511-2009）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《计算机信息系统安全保护等级划分准则》（GB17859-1999）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《软件工程术语》（GB/T11457-899）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《信息处理-流程图编辑符号》（GB/T15538-1995）</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《信息处理-程序构造约定》（GB13502-92（ISO5806））</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《信息处理系统配置图符号及其约定》（GB/T14085-93（ISO8790））</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《软件开发规范》（GB8566-88）</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《软件维护指南》（GB/T14079-93）</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《计算机软件需求说明编制指南》（GB9386-88）</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《计算机软件测试文件编制指南》（GB9385-88）</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《计算机软件配置管理计划规范》（GB/T12505-90）</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《计算机软件质量保证计划规范》（GB/T12504-90）</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《质量管理和质量保证标准》（ISO9000-3）</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《软件配置管理》（ISO/TC176）</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《软件文档管理指南》（GB/T16680-1996）</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《计算机信息系统安全保护等级划分准则》</w:t>
      </w:r>
    </w:p>
    <w:p>
      <w:pPr>
        <w:pStyle w:val="11"/>
        <w:adjustRightInd w:val="0"/>
        <w:snapToGrid w:val="0"/>
        <w:ind w:firstLine="560" w:firstLineChars="200"/>
        <w:rPr>
          <w:rFonts w:hint="eastAsia" w:ascii="仿宋" w:hAnsi="仿宋" w:eastAsia="仿宋" w:cs="仿宋"/>
          <w:color w:val="auto"/>
          <w:sz w:val="28"/>
          <w:szCs w:val="28"/>
        </w:rPr>
      </w:pPr>
      <w:r>
        <w:rPr>
          <w:rFonts w:hint="eastAsia" w:ascii="Times New Roman" w:eastAsia="仿宋" w:cs="Times New Roman"/>
          <w:color w:val="auto"/>
          <w:sz w:val="28"/>
          <w:szCs w:val="28"/>
          <w:highlight w:val="none"/>
        </w:rPr>
        <w:t>《</w:t>
      </w:r>
      <w:r>
        <w:rPr>
          <w:rFonts w:hint="eastAsia" w:ascii="仿宋" w:hAnsi="仿宋" w:eastAsia="仿宋" w:cs="仿宋"/>
          <w:color w:val="auto"/>
          <w:sz w:val="28"/>
          <w:szCs w:val="28"/>
        </w:rPr>
        <w:t>信息安全技术网络安全等级保护基本要求》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GB／T 22239—2019 </w:t>
      </w:r>
      <w:r>
        <w:rPr>
          <w:rFonts w:hint="eastAsia" w:ascii="仿宋" w:hAnsi="仿宋" w:eastAsia="仿宋" w:cs="仿宋"/>
          <w:color w:val="auto"/>
          <w:sz w:val="28"/>
          <w:szCs w:val="28"/>
          <w:lang w:eastAsia="zh-CN"/>
        </w:rPr>
        <w:t>）</w:t>
      </w:r>
    </w:p>
    <w:p>
      <w:pPr>
        <w:pStyle w:val="11"/>
        <w:adjustRightInd w:val="0"/>
        <w:snapToGrid w:val="0"/>
        <w:ind w:firstLine="560" w:firstLineChars="200"/>
        <w:rPr>
          <w:rFonts w:hint="eastAsia" w:ascii="仿宋" w:hAnsi="仿宋" w:eastAsia="仿宋" w:cs="仿宋"/>
          <w:color w:val="auto"/>
          <w:sz w:val="28"/>
          <w:szCs w:val="28"/>
        </w:rPr>
      </w:pPr>
      <w:bookmarkStart w:id="74" w:name="_Toc38981592"/>
      <w:bookmarkStart w:id="75" w:name="_Toc14228"/>
      <w:r>
        <w:rPr>
          <w:rFonts w:hint="eastAsia" w:ascii="仿宋" w:hAnsi="仿宋" w:eastAsia="仿宋" w:cs="仿宋"/>
          <w:color w:val="auto"/>
          <w:sz w:val="28"/>
          <w:szCs w:val="28"/>
        </w:rPr>
        <w:t>3.系统功能</w:t>
      </w:r>
      <w:bookmarkEnd w:id="74"/>
      <w:bookmarkEnd w:id="75"/>
      <w:r>
        <w:rPr>
          <w:rFonts w:hint="eastAsia" w:ascii="仿宋" w:hAnsi="仿宋" w:eastAsia="仿宋" w:cs="仿宋"/>
          <w:color w:val="auto"/>
          <w:sz w:val="28"/>
          <w:szCs w:val="28"/>
        </w:rPr>
        <w:t>及服务要求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3.1功能管理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在线监测数据智慧管理系统须能实现我公司所属水质中心现有业务流程的全面管理，提高在线监测系统管理的规范性。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可以通过软件系统的可视化数据展示在线监测数据情况，可以查看各厂在线站房的所有信息，便于管理者对水质监管进行把控。系统具有异常数据智能提醒功能，提高监管和管理质量。</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3.1.1数据查询功能</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应具有查询数据功能，主要实现对不同站点、不同监测时间内不同监测因子的实时、分钟、小时、日超标数据进行按站点、监测因子和时间区间相结合的要素查询，显示标准限值、超标值、超标倍数、缺数时长、数据标记、数据有效性等关键要素。数据查询功能还可以查询指定时段历史数据，输出结果除了常规关键要素外，还有异常总数和异常情况说明。</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3.1.2数据统计功能</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系统可根据实时数据、小时数据，单站点多指标分析，形成曲线图，根据小时数据形成日、月、季、年的统计报表；对仪器故障导致的数据异常（如0值、高值、相同值）筛选，并统计数据传输率等。</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3.1.3数据标识和读取仪器状态</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污染物在线监测（监控）系统数据传输标准》（HJ-2017）要求，系统可以对在线仪器上传的数据进行标记，可查看每种因子的数据标记。系统可以查看最近报数时间，显示当前仪器的工作状态；能识别串行通讯传输内容，采集和提取仪器工作参数与运行日志。</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3.1.4报警及预警管理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系统可对各类报警信息（高值、0值报警、同值报警、仪器故障报警、缺少试剂报警、数采仪断线报警等）进行系统通知、记录和统计分析。用户可以通过任务管理模块对通知信息进行管理和设置。</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以灵活的配置报警、预警和超标定义，报警信息（包括类型、详情等）支持网页弹出窗提示、短信通知、APP提示等方式通知相关业务人员。同时用户可以按照特定的数值，设置持续时长后作为预警触发条件。</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当系统识别到报警或预警信号时，系统将自动推送短信至负责人手机或APP，实现对各个监测点位设备的远程实时监管，便于管理人员直观快速掌握设备运行状态，快速发现并解决故障问题。</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3.1.5设备台账管理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统一维护和管理各厂公司仪器资产信息，包括站点信息、设备类型、生产厂家、品牌型号、安装位置、安装日期、验收日期、出厂唯一编码、集团资产编码、关联因子等，包括仪器量程、测量精度、曲线斜率、曲线截距等运行参数。</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3.1.6故障运维提醒</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当数据出现超标或仪器发生故障时，可派单至指定人员，待处理后，可拍照并输入文本反馈故障原因、处理情况，形成故障闭环管理。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管理人员可以查看</w:t>
      </w:r>
      <w:r>
        <w:rPr>
          <w:rFonts w:hint="eastAsia" w:ascii="仿宋" w:hAnsi="仿宋" w:eastAsia="仿宋" w:cs="仿宋"/>
          <w:color w:val="auto"/>
          <w:sz w:val="28"/>
          <w:szCs w:val="28"/>
          <w:lang w:val="en-US" w:eastAsia="zh-CN"/>
        </w:rPr>
        <w:t>或对指定运维人员下发日常或突发</w:t>
      </w:r>
      <w:r>
        <w:rPr>
          <w:rFonts w:hint="eastAsia" w:ascii="仿宋" w:hAnsi="仿宋" w:eastAsia="仿宋" w:cs="仿宋"/>
          <w:color w:val="auto"/>
          <w:sz w:val="28"/>
          <w:szCs w:val="28"/>
        </w:rPr>
        <w:t>任务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可查询开始</w:t>
      </w:r>
      <w:r>
        <w:rPr>
          <w:rFonts w:hint="eastAsia" w:ascii="仿宋" w:hAnsi="仿宋" w:eastAsia="仿宋" w:cs="仿宋"/>
          <w:color w:val="auto"/>
          <w:sz w:val="28"/>
          <w:szCs w:val="28"/>
        </w:rPr>
        <w:t>时间、完成时间、是否超标、处理反馈明细、关联凭证一览，可以催办任务，也可以亲自处理。</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3.1.7运维日志管理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系统可记录运维日志，如清洗、更换试剂、标液核查、校准校验、质控比对、废液清理、备品备件更换等进行登记记录相关重要信息，可拍照留存。</w:t>
      </w:r>
    </w:p>
    <w:p>
      <w:pPr>
        <w:pStyle w:val="12"/>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3.1.8运维工作质量评价管理</w:t>
      </w:r>
    </w:p>
    <w:p>
      <w:pPr>
        <w:pStyle w:val="13"/>
        <w:ind w:firstLine="560" w:firstLineChars="200"/>
        <w:rPr>
          <w:rFonts w:hint="default"/>
          <w:lang w:val="en-US" w:eastAsia="zh-CN"/>
        </w:rPr>
      </w:pPr>
      <w:r>
        <w:rPr>
          <w:rFonts w:hint="eastAsia" w:ascii="仿宋" w:hAnsi="仿宋" w:eastAsia="仿宋" w:cs="仿宋"/>
          <w:color w:val="auto"/>
          <w:sz w:val="28"/>
          <w:szCs w:val="28"/>
          <w:lang w:val="en-US" w:eastAsia="zh-CN"/>
        </w:rPr>
        <w:t>系统可提供各站点运维人员工作质量管理评价功能，管理人员可根据运维的工作，对故障处理工作与日常清洗工作的及时性、质控考核的通过率、台账记录的规范性以及派单任务完成的时效性等方面进行评价。</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大数据分析管理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采用先进的大数据分析技术，搭建一整套物联网、大数据、云计算、互联网技术框架，充分发挥各种成熟大数据技术的优点，规避各自的缺点，具有极强的前瞻性、可靠性和扩展性，实现“一次投入，长期使用”的目标。</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大数据分析技术处理接收和解析站点上报的每条数据外，异常识别引擎还对每条数据是否超标、是否异常、是否故障进行识别并对每个异常计算出时长、识别出数据波动规律改变、突变、离群等大数据分析标签，分析数据的价值。</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3.2系统安全管理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系统软件应提供多种安全机制来保障系统应用安全性。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3.2.1</w:t>
      </w:r>
      <w:bookmarkStart w:id="76" w:name="_Toc484615498"/>
      <w:bookmarkStart w:id="77" w:name="_Toc335332306"/>
      <w:bookmarkStart w:id="78" w:name="_Toc503787416"/>
      <w:bookmarkStart w:id="79" w:name="_Toc484984491"/>
      <w:bookmarkStart w:id="80" w:name="_Toc396044007"/>
      <w:bookmarkStart w:id="81" w:name="_Toc496104023"/>
      <w:r>
        <w:rPr>
          <w:rFonts w:hint="eastAsia" w:ascii="仿宋" w:hAnsi="仿宋" w:eastAsia="仿宋" w:cs="仿宋"/>
          <w:color w:val="auto"/>
          <w:sz w:val="28"/>
          <w:szCs w:val="28"/>
        </w:rPr>
        <w:t>用户管理</w:t>
      </w:r>
      <w:bookmarkEnd w:id="76"/>
      <w:bookmarkEnd w:id="77"/>
      <w:bookmarkEnd w:id="78"/>
      <w:bookmarkEnd w:id="79"/>
      <w:bookmarkEnd w:id="80"/>
      <w:bookmarkEnd w:id="81"/>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与其他任何信息系统相同，系统的安全性首先体现在为访问系统的每一用户定义唯一的账号（用户名），用户可以设定自己的口令（密码），密码一旦设定，系统采用一定的加密算法为密码加密。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3.2.2</w:t>
      </w:r>
      <w:bookmarkStart w:id="82" w:name="_Toc484615499"/>
      <w:bookmarkStart w:id="83" w:name="_Toc503787417"/>
      <w:bookmarkStart w:id="84" w:name="_Toc396044008"/>
      <w:bookmarkStart w:id="85" w:name="_Toc496104024"/>
      <w:bookmarkStart w:id="86" w:name="_Toc484984492"/>
      <w:bookmarkStart w:id="87" w:name="_Toc335332307"/>
      <w:r>
        <w:rPr>
          <w:rFonts w:hint="eastAsia" w:ascii="仿宋" w:hAnsi="仿宋" w:eastAsia="仿宋" w:cs="仿宋"/>
          <w:color w:val="auto"/>
          <w:sz w:val="28"/>
          <w:szCs w:val="28"/>
        </w:rPr>
        <w:t>授权-组织结构</w:t>
      </w:r>
      <w:bookmarkEnd w:id="82"/>
      <w:bookmarkEnd w:id="83"/>
      <w:bookmarkEnd w:id="84"/>
      <w:bookmarkEnd w:id="85"/>
      <w:bookmarkEnd w:id="86"/>
      <w:bookmarkEnd w:id="87"/>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系统的组织结构模块可以为用户提供其组织结构的管理，可以分级定义用户的部门，部门下设岗位，岗位下设成员。可赋予一个用户归属多个班组，可具有对多个班组、岗位数据的访问权限。</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3.2.3</w:t>
      </w:r>
      <w:bookmarkStart w:id="88" w:name="_Toc484615500"/>
      <w:bookmarkStart w:id="89" w:name="_Toc484984493"/>
      <w:bookmarkStart w:id="90" w:name="_Toc496104025"/>
      <w:bookmarkStart w:id="91" w:name="_Toc396044009"/>
      <w:bookmarkStart w:id="92" w:name="_Toc335332308"/>
      <w:bookmarkStart w:id="93" w:name="_Toc503787418"/>
      <w:r>
        <w:rPr>
          <w:rFonts w:hint="eastAsia" w:ascii="仿宋" w:hAnsi="仿宋" w:eastAsia="仿宋" w:cs="仿宋"/>
          <w:color w:val="auto"/>
          <w:sz w:val="28"/>
          <w:szCs w:val="28"/>
        </w:rPr>
        <w:t>角色</w:t>
      </w:r>
      <w:bookmarkEnd w:id="88"/>
      <w:bookmarkEnd w:id="89"/>
      <w:bookmarkEnd w:id="90"/>
      <w:bookmarkEnd w:id="91"/>
      <w:bookmarkEnd w:id="92"/>
      <w:bookmarkEnd w:id="93"/>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系统在角色管理模块中可以设置每一个角色或用户能够进入的各功能模块，并细化到使用模块中各功能都必须经过授权。通过角色授权后，每一用户在控制端能看到的只是自己角色范围内的功能模块。</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w:t>
      </w:r>
      <w:bookmarkStart w:id="94" w:name="_Toc396044012"/>
      <w:bookmarkStart w:id="95" w:name="_Toc335332311"/>
      <w:bookmarkStart w:id="96" w:name="_Toc484615503"/>
      <w:bookmarkStart w:id="97" w:name="_Toc484984496"/>
      <w:bookmarkStart w:id="98" w:name="_Toc496104028"/>
      <w:bookmarkStart w:id="99" w:name="_Toc503787421"/>
      <w:r>
        <w:rPr>
          <w:rFonts w:hint="eastAsia" w:ascii="仿宋" w:hAnsi="仿宋" w:eastAsia="仿宋" w:cs="仿宋"/>
          <w:color w:val="auto"/>
          <w:sz w:val="28"/>
          <w:szCs w:val="28"/>
        </w:rPr>
        <w:t>4系统日志</w:t>
      </w:r>
      <w:bookmarkEnd w:id="94"/>
      <w:bookmarkEnd w:id="95"/>
      <w:bookmarkEnd w:id="96"/>
      <w:bookmarkEnd w:id="97"/>
      <w:bookmarkEnd w:id="98"/>
      <w:bookmarkEnd w:id="99"/>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通过系统日志系统管理员可观察当前所有进入系统的人员和登录所在的工作站以及所有人员登录的历史记录。同时也可记录进出系统的人员、访问的模块、停留时间及对数据做出的改动，并提供根据权限不同进行逐级的日志查询。</w:t>
      </w:r>
    </w:p>
    <w:p>
      <w:pPr>
        <w:pStyle w:val="11"/>
        <w:adjustRightInd w:val="0"/>
        <w:snapToGrid w:val="0"/>
        <w:ind w:firstLine="560" w:firstLineChars="20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3数据</w:t>
      </w:r>
      <w:r>
        <w:rPr>
          <w:rFonts w:ascii="仿宋" w:hAnsi="仿宋" w:eastAsia="仿宋" w:cs="仿宋"/>
          <w:color w:val="auto"/>
          <w:sz w:val="28"/>
          <w:szCs w:val="28"/>
        </w:rPr>
        <w:t>安全</w:t>
      </w:r>
      <w:r>
        <w:rPr>
          <w:rFonts w:hint="eastAsia" w:ascii="仿宋" w:hAnsi="仿宋" w:eastAsia="仿宋" w:cs="仿宋"/>
          <w:color w:val="auto"/>
          <w:sz w:val="28"/>
          <w:szCs w:val="28"/>
        </w:rPr>
        <w:t>及网络</w:t>
      </w:r>
      <w:r>
        <w:rPr>
          <w:rFonts w:ascii="仿宋" w:hAnsi="仿宋" w:eastAsia="仿宋" w:cs="仿宋"/>
          <w:color w:val="auto"/>
          <w:sz w:val="28"/>
          <w:szCs w:val="28"/>
        </w:rPr>
        <w:t>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3.3.1</w:t>
      </w:r>
      <w:bookmarkStart w:id="100" w:name="_Toc38981603"/>
      <w:bookmarkStart w:id="101" w:name="_Toc493259441"/>
      <w:bookmarkStart w:id="102" w:name="_Toc11044"/>
      <w:r>
        <w:rPr>
          <w:rFonts w:hint="eastAsia" w:ascii="仿宋" w:hAnsi="仿宋" w:eastAsia="仿宋" w:cs="仿宋"/>
          <w:color w:val="auto"/>
          <w:sz w:val="28"/>
          <w:szCs w:val="28"/>
        </w:rPr>
        <w:t>传输加密</w:t>
      </w:r>
      <w:bookmarkEnd w:id="100"/>
      <w:bookmarkEnd w:id="101"/>
      <w:bookmarkEnd w:id="102"/>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保证数据在网络传输过程中的安全，防止出现数据丢失、泄密事故发生，系统将在数据传输过程中通过加密实现数据传输。并结合包括但不限于网络层安全隔离系统（企业版杀毒软件）、防火墙等一系列措施保证数据传输的安全。</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3.3.2信息安全等级保护测评要求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系统必须满足国家规定的</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级信息安全等级保护测评要求且通过第三方测评以及公安部门备案。</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w:t>
      </w:r>
      <w:bookmarkStart w:id="103" w:name="_Toc38981604"/>
      <w:bookmarkStart w:id="104" w:name="_Toc493259442"/>
      <w:bookmarkStart w:id="105" w:name="_Toc12019"/>
      <w:r>
        <w:rPr>
          <w:rFonts w:hint="eastAsia" w:ascii="仿宋" w:hAnsi="仿宋" w:eastAsia="仿宋" w:cs="仿宋"/>
          <w:color w:val="auto"/>
          <w:sz w:val="28"/>
          <w:szCs w:val="28"/>
        </w:rPr>
        <w:t>3数据安全</w:t>
      </w:r>
      <w:bookmarkEnd w:id="103"/>
      <w:bookmarkEnd w:id="104"/>
      <w:bookmarkEnd w:id="105"/>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系统能够满足数据定时自动备份要求，每周完成数据逻辑全备份及增量备份，每月完成数据的物理全备份。定期将系统数据进行备份，把备份数据存到异地，避免地震等不可抗力造成的数据丢失。</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3.3.4数据保密性</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系统应</w:t>
      </w:r>
      <w:r>
        <w:rPr>
          <w:rFonts w:ascii="仿宋" w:hAnsi="仿宋" w:eastAsia="仿宋" w:cs="仿宋"/>
          <w:color w:val="auto"/>
          <w:sz w:val="28"/>
          <w:szCs w:val="28"/>
        </w:rPr>
        <w:t>采用</w:t>
      </w:r>
      <w:r>
        <w:rPr>
          <w:rFonts w:hint="eastAsia" w:ascii="仿宋" w:hAnsi="仿宋" w:eastAsia="仿宋" w:cs="仿宋"/>
          <w:color w:val="auto"/>
          <w:sz w:val="28"/>
          <w:szCs w:val="28"/>
        </w:rPr>
        <w:t>安全</w:t>
      </w:r>
      <w:r>
        <w:rPr>
          <w:rFonts w:ascii="仿宋" w:hAnsi="仿宋" w:eastAsia="仿宋" w:cs="仿宋"/>
          <w:color w:val="auto"/>
          <w:sz w:val="28"/>
          <w:szCs w:val="28"/>
        </w:rPr>
        <w:t>加密</w:t>
      </w:r>
      <w:r>
        <w:rPr>
          <w:rFonts w:hint="eastAsia" w:ascii="仿宋" w:hAnsi="仿宋" w:eastAsia="仿宋" w:cs="仿宋"/>
          <w:color w:val="auto"/>
          <w:sz w:val="28"/>
          <w:szCs w:val="28"/>
        </w:rPr>
        <w:t>机制</w:t>
      </w:r>
      <w:r>
        <w:rPr>
          <w:rFonts w:ascii="仿宋" w:hAnsi="仿宋" w:eastAsia="仿宋" w:cs="仿宋"/>
          <w:color w:val="auto"/>
          <w:sz w:val="28"/>
          <w:szCs w:val="28"/>
        </w:rPr>
        <w:t>，保证数据流转</w:t>
      </w:r>
      <w:r>
        <w:rPr>
          <w:rFonts w:hint="eastAsia" w:ascii="仿宋" w:hAnsi="仿宋" w:eastAsia="仿宋" w:cs="仿宋"/>
          <w:color w:val="auto"/>
          <w:sz w:val="28"/>
          <w:szCs w:val="28"/>
        </w:rPr>
        <w:t>全流程</w:t>
      </w:r>
      <w:r>
        <w:rPr>
          <w:rFonts w:ascii="仿宋" w:hAnsi="仿宋" w:eastAsia="仿宋" w:cs="仿宋"/>
          <w:color w:val="auto"/>
          <w:sz w:val="28"/>
          <w:szCs w:val="28"/>
        </w:rPr>
        <w:t>中的安全性</w:t>
      </w:r>
      <w:r>
        <w:rPr>
          <w:rFonts w:hint="eastAsia" w:ascii="仿宋" w:hAnsi="仿宋" w:eastAsia="仿宋" w:cs="仿宋"/>
          <w:color w:val="auto"/>
          <w:sz w:val="28"/>
          <w:szCs w:val="28"/>
        </w:rPr>
        <w:t>与保密性。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3.4服务要求</w:t>
      </w:r>
    </w:p>
    <w:p>
      <w:pPr>
        <w:pStyle w:val="11"/>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货物在质保期为</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验收合格之日起1年内如有质量问题时，报价人必须立即响应。报价人应负责培训至能熟练操作使用为止。在使用期间出现问题，报价人应在接到甲方所属使用单位电话通知后</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小时内到达甲方所属使用单位</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rPr>
        <w:t>。具体服务要求详见项目商务要求。</w:t>
      </w:r>
    </w:p>
    <w:p>
      <w:pPr>
        <w:pStyle w:val="11"/>
        <w:adjustRightInd w:val="0"/>
        <w:snapToGrid w:val="0"/>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lang w:val="zh-CN"/>
        </w:rPr>
        <w:t>要求</w:t>
      </w:r>
    </w:p>
    <w:p>
      <w:pPr>
        <w:pStyle w:val="11"/>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4.1报价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须供货及时，若供货不及时给甲方造成损失，由报价单位承担赔偿。本项目不允许分包、转包。</w:t>
      </w:r>
    </w:p>
    <w:p>
      <w:pPr>
        <w:pStyle w:val="11"/>
        <w:adjustRightInd w:val="0"/>
        <w:snapToGrid w:val="0"/>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4.2报价单位确保系统的系统运维工作由报价单位所属团队负责。</w:t>
      </w:r>
    </w:p>
    <w:p>
      <w:pPr>
        <w:pStyle w:val="11"/>
        <w:adjustRightInd w:val="0"/>
        <w:snapToGrid w:val="0"/>
        <w:spacing w:line="300" w:lineRule="auto"/>
        <w:ind w:firstLine="562" w:firstLineChars="200"/>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rPr>
        <w:t>三</w:t>
      </w:r>
      <w:r>
        <w:rPr>
          <w:rFonts w:hint="eastAsia" w:ascii="仿宋" w:hAnsi="仿宋" w:eastAsia="仿宋" w:cs="仿宋"/>
          <w:b/>
          <w:color w:val="auto"/>
          <w:sz w:val="28"/>
          <w:szCs w:val="28"/>
          <w:highlight w:val="none"/>
          <w:lang w:val="zh-CN"/>
        </w:rPr>
        <w:t>、项目商务要求</w:t>
      </w:r>
    </w:p>
    <w:p>
      <w:pPr>
        <w:pStyle w:val="11"/>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1.工期：</w:t>
      </w:r>
    </w:p>
    <w:p>
      <w:pPr>
        <w:pStyle w:val="11"/>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报价人在合同签订之日起120天内，完成系统上线，并且完成设备安装、调试和联网完毕，进行系统试运行。自合同签订之日起150天内，系统稳定性、成熟度、安全性满足发包人要求。</w:t>
      </w:r>
    </w:p>
    <w:p>
      <w:pPr>
        <w:pStyle w:val="11"/>
        <w:adjustRightInd w:val="0"/>
        <w:snapToGrid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2.质量服务要求：</w:t>
      </w:r>
    </w:p>
    <w:p>
      <w:pPr>
        <w:pStyle w:val="11"/>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保期1年（自项目验收合格之日起计算）。如为软件质量问题，免费提供终身升级。除特别注明外，质保期内免费软件完善修改、版本升级、技术维护等。货物在质保期如有质量问题时，报价人必须立即响应。</w:t>
      </w:r>
    </w:p>
    <w:p>
      <w:pPr>
        <w:pStyle w:val="11"/>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质保</w:t>
      </w:r>
      <w:r>
        <w:rPr>
          <w:rFonts w:hint="eastAsia" w:ascii="仿宋" w:hAnsi="仿宋" w:eastAsia="仿宋" w:cs="仿宋"/>
          <w:color w:val="auto"/>
          <w:sz w:val="28"/>
          <w:szCs w:val="28"/>
          <w:highlight w:val="none"/>
        </w:rPr>
        <w:t>期内，报价人负责免费对系统进行维护；当该系统有新版本需升级时，报价人应当在正式运行之日起1年内进行免费升级。在保修期内，免费提供</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小时到达</w:t>
      </w:r>
      <w:r>
        <w:rPr>
          <w:rFonts w:hint="eastAsia" w:ascii="仿宋" w:hAnsi="仿宋" w:eastAsia="仿宋" w:cs="仿宋"/>
          <w:color w:val="auto"/>
          <w:sz w:val="28"/>
          <w:szCs w:val="28"/>
          <w:highlight w:val="none"/>
          <w:lang w:val="en-US" w:eastAsia="zh-CN"/>
        </w:rPr>
        <w:t>甲方所属</w:t>
      </w:r>
      <w:r>
        <w:rPr>
          <w:rFonts w:hint="eastAsia" w:ascii="仿宋" w:hAnsi="仿宋" w:eastAsia="仿宋" w:cs="仿宋"/>
          <w:color w:val="auto"/>
          <w:sz w:val="28"/>
          <w:szCs w:val="28"/>
          <w:highlight w:val="none"/>
        </w:rPr>
        <w:t>现场，</w:t>
      </w:r>
      <w:r>
        <w:rPr>
          <w:rFonts w:hint="default" w:ascii="仿宋" w:hAnsi="仿宋" w:eastAsia="仿宋" w:cs="仿宋"/>
          <w:color w:val="auto"/>
          <w:sz w:val="28"/>
          <w:szCs w:val="28"/>
          <w:highlight w:val="none"/>
          <w:lang w:val="en-US" w:eastAsia="zh-CN"/>
        </w:rPr>
        <w:t>一般情况</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rPr>
        <w:t>8小时</w:t>
      </w:r>
      <w:r>
        <w:rPr>
          <w:rFonts w:hint="eastAsia" w:ascii="仿宋" w:hAnsi="仿宋" w:eastAsia="仿宋" w:cs="仿宋"/>
          <w:color w:val="auto"/>
          <w:sz w:val="28"/>
          <w:szCs w:val="28"/>
          <w:highlight w:val="none"/>
          <w:lang w:val="en-US" w:eastAsia="zh-CN"/>
        </w:rPr>
        <w:t>内</w:t>
      </w:r>
      <w:r>
        <w:rPr>
          <w:rFonts w:hint="eastAsia" w:ascii="仿宋" w:hAnsi="仿宋" w:eastAsia="仿宋" w:cs="仿宋"/>
          <w:color w:val="auto"/>
          <w:sz w:val="28"/>
          <w:szCs w:val="28"/>
          <w:highlight w:val="none"/>
        </w:rPr>
        <w:t>修复。</w:t>
      </w:r>
    </w:p>
    <w:p>
      <w:pPr>
        <w:pStyle w:val="11"/>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（3）报价人在实际供货时，若被发现提供的货物未能达到询价文件和响应文件中的有关要求，将按有关法规进行处罚。</w:t>
      </w:r>
    </w:p>
    <w:p>
      <w:pPr>
        <w:pStyle w:val="11"/>
        <w:adjustRightInd w:val="0"/>
        <w:snapToGrid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（4）应用指导及培训：提供系统管理员培训，并于响应文件中明确培训方案，列明管理员培训的相关课程内容。报价人应负责培训至能熟练操作使用为止。</w:t>
      </w:r>
    </w:p>
    <w:p>
      <w:pPr>
        <w:pStyle w:val="11"/>
        <w:numPr>
          <w:ilvl w:val="0"/>
          <w:numId w:val="0"/>
        </w:numPr>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报价人</w:t>
      </w:r>
      <w:r>
        <w:rPr>
          <w:rFonts w:hint="eastAsia" w:ascii="仿宋" w:hAnsi="仿宋" w:eastAsia="仿宋" w:cs="仿宋"/>
          <w:color w:val="auto"/>
          <w:sz w:val="28"/>
          <w:szCs w:val="28"/>
          <w:highlight w:val="none"/>
        </w:rPr>
        <w:t>对产品提供终身维护。</w:t>
      </w:r>
    </w:p>
    <w:p>
      <w:pPr>
        <w:pStyle w:val="11"/>
        <w:numPr>
          <w:ilvl w:val="0"/>
          <w:numId w:val="0"/>
        </w:numPr>
        <w:adjustRightInd w:val="0"/>
        <w:snapToGrid w:val="0"/>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3.运维服务要求</w:t>
      </w:r>
    </w:p>
    <w:p>
      <w:pPr>
        <w:pStyle w:val="11"/>
        <w:numPr>
          <w:ilvl w:val="0"/>
          <w:numId w:val="0"/>
        </w:numPr>
        <w:adjustRightInd w:val="0"/>
        <w:snapToGrid w:val="0"/>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系统</w:t>
      </w:r>
      <w:r>
        <w:rPr>
          <w:rFonts w:hint="default" w:ascii="仿宋" w:hAnsi="仿宋" w:eastAsia="仿宋" w:cs="仿宋"/>
          <w:color w:val="auto"/>
          <w:sz w:val="28"/>
          <w:szCs w:val="28"/>
          <w:highlight w:val="none"/>
          <w:lang w:val="en-US" w:eastAsia="zh-CN"/>
        </w:rPr>
        <w:t>运维</w:t>
      </w:r>
      <w:r>
        <w:rPr>
          <w:rFonts w:hint="eastAsia" w:ascii="仿宋" w:hAnsi="仿宋" w:eastAsia="仿宋" w:cs="仿宋"/>
          <w:color w:val="auto"/>
          <w:sz w:val="28"/>
          <w:szCs w:val="28"/>
          <w:highlight w:val="none"/>
          <w:lang w:val="en-US" w:eastAsia="zh-CN"/>
        </w:rPr>
        <w:t>工作</w:t>
      </w:r>
      <w:r>
        <w:rPr>
          <w:rFonts w:hint="default"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val="en-US" w:eastAsia="zh-CN"/>
        </w:rPr>
        <w:t>报价人所属团队负责并提供终身运维服务。</w:t>
      </w:r>
    </w:p>
    <w:p>
      <w:pPr>
        <w:pStyle w:val="11"/>
        <w:numPr>
          <w:ilvl w:val="0"/>
          <w:numId w:val="0"/>
        </w:numPr>
        <w:adjustRightInd w:val="0"/>
        <w:snapToGrid w:val="0"/>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运维工作包含但不限于系统每日巡检、服务器定期巡检、应用系统与操作系统定期安全检查、系统打补丁、系统数据定期备份、系统安全口令定期更换、防火墙病毒库定期更新、系统适应性升级、系统故障处置及现场故障处理等内容。</w:t>
      </w:r>
    </w:p>
    <w:p>
      <w:pPr>
        <w:pStyle w:val="11"/>
        <w:numPr>
          <w:ilvl w:val="0"/>
          <w:numId w:val="0"/>
        </w:numPr>
        <w:adjustRightInd w:val="0"/>
        <w:snapToGrid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（3）质保期后5年内，每年运维费用（不包括云服务器和安全设备租赁费）不超过5万元，5年后运维费用以上一年运维费用为基准，每年增幅不得超过5%。不符合则视为响应文件无效。</w:t>
      </w:r>
    </w:p>
    <w:p>
      <w:pPr>
        <w:pStyle w:val="11"/>
        <w:numPr>
          <w:ilvl w:val="0"/>
          <w:numId w:val="0"/>
        </w:numPr>
        <w:adjustRightInd w:val="0"/>
        <w:snapToGrid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4.云服务器要求</w:t>
      </w:r>
    </w:p>
    <w:p>
      <w:pPr>
        <w:pStyle w:val="11"/>
        <w:numPr>
          <w:ilvl w:val="0"/>
          <w:numId w:val="0"/>
        </w:numPr>
        <w:adjustRightInd w:val="0"/>
        <w:snapToGrid w:val="0"/>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lang w:val="en-US" w:eastAsia="zh-CN"/>
        </w:rPr>
        <w:t>每台云服务器要求CPU≥8核，内存≥16GB，数据盘≥500GB，带宽≥10Mbit/s，平 均 响 应 时 间（秒）≤ 1.0 。</w:t>
      </w:r>
    </w:p>
    <w:p>
      <w:pPr>
        <w:pStyle w:val="11"/>
        <w:numPr>
          <w:ilvl w:val="0"/>
          <w:numId w:val="0"/>
        </w:numPr>
        <w:adjustRightInd w:val="0"/>
        <w:snapToGrid w:val="0"/>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（2）报价人</w:t>
      </w:r>
      <w:r>
        <w:rPr>
          <w:rFonts w:hint="eastAsia" w:ascii="仿宋" w:hAnsi="仿宋" w:eastAsia="仿宋" w:cs="仿宋"/>
          <w:color w:val="auto"/>
          <w:sz w:val="28"/>
          <w:szCs w:val="28"/>
          <w:lang w:val="en-US" w:eastAsia="zh-CN"/>
        </w:rPr>
        <w:t>必须充分考虑数据存储、系统运行所需的资源配置，选用合理的服务器资源及数量且确保系统运行后留有30%的存储余量，若资源不满足要求需及时扩容，本项目合同费用不予以增加。</w:t>
      </w:r>
    </w:p>
    <w:p>
      <w:pPr>
        <w:pStyle w:val="11"/>
        <w:numPr>
          <w:ilvl w:val="0"/>
          <w:numId w:val="0"/>
        </w:numPr>
        <w:adjustRightInd w:val="0"/>
        <w:snapToGrid w:val="0"/>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（3）云</w:t>
      </w:r>
      <w:r>
        <w:rPr>
          <w:rFonts w:hint="eastAsia" w:ascii="仿宋" w:hAnsi="仿宋" w:eastAsia="仿宋" w:cs="仿宋"/>
          <w:color w:val="auto"/>
          <w:sz w:val="28"/>
          <w:szCs w:val="28"/>
          <w:highlight w:val="none"/>
          <w:lang w:val="en-US" w:eastAsia="zh-CN"/>
        </w:rPr>
        <w:t>服务器相关的安全防护措施应按照信息安全等级保护二级要求与实际情况进行租赁，</w:t>
      </w:r>
      <w:r>
        <w:rPr>
          <w:rFonts w:hint="eastAsia" w:ascii="仿宋" w:hAnsi="仿宋" w:eastAsia="仿宋" w:cs="仿宋"/>
          <w:color w:val="auto"/>
          <w:sz w:val="28"/>
          <w:szCs w:val="28"/>
          <w:lang w:val="en-US" w:eastAsia="zh-CN"/>
        </w:rPr>
        <w:t>充分考虑运行所需的资源配置，选用合理的</w:t>
      </w:r>
      <w:r>
        <w:rPr>
          <w:rFonts w:hint="eastAsia" w:ascii="仿宋" w:hAnsi="仿宋" w:eastAsia="仿宋" w:cs="仿宋"/>
          <w:color w:val="auto"/>
          <w:sz w:val="28"/>
          <w:szCs w:val="28"/>
          <w:highlight w:val="none"/>
          <w:lang w:val="en-US" w:eastAsia="zh-CN"/>
        </w:rPr>
        <w:t>安全防护</w:t>
      </w:r>
      <w:r>
        <w:rPr>
          <w:rFonts w:hint="eastAsia" w:ascii="仿宋" w:hAnsi="仿宋" w:eastAsia="仿宋" w:cs="仿宋"/>
          <w:color w:val="auto"/>
          <w:sz w:val="28"/>
          <w:szCs w:val="28"/>
          <w:lang w:val="en-US" w:eastAsia="zh-CN"/>
        </w:rPr>
        <w:t>资源且确保系统安全运行。</w:t>
      </w:r>
    </w:p>
    <w:p>
      <w:pPr>
        <w:pStyle w:val="11"/>
        <w:numPr>
          <w:ilvl w:val="0"/>
          <w:numId w:val="0"/>
        </w:numPr>
        <w:adjustRightInd w:val="0"/>
        <w:snapToGrid w:val="0"/>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5.信息安全等级保护测评要求</w:t>
      </w:r>
    </w:p>
    <w:p>
      <w:pPr>
        <w:pStyle w:val="11"/>
        <w:numPr>
          <w:ilvl w:val="0"/>
          <w:numId w:val="0"/>
        </w:numPr>
        <w:adjustRightInd w:val="0"/>
        <w:snapToGrid w:val="0"/>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（1）系统需通过信息安全等级保护二级测评并在公安部门完成备案。</w:t>
      </w:r>
    </w:p>
    <w:p>
      <w:pPr>
        <w:pStyle w:val="11"/>
        <w:numPr>
          <w:ilvl w:val="0"/>
          <w:numId w:val="0"/>
        </w:numPr>
        <w:adjustRightInd w:val="0"/>
        <w:snapToGrid w:val="0"/>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（2）每次等保测评所需费用需与市场价格相符且合理、公正、公开。</w:t>
      </w:r>
    </w:p>
    <w:p>
      <w:pPr>
        <w:pStyle w:val="11"/>
        <w:numPr>
          <w:ilvl w:val="0"/>
          <w:numId w:val="0"/>
        </w:numPr>
        <w:adjustRightInd w:val="0"/>
        <w:snapToGrid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4.维护方式及响应时间要求</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如系统出现故障，</w:t>
      </w:r>
      <w:r>
        <w:rPr>
          <w:rFonts w:hint="eastAsia" w:ascii="仿宋" w:hAnsi="仿宋" w:eastAsia="仿宋" w:cs="仿宋"/>
          <w:color w:val="auto"/>
          <w:sz w:val="28"/>
          <w:szCs w:val="28"/>
          <w:highlight w:val="none"/>
          <w:lang w:val="en-US" w:eastAsia="zh-CN"/>
        </w:rPr>
        <w:t>报价人须在接到询价人通知30分钟内予以响应；需到现场维修时，</w:t>
      </w:r>
      <w:r>
        <w:rPr>
          <w:rFonts w:hint="eastAsia" w:ascii="仿宋" w:hAnsi="仿宋" w:eastAsia="仿宋" w:cs="仿宋"/>
          <w:color w:val="auto"/>
          <w:sz w:val="28"/>
          <w:szCs w:val="28"/>
          <w:highlight w:val="none"/>
          <w:lang w:val="en-US" w:eastAsia="zh-CN"/>
        </w:rPr>
        <w:t>2小时内到达</w:t>
      </w:r>
      <w:r>
        <w:rPr>
          <w:rFonts w:hint="eastAsia" w:ascii="仿宋" w:hAnsi="仿宋" w:eastAsia="仿宋" w:cs="仿宋"/>
          <w:color w:val="auto"/>
          <w:sz w:val="28"/>
          <w:szCs w:val="28"/>
          <w:highlight w:val="none"/>
          <w:lang w:val="en-US" w:eastAsia="zh-CN"/>
        </w:rPr>
        <w:t>甲方所属现场维修，一般情况在</w:t>
      </w:r>
      <w:r>
        <w:rPr>
          <w:rFonts w:hint="eastAsia" w:ascii="仿宋" w:hAnsi="仿宋" w:eastAsia="仿宋" w:cs="仿宋"/>
          <w:color w:val="auto"/>
          <w:sz w:val="28"/>
          <w:szCs w:val="28"/>
          <w:highlight w:val="none"/>
          <w:lang w:val="en-US" w:eastAsia="zh-CN"/>
        </w:rPr>
        <w:t>8小时内</w:t>
      </w:r>
      <w:r>
        <w:rPr>
          <w:rFonts w:hint="eastAsia" w:ascii="仿宋" w:hAnsi="仿宋" w:eastAsia="仿宋" w:cs="仿宋"/>
          <w:color w:val="auto"/>
          <w:sz w:val="28"/>
          <w:szCs w:val="28"/>
          <w:highlight w:val="none"/>
        </w:rPr>
        <w:t>修复</w:t>
      </w:r>
      <w:r>
        <w:rPr>
          <w:rFonts w:hint="eastAsia" w:ascii="仿宋" w:hAnsi="仿宋" w:eastAsia="仿宋" w:cs="仿宋"/>
          <w:color w:val="auto"/>
          <w:sz w:val="28"/>
          <w:szCs w:val="28"/>
          <w:highlight w:val="none"/>
          <w:lang w:val="en-US" w:eastAsia="zh-CN"/>
        </w:rPr>
        <w:t>，特殊情况需与询价人负责人说明情况，将在2日内提出详细解决方案及日程安排，交询价人确认。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5.人员要求</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团队需至少包含环境类或计算机信息软件类高级工程师1人、中级工程师2人。（提供在本单位近三个月社保记录，以加盖社会保险基金管理中心印章的《缴费历史明细表》或《社会保险参保人员证明》为准，加盖单位公章）</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6.其他要求</w:t>
      </w:r>
    </w:p>
    <w:p>
      <w:pPr>
        <w:pStyle w:val="11"/>
        <w:keepNext w:val="0"/>
        <w:keepLines w:val="0"/>
        <w:pageBreakBefore w:val="0"/>
        <w:widowControl w:val="0"/>
        <w:numPr>
          <w:ilvl w:val="0"/>
          <w:numId w:val="4"/>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报价人</w:t>
      </w:r>
      <w:r>
        <w:rPr>
          <w:rFonts w:hint="eastAsia" w:ascii="仿宋" w:hAnsi="仿宋" w:eastAsia="仿宋" w:cs="仿宋"/>
          <w:color w:val="auto"/>
          <w:sz w:val="28"/>
          <w:szCs w:val="28"/>
        </w:rPr>
        <w:t>需与甲方签订保密协议，对项目实施过程中获取的广州市净水有限公司及所属净水厂所有运行数据、参数、经营信息保密。</w:t>
      </w:r>
    </w:p>
    <w:p>
      <w:pPr>
        <w:pStyle w:val="11"/>
        <w:keepNext w:val="0"/>
        <w:keepLines w:val="0"/>
        <w:pageBreakBefore w:val="0"/>
        <w:widowControl w:val="0"/>
        <w:numPr>
          <w:ilvl w:val="0"/>
          <w:numId w:val="4"/>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报价人需按照要求，定期参加甲方的网络安全演练。</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.总包及分包规定：该项目不允许分包，转包。</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.甲方将自承包商履行完合同义务之日起15个工作日内组织验收，审定报价人供货的货物合格情况，进行结算审核。</w:t>
      </w:r>
    </w:p>
    <w:p>
      <w:pPr>
        <w:pStyle w:val="11"/>
        <w:adjustRightInd w:val="0"/>
        <w:snapToGrid w:val="0"/>
        <w:ind w:firstLine="560" w:firstLineChars="200"/>
        <w:rPr>
          <w:rFonts w:hint="eastAsia" w:ascii="仿宋_GB2312" w:hAnsi="仿宋_GB2312" w:eastAsia="仿宋_GB2312" w:cs="仿宋_GB2312"/>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.承包方式：以合同为准。</w:t>
      </w:r>
    </w:p>
    <w:p>
      <w:pPr>
        <w:pStyle w:val="3"/>
        <w:rPr>
          <w:rFonts w:ascii="仿宋_GB2312" w:eastAsia="仿宋_GB2312"/>
          <w:sz w:val="28"/>
          <w:szCs w:val="28"/>
        </w:rPr>
      </w:pPr>
    </w:p>
    <w:p>
      <w:pPr>
        <w:pStyle w:val="22"/>
        <w:rPr>
          <w:rFonts w:ascii="仿宋_GB2312" w:eastAsia="仿宋_GB2312"/>
          <w:sz w:val="28"/>
          <w:szCs w:val="28"/>
        </w:rPr>
      </w:pPr>
    </w:p>
    <w:p>
      <w:pPr>
        <w:pStyle w:val="4"/>
        <w:jc w:val="both"/>
        <w:rPr>
          <w:rFonts w:hint="eastAsia"/>
        </w:rPr>
      </w:pPr>
      <w:bookmarkStart w:id="106" w:name="_Toc23353"/>
      <w:bookmarkStart w:id="107" w:name="_Toc12135"/>
      <w:bookmarkStart w:id="108" w:name="_Toc4680"/>
      <w:bookmarkStart w:id="109" w:name="_Toc15570"/>
      <w:bookmarkStart w:id="110" w:name="_Toc18538"/>
      <w:bookmarkStart w:id="111" w:name="_Toc537"/>
      <w:bookmarkStart w:id="112" w:name="_Toc29835"/>
      <w:bookmarkStart w:id="113" w:name="_Toc1496"/>
      <w:bookmarkStart w:id="114" w:name="_Toc23330"/>
      <w:bookmarkStart w:id="115" w:name="_Toc1284"/>
      <w:bookmarkStart w:id="116" w:name="_Toc25925"/>
    </w:p>
    <w:p>
      <w:pPr>
        <w:pStyle w:val="4"/>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106"/>
      <w:bookmarkEnd w:id="107"/>
      <w:bookmarkEnd w:id="108"/>
      <w:bookmarkEnd w:id="109"/>
      <w:bookmarkEnd w:id="110"/>
      <w:bookmarkEnd w:id="111"/>
      <w:bookmarkEnd w:id="112"/>
      <w:bookmarkEnd w:id="113"/>
      <w:bookmarkEnd w:id="114"/>
      <w:bookmarkEnd w:id="115"/>
      <w:bookmarkEnd w:id="116"/>
    </w:p>
    <w:p>
      <w:pPr>
        <w:pStyle w:val="36"/>
      </w:pPr>
    </w:p>
    <w:p>
      <w:pPr>
        <w:pStyle w:val="4"/>
      </w:pPr>
      <w:bookmarkStart w:id="117" w:name="_Toc87616386"/>
      <w:bookmarkStart w:id="118" w:name="_Toc8183"/>
      <w:bookmarkStart w:id="119" w:name="_Toc88209949"/>
      <w:bookmarkStart w:id="120" w:name="_Toc323"/>
      <w:bookmarkStart w:id="121" w:name="_Toc12968"/>
      <w:bookmarkStart w:id="122" w:name="_Toc19686"/>
      <w:bookmarkStart w:id="123" w:name="_Toc19088"/>
      <w:bookmarkStart w:id="124" w:name="_Toc12721"/>
      <w:bookmarkStart w:id="125" w:name="_Toc12980"/>
      <w:bookmarkStart w:id="126" w:name="_Toc22797"/>
      <w:bookmarkStart w:id="127" w:name="_Toc22501"/>
      <w:bookmarkStart w:id="128" w:name="_Toc13309"/>
      <w:bookmarkStart w:id="129" w:name="_Toc1375"/>
      <w:r>
        <w:rPr>
          <w:rFonts w:hint="eastAsia"/>
        </w:rPr>
        <w:t>合同</w:t>
      </w:r>
      <w:bookmarkEnd w:id="117"/>
      <w:bookmarkEnd w:id="118"/>
      <w:bookmarkEnd w:id="119"/>
      <w:bookmarkEnd w:id="120"/>
      <w:bookmarkEnd w:id="121"/>
      <w:bookmarkEnd w:id="122"/>
      <w:bookmarkEnd w:id="123"/>
      <w:bookmarkEnd w:id="124"/>
      <w:bookmarkEnd w:id="125"/>
      <w:bookmarkEnd w:id="126"/>
      <w:bookmarkEnd w:id="127"/>
      <w:bookmarkEnd w:id="128"/>
      <w:bookmarkEnd w:id="12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pStyle w:val="3"/>
        <w:rPr>
          <w:rFonts w:ascii="方正小标宋简体" w:eastAsia="方正小标宋简体"/>
          <w:sz w:val="44"/>
          <w:szCs w:val="44"/>
        </w:rPr>
      </w:pPr>
    </w:p>
    <w:p>
      <w:pPr>
        <w:spacing w:line="400" w:lineRule="atLeast"/>
        <w:jc w:val="center"/>
        <w:rPr>
          <w:rFonts w:ascii="宋体" w:hAnsi="宋体" w:cs="宋体"/>
          <w:b/>
          <w:bCs/>
          <w:color w:val="auto"/>
          <w:sz w:val="48"/>
          <w:szCs w:val="48"/>
        </w:rPr>
      </w:pPr>
      <w:r>
        <w:rPr>
          <w:rFonts w:hint="eastAsia" w:ascii="宋体" w:hAnsi="宋体" w:cs="宋体"/>
          <w:b/>
          <w:bCs/>
          <w:color w:val="auto"/>
          <w:sz w:val="48"/>
          <w:szCs w:val="48"/>
        </w:rPr>
        <w:t>广州市净水有限公司</w:t>
      </w:r>
    </w:p>
    <w:p>
      <w:pPr>
        <w:jc w:val="center"/>
        <w:rPr>
          <w:rFonts w:hint="eastAsia" w:ascii="宋体" w:hAnsi="宋体" w:cs="宋体"/>
          <w:b/>
          <w:bCs/>
          <w:color w:val="auto"/>
          <w:sz w:val="48"/>
          <w:szCs w:val="48"/>
        </w:rPr>
      </w:pPr>
      <w:r>
        <w:rPr>
          <w:rFonts w:hint="eastAsia" w:ascii="宋体" w:hAnsi="宋体" w:cs="宋体"/>
          <w:b/>
          <w:bCs/>
          <w:color w:val="auto"/>
          <w:sz w:val="48"/>
          <w:szCs w:val="48"/>
        </w:rPr>
        <w:t>信息系统建设合同</w:t>
      </w:r>
    </w:p>
    <w:p>
      <w:pPr>
        <w:pStyle w:val="22"/>
        <w:ind w:firstLine="480"/>
        <w:rPr>
          <w:rFonts w:hint="default"/>
          <w:color w:val="auto"/>
        </w:rPr>
      </w:pPr>
    </w:p>
    <w:p>
      <w:pPr>
        <w:pStyle w:val="22"/>
        <w:ind w:firstLine="480"/>
        <w:rPr>
          <w:rFonts w:hint="default"/>
          <w:color w:val="auto"/>
        </w:rPr>
      </w:pPr>
    </w:p>
    <w:p>
      <w:pPr>
        <w:pStyle w:val="22"/>
        <w:ind w:firstLine="480"/>
        <w:rPr>
          <w:rFonts w:hint="default"/>
          <w:color w:val="auto"/>
        </w:rPr>
      </w:pPr>
    </w:p>
    <w:p>
      <w:pPr>
        <w:pStyle w:val="22"/>
        <w:ind w:firstLine="480"/>
        <w:rPr>
          <w:rFonts w:hint="default"/>
          <w:color w:val="auto"/>
        </w:rPr>
      </w:pPr>
    </w:p>
    <w:p>
      <w:pPr>
        <w:pStyle w:val="7"/>
        <w:rPr>
          <w:color w:val="auto"/>
        </w:rPr>
      </w:pPr>
    </w:p>
    <w:p>
      <w:pPr>
        <w:ind w:left="1500" w:hanging="1500" w:hangingChars="500"/>
        <w:rPr>
          <w:rFonts w:ascii="Times New Roman" w:hAnsi="Times New Roman" w:cs="Times New Roman"/>
          <w:color w:val="auto"/>
          <w:sz w:val="30"/>
        </w:rPr>
      </w:pPr>
      <w:r>
        <w:rPr>
          <w:rFonts w:ascii="Times New Roman" w:hAnsi="Times New Roman" w:cs="Times New Roman"/>
          <w:color w:val="auto"/>
          <w:sz w:val="30"/>
        </w:rPr>
        <w:t>项目名称：广州市净水有限公司在线监测数据智慧管理系统采购项目</w:t>
      </w:r>
    </w:p>
    <w:p>
      <w:pPr>
        <w:rPr>
          <w:rFonts w:ascii="Times New Roman" w:hAnsi="Times New Roman" w:cs="Times New Roman"/>
          <w:color w:val="auto"/>
          <w:sz w:val="30"/>
          <w:szCs w:val="30"/>
        </w:rPr>
      </w:pPr>
      <w:r>
        <w:rPr>
          <w:rFonts w:ascii="Times New Roman" w:hAnsi="Times New Roman" w:cs="Times New Roman"/>
          <w:color w:val="auto"/>
          <w:sz w:val="30"/>
        </w:rPr>
        <w:t>合同编号：</w:t>
      </w:r>
      <w:r>
        <w:rPr>
          <w:rFonts w:ascii="Times New Roman" w:hAnsi="Times New Roman" w:cs="Times New Roman"/>
          <w:b/>
          <w:bCs/>
          <w:color w:val="auto"/>
          <w:sz w:val="30"/>
          <w:szCs w:val="30"/>
        </w:rPr>
        <w:t>穗净水合[     ]      号</w:t>
      </w:r>
    </w:p>
    <w:p>
      <w:pPr>
        <w:rPr>
          <w:rFonts w:ascii="Times New Roman" w:hAnsi="Times New Roman" w:cs="Times New Roman"/>
          <w:color w:val="auto"/>
          <w:sz w:val="30"/>
          <w:szCs w:val="30"/>
        </w:rPr>
      </w:pPr>
    </w:p>
    <w:p>
      <w:pPr>
        <w:pStyle w:val="7"/>
        <w:ind w:firstLine="0"/>
        <w:rPr>
          <w:color w:val="auto"/>
          <w:sz w:val="30"/>
          <w:szCs w:val="30"/>
        </w:rPr>
      </w:pPr>
    </w:p>
    <w:p>
      <w:pPr>
        <w:rPr>
          <w:rFonts w:ascii="Times New Roman" w:hAnsi="Times New Roman" w:cs="Times New Roman"/>
          <w:color w:val="auto"/>
          <w:sz w:val="30"/>
          <w:u w:val="single"/>
        </w:rPr>
      </w:pPr>
      <w:r>
        <w:rPr>
          <w:rFonts w:ascii="Times New Roman" w:hAnsi="Times New Roman" w:cs="Times New Roman"/>
          <w:color w:val="auto"/>
          <w:sz w:val="30"/>
        </w:rPr>
        <w:t>甲方（买方）：</w:t>
      </w:r>
      <w:r>
        <w:rPr>
          <w:rFonts w:ascii="Times New Roman" w:hAnsi="Times New Roman" w:cs="Times New Roman"/>
          <w:color w:val="auto"/>
          <w:sz w:val="30"/>
          <w:u w:val="single"/>
        </w:rPr>
        <w:t>广州市净水有限公司</w:t>
      </w:r>
    </w:p>
    <w:p>
      <w:pPr>
        <w:pStyle w:val="7"/>
        <w:rPr>
          <w:color w:val="auto"/>
          <w:sz w:val="30"/>
          <w:u w:val="single"/>
        </w:rPr>
      </w:pPr>
    </w:p>
    <w:p>
      <w:pPr>
        <w:pStyle w:val="7"/>
        <w:ind w:firstLine="0"/>
        <w:rPr>
          <w:color w:val="auto"/>
          <w:sz w:val="30"/>
          <w:u w:val="single"/>
        </w:rPr>
      </w:pPr>
    </w:p>
    <w:p>
      <w:pPr>
        <w:rPr>
          <w:rFonts w:ascii="Times New Roman" w:hAnsi="Times New Roman" w:cs="Times New Roman"/>
          <w:color w:val="auto"/>
          <w:sz w:val="30"/>
        </w:rPr>
      </w:pPr>
      <w:r>
        <w:rPr>
          <w:rFonts w:ascii="Times New Roman" w:hAnsi="Times New Roman" w:cs="Times New Roman"/>
          <w:color w:val="auto"/>
          <w:sz w:val="30"/>
        </w:rPr>
        <w:t>乙方（卖方）：</w:t>
      </w:r>
      <w:r>
        <w:rPr>
          <w:rFonts w:ascii="Times New Roman" w:hAnsi="Times New Roman" w:cs="Times New Roman"/>
          <w:color w:val="auto"/>
          <w:sz w:val="30"/>
          <w:u w:val="single"/>
        </w:rPr>
        <w:t xml:space="preserve">                                        </w:t>
      </w:r>
      <w:r>
        <w:rPr>
          <w:rFonts w:ascii="Times New Roman" w:hAnsi="Times New Roman" w:cs="Times New Roman"/>
          <w:color w:val="auto"/>
          <w:sz w:val="30"/>
        </w:rPr>
        <w:t xml:space="preserve"> </w:t>
      </w:r>
    </w:p>
    <w:p>
      <w:pPr>
        <w:pStyle w:val="46"/>
        <w:spacing w:line="500" w:lineRule="exact"/>
        <w:jc w:val="center"/>
        <w:rPr>
          <w:rFonts w:ascii="Times New Roman" w:hAnsi="Times New Roman" w:eastAsia="宋体"/>
          <w:b/>
          <w:bCs/>
          <w:color w:val="auto"/>
          <w:sz w:val="36"/>
          <w:szCs w:val="36"/>
          <w:lang w:val="zh-CN" w:eastAsia="zh-CN"/>
        </w:rPr>
      </w:pPr>
    </w:p>
    <w:p>
      <w:pPr>
        <w:spacing w:before="93" w:beforeLines="30" w:line="480" w:lineRule="exact"/>
        <w:ind w:firstLine="720" w:firstLineChars="300"/>
        <w:rPr>
          <w:rFonts w:ascii="宋体" w:hAnsi="宋体" w:cs="宋体"/>
          <w:color w:val="auto"/>
          <w:sz w:val="24"/>
          <w:szCs w:val="24"/>
        </w:rPr>
      </w:pPr>
      <w:r>
        <w:rPr>
          <w:rFonts w:ascii="Times New Roman" w:hAnsi="Times New Roman" w:cs="Times New Roman"/>
          <w:color w:val="auto"/>
          <w:sz w:val="24"/>
          <w:szCs w:val="24"/>
        </w:rPr>
        <w:br w:type="page"/>
      </w:r>
      <w:r>
        <w:rPr>
          <w:rFonts w:hint="eastAsia" w:ascii="宋体" w:hAnsi="宋体" w:cs="宋体"/>
          <w:color w:val="auto"/>
          <w:sz w:val="24"/>
          <w:szCs w:val="24"/>
          <w:u w:val="single"/>
        </w:rPr>
        <w:t>广州市净水有限公司</w:t>
      </w:r>
      <w:r>
        <w:rPr>
          <w:rFonts w:hint="eastAsia" w:ascii="宋体" w:hAnsi="宋体" w:cs="宋体"/>
          <w:color w:val="auto"/>
          <w:sz w:val="24"/>
          <w:szCs w:val="24"/>
        </w:rPr>
        <w:t>（以下简称“甲方”）与</w:t>
      </w:r>
      <w:r>
        <w:rPr>
          <w:rFonts w:hint="eastAsia" w:ascii="宋体" w:hAnsi="宋体" w:cs="宋体"/>
          <w:color w:val="auto"/>
          <w:sz w:val="24"/>
          <w:szCs w:val="24"/>
          <w:u w:val="single"/>
        </w:rPr>
        <w:t xml:space="preserve">    …  </w:t>
      </w:r>
      <w:r>
        <w:rPr>
          <w:rFonts w:hint="eastAsia" w:ascii="宋体" w:hAnsi="宋体" w:cs="宋体"/>
          <w:color w:val="auto"/>
          <w:sz w:val="24"/>
          <w:szCs w:val="24"/>
        </w:rPr>
        <w:t>（以下简称“乙方”）依照</w:t>
      </w:r>
      <w:r>
        <w:rPr>
          <w:rFonts w:hint="eastAsia" w:ascii="宋体" w:hAnsi="宋体" w:cs="宋体"/>
          <w:color w:val="auto"/>
          <w:sz w:val="24"/>
          <w:szCs w:val="24"/>
          <w:shd w:val="clear" w:color="auto" w:fill="FFFFFF"/>
        </w:rPr>
        <w:t>《中华人民共和国网络安全法》及相关</w:t>
      </w:r>
      <w:r>
        <w:rPr>
          <w:rFonts w:hint="eastAsia" w:ascii="宋体" w:hAnsi="宋体" w:cs="宋体"/>
          <w:color w:val="auto"/>
          <w:sz w:val="24"/>
          <w:szCs w:val="24"/>
        </w:rPr>
        <w:t>法律法规，就</w:t>
      </w:r>
      <w:r>
        <w:rPr>
          <w:rFonts w:hint="eastAsia" w:ascii="宋体" w:hAnsi="宋体" w:cs="宋体"/>
          <w:color w:val="auto"/>
          <w:sz w:val="24"/>
          <w:szCs w:val="24"/>
          <w:u w:val="single"/>
        </w:rPr>
        <w:t xml:space="preserve">  … </w:t>
      </w:r>
      <w:r>
        <w:rPr>
          <w:rFonts w:hint="eastAsia" w:ascii="宋体" w:hAnsi="宋体" w:cs="宋体"/>
          <w:color w:val="auto"/>
          <w:sz w:val="24"/>
          <w:szCs w:val="24"/>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一、组成合同的文件及优先顺序</w:t>
      </w:r>
    </w:p>
    <w:p>
      <w:pPr>
        <w:spacing w:line="480" w:lineRule="exact"/>
        <w:ind w:firstLine="482"/>
        <w:rPr>
          <w:rFonts w:ascii="宋体" w:hAnsi="宋体" w:cs="宋体"/>
          <w:bCs/>
          <w:color w:val="auto"/>
          <w:sz w:val="24"/>
          <w:szCs w:val="24"/>
        </w:rPr>
      </w:pPr>
      <w:r>
        <w:rPr>
          <w:rFonts w:hint="eastAsia" w:ascii="宋体" w:hAnsi="宋体" w:cs="宋体"/>
          <w:bCs/>
          <w:color w:val="auto"/>
          <w:sz w:val="24"/>
          <w:szCs w:val="24"/>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auto"/>
          <w:sz w:val="24"/>
          <w:szCs w:val="24"/>
        </w:rPr>
      </w:pPr>
      <w:r>
        <w:rPr>
          <w:rFonts w:hint="eastAsia" w:ascii="宋体" w:hAnsi="宋体" w:cs="宋体"/>
          <w:bCs/>
          <w:color w:val="auto"/>
          <w:sz w:val="24"/>
          <w:szCs w:val="24"/>
        </w:rPr>
        <w:t xml:space="preserve">⑴ </w:t>
      </w:r>
      <w:r>
        <w:rPr>
          <w:rFonts w:hint="eastAsia" w:ascii="宋体" w:hAnsi="宋体" w:cs="宋体"/>
          <w:color w:val="auto"/>
          <w:sz w:val="24"/>
          <w:szCs w:val="24"/>
        </w:rPr>
        <w:t>在本合同实施过程双方签署的补充与修正文件</w:t>
      </w:r>
      <w:r>
        <w:rPr>
          <w:rFonts w:hint="eastAsia" w:ascii="宋体" w:hAnsi="宋体" w:cs="宋体"/>
          <w:bCs/>
          <w:color w:val="auto"/>
          <w:sz w:val="24"/>
          <w:szCs w:val="24"/>
        </w:rPr>
        <w:t>；</w:t>
      </w:r>
    </w:p>
    <w:p>
      <w:pPr>
        <w:spacing w:line="480" w:lineRule="exact"/>
        <w:ind w:firstLine="482"/>
        <w:rPr>
          <w:rFonts w:ascii="宋体" w:hAnsi="宋体" w:cs="宋体"/>
          <w:bCs/>
          <w:color w:val="auto"/>
          <w:sz w:val="24"/>
          <w:szCs w:val="24"/>
        </w:rPr>
      </w:pPr>
      <w:r>
        <w:rPr>
          <w:rFonts w:hint="eastAsia" w:ascii="宋体" w:hAnsi="宋体" w:cs="宋体"/>
          <w:bCs/>
          <w:color w:val="auto"/>
          <w:sz w:val="24"/>
          <w:szCs w:val="24"/>
        </w:rPr>
        <w:t>⑵ 本合同书；</w:t>
      </w:r>
    </w:p>
    <w:p>
      <w:pPr>
        <w:spacing w:line="480" w:lineRule="exact"/>
        <w:ind w:firstLine="482"/>
        <w:rPr>
          <w:rFonts w:hint="eastAsia" w:ascii="宋体" w:hAnsi="宋体" w:cs="宋体"/>
          <w:bCs/>
          <w:color w:val="auto"/>
          <w:sz w:val="24"/>
          <w:szCs w:val="24"/>
        </w:rPr>
      </w:pPr>
      <w:r>
        <w:rPr>
          <w:rFonts w:hint="eastAsia" w:ascii="宋体" w:hAnsi="宋体" w:cs="宋体"/>
          <w:bCs/>
          <w:color w:val="auto"/>
          <w:sz w:val="24"/>
          <w:szCs w:val="24"/>
        </w:rPr>
        <w:t>⑶</w:t>
      </w:r>
      <w:r>
        <w:rPr>
          <w:rFonts w:hint="eastAsia" w:ascii="宋体" w:hAnsi="宋体" w:cs="宋体"/>
          <w:bCs/>
          <w:color w:val="auto"/>
          <w:sz w:val="24"/>
          <w:szCs w:val="24"/>
          <w:lang w:val="en-US" w:eastAsia="zh-CN"/>
        </w:rPr>
        <w:t xml:space="preserve"> </w:t>
      </w:r>
      <w:r>
        <w:rPr>
          <w:rFonts w:hint="eastAsia" w:ascii="宋体" w:hAnsi="宋体" w:eastAsia="宋体" w:cs="宋体"/>
          <w:bCs/>
          <w:color w:val="000000"/>
          <w:sz w:val="24"/>
          <w:szCs w:val="24"/>
          <w:highlight w:val="none"/>
        </w:rPr>
        <w:t>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r>
        <w:rPr>
          <w:rFonts w:hint="eastAsia" w:ascii="宋体" w:hAnsi="宋体" w:cs="宋体"/>
          <w:bCs/>
          <w:color w:val="auto"/>
          <w:sz w:val="24"/>
          <w:szCs w:val="24"/>
        </w:rPr>
        <w:t>；</w:t>
      </w:r>
    </w:p>
    <w:p>
      <w:pPr>
        <w:spacing w:line="480" w:lineRule="exact"/>
        <w:ind w:firstLine="482"/>
        <w:rPr>
          <w:rFonts w:ascii="宋体" w:hAnsi="宋体" w:cs="宋体"/>
          <w:bCs/>
          <w:color w:val="auto"/>
          <w:sz w:val="24"/>
          <w:szCs w:val="24"/>
        </w:rPr>
      </w:pPr>
      <w:r>
        <w:rPr>
          <w:rFonts w:hint="eastAsia" w:ascii="宋体" w:hAnsi="宋体" w:cs="宋体"/>
          <w:bCs/>
          <w:color w:val="auto"/>
          <w:sz w:val="24"/>
          <w:szCs w:val="24"/>
        </w:rPr>
        <w:t>⑷</w:t>
      </w:r>
      <w:r>
        <w:rPr>
          <w:rFonts w:hint="eastAsia" w:ascii="宋体" w:hAnsi="宋体" w:cs="宋体"/>
          <w:bCs/>
          <w:color w:val="auto"/>
          <w:sz w:val="24"/>
          <w:szCs w:val="24"/>
          <w:lang w:val="en-US" w:eastAsia="zh-CN"/>
        </w:rPr>
        <w:t xml:space="preserve"> </w:t>
      </w:r>
      <w:r>
        <w:rPr>
          <w:rFonts w:hint="eastAsia" w:ascii="宋体" w:hAnsi="宋体" w:cs="宋体"/>
          <w:bCs/>
          <w:color w:val="000000"/>
          <w:sz w:val="24"/>
          <w:szCs w:val="24"/>
          <w:highlight w:val="none"/>
        </w:rPr>
        <w:t>招标文件/询价文件</w:t>
      </w:r>
      <w:r>
        <w:rPr>
          <w:rFonts w:hint="eastAsia" w:ascii="宋体" w:hAnsi="宋体" w:cs="宋体"/>
          <w:bCs/>
          <w:color w:val="auto"/>
          <w:sz w:val="24"/>
          <w:szCs w:val="24"/>
        </w:rPr>
        <w:t>；</w:t>
      </w:r>
    </w:p>
    <w:p>
      <w:pPr>
        <w:spacing w:line="480" w:lineRule="exact"/>
        <w:ind w:firstLine="482"/>
        <w:rPr>
          <w:rFonts w:ascii="宋体" w:hAnsi="宋体" w:cs="宋体"/>
          <w:bCs/>
          <w:color w:val="auto"/>
          <w:sz w:val="24"/>
          <w:szCs w:val="24"/>
        </w:rPr>
      </w:pPr>
      <w:r>
        <w:rPr>
          <w:rFonts w:hint="eastAsia" w:ascii="宋体" w:hAnsi="宋体" w:cs="宋体"/>
          <w:bCs/>
          <w:color w:val="auto"/>
          <w:sz w:val="24"/>
          <w:szCs w:val="24"/>
        </w:rPr>
        <w:t xml:space="preserve">⑸ </w:t>
      </w:r>
      <w:r>
        <w:rPr>
          <w:rFonts w:hint="eastAsia" w:ascii="宋体" w:hAnsi="宋体" w:cs="宋体"/>
          <w:bCs/>
          <w:color w:val="000000"/>
          <w:sz w:val="24"/>
          <w:szCs w:val="24"/>
          <w:highlight w:val="none"/>
        </w:rPr>
        <w:t>投标文件/响应文件</w:t>
      </w:r>
      <w:r>
        <w:rPr>
          <w:rFonts w:hint="eastAsia" w:ascii="宋体" w:hAnsi="宋体" w:cs="宋体"/>
          <w:bCs/>
          <w:color w:val="auto"/>
          <w:sz w:val="24"/>
          <w:szCs w:val="24"/>
        </w:rPr>
        <w:t>；</w:t>
      </w:r>
    </w:p>
    <w:p>
      <w:pPr>
        <w:spacing w:line="480" w:lineRule="exact"/>
        <w:ind w:firstLine="482"/>
        <w:rPr>
          <w:rFonts w:ascii="宋体" w:hAnsi="宋体" w:cs="宋体"/>
          <w:bCs/>
          <w:color w:val="auto"/>
          <w:sz w:val="24"/>
          <w:szCs w:val="24"/>
        </w:rPr>
      </w:pPr>
      <w:r>
        <w:rPr>
          <w:rFonts w:hint="eastAsia" w:ascii="宋体" w:hAnsi="宋体" w:cs="宋体"/>
          <w:bCs/>
          <w:color w:val="auto"/>
          <w:sz w:val="24"/>
          <w:szCs w:val="24"/>
        </w:rPr>
        <w:t>⑹ 标准、规范及有关技术性文件；</w:t>
      </w:r>
    </w:p>
    <w:p>
      <w:pP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⑺ 技术需求书</w:t>
      </w:r>
    </w:p>
    <w:p>
      <w:pPr>
        <w:spacing w:line="480" w:lineRule="exact"/>
        <w:ind w:firstLine="360" w:firstLineChars="150"/>
        <w:rPr>
          <w:rFonts w:ascii="宋体" w:hAnsi="宋体" w:cs="宋体"/>
          <w:bCs/>
          <w:color w:val="auto"/>
          <w:sz w:val="24"/>
          <w:szCs w:val="24"/>
        </w:rPr>
      </w:pPr>
      <w:r>
        <w:rPr>
          <w:rFonts w:hint="eastAsia" w:ascii="宋体" w:hAnsi="宋体" w:cs="宋体"/>
          <w:bCs/>
          <w:color w:val="auto"/>
          <w:sz w:val="24"/>
          <w:szCs w:val="24"/>
        </w:rPr>
        <w:t>（8） 本合同其他附件；</w:t>
      </w:r>
    </w:p>
    <w:p>
      <w:pPr>
        <w:spacing w:line="480" w:lineRule="exact"/>
        <w:rPr>
          <w:rFonts w:ascii="宋体" w:hAnsi="宋体" w:cs="宋体"/>
          <w:b/>
          <w:color w:val="auto"/>
          <w:sz w:val="24"/>
          <w:szCs w:val="24"/>
        </w:rPr>
      </w:pPr>
      <w:r>
        <w:rPr>
          <w:rFonts w:hint="eastAsia" w:ascii="宋体" w:hAnsi="宋体" w:cs="宋体"/>
          <w:color w:val="auto"/>
          <w:sz w:val="24"/>
          <w:szCs w:val="24"/>
        </w:rPr>
        <w:t>　　</w:t>
      </w:r>
      <w:r>
        <w:rPr>
          <w:rFonts w:hint="eastAsia" w:ascii="宋体" w:hAnsi="宋体" w:cs="宋体"/>
          <w:b/>
          <w:color w:val="auto"/>
          <w:sz w:val="24"/>
          <w:szCs w:val="24"/>
        </w:rPr>
        <w:t>二、服务内容及建设目标：</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2.1服务内容：</w:t>
      </w:r>
      <w:r>
        <w:rPr>
          <w:rFonts w:hint="eastAsia" w:ascii="宋体" w:hAnsi="宋体" w:cs="宋体"/>
          <w:color w:val="auto"/>
          <w:sz w:val="24"/>
          <w:szCs w:val="24"/>
          <w:u w:val="single"/>
        </w:rPr>
        <w:t xml:space="preserve"> 详见技术需求书      </w:t>
      </w:r>
    </w:p>
    <w:p>
      <w:pPr>
        <w:spacing w:line="480" w:lineRule="exact"/>
        <w:ind w:firstLine="480"/>
        <w:rPr>
          <w:rFonts w:ascii="宋体" w:hAnsi="宋体" w:cs="宋体"/>
          <w:color w:val="auto"/>
          <w:sz w:val="24"/>
          <w:szCs w:val="24"/>
          <w:u w:val="single"/>
        </w:rPr>
      </w:pPr>
      <w:r>
        <w:rPr>
          <w:rFonts w:hint="eastAsia" w:ascii="宋体" w:hAnsi="宋体" w:cs="宋体"/>
          <w:color w:val="auto"/>
          <w:sz w:val="24"/>
          <w:szCs w:val="24"/>
        </w:rPr>
        <w:t>2.2建设目标：</w:t>
      </w:r>
      <w:r>
        <w:rPr>
          <w:rFonts w:hint="eastAsia" w:ascii="宋体" w:hAnsi="宋体" w:cs="宋体"/>
          <w:color w:val="auto"/>
          <w:sz w:val="24"/>
          <w:szCs w:val="24"/>
          <w:u w:val="single"/>
        </w:rPr>
        <w:t xml:space="preserve"> 详见技术需求书     </w:t>
      </w:r>
    </w:p>
    <w:p>
      <w:pPr>
        <w:spacing w:line="480" w:lineRule="exact"/>
        <w:ind w:firstLine="480"/>
        <w:rPr>
          <w:rFonts w:ascii="宋体" w:hAnsi="宋体" w:cs="宋体"/>
          <w:color w:val="auto"/>
          <w:sz w:val="24"/>
          <w:szCs w:val="24"/>
          <w:u w:val="single"/>
        </w:rPr>
      </w:pPr>
      <w:r>
        <w:rPr>
          <w:rFonts w:hint="eastAsia" w:ascii="宋体" w:hAnsi="宋体" w:cs="宋体"/>
          <w:color w:val="auto"/>
          <w:sz w:val="24"/>
          <w:szCs w:val="24"/>
          <w:u w:val="single"/>
        </w:rPr>
        <w:t>（详见技术需求书）</w:t>
      </w:r>
    </w:p>
    <w:p>
      <w:pPr>
        <w:spacing w:line="480" w:lineRule="exact"/>
        <w:ind w:firstLine="482" w:firstLineChars="200"/>
        <w:rPr>
          <w:rFonts w:ascii="宋体" w:hAnsi="宋体" w:cs="宋体"/>
          <w:color w:val="auto"/>
          <w:sz w:val="24"/>
          <w:szCs w:val="24"/>
        </w:rPr>
      </w:pPr>
      <w:r>
        <w:rPr>
          <w:rFonts w:hint="eastAsia" w:ascii="宋体" w:hAnsi="宋体" w:cs="宋体"/>
          <w:b/>
          <w:color w:val="auto"/>
          <w:sz w:val="24"/>
          <w:szCs w:val="24"/>
        </w:rPr>
        <w:t>三、建设周期及承包方式：</w:t>
      </w:r>
    </w:p>
    <w:p>
      <w:pPr>
        <w:spacing w:line="480" w:lineRule="exact"/>
        <w:rPr>
          <w:rFonts w:ascii="宋体" w:hAnsi="宋体" w:cs="宋体"/>
          <w:color w:val="auto"/>
          <w:sz w:val="24"/>
          <w:szCs w:val="24"/>
        </w:rPr>
      </w:pPr>
      <w:r>
        <w:rPr>
          <w:rFonts w:hint="eastAsia" w:ascii="宋体" w:hAnsi="宋体" w:cs="宋体"/>
          <w:color w:val="auto"/>
          <w:sz w:val="24"/>
          <w:szCs w:val="24"/>
        </w:rPr>
        <w:t>　　3.1建设周期：</w:t>
      </w:r>
      <w:r>
        <w:rPr>
          <w:rFonts w:hint="eastAsia" w:ascii="宋体" w:hAnsi="宋体" w:cs="宋体"/>
          <w:color w:val="auto"/>
          <w:sz w:val="24"/>
          <w:szCs w:val="24"/>
          <w:u w:val="single"/>
        </w:rPr>
        <w:t xml:space="preserve"> </w:t>
      </w:r>
      <w:r>
        <w:rPr>
          <w:rFonts w:hint="eastAsia" w:ascii="Times New Roman" w:hAnsi="Times New Roman" w:eastAsia="仿宋" w:cs="Times New Roman"/>
          <w:color w:val="auto"/>
          <w:sz w:val="24"/>
          <w:szCs w:val="24"/>
          <w:u w:val="single"/>
        </w:rPr>
        <w:t>150</w:t>
      </w:r>
      <w:r>
        <w:rPr>
          <w:rFonts w:ascii="Times New Roman" w:hAnsi="Times New Roman" w:eastAsia="仿宋" w:cs="Times New Roman"/>
          <w:color w:val="auto"/>
          <w:sz w:val="24"/>
          <w:szCs w:val="24"/>
          <w:u w:val="single"/>
        </w:rPr>
        <w:t>天</w:t>
      </w:r>
    </w:p>
    <w:p>
      <w:pPr>
        <w:spacing w:line="480" w:lineRule="exact"/>
        <w:ind w:firstLine="480" w:firstLineChars="200"/>
        <w:outlineLvl w:val="0"/>
        <w:rPr>
          <w:rFonts w:hint="eastAsia" w:ascii="宋体" w:hAnsi="宋体" w:cs="宋体"/>
          <w:color w:val="auto"/>
          <w:sz w:val="24"/>
          <w:szCs w:val="24"/>
          <w:u w:val="single"/>
        </w:rPr>
      </w:pPr>
      <w:r>
        <w:rPr>
          <w:rFonts w:ascii="宋体" w:hAnsi="宋体" w:cs="宋体"/>
          <w:color w:val="auto"/>
          <w:sz w:val="24"/>
          <w:szCs w:val="24"/>
        </w:rPr>
        <w:t>3.2</w:t>
      </w:r>
      <w:r>
        <w:rPr>
          <w:rFonts w:hint="eastAsia" w:ascii="宋体" w:hAnsi="宋体" w:cs="宋体"/>
          <w:color w:val="auto"/>
          <w:sz w:val="24"/>
          <w:szCs w:val="24"/>
        </w:rPr>
        <w:t>进度要求：</w:t>
      </w:r>
      <w:r>
        <w:rPr>
          <w:rFonts w:hint="eastAsia" w:ascii="宋体" w:hAnsi="宋体" w:cs="宋体"/>
          <w:color w:val="auto"/>
          <w:sz w:val="24"/>
          <w:szCs w:val="24"/>
          <w:u w:val="single"/>
        </w:rPr>
        <w:t>自合同生效日起120日内完成系统上线，并且完成设备安装、调试和联网完毕，进行系统试运行。自合同生效日起150天内，系统稳定性、成熟度、安全性满足发包人要求。</w:t>
      </w:r>
    </w:p>
    <w:p>
      <w:pPr>
        <w:spacing w:line="480" w:lineRule="exact"/>
        <w:ind w:firstLine="480" w:firstLineChars="200"/>
        <w:outlineLvl w:val="0"/>
        <w:rPr>
          <w:rFonts w:ascii="宋体" w:hAnsi="宋体" w:cs="宋体"/>
          <w:color w:val="auto"/>
          <w:sz w:val="24"/>
          <w:szCs w:val="24"/>
        </w:rPr>
      </w:pPr>
      <w:r>
        <w:rPr>
          <w:rFonts w:hint="eastAsia" w:ascii="宋体" w:hAnsi="宋体" w:cs="宋体"/>
          <w:color w:val="auto"/>
          <w:sz w:val="24"/>
          <w:szCs w:val="24"/>
        </w:rPr>
        <w:t>3.3承包方式按以下形式执行。</w:t>
      </w:r>
    </w:p>
    <w:p>
      <w:pPr>
        <w:spacing w:line="480" w:lineRule="exact"/>
        <w:ind w:firstLine="480" w:firstLineChars="200"/>
        <w:outlineLvl w:val="0"/>
        <w:rPr>
          <w:rFonts w:ascii="宋体" w:hAnsi="宋体" w:cs="宋体"/>
          <w:color w:val="auto"/>
          <w:sz w:val="24"/>
          <w:szCs w:val="24"/>
          <w:u w:val="single"/>
        </w:rPr>
      </w:pPr>
      <w:r>
        <w:rPr>
          <w:rFonts w:hint="eastAsia" w:ascii="宋体" w:hAnsi="宋体" w:cs="宋体"/>
          <w:color w:val="auto"/>
          <w:sz w:val="24"/>
          <w:szCs w:val="24"/>
        </w:rPr>
        <w:t>本合同为总价包干形式，合同价包括但不限于：</w:t>
      </w:r>
      <w:r>
        <w:rPr>
          <w:rFonts w:hint="eastAsia" w:ascii="宋体" w:hAnsi="宋体" w:cs="宋体"/>
          <w:color w:val="auto"/>
          <w:sz w:val="24"/>
          <w:szCs w:val="24"/>
          <w:u w:val="single"/>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3.4合同服务期内，如甲方增加服务内容，甲乙双方对新增工作、完成时间及相关费用等协商一致后签订补充协议。</w:t>
      </w:r>
    </w:p>
    <w:p>
      <w:pPr>
        <w:spacing w:line="480" w:lineRule="exact"/>
        <w:ind w:firstLine="482" w:firstLineChars="200"/>
        <w:outlineLvl w:val="0"/>
        <w:rPr>
          <w:rFonts w:ascii="宋体" w:hAnsi="宋体" w:cs="宋体"/>
          <w:b/>
          <w:color w:val="auto"/>
          <w:sz w:val="24"/>
          <w:szCs w:val="24"/>
        </w:rPr>
      </w:pPr>
      <w:r>
        <w:rPr>
          <w:rFonts w:hint="eastAsia" w:ascii="宋体" w:hAnsi="宋体" w:cs="宋体"/>
          <w:b/>
          <w:color w:val="auto"/>
          <w:sz w:val="24"/>
          <w:szCs w:val="24"/>
        </w:rPr>
        <w:t>四、合同价款</w:t>
      </w:r>
    </w:p>
    <w:p>
      <w:pPr>
        <w:spacing w:line="480" w:lineRule="exact"/>
        <w:ind w:firstLine="480" w:firstLineChars="200"/>
        <w:rPr>
          <w:rFonts w:ascii="宋体" w:hAnsi="宋体" w:cs="宋体"/>
          <w:bCs/>
          <w:color w:val="auto"/>
          <w:sz w:val="24"/>
          <w:szCs w:val="24"/>
          <w:bdr w:val="single" w:color="auto" w:sz="4" w:space="0"/>
        </w:rPr>
      </w:pPr>
      <w:r>
        <w:rPr>
          <w:rFonts w:hint="eastAsia" w:ascii="宋体" w:hAnsi="宋体" w:cs="宋体"/>
          <w:color w:val="auto"/>
          <w:sz w:val="24"/>
          <w:szCs w:val="24"/>
        </w:rPr>
        <w:t>4.1合同价款按以下</w:t>
      </w:r>
      <w:r>
        <w:rPr>
          <w:rFonts w:hint="eastAsia" w:ascii="宋体" w:hAnsi="宋体" w:cs="宋体"/>
          <w:bCs/>
          <w:color w:val="auto"/>
          <w:sz w:val="24"/>
          <w:szCs w:val="24"/>
          <w:highlight w:val="none"/>
          <w:u w:val="single"/>
        </w:rPr>
        <w:t>（1）</w:t>
      </w:r>
      <w:r>
        <w:rPr>
          <w:rFonts w:hint="eastAsia" w:ascii="宋体" w:hAnsi="宋体" w:cs="宋体"/>
          <w:color w:val="auto"/>
          <w:sz w:val="24"/>
          <w:szCs w:val="24"/>
        </w:rPr>
        <w:t>形式执行。</w:t>
      </w:r>
    </w:p>
    <w:p>
      <w:pPr>
        <w:spacing w:line="480" w:lineRule="exact"/>
        <w:ind w:firstLine="480" w:firstLineChars="200"/>
        <w:rPr>
          <w:rFonts w:ascii="宋体" w:hAnsi="宋体" w:cs="宋体"/>
          <w:color w:val="auto"/>
          <w:sz w:val="24"/>
          <w:szCs w:val="24"/>
        </w:rPr>
      </w:pPr>
      <w:r>
        <w:rPr>
          <w:rFonts w:hint="eastAsia" w:ascii="宋体" w:hAnsi="宋体" w:cs="宋体"/>
          <w:bCs/>
          <w:color w:val="auto"/>
          <w:sz w:val="24"/>
          <w:szCs w:val="24"/>
          <w:highlight w:val="none"/>
        </w:rPr>
        <w:t>（1）</w:t>
      </w:r>
      <w:r>
        <w:rPr>
          <w:rFonts w:hint="eastAsia" w:ascii="宋体" w:hAnsi="宋体" w:cs="宋体"/>
          <w:color w:val="auto"/>
          <w:sz w:val="24"/>
          <w:szCs w:val="24"/>
        </w:rPr>
        <w:t>合同以总价包干形式，合同暂定总价为</w:t>
      </w: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cs="宋体"/>
          <w:b/>
          <w:color w:val="auto"/>
          <w:sz w:val="24"/>
          <w:szCs w:val="24"/>
          <w:u w:val="single"/>
        </w:rPr>
        <w:t>元</w:t>
      </w:r>
      <w:r>
        <w:rPr>
          <w:rFonts w:hint="eastAsia" w:ascii="宋体" w:hAnsi="宋体" w:cs="宋体"/>
          <w:color w:val="auto"/>
          <w:sz w:val="24"/>
          <w:szCs w:val="24"/>
        </w:rPr>
        <w:t>（大写:</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eastAsia="zh-CN"/>
        </w:rPr>
        <w:t xml:space="preserve">   </w:t>
      </w:r>
      <w:r>
        <w:rPr>
          <w:rFonts w:hint="eastAsia" w:ascii="宋体" w:hAnsi="宋体" w:cs="宋体"/>
          <w:color w:val="auto"/>
          <w:sz w:val="24"/>
          <w:szCs w:val="24"/>
        </w:rPr>
        <w:t>）。</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kern w:val="0"/>
          <w:sz w:val="24"/>
          <w:szCs w:val="24"/>
          <w:lang w:val="zh-CN"/>
        </w:rPr>
        <w:t>4.2</w:t>
      </w:r>
      <w:r>
        <w:rPr>
          <w:rFonts w:hint="eastAsia" w:ascii="宋体" w:hAnsi="宋体" w:cs="宋体"/>
          <w:color w:val="auto"/>
          <w:kern w:val="0"/>
          <w:sz w:val="24"/>
          <w:szCs w:val="24"/>
        </w:rPr>
        <w:t>本合同约定的价格已含税价价格</w:t>
      </w:r>
      <w:r>
        <w:rPr>
          <w:rFonts w:hint="eastAsia" w:ascii="宋体" w:hAnsi="宋体" w:cs="宋体"/>
          <w:color w:val="auto"/>
          <w:sz w:val="24"/>
          <w:szCs w:val="24"/>
        </w:rPr>
        <w:t>（税率</w:t>
      </w:r>
      <w:r>
        <w:rPr>
          <w:rFonts w:hint="eastAsia" w:ascii="宋体" w:hAnsi="宋体" w:cs="宋体"/>
          <w:color w:val="auto"/>
          <w:sz w:val="24"/>
          <w:szCs w:val="24"/>
          <w:u w:val="single"/>
        </w:rPr>
        <w:t xml:space="preserve"> …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pStyle w:val="47"/>
        <w:spacing w:line="480" w:lineRule="exact"/>
        <w:ind w:firstLine="480" w:firstLineChars="200"/>
        <w:rPr>
          <w:rFonts w:hint="eastAsia" w:hAnsi="宋体" w:eastAsia="宋体"/>
          <w:color w:val="auto"/>
        </w:rPr>
      </w:pPr>
      <w:r>
        <w:rPr>
          <w:rFonts w:hint="eastAsia" w:hAnsi="宋体" w:eastAsia="宋体"/>
          <w:color w:val="auto"/>
        </w:rPr>
        <w:t>4.3因非</w:t>
      </w:r>
      <w:r>
        <w:rPr>
          <w:rFonts w:hint="eastAsia" w:hAnsi="宋体" w:eastAsia="宋体"/>
          <w:color w:val="auto"/>
          <w:lang w:val="en-US" w:eastAsia="zh-CN"/>
        </w:rPr>
        <w:t>乙</w:t>
      </w:r>
      <w:r>
        <w:rPr>
          <w:rFonts w:hint="eastAsia" w:hAnsi="宋体" w:eastAsia="宋体"/>
          <w:color w:val="auto"/>
        </w:rPr>
        <w:t>方原因引起工程量报价清单中工程量发生增减，且单个子目工程量变化幅度在</w:t>
      </w:r>
      <w:r>
        <w:rPr>
          <w:rFonts w:hint="eastAsia" w:hAnsi="宋体" w:eastAsia="宋体"/>
          <w:color w:val="auto"/>
          <w:lang w:val="en-US" w:eastAsia="zh-CN"/>
        </w:rPr>
        <w:t>2</w:t>
      </w:r>
      <w:r>
        <w:rPr>
          <w:rFonts w:hint="eastAsia" w:hAnsi="宋体" w:eastAsia="宋体"/>
          <w:color w:val="auto"/>
        </w:rPr>
        <w:t>5%以内（含）时，按工程量报价清单中列明的子目单价结算。否则，按新增单价执行。</w:t>
      </w:r>
    </w:p>
    <w:p>
      <w:pPr>
        <w:pStyle w:val="47"/>
        <w:spacing w:line="480" w:lineRule="exact"/>
        <w:ind w:firstLine="480" w:firstLineChars="200"/>
        <w:rPr>
          <w:rFonts w:hint="eastAsia" w:hAnsi="宋体" w:eastAsia="宋体"/>
          <w:color w:val="auto"/>
        </w:rPr>
      </w:pPr>
      <w:r>
        <w:rPr>
          <w:rFonts w:hint="eastAsia" w:hAnsi="宋体" w:eastAsia="宋体"/>
          <w:color w:val="auto"/>
        </w:rPr>
        <w:t>4.4合同中没有适用于变更工程项目的单价的，按新增单价执行。</w:t>
      </w:r>
    </w:p>
    <w:p>
      <w:pPr>
        <w:pStyle w:val="47"/>
        <w:spacing w:line="480" w:lineRule="exact"/>
        <w:ind w:firstLine="480" w:firstLineChars="200"/>
        <w:rPr>
          <w:rFonts w:hint="eastAsia" w:hAnsi="宋体" w:eastAsia="宋体"/>
          <w:color w:val="auto"/>
        </w:rPr>
      </w:pPr>
      <w:r>
        <w:rPr>
          <w:rFonts w:hint="eastAsia" w:hAnsi="宋体" w:eastAsia="宋体"/>
          <w:color w:val="auto"/>
        </w:rPr>
        <w:t>新增单价计价原则：</w:t>
      </w:r>
    </w:p>
    <w:p>
      <w:pPr>
        <w:pStyle w:val="47"/>
        <w:spacing w:line="480" w:lineRule="exact"/>
        <w:ind w:firstLine="480" w:firstLineChars="200"/>
        <w:rPr>
          <w:rFonts w:hint="eastAsia" w:hAnsi="宋体" w:eastAsia="宋体"/>
          <w:color w:val="auto"/>
        </w:rPr>
      </w:pPr>
      <w:r>
        <w:rPr>
          <w:rFonts w:hint="eastAsia" w:hAnsi="宋体" w:eastAsia="宋体"/>
          <w:color w:val="auto"/>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47"/>
        <w:spacing w:line="480" w:lineRule="exact"/>
        <w:ind w:firstLine="480" w:firstLineChars="200"/>
        <w:rPr>
          <w:rFonts w:hint="eastAsia" w:hAnsi="宋体" w:eastAsia="宋体"/>
          <w:color w:val="auto"/>
        </w:rPr>
      </w:pPr>
      <w:r>
        <w:rPr>
          <w:rFonts w:hint="eastAsia" w:hAnsi="宋体" w:eastAsia="宋体"/>
          <w:color w:val="auto"/>
        </w:rPr>
        <w:t>2.项目计价材料、设备价格的控制：按以下顺序作为降序优先级依次采用工程开工报告中开工日期当月的下列价格：</w:t>
      </w:r>
    </w:p>
    <w:p>
      <w:pPr>
        <w:pStyle w:val="47"/>
        <w:spacing w:line="480" w:lineRule="exact"/>
        <w:ind w:firstLine="480" w:firstLineChars="200"/>
        <w:rPr>
          <w:rFonts w:hint="eastAsia" w:hAnsi="宋体" w:eastAsia="宋体"/>
          <w:color w:val="auto"/>
        </w:rPr>
      </w:pPr>
      <w:r>
        <w:rPr>
          <w:rFonts w:hint="eastAsia" w:hAnsi="宋体" w:eastAsia="宋体"/>
          <w:color w:val="auto"/>
        </w:rPr>
        <w:t>（1）《广州地区建设工程常用材料税前综合价格》（下称综合价格）。</w:t>
      </w:r>
    </w:p>
    <w:p>
      <w:pPr>
        <w:pStyle w:val="47"/>
        <w:spacing w:line="480" w:lineRule="exact"/>
        <w:ind w:firstLine="480" w:firstLineChars="200"/>
        <w:rPr>
          <w:rFonts w:hint="eastAsia" w:hAnsi="宋体" w:eastAsia="宋体"/>
          <w:color w:val="auto"/>
        </w:rPr>
      </w:pPr>
      <w:r>
        <w:rPr>
          <w:rFonts w:hint="eastAsia" w:hAnsi="宋体" w:eastAsia="宋体"/>
          <w:color w:val="auto"/>
        </w:rPr>
        <w:t>（2）《广州地区建设工程材料（设备）厂商价格信息》（下称厂商价格）下浮10-20%。</w:t>
      </w:r>
    </w:p>
    <w:p>
      <w:pPr>
        <w:pStyle w:val="47"/>
        <w:spacing w:line="480" w:lineRule="exact"/>
        <w:ind w:firstLine="480" w:firstLineChars="200"/>
        <w:rPr>
          <w:rFonts w:hint="eastAsia" w:hAnsi="宋体" w:eastAsia="宋体"/>
          <w:color w:val="auto"/>
        </w:rPr>
      </w:pPr>
      <w:r>
        <w:rPr>
          <w:rFonts w:hint="eastAsia" w:hAnsi="宋体" w:eastAsia="宋体"/>
          <w:color w:val="auto"/>
        </w:rPr>
        <w:t>（3）综合价格、厂商价格中缺项的，采用由北京瑞恒达建筑咨询有限公司提供服务的“慧讯网”中查到的相应材料、设备价格的工程价。</w:t>
      </w:r>
    </w:p>
    <w:p>
      <w:pPr>
        <w:pStyle w:val="47"/>
        <w:spacing w:line="480" w:lineRule="exact"/>
        <w:ind w:firstLine="480" w:firstLineChars="200"/>
        <w:rPr>
          <w:rFonts w:hint="eastAsia" w:hAnsi="宋体" w:eastAsia="宋体"/>
          <w:color w:val="auto"/>
        </w:rPr>
      </w:pPr>
      <w:r>
        <w:rPr>
          <w:rFonts w:hint="eastAsia" w:hAnsi="宋体" w:eastAsia="宋体"/>
          <w:color w:val="auto"/>
        </w:rPr>
        <w:t>（4）通过市场询价双方协商确定。</w:t>
      </w:r>
    </w:p>
    <w:p>
      <w:pPr>
        <w:pStyle w:val="47"/>
        <w:spacing w:line="480" w:lineRule="exact"/>
        <w:ind w:firstLine="480" w:firstLineChars="200"/>
        <w:rPr>
          <w:rFonts w:hint="eastAsia" w:hAnsi="宋体" w:eastAsia="宋体"/>
          <w:color w:val="auto"/>
          <w:lang w:eastAsia="zh-CN"/>
        </w:rPr>
      </w:pPr>
      <w:r>
        <w:rPr>
          <w:rFonts w:hint="eastAsia" w:hAnsi="宋体" w:eastAsia="宋体"/>
          <w:color w:val="auto"/>
        </w:rPr>
        <w:t xml:space="preserve">  3.按1、2组价后下浮5%计取。</w:t>
      </w:r>
    </w:p>
    <w:p>
      <w:pPr>
        <w:spacing w:line="480" w:lineRule="exact"/>
        <w:ind w:firstLine="490" w:firstLineChars="200"/>
        <w:rPr>
          <w:rFonts w:ascii="宋体" w:hAnsi="宋体" w:cs="宋体"/>
          <w:b/>
          <w:color w:val="auto"/>
          <w:spacing w:val="2"/>
          <w:kern w:val="36"/>
          <w:position w:val="2"/>
          <w:sz w:val="24"/>
          <w:szCs w:val="24"/>
        </w:rPr>
      </w:pPr>
      <w:r>
        <w:rPr>
          <w:rFonts w:hint="eastAsia" w:ascii="宋体" w:hAnsi="宋体" w:cs="宋体"/>
          <w:b/>
          <w:color w:val="auto"/>
          <w:spacing w:val="2"/>
          <w:kern w:val="36"/>
          <w:position w:val="2"/>
          <w:sz w:val="24"/>
          <w:szCs w:val="24"/>
        </w:rPr>
        <w:t>五、支付方式及履约担保：</w:t>
      </w:r>
    </w:p>
    <w:p>
      <w:pPr>
        <w:spacing w:line="480" w:lineRule="exact"/>
        <w:ind w:firstLine="488" w:firstLineChars="200"/>
        <w:rPr>
          <w:rFonts w:ascii="宋体" w:hAnsi="宋体" w:cs="宋体"/>
          <w:color w:val="auto"/>
          <w:sz w:val="24"/>
          <w:szCs w:val="24"/>
        </w:rPr>
      </w:pPr>
      <w:r>
        <w:rPr>
          <w:rFonts w:hint="eastAsia" w:ascii="宋体" w:hAnsi="宋体" w:cs="宋体"/>
          <w:bCs/>
          <w:color w:val="auto"/>
          <w:spacing w:val="2"/>
          <w:kern w:val="36"/>
          <w:position w:val="2"/>
          <w:sz w:val="24"/>
          <w:szCs w:val="24"/>
        </w:rPr>
        <w:t>5.1</w:t>
      </w:r>
      <w:r>
        <w:rPr>
          <w:rFonts w:hint="eastAsia" w:ascii="宋体" w:hAnsi="宋体" w:cs="宋体"/>
          <w:bCs/>
          <w:color w:val="auto"/>
          <w:sz w:val="24"/>
          <w:szCs w:val="24"/>
        </w:rPr>
        <w:t>预付款的支付：</w:t>
      </w:r>
      <w:r>
        <w:rPr>
          <w:rFonts w:hint="eastAsia" w:ascii="宋体" w:hAnsi="宋体" w:cs="宋体"/>
          <w:bCs/>
          <w:color w:val="auto"/>
          <w:sz w:val="24"/>
          <w:szCs w:val="24"/>
        </w:rPr>
        <w:sym w:font="Wingdings" w:char="00FE"/>
      </w:r>
      <w:r>
        <w:rPr>
          <w:rFonts w:hint="eastAsia" w:ascii="宋体" w:hAnsi="宋体" w:cs="宋体"/>
          <w:bCs/>
          <w:color w:val="auto"/>
          <w:sz w:val="24"/>
          <w:szCs w:val="24"/>
        </w:rPr>
        <w:t>无；</w:t>
      </w:r>
    </w:p>
    <w:p>
      <w:pPr>
        <w:spacing w:line="48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5.2乙</w:t>
      </w:r>
      <w:r>
        <w:rPr>
          <w:rFonts w:hint="eastAsia" w:ascii="宋体" w:hAnsi="宋体" w:cs="宋体"/>
          <w:color w:val="auto"/>
          <w:kern w:val="0"/>
          <w:sz w:val="24"/>
          <w:szCs w:val="24"/>
        </w:rPr>
        <w:t>方完成</w:t>
      </w:r>
      <w:r>
        <w:rPr>
          <w:rFonts w:hint="eastAsia" w:ascii="宋体" w:hAnsi="宋体" w:cs="宋体"/>
          <w:color w:val="auto"/>
          <w:kern w:val="0"/>
          <w:sz w:val="24"/>
          <w:szCs w:val="24"/>
          <w:u w:val="single"/>
        </w:rPr>
        <w:t>系统建设</w:t>
      </w:r>
      <w:r>
        <w:rPr>
          <w:rFonts w:hint="eastAsia" w:ascii="宋体" w:hAnsi="宋体" w:cs="宋体"/>
          <w:color w:val="auto"/>
          <w:kern w:val="0"/>
          <w:sz w:val="24"/>
          <w:szCs w:val="24"/>
          <w:u w:val="none"/>
        </w:rPr>
        <w:t>且</w:t>
      </w:r>
      <w:r>
        <w:rPr>
          <w:rFonts w:hint="eastAsia" w:ascii="宋体" w:hAnsi="宋体" w:cs="宋体"/>
          <w:color w:val="auto"/>
          <w:sz w:val="24"/>
          <w:szCs w:val="24"/>
          <w:u w:val="none"/>
        </w:rPr>
        <w:t>经甲方</w:t>
      </w:r>
      <w:r>
        <w:rPr>
          <w:rFonts w:hint="eastAsia" w:ascii="宋体" w:hAnsi="宋体" w:cs="宋体"/>
          <w:color w:val="auto"/>
          <w:kern w:val="0"/>
          <w:sz w:val="24"/>
          <w:szCs w:val="24"/>
        </w:rPr>
        <w:t xml:space="preserve">验收合格后 </w:t>
      </w:r>
      <w:r>
        <w:rPr>
          <w:rFonts w:hint="eastAsia" w:ascii="宋体" w:hAnsi="宋体" w:cs="宋体"/>
          <w:color w:val="auto"/>
          <w:kern w:val="0"/>
          <w:sz w:val="24"/>
          <w:szCs w:val="24"/>
          <w:u w:val="single"/>
        </w:rPr>
        <w:t>15</w:t>
      </w:r>
      <w:r>
        <w:rPr>
          <w:rFonts w:hint="eastAsia" w:ascii="宋体" w:hAnsi="宋体" w:cs="宋体"/>
          <w:color w:val="auto"/>
          <w:kern w:val="0"/>
          <w:sz w:val="24"/>
          <w:szCs w:val="24"/>
        </w:rPr>
        <w:t>日内，乙方提交工作总结报告，</w:t>
      </w:r>
      <w:r>
        <w:rPr>
          <w:rFonts w:hint="eastAsia" w:ascii="宋体" w:hAnsi="宋体" w:cs="宋体"/>
          <w:color w:val="auto"/>
          <w:sz w:val="24"/>
          <w:szCs w:val="24"/>
        </w:rPr>
        <w:t>经</w:t>
      </w:r>
      <w:r>
        <w:rPr>
          <w:rFonts w:hint="eastAsia" w:ascii="宋体" w:hAnsi="宋体" w:cs="宋体"/>
          <w:color w:val="auto"/>
          <w:sz w:val="24"/>
          <w:szCs w:val="24"/>
          <w:u w:val="single"/>
        </w:rPr>
        <w:t>甲方或甲方委托有资质第三方机构结算审核</w:t>
      </w:r>
      <w:r>
        <w:rPr>
          <w:rFonts w:hint="eastAsia" w:ascii="宋体" w:hAnsi="宋体" w:cs="宋体"/>
          <w:color w:val="auto"/>
          <w:sz w:val="24"/>
          <w:szCs w:val="24"/>
        </w:rPr>
        <w:t>后，由乙方提交申请支付资料</w:t>
      </w:r>
      <w:r>
        <w:rPr>
          <w:rFonts w:hint="eastAsia" w:ascii="宋体" w:hAnsi="宋体" w:cs="宋体"/>
          <w:color w:val="auto"/>
          <w:sz w:val="24"/>
          <w:szCs w:val="24"/>
          <w:u w:val="single"/>
        </w:rPr>
        <w:t>30</w:t>
      </w:r>
      <w:r>
        <w:rPr>
          <w:rFonts w:hint="eastAsia" w:ascii="宋体" w:hAnsi="宋体" w:cs="宋体"/>
          <w:color w:val="auto"/>
          <w:sz w:val="24"/>
          <w:szCs w:val="24"/>
        </w:rPr>
        <w:t>个工作日内，甲方支付至合同结算价的</w:t>
      </w:r>
      <w:r>
        <w:rPr>
          <w:rFonts w:hint="eastAsia" w:ascii="宋体" w:hAnsi="宋体" w:cs="宋体"/>
          <w:color w:val="auto"/>
          <w:sz w:val="24"/>
          <w:szCs w:val="24"/>
          <w:u w:val="single"/>
        </w:rPr>
        <w:t>95%。</w:t>
      </w:r>
    </w:p>
    <w:p>
      <w:pPr>
        <w:spacing w:line="480" w:lineRule="exact"/>
        <w:ind w:firstLine="480" w:firstLineChars="200"/>
        <w:outlineLvl w:val="1"/>
        <w:rPr>
          <w:rFonts w:ascii="宋体" w:hAnsi="宋体" w:cs="宋体"/>
          <w:color w:val="auto"/>
          <w:sz w:val="24"/>
          <w:szCs w:val="24"/>
        </w:rPr>
      </w:pPr>
      <w:r>
        <w:rPr>
          <w:rFonts w:hint="eastAsia" w:ascii="宋体" w:hAnsi="宋体" w:cs="宋体"/>
          <w:color w:val="auto"/>
          <w:sz w:val="24"/>
          <w:szCs w:val="24"/>
        </w:rPr>
        <w:t>5.3 按合同约定完</w:t>
      </w:r>
      <w:r>
        <w:rPr>
          <w:rFonts w:hint="eastAsia" w:ascii="宋体" w:hAnsi="宋体" w:cs="宋体"/>
          <w:color w:val="auto"/>
          <w:sz w:val="24"/>
          <w:szCs w:val="24"/>
          <w:highlight w:val="none"/>
        </w:rPr>
        <w:t>成</w:t>
      </w:r>
      <w:r>
        <w:rPr>
          <w:rFonts w:hint="eastAsia" w:ascii="宋体" w:hAnsi="宋体" w:cs="宋体"/>
          <w:color w:val="auto"/>
          <w:sz w:val="24"/>
          <w:szCs w:val="24"/>
          <w:highlight w:val="none"/>
          <w:u w:val="single"/>
        </w:rPr>
        <w:t>运维服务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售后服务</w:t>
      </w:r>
      <w:r>
        <w:rPr>
          <w:rFonts w:hint="eastAsia" w:ascii="宋体" w:hAnsi="宋体" w:cs="宋体"/>
          <w:color w:val="auto"/>
          <w:sz w:val="24"/>
          <w:szCs w:val="24"/>
          <w:highlight w:val="none"/>
          <w:u w:val="single"/>
          <w:lang w:val="en-US" w:eastAsia="zh-CN"/>
        </w:rPr>
        <w:t>和</w:t>
      </w:r>
      <w:r>
        <w:rPr>
          <w:rFonts w:hint="eastAsia" w:ascii="宋体" w:hAnsi="宋体" w:cs="宋体"/>
          <w:color w:val="auto"/>
          <w:sz w:val="24"/>
          <w:szCs w:val="24"/>
          <w:highlight w:val="none"/>
          <w:u w:val="single"/>
        </w:rPr>
        <w:t>质量保修期</w:t>
      </w:r>
      <w:r>
        <w:rPr>
          <w:rFonts w:hint="eastAsia" w:ascii="宋体" w:hAnsi="宋体" w:cs="宋体"/>
          <w:color w:val="auto"/>
          <w:sz w:val="24"/>
          <w:szCs w:val="24"/>
          <w:highlight w:val="none"/>
        </w:rPr>
        <w:t>满</w:t>
      </w:r>
      <w:r>
        <w:rPr>
          <w:rFonts w:hint="eastAsia" w:ascii="宋体" w:hAnsi="宋体" w:cs="宋体"/>
          <w:color w:val="auto"/>
          <w:sz w:val="24"/>
          <w:szCs w:val="24"/>
        </w:rPr>
        <w:t>后且乙方不存在违约情形，由乙方提交申请支付资料</w:t>
      </w:r>
      <w:r>
        <w:rPr>
          <w:rFonts w:hint="eastAsia" w:ascii="宋体" w:hAnsi="宋体" w:cs="宋体"/>
          <w:color w:val="auto"/>
          <w:sz w:val="24"/>
          <w:szCs w:val="24"/>
          <w:u w:val="single"/>
        </w:rPr>
        <w:t xml:space="preserve"> 15 </w:t>
      </w:r>
      <w:r>
        <w:rPr>
          <w:rFonts w:hint="eastAsia" w:ascii="宋体" w:hAnsi="宋体" w:cs="宋体"/>
          <w:color w:val="auto"/>
          <w:sz w:val="24"/>
          <w:szCs w:val="24"/>
        </w:rPr>
        <w:t>个工作日内，甲方支付合同结算价的5％给乙方（无息）。</w:t>
      </w:r>
    </w:p>
    <w:p>
      <w:pPr>
        <w:spacing w:line="480" w:lineRule="exact"/>
        <w:ind w:firstLine="560"/>
        <w:rPr>
          <w:rFonts w:ascii="宋体" w:hAnsi="宋体" w:cs="宋体"/>
          <w:color w:val="auto"/>
          <w:sz w:val="24"/>
          <w:szCs w:val="24"/>
        </w:rPr>
      </w:pPr>
      <w:r>
        <w:rPr>
          <w:rFonts w:hint="eastAsia" w:ascii="宋体" w:hAnsi="宋体" w:cs="宋体"/>
          <w:color w:val="auto"/>
          <w:sz w:val="24"/>
          <w:szCs w:val="24"/>
        </w:rPr>
        <w:t>5.4如乙方应向甲方支付违约金、赔偿款或者其他款项，应当在接到甲方通知后</w:t>
      </w:r>
      <w:r>
        <w:rPr>
          <w:rFonts w:hint="eastAsia" w:ascii="宋体" w:hAnsi="宋体" w:cs="宋体"/>
          <w:color w:val="auto"/>
          <w:sz w:val="24"/>
          <w:szCs w:val="24"/>
          <w:u w:val="single"/>
        </w:rPr>
        <w:t>30</w:t>
      </w:r>
      <w:r>
        <w:rPr>
          <w:rFonts w:hint="eastAsia" w:ascii="宋体" w:hAnsi="宋体" w:cs="宋体"/>
          <w:color w:val="auto"/>
          <w:sz w:val="24"/>
          <w:szCs w:val="24"/>
        </w:rPr>
        <w:t>日内付清，甲方有权直接从应付款项中抵扣。</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5.5乙方收款账户：</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spacing w:line="480" w:lineRule="exact"/>
        <w:ind w:firstLine="840" w:firstLineChars="350"/>
        <w:rPr>
          <w:rFonts w:ascii="宋体" w:hAnsi="宋体" w:cs="宋体"/>
          <w:color w:val="auto"/>
          <w:sz w:val="24"/>
          <w:szCs w:val="24"/>
        </w:rPr>
      </w:pPr>
      <w:r>
        <w:rPr>
          <w:rFonts w:hint="eastAsia" w:ascii="宋体" w:hAnsi="宋体" w:cs="宋体"/>
          <w:color w:val="auto"/>
          <w:sz w:val="24"/>
          <w:szCs w:val="24"/>
        </w:rPr>
        <w:t>收款账号：</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spacing w:line="480" w:lineRule="exact"/>
        <w:ind w:firstLine="840" w:firstLineChars="350"/>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5.6乙方在收款前需提交等额增值税专用发票给甲方。</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增值税专用发票信息：</w:t>
      </w:r>
      <w:r>
        <w:rPr>
          <w:rFonts w:hint="eastAsia" w:ascii="宋体" w:hAnsi="宋体" w:cs="宋体"/>
          <w:color w:val="auto"/>
          <w:sz w:val="24"/>
          <w:szCs w:val="24"/>
          <w:u w:val="single"/>
        </w:rPr>
        <w:t xml:space="preserve">        …              </w:t>
      </w:r>
      <w:r>
        <w:rPr>
          <w:rFonts w:hint="eastAsia" w:ascii="宋体" w:hAnsi="宋体" w:cs="宋体"/>
          <w:color w:val="auto"/>
          <w:sz w:val="24"/>
          <w:szCs w:val="24"/>
        </w:rPr>
        <w:t xml:space="preserve">                            </w:t>
      </w:r>
    </w:p>
    <w:p>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5.7履约担保：</w:t>
      </w:r>
      <w:r>
        <w:rPr>
          <w:rFonts w:hint="eastAsia" w:ascii="宋体" w:hAnsi="宋体" w:cs="宋体"/>
          <w:color w:val="auto"/>
          <w:sz w:val="24"/>
          <w:szCs w:val="24"/>
        </w:rPr>
        <w:sym w:font="Wingdings 2" w:char="0052"/>
      </w:r>
      <w:r>
        <w:rPr>
          <w:rFonts w:hint="eastAsia" w:ascii="宋体" w:hAnsi="宋体" w:cs="宋体"/>
          <w:bCs/>
          <w:color w:val="auto"/>
          <w:sz w:val="24"/>
          <w:szCs w:val="24"/>
        </w:rPr>
        <w:t>无；</w:t>
      </w:r>
    </w:p>
    <w:p>
      <w:pPr>
        <w:tabs>
          <w:tab w:val="left" w:pos="851"/>
        </w:tabs>
        <w:adjustRightInd w:val="0"/>
        <w:snapToGrid w:val="0"/>
        <w:spacing w:line="480" w:lineRule="exact"/>
        <w:ind w:firstLine="480" w:firstLineChars="200"/>
        <w:jc w:val="left"/>
        <w:outlineLvl w:val="1"/>
        <w:rPr>
          <w:rFonts w:ascii="宋体" w:hAnsi="宋体" w:cs="宋体"/>
          <w:color w:val="000000"/>
          <w:sz w:val="24"/>
          <w:szCs w:val="24"/>
          <w:highlight w:val="none"/>
          <w:u w:val="single"/>
        </w:rPr>
      </w:pPr>
      <w:r>
        <w:rPr>
          <w:rFonts w:hint="eastAsia" w:ascii="宋体" w:hAnsi="宋体" w:cs="宋体"/>
          <w:color w:val="auto"/>
          <w:sz w:val="24"/>
          <w:szCs w:val="24"/>
        </w:rPr>
        <w:t xml:space="preserve">5.8付款方式： </w:t>
      </w:r>
      <w:r>
        <w:rPr>
          <w:rFonts w:hint="eastAsia" w:ascii="宋体" w:hAnsi="宋体" w:cs="宋体"/>
          <w:color w:val="auto"/>
          <w:sz w:val="24"/>
          <w:szCs w:val="24"/>
        </w:rPr>
        <w:sym w:font="Wingdings 2" w:char="0052"/>
      </w:r>
      <w:r>
        <w:rPr>
          <w:rFonts w:hint="eastAsia" w:ascii="宋体" w:hAnsi="宋体" w:cs="宋体"/>
          <w:color w:val="auto"/>
          <w:sz w:val="24"/>
          <w:szCs w:val="24"/>
        </w:rPr>
        <w:t xml:space="preserve">网银支付；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rPr>
        <w:sym w:font="Wingdings" w:char="00A8"/>
      </w:r>
      <w:r>
        <w:rPr>
          <w:rFonts w:hint="eastAsia" w:ascii="宋体" w:hAnsi="宋体" w:cs="宋体"/>
          <w:color w:val="000000"/>
          <w:sz w:val="24"/>
          <w:szCs w:val="24"/>
          <w:highlight w:val="none"/>
        </w:rPr>
        <w:t>支票</w:t>
      </w:r>
      <w:r>
        <w:rPr>
          <w:rFonts w:hint="eastAsia" w:ascii="宋体" w:hAnsi="宋体" w:cs="宋体"/>
          <w:color w:val="auto"/>
          <w:sz w:val="24"/>
          <w:szCs w:val="24"/>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rPr>
        <w:sym w:font="Wingdings" w:char="00A8"/>
      </w:r>
      <w:r>
        <w:rPr>
          <w:rFonts w:hint="eastAsia" w:ascii="宋体" w:hAnsi="宋体" w:cs="宋体"/>
          <w:color w:val="000000"/>
          <w:sz w:val="24"/>
          <w:szCs w:val="24"/>
          <w:highlight w:val="none"/>
        </w:rPr>
        <w:t>其他：</w:t>
      </w:r>
      <w:r>
        <w:rPr>
          <w:rFonts w:hint="eastAsia" w:ascii="宋体" w:hAnsi="宋体" w:cs="宋体"/>
          <w:color w:val="000000"/>
          <w:sz w:val="24"/>
          <w:szCs w:val="24"/>
          <w:highlight w:val="none"/>
          <w:u w:val="single"/>
        </w:rPr>
        <w:t xml:space="preserve"> … </w:t>
      </w:r>
    </w:p>
    <w:p>
      <w:pPr>
        <w:tabs>
          <w:tab w:val="left" w:pos="851"/>
        </w:tabs>
        <w:adjustRightInd w:val="0"/>
        <w:snapToGrid w:val="0"/>
        <w:spacing w:line="480" w:lineRule="exact"/>
        <w:ind w:firstLine="480" w:firstLineChars="200"/>
        <w:outlineLvl w:val="1"/>
        <w:rPr>
          <w:rFonts w:ascii="宋体" w:hAnsi="宋体" w:cs="宋体"/>
          <w:color w:val="auto"/>
          <w:sz w:val="24"/>
          <w:szCs w:val="24"/>
          <w:u w:val="single"/>
        </w:rPr>
      </w:pP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5.9结算价超过合同暂定总价时，暂停合同的工程款支付程序，签订补充协议后支付。</w:t>
      </w:r>
    </w:p>
    <w:p>
      <w:pPr>
        <w:spacing w:line="480" w:lineRule="exact"/>
        <w:ind w:firstLine="492"/>
        <w:rPr>
          <w:rFonts w:ascii="宋体" w:hAnsi="宋体" w:cs="宋体"/>
          <w:b/>
          <w:color w:val="auto"/>
          <w:sz w:val="24"/>
          <w:szCs w:val="24"/>
        </w:rPr>
      </w:pPr>
      <w:r>
        <w:rPr>
          <w:rFonts w:hint="eastAsia" w:ascii="宋体" w:hAnsi="宋体" w:cs="宋体"/>
          <w:b/>
          <w:color w:val="auto"/>
          <w:sz w:val="24"/>
          <w:szCs w:val="24"/>
        </w:rPr>
        <w:t>六、验收标准及双方责任：</w:t>
      </w:r>
    </w:p>
    <w:p>
      <w:pPr>
        <w:tabs>
          <w:tab w:val="left" w:pos="2670"/>
        </w:tabs>
        <w:spacing w:line="480" w:lineRule="exact"/>
        <w:ind w:firstLine="480" w:firstLineChars="200"/>
        <w:rPr>
          <w:rFonts w:ascii="宋体" w:hAnsi="宋体" w:cs="宋体"/>
          <w:color w:val="auto"/>
          <w:kern w:val="0"/>
          <w:sz w:val="24"/>
          <w:szCs w:val="24"/>
        </w:rPr>
      </w:pPr>
      <w:r>
        <w:rPr>
          <w:rFonts w:hint="eastAsia" w:ascii="宋体" w:hAnsi="宋体" w:cs="宋体"/>
          <w:color w:val="auto"/>
          <w:sz w:val="24"/>
          <w:szCs w:val="24"/>
        </w:rPr>
        <w:t>6.1.质量及验收标准及项目相关过程资料及成果、培训、实施、维修、维护：见《技术需求书》。</w:t>
      </w:r>
    </w:p>
    <w:p>
      <w:pPr>
        <w:spacing w:line="480" w:lineRule="exact"/>
        <w:ind w:firstLine="480" w:firstLineChars="200"/>
        <w:rPr>
          <w:rFonts w:hint="default" w:ascii="宋体" w:hAnsi="宋体" w:eastAsia="宋体" w:cs="宋体"/>
          <w:color w:val="auto"/>
          <w:sz w:val="24"/>
          <w:szCs w:val="24"/>
          <w:u w:val="single"/>
          <w:lang w:val="en-US" w:eastAsia="zh-CN"/>
        </w:rPr>
      </w:pPr>
      <w:r>
        <w:rPr>
          <w:rFonts w:hint="eastAsia" w:ascii="宋体" w:hAnsi="宋体" w:cs="宋体"/>
          <w:color w:val="auto"/>
          <w:sz w:val="24"/>
          <w:szCs w:val="24"/>
        </w:rPr>
        <w:t xml:space="preserve">6.2项目验收合格后，乙方提供 </w:t>
      </w:r>
      <w:r>
        <w:rPr>
          <w:rFonts w:hint="eastAsia" w:ascii="宋体" w:hAnsi="宋体" w:cs="宋体"/>
          <w:color w:val="auto"/>
          <w:sz w:val="24"/>
          <w:szCs w:val="24"/>
          <w:u w:val="single"/>
        </w:rPr>
        <w:t xml:space="preserve"> 1 </w:t>
      </w:r>
      <w:r>
        <w:rPr>
          <w:rFonts w:hint="eastAsia" w:ascii="宋体" w:hAnsi="宋体" w:cs="宋体"/>
          <w:color w:val="auto"/>
          <w:sz w:val="24"/>
          <w:szCs w:val="24"/>
        </w:rPr>
        <w:t xml:space="preserve"> 年</w:t>
      </w:r>
      <w:r>
        <w:rPr>
          <w:rFonts w:hint="eastAsia" w:ascii="宋体" w:hAnsi="宋体" w:cs="宋体"/>
          <w:color w:val="auto"/>
          <w:sz w:val="24"/>
          <w:szCs w:val="24"/>
          <w:highlight w:val="none"/>
          <w:u w:val="single"/>
        </w:rPr>
        <w:t>运维服务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售后服务</w:t>
      </w:r>
      <w:r>
        <w:rPr>
          <w:rFonts w:hint="eastAsia" w:ascii="宋体" w:hAnsi="宋体" w:cs="宋体"/>
          <w:color w:val="auto"/>
          <w:sz w:val="24"/>
          <w:szCs w:val="24"/>
          <w:highlight w:val="none"/>
          <w:u w:val="single"/>
          <w:lang w:val="en-US" w:eastAsia="zh-CN"/>
        </w:rPr>
        <w:t>和</w:t>
      </w:r>
      <w:r>
        <w:rPr>
          <w:rFonts w:hint="eastAsia" w:ascii="宋体" w:hAnsi="宋体" w:cs="宋体"/>
          <w:color w:val="auto"/>
          <w:sz w:val="24"/>
          <w:szCs w:val="24"/>
          <w:highlight w:val="none"/>
          <w:u w:val="single"/>
        </w:rPr>
        <w:t>质量保修</w:t>
      </w:r>
      <w:r>
        <w:rPr>
          <w:rFonts w:hint="eastAsia" w:ascii="宋体" w:hAnsi="宋体" w:cs="宋体"/>
          <w:color w:val="auto"/>
          <w:sz w:val="24"/>
          <w:szCs w:val="24"/>
        </w:rPr>
        <w:t>，服务内容如下：</w:t>
      </w:r>
      <w:r>
        <w:rPr>
          <w:rFonts w:hint="eastAsia" w:ascii="宋体" w:hAnsi="宋体" w:cs="宋体"/>
          <w:color w:val="auto"/>
          <w:sz w:val="24"/>
          <w:szCs w:val="24"/>
          <w:u w:val="single"/>
          <w:lang w:val="en-US" w:eastAsia="zh-CN"/>
        </w:rPr>
        <w:t>1、提供系统日常运维服务。2、</w:t>
      </w:r>
      <w:r>
        <w:rPr>
          <w:rFonts w:hint="eastAsia" w:ascii="宋体" w:hAnsi="宋体" w:cs="宋体"/>
          <w:color w:val="auto"/>
          <w:sz w:val="24"/>
          <w:szCs w:val="24"/>
          <w:u w:val="single"/>
        </w:rPr>
        <w:t>如系统发现故障时，乙方在收到通知2小时内提供维护，并排除故障。如现场无法解决的，应同步出具应急方案，并配合甲方启动应急方案，确保甲方信息系统正常运行。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6.3项目系统软件升级：</w:t>
      </w:r>
      <w:r>
        <w:rPr>
          <w:rFonts w:hint="eastAsia" w:ascii="宋体" w:hAnsi="宋体" w:cs="宋体"/>
          <w:color w:val="auto"/>
          <w:sz w:val="24"/>
          <w:szCs w:val="24"/>
          <w:u w:val="single"/>
        </w:rPr>
        <w:t>乙方应无偿提供升级版本和相应的支持服务。系统软件升级后，乙方应提供软件的培训服务</w:t>
      </w:r>
      <w:r>
        <w:rPr>
          <w:rFonts w:hint="eastAsia" w:ascii="宋体" w:hAnsi="宋体" w:cs="宋体"/>
          <w:color w:val="auto"/>
          <w:sz w:val="24"/>
          <w:szCs w:val="24"/>
        </w:rPr>
        <w:t>。</w:t>
      </w:r>
    </w:p>
    <w:p>
      <w:pPr>
        <w:pStyle w:val="48"/>
        <w:spacing w:line="480" w:lineRule="exact"/>
        <w:ind w:firstLine="480"/>
        <w:rPr>
          <w:rFonts w:ascii="宋体" w:hAnsi="宋体" w:cs="宋体"/>
          <w:color w:val="auto"/>
          <w:sz w:val="24"/>
        </w:rPr>
      </w:pPr>
      <w:r>
        <w:rPr>
          <w:rFonts w:hint="eastAsia" w:ascii="宋体" w:hAnsi="宋体" w:cs="宋体"/>
          <w:color w:val="auto"/>
          <w:sz w:val="24"/>
        </w:rPr>
        <w:t>6.4乙方不得传播公司内部网络、服务器、应用系统、</w:t>
      </w:r>
      <w:r>
        <w:rPr>
          <w:rFonts w:hint="eastAsia" w:ascii="宋体" w:hAnsi="宋体" w:cs="宋体"/>
          <w:color w:val="auto"/>
          <w:sz w:val="24"/>
          <w:lang w:val="en-US" w:eastAsia="zh-CN"/>
        </w:rPr>
        <w:t>运行</w:t>
      </w:r>
      <w:r>
        <w:rPr>
          <w:rFonts w:hint="eastAsia" w:ascii="宋体" w:hAnsi="宋体" w:cs="宋体"/>
          <w:color w:val="auto"/>
          <w:sz w:val="24"/>
        </w:rPr>
        <w:t>参数、水质数据等有关的资料。</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6.5乙方履行合同时，应严格遵守国家法律法规和甲方相关的各项规章制度，服从甲方管理指挥。乙方不按规范作业或者乙方原因造成的</w:t>
      </w:r>
      <w:r>
        <w:rPr>
          <w:rFonts w:hint="eastAsia" w:ascii="宋体" w:hAnsi="宋体"/>
          <w:color w:val="auto"/>
          <w:sz w:val="24"/>
          <w:szCs w:val="24"/>
        </w:rPr>
        <w:t>财产损失、</w:t>
      </w:r>
      <w:r>
        <w:rPr>
          <w:rFonts w:hint="eastAsia" w:ascii="宋体" w:hAnsi="宋体" w:cs="宋体"/>
          <w:color w:val="auto"/>
          <w:sz w:val="24"/>
          <w:szCs w:val="24"/>
        </w:rPr>
        <w:t>人员伤亡，由乙方自行承担责任。</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6.8乙方严禁擅自安装、拆卸、调整、挪动任何设备。 </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rPr>
        <w:t>6.10驻场服务：</w:t>
      </w:r>
      <w:r>
        <w:rPr>
          <w:rFonts w:hint="eastAsia" w:ascii="宋体" w:hAnsi="宋体" w:cs="宋体"/>
          <w:color w:val="auto"/>
          <w:sz w:val="24"/>
          <w:szCs w:val="24"/>
          <w:u w:val="single"/>
        </w:rPr>
        <w:t>乙方应</w:t>
      </w:r>
      <w:r>
        <w:rPr>
          <w:rFonts w:hint="eastAsia" w:ascii="宋体" w:hAnsi="宋体" w:cs="宋体"/>
          <w:color w:val="auto"/>
          <w:sz w:val="24"/>
          <w:szCs w:val="24"/>
          <w:u w:val="single"/>
          <w:lang w:val="en-US" w:eastAsia="zh-CN"/>
        </w:rPr>
        <w:t>在系统建设期间</w:t>
      </w:r>
      <w:r>
        <w:rPr>
          <w:rFonts w:hint="eastAsia" w:ascii="宋体" w:hAnsi="宋体" w:cs="宋体"/>
          <w:color w:val="auto"/>
          <w:sz w:val="24"/>
          <w:szCs w:val="24"/>
          <w:u w:val="single"/>
        </w:rPr>
        <w:t>派人</w:t>
      </w:r>
      <w:r>
        <w:rPr>
          <w:rFonts w:hint="eastAsia" w:ascii="宋体" w:hAnsi="宋体" w:cs="宋体"/>
          <w:color w:val="auto"/>
          <w:sz w:val="24"/>
          <w:szCs w:val="24"/>
          <w:u w:val="single"/>
          <w:lang w:val="en-US" w:eastAsia="zh-CN"/>
        </w:rPr>
        <w:t>提供驻场服务</w:t>
      </w:r>
      <w:r>
        <w:rPr>
          <w:rFonts w:hint="eastAsia" w:ascii="宋体" w:hAnsi="宋体" w:cs="宋体"/>
          <w:color w:val="auto"/>
          <w:sz w:val="24"/>
          <w:szCs w:val="24"/>
          <w:u w:val="single"/>
        </w:rPr>
        <w:t>，且人员不得少于2名。</w:t>
      </w:r>
    </w:p>
    <w:p>
      <w:pPr>
        <w:keepNext w:val="0"/>
        <w:keepLines w:val="0"/>
        <w:pageBreakBefore w:val="0"/>
        <w:widowControl/>
        <w:kinsoku/>
        <w:wordWrap/>
        <w:overflowPunct/>
        <w:topLinePunct w:val="0"/>
        <w:autoSpaceDE/>
        <w:autoSpaceDN/>
        <w:bidi w:val="0"/>
        <w:adjustRightInd w:val="0"/>
        <w:snapToGrid/>
        <w:spacing w:line="480" w:lineRule="exact"/>
        <w:ind w:firstLine="480" w:firstLineChars="200"/>
        <w:textAlignment w:val="baseline"/>
        <w:rPr>
          <w:rFonts w:ascii="宋体" w:hAnsi="宋体" w:cs="宋体"/>
          <w:color w:val="auto"/>
          <w:sz w:val="24"/>
          <w:szCs w:val="24"/>
        </w:rPr>
      </w:pPr>
      <w:r>
        <w:rPr>
          <w:rFonts w:hint="eastAsia" w:ascii="宋体" w:hAnsi="宋体" w:cs="宋体"/>
          <w:color w:val="auto"/>
          <w:sz w:val="24"/>
          <w:szCs w:val="24"/>
        </w:rPr>
        <w:t>6.11乙方应及时做好软件、数据备份，防止数据丢失。</w:t>
      </w:r>
    </w:p>
    <w:p>
      <w:pPr>
        <w:keepNext w:val="0"/>
        <w:keepLines w:val="0"/>
        <w:pageBreakBefore w:val="0"/>
        <w:widowControl/>
        <w:kinsoku/>
        <w:wordWrap/>
        <w:overflowPunct/>
        <w:topLinePunct w:val="0"/>
        <w:autoSpaceDE/>
        <w:autoSpaceDN/>
        <w:bidi w:val="0"/>
        <w:adjustRightInd w:val="0"/>
        <w:snapToGrid/>
        <w:spacing w:line="48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6.12乙方应按甲方要求提供专项培训。</w:t>
      </w:r>
    </w:p>
    <w:p>
      <w:pPr>
        <w:keepNext w:val="0"/>
        <w:keepLines w:val="0"/>
        <w:pageBreakBefore w:val="0"/>
        <w:widowControl/>
        <w:kinsoku/>
        <w:wordWrap/>
        <w:overflowPunct/>
        <w:topLinePunct w:val="0"/>
        <w:autoSpaceDE/>
        <w:autoSpaceDN/>
        <w:bidi w:val="0"/>
        <w:adjustRightInd w:val="0"/>
        <w:snapToGrid/>
        <w:spacing w:line="480" w:lineRule="exact"/>
        <w:ind w:firstLine="480" w:firstLineChars="200"/>
        <w:textAlignment w:val="baseline"/>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6.13乙方应做好系统的日常运维工作，工作内容包含但不限于数据系统每日巡检、服务器定期巡检、应用系统与操作系统定期安全检查、系统打补丁、系统数据定期备份、系统安全口令定期更换、防火墙病毒库定期更新、系统适应性升级、系统故障处置及现场故障处理等。</w:t>
      </w:r>
    </w:p>
    <w:p>
      <w:pPr>
        <w:pStyle w:val="2"/>
        <w:keepNext w:val="0"/>
        <w:keepLines w:val="0"/>
        <w:pageBreakBefore w:val="0"/>
        <w:widowControl w:val="0"/>
        <w:tabs>
          <w:tab w:val="left" w:pos="720"/>
        </w:tabs>
        <w:kinsoku/>
        <w:wordWrap/>
        <w:overflowPunct/>
        <w:topLinePunct w:val="0"/>
        <w:autoSpaceDE/>
        <w:autoSpaceDN/>
        <w:bidi w:val="0"/>
        <w:adjustRightInd w:val="0"/>
        <w:snapToGrid/>
        <w:ind w:firstLine="480" w:firstLineChars="200"/>
        <w:jc w:val="left"/>
        <w:textAlignment w:val="baseline"/>
        <w:rPr>
          <w:rFonts w:hint="eastAsia" w:hAnsi="宋体" w:cs="宋体"/>
          <w:color w:val="auto"/>
          <w:sz w:val="24"/>
          <w:szCs w:val="24"/>
          <w:highlight w:val="none"/>
          <w:lang w:val="en-US" w:eastAsia="zh-CN"/>
        </w:rPr>
      </w:pPr>
    </w:p>
    <w:p>
      <w:pPr>
        <w:pStyle w:val="2"/>
        <w:keepNext w:val="0"/>
        <w:keepLines w:val="0"/>
        <w:pageBreakBefore w:val="0"/>
        <w:widowControl w:val="0"/>
        <w:tabs>
          <w:tab w:val="left" w:pos="720"/>
        </w:tabs>
        <w:kinsoku/>
        <w:wordWrap/>
        <w:overflowPunct/>
        <w:topLinePunct w:val="0"/>
        <w:autoSpaceDE/>
        <w:autoSpaceDN/>
        <w:bidi w:val="0"/>
        <w:adjustRightInd w:val="0"/>
        <w:snapToGrid/>
        <w:ind w:firstLine="480" w:firstLineChars="20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6.14</w:t>
      </w:r>
      <w:r>
        <w:rPr>
          <w:rFonts w:hint="eastAsia" w:ascii="宋体" w:hAnsi="宋体" w:eastAsia="宋体" w:cs="宋体"/>
          <w:color w:val="auto"/>
          <w:kern w:val="0"/>
          <w:sz w:val="24"/>
          <w:szCs w:val="24"/>
          <w:lang w:val="en-US" w:eastAsia="zh-CN" w:bidi="ar-SA"/>
        </w:rPr>
        <w:t>乙方应充分考虑运行所需的资源配置及安全防护措施，选用合理的安全防护确保系统安全运行。</w:t>
      </w:r>
    </w:p>
    <w:p>
      <w:pPr>
        <w:spacing w:line="480" w:lineRule="exact"/>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七、知识产权</w:t>
      </w:r>
    </w:p>
    <w:p>
      <w:pPr>
        <w:spacing w:line="480" w:lineRule="exact"/>
        <w:ind w:firstLine="424" w:firstLineChars="177"/>
        <w:rPr>
          <w:rFonts w:ascii="宋体" w:hAnsi="宋体" w:cs="宋体"/>
          <w:color w:val="auto"/>
          <w:kern w:val="0"/>
          <w:sz w:val="24"/>
          <w:szCs w:val="24"/>
        </w:rPr>
      </w:pPr>
      <w:r>
        <w:rPr>
          <w:rFonts w:hint="eastAsia" w:ascii="宋体" w:hAnsi="宋体" w:cs="宋体"/>
          <w:color w:val="auto"/>
          <w:kern w:val="0"/>
          <w:sz w:val="24"/>
          <w:szCs w:val="24"/>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auto"/>
          <w:kern w:val="0"/>
          <w:sz w:val="24"/>
          <w:szCs w:val="24"/>
        </w:rPr>
      </w:pPr>
      <w:r>
        <w:rPr>
          <w:rFonts w:hint="eastAsia" w:ascii="宋体" w:hAnsi="宋体" w:cs="宋体"/>
          <w:color w:val="auto"/>
          <w:kern w:val="0"/>
          <w:sz w:val="24"/>
          <w:szCs w:val="24"/>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auto"/>
          <w:kern w:val="0"/>
          <w:sz w:val="24"/>
          <w:szCs w:val="24"/>
        </w:rPr>
      </w:pPr>
      <w:r>
        <w:rPr>
          <w:rFonts w:hint="eastAsia" w:ascii="宋体" w:hAnsi="宋体" w:cs="宋体"/>
          <w:color w:val="auto"/>
          <w:kern w:val="0"/>
          <w:sz w:val="24"/>
          <w:szCs w:val="24"/>
        </w:rPr>
        <w:t>7.3未经甲方书面许可或授权，乙方不得使用甲方的商标、商号和标志（合称“标识”）。</w:t>
      </w:r>
    </w:p>
    <w:p>
      <w:pPr>
        <w:spacing w:line="480" w:lineRule="exact"/>
        <w:ind w:firstLine="424" w:firstLineChars="177"/>
        <w:rPr>
          <w:rFonts w:hint="eastAsia" w:ascii="宋体" w:hAnsi="宋体" w:cs="宋体"/>
          <w:color w:val="auto"/>
          <w:kern w:val="0"/>
          <w:sz w:val="24"/>
          <w:szCs w:val="24"/>
        </w:rPr>
      </w:pPr>
      <w:r>
        <w:rPr>
          <w:rFonts w:hint="eastAsia" w:ascii="宋体" w:hAnsi="宋体" w:cs="宋体"/>
          <w:color w:val="auto"/>
          <w:kern w:val="0"/>
          <w:sz w:val="24"/>
          <w:szCs w:val="24"/>
        </w:rPr>
        <w:t>7.4乙方应向甲方提供所有必要的协助，以帮助甲方保护其对成果产品以及成果产品中使用的标识享有的权利和利益以及就上述权利或利益进行辩护。</w:t>
      </w:r>
    </w:p>
    <w:p>
      <w:pPr>
        <w:pStyle w:val="22"/>
        <w:ind w:firstLine="480"/>
        <w:rPr>
          <w:rFonts w:hint="default"/>
          <w:color w:val="auto"/>
        </w:rPr>
      </w:pPr>
      <w:r>
        <w:rPr>
          <w:rFonts w:hAnsi="宋体" w:cs="宋体"/>
          <w:color w:val="auto"/>
          <w:kern w:val="0"/>
          <w:szCs w:val="24"/>
        </w:rPr>
        <w:t>7.5该项目平台系统的使用权与所有权归甲方所有。</w:t>
      </w:r>
    </w:p>
    <w:p>
      <w:pPr>
        <w:spacing w:line="480" w:lineRule="exact"/>
        <w:rPr>
          <w:rFonts w:ascii="宋体" w:hAnsi="宋体" w:cs="宋体"/>
          <w:b/>
          <w:color w:val="auto"/>
          <w:sz w:val="24"/>
          <w:szCs w:val="24"/>
        </w:rPr>
      </w:pPr>
      <w:r>
        <w:rPr>
          <w:rFonts w:hint="eastAsia" w:ascii="宋体" w:hAnsi="宋体" w:cs="宋体"/>
          <w:b/>
          <w:color w:val="auto"/>
          <w:sz w:val="24"/>
          <w:szCs w:val="24"/>
        </w:rPr>
        <w:t>　　八、权利与义务 ：</w:t>
      </w:r>
    </w:p>
    <w:p>
      <w:pPr>
        <w:spacing w:line="480" w:lineRule="exact"/>
        <w:rPr>
          <w:rFonts w:ascii="宋体" w:hAnsi="宋体" w:cs="宋体"/>
          <w:color w:val="auto"/>
          <w:sz w:val="24"/>
          <w:szCs w:val="24"/>
        </w:rPr>
      </w:pPr>
      <w:r>
        <w:rPr>
          <w:rFonts w:hint="eastAsia" w:ascii="宋体" w:hAnsi="宋体" w:cs="宋体"/>
          <w:color w:val="auto"/>
          <w:sz w:val="24"/>
          <w:szCs w:val="24"/>
        </w:rPr>
        <w:t>　　除本合同其他条款约定的权利、义务外，双方约定如下：</w:t>
      </w:r>
    </w:p>
    <w:p>
      <w:pPr>
        <w:spacing w:line="480" w:lineRule="exact"/>
        <w:rPr>
          <w:rFonts w:ascii="宋体" w:hAnsi="宋体" w:cs="宋体"/>
          <w:b/>
          <w:color w:val="auto"/>
          <w:sz w:val="24"/>
          <w:szCs w:val="24"/>
        </w:rPr>
      </w:pPr>
      <w:r>
        <w:rPr>
          <w:rFonts w:hint="eastAsia" w:ascii="宋体" w:hAnsi="宋体" w:cs="宋体"/>
          <w:b/>
          <w:color w:val="auto"/>
          <w:sz w:val="24"/>
          <w:szCs w:val="24"/>
        </w:rPr>
        <w:t>　　8.1甲方的权利与义务：</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8.1.1有权督促乙方按期开展工作。</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8.1.2有权根据需要调整工作内容和工作计划。</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8.1.4如乙方团队人员不符合合同工作，甲方有权要求更换，乙方在收到更换通知的3日内完成人员更换。</w:t>
      </w:r>
    </w:p>
    <w:p>
      <w:pPr>
        <w:spacing w:line="480" w:lineRule="exact"/>
        <w:ind w:firstLine="555"/>
        <w:rPr>
          <w:rFonts w:ascii="宋体" w:hAnsi="宋体" w:cs="宋体"/>
          <w:color w:val="auto"/>
          <w:sz w:val="24"/>
          <w:szCs w:val="24"/>
        </w:rPr>
      </w:pPr>
      <w:r>
        <w:rPr>
          <w:rFonts w:hint="eastAsia" w:ascii="宋体" w:hAnsi="宋体" w:cs="宋体"/>
          <w:color w:val="auto"/>
          <w:sz w:val="24"/>
          <w:szCs w:val="24"/>
        </w:rPr>
        <w:t>8.1.5合同生效后，由于不可抗力或客观原因导致合同提前终止的，甲方按实际完成工作量支付相关费用，不承担任何责任。</w:t>
      </w:r>
    </w:p>
    <w:p>
      <w:pPr>
        <w:spacing w:line="480" w:lineRule="exact"/>
        <w:rPr>
          <w:rFonts w:ascii="宋体" w:hAnsi="宋体" w:cs="宋体"/>
          <w:bCs/>
          <w:color w:val="auto"/>
          <w:kern w:val="0"/>
          <w:sz w:val="24"/>
          <w:szCs w:val="24"/>
        </w:rPr>
      </w:pPr>
      <w:r>
        <w:rPr>
          <w:rFonts w:hint="eastAsia" w:ascii="宋体" w:hAnsi="宋体" w:cs="宋体"/>
          <w:color w:val="auto"/>
          <w:sz w:val="24"/>
          <w:szCs w:val="24"/>
        </w:rPr>
        <w:t>　　8.1.6</w:t>
      </w:r>
      <w:r>
        <w:rPr>
          <w:rFonts w:hint="eastAsia" w:ascii="宋体" w:hAnsi="宋体" w:cs="宋体"/>
          <w:bCs/>
          <w:color w:val="auto"/>
          <w:kern w:val="0"/>
          <w:sz w:val="24"/>
          <w:szCs w:val="24"/>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auto"/>
          <w:kern w:val="0"/>
          <w:sz w:val="24"/>
          <w:szCs w:val="24"/>
        </w:rPr>
      </w:pPr>
      <w:r>
        <w:rPr>
          <w:rFonts w:hint="eastAsia" w:ascii="宋体" w:hAnsi="宋体" w:cs="宋体"/>
          <w:bCs/>
          <w:color w:val="auto"/>
          <w:kern w:val="0"/>
          <w:sz w:val="24"/>
          <w:szCs w:val="24"/>
        </w:rPr>
        <w:t>8.1.7甲方向乙方提供本项目工作所必需的资料及文件等。</w:t>
      </w:r>
    </w:p>
    <w:p>
      <w:pPr>
        <w:spacing w:line="480" w:lineRule="exact"/>
        <w:rPr>
          <w:rFonts w:ascii="宋体" w:hAnsi="宋体" w:cs="宋体"/>
          <w:b/>
          <w:color w:val="auto"/>
          <w:sz w:val="24"/>
          <w:szCs w:val="24"/>
        </w:rPr>
      </w:pPr>
      <w:r>
        <w:rPr>
          <w:rFonts w:hint="eastAsia" w:ascii="宋体" w:hAnsi="宋体" w:cs="宋体"/>
          <w:b/>
          <w:color w:val="auto"/>
          <w:sz w:val="24"/>
          <w:szCs w:val="24"/>
        </w:rPr>
        <w:t>　　8.2乙方的权利与义务：</w:t>
      </w:r>
    </w:p>
    <w:p>
      <w:pPr>
        <w:spacing w:line="480" w:lineRule="exact"/>
        <w:rPr>
          <w:rFonts w:ascii="宋体" w:hAnsi="宋体" w:cs="宋体"/>
          <w:color w:val="auto"/>
          <w:sz w:val="24"/>
          <w:szCs w:val="24"/>
        </w:rPr>
      </w:pPr>
      <w:r>
        <w:rPr>
          <w:rFonts w:hint="eastAsia" w:ascii="宋体" w:hAnsi="宋体" w:cs="宋体"/>
          <w:color w:val="auto"/>
          <w:sz w:val="24"/>
          <w:szCs w:val="24"/>
        </w:rPr>
        <w:t>　　8.2.1 有权要求甲方提供项目所必需的前期资料。</w:t>
      </w:r>
    </w:p>
    <w:p>
      <w:pPr>
        <w:spacing w:line="480" w:lineRule="exact"/>
        <w:rPr>
          <w:rFonts w:ascii="宋体" w:hAnsi="宋体" w:cs="宋体"/>
          <w:color w:val="auto"/>
          <w:sz w:val="24"/>
          <w:szCs w:val="24"/>
        </w:rPr>
      </w:pPr>
      <w:r>
        <w:rPr>
          <w:rFonts w:hint="eastAsia" w:ascii="宋体" w:hAnsi="宋体" w:cs="宋体"/>
          <w:color w:val="auto"/>
          <w:sz w:val="24"/>
          <w:szCs w:val="24"/>
        </w:rPr>
        <w:t>　　8.2.2发现甲方提供的上述资料或工作条件不符合合同约定时，须在接到上述资料或开始工作的</w:t>
      </w:r>
      <w:r>
        <w:rPr>
          <w:rFonts w:hint="eastAsia" w:ascii="宋体" w:hAnsi="宋体" w:cs="宋体"/>
          <w:color w:val="auto"/>
          <w:sz w:val="24"/>
          <w:szCs w:val="24"/>
          <w:u w:val="single"/>
        </w:rPr>
        <w:t>　3　</w:t>
      </w:r>
      <w:r>
        <w:rPr>
          <w:rFonts w:hint="eastAsia" w:ascii="宋体" w:hAnsi="宋体" w:cs="宋体"/>
          <w:color w:val="auto"/>
          <w:sz w:val="24"/>
          <w:szCs w:val="24"/>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auto"/>
          <w:kern w:val="0"/>
          <w:sz w:val="24"/>
          <w:szCs w:val="24"/>
        </w:rPr>
      </w:pPr>
      <w:r>
        <w:rPr>
          <w:rFonts w:hint="eastAsia" w:ascii="宋体" w:hAnsi="宋体" w:cs="宋体"/>
          <w:color w:val="auto"/>
          <w:sz w:val="24"/>
          <w:szCs w:val="24"/>
        </w:rPr>
        <w:t>8.2.3</w:t>
      </w:r>
      <w:r>
        <w:rPr>
          <w:rFonts w:hint="eastAsia" w:ascii="宋体" w:hAnsi="宋体" w:cs="宋体"/>
          <w:bCs/>
          <w:color w:val="auto"/>
          <w:kern w:val="0"/>
          <w:sz w:val="24"/>
          <w:szCs w:val="24"/>
        </w:rPr>
        <w:t>乙方在合同签订后</w:t>
      </w:r>
      <w:r>
        <w:rPr>
          <w:rFonts w:hint="eastAsia" w:ascii="宋体" w:hAnsi="宋体" w:cs="宋体"/>
          <w:bCs/>
          <w:color w:val="auto"/>
          <w:kern w:val="0"/>
          <w:sz w:val="24"/>
          <w:szCs w:val="24"/>
          <w:u w:val="single"/>
        </w:rPr>
        <w:t>3日</w:t>
      </w:r>
      <w:r>
        <w:rPr>
          <w:rFonts w:hint="eastAsia" w:ascii="宋体" w:hAnsi="宋体" w:cs="宋体"/>
          <w:bCs/>
          <w:color w:val="auto"/>
          <w:kern w:val="0"/>
          <w:sz w:val="24"/>
          <w:szCs w:val="24"/>
        </w:rPr>
        <w:t>内书面向甲方提交项目计划书、组织人员架构表，负责合同实施期间的联络人员名单及联系方式。项目计划书</w:t>
      </w:r>
      <w:r>
        <w:rPr>
          <w:rFonts w:hint="eastAsia" w:ascii="宋体" w:hAnsi="宋体" w:cs="宋体"/>
          <w:bCs/>
          <w:color w:val="auto"/>
          <w:kern w:val="0"/>
          <w:sz w:val="24"/>
          <w:szCs w:val="24"/>
          <w:u w:val="single"/>
        </w:rPr>
        <w:t>（计划书需包含以下方案：…）</w:t>
      </w:r>
      <w:r>
        <w:rPr>
          <w:rFonts w:hint="eastAsia" w:ascii="宋体" w:hAnsi="宋体" w:cs="宋体"/>
          <w:bCs/>
          <w:color w:val="auto"/>
          <w:kern w:val="0"/>
          <w:sz w:val="24"/>
          <w:szCs w:val="24"/>
        </w:rPr>
        <w:t>经甲方同意后实施。</w:t>
      </w:r>
    </w:p>
    <w:p>
      <w:pPr>
        <w:spacing w:line="480" w:lineRule="exact"/>
        <w:ind w:firstLine="480" w:firstLineChars="200"/>
        <w:rPr>
          <w:rFonts w:ascii="宋体" w:hAnsi="宋体" w:cs="宋体"/>
          <w:bCs/>
          <w:color w:val="auto"/>
          <w:kern w:val="0"/>
          <w:sz w:val="24"/>
          <w:szCs w:val="24"/>
        </w:rPr>
      </w:pPr>
      <w:r>
        <w:rPr>
          <w:rFonts w:hint="eastAsia" w:ascii="宋体" w:hAnsi="宋体" w:cs="宋体"/>
          <w:color w:val="auto"/>
          <w:sz w:val="24"/>
          <w:szCs w:val="24"/>
        </w:rPr>
        <w:t>8.2.4</w:t>
      </w:r>
      <w:r>
        <w:rPr>
          <w:rFonts w:hint="eastAsia" w:ascii="宋体" w:hAnsi="宋体" w:cs="宋体"/>
          <w:bCs/>
          <w:color w:val="auto"/>
          <w:kern w:val="0"/>
          <w:sz w:val="24"/>
          <w:szCs w:val="24"/>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auto"/>
          <w:kern w:val="0"/>
          <w:sz w:val="24"/>
          <w:szCs w:val="24"/>
        </w:rPr>
      </w:pPr>
      <w:r>
        <w:rPr>
          <w:rFonts w:hint="eastAsia" w:ascii="宋体" w:hAnsi="宋体" w:cs="宋体"/>
          <w:color w:val="auto"/>
          <w:sz w:val="24"/>
          <w:szCs w:val="24"/>
        </w:rPr>
        <w:t>8.2.5</w:t>
      </w:r>
      <w:r>
        <w:rPr>
          <w:rFonts w:hint="eastAsia" w:ascii="宋体" w:hAnsi="宋体" w:cs="宋体"/>
          <w:bCs/>
          <w:color w:val="auto"/>
          <w:kern w:val="0"/>
          <w:sz w:val="24"/>
          <w:szCs w:val="24"/>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auto"/>
          <w:kern w:val="0"/>
          <w:sz w:val="24"/>
          <w:szCs w:val="24"/>
          <w:u w:val="single"/>
        </w:rPr>
        <w:t>每人次扣合同暂定总价5%</w:t>
      </w:r>
      <w:r>
        <w:rPr>
          <w:rFonts w:hint="eastAsia" w:ascii="宋体" w:hAnsi="宋体" w:cs="宋体"/>
          <w:bCs/>
          <w:color w:val="auto"/>
          <w:kern w:val="0"/>
          <w:sz w:val="24"/>
          <w:szCs w:val="24"/>
        </w:rPr>
        <w:t>作为违约金。</w:t>
      </w:r>
    </w:p>
    <w:p>
      <w:pPr>
        <w:spacing w:line="480" w:lineRule="exact"/>
        <w:ind w:firstLine="480" w:firstLineChars="200"/>
        <w:rPr>
          <w:rFonts w:ascii="宋体" w:hAnsi="宋体" w:cs="宋体"/>
          <w:bCs/>
          <w:color w:val="auto"/>
          <w:kern w:val="0"/>
          <w:sz w:val="24"/>
          <w:szCs w:val="24"/>
        </w:rPr>
      </w:pPr>
      <w:r>
        <w:rPr>
          <w:rFonts w:hint="eastAsia" w:ascii="宋体" w:hAnsi="宋体" w:cs="宋体"/>
          <w:color w:val="auto"/>
          <w:sz w:val="24"/>
          <w:szCs w:val="24"/>
        </w:rPr>
        <w:t>8.2.6</w:t>
      </w:r>
      <w:r>
        <w:rPr>
          <w:rFonts w:hint="eastAsia" w:ascii="宋体" w:hAnsi="宋体" w:cs="宋体"/>
          <w:bCs/>
          <w:color w:val="auto"/>
          <w:kern w:val="0"/>
          <w:sz w:val="24"/>
          <w:szCs w:val="24"/>
        </w:rPr>
        <w:t xml:space="preserve">乙方为完成系统开发及服务事项而向甲方收取的重要证件、文件、资料时，应向甲方开具规范的收件清单，并妥善保管；项目验收合格后，乙方应在10日内将上述证件、文件、资料退还甲方。 </w:t>
      </w:r>
    </w:p>
    <w:p>
      <w:pPr>
        <w:spacing w:line="480" w:lineRule="exact"/>
        <w:ind w:firstLine="480" w:firstLineChars="200"/>
        <w:rPr>
          <w:rFonts w:hint="eastAsia" w:ascii="宋体" w:hAnsi="宋体" w:cs="宋体"/>
          <w:bCs/>
          <w:color w:val="auto"/>
          <w:kern w:val="0"/>
          <w:sz w:val="24"/>
          <w:szCs w:val="24"/>
        </w:rPr>
      </w:pPr>
      <w:r>
        <w:rPr>
          <w:rFonts w:hint="eastAsia" w:ascii="宋体" w:hAnsi="宋体" w:cs="宋体"/>
          <w:color w:val="auto"/>
          <w:sz w:val="24"/>
          <w:szCs w:val="24"/>
        </w:rPr>
        <w:t>8.2.7</w:t>
      </w:r>
      <w:r>
        <w:rPr>
          <w:rFonts w:hint="eastAsia" w:ascii="宋体" w:hAnsi="宋体" w:cs="宋体"/>
          <w:bCs/>
          <w:color w:val="auto"/>
          <w:kern w:val="0"/>
          <w:sz w:val="24"/>
          <w:szCs w:val="24"/>
        </w:rPr>
        <w:t>乙方对项目中涉及的甲方商业秘密应予以保护，禁止向任何第三方公开，否则应向甲方承担相应赔偿责任。</w:t>
      </w:r>
    </w:p>
    <w:p>
      <w:pPr>
        <w:spacing w:line="480" w:lineRule="exact"/>
        <w:rPr>
          <w:rFonts w:ascii="宋体" w:hAnsi="宋体" w:cs="宋体"/>
          <w:b/>
          <w:color w:val="auto"/>
          <w:sz w:val="24"/>
          <w:szCs w:val="24"/>
        </w:rPr>
      </w:pPr>
      <w:r>
        <w:rPr>
          <w:rFonts w:hint="eastAsia" w:ascii="宋体" w:hAnsi="宋体" w:cs="宋体"/>
          <w:b/>
          <w:color w:val="auto"/>
          <w:sz w:val="24"/>
          <w:szCs w:val="24"/>
        </w:rPr>
        <w:t>　九、违约责任</w:t>
      </w:r>
    </w:p>
    <w:p>
      <w:pPr>
        <w:spacing w:line="480" w:lineRule="exact"/>
        <w:ind w:firstLine="560"/>
        <w:rPr>
          <w:rFonts w:ascii="宋体" w:hAnsi="宋体" w:cs="宋体"/>
          <w:bCs/>
          <w:color w:val="auto"/>
          <w:sz w:val="24"/>
          <w:szCs w:val="24"/>
        </w:rPr>
      </w:pPr>
      <w:r>
        <w:rPr>
          <w:rFonts w:hint="eastAsia" w:ascii="宋体" w:hAnsi="宋体" w:cs="宋体"/>
          <w:color w:val="auto"/>
          <w:sz w:val="24"/>
          <w:szCs w:val="24"/>
        </w:rPr>
        <w:t>9.1</w:t>
      </w:r>
      <w:r>
        <w:rPr>
          <w:rFonts w:hint="eastAsia" w:ascii="宋体" w:hAnsi="宋体" w:cs="宋体"/>
          <w:bCs/>
          <w:color w:val="auto"/>
          <w:sz w:val="24"/>
          <w:szCs w:val="24"/>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auto"/>
          <w:sz w:val="24"/>
          <w:szCs w:val="24"/>
          <w:u w:val="single"/>
        </w:rPr>
        <w:t>1万元</w:t>
      </w:r>
      <w:r>
        <w:rPr>
          <w:rFonts w:hint="eastAsia" w:ascii="宋体" w:hAnsi="宋体" w:cs="宋体"/>
          <w:bCs/>
          <w:color w:val="auto"/>
          <w:sz w:val="24"/>
          <w:szCs w:val="24"/>
        </w:rPr>
        <w:t>，超过</w:t>
      </w:r>
      <w:r>
        <w:rPr>
          <w:rFonts w:hint="eastAsia" w:ascii="宋体" w:hAnsi="宋体" w:cs="宋体"/>
          <w:bCs/>
          <w:color w:val="auto"/>
          <w:sz w:val="24"/>
          <w:szCs w:val="24"/>
          <w:u w:val="single"/>
        </w:rPr>
        <w:t>10</w:t>
      </w:r>
      <w:r>
        <w:rPr>
          <w:rFonts w:hint="eastAsia"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合同暂定总价的20%</w:t>
      </w:r>
      <w:r>
        <w:rPr>
          <w:rFonts w:hint="eastAsia" w:ascii="宋体" w:hAnsi="宋体" w:cs="宋体"/>
          <w:bCs/>
          <w:color w:val="auto"/>
          <w:sz w:val="24"/>
          <w:szCs w:val="24"/>
        </w:rPr>
        <w:t>作为违约金，由此造成的责任及损失由乙方承担。（</w:t>
      </w:r>
      <w:r>
        <w:rPr>
          <w:rFonts w:hint="eastAsia" w:ascii="宋体" w:hAnsi="宋体" w:cs="宋体"/>
          <w:color w:val="auto"/>
          <w:sz w:val="24"/>
          <w:szCs w:val="24"/>
        </w:rPr>
        <w:t>如合同另行约定违约责任，从其约定</w:t>
      </w:r>
      <w:r>
        <w:rPr>
          <w:rFonts w:hint="eastAsia" w:ascii="宋体" w:hAnsi="宋体" w:cs="宋体"/>
          <w:bCs/>
          <w:color w:val="auto"/>
          <w:sz w:val="24"/>
          <w:szCs w:val="24"/>
        </w:rPr>
        <w:t>）。</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9.3乙方未能及时处理故障，每延误故障处理1日，甲方有权要求乙方支付</w:t>
      </w:r>
      <w:r>
        <w:rPr>
          <w:rFonts w:hint="eastAsia" w:ascii="宋体" w:hAnsi="宋体" w:cs="宋体"/>
          <w:color w:val="auto"/>
          <w:sz w:val="24"/>
          <w:szCs w:val="24"/>
          <w:u w:val="single"/>
        </w:rPr>
        <w:t>合同暂定总价的 10 ‰/日</w:t>
      </w:r>
      <w:r>
        <w:rPr>
          <w:rFonts w:hint="eastAsia" w:ascii="宋体" w:hAnsi="宋体" w:cs="宋体"/>
          <w:color w:val="auto"/>
          <w:sz w:val="24"/>
          <w:szCs w:val="24"/>
        </w:rPr>
        <w:t>作为违约金。</w:t>
      </w:r>
    </w:p>
    <w:p>
      <w:pPr>
        <w:topLinePunct/>
        <w:spacing w:line="480" w:lineRule="exact"/>
        <w:ind w:firstLine="480"/>
        <w:rPr>
          <w:rFonts w:ascii="宋体" w:hAnsi="宋体" w:cs="宋体"/>
          <w:bCs/>
          <w:color w:val="auto"/>
          <w:sz w:val="24"/>
          <w:szCs w:val="24"/>
        </w:rPr>
      </w:pPr>
      <w:r>
        <w:rPr>
          <w:rFonts w:hint="eastAsia" w:ascii="宋体" w:hAnsi="宋体" w:cs="宋体"/>
          <w:color w:val="auto"/>
          <w:sz w:val="24"/>
          <w:szCs w:val="24"/>
        </w:rPr>
        <w:t>9.4乙方无法按合同进度要求完成工作，逾期交付工作成果，</w:t>
      </w:r>
      <w:r>
        <w:rPr>
          <w:rFonts w:hint="eastAsia" w:ascii="宋体" w:hAnsi="宋体" w:cs="宋体"/>
          <w:bCs/>
          <w:color w:val="auto"/>
          <w:sz w:val="24"/>
          <w:szCs w:val="24"/>
        </w:rPr>
        <w:t>每超过1日支付违约金</w:t>
      </w:r>
      <w:r>
        <w:rPr>
          <w:rFonts w:hint="eastAsia" w:ascii="宋体" w:hAnsi="宋体" w:cs="宋体"/>
          <w:bCs/>
          <w:color w:val="auto"/>
          <w:sz w:val="24"/>
          <w:szCs w:val="24"/>
          <w:u w:val="single"/>
        </w:rPr>
        <w:t>合同暂定总价的1%</w:t>
      </w:r>
      <w:r>
        <w:rPr>
          <w:rFonts w:hint="eastAsia" w:ascii="宋体" w:hAnsi="宋体" w:cs="宋体"/>
          <w:bCs/>
          <w:color w:val="auto"/>
          <w:sz w:val="24"/>
          <w:szCs w:val="24"/>
        </w:rPr>
        <w:t>，超过</w:t>
      </w:r>
      <w:r>
        <w:rPr>
          <w:rFonts w:hint="eastAsia" w:ascii="宋体" w:hAnsi="宋体" w:cs="宋体"/>
          <w:bCs/>
          <w:color w:val="auto"/>
          <w:sz w:val="24"/>
          <w:szCs w:val="24"/>
          <w:u w:val="single"/>
        </w:rPr>
        <w:t>14</w:t>
      </w:r>
      <w:r>
        <w:rPr>
          <w:rFonts w:hint="eastAsia"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合同暂定总价的20%</w:t>
      </w:r>
      <w:r>
        <w:rPr>
          <w:rFonts w:hint="eastAsia" w:ascii="宋体" w:hAnsi="宋体" w:cs="宋体"/>
          <w:bCs/>
          <w:color w:val="auto"/>
          <w:sz w:val="24"/>
          <w:szCs w:val="24"/>
        </w:rPr>
        <w:t>作为违约金。</w:t>
      </w:r>
    </w:p>
    <w:p>
      <w:pPr>
        <w:topLinePunct/>
        <w:spacing w:line="480" w:lineRule="exact"/>
        <w:ind w:firstLine="480"/>
        <w:rPr>
          <w:rFonts w:ascii="宋体" w:hAnsi="宋体" w:cs="宋体"/>
          <w:color w:val="auto"/>
          <w:sz w:val="24"/>
          <w:szCs w:val="24"/>
        </w:rPr>
      </w:pPr>
      <w:r>
        <w:rPr>
          <w:rFonts w:hint="eastAsia" w:ascii="宋体" w:hAnsi="宋体" w:cs="宋体"/>
          <w:color w:val="auto"/>
          <w:sz w:val="24"/>
          <w:szCs w:val="24"/>
        </w:rPr>
        <w:t>9.5乙方违反本合同保密协议的，甲方有权解除合同，乙方应返还已收的合同款项，并赔偿由此给甲方造成的损失。</w:t>
      </w:r>
    </w:p>
    <w:p>
      <w:pPr>
        <w:topLinePunct/>
        <w:spacing w:line="48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　9.6在合同有效期内，若乙方发生不诚信行为情形的，乙方自愿接受甲方按《广州市净水有限公司经营建设项目参建企业不诚信行为管理办法》处理，具体处罚标准详见附件7。</w:t>
      </w:r>
    </w:p>
    <w:p>
      <w:pPr>
        <w:spacing w:before="156" w:beforeLines="50" w:after="156" w:afterLines="50" w:line="480" w:lineRule="exact"/>
        <w:ind w:firstLine="482" w:firstLineChars="200"/>
        <w:rPr>
          <w:rFonts w:ascii="宋体" w:hAnsi="宋体" w:cs="宋体"/>
          <w:color w:val="auto"/>
          <w:sz w:val="24"/>
          <w:szCs w:val="24"/>
        </w:rPr>
      </w:pPr>
      <w:bookmarkStart w:id="130" w:name="_Toc474245226"/>
      <w:bookmarkStart w:id="131" w:name="_Toc107446862"/>
      <w:bookmarkStart w:id="132" w:name="_Toc183666531"/>
      <w:bookmarkStart w:id="133" w:name="_Toc518993000"/>
      <w:bookmarkStart w:id="134" w:name="_Toc19692"/>
      <w:bookmarkStart w:id="135" w:name="_Toc520190040"/>
      <w:bookmarkStart w:id="136" w:name="_Toc107447255"/>
      <w:bookmarkStart w:id="137" w:name="_Toc306350467"/>
      <w:r>
        <w:rPr>
          <w:rFonts w:hint="eastAsia" w:ascii="宋体" w:hAnsi="宋体" w:cs="宋体"/>
          <w:b/>
          <w:bCs/>
          <w:color w:val="auto"/>
          <w:sz w:val="24"/>
          <w:szCs w:val="24"/>
        </w:rPr>
        <w:t>十、不可抗力</w:t>
      </w:r>
      <w:bookmarkEnd w:id="130"/>
      <w:bookmarkEnd w:id="131"/>
      <w:bookmarkEnd w:id="132"/>
      <w:bookmarkEnd w:id="133"/>
      <w:bookmarkEnd w:id="134"/>
      <w:bookmarkEnd w:id="135"/>
      <w:bookmarkEnd w:id="136"/>
      <w:bookmarkEnd w:id="137"/>
    </w:p>
    <w:p>
      <w:pPr>
        <w:autoSpaceDE w:val="0"/>
        <w:autoSpaceDN w:val="0"/>
        <w:adjustRightInd w:val="0"/>
        <w:spacing w:line="480" w:lineRule="exact"/>
        <w:ind w:firstLine="480" w:firstLineChars="200"/>
        <w:rPr>
          <w:rFonts w:ascii="宋体" w:hAnsi="宋体" w:cs="宋体"/>
          <w:bCs/>
          <w:color w:val="auto"/>
          <w:sz w:val="24"/>
          <w:szCs w:val="24"/>
        </w:rPr>
      </w:pPr>
      <w:bookmarkStart w:id="138" w:name="_Toc183666532"/>
      <w:bookmarkStart w:id="139" w:name="_Toc306350468"/>
      <w:bookmarkStart w:id="140" w:name="_Toc12010"/>
      <w:r>
        <w:rPr>
          <w:rFonts w:hint="eastAsia" w:ascii="宋体" w:hAnsi="宋体" w:cs="宋体"/>
          <w:bCs/>
          <w:color w:val="auto"/>
          <w:sz w:val="24"/>
          <w:szCs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utoSpaceDE w:val="0"/>
        <w:autoSpaceDN w:val="0"/>
        <w:adjustRightInd w:val="0"/>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⑴ 地震、火山爆发、滑坡、暴雨（橙色预警及以上）、台风（黄色预警及以上）、海啸、龙卷风、大面积流行病或瘟疫；</w:t>
      </w:r>
    </w:p>
    <w:p>
      <w:pPr>
        <w:autoSpaceDE w:val="0"/>
        <w:autoSpaceDN w:val="0"/>
        <w:adjustRightInd w:val="0"/>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⑵ 战争行为、入侵、武装冲突或外敌行为、封锁、暴乱、恐怖行为或军事演习；</w:t>
      </w:r>
    </w:p>
    <w:p>
      <w:pPr>
        <w:autoSpaceDE w:val="0"/>
        <w:autoSpaceDN w:val="0"/>
        <w:adjustRightInd w:val="0"/>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utoSpaceDE w:val="0"/>
        <w:autoSpaceDN w:val="0"/>
        <w:adjustRightInd w:val="0"/>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rPr>
          <w:rFonts w:ascii="宋体" w:hAnsi="宋体" w:cs="宋体"/>
          <w:bCs/>
          <w:color w:val="auto"/>
          <w:sz w:val="24"/>
          <w:szCs w:val="24"/>
        </w:rPr>
      </w:pPr>
      <w:r>
        <w:rPr>
          <w:rFonts w:hint="eastAsia" w:ascii="宋体" w:hAnsi="宋体" w:cs="宋体"/>
          <w:bCs/>
          <w:color w:val="auto"/>
          <w:sz w:val="24"/>
          <w:szCs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1" w:name="_Toc107447257"/>
      <w:bookmarkStart w:id="142" w:name="_Toc118172294"/>
      <w:bookmarkStart w:id="143" w:name="_Toc518993001"/>
      <w:bookmarkStart w:id="144" w:name="_Toc520190041"/>
      <w:bookmarkStart w:id="145" w:name="_Toc107446864"/>
      <w:bookmarkStart w:id="146" w:name="_Toc474245227"/>
    </w:p>
    <w:p>
      <w:pPr>
        <w:spacing w:before="156" w:beforeLines="50" w:after="156" w:afterLines="50" w:line="480" w:lineRule="exact"/>
        <w:ind w:firstLine="482"/>
        <w:rPr>
          <w:rFonts w:ascii="宋体" w:hAnsi="宋体" w:cs="宋体"/>
          <w:b/>
          <w:bCs/>
          <w:color w:val="auto"/>
          <w:sz w:val="24"/>
          <w:szCs w:val="24"/>
        </w:rPr>
      </w:pPr>
      <w:r>
        <w:rPr>
          <w:rFonts w:hint="eastAsia" w:ascii="宋体" w:hAnsi="宋体" w:cs="宋体"/>
          <w:b/>
          <w:bCs/>
          <w:color w:val="auto"/>
          <w:sz w:val="24"/>
          <w:szCs w:val="24"/>
        </w:rPr>
        <w:t>十一、争议解决</w:t>
      </w:r>
      <w:bookmarkEnd w:id="138"/>
      <w:bookmarkEnd w:id="139"/>
      <w:bookmarkEnd w:id="140"/>
      <w:bookmarkEnd w:id="141"/>
      <w:bookmarkEnd w:id="142"/>
      <w:bookmarkEnd w:id="143"/>
      <w:bookmarkEnd w:id="144"/>
      <w:bookmarkEnd w:id="145"/>
      <w:bookmarkEnd w:id="146"/>
    </w:p>
    <w:p>
      <w:pPr>
        <w:spacing w:line="480" w:lineRule="exact"/>
        <w:ind w:firstLine="482"/>
        <w:rPr>
          <w:rFonts w:ascii="宋体" w:hAnsi="宋体" w:cs="宋体"/>
          <w:bCs/>
          <w:color w:val="auto"/>
          <w:sz w:val="24"/>
          <w:szCs w:val="24"/>
        </w:rPr>
      </w:pPr>
      <w:bookmarkStart w:id="147" w:name="_Toc183666533"/>
      <w:bookmarkStart w:id="148" w:name="_Toc306350469"/>
      <w:r>
        <w:rPr>
          <w:rFonts w:hint="eastAsia" w:ascii="宋体" w:hAnsi="宋体" w:cs="宋体"/>
          <w:bCs/>
          <w:color w:val="auto"/>
          <w:sz w:val="24"/>
          <w:szCs w:val="24"/>
        </w:rPr>
        <w:t>11.1甲乙双方应通过友好协商，解决在执行本合同所发生的或与本合同有关的一切争议。如协商不能解决争议，任何一方均可依法向甲方所在地人民法院提起诉讼。</w:t>
      </w:r>
    </w:p>
    <w:p>
      <w:pPr>
        <w:spacing w:line="480" w:lineRule="exact"/>
        <w:ind w:firstLine="482"/>
        <w:rPr>
          <w:rFonts w:hint="eastAsia" w:ascii="宋体" w:hAnsi="宋体" w:cs="宋体"/>
          <w:color w:val="auto"/>
          <w:sz w:val="24"/>
          <w:szCs w:val="24"/>
        </w:rPr>
      </w:pPr>
      <w:r>
        <w:rPr>
          <w:rFonts w:hint="eastAsia" w:ascii="宋体" w:hAnsi="宋体" w:cs="宋体"/>
          <w:bCs/>
          <w:color w:val="auto"/>
          <w:sz w:val="24"/>
          <w:szCs w:val="24"/>
        </w:rPr>
        <w:t>11.2</w:t>
      </w:r>
      <w:r>
        <w:rPr>
          <w:rFonts w:hint="eastAsia" w:ascii="宋体" w:hAnsi="宋体" w:cs="宋体"/>
          <w:color w:val="auto"/>
          <w:sz w:val="24"/>
          <w:szCs w:val="24"/>
        </w:rPr>
        <w:t>在甲方同意的情况下，除有争端之外的合同其它部分在争端解决前应继续执行。</w:t>
      </w:r>
      <w:bookmarkEnd w:id="147"/>
      <w:bookmarkEnd w:id="148"/>
      <w:bookmarkStart w:id="149" w:name="_Toc520190043"/>
      <w:bookmarkStart w:id="150" w:name="_Toc474245229"/>
      <w:bookmarkStart w:id="151" w:name="_Toc518993003"/>
    </w:p>
    <w:p>
      <w:pPr>
        <w:pStyle w:val="2"/>
        <w:tabs>
          <w:tab w:val="left" w:pos="720"/>
        </w:tabs>
        <w:rPr>
          <w:color w:val="auto"/>
        </w:rPr>
      </w:pPr>
    </w:p>
    <w:p>
      <w:pPr>
        <w:spacing w:line="480" w:lineRule="exact"/>
        <w:ind w:firstLine="482"/>
        <w:rPr>
          <w:rFonts w:ascii="宋体" w:hAnsi="宋体" w:cs="宋体"/>
          <w:b/>
          <w:bCs/>
          <w:color w:val="auto"/>
          <w:sz w:val="24"/>
          <w:szCs w:val="24"/>
        </w:rPr>
      </w:pPr>
      <w:bookmarkStart w:id="152" w:name="_Toc107447264"/>
      <w:bookmarkStart w:id="153" w:name="_Toc107446871"/>
      <w:r>
        <w:rPr>
          <w:rFonts w:hint="eastAsia" w:ascii="宋体" w:hAnsi="宋体" w:cs="宋体"/>
          <w:b/>
          <w:bCs/>
          <w:color w:val="auto"/>
          <w:sz w:val="24"/>
          <w:szCs w:val="24"/>
        </w:rPr>
        <w:t>十二、合同生效及其他</w:t>
      </w:r>
      <w:bookmarkEnd w:id="149"/>
      <w:bookmarkEnd w:id="150"/>
      <w:bookmarkEnd w:id="151"/>
      <w:bookmarkEnd w:id="152"/>
      <w:bookmarkEnd w:id="153"/>
    </w:p>
    <w:p>
      <w:pPr>
        <w:spacing w:line="480" w:lineRule="exact"/>
        <w:ind w:firstLine="480"/>
        <w:rPr>
          <w:rFonts w:ascii="宋体" w:hAnsi="宋体" w:cs="宋体"/>
          <w:color w:val="auto"/>
          <w:sz w:val="24"/>
          <w:szCs w:val="24"/>
        </w:rPr>
      </w:pPr>
      <w:r>
        <w:rPr>
          <w:rFonts w:hint="eastAsia" w:ascii="宋体" w:hAnsi="宋体" w:cs="宋体"/>
          <w:color w:val="auto"/>
          <w:sz w:val="24"/>
          <w:szCs w:val="24"/>
        </w:rPr>
        <w:t>12.1本合同经双方法定代表人或授权代表签字并加盖双方公章后生效.</w:t>
      </w:r>
    </w:p>
    <w:p>
      <w:pPr>
        <w:spacing w:line="480" w:lineRule="exact"/>
        <w:ind w:firstLine="480"/>
        <w:rPr>
          <w:rFonts w:ascii="宋体" w:hAnsi="宋体" w:cs="宋体"/>
          <w:color w:val="auto"/>
          <w:sz w:val="24"/>
          <w:szCs w:val="24"/>
        </w:rPr>
      </w:pPr>
      <w:r>
        <w:rPr>
          <w:rFonts w:hint="eastAsia" w:ascii="宋体" w:hAnsi="宋体" w:cs="宋体"/>
          <w:color w:val="auto"/>
          <w:sz w:val="24"/>
          <w:szCs w:val="24"/>
        </w:rPr>
        <w:t xml:space="preserve">12.2本合同正文一式 </w:t>
      </w:r>
      <w:r>
        <w:rPr>
          <w:rFonts w:hint="eastAsia" w:ascii="宋体" w:hAnsi="宋体" w:cs="宋体"/>
          <w:color w:val="auto"/>
          <w:sz w:val="24"/>
          <w:szCs w:val="24"/>
          <w:u w:val="single"/>
        </w:rPr>
        <w:t>陆</w:t>
      </w:r>
      <w:r>
        <w:rPr>
          <w:rFonts w:hint="eastAsia" w:ascii="宋体" w:hAnsi="宋体" w:cs="宋体"/>
          <w:color w:val="auto"/>
          <w:sz w:val="24"/>
          <w:szCs w:val="24"/>
        </w:rPr>
        <w:t xml:space="preserve"> 份，其中：甲方</w:t>
      </w:r>
      <w:r>
        <w:rPr>
          <w:rFonts w:hint="eastAsia" w:ascii="宋体" w:hAnsi="宋体" w:cs="宋体"/>
          <w:color w:val="auto"/>
          <w:sz w:val="24"/>
          <w:szCs w:val="24"/>
          <w:u w:val="single"/>
        </w:rPr>
        <w:t xml:space="preserve">    肆   </w:t>
      </w:r>
      <w:r>
        <w:rPr>
          <w:rFonts w:hint="eastAsia" w:ascii="宋体" w:hAnsi="宋体" w:cs="宋体"/>
          <w:color w:val="auto"/>
          <w:sz w:val="24"/>
          <w:szCs w:val="24"/>
        </w:rPr>
        <w:t>份，乙方</w:t>
      </w:r>
      <w:r>
        <w:rPr>
          <w:rFonts w:hint="eastAsia" w:ascii="宋体" w:hAnsi="宋体" w:cs="宋体"/>
          <w:color w:val="auto"/>
          <w:sz w:val="24"/>
          <w:szCs w:val="24"/>
          <w:u w:val="single"/>
        </w:rPr>
        <w:t xml:space="preserve">   贰   </w:t>
      </w:r>
      <w:r>
        <w:rPr>
          <w:rFonts w:hint="eastAsia" w:ascii="宋体" w:hAnsi="宋体" w:cs="宋体"/>
          <w:color w:val="auto"/>
          <w:sz w:val="24"/>
          <w:szCs w:val="24"/>
        </w:rPr>
        <w:t>份。</w:t>
      </w:r>
    </w:p>
    <w:p>
      <w:pPr>
        <w:spacing w:line="480" w:lineRule="exact"/>
        <w:ind w:firstLine="480"/>
        <w:rPr>
          <w:rFonts w:ascii="宋体" w:hAnsi="宋体" w:cs="宋体"/>
          <w:color w:val="auto"/>
          <w:sz w:val="24"/>
          <w:szCs w:val="24"/>
        </w:rPr>
      </w:pPr>
      <w:r>
        <w:rPr>
          <w:rFonts w:hint="eastAsia" w:ascii="宋体" w:hAnsi="宋体" w:cs="宋体"/>
          <w:color w:val="auto"/>
          <w:sz w:val="24"/>
          <w:szCs w:val="24"/>
        </w:rPr>
        <w:t>12.3补充条款</w:t>
      </w:r>
      <w:r>
        <w:rPr>
          <w:rFonts w:hint="eastAsia" w:ascii="宋体" w:hAnsi="宋体" w:cs="宋体"/>
          <w:color w:val="auto"/>
          <w:sz w:val="24"/>
          <w:szCs w:val="24"/>
          <w:u w:val="single"/>
        </w:rPr>
        <w:t xml:space="preserve">：无 </w:t>
      </w:r>
    </w:p>
    <w:p>
      <w:pPr>
        <w:pStyle w:val="2"/>
        <w:tabs>
          <w:tab w:val="left" w:pos="720"/>
        </w:tabs>
        <w:rPr>
          <w:color w:val="auto"/>
        </w:rPr>
      </w:pPr>
    </w:p>
    <w:p>
      <w:pPr>
        <w:spacing w:line="480" w:lineRule="exact"/>
        <w:ind w:firstLine="482"/>
        <w:rPr>
          <w:rFonts w:hint="eastAsia" w:ascii="宋体" w:hAnsi="宋体" w:cs="宋体"/>
          <w:color w:val="auto"/>
          <w:sz w:val="24"/>
          <w:szCs w:val="24"/>
        </w:rPr>
      </w:pPr>
      <w:r>
        <w:rPr>
          <w:rFonts w:hint="eastAsia" w:ascii="宋体" w:hAnsi="宋体" w:cs="宋体"/>
          <w:color w:val="auto"/>
          <w:sz w:val="24"/>
          <w:szCs w:val="24"/>
        </w:rPr>
        <w:t xml:space="preserve">附件： 1. </w:t>
      </w:r>
      <w:r>
        <w:rPr>
          <w:rFonts w:hint="eastAsia" w:ascii="宋体" w:hAnsi="宋体" w:cs="宋体"/>
          <w:bCs/>
          <w:color w:val="auto"/>
          <w:sz w:val="24"/>
          <w:szCs w:val="24"/>
        </w:rPr>
        <w:t>中标通知书/发包通知书/成交通知书/委托函；</w:t>
      </w:r>
      <w:r>
        <w:rPr>
          <w:rFonts w:hint="eastAsia" w:ascii="宋体" w:hAnsi="宋体" w:cs="宋体"/>
          <w:color w:val="auto"/>
          <w:sz w:val="24"/>
          <w:szCs w:val="24"/>
        </w:rPr>
        <w:t>（如有）</w:t>
      </w:r>
    </w:p>
    <w:p>
      <w:pPr>
        <w:spacing w:line="480" w:lineRule="exact"/>
        <w:rPr>
          <w:rFonts w:hint="eastAsia" w:ascii="宋体" w:hAnsi="宋体" w:cs="宋体"/>
          <w:color w:val="auto"/>
          <w:sz w:val="24"/>
          <w:szCs w:val="24"/>
        </w:rPr>
      </w:pPr>
      <w:r>
        <w:rPr>
          <w:rFonts w:hint="eastAsia" w:ascii="宋体" w:hAnsi="宋体" w:cs="宋体"/>
          <w:color w:val="auto"/>
          <w:sz w:val="24"/>
          <w:szCs w:val="24"/>
        </w:rPr>
        <w:t xml:space="preserve">           2. 廉洁协议</w:t>
      </w:r>
    </w:p>
    <w:p>
      <w:pPr>
        <w:spacing w:line="480" w:lineRule="exact"/>
        <w:rPr>
          <w:rFonts w:hint="eastAsia" w:ascii="宋体" w:hAnsi="宋体" w:cs="宋体"/>
          <w:color w:val="auto"/>
          <w:sz w:val="24"/>
          <w:szCs w:val="24"/>
        </w:rPr>
      </w:pPr>
      <w:r>
        <w:rPr>
          <w:rFonts w:hint="eastAsia" w:ascii="宋体" w:hAnsi="宋体" w:cs="宋体"/>
          <w:color w:val="auto"/>
          <w:sz w:val="24"/>
          <w:szCs w:val="24"/>
        </w:rPr>
        <w:t xml:space="preserve">           3. 保密协议</w:t>
      </w:r>
    </w:p>
    <w:p>
      <w:pPr>
        <w:spacing w:line="480" w:lineRule="exact"/>
        <w:ind w:firstLine="1320" w:firstLineChars="550"/>
        <w:rPr>
          <w:rFonts w:hint="eastAsia" w:ascii="宋体" w:hAnsi="宋体" w:cs="宋体"/>
          <w:color w:val="auto"/>
          <w:sz w:val="24"/>
          <w:szCs w:val="24"/>
        </w:rPr>
      </w:pPr>
      <w:r>
        <w:rPr>
          <w:rFonts w:hint="eastAsia" w:ascii="宋体" w:hAnsi="宋体" w:cs="宋体"/>
          <w:color w:val="auto"/>
          <w:sz w:val="24"/>
          <w:szCs w:val="24"/>
        </w:rPr>
        <w:t>4. 安全管理协议书（具体以安全办通知为准）</w:t>
      </w:r>
    </w:p>
    <w:p>
      <w:pPr>
        <w:spacing w:line="480" w:lineRule="exact"/>
        <w:ind w:firstLine="1320" w:firstLineChars="550"/>
        <w:rPr>
          <w:rFonts w:hint="eastAsia" w:ascii="宋体" w:hAnsi="宋体" w:cs="宋体"/>
          <w:color w:val="auto"/>
          <w:sz w:val="24"/>
          <w:szCs w:val="24"/>
        </w:rPr>
      </w:pPr>
      <w:r>
        <w:rPr>
          <w:rFonts w:hint="eastAsia" w:ascii="宋体" w:hAnsi="宋体" w:cs="宋体"/>
          <w:color w:val="auto"/>
          <w:sz w:val="24"/>
          <w:szCs w:val="24"/>
        </w:rPr>
        <w:t>5. 服务内容/技术需求</w:t>
      </w:r>
    </w:p>
    <w:p>
      <w:pPr>
        <w:spacing w:line="480" w:lineRule="exact"/>
        <w:ind w:firstLine="1320" w:firstLineChars="550"/>
        <w:rPr>
          <w:rFonts w:hint="eastAsia" w:ascii="宋体" w:hAnsi="宋体" w:cs="宋体"/>
          <w:color w:val="auto"/>
          <w:sz w:val="24"/>
          <w:szCs w:val="24"/>
        </w:rPr>
      </w:pPr>
      <w:r>
        <w:rPr>
          <w:rFonts w:hint="eastAsia" w:ascii="宋体" w:hAnsi="宋体" w:cs="宋体"/>
          <w:color w:val="auto"/>
          <w:sz w:val="24"/>
          <w:szCs w:val="24"/>
        </w:rPr>
        <w:t>6. 项目投入人员架构表</w:t>
      </w:r>
    </w:p>
    <w:p>
      <w:pPr>
        <w:spacing w:line="480" w:lineRule="exact"/>
        <w:ind w:firstLine="1320" w:firstLineChars="550"/>
        <w:rPr>
          <w:rFonts w:hint="eastAsia" w:ascii="宋体" w:hAnsi="宋体" w:cs="宋体"/>
          <w:color w:val="auto"/>
          <w:sz w:val="24"/>
          <w:szCs w:val="24"/>
        </w:rPr>
      </w:pPr>
      <w:r>
        <w:rPr>
          <w:rFonts w:hint="eastAsia" w:ascii="宋体" w:hAnsi="宋体" w:cs="宋体"/>
          <w:color w:val="auto"/>
          <w:sz w:val="24"/>
          <w:szCs w:val="24"/>
        </w:rPr>
        <w:t>7. 不诚信行为的情形及相应被暂停参与投标活动的处理标准</w:t>
      </w:r>
    </w:p>
    <w:p>
      <w:pPr>
        <w:pStyle w:val="22"/>
        <w:ind w:firstLine="480"/>
        <w:rPr>
          <w:rFonts w:hAnsi="宋体" w:cs="宋体"/>
          <w:color w:val="auto"/>
          <w:szCs w:val="24"/>
        </w:rPr>
      </w:pPr>
      <w:r>
        <w:rPr>
          <w:rFonts w:hAnsi="宋体" w:cs="宋体"/>
          <w:color w:val="auto"/>
          <w:szCs w:val="24"/>
        </w:rPr>
        <w:t xml:space="preserve">       8. 防疫管理协议书</w:t>
      </w:r>
    </w:p>
    <w:p>
      <w:pPr>
        <w:pStyle w:val="22"/>
        <w:ind w:firstLine="480"/>
        <w:rPr>
          <w:rFonts w:hint="default"/>
          <w:color w:val="auto"/>
        </w:rPr>
      </w:pPr>
    </w:p>
    <w:p>
      <w:pPr>
        <w:pStyle w:val="47"/>
        <w:ind w:firstLine="1440" w:firstLineChars="600"/>
        <w:rPr>
          <w:color w:val="auto"/>
        </w:rPr>
      </w:pPr>
    </w:p>
    <w:p>
      <w:pPr>
        <w:pStyle w:val="47"/>
        <w:rPr>
          <w:color w:val="auto"/>
        </w:rPr>
      </w:pPr>
    </w:p>
    <w:p>
      <w:pPr>
        <w:spacing w:line="480" w:lineRule="exact"/>
        <w:rPr>
          <w:rFonts w:ascii="宋体" w:hAnsi="宋体" w:cs="宋体"/>
          <w:color w:val="auto"/>
          <w:sz w:val="24"/>
          <w:szCs w:val="24"/>
        </w:rPr>
      </w:pPr>
      <w:r>
        <w:rPr>
          <w:rFonts w:hint="eastAsia" w:ascii="宋体" w:hAnsi="宋体" w:cs="宋体"/>
          <w:color w:val="auto"/>
          <w:sz w:val="24"/>
          <w:szCs w:val="24"/>
        </w:rPr>
        <w:t>甲方：广州市净水有限公司（盖章）       乙方：（盖章）</w:t>
      </w:r>
    </w:p>
    <w:p>
      <w:pPr>
        <w:spacing w:line="480" w:lineRule="exact"/>
        <w:rPr>
          <w:rFonts w:ascii="宋体" w:hAnsi="宋体" w:cs="宋体"/>
          <w:color w:val="auto"/>
          <w:sz w:val="24"/>
          <w:szCs w:val="24"/>
        </w:rPr>
      </w:pPr>
      <w:r>
        <w:rPr>
          <w:rFonts w:hint="eastAsia" w:ascii="宋体" w:hAnsi="宋体" w:cs="宋体"/>
          <w:color w:val="auto"/>
          <w:sz w:val="24"/>
          <w:szCs w:val="24"/>
        </w:rPr>
        <w:t>法定代表人或                           法定代表人或</w:t>
      </w:r>
    </w:p>
    <w:p>
      <w:pPr>
        <w:spacing w:line="480" w:lineRule="exact"/>
        <w:rPr>
          <w:rFonts w:ascii="宋体" w:hAnsi="宋体" w:cs="宋体"/>
          <w:color w:val="auto"/>
          <w:sz w:val="24"/>
          <w:szCs w:val="24"/>
        </w:rPr>
      </w:pPr>
      <w:r>
        <w:rPr>
          <w:rFonts w:hint="eastAsia" w:ascii="宋体" w:hAnsi="宋体" w:cs="宋体"/>
          <w:color w:val="auto"/>
          <w:sz w:val="24"/>
          <w:szCs w:val="24"/>
        </w:rPr>
        <w:t>授权代理人：                           授权代理人：</w:t>
      </w:r>
    </w:p>
    <w:p>
      <w:pPr>
        <w:spacing w:line="480" w:lineRule="exact"/>
        <w:rPr>
          <w:rFonts w:ascii="宋体" w:hAnsi="宋体" w:cs="宋体"/>
          <w:color w:val="auto"/>
          <w:sz w:val="24"/>
          <w:szCs w:val="24"/>
        </w:rPr>
      </w:pPr>
      <w:r>
        <w:rPr>
          <w:rFonts w:hint="eastAsia" w:ascii="宋体" w:hAnsi="宋体" w:cs="宋体"/>
          <w:color w:val="auto"/>
          <w:sz w:val="24"/>
          <w:szCs w:val="24"/>
        </w:rPr>
        <w:t>地址：                                 地址：</w:t>
      </w:r>
    </w:p>
    <w:p>
      <w:pPr>
        <w:spacing w:line="480" w:lineRule="exact"/>
        <w:rPr>
          <w:rFonts w:ascii="宋体" w:hAnsi="宋体" w:cs="宋体"/>
          <w:color w:val="auto"/>
          <w:sz w:val="24"/>
          <w:szCs w:val="24"/>
        </w:rPr>
      </w:pPr>
      <w:r>
        <w:rPr>
          <w:rFonts w:hint="eastAsia" w:ascii="宋体" w:hAnsi="宋体" w:cs="宋体"/>
          <w:color w:val="auto"/>
          <w:sz w:val="24"/>
          <w:szCs w:val="24"/>
        </w:rPr>
        <w:t>经办人：                               经办人：</w:t>
      </w:r>
    </w:p>
    <w:p>
      <w:pPr>
        <w:spacing w:line="480" w:lineRule="exact"/>
        <w:rPr>
          <w:rFonts w:ascii="宋体" w:hAnsi="宋体" w:cs="宋体"/>
          <w:color w:val="auto"/>
          <w:sz w:val="24"/>
          <w:szCs w:val="24"/>
        </w:rPr>
      </w:pPr>
      <w:r>
        <w:rPr>
          <w:rFonts w:hint="eastAsia" w:ascii="宋体" w:hAnsi="宋体" w:cs="宋体"/>
          <w:color w:val="auto"/>
          <w:sz w:val="24"/>
          <w:szCs w:val="24"/>
        </w:rPr>
        <w:t>联系电话：                             联系电话：</w:t>
      </w:r>
    </w:p>
    <w:p>
      <w:pPr>
        <w:spacing w:line="480" w:lineRule="exact"/>
        <w:ind w:left="6360" w:hanging="6360" w:hangingChars="2650"/>
        <w:rPr>
          <w:rFonts w:ascii="宋体" w:hAnsi="宋体" w:cs="宋体"/>
          <w:color w:val="auto"/>
          <w:sz w:val="24"/>
          <w:szCs w:val="24"/>
        </w:rPr>
      </w:pPr>
      <w:r>
        <w:rPr>
          <w:rFonts w:hint="eastAsia" w:ascii="宋体" w:hAnsi="宋体" w:cs="宋体"/>
          <w:color w:val="auto"/>
          <w:sz w:val="24"/>
          <w:szCs w:val="24"/>
        </w:rPr>
        <w:t>传真：                                 传真：</w:t>
      </w:r>
    </w:p>
    <w:p>
      <w:pPr>
        <w:pStyle w:val="11"/>
        <w:adjustRightInd w:val="0"/>
        <w:snapToGrid w:val="0"/>
        <w:spacing w:line="360" w:lineRule="auto"/>
        <w:rPr>
          <w:rFonts w:hint="eastAsia" w:hAnsi="宋体" w:cs="宋体"/>
          <w:color w:val="auto"/>
          <w:szCs w:val="24"/>
        </w:rPr>
      </w:pPr>
      <w:r>
        <w:rPr>
          <w:rFonts w:hint="eastAsia" w:hAnsi="宋体" w:cs="宋体"/>
          <w:color w:val="auto"/>
          <w:szCs w:val="24"/>
        </w:rPr>
        <w:t xml:space="preserve">签署日期：    年    月    日           </w:t>
      </w:r>
      <w:r>
        <w:rPr>
          <w:rFonts w:hint="eastAsia" w:hAnsi="宋体" w:cs="宋体"/>
          <w:color w:val="auto"/>
          <w:szCs w:val="24"/>
          <w:lang w:val="en-US" w:eastAsia="zh-CN"/>
        </w:rPr>
        <w:t xml:space="preserve">      </w:t>
      </w:r>
      <w:r>
        <w:rPr>
          <w:rFonts w:hint="eastAsia" w:hAnsi="宋体" w:cs="宋体"/>
          <w:color w:val="auto"/>
          <w:szCs w:val="24"/>
        </w:rPr>
        <w:t xml:space="preserve">签署日期：    年    月    日  </w:t>
      </w:r>
    </w:p>
    <w:p>
      <w:pPr>
        <w:pStyle w:val="11"/>
        <w:adjustRightInd w:val="0"/>
        <w:snapToGrid w:val="0"/>
        <w:spacing w:line="360" w:lineRule="auto"/>
        <w:rPr>
          <w:rFonts w:hint="eastAsia" w:hAnsi="宋体" w:cs="宋体"/>
          <w:b/>
          <w:bCs/>
          <w:color w:val="auto"/>
          <w:sz w:val="21"/>
          <w:szCs w:val="21"/>
        </w:rPr>
      </w:pPr>
    </w:p>
    <w:p>
      <w:pPr>
        <w:pStyle w:val="11"/>
        <w:adjustRightInd w:val="0"/>
        <w:snapToGrid w:val="0"/>
        <w:spacing w:line="360" w:lineRule="auto"/>
        <w:rPr>
          <w:rFonts w:hAnsi="宋体" w:cs="宋体"/>
          <w:b/>
          <w:bCs/>
          <w:color w:val="auto"/>
          <w:sz w:val="21"/>
          <w:szCs w:val="21"/>
        </w:rPr>
      </w:pPr>
      <w:r>
        <w:rPr>
          <w:rFonts w:hint="eastAsia" w:hAnsi="宋体" w:cs="宋体"/>
          <w:b/>
          <w:bCs/>
          <w:color w:val="auto"/>
          <w:sz w:val="21"/>
          <w:szCs w:val="21"/>
        </w:rPr>
        <w:t>附件1：发包通知书</w:t>
      </w:r>
    </w:p>
    <w:p>
      <w:pPr>
        <w:pStyle w:val="11"/>
        <w:adjustRightInd w:val="0"/>
        <w:snapToGrid w:val="0"/>
        <w:spacing w:line="360" w:lineRule="auto"/>
        <w:rPr>
          <w:rFonts w:ascii="Times New Roman" w:hAnsi="Times New Roman"/>
          <w:color w:val="auto"/>
          <w:szCs w:val="21"/>
        </w:rPr>
      </w:pPr>
      <w:r>
        <w:rPr>
          <w:rFonts w:hint="eastAsia" w:hAnsi="宋体" w:cs="宋体"/>
          <w:b/>
          <w:bCs/>
          <w:color w:val="auto"/>
          <w:sz w:val="21"/>
          <w:szCs w:val="21"/>
        </w:rPr>
        <w:t>附件2：廉洁协议</w:t>
      </w:r>
    </w:p>
    <w:p>
      <w:pPr>
        <w:spacing w:line="520" w:lineRule="exact"/>
        <w:jc w:val="center"/>
        <w:rPr>
          <w:rFonts w:hint="eastAsia" w:ascii="仿宋_GB2312" w:hAnsi="仿宋_GB2312" w:eastAsia="仿宋_GB2312" w:cs="仿宋_GB2312"/>
          <w:bCs/>
          <w:color w:val="auto"/>
          <w:sz w:val="28"/>
          <w:szCs w:val="28"/>
        </w:rPr>
      </w:pPr>
      <w:bookmarkStart w:id="154" w:name="_Toc389815031"/>
      <w:bookmarkStart w:id="155" w:name="_Toc389815339"/>
      <w:bookmarkStart w:id="156" w:name="_Toc387080836"/>
      <w:r>
        <w:rPr>
          <w:rFonts w:hint="eastAsia" w:ascii="仿宋_GB2312" w:hAnsi="仿宋_GB2312" w:eastAsia="仿宋_GB2312" w:cs="仿宋_GB2312"/>
          <w:bCs/>
          <w:color w:val="auto"/>
          <w:sz w:val="28"/>
          <w:szCs w:val="28"/>
        </w:rPr>
        <w:t>廉洁协议</w:t>
      </w:r>
    </w:p>
    <w:p>
      <w:pPr>
        <w:spacing w:line="520" w:lineRule="exact"/>
        <w:ind w:firstLine="630" w:firstLineChars="22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u w:val="single"/>
        </w:rPr>
        <w:t>广州市净水有限公司</w:t>
      </w:r>
      <w:r>
        <w:rPr>
          <w:rFonts w:hint="eastAsia" w:ascii="仿宋_GB2312" w:hAnsi="仿宋_GB2312" w:eastAsia="仿宋_GB2312" w:cs="仿宋_GB2312"/>
          <w:bCs/>
          <w:color w:val="auto"/>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第一条 甲乙双方的权利和义务</w:t>
      </w:r>
    </w:p>
    <w:p>
      <w:pPr>
        <w:spacing w:line="520" w:lineRule="exact"/>
        <w:ind w:firstLine="420" w:firstLineChars="15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（二）严格执行</w:t>
      </w:r>
      <w:r>
        <w:rPr>
          <w:rFonts w:hint="eastAsia" w:ascii="仿宋_GB2312" w:hAnsi="仿宋_GB2312" w:eastAsia="仿宋_GB2312" w:cs="仿宋_GB2312"/>
          <w:bCs/>
          <w:color w:val="auto"/>
          <w:sz w:val="28"/>
          <w:szCs w:val="28"/>
          <w:u w:val="single"/>
        </w:rPr>
        <w:t>广州市净水有限公司在线监测数据智慧管理系统采购项目</w:t>
      </w:r>
      <w:r>
        <w:rPr>
          <w:rFonts w:hint="eastAsia" w:ascii="仿宋_GB2312" w:hAnsi="仿宋_GB2312" w:eastAsia="仿宋_GB2312" w:cs="仿宋_GB2312"/>
          <w:bCs/>
          <w:color w:val="auto"/>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第二条甲方的义务</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第三条乙方的义务</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（三）乙方不得以任何理由安排甲方工作人员参加可能影响相关业务公开、公正、公平性的宴请及娱乐活动。</w:t>
      </w:r>
    </w:p>
    <w:p>
      <w:pPr>
        <w:pStyle w:val="14"/>
        <w:spacing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第四条违约责任</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甲方举报投诉联系部门：广州市净水有限公司</w:t>
      </w:r>
      <w:r>
        <w:rPr>
          <w:rFonts w:hint="eastAsia" w:ascii="仿宋_GB2312" w:hAnsi="仿宋_GB2312" w:eastAsia="仿宋_GB2312" w:cs="仿宋_GB2312"/>
          <w:bCs/>
          <w:color w:val="auto"/>
          <w:sz w:val="28"/>
          <w:szCs w:val="28"/>
          <w:u w:val="single"/>
        </w:rPr>
        <w:t>纪检室</w:t>
      </w:r>
      <w:r>
        <w:rPr>
          <w:rFonts w:hint="eastAsia" w:ascii="仿宋_GB2312" w:hAnsi="仿宋_GB2312" w:eastAsia="仿宋_GB2312" w:cs="仿宋_GB2312"/>
          <w:bCs/>
          <w:color w:val="auto"/>
          <w:sz w:val="28"/>
          <w:szCs w:val="28"/>
        </w:rPr>
        <w:t>，联系电话：</w:t>
      </w:r>
      <w:r>
        <w:rPr>
          <w:rFonts w:hint="eastAsia" w:ascii="仿宋_GB2312" w:hAnsi="仿宋_GB2312" w:eastAsia="仿宋_GB2312" w:cs="仿宋_GB2312"/>
          <w:bCs/>
          <w:color w:val="auto"/>
          <w:sz w:val="28"/>
          <w:szCs w:val="28"/>
          <w:u w:val="single"/>
        </w:rPr>
        <w:t xml:space="preserve"> 020-38890265 </w:t>
      </w:r>
      <w:r>
        <w:rPr>
          <w:rFonts w:hint="eastAsia" w:ascii="仿宋_GB2312" w:hAnsi="仿宋_GB2312" w:eastAsia="仿宋_GB2312" w:cs="仿宋_GB2312"/>
          <w:bCs/>
          <w:color w:val="auto"/>
          <w:sz w:val="28"/>
          <w:szCs w:val="28"/>
        </w:rPr>
        <w:t>。</w:t>
      </w:r>
    </w:p>
    <w:p>
      <w:pPr>
        <w:pStyle w:val="20"/>
        <w:spacing w:beforeAutospacing="0"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beforeAutospacing="0"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0"/>
        <w:spacing w:beforeAutospacing="0"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0"/>
        <w:spacing w:beforeAutospacing="0"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0"/>
        <w:spacing w:beforeAutospacing="0"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0"/>
        <w:spacing w:beforeAutospacing="0"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0"/>
        <w:spacing w:beforeAutospacing="0"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0"/>
        <w:spacing w:beforeAutospacing="0"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乙方无条件接受甲方的处理决定并承担给甲方造成的损失，全额返还通过不正当手段获取的非法所得，并承担相应的法律责任。</w:t>
      </w:r>
    </w:p>
    <w:p>
      <w:pPr>
        <w:spacing w:after="0" w:line="520" w:lineRule="exac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sz w:val="28"/>
          <w:szCs w:val="28"/>
        </w:rPr>
        <w:t xml:space="preserve">第五条 </w:t>
      </w:r>
      <w:r>
        <w:rPr>
          <w:rFonts w:hint="eastAsia" w:ascii="仿宋_GB2312" w:hAnsi="仿宋_GB2312" w:eastAsia="仿宋_GB2312" w:cs="仿宋_GB2312"/>
          <w:bCs/>
          <w:color w:val="auto"/>
          <w:kern w:val="0"/>
          <w:sz w:val="28"/>
          <w:szCs w:val="28"/>
        </w:rPr>
        <w:t xml:space="preserve">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第六条本协议作为</w:t>
      </w:r>
      <w:r>
        <w:rPr>
          <w:rFonts w:hint="eastAsia" w:ascii="仿宋_GB2312" w:hAnsi="仿宋_GB2312" w:eastAsia="仿宋_GB2312" w:cs="仿宋_GB2312"/>
          <w:bCs/>
          <w:color w:val="auto"/>
          <w:sz w:val="28"/>
          <w:szCs w:val="28"/>
          <w:u w:val="single"/>
        </w:rPr>
        <w:t>（广州市净水有限公司在线监测数据智慧管理系统采购项目）+穗净水合[2022]     号</w:t>
      </w:r>
      <w:r>
        <w:rPr>
          <w:rFonts w:hint="eastAsia" w:ascii="仿宋_GB2312" w:hAnsi="仿宋_GB2312" w:eastAsia="仿宋_GB2312" w:cs="仿宋_GB2312"/>
          <w:bCs/>
          <w:color w:val="auto"/>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第七条本协议一式</w:t>
      </w:r>
      <w:r>
        <w:rPr>
          <w:rFonts w:hint="eastAsia" w:ascii="仿宋_GB2312" w:hAnsi="仿宋_GB2312" w:eastAsia="仿宋_GB2312" w:cs="仿宋_GB2312"/>
          <w:bCs/>
          <w:color w:val="auto"/>
          <w:sz w:val="28"/>
          <w:szCs w:val="28"/>
          <w:u w:val="single"/>
        </w:rPr>
        <w:t>陆</w:t>
      </w:r>
      <w:r>
        <w:rPr>
          <w:rFonts w:hint="eastAsia" w:ascii="仿宋_GB2312" w:hAnsi="仿宋_GB2312" w:eastAsia="仿宋_GB2312" w:cs="仿宋_GB2312"/>
          <w:bCs/>
          <w:color w:val="auto"/>
          <w:sz w:val="28"/>
          <w:szCs w:val="28"/>
        </w:rPr>
        <w:t>份，甲方</w:t>
      </w:r>
      <w:r>
        <w:rPr>
          <w:rFonts w:hint="eastAsia" w:ascii="宋体" w:hAnsi="宋体" w:cs="宋体"/>
          <w:color w:val="auto"/>
          <w:sz w:val="24"/>
          <w:szCs w:val="24"/>
          <w:u w:val="single"/>
        </w:rPr>
        <w:t>肆</w:t>
      </w:r>
      <w:r>
        <w:rPr>
          <w:rFonts w:hint="eastAsia" w:ascii="仿宋_GB2312" w:hAnsi="仿宋_GB2312" w:eastAsia="仿宋_GB2312" w:cs="仿宋_GB2312"/>
          <w:bCs/>
          <w:color w:val="auto"/>
          <w:sz w:val="28"/>
          <w:szCs w:val="28"/>
        </w:rPr>
        <w:t>份，乙方</w:t>
      </w:r>
      <w:r>
        <w:rPr>
          <w:rFonts w:hint="eastAsia" w:ascii="仿宋_GB2312" w:hAnsi="仿宋_GB2312" w:eastAsia="仿宋_GB2312" w:cs="仿宋_GB2312"/>
          <w:bCs/>
          <w:color w:val="auto"/>
          <w:sz w:val="28"/>
          <w:szCs w:val="28"/>
          <w:u w:val="single"/>
        </w:rPr>
        <w:t>贰</w:t>
      </w:r>
      <w:r>
        <w:rPr>
          <w:rFonts w:hint="eastAsia" w:ascii="仿宋_GB2312" w:hAnsi="仿宋_GB2312" w:eastAsia="仿宋_GB2312" w:cs="仿宋_GB2312"/>
          <w:bCs/>
          <w:color w:val="auto"/>
          <w:sz w:val="28"/>
          <w:szCs w:val="28"/>
        </w:rPr>
        <w:t>份。</w:t>
      </w:r>
    </w:p>
    <w:p>
      <w:pPr>
        <w:spacing w:line="520" w:lineRule="exact"/>
        <w:ind w:firstLine="560" w:firstLineChars="200"/>
        <w:rPr>
          <w:rFonts w:hint="eastAsia" w:ascii="仿宋_GB2312" w:hAnsi="仿宋_GB2312" w:eastAsia="仿宋_GB2312" w:cs="仿宋_GB2312"/>
          <w:bCs/>
          <w:color w:val="auto"/>
          <w:sz w:val="28"/>
          <w:szCs w:val="28"/>
        </w:rPr>
      </w:pPr>
    </w:p>
    <w:p>
      <w:pPr>
        <w:spacing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br w:type="textWrapping"/>
      </w:r>
      <w:r>
        <w:rPr>
          <w:rFonts w:hint="eastAsia" w:ascii="仿宋_GB2312" w:hAnsi="仿宋_GB2312" w:eastAsia="仿宋_GB2312" w:cs="仿宋_GB2312"/>
          <w:bCs/>
          <w:color w:val="auto"/>
          <w:sz w:val="28"/>
          <w:szCs w:val="28"/>
        </w:rPr>
        <w:t>甲方（盖章）：                     乙方（盖章）：</w:t>
      </w:r>
    </w:p>
    <w:p>
      <w:pPr>
        <w:pStyle w:val="33"/>
        <w:tabs>
          <w:tab w:val="left" w:pos="5100"/>
        </w:tabs>
        <w:spacing w:line="520" w:lineRule="exact"/>
        <w:ind w:left="7200" w:firstLine="0" w:firstLineChars="0"/>
        <w:jc w:val="left"/>
        <w:rPr>
          <w:rFonts w:hint="eastAsia" w:ascii="仿宋_GB2312" w:hAnsi="仿宋_GB2312" w:eastAsia="仿宋_GB2312" w:cs="仿宋_GB2312"/>
          <w:bCs/>
          <w:color w:val="auto"/>
          <w:sz w:val="28"/>
          <w:szCs w:val="28"/>
        </w:rPr>
      </w:pPr>
    </w:p>
    <w:p>
      <w:pPr>
        <w:tabs>
          <w:tab w:val="left" w:pos="5100"/>
        </w:tabs>
        <w:spacing w:line="520" w:lineRule="exact"/>
        <w:ind w:left="8400" w:hanging="8400" w:hangingChars="30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签约代表：                         签约代表：</w:t>
      </w:r>
    </w:p>
    <w:p>
      <w:pPr>
        <w:tabs>
          <w:tab w:val="left" w:pos="4170"/>
        </w:tabs>
        <w:spacing w:line="52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日期:    年  月  日</w:t>
      </w:r>
      <w:r>
        <w:rPr>
          <w:rFonts w:hint="eastAsia" w:ascii="仿宋_GB2312" w:hAnsi="仿宋_GB2312" w:eastAsia="仿宋_GB2312" w:cs="仿宋_GB2312"/>
          <w:bCs/>
          <w:color w:val="auto"/>
          <w:sz w:val="28"/>
          <w:szCs w:val="28"/>
        </w:rPr>
        <w:tab/>
      </w:r>
      <w:r>
        <w:rPr>
          <w:rFonts w:hint="eastAsia" w:ascii="仿宋_GB2312" w:hAnsi="仿宋_GB2312" w:eastAsia="仿宋_GB2312" w:cs="仿宋_GB2312"/>
          <w:bCs/>
          <w:color w:val="auto"/>
          <w:sz w:val="28"/>
          <w:szCs w:val="28"/>
        </w:rPr>
        <w:t>日期：  年  月  日</w:t>
      </w:r>
    </w:p>
    <w:p>
      <w:pPr>
        <w:spacing w:line="360" w:lineRule="auto"/>
        <w:rPr>
          <w:rFonts w:ascii="Times New Roman" w:hAnsi="Times New Roman" w:eastAsia="仿宋"/>
          <w:b/>
          <w:bCs/>
          <w:color w:val="auto"/>
          <w:szCs w:val="21"/>
        </w:rPr>
      </w:pPr>
    </w:p>
    <w:p>
      <w:pPr>
        <w:spacing w:line="360" w:lineRule="auto"/>
        <w:rPr>
          <w:rFonts w:ascii="Times New Roman" w:hAnsi="Times New Roman" w:eastAsia="仿宋"/>
          <w:b/>
          <w:bCs/>
          <w:color w:val="auto"/>
          <w:szCs w:val="21"/>
        </w:rPr>
      </w:pPr>
      <w:r>
        <w:rPr>
          <w:rFonts w:ascii="Times New Roman" w:hAnsi="Times New Roman" w:eastAsia="仿宋"/>
          <w:b/>
          <w:bCs/>
          <w:color w:val="auto"/>
          <w:szCs w:val="21"/>
        </w:rPr>
        <w:t>附件</w:t>
      </w:r>
      <w:r>
        <w:rPr>
          <w:rFonts w:hint="eastAsia" w:ascii="Times New Roman" w:hAnsi="Times New Roman" w:eastAsia="仿宋"/>
          <w:b/>
          <w:bCs/>
          <w:color w:val="auto"/>
          <w:szCs w:val="21"/>
        </w:rPr>
        <w:t>3</w:t>
      </w:r>
      <w:r>
        <w:rPr>
          <w:rFonts w:ascii="Times New Roman" w:hAnsi="Times New Roman" w:eastAsia="仿宋"/>
          <w:b/>
          <w:bCs/>
          <w:color w:val="auto"/>
          <w:szCs w:val="21"/>
        </w:rPr>
        <w:t>：保密协议</w:t>
      </w:r>
    </w:p>
    <w:p>
      <w:pPr>
        <w:jc w:val="center"/>
        <w:rPr>
          <w:rFonts w:ascii="Times New Roman" w:hAnsi="Times New Roman" w:eastAsia="仿宋"/>
          <w:b/>
          <w:bCs/>
          <w:color w:val="auto"/>
          <w:sz w:val="30"/>
          <w:szCs w:val="30"/>
        </w:rPr>
      </w:pPr>
      <w:r>
        <w:rPr>
          <w:rFonts w:ascii="Times New Roman" w:hAnsi="Times New Roman" w:eastAsia="仿宋"/>
          <w:b/>
          <w:bCs/>
          <w:color w:val="auto"/>
          <w:sz w:val="30"/>
          <w:szCs w:val="30"/>
        </w:rPr>
        <w:t>保密协议</w:t>
      </w:r>
    </w:p>
    <w:p>
      <w:pPr>
        <w:spacing w:line="360" w:lineRule="auto"/>
        <w:rPr>
          <w:rFonts w:ascii="Times New Roman" w:hAnsi="Times New Roman" w:eastAsia="仿宋"/>
          <w:color w:val="auto"/>
          <w:sz w:val="24"/>
        </w:rPr>
      </w:pPr>
      <w:r>
        <w:rPr>
          <w:rFonts w:ascii="Times New Roman" w:hAnsi="Times New Roman" w:eastAsia="仿宋"/>
          <w:color w:val="auto"/>
          <w:sz w:val="24"/>
        </w:rPr>
        <w:t>甲方:广州市净水有限公司</w:t>
      </w:r>
    </w:p>
    <w:p>
      <w:pPr>
        <w:spacing w:line="360" w:lineRule="auto"/>
        <w:rPr>
          <w:rFonts w:ascii="Times New Roman" w:hAnsi="Times New Roman" w:eastAsia="仿宋"/>
          <w:color w:val="auto"/>
          <w:sz w:val="24"/>
        </w:rPr>
      </w:pPr>
      <w:r>
        <w:rPr>
          <w:rFonts w:ascii="Times New Roman" w:hAnsi="Times New Roman" w:eastAsia="仿宋"/>
          <w:color w:val="auto"/>
          <w:sz w:val="24"/>
        </w:rPr>
        <w:t>乙方:</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乙方现正参与</w:t>
      </w:r>
      <w:r>
        <w:rPr>
          <w:rFonts w:hint="eastAsia" w:ascii="Times New Roman" w:hAnsi="Times New Roman" w:eastAsia="仿宋"/>
          <w:color w:val="auto"/>
          <w:sz w:val="24"/>
          <w:u w:val="single"/>
        </w:rPr>
        <w:t>在线监测数据智慧管理系统项目</w:t>
      </w:r>
      <w:r>
        <w:rPr>
          <w:rFonts w:ascii="Times New Roman" w:hAnsi="Times New Roman" w:eastAsia="仿宋"/>
          <w:color w:val="auto"/>
          <w:sz w:val="24"/>
        </w:rPr>
        <w:t>，已经(或将要)知悉甲方的设备、运行等保密信息，为明确双方的保密义务，有效保护双方的利益，防止甲方保密信息被公开披露或以任何形式泄漏，甲、乙双方本着平等、自愿、公平和诚实信用的原则签订本保密协议。</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第一条  保密信息</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本协议所指的保密信息:</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(一)系指乙方在合同履行过程中所获悉的甲方的所有材料及信息，包括但不限于:</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1.污水处理系统设备设施参数、工况参数。</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2.污水处理系统所有运行数据、参数。</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3.广州市净水有限公司及所属净水厂所有运行数据、参数、经营信息。</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4.甲方声明的设施设备操作、维修维护注意事项。</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（二）系指乙方在合同履行过程中乙方所使用的:</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1.设备需保密的信息</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第二条  保密义务人</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甲、乙双方均为本协议所称的保密义务人，双方对前述对方实际移交的信息承担保密义务。未经一方同意，另一方不得向第三方提供或披露上述保密信息(因行政管理部门或者司法部门要求提供或披露的信息除外，但应及时知会对方。)</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第三条  保密义务人的保密义务</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1.乙方保证用于履行合同的技术信息、专有信息、经营信息等文件和资料均享有合法的所有权、著作权、专利权等权利，或已依法取得相关授权许可。如因乙方侵犯第三方的知识产权造成的法律责任，均由乙方承担并赔偿甲方的损失。</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2.乙方承诺，未经甲方同意，乙方不得公开甲方的项目信息，否则由此造成的损失由乙方承担。</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3.甲方在合同履行过程中获悉的乙方所有涉密资料，为该合同和今后甲方及下属污水处理厂使用。除此目的外，未经乙方同意，甲方不得以任何方式揭露或提供给第三人。</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第四条  本协议书之效力、权利归属</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本协议中甲方享有的全部权利均及于广州市净水有限公司与乙方进行项目合作的子公司、分公司或其他分支机构。双方承担的义务均及于双方所属母公司、下属子公司、分公司、其他分支机构及其下属员工。</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第五条  违约责任</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1.甲乙双方如故意、过失将保密信息泄露给第三方导致对方损失的，应对此进行赔偿。</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2.因调查对方的违约或授权行为而支付的合理费用，如律师费、公证费、取证费等，应当包含在损失赔偿额之内。</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3.任何一方恶意泄露商业秘密的，对方有权通过法律手段追究其法律责任。</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第六条  争议的解决方法</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因执行本协议而发生纠纷的，可以由双方协商解决，协商不成，或者一方不愿意协商、调解的，争议将提交甲方所在地人民法院管辖解决。</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第七条  双方确认</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在签署本协议前，双方已经详细审阅了协议的内容，并完全了解协议各条款的法律含义。</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第八条 协议的效力和变更</w:t>
      </w:r>
    </w:p>
    <w:p>
      <w:pPr>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本协议与主合同同时签订、同时终止、同时生效，具有相同的法律效力，自甲方、乙方双方签字、盖章生效，甲方、乙方双方执持数量与主合同一致。</w:t>
      </w:r>
    </w:p>
    <w:p>
      <w:pPr>
        <w:spacing w:line="360" w:lineRule="auto"/>
        <w:ind w:firstLine="480" w:firstLineChars="200"/>
        <w:rPr>
          <w:rFonts w:ascii="Times New Roman" w:hAnsi="Times New Roman" w:eastAsia="仿宋"/>
          <w:color w:val="auto"/>
          <w:sz w:val="24"/>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widowControl w:val="0"/>
              <w:adjustRightInd w:val="0"/>
              <w:spacing w:line="360" w:lineRule="auto"/>
              <w:textAlignment w:val="baseline"/>
              <w:rPr>
                <w:rFonts w:ascii="Times New Roman" w:hAnsi="Times New Roman" w:eastAsia="仿宋"/>
                <w:color w:val="auto"/>
                <w:sz w:val="24"/>
              </w:rPr>
            </w:pPr>
            <w:r>
              <w:rPr>
                <w:rFonts w:ascii="Times New Roman" w:hAnsi="Times New Roman" w:eastAsia="仿宋"/>
                <w:color w:val="auto"/>
                <w:sz w:val="24"/>
              </w:rPr>
              <w:t>甲方：</w:t>
            </w:r>
          </w:p>
          <w:p>
            <w:pPr>
              <w:widowControl w:val="0"/>
              <w:adjustRightInd w:val="0"/>
              <w:spacing w:line="360" w:lineRule="auto"/>
              <w:textAlignment w:val="baseline"/>
              <w:rPr>
                <w:rFonts w:ascii="Times New Roman" w:hAnsi="Times New Roman" w:eastAsia="仿宋"/>
                <w:color w:val="auto"/>
                <w:sz w:val="24"/>
              </w:rPr>
            </w:pPr>
            <w:r>
              <w:rPr>
                <w:rFonts w:ascii="Times New Roman" w:hAnsi="Times New Roman" w:eastAsia="仿宋"/>
                <w:color w:val="auto"/>
                <w:sz w:val="24"/>
              </w:rPr>
              <w:t>签约代表：</w:t>
            </w:r>
          </w:p>
          <w:p>
            <w:pPr>
              <w:widowControl w:val="0"/>
              <w:adjustRightInd w:val="0"/>
              <w:spacing w:line="360" w:lineRule="auto"/>
              <w:ind w:firstLine="480" w:firstLineChars="200"/>
              <w:textAlignment w:val="baseline"/>
              <w:rPr>
                <w:rFonts w:ascii="Times New Roman" w:hAnsi="Times New Roman" w:eastAsia="仿宋"/>
                <w:color w:val="auto"/>
                <w:sz w:val="24"/>
              </w:rPr>
            </w:pPr>
            <w:r>
              <w:rPr>
                <w:rFonts w:ascii="Times New Roman" w:hAnsi="Times New Roman" w:eastAsia="仿宋"/>
                <w:color w:val="auto"/>
                <w:sz w:val="24"/>
              </w:rPr>
              <w:t>年    月    日</w:t>
            </w:r>
          </w:p>
        </w:tc>
        <w:tc>
          <w:tcPr>
            <w:tcW w:w="4474" w:type="dxa"/>
            <w:noWrap w:val="0"/>
            <w:vAlign w:val="top"/>
          </w:tcPr>
          <w:p>
            <w:pPr>
              <w:widowControl w:val="0"/>
              <w:adjustRightInd w:val="0"/>
              <w:spacing w:line="360" w:lineRule="auto"/>
              <w:textAlignment w:val="baseline"/>
              <w:rPr>
                <w:rFonts w:ascii="Times New Roman" w:hAnsi="Times New Roman" w:eastAsia="仿宋"/>
                <w:color w:val="auto"/>
                <w:sz w:val="24"/>
              </w:rPr>
            </w:pPr>
            <w:r>
              <w:rPr>
                <w:rFonts w:ascii="Times New Roman" w:hAnsi="Times New Roman" w:eastAsia="仿宋"/>
                <w:color w:val="auto"/>
                <w:sz w:val="24"/>
              </w:rPr>
              <w:t>乙方：</w:t>
            </w:r>
          </w:p>
          <w:p>
            <w:pPr>
              <w:widowControl w:val="0"/>
              <w:adjustRightInd w:val="0"/>
              <w:spacing w:line="360" w:lineRule="auto"/>
              <w:textAlignment w:val="baseline"/>
              <w:rPr>
                <w:rFonts w:ascii="Times New Roman" w:hAnsi="Times New Roman" w:eastAsia="仿宋"/>
                <w:color w:val="auto"/>
                <w:sz w:val="24"/>
              </w:rPr>
            </w:pPr>
            <w:r>
              <w:rPr>
                <w:rFonts w:ascii="Times New Roman" w:hAnsi="Times New Roman" w:eastAsia="仿宋"/>
                <w:color w:val="auto"/>
                <w:sz w:val="24"/>
              </w:rPr>
              <w:t>签约代表：</w:t>
            </w:r>
          </w:p>
          <w:p>
            <w:pPr>
              <w:widowControl w:val="0"/>
              <w:adjustRightInd w:val="0"/>
              <w:spacing w:line="360" w:lineRule="auto"/>
              <w:ind w:firstLine="480" w:firstLineChars="200"/>
              <w:textAlignment w:val="baseline"/>
              <w:rPr>
                <w:rFonts w:ascii="Times New Roman" w:hAnsi="Times New Roman" w:eastAsia="仿宋"/>
                <w:color w:val="auto"/>
                <w:sz w:val="24"/>
              </w:rPr>
            </w:pPr>
            <w:r>
              <w:rPr>
                <w:rFonts w:ascii="Times New Roman" w:hAnsi="Times New Roman" w:eastAsia="仿宋"/>
                <w:color w:val="auto"/>
                <w:sz w:val="24"/>
              </w:rPr>
              <w:t>年    月    日</w:t>
            </w:r>
          </w:p>
        </w:tc>
      </w:tr>
    </w:tbl>
    <w:p>
      <w:pPr>
        <w:rPr>
          <w:rFonts w:ascii="Times New Roman" w:hAnsi="Times New Roman" w:eastAsia="仿宋"/>
          <w:color w:val="auto"/>
          <w:sz w:val="30"/>
          <w:szCs w:val="30"/>
        </w:rPr>
      </w:pPr>
    </w:p>
    <w:p>
      <w:pPr>
        <w:rPr>
          <w:rFonts w:ascii="宋体" w:hAnsi="宋体"/>
          <w:b/>
          <w:color w:val="auto"/>
          <w:sz w:val="24"/>
        </w:rPr>
      </w:pPr>
      <w:r>
        <w:rPr>
          <w:rFonts w:hint="eastAsia" w:ascii="宋体" w:hAnsi="宋体"/>
          <w:b/>
          <w:color w:val="auto"/>
          <w:sz w:val="24"/>
        </w:rPr>
        <w:t>附件4：安全管理协议书</w:t>
      </w:r>
    </w:p>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安全管理协议书</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广州市净水有限公司</w:t>
      </w:r>
    </w:p>
    <w:p>
      <w:pPr>
        <w:adjustRightInd w:val="0"/>
        <w:snapToGrid w:val="0"/>
        <w:spacing w:line="440" w:lineRule="exact"/>
        <w:ind w:firstLine="420" w:firstLineChars="200"/>
        <w:jc w:val="left"/>
        <w:rPr>
          <w:rStyle w:val="26"/>
          <w:rFonts w:ascii="宋体" w:hAnsi="宋体" w:cs="宋体"/>
          <w:b w:val="0"/>
          <w:color w:val="auto"/>
          <w:sz w:val="21"/>
          <w:szCs w:val="21"/>
          <w:highlight w:val="none"/>
          <w:u w:val="single"/>
        </w:rPr>
      </w:pPr>
      <w:r>
        <w:rPr>
          <w:rFonts w:hint="eastAsia" w:ascii="宋体" w:hAnsi="宋体" w:cs="宋体"/>
          <w:color w:val="auto"/>
          <w:szCs w:val="21"/>
          <w:highlight w:val="none"/>
        </w:rPr>
        <w:t xml:space="preserve">承包人: </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auto"/>
          <w:sz w:val="24"/>
          <w:szCs w:val="24"/>
          <w:highlight w:val="none"/>
        </w:rPr>
        <w:t>工作场所职业卫生管理规定</w:t>
      </w:r>
      <w:r>
        <w:rPr>
          <w:rFonts w:hint="eastAsia" w:ascii="宋体" w:hAnsi="宋体" w:cs="宋体"/>
          <w:color w:val="auto"/>
          <w:szCs w:val="21"/>
          <w:highlight w:val="none"/>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一、本协议与主合同的关系</w:t>
      </w:r>
    </w:p>
    <w:p>
      <w:pPr>
        <w:adjustRightInd w:val="0"/>
        <w:snapToGrid w:val="0"/>
        <w:spacing w:line="440" w:lineRule="exact"/>
        <w:ind w:left="105"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本协议作为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的组成部分，与主合同具有同等法律。</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二、发包人、承包人双方的责任、权利和义务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（一）发包人的责任、权利和义务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2.审查承包人安全资质以及承包内容所要求具备的资质条件。</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（二）承包人的责任、权利和义务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三、协议内容                                                </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2.承包人须严格按照发包人制定的《标准化手册》的要求落实各项安全生产管理工作。</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四、事故责任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2.承包人人员在非承包区域遭受意外伤害的，承包人负全部责任。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auto"/>
          <w:szCs w:val="21"/>
          <w:highlight w:val="none"/>
        </w:rPr>
      </w:pPr>
    </w:p>
    <w:p>
      <w:pPr>
        <w:pStyle w:val="36"/>
        <w:spacing w:line="440" w:lineRule="exact"/>
        <w:rPr>
          <w:rFonts w:ascii="宋体" w:hAnsi="宋体" w:cs="宋体"/>
          <w:color w:val="auto"/>
          <w:szCs w:val="21"/>
          <w:highlight w:val="none"/>
        </w:rPr>
      </w:pPr>
      <w:r>
        <w:rPr>
          <w:rFonts w:hint="eastAsia" w:ascii="宋体" w:hAnsi="宋体" w:cs="宋体"/>
          <w:b/>
          <w:color w:val="auto"/>
          <w:szCs w:val="21"/>
          <w:highlight w:val="none"/>
        </w:rPr>
        <w:t>五、补充条款：</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六、附则</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本协议与主合同同时签订、同时终止、同时生效，具有相同的法律效力，自发包人、承包人双方签字、盖章生效，发包人、承包人双方各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adjustRightInd w:val="0"/>
        <w:snapToGrid w:val="0"/>
        <w:spacing w:line="440" w:lineRule="exact"/>
        <w:rPr>
          <w:rFonts w:ascii="宋体" w:hAnsi="宋体" w:cs="宋体"/>
          <w:color w:val="auto"/>
          <w:szCs w:val="21"/>
          <w:highlight w:val="none"/>
        </w:rPr>
      </w:pPr>
    </w:p>
    <w:p>
      <w:pPr>
        <w:adjustRightInd w:val="0"/>
        <w:snapToGrid w:val="0"/>
        <w:spacing w:line="440" w:lineRule="exact"/>
        <w:ind w:left="1165" w:leftChars="5" w:hanging="1155" w:hangingChars="550"/>
        <w:rPr>
          <w:rFonts w:ascii="宋体" w:hAnsi="宋体" w:cs="宋体"/>
          <w:color w:val="auto"/>
          <w:szCs w:val="21"/>
          <w:highlight w:val="none"/>
        </w:rPr>
      </w:pPr>
      <w:r>
        <w:rPr>
          <w:rFonts w:hint="eastAsia" w:ascii="宋体" w:hAnsi="宋体" w:cs="宋体"/>
          <w:color w:val="auto"/>
          <w:szCs w:val="21"/>
          <w:highlight w:val="none"/>
        </w:rPr>
        <w:t xml:space="preserve">   发包人代表 （章）：                             承包人代表（章）：                                                           　　              　　　　　　　</w:t>
      </w:r>
    </w:p>
    <w:p>
      <w:pPr>
        <w:spacing w:line="360" w:lineRule="auto"/>
        <w:rPr>
          <w:rFonts w:ascii="宋体" w:hAnsi="宋体"/>
          <w:color w:val="auto"/>
          <w:sz w:val="24"/>
        </w:rPr>
      </w:pPr>
      <w:r>
        <w:rPr>
          <w:rFonts w:hint="eastAsia" w:ascii="宋体" w:hAnsi="宋体" w:cs="宋体"/>
          <w:color w:val="auto"/>
          <w:szCs w:val="21"/>
          <w:highlight w:val="none"/>
        </w:rPr>
        <w:t xml:space="preserve">      年 　月　  日　　　　　                 年   月  　日</w:t>
      </w:r>
    </w:p>
    <w:p>
      <w:pPr>
        <w:tabs>
          <w:tab w:val="left" w:pos="4170"/>
        </w:tabs>
        <w:spacing w:line="360" w:lineRule="auto"/>
        <w:rPr>
          <w:rFonts w:ascii="Times New Roman" w:hAnsi="Times New Roman" w:cs="Times New Roman"/>
          <w:color w:val="auto"/>
          <w:sz w:val="24"/>
        </w:rPr>
      </w:pPr>
    </w:p>
    <w:p>
      <w:pPr>
        <w:pStyle w:val="2"/>
        <w:tabs>
          <w:tab w:val="left" w:pos="720"/>
        </w:tabs>
        <w:rPr>
          <w:rFonts w:ascii="Times New Roman"/>
          <w:color w:val="auto"/>
          <w:sz w:val="24"/>
        </w:rPr>
      </w:pPr>
    </w:p>
    <w:p>
      <w:pPr>
        <w:pStyle w:val="21"/>
        <w:rPr>
          <w:color w:val="auto"/>
        </w:rPr>
      </w:pPr>
    </w:p>
    <w:p>
      <w:pPr>
        <w:rPr>
          <w:rFonts w:ascii="Times New Roman" w:hAnsi="Times New Roman" w:cs="Times New Roman"/>
          <w:color w:val="auto"/>
          <w:sz w:val="24"/>
        </w:rPr>
      </w:pPr>
    </w:p>
    <w:p>
      <w:pPr>
        <w:pStyle w:val="2"/>
        <w:tabs>
          <w:tab w:val="left" w:pos="720"/>
        </w:tabs>
        <w:rPr>
          <w:rFonts w:ascii="Times New Roman"/>
          <w:color w:val="auto"/>
          <w:sz w:val="24"/>
        </w:rPr>
      </w:pPr>
    </w:p>
    <w:p>
      <w:pPr>
        <w:pStyle w:val="21"/>
        <w:rPr>
          <w:color w:val="auto"/>
        </w:rPr>
      </w:pPr>
    </w:p>
    <w:p>
      <w:pPr>
        <w:rPr>
          <w:rFonts w:ascii="Times New Roman" w:hAnsi="Times New Roman" w:cs="Times New Roman"/>
          <w:color w:val="auto"/>
          <w:sz w:val="24"/>
        </w:rPr>
      </w:pPr>
    </w:p>
    <w:p>
      <w:pPr>
        <w:pStyle w:val="2"/>
        <w:tabs>
          <w:tab w:val="left" w:pos="720"/>
        </w:tabs>
        <w:rPr>
          <w:rFonts w:ascii="Times New Roman"/>
          <w:color w:val="auto"/>
          <w:sz w:val="24"/>
        </w:rPr>
      </w:pPr>
    </w:p>
    <w:p>
      <w:pPr>
        <w:pStyle w:val="21"/>
        <w:rPr>
          <w:color w:val="auto"/>
        </w:rPr>
      </w:pPr>
    </w:p>
    <w:p>
      <w:pPr>
        <w:tabs>
          <w:tab w:val="left" w:pos="4170"/>
        </w:tabs>
        <w:spacing w:line="36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附件5.技术需求</w:t>
      </w:r>
    </w:p>
    <w:p>
      <w:pPr>
        <w:pStyle w:val="11"/>
        <w:adjustRightInd w:val="0"/>
        <w:snapToGrid w:val="0"/>
        <w:ind w:firstLine="562" w:firstLineChars="200"/>
        <w:jc w:val="center"/>
        <w:rPr>
          <w:rFonts w:ascii="仿宋" w:hAnsi="仿宋" w:eastAsia="仿宋" w:cs="仿宋"/>
          <w:b/>
          <w:bCs/>
          <w:color w:val="auto"/>
          <w:sz w:val="28"/>
          <w:szCs w:val="28"/>
        </w:rPr>
      </w:pPr>
      <w:r>
        <w:rPr>
          <w:rFonts w:ascii="仿宋" w:hAnsi="仿宋" w:eastAsia="仿宋" w:cs="仿宋"/>
          <w:b/>
          <w:bCs/>
          <w:color w:val="auto"/>
          <w:sz w:val="28"/>
          <w:szCs w:val="28"/>
          <w:lang w:val="zh-CN"/>
        </w:rPr>
        <w:t>技术要求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线监测数据智慧管理系统主要包括基础设施层、架构支撑层、数据中心层、业务中心层、平台服务层共五个层次的功能。系统整体建设按照国家有关要求，遵循环境保护政策、环境保护信息化标准与软件开发标准等规定。该项目技术要求主要分为三个部分：系统及硬件技术要求、软件技术要求、系统功能及服务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1.系统及硬件技术要求</w:t>
      </w:r>
    </w:p>
    <w:tbl>
      <w:tblPr>
        <w:tblStyle w:val="23"/>
        <w:tblW w:w="8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29"/>
        <w:gridCol w:w="1540"/>
        <w:gridCol w:w="55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tblHeader/>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建设内容</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模块（服务）名称</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功能（型号版本）</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1" w:hRule="atLeast"/>
          <w:jc w:val="center"/>
        </w:trPr>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在线监测数据智慧管理系统及项目实施</w:t>
            </w:r>
          </w:p>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（基本业务管理，资源管理，质量控制管理，查询与数据统计分析，其他功能管理）</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基本业务管理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宋体" w:hAnsi="宋体" w:cs="宋体"/>
                <w:color w:val="auto"/>
                <w:szCs w:val="21"/>
              </w:rPr>
            </w:pPr>
            <w:r>
              <w:rPr>
                <w:rFonts w:hint="eastAsia" w:ascii="宋体" w:hAnsi="宋体" w:cs="宋体"/>
                <w:color w:val="auto"/>
                <w:szCs w:val="21"/>
              </w:rPr>
              <w:t>数据查询与统计、数据标识与读取仪器状态、报警及预警管理、设备台账管理、异常管理、故障运维提醒、</w:t>
            </w:r>
            <w:r>
              <w:rPr>
                <w:rFonts w:hint="eastAsia" w:ascii="宋体" w:hAnsi="宋体" w:cs="宋体"/>
                <w:color w:val="auto"/>
                <w:szCs w:val="21"/>
                <w:lang w:val="en-US" w:eastAsia="zh-CN"/>
              </w:rPr>
              <w:t>运维日志管理、运维工作质量评价管理、</w:t>
            </w:r>
            <w:r>
              <w:rPr>
                <w:rFonts w:hint="eastAsia" w:ascii="宋体" w:hAnsi="宋体" w:cs="宋体"/>
                <w:color w:val="auto"/>
                <w:szCs w:val="21"/>
              </w:rPr>
              <w:t>大数据应用、网页端应用、移动端应用等，加100人并发用户数（同时在线人数）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资源管理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hint="eastAsia" w:ascii="宋体" w:hAnsi="宋体" w:cs="宋体"/>
                <w:color w:val="auto"/>
                <w:szCs w:val="21"/>
              </w:rPr>
            </w:pPr>
            <w:r>
              <w:rPr>
                <w:rFonts w:hint="eastAsia" w:ascii="宋体" w:hAnsi="宋体" w:cs="宋体"/>
                <w:color w:val="auto"/>
                <w:szCs w:val="21"/>
              </w:rPr>
              <w:t>账号管理、运维单位信息管理、仪器资产信息管理、监测点信息管理、用户管理、角色权限管理、组织结构管理、系统日志、多语言支持、报表工具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ascii="宋体" w:hAnsi="宋体" w:cs="宋体"/>
                <w:color w:val="auto"/>
                <w:szCs w:val="21"/>
              </w:rPr>
            </w:pPr>
            <w:r>
              <w:rPr>
                <w:rFonts w:hint="eastAsia" w:ascii="宋体" w:hAnsi="宋体" w:cs="宋体"/>
                <w:color w:val="auto"/>
                <w:szCs w:val="21"/>
              </w:rPr>
              <w:t>运行参数管理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截距、斜率、相关系数、仪器量程、测量精度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ascii="宋体" w:hAnsi="宋体" w:cs="宋体"/>
                <w:color w:val="auto"/>
                <w:szCs w:val="21"/>
              </w:rPr>
            </w:pPr>
            <w:r>
              <w:rPr>
                <w:rFonts w:hint="eastAsia" w:ascii="宋体" w:hAnsi="宋体" w:cs="宋体"/>
                <w:color w:val="auto"/>
                <w:szCs w:val="21"/>
              </w:rPr>
              <w:t>仪器数据采集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对数采仪读取、采集数据功能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ascii="宋体" w:hAnsi="宋体" w:cs="宋体"/>
                <w:color w:val="auto"/>
                <w:szCs w:val="21"/>
              </w:rPr>
            </w:pPr>
            <w:r>
              <w:rPr>
                <w:rFonts w:hint="eastAsia" w:ascii="宋体" w:hAnsi="宋体" w:cs="宋体"/>
                <w:color w:val="auto"/>
                <w:szCs w:val="21"/>
              </w:rPr>
              <w:t>运维日志管理</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记录运维日常工作日志，试剂更换登记、标液核查登记、校准校验登记、质控比对登记、废液清理登记、备品配件更换记录等，可拍照留存。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ascii="宋体" w:hAnsi="宋体" w:cs="宋体"/>
                <w:color w:val="auto"/>
                <w:szCs w:val="21"/>
              </w:rPr>
            </w:pPr>
            <w:r>
              <w:rPr>
                <w:rFonts w:hint="eastAsia" w:ascii="宋体" w:hAnsi="宋体" w:cs="宋体"/>
                <w:color w:val="auto"/>
                <w:szCs w:val="21"/>
              </w:rPr>
              <w:t>统计分析</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统计功能（监测指标、数据统计报表、大数据分析、资源管理统计）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系统培训</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default" w:ascii="宋体" w:hAnsi="宋体" w:eastAsia="宋体" w:cs="宋体"/>
                <w:color w:val="auto"/>
                <w:szCs w:val="21"/>
                <w:lang w:val="en-US" w:eastAsia="zh-CN"/>
              </w:rPr>
            </w:pPr>
            <w:r>
              <w:rPr>
                <w:rFonts w:hint="eastAsia" w:ascii="宋体" w:hAnsi="宋体" w:cs="宋体"/>
                <w:color w:val="auto"/>
                <w:szCs w:val="21"/>
              </w:rPr>
              <w:t>系统维护及使用培训、运行调试、维保1年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配套服务器</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云服务器操作系统</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宋体" w:hAnsi="宋体" w:cs="宋体"/>
                <w:color w:val="auto"/>
                <w:szCs w:val="21"/>
              </w:rPr>
            </w:pPr>
            <w:r>
              <w:rPr>
                <w:rFonts w:hint="eastAsia" w:ascii="宋体" w:hAnsi="宋体" w:cs="宋体"/>
                <w:color w:val="auto"/>
                <w:szCs w:val="21"/>
              </w:rPr>
              <w:t>正版操作系统或开源系统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云数据库</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宋体" w:hAnsi="宋体" w:cs="宋体"/>
                <w:color w:val="auto"/>
                <w:szCs w:val="21"/>
              </w:rPr>
            </w:pPr>
            <w:r>
              <w:rPr>
                <w:rFonts w:hint="eastAsia" w:ascii="宋体" w:hAnsi="宋体" w:cs="宋体"/>
                <w:color w:val="auto"/>
                <w:szCs w:val="21"/>
              </w:rPr>
              <w:t>正版数据库或开源数据库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olor w:val="auto"/>
                <w:szCs w:val="21"/>
              </w:rPr>
              <w:t>云服务器</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default"/>
                <w:color w:val="auto"/>
                <w:lang w:val="en-US" w:eastAsia="zh-CN"/>
              </w:rPr>
            </w:pPr>
            <w:r>
              <w:rPr>
                <w:rFonts w:hint="eastAsia"/>
                <w:color w:val="auto"/>
                <w:lang w:val="en-US" w:eastAsia="zh-CN"/>
              </w:rPr>
              <w:t>选用电信、移动或联通三大通讯运营商的云服务器资源；</w:t>
            </w:r>
          </w:p>
          <w:p>
            <w:pPr>
              <w:pStyle w:val="2"/>
              <w:tabs>
                <w:tab w:val="left" w:pos="720"/>
              </w:tabs>
              <w:rPr>
                <w:rFonts w:hint="default"/>
                <w:color w:val="auto"/>
                <w:lang w:val="en-US" w:eastAsia="zh-CN"/>
              </w:rPr>
            </w:pPr>
            <w:r>
              <w:rPr>
                <w:rFonts w:hint="eastAsia" w:ascii="宋体" w:hAnsi="宋体" w:eastAsia="宋体" w:cs="宋体"/>
                <w:color w:val="auto"/>
                <w:kern w:val="2"/>
                <w:sz w:val="21"/>
                <w:szCs w:val="21"/>
                <w:lang w:val="en-US" w:eastAsia="zh-CN" w:bidi="ar-SA"/>
              </w:rPr>
              <w:t>每台服务器要求：CPU≥8核，内存≥16GB，系统盘≥100GB，数据盘≥500GB，带宽≥10Mbit/s，平 均 响 应 时 间（s）≤ 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网络安全防护</w:t>
            </w:r>
          </w:p>
        </w:tc>
        <w:tc>
          <w:tcPr>
            <w:tcW w:w="154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安全服务器与防护服务</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宋体" w:hAnsi="宋体" w:cs="宋体"/>
                <w:color w:val="auto"/>
                <w:szCs w:val="21"/>
              </w:rPr>
            </w:pPr>
            <w:r>
              <w:rPr>
                <w:rFonts w:hint="eastAsia" w:ascii="宋体" w:hAnsi="宋体" w:cs="宋体"/>
                <w:color w:val="auto"/>
                <w:szCs w:val="21"/>
              </w:rPr>
              <w:t>完成</w:t>
            </w:r>
            <w:r>
              <w:rPr>
                <w:rFonts w:hint="eastAsia" w:ascii="宋体" w:hAnsi="宋体" w:cs="宋体"/>
                <w:color w:val="auto"/>
                <w:szCs w:val="21"/>
                <w:lang w:val="en-US" w:eastAsia="zh-CN"/>
              </w:rPr>
              <w:t>至少1次</w:t>
            </w:r>
            <w:r>
              <w:rPr>
                <w:rFonts w:hint="eastAsia" w:ascii="宋体" w:hAnsi="宋体" w:eastAsia="宋体" w:cs="宋体"/>
                <w:color w:val="auto"/>
                <w:szCs w:val="21"/>
              </w:rPr>
              <w:t>信息安全等级保护二级</w:t>
            </w:r>
            <w:r>
              <w:rPr>
                <w:rFonts w:hint="eastAsia" w:ascii="宋体" w:hAnsi="宋体" w:eastAsia="宋体" w:cs="宋体"/>
                <w:color w:val="auto"/>
                <w:szCs w:val="21"/>
                <w:lang w:val="en-US" w:eastAsia="zh-CN"/>
              </w:rPr>
              <w:t>测评</w:t>
            </w:r>
            <w:r>
              <w:rPr>
                <w:rFonts w:hint="eastAsia" w:ascii="宋体" w:hAnsi="宋体" w:eastAsia="宋体" w:cs="宋体"/>
                <w:color w:val="auto"/>
                <w:szCs w:val="21"/>
              </w:rPr>
              <w:t>(</w:t>
            </w:r>
            <w:r>
              <w:rPr>
                <w:rFonts w:hint="eastAsia" w:ascii="宋体" w:hAnsi="宋体" w:cs="宋体"/>
                <w:color w:val="auto"/>
                <w:szCs w:val="21"/>
              </w:rPr>
              <w:t>含测评实施和相关测评所需的安全服务、软件采购、应用软件升级实施、部署以及公安部门备案）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cs="宋体"/>
                <w:color w:val="auto"/>
                <w:szCs w:val="21"/>
              </w:rPr>
            </w:pPr>
          </w:p>
        </w:tc>
        <w:tc>
          <w:tcPr>
            <w:tcW w:w="1540"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color w:val="auto"/>
                <w:szCs w:val="21"/>
              </w:rPr>
            </w:pP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宋体" w:hAnsi="宋体" w:cs="宋体"/>
                <w:color w:val="auto"/>
                <w:szCs w:val="21"/>
              </w:rPr>
            </w:pPr>
            <w:r>
              <w:rPr>
                <w:rFonts w:hint="eastAsia" w:ascii="宋体" w:hAnsi="宋体" w:cs="宋体"/>
                <w:color w:val="auto"/>
                <w:szCs w:val="21"/>
                <w:lang w:val="en-US" w:eastAsia="zh-CN"/>
              </w:rPr>
              <w:t>提供至少1年符合</w:t>
            </w:r>
            <w:r>
              <w:rPr>
                <w:rFonts w:hint="eastAsia" w:ascii="宋体" w:hAnsi="宋体" w:eastAsia="宋体" w:cs="宋体"/>
                <w:color w:val="auto"/>
                <w:szCs w:val="21"/>
              </w:rPr>
              <w:t>信息安全等级保护二级</w:t>
            </w:r>
            <w:r>
              <w:rPr>
                <w:rFonts w:hint="eastAsia" w:ascii="宋体" w:hAnsi="宋体" w:eastAsia="宋体" w:cs="宋体"/>
                <w:color w:val="auto"/>
                <w:szCs w:val="21"/>
                <w:lang w:val="en-US" w:eastAsia="zh-CN"/>
              </w:rPr>
              <w:t>测评</w:t>
            </w:r>
            <w:r>
              <w:rPr>
                <w:rFonts w:hint="eastAsia" w:ascii="宋体" w:hAnsi="宋体" w:cs="宋体"/>
                <w:color w:val="auto"/>
                <w:szCs w:val="21"/>
                <w:lang w:val="en-US" w:eastAsia="zh-CN"/>
              </w:rPr>
              <w:t>所需的安全服务措施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系统运维   服务</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eastAsia="宋体" w:cs="Calibri"/>
                <w:color w:val="auto"/>
                <w:kern w:val="2"/>
                <w:sz w:val="21"/>
                <w:szCs w:val="21"/>
                <w:lang w:val="en-US" w:eastAsia="zh-CN" w:bidi="ar-SA"/>
              </w:rPr>
            </w:pPr>
            <w:r>
              <w:rPr>
                <w:rFonts w:hint="eastAsia" w:ascii="宋体" w:hAnsi="宋体"/>
                <w:color w:val="auto"/>
                <w:szCs w:val="21"/>
                <w:lang w:val="en-US" w:eastAsia="zh-CN"/>
              </w:rPr>
              <w:t>运维服务</w:t>
            </w:r>
          </w:p>
        </w:tc>
        <w:tc>
          <w:tcPr>
            <w:tcW w:w="555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宋体" w:hAnsi="宋体" w:cs="宋体"/>
                <w:color w:val="auto"/>
                <w:kern w:val="2"/>
                <w:sz w:val="21"/>
                <w:szCs w:val="21"/>
                <w:lang w:val="en-US" w:eastAsia="zh-CN" w:bidi="ar-SA"/>
              </w:rPr>
            </w:pPr>
            <w:r>
              <w:rPr>
                <w:rFonts w:hint="eastAsia" w:ascii="宋体" w:hAnsi="宋体" w:eastAsia="宋体" w:cs="宋体"/>
                <w:color w:val="auto"/>
                <w:szCs w:val="21"/>
                <w:lang w:val="en-US" w:eastAsia="zh-CN"/>
              </w:rPr>
              <w:t>提供至少1年运维服务，包含但不限于系统每日巡检、服务器定期巡检、应用系统与操作系统定期安全检查、系统打补丁、系统数据定期备份、防火墙病毒库定期更新、系统安全口令定期更换、系统适应性升级、系统故障处置及现场故障处理等内容</w:t>
            </w:r>
          </w:p>
        </w:tc>
      </w:tr>
    </w:tbl>
    <w:p>
      <w:pPr>
        <w:pStyle w:val="11"/>
        <w:adjustRightInd w:val="0"/>
        <w:snapToGrid w:val="0"/>
        <w:ind w:firstLine="420" w:firstLineChars="200"/>
        <w:rPr>
          <w:rFonts w:hint="eastAsia" w:ascii="仿宋" w:hAnsi="仿宋" w:eastAsia="仿宋" w:cs="仿宋"/>
          <w:color w:val="auto"/>
          <w:sz w:val="28"/>
          <w:szCs w:val="28"/>
        </w:rPr>
      </w:pPr>
      <w:r>
        <w:rPr>
          <w:rFonts w:hint="eastAsia"/>
          <w:color w:val="auto"/>
        </w:rPr>
        <w:t xml:space="preserve"> </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软件技术要求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2.1系统符合软件开发/水质自动监测业务管理流程，报价人提供的软件产品能够包含软件开发/水质自动监测业务的全方位管理的功能，并有灵活性、扩展性，可以随着应用深入，增加新功能和新应用。</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2.2系统功能须全面完善、成熟度高，在合同签订后可在3个月完成调研和系统配置，达到系统可以上线运行条件。</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2.3系统须为B/S的架构，客户端无需额外安装软件即可正常使用，减少系统维护的工作量。界面美观、简洁、高效，界面各部件的布局应保持合理性和一致性。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2.4系统采用Java架构的多层体系结构，易于升级和发展，保持技术的先进性。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2.5系统须集成先进的HTML5技术，提高系统可用性和兼容性，支持任意操作系统、任意浏览器访问。</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2.6系统须自带报表工具，用户系统管理员可以自行设计查询统计报表。</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2.7系统具有仪器数据采集模块，通过设置即可实现具有标准输出接口仪器的数据自动采集，不需要编写任何代码。</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2.8系统自带图形化展示功能，不需要后台编写代码，直接在界面上进行图表的拖拽，即可实现图形化展示。</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2.9系统提供http+json的接口，接口必须提供token认证机制，保障接口安全性，以便于与公司已有系统进行数据共享。</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2.10系统自带可自定义的超标限值、异常规则、故障规则、报警预警方案管理。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2.11系统提供中英文支持,中英文界面切换。用户界面友好，易于学习和掌握。软件系统必须符合环境保护政策、环境保护信息化标准与软件开发类标准等国内和国际标准和准则的要求，系统必须通过国家规定的信息安全等级保护二级</w:t>
      </w:r>
      <w:r>
        <w:rPr>
          <w:rFonts w:hint="eastAsia" w:ascii="仿宋" w:hAnsi="仿宋" w:eastAsia="仿宋" w:cs="仿宋"/>
          <w:color w:val="auto"/>
          <w:sz w:val="28"/>
          <w:szCs w:val="28"/>
          <w:lang w:val="en-US" w:eastAsia="zh-CN"/>
        </w:rPr>
        <w:t>测评</w:t>
      </w:r>
      <w:r>
        <w:rPr>
          <w:rFonts w:hint="eastAsia" w:ascii="仿宋" w:hAnsi="仿宋" w:eastAsia="仿宋" w:cs="仿宋"/>
          <w:color w:val="auto"/>
          <w:sz w:val="28"/>
          <w:szCs w:val="28"/>
        </w:rPr>
        <w:t>。当上述标准更新时，在线数据监测智慧管理系统能够适应这种变化。</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2.12系统的设计、软件选型中，应采用目前主流的、成熟、先进的代表业界最新的技术，确保开发的应用系统具有较长的生命周期，操作系统、数据库、客户端软件需均为正版或开源软件且适配当前主流配置，应用软件系统采用最新版本。</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2.13系统的在线数据接收、数据处理和统计运算均符合信息化行业规范。</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系统方案在设计和最终开发、建设过程中须遵循以下标准：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《中华人民共和国环境保护法》</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《中华人民共和国水污染防治法》</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《污染源自动监控管理办法》（国家环境保护总局令第28号）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《全国环保部门环境应急能力建设标准》（环发[2010]146号）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《全国环境监测站建设标准》（环发〔2007〕56号）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《2012年环境监察执法能力建设项目申报技术指南》</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《污染源自动监控管理办法》（国家环境保护总局令第28号）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《环境信息化标准指南》（HJ511-2009）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《环境信息系统集成技术规范》（HJ/T418-2007）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《环境数据库设计与运行管理规范》（HJ/T419-2007）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《污染源自动监控设施运行管理办法》(环发[2008]6号)；</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《水污染物排放总量监测技术规范》（HJ/T92-2002）</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《水污染源在线监测系统（COD</w:t>
      </w:r>
      <w:r>
        <w:rPr>
          <w:rFonts w:hint="eastAsia" w:ascii="仿宋" w:hAnsi="仿宋" w:eastAsia="仿宋" w:cs="仿宋"/>
          <w:color w:val="auto"/>
          <w:sz w:val="28"/>
          <w:szCs w:val="28"/>
          <w:vertAlign w:val="subscript"/>
        </w:rPr>
        <w:t>Cr</w:t>
      </w:r>
      <w:r>
        <w:rPr>
          <w:rFonts w:hint="eastAsia" w:ascii="仿宋" w:hAnsi="仿宋" w:eastAsia="仿宋" w:cs="仿宋"/>
          <w:color w:val="auto"/>
          <w:sz w:val="28"/>
          <w:szCs w:val="28"/>
        </w:rPr>
        <w:t>、NH</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-N等）安装技术规范》（HJ353-2019）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《水污染源在线监测系统（COD</w:t>
      </w:r>
      <w:r>
        <w:rPr>
          <w:rFonts w:hint="eastAsia" w:ascii="仿宋" w:hAnsi="仿宋" w:eastAsia="仿宋" w:cs="仿宋"/>
          <w:color w:val="auto"/>
          <w:sz w:val="28"/>
          <w:szCs w:val="28"/>
          <w:vertAlign w:val="subscript"/>
        </w:rPr>
        <w:t>Cr</w:t>
      </w:r>
      <w:r>
        <w:rPr>
          <w:rFonts w:hint="eastAsia" w:ascii="仿宋" w:hAnsi="仿宋" w:eastAsia="仿宋" w:cs="仿宋"/>
          <w:color w:val="auto"/>
          <w:sz w:val="28"/>
          <w:szCs w:val="28"/>
        </w:rPr>
        <w:t>、NH</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-N等）验收技术规范》（HJ354-2019）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《水污染源在线监测系统（COD</w:t>
      </w:r>
      <w:r>
        <w:rPr>
          <w:rFonts w:hint="eastAsia" w:ascii="仿宋" w:hAnsi="仿宋" w:eastAsia="仿宋" w:cs="仿宋"/>
          <w:color w:val="auto"/>
          <w:sz w:val="28"/>
          <w:szCs w:val="28"/>
          <w:vertAlign w:val="subscript"/>
        </w:rPr>
        <w:t>Cr</w:t>
      </w:r>
      <w:r>
        <w:rPr>
          <w:rFonts w:hint="eastAsia" w:ascii="仿宋" w:hAnsi="仿宋" w:eastAsia="仿宋" w:cs="仿宋"/>
          <w:color w:val="auto"/>
          <w:sz w:val="28"/>
          <w:szCs w:val="28"/>
        </w:rPr>
        <w:t>、NH</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-N等）运行技术规范》（HJ355-2019）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《水污染源在线监测系统（COD</w:t>
      </w:r>
      <w:r>
        <w:rPr>
          <w:rFonts w:hint="eastAsia" w:ascii="仿宋" w:hAnsi="仿宋" w:eastAsia="仿宋" w:cs="仿宋"/>
          <w:color w:val="auto"/>
          <w:sz w:val="28"/>
          <w:szCs w:val="28"/>
          <w:vertAlign w:val="subscript"/>
        </w:rPr>
        <w:t>Cr</w:t>
      </w:r>
      <w:r>
        <w:rPr>
          <w:rFonts w:hint="eastAsia" w:ascii="仿宋" w:hAnsi="仿宋" w:eastAsia="仿宋" w:cs="仿宋"/>
          <w:color w:val="auto"/>
          <w:sz w:val="28"/>
          <w:szCs w:val="28"/>
        </w:rPr>
        <w:t>、NH</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-N等）数据有效性判别技术规范》（HJ356-2019）《地表水环境质量标准》（GB3838-2002）</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《地表水和污水监测技术规范》（HJ/T91-2002）</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《水和废水监测分析方法》（第四版）</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环境信息共享互联互通平台总体框架技术规范》（HJ718-2014）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《环境信息系统数据库访问接口规范》（HJ719-2014）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《环境信息元数据规范》（HJ720-2014）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《环境数据集加工汇交流程》（HJ721-2014）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《环境数据集说明文档格式》（HJ722-2014）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《环境信息数据字典规范》（HJ723-2014）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《环境基础空间数据加工处理技术规范》（HJ724-2014）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《环境信息网络验收规范》（HJ725-2014）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《环境空间数据交换技术规范》（HJ726-2014）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《环境信息交换技术规范》（HJ727-2014）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《环境信息系统测试与验收规范一一软件部分》（HJ728-2014）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《环境信息系统安全技术规范》（HJ729-2014）</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《信息技术软件生存周期过程》（GB/T8566-2001）</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《环境信息术语》（HJ/T416-2007）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《环境信息分类与代码》（HJ/T417-2007）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《环境信息系统集成技术规范》（HJ/T418-2007）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《环境数据库设计与运行管理规范》（HJ/T419-2007）</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《环境信息网络建设规范》（HJ460-2009）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《环境信息网络管理维护规范》（HJ461-2009）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《环境信息化标准指南》（HJ_511-2009）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《计算机信息系统安全保护等级划分准则》（GB17859-1999）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《软件工程术语》（GB/T11457-899）</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《信息处理-流程图编辑符号》（GB/T15538-1995）</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《信息处理-程序构造约定》（GB13502-92（ISO5806））</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《信息处理系统配置图符号及其约定》（GB/T14085-93（ISO8790））</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《软件开发规范》（GB8566-88）</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《软件维护指南》（GB/T14079-93）</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《计算机软件需求说明编制指南》（GB9386-88）</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《计算机软件测试文件编制指南》（GB9385-88）</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《计算机软件配置管理计划规范》（GB/T12505-90）</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《计算机软件质量保证计划规范》（GB/T12504-90）</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《质量管理和质量保证标准》（ISO9000-3）</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《软件配置管理》（ISO/TC176）</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《软件文档管理指南》（GB/T16680-1996）</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《计算机信息系统安全保护等级划分准则》</w:t>
      </w:r>
    </w:p>
    <w:p>
      <w:pPr>
        <w:pStyle w:val="11"/>
        <w:adjustRightInd w:val="0"/>
        <w:snapToGrid w:val="0"/>
        <w:ind w:firstLine="560" w:firstLineChars="200"/>
        <w:rPr>
          <w:rFonts w:hint="eastAsia" w:ascii="仿宋" w:hAnsi="仿宋" w:eastAsia="仿宋" w:cs="仿宋"/>
          <w:color w:val="auto"/>
          <w:sz w:val="28"/>
          <w:szCs w:val="28"/>
        </w:rPr>
      </w:pPr>
      <w:r>
        <w:rPr>
          <w:rFonts w:hint="eastAsia" w:ascii="Times New Roman" w:eastAsia="仿宋" w:cs="Times New Roman"/>
          <w:color w:val="auto"/>
          <w:sz w:val="28"/>
          <w:szCs w:val="28"/>
          <w:highlight w:val="none"/>
        </w:rPr>
        <w:t>《</w:t>
      </w:r>
      <w:r>
        <w:rPr>
          <w:rFonts w:hint="eastAsia" w:ascii="仿宋" w:hAnsi="仿宋" w:eastAsia="仿宋" w:cs="仿宋"/>
          <w:color w:val="auto"/>
          <w:sz w:val="28"/>
          <w:szCs w:val="28"/>
        </w:rPr>
        <w:t>信息安全技术网络安全等级保护基本要求》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GB／T 22239—2019 </w:t>
      </w:r>
      <w:r>
        <w:rPr>
          <w:rFonts w:hint="eastAsia" w:ascii="仿宋" w:hAnsi="仿宋" w:eastAsia="仿宋" w:cs="仿宋"/>
          <w:color w:val="auto"/>
          <w:sz w:val="28"/>
          <w:szCs w:val="28"/>
          <w:lang w:eastAsia="zh-CN"/>
        </w:rPr>
        <w:t>）</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3.系统功能及服务要求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3.1功能管理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在线监测数据智慧管理系统须能实现我公司所属水质中心现有业务流程的全面管理，提高在线监测系统管理的规范性。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可以通过软件系统的可视化数据展示在线监测数据情况，可以查看各厂在线站房的所有信息，便于管理者对水质监管进行把控。系统具有异常数据智能提醒功能，提高监管和管理质量。</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3.1.1数据查询功能</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应具有查询数据功能，主要实现对不同站点、不同监测时间内不同监测因子的实时、分钟、小时、日超标数据进行按站点、监测因子和时间区间相结合的要素查询，显示标准限值、超标值、超标倍数、缺数时长、数据标记、数据有效性等关键要素。数据查询功能还可以查询指定时段历史数据，输出结果除了常规关键要素外，还有异常总数和异常情况说明。</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3.1.2数据统计功能</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系统可根据实时数据、小时数据，单站点多指标分析，形成曲线图，根据小时数据形成日、月、季、年的统计报表；对仪器故障导致的数据异常（如0值、高值、相同值）筛选，并统计数据传输率等。</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3.1.3数据标识和读取仪器状态</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污染物在线监测（监控）系统数据传输标准》（HJ-2017）要求，系统可以对在线仪器上传的数据进行标记，可查看每种因子的数据标记。系统可以查看最近报数时间，显示当前仪器的工作状态；能识别串行通讯传输内容，采集和提取仪器工作参数与运行日志。</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3.1.4报警及预警管理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系统可对各类报警信息（高值、0值报警、同值报警、仪器故障报警、缺少试剂报警、数采仪断线报警等）进行系统通知、记录和统计分析。用户可以通过任务管理模块对通知信息进行管理和设置。</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以灵活的配置报警、预警和超标定义，报警信息（包括类型、详情等）支持网页弹出窗提示、短信通知、APP提示等方式通知相关业务人员。同时用户可以按照特定的数值，设置持续时长后作为预警触发条件。</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当系统识别到报警或预警信号时，系统将自动推送短信至负责人手机或APP，实现对各个监测点位设备的远程实时监管，便于管理人员直观快速掌握设备运行状态，快速发现并解决故障问题。</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3.1.5设备台账管理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统一维护和管理各厂公司仪器资产信息，包括站点信息、设备类型、生产厂家、品牌型号、安装位置、安装日期、验收日期、出厂唯一编码、集团资产编码、关联因子等，包括仪器量程、测量精度、曲线斜率、曲线截距等运行参数。</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3.1.6故障运维提醒</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当数据出现超标或仪器发生故障时，可派单至指定人员，待处理后，可拍照并输入文本反馈故障原因、处理情况，形成故障闭环管理。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管理人员可以查看</w:t>
      </w:r>
      <w:r>
        <w:rPr>
          <w:rFonts w:hint="eastAsia" w:ascii="仿宋" w:hAnsi="仿宋" w:eastAsia="仿宋" w:cs="仿宋"/>
          <w:color w:val="auto"/>
          <w:sz w:val="28"/>
          <w:szCs w:val="28"/>
          <w:lang w:val="en-US" w:eastAsia="zh-CN"/>
        </w:rPr>
        <w:t>或对指定运维人员下发日常或突发</w:t>
      </w:r>
      <w:r>
        <w:rPr>
          <w:rFonts w:hint="eastAsia" w:ascii="仿宋" w:hAnsi="仿宋" w:eastAsia="仿宋" w:cs="仿宋"/>
          <w:color w:val="auto"/>
          <w:sz w:val="28"/>
          <w:szCs w:val="28"/>
        </w:rPr>
        <w:t>任务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可查询开始</w:t>
      </w:r>
      <w:r>
        <w:rPr>
          <w:rFonts w:hint="eastAsia" w:ascii="仿宋" w:hAnsi="仿宋" w:eastAsia="仿宋" w:cs="仿宋"/>
          <w:color w:val="auto"/>
          <w:sz w:val="28"/>
          <w:szCs w:val="28"/>
        </w:rPr>
        <w:t>时间、完成时间、是否超标、处理反馈明细、关联凭证一览，可以催办任务，也可以亲自处理。</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3.1.7运维日志管理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系统可记录运维日志，如清洗、更换试剂、标液核查、校准校验、质控比对、废液清理、备品备件更换等进行登记记录相关重要信息，可拍照留存。</w:t>
      </w:r>
    </w:p>
    <w:p>
      <w:pPr>
        <w:pStyle w:val="12"/>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3.1.8运维工作质量评价管理</w:t>
      </w:r>
    </w:p>
    <w:p>
      <w:pPr>
        <w:pStyle w:val="13"/>
        <w:ind w:firstLine="560" w:firstLineChars="200"/>
        <w:rPr>
          <w:rFonts w:hint="default"/>
          <w:lang w:val="en-US" w:eastAsia="zh-CN"/>
        </w:rPr>
      </w:pPr>
      <w:r>
        <w:rPr>
          <w:rFonts w:hint="eastAsia" w:ascii="仿宋" w:hAnsi="仿宋" w:eastAsia="仿宋" w:cs="仿宋"/>
          <w:color w:val="auto"/>
          <w:sz w:val="28"/>
          <w:szCs w:val="28"/>
          <w:lang w:val="en-US" w:eastAsia="zh-CN"/>
        </w:rPr>
        <w:t>系统可提供各站点运维人员工作质量管理评价功能，管理人员可根据运维的工作，对故障处理工作与日常清洗工作的及时性、质控考核的通过率、台账记录的规范性以及派单任务完成的时效性等方面进行评价</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大数据分析管理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采用先进的大数据分析技术，搭建一整套物联网、大数据、云计算、互联网技术框架，充分发挥各种成熟大数据技术的优点，规避各自的缺点，具有极强的前瞻性、可靠性和扩展性，实现“一次投入，长期使用”的目标。</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大数据分析技术处理接收和解析站点上报的每条数据外，异常识别引擎还对每条数据是否超标、是否异常、是否故障进行识别并对每个异常计算出时长、识别出数据波动规律改变、突变、离群等大数据分析标签，分析数据的价值。</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3.2系统安全管理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系统软件应提供多种安全机制来保障系统应用安全性。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3.2.1用户管理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与其他任何信息系统相同，系统的安全性首先体现在为访问系统的每一用户定义唯一的账号（用户名），用户可以设定自己的口令（密码），密码一旦设定，系统采用一定的加密算法为密码加密。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3.2.2授权-组织结构</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系统的组织结构模块可以为用户提供其组织结构的管理，可以分级定义用户的部门，部门下设岗位，岗位下设成员。可赋予一个用户归属多个班组，可具有对多个班组、岗位数据的访问权限。</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3.2.3角色</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系统在角色管理模块中可以设置每一个角色或用户能够进入的各功能模块，并细化到使用模块中各功能都必须经过授权。通过角色授权后，每一用户在控制端能看到的只是自己角色范围内的功能模块。</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3.2.4系统日志</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通过系统日志系统管理员可观察当前所有进入系统的人员和登录所在的工作站以及所有人员登录的历史记录。同时也可记录进出系统的人员、访问的模块、停留时间及对数据做出的改动，并提供根据权限不同进行逐级的日志查询。</w:t>
      </w:r>
    </w:p>
    <w:p>
      <w:pPr>
        <w:pStyle w:val="11"/>
        <w:adjustRightInd w:val="0"/>
        <w:snapToGrid w:val="0"/>
        <w:ind w:firstLine="560" w:firstLineChars="20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3数据</w:t>
      </w:r>
      <w:r>
        <w:rPr>
          <w:rFonts w:ascii="仿宋" w:hAnsi="仿宋" w:eastAsia="仿宋" w:cs="仿宋"/>
          <w:color w:val="auto"/>
          <w:sz w:val="28"/>
          <w:szCs w:val="28"/>
        </w:rPr>
        <w:t>安全</w:t>
      </w:r>
      <w:r>
        <w:rPr>
          <w:rFonts w:hint="eastAsia" w:ascii="仿宋" w:hAnsi="仿宋" w:eastAsia="仿宋" w:cs="仿宋"/>
          <w:color w:val="auto"/>
          <w:sz w:val="28"/>
          <w:szCs w:val="28"/>
        </w:rPr>
        <w:t>及网络</w:t>
      </w:r>
      <w:r>
        <w:rPr>
          <w:rFonts w:ascii="仿宋" w:hAnsi="仿宋" w:eastAsia="仿宋" w:cs="仿宋"/>
          <w:color w:val="auto"/>
          <w:sz w:val="28"/>
          <w:szCs w:val="28"/>
        </w:rPr>
        <w:t>管理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3.3.1传输加密</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保证数据在网络传输过程中的安全，防止出现数据丢失、泄密事故发生，系统将在数据传输过程中通过加密实现数据传输。并结合包括但不限于网络层安全隔离系统（企业版杀毒软件）、防火墙等一系列措施保证数据传输的安全。</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3.3.2信息安全等级保护测评要求</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系统必须满足国家规定的</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级信息安全等级保护测评要求且通过第三方测评以及公安部门备案。</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3.3.3数据安全</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系统能够满足数据定时自动备份要求，每周完成数据逻辑全备份及增量备份，每月完成数据的物理全备份。定期将系统数据进行备份，把备份数据存到异地，避免地震等不可抗力造成的数据丢失。</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3.3.4数据保密性</w:t>
      </w:r>
    </w:p>
    <w:p>
      <w:pPr>
        <w:pStyle w:val="11"/>
        <w:adjustRightInd w:val="0"/>
        <w:snapToGrid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系统应</w:t>
      </w:r>
      <w:r>
        <w:rPr>
          <w:rFonts w:ascii="仿宋" w:hAnsi="仿宋" w:eastAsia="仿宋" w:cs="仿宋"/>
          <w:color w:val="auto"/>
          <w:sz w:val="28"/>
          <w:szCs w:val="28"/>
        </w:rPr>
        <w:t>采用</w:t>
      </w:r>
      <w:r>
        <w:rPr>
          <w:rFonts w:hint="eastAsia" w:ascii="仿宋" w:hAnsi="仿宋" w:eastAsia="仿宋" w:cs="仿宋"/>
          <w:color w:val="auto"/>
          <w:sz w:val="28"/>
          <w:szCs w:val="28"/>
        </w:rPr>
        <w:t>安全</w:t>
      </w:r>
      <w:r>
        <w:rPr>
          <w:rFonts w:ascii="仿宋" w:hAnsi="仿宋" w:eastAsia="仿宋" w:cs="仿宋"/>
          <w:color w:val="auto"/>
          <w:sz w:val="28"/>
          <w:szCs w:val="28"/>
        </w:rPr>
        <w:t>加密</w:t>
      </w:r>
      <w:r>
        <w:rPr>
          <w:rFonts w:hint="eastAsia" w:ascii="仿宋" w:hAnsi="仿宋" w:eastAsia="仿宋" w:cs="仿宋"/>
          <w:color w:val="auto"/>
          <w:sz w:val="28"/>
          <w:szCs w:val="28"/>
        </w:rPr>
        <w:t>机制</w:t>
      </w:r>
      <w:r>
        <w:rPr>
          <w:rFonts w:ascii="仿宋" w:hAnsi="仿宋" w:eastAsia="仿宋" w:cs="仿宋"/>
          <w:color w:val="auto"/>
          <w:sz w:val="28"/>
          <w:szCs w:val="28"/>
        </w:rPr>
        <w:t>，保证数据流转</w:t>
      </w:r>
      <w:r>
        <w:rPr>
          <w:rFonts w:hint="eastAsia" w:ascii="仿宋" w:hAnsi="仿宋" w:eastAsia="仿宋" w:cs="仿宋"/>
          <w:color w:val="auto"/>
          <w:sz w:val="28"/>
          <w:szCs w:val="28"/>
        </w:rPr>
        <w:t>全流程</w:t>
      </w:r>
      <w:r>
        <w:rPr>
          <w:rFonts w:ascii="仿宋" w:hAnsi="仿宋" w:eastAsia="仿宋" w:cs="仿宋"/>
          <w:color w:val="auto"/>
          <w:sz w:val="28"/>
          <w:szCs w:val="28"/>
        </w:rPr>
        <w:t>中的安全性</w:t>
      </w:r>
      <w:r>
        <w:rPr>
          <w:rFonts w:hint="eastAsia" w:ascii="仿宋" w:hAnsi="仿宋" w:eastAsia="仿宋" w:cs="仿宋"/>
          <w:color w:val="auto"/>
          <w:sz w:val="28"/>
          <w:szCs w:val="28"/>
        </w:rPr>
        <w:t>与保密性。</w:t>
      </w:r>
    </w:p>
    <w:p>
      <w:pPr>
        <w:pStyle w:val="11"/>
        <w:adjustRightInd w:val="0"/>
        <w:snapToGrid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3.4服务要求</w:t>
      </w:r>
    </w:p>
    <w:p>
      <w:pPr>
        <w:pStyle w:val="11"/>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货物在质保期为</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验收合格之日起1年内如有质量问题时，报价人必须立即响应。报价人应负责培训至能熟练操作使用为止。在使用期间出现问题，报价人应在接到甲方所属使用单位电话通知后</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小时内到达甲方所属使用单位</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rPr>
        <w:t>。具体服务要求详见项目商务要求。</w:t>
      </w:r>
    </w:p>
    <w:p>
      <w:pPr>
        <w:pStyle w:val="11"/>
        <w:adjustRightInd w:val="0"/>
        <w:snapToGrid w:val="0"/>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lang w:val="zh-CN"/>
        </w:rPr>
        <w:t>要求</w:t>
      </w:r>
    </w:p>
    <w:p>
      <w:pPr>
        <w:pStyle w:val="11"/>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4.1报价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须供货及时，若供货不及时给甲方造成损失，由报价单位承担赔偿。本项目不允许分包、转包。</w:t>
      </w:r>
    </w:p>
    <w:p>
      <w:pPr>
        <w:pStyle w:val="11"/>
        <w:adjustRightInd w:val="0"/>
        <w:snapToGrid w:val="0"/>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4.2报价单位确保系统的系统运维工作由报价单位负责。</w:t>
      </w:r>
    </w:p>
    <w:p>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lang w:val="en-US" w:eastAsia="zh-CN"/>
        </w:rPr>
      </w:pPr>
    </w:p>
    <w:p>
      <w:pPr>
        <w:tabs>
          <w:tab w:val="left" w:pos="4170"/>
        </w:tabs>
        <w:spacing w:line="36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附件6.项目投入人员架构表</w:t>
      </w:r>
    </w:p>
    <w:p>
      <w:pPr>
        <w:jc w:val="center"/>
        <w:rPr>
          <w:rFonts w:hint="default" w:ascii="Times New Roman" w:hAnsi="Times New Roman" w:eastAsia="仿宋"/>
          <w:b/>
          <w:bCs/>
          <w:color w:val="auto"/>
          <w:sz w:val="36"/>
          <w:szCs w:val="22"/>
          <w:highlight w:val="none"/>
          <w:lang w:val="en-US" w:eastAsia="zh-CN"/>
        </w:rPr>
      </w:pPr>
      <w:r>
        <w:rPr>
          <w:rFonts w:hint="eastAsia" w:ascii="Times New Roman" w:hAnsi="Times New Roman" w:eastAsia="仿宋"/>
          <w:b/>
          <w:bCs/>
          <w:color w:val="auto"/>
          <w:sz w:val="36"/>
          <w:szCs w:val="22"/>
          <w:highlight w:val="none"/>
          <w:lang w:val="en-US" w:eastAsia="zh-CN"/>
        </w:rPr>
        <w:t>项目投入人员架构表</w:t>
      </w:r>
    </w:p>
    <w:tbl>
      <w:tblPr>
        <w:tblStyle w:val="24"/>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4"/>
        <w:gridCol w:w="1064"/>
        <w:gridCol w:w="1064"/>
        <w:gridCol w:w="1065"/>
        <w:gridCol w:w="106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1064" w:type="dxa"/>
            <w:noWrap w:val="0"/>
            <w:vAlign w:val="top"/>
          </w:tcPr>
          <w:p>
            <w:pPr>
              <w:tabs>
                <w:tab w:val="left" w:pos="4170"/>
              </w:tabs>
              <w:spacing w:line="360" w:lineRule="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姓名</w:t>
            </w: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性别</w:t>
            </w: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年龄</w:t>
            </w: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职称</w:t>
            </w: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专业</w:t>
            </w:r>
          </w:p>
        </w:tc>
        <w:tc>
          <w:tcPr>
            <w:tcW w:w="1065" w:type="dxa"/>
            <w:noWrap w:val="0"/>
            <w:vAlign w:val="top"/>
          </w:tcPr>
          <w:p>
            <w:pPr>
              <w:tabs>
                <w:tab w:val="left" w:pos="4170"/>
              </w:tabs>
              <w:spacing w:line="360" w:lineRule="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最高学历</w:t>
            </w:r>
          </w:p>
        </w:tc>
        <w:tc>
          <w:tcPr>
            <w:tcW w:w="1065" w:type="dxa"/>
            <w:noWrap w:val="0"/>
            <w:vAlign w:val="top"/>
          </w:tcPr>
          <w:p>
            <w:pPr>
              <w:tabs>
                <w:tab w:val="left" w:pos="4170"/>
              </w:tabs>
              <w:spacing w:line="360" w:lineRule="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相关证书</w:t>
            </w:r>
          </w:p>
        </w:tc>
        <w:tc>
          <w:tcPr>
            <w:tcW w:w="1353" w:type="dxa"/>
            <w:noWrap w:val="0"/>
            <w:vAlign w:val="top"/>
          </w:tcPr>
          <w:p>
            <w:pPr>
              <w:tabs>
                <w:tab w:val="left" w:pos="4170"/>
              </w:tabs>
              <w:spacing w:line="360" w:lineRule="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拟承担工作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auto"/>
                <w:sz w:val="21"/>
                <w:szCs w:val="21"/>
                <w:highlight w:val="none"/>
                <w:vertAlign w:val="baseline"/>
              </w:rPr>
            </w:pPr>
          </w:p>
        </w:tc>
      </w:tr>
    </w:tbl>
    <w:p>
      <w:pPr>
        <w:pStyle w:val="2"/>
        <w:tabs>
          <w:tab w:val="left" w:pos="720"/>
        </w:tabs>
        <w:ind w:firstLine="42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注：本表后附有关材料</w:t>
      </w:r>
    </w:p>
    <w:p>
      <w:pPr>
        <w:pStyle w:val="2"/>
        <w:tabs>
          <w:tab w:val="left" w:pos="720"/>
        </w:tabs>
        <w:ind w:firstLine="421"/>
        <w:rPr>
          <w:rFonts w:hint="eastAsia" w:ascii="宋体" w:hAnsi="宋体" w:eastAsia="宋体" w:cs="宋体"/>
          <w:b/>
          <w:bCs/>
          <w:color w:val="auto"/>
          <w:sz w:val="21"/>
          <w:szCs w:val="21"/>
          <w:highlight w:val="none"/>
          <w:lang w:val="en-US" w:eastAsia="zh-CN"/>
        </w:rPr>
      </w:pPr>
    </w:p>
    <w:p>
      <w:pPr>
        <w:pStyle w:val="2"/>
        <w:tabs>
          <w:tab w:val="left" w:pos="720"/>
        </w:tabs>
        <w:ind w:firstLine="42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投标人名称</w:t>
      </w:r>
    </w:p>
    <w:p>
      <w:pPr>
        <w:pStyle w:val="2"/>
        <w:tabs>
          <w:tab w:val="left" w:pos="720"/>
        </w:tabs>
        <w:ind w:firstLine="42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授权代表(签名）：</w:t>
      </w:r>
    </w:p>
    <w:p>
      <w:pPr>
        <w:pStyle w:val="2"/>
        <w:tabs>
          <w:tab w:val="left" w:pos="720"/>
        </w:tabs>
        <w:ind w:firstLine="42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职务：</w:t>
      </w:r>
    </w:p>
    <w:p>
      <w:pPr>
        <w:pStyle w:val="2"/>
        <w:tabs>
          <w:tab w:val="left" w:pos="720"/>
        </w:tabs>
        <w:ind w:firstLine="42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日期：     年     月    日</w:t>
      </w:r>
    </w:p>
    <w:p>
      <w:pPr>
        <w:pStyle w:val="22"/>
        <w:rPr>
          <w:rFonts w:hint="eastAsia"/>
          <w:color w:val="auto"/>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rPr>
          <w:rFonts w:hint="eastAsia" w:ascii="宋体" w:hAnsi="宋体" w:cs="宋体"/>
          <w:b/>
          <w:bCs/>
          <w:color w:val="auto"/>
          <w:sz w:val="21"/>
          <w:szCs w:val="21"/>
          <w:highlight w:val="none"/>
          <w:lang w:val="en-US" w:eastAsia="zh-CN"/>
        </w:rPr>
      </w:pPr>
    </w:p>
    <w:p>
      <w:pPr>
        <w:pStyle w:val="22"/>
        <w:ind w:left="0" w:leftChars="0" w:firstLine="0" w:firstLineChars="0"/>
        <w:rPr>
          <w:rFonts w:hint="default" w:ascii="宋体" w:hAnsi="宋体" w:cs="宋体"/>
          <w:b/>
          <w:bCs/>
          <w:color w:val="auto"/>
          <w:sz w:val="21"/>
          <w:szCs w:val="21"/>
          <w:highlight w:val="none"/>
          <w:lang w:val="en-US" w:eastAsia="zh-CN"/>
        </w:rPr>
      </w:pPr>
    </w:p>
    <w:p>
      <w:pPr>
        <w:pStyle w:val="22"/>
        <w:ind w:left="0" w:leftChars="0" w:firstLine="0" w:firstLineChars="0"/>
        <w:rPr>
          <w:rFonts w:hint="default" w:ascii="宋体" w:hAnsi="宋体" w:cs="宋体"/>
          <w:b/>
          <w:bCs/>
          <w:color w:val="auto"/>
          <w:sz w:val="21"/>
          <w:szCs w:val="21"/>
          <w:highlight w:val="none"/>
          <w:lang w:val="en-US" w:eastAsia="zh-CN"/>
        </w:rPr>
      </w:pPr>
    </w:p>
    <w:p>
      <w:pPr>
        <w:pStyle w:val="22"/>
        <w:ind w:left="0" w:leftChars="0" w:firstLine="0" w:firstLineChars="0"/>
        <w:rPr>
          <w:rFonts w:hint="default" w:ascii="宋体" w:hAnsi="宋体" w:cs="宋体"/>
          <w:b/>
          <w:bCs/>
          <w:color w:val="auto"/>
          <w:sz w:val="21"/>
          <w:szCs w:val="21"/>
          <w:highlight w:val="none"/>
          <w:lang w:val="en-US" w:eastAsia="zh-CN"/>
        </w:rPr>
      </w:pPr>
    </w:p>
    <w:p>
      <w:pPr>
        <w:tabs>
          <w:tab w:val="left" w:pos="4170"/>
        </w:tabs>
        <w:spacing w:line="360" w:lineRule="auto"/>
        <w:rPr>
          <w:rFonts w:ascii="Times New Roman" w:hAnsi="Times New Roman" w:eastAsia="黑体" w:cs="Times New Roman"/>
          <w:color w:val="auto"/>
          <w:sz w:val="32"/>
          <w:szCs w:val="32"/>
        </w:rPr>
      </w:pPr>
      <w:r>
        <w:rPr>
          <w:rFonts w:hint="eastAsia" w:ascii="宋体" w:hAnsi="宋体" w:cs="宋体"/>
          <w:b/>
          <w:bCs/>
          <w:color w:val="auto"/>
          <w:szCs w:val="21"/>
        </w:rPr>
        <w:t>附件7.不诚信行为的情形及相应被暂停参与投标活动的处理标准</w:t>
      </w:r>
    </w:p>
    <w:p>
      <w:pPr>
        <w:adjustRightInd w:val="0"/>
        <w:snapToGrid w:val="0"/>
        <w:jc w:val="center"/>
        <w:rPr>
          <w:rFonts w:ascii="Times New Roman" w:hAnsi="Times New Roman" w:eastAsia="方正小标宋简体" w:cs="Times New Roman"/>
          <w:color w:val="auto"/>
          <w:sz w:val="32"/>
          <w:szCs w:val="32"/>
        </w:rPr>
      </w:pPr>
      <w:r>
        <w:rPr>
          <w:rFonts w:ascii="Times New Roman" w:hAnsi="Times New Roman" w:eastAsia="方正小标宋简体" w:cs="Times New Roman"/>
          <w:color w:val="auto"/>
          <w:sz w:val="32"/>
          <w:szCs w:val="32"/>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处理</w:t>
            </w:r>
          </w:p>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发生重伤或死亡1～2人的，暂停投标1年至2年（含）。</w:t>
            </w:r>
          </w:p>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发生重伤或死亡3～9人的，暂停投标2年以上至4年。</w:t>
            </w:r>
          </w:p>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其他不诚信</w:t>
            </w:r>
          </w:p>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color w:val="auto"/>
              </w:rPr>
            </w:pPr>
            <w:r>
              <w:rPr>
                <w:rFonts w:ascii="Times New Roman" w:hAnsi="Times New Roman" w:eastAsia="仿宋_GB2312" w:cs="Times New Roman"/>
                <w:color w:val="auto"/>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s="Times New Roman"/>
                <w:color w:val="auto"/>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r>
              <w:rPr>
                <w:rFonts w:ascii="Times New Roman" w:hAnsi="Times New Roman" w:eastAsia="仿宋_GB2312" w:cs="Times New Roman"/>
                <w:color w:val="auto"/>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eastAsia="仿宋_GB2312" w:cs="Times New Roman"/>
                <w:color w:val="auto"/>
              </w:rPr>
            </w:pPr>
          </w:p>
        </w:tc>
      </w:tr>
    </w:tbl>
    <w:p>
      <w:pPr>
        <w:contextualSpacing/>
        <w:rPr>
          <w:rFonts w:ascii="Times New Roman" w:hAnsi="Times New Roman" w:eastAsia="仿宋_GB2312" w:cs="Times New Roman"/>
          <w:color w:val="auto"/>
          <w:sz w:val="24"/>
        </w:rPr>
      </w:pPr>
      <w:r>
        <w:rPr>
          <w:rFonts w:ascii="Times New Roman" w:hAnsi="Times New Roman" w:eastAsia="仿宋_GB2312" w:cs="Times New Roman"/>
          <w:color w:val="auto"/>
          <w:sz w:val="24"/>
        </w:rPr>
        <w:t>备注：本处理标准出自《广州市净水有限公司经营建设项目参建企业不诚信行为管理办法》。</w:t>
      </w:r>
    </w:p>
    <w:p>
      <w:pPr>
        <w:pStyle w:val="7"/>
        <w:rPr>
          <w:b/>
          <w:bCs/>
          <w:color w:val="auto"/>
          <w:sz w:val="24"/>
          <w:szCs w:val="24"/>
        </w:rPr>
      </w:pPr>
    </w:p>
    <w:p>
      <w:pPr>
        <w:contextualSpacing/>
        <w:rPr>
          <w:rFonts w:ascii="Times New Roman" w:hAnsi="Times New Roman" w:eastAsia="仿宋_GB2312" w:cs="Times New Roman"/>
          <w:color w:val="auto"/>
          <w:sz w:val="24"/>
        </w:rPr>
      </w:pPr>
      <w:r>
        <w:rPr>
          <w:rFonts w:ascii="Times New Roman" w:hAnsi="Times New Roman" w:eastAsia="仿宋_GB2312" w:cs="Times New Roman"/>
          <w:color w:val="auto"/>
          <w:sz w:val="24"/>
        </w:rPr>
        <w:t>备注：本处理标准出自《广州市净水有限公司经营建设项目参建企业不诚信行为管理办法》。</w:t>
      </w:r>
    </w:p>
    <w:p>
      <w:pPr>
        <w:spacing w:line="360" w:lineRule="auto"/>
        <w:rPr>
          <w:rFonts w:ascii="Times New Roman" w:hAnsi="Times New Roman" w:cs="Times New Roman"/>
          <w:b/>
          <w:color w:val="auto"/>
          <w:sz w:val="24"/>
        </w:rPr>
      </w:pPr>
    </w:p>
    <w:bookmarkEnd w:id="154"/>
    <w:bookmarkEnd w:id="155"/>
    <w:bookmarkEnd w:id="156"/>
    <w:p>
      <w:pPr>
        <w:adjustRightInd w:val="0"/>
        <w:snapToGrid w:val="0"/>
        <w:spacing w:line="56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Times New Roman" w:hAnsi="Times New Roman" w:eastAsia="仿宋_GB2312" w:cs="Times New Roman"/>
          <w:color w:val="auto"/>
          <w:sz w:val="24"/>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ign w:val="top"/>
          </w:tcPr>
          <w:p>
            <w:pPr>
              <w:widowControl w:val="0"/>
              <w:adjustRightInd w:val="0"/>
              <w:snapToGrid w:val="0"/>
              <w:spacing w:line="560" w:lineRule="exact"/>
              <w:jc w:val="both"/>
              <w:textAlignment w:val="baseline"/>
              <w:rPr>
                <w:rFonts w:ascii="Times New Roman" w:hAnsi="Times New Roman" w:cs="Times New Roman"/>
                <w:color w:val="auto"/>
                <w:sz w:val="24"/>
              </w:rPr>
            </w:pPr>
            <w:r>
              <w:rPr>
                <w:rFonts w:ascii="Times New Roman" w:hAnsi="Times New Roman" w:cs="Times New Roman"/>
                <w:color w:val="auto"/>
                <w:sz w:val="24"/>
              </w:rPr>
              <w:t>甲方：</w:t>
            </w:r>
          </w:p>
          <w:p>
            <w:pPr>
              <w:widowControl w:val="0"/>
              <w:adjustRightInd w:val="0"/>
              <w:snapToGrid w:val="0"/>
              <w:spacing w:line="560" w:lineRule="exact"/>
              <w:jc w:val="both"/>
              <w:textAlignment w:val="baseline"/>
              <w:rPr>
                <w:rFonts w:ascii="Times New Roman" w:hAnsi="Times New Roman" w:cs="Times New Roman"/>
                <w:color w:val="auto"/>
                <w:sz w:val="24"/>
              </w:rPr>
            </w:pPr>
            <w:r>
              <w:rPr>
                <w:rFonts w:ascii="Times New Roman" w:hAnsi="Times New Roman" w:cs="Times New Roman"/>
                <w:color w:val="auto"/>
                <w:sz w:val="24"/>
              </w:rPr>
              <w:t>签约代表：</w:t>
            </w:r>
          </w:p>
          <w:p>
            <w:pPr>
              <w:widowControl w:val="0"/>
              <w:adjustRightInd w:val="0"/>
              <w:snapToGrid w:val="0"/>
              <w:spacing w:line="560" w:lineRule="exact"/>
              <w:jc w:val="both"/>
              <w:textAlignment w:val="baseline"/>
              <w:rPr>
                <w:rFonts w:ascii="Times New Roman" w:hAnsi="Times New Roman" w:cs="Times New Roman"/>
                <w:color w:val="auto"/>
                <w:sz w:val="24"/>
              </w:rPr>
            </w:pPr>
            <w:r>
              <w:rPr>
                <w:rFonts w:ascii="Times New Roman" w:hAnsi="Times New Roman" w:cs="Times New Roman"/>
                <w:color w:val="auto"/>
                <w:sz w:val="24"/>
              </w:rPr>
              <w:t>联系电话：</w:t>
            </w:r>
          </w:p>
          <w:p>
            <w:pPr>
              <w:widowControl w:val="0"/>
              <w:adjustRightInd w:val="0"/>
              <w:snapToGrid w:val="0"/>
              <w:spacing w:line="560" w:lineRule="exact"/>
              <w:ind w:firstLine="240" w:firstLineChars="100"/>
              <w:jc w:val="right"/>
              <w:textAlignment w:val="baseline"/>
              <w:rPr>
                <w:rFonts w:ascii="Times New Roman" w:hAnsi="Times New Roman" w:cs="Times New Roman"/>
                <w:color w:val="auto"/>
                <w:sz w:val="24"/>
              </w:rPr>
            </w:pPr>
            <w:r>
              <w:rPr>
                <w:rFonts w:ascii="Times New Roman" w:hAnsi="Times New Roman" w:cs="Times New Roman"/>
                <w:color w:val="auto"/>
                <w:sz w:val="24"/>
              </w:rPr>
              <w:t>年</w:t>
            </w:r>
            <w:r>
              <w:rPr>
                <w:rFonts w:hint="eastAsia" w:ascii="Times New Roman" w:hAnsi="Times New Roman" w:cs="Times New Roman"/>
                <w:color w:val="auto"/>
                <w:sz w:val="24"/>
              </w:rPr>
              <w:t xml:space="preserve">        </w:t>
            </w:r>
            <w:r>
              <w:rPr>
                <w:rFonts w:ascii="Times New Roman" w:hAnsi="Times New Roman" w:cs="Times New Roman"/>
                <w:color w:val="auto"/>
                <w:sz w:val="24"/>
              </w:rPr>
              <w:t>月</w:t>
            </w:r>
            <w:r>
              <w:rPr>
                <w:rFonts w:hint="eastAsia" w:ascii="Times New Roman" w:hAnsi="Times New Roman" w:cs="Times New Roman"/>
                <w:color w:val="auto"/>
                <w:sz w:val="24"/>
              </w:rPr>
              <w:t xml:space="preserve">       </w:t>
            </w:r>
            <w:r>
              <w:rPr>
                <w:rFonts w:ascii="Times New Roman" w:hAnsi="Times New Roman" w:cs="Times New Roman"/>
                <w:color w:val="auto"/>
                <w:sz w:val="24"/>
              </w:rPr>
              <w:t>日</w:t>
            </w:r>
          </w:p>
        </w:tc>
        <w:tc>
          <w:tcPr>
            <w:tcW w:w="4474" w:type="dxa"/>
            <w:noWrap/>
            <w:vAlign w:val="top"/>
          </w:tcPr>
          <w:p>
            <w:pPr>
              <w:widowControl w:val="0"/>
              <w:adjustRightInd w:val="0"/>
              <w:snapToGrid w:val="0"/>
              <w:spacing w:line="560" w:lineRule="exact"/>
              <w:jc w:val="both"/>
              <w:textAlignment w:val="baseline"/>
              <w:rPr>
                <w:rFonts w:ascii="Times New Roman" w:hAnsi="Times New Roman" w:cs="Times New Roman"/>
                <w:color w:val="auto"/>
                <w:sz w:val="24"/>
              </w:rPr>
            </w:pPr>
            <w:r>
              <w:rPr>
                <w:rFonts w:ascii="Times New Roman" w:hAnsi="Times New Roman" w:cs="Times New Roman"/>
                <w:color w:val="auto"/>
                <w:sz w:val="24"/>
              </w:rPr>
              <w:t>乙方：</w:t>
            </w:r>
          </w:p>
          <w:p>
            <w:pPr>
              <w:widowControl w:val="0"/>
              <w:adjustRightInd w:val="0"/>
              <w:snapToGrid w:val="0"/>
              <w:spacing w:line="560" w:lineRule="exact"/>
              <w:jc w:val="both"/>
              <w:textAlignment w:val="baseline"/>
              <w:rPr>
                <w:rFonts w:ascii="Times New Roman" w:hAnsi="Times New Roman" w:cs="Times New Roman"/>
                <w:color w:val="auto"/>
                <w:sz w:val="24"/>
              </w:rPr>
            </w:pPr>
            <w:r>
              <w:rPr>
                <w:rFonts w:ascii="Times New Roman" w:hAnsi="Times New Roman" w:cs="Times New Roman"/>
                <w:color w:val="auto"/>
                <w:sz w:val="24"/>
              </w:rPr>
              <w:t>签约代表：</w:t>
            </w:r>
          </w:p>
          <w:p>
            <w:pPr>
              <w:widowControl w:val="0"/>
              <w:adjustRightInd w:val="0"/>
              <w:snapToGrid w:val="0"/>
              <w:spacing w:line="560" w:lineRule="exact"/>
              <w:jc w:val="both"/>
              <w:textAlignment w:val="baseline"/>
              <w:rPr>
                <w:rFonts w:ascii="Times New Roman" w:hAnsi="Times New Roman" w:cs="Times New Roman"/>
                <w:color w:val="auto"/>
                <w:sz w:val="24"/>
              </w:rPr>
            </w:pPr>
            <w:r>
              <w:rPr>
                <w:rFonts w:ascii="Times New Roman" w:hAnsi="Times New Roman" w:cs="Times New Roman"/>
                <w:color w:val="auto"/>
                <w:sz w:val="24"/>
              </w:rPr>
              <w:t>联系电话：</w:t>
            </w:r>
          </w:p>
          <w:p>
            <w:pPr>
              <w:widowControl w:val="0"/>
              <w:adjustRightInd w:val="0"/>
              <w:snapToGrid w:val="0"/>
              <w:spacing w:line="560" w:lineRule="exact"/>
              <w:jc w:val="right"/>
              <w:textAlignment w:val="baseline"/>
              <w:rPr>
                <w:rFonts w:ascii="Times New Roman" w:hAnsi="Times New Roman" w:cs="Times New Roman"/>
                <w:color w:val="auto"/>
                <w:sz w:val="24"/>
              </w:rPr>
            </w:pPr>
            <w:r>
              <w:rPr>
                <w:rFonts w:ascii="Times New Roman" w:hAnsi="Times New Roman" w:cs="Times New Roman"/>
                <w:color w:val="auto"/>
                <w:sz w:val="24"/>
              </w:rPr>
              <w:t>年</w:t>
            </w:r>
            <w:r>
              <w:rPr>
                <w:rFonts w:hint="eastAsia" w:ascii="Times New Roman" w:hAnsi="Times New Roman" w:cs="Times New Roman"/>
                <w:color w:val="auto"/>
                <w:sz w:val="24"/>
              </w:rPr>
              <w:t xml:space="preserve">        </w:t>
            </w:r>
            <w:r>
              <w:rPr>
                <w:rFonts w:ascii="Times New Roman" w:hAnsi="Times New Roman" w:cs="Times New Roman"/>
                <w:color w:val="auto"/>
                <w:sz w:val="24"/>
              </w:rPr>
              <w:t>月</w:t>
            </w:r>
            <w:r>
              <w:rPr>
                <w:rFonts w:hint="eastAsia" w:ascii="Times New Roman" w:hAnsi="Times New Roman" w:cs="Times New Roman"/>
                <w:color w:val="auto"/>
                <w:sz w:val="24"/>
              </w:rPr>
              <w:t xml:space="preserve">      </w:t>
            </w:r>
            <w:r>
              <w:rPr>
                <w:rFonts w:ascii="Times New Roman" w:hAnsi="Times New Roman" w:cs="Times New Roman"/>
                <w:color w:val="auto"/>
                <w:sz w:val="24"/>
              </w:rPr>
              <w:t>日</w:t>
            </w:r>
          </w:p>
        </w:tc>
      </w:tr>
    </w:tbl>
    <w:p>
      <w:pPr>
        <w:spacing w:line="560" w:lineRule="exact"/>
        <w:ind w:firstLine="1560" w:firstLineChars="650"/>
        <w:rPr>
          <w:rFonts w:ascii="Times New Roman" w:hAnsi="Times New Roman" w:cs="Times New Roman"/>
          <w:color w:val="auto"/>
          <w:kern w:val="0"/>
          <w:sz w:val="24"/>
        </w:rPr>
      </w:pPr>
    </w:p>
    <w:p>
      <w:pPr>
        <w:spacing w:line="360" w:lineRule="auto"/>
        <w:rPr>
          <w:rFonts w:ascii="Times New Roman" w:hAnsi="Times New Roman" w:cs="Times New Roman"/>
          <w:b/>
          <w:bCs/>
          <w:color w:val="auto"/>
          <w:szCs w:val="21"/>
        </w:rPr>
      </w:pPr>
    </w:p>
    <w:p>
      <w:pPr>
        <w:spacing w:line="360" w:lineRule="auto"/>
        <w:rPr>
          <w:rFonts w:ascii="Times New Roman" w:hAnsi="Times New Roman" w:cs="Times New Roman"/>
          <w:b/>
          <w:bCs/>
          <w:color w:val="auto"/>
          <w:szCs w:val="21"/>
        </w:rPr>
      </w:pPr>
    </w:p>
    <w:p>
      <w:pPr>
        <w:spacing w:line="360" w:lineRule="auto"/>
        <w:rPr>
          <w:rFonts w:ascii="Times New Roman" w:hAnsi="Times New Roman" w:cs="Times New Roman"/>
          <w:b/>
          <w:bCs/>
          <w:color w:val="auto"/>
          <w:szCs w:val="21"/>
        </w:rPr>
      </w:pPr>
    </w:p>
    <w:p>
      <w:pPr>
        <w:spacing w:line="360" w:lineRule="auto"/>
        <w:rPr>
          <w:rFonts w:ascii="Times New Roman" w:hAnsi="Times New Roman" w:cs="Times New Roman"/>
          <w:color w:val="auto"/>
          <w:sz w:val="24"/>
        </w:rPr>
      </w:pPr>
      <w:r>
        <w:rPr>
          <w:rFonts w:ascii="Times New Roman" w:hAnsi="Times New Roman" w:cs="Times New Roman"/>
          <w:b/>
          <w:bCs/>
          <w:color w:val="auto"/>
          <w:szCs w:val="21"/>
        </w:rPr>
        <w:br w:type="page"/>
      </w:r>
      <w:r>
        <w:rPr>
          <w:rFonts w:hint="eastAsia" w:ascii="宋体" w:hAnsi="宋体" w:cs="宋体"/>
          <w:b/>
          <w:bCs/>
          <w:color w:val="auto"/>
          <w:szCs w:val="21"/>
        </w:rPr>
        <w:t>附件8：防疫管理协议书</w:t>
      </w:r>
    </w:p>
    <w:p>
      <w:pPr>
        <w:spacing w:line="440" w:lineRule="exact"/>
        <w:jc w:val="center"/>
        <w:rPr>
          <w:rFonts w:ascii="Times New Roman" w:hAnsi="Times New Roman" w:eastAsia="仿宋_GB2312" w:cs="Times New Roman"/>
          <w:b/>
          <w:bCs/>
          <w:color w:val="auto"/>
          <w:sz w:val="28"/>
          <w:szCs w:val="28"/>
        </w:rPr>
      </w:pPr>
      <w:r>
        <w:rPr>
          <w:rFonts w:ascii="Times New Roman" w:hAnsi="Times New Roman" w:eastAsia="仿宋_GB2312" w:cs="Times New Roman"/>
          <w:b/>
          <w:bCs/>
          <w:color w:val="auto"/>
          <w:sz w:val="28"/>
          <w:szCs w:val="28"/>
        </w:rPr>
        <w:t>防疫管理协议书</w:t>
      </w:r>
    </w:p>
    <w:p>
      <w:pPr>
        <w:spacing w:line="440" w:lineRule="exact"/>
        <w:rPr>
          <w:rFonts w:ascii="Times New Roman" w:hAnsi="Times New Roman" w:eastAsia="仿宋_GB2312" w:cs="Times New Roman"/>
          <w:color w:val="auto"/>
          <w:sz w:val="24"/>
        </w:rPr>
      </w:pPr>
    </w:p>
    <w:p>
      <w:pPr>
        <w:adjustRightInd w:val="0"/>
        <w:snapToGrid w:val="0"/>
        <w:spacing w:line="440" w:lineRule="exact"/>
        <w:ind w:firstLine="480" w:firstLineChars="200"/>
        <w:rPr>
          <w:rFonts w:ascii="Times New Roman" w:hAnsi="Times New Roman" w:eastAsia="仿宋_GB2312" w:cs="Times New Roman"/>
          <w:color w:val="auto"/>
          <w:sz w:val="24"/>
        </w:rPr>
      </w:pPr>
      <w:r>
        <w:rPr>
          <w:rFonts w:ascii="Times New Roman" w:hAnsi="Times New Roman" w:eastAsia="仿宋_GB2312" w:cs="Times New Roman"/>
          <w:color w:val="auto"/>
          <w:sz w:val="24"/>
        </w:rPr>
        <w:t>甲方：</w:t>
      </w:r>
      <w:r>
        <w:rPr>
          <w:rFonts w:ascii="Times New Roman" w:hAnsi="Times New Roman" w:eastAsia="仿宋_GB2312" w:cs="Times New Roman"/>
          <w:color w:val="auto"/>
          <w:sz w:val="24"/>
          <w:u w:val="single"/>
        </w:rPr>
        <w:t>广州市净水有限公司</w:t>
      </w:r>
    </w:p>
    <w:p>
      <w:pPr>
        <w:adjustRightInd w:val="0"/>
        <w:snapToGrid w:val="0"/>
        <w:spacing w:line="440" w:lineRule="exact"/>
        <w:ind w:firstLine="480" w:firstLineChars="200"/>
        <w:rPr>
          <w:rStyle w:val="26"/>
          <w:rFonts w:ascii="Times New Roman" w:hAnsi="Times New Roman" w:eastAsia="仿宋_GB2312" w:cs="Times New Roman"/>
          <w:b w:val="0"/>
          <w:color w:val="auto"/>
          <w:u w:val="single"/>
        </w:rPr>
      </w:pPr>
      <w:r>
        <w:rPr>
          <w:rFonts w:ascii="Times New Roman" w:hAnsi="Times New Roman" w:eastAsia="仿宋_GB2312" w:cs="Times New Roman"/>
          <w:color w:val="auto"/>
          <w:sz w:val="24"/>
        </w:rPr>
        <w:t>乙方:</w:t>
      </w:r>
      <w:r>
        <w:rPr>
          <w:rFonts w:ascii="Times New Roman" w:hAnsi="Times New Roman" w:eastAsia="仿宋" w:cs="Times New Roman"/>
          <w:color w:val="auto"/>
          <w:sz w:val="24"/>
          <w:u w:val="single"/>
        </w:rPr>
        <w:t>……</w:t>
      </w:r>
    </w:p>
    <w:p>
      <w:pPr>
        <w:spacing w:line="440" w:lineRule="exact"/>
        <w:ind w:firstLine="540" w:firstLineChars="225"/>
        <w:rPr>
          <w:rFonts w:ascii="Times New Roman" w:hAnsi="Times New Roman" w:eastAsia="仿宋_GB2312" w:cs="Times New Roman"/>
          <w:color w:val="auto"/>
          <w:kern w:val="0"/>
          <w:sz w:val="24"/>
          <w:szCs w:val="20"/>
        </w:rPr>
      </w:pPr>
      <w:r>
        <w:rPr>
          <w:rFonts w:ascii="Times New Roman" w:hAnsi="Times New Roman" w:eastAsia="仿宋_GB2312" w:cs="Times New Roman"/>
          <w:color w:val="auto"/>
          <w:kern w:val="0"/>
          <w:sz w:val="24"/>
          <w:szCs w:val="20"/>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一、本协议与主协议的关系</w:t>
      </w:r>
    </w:p>
    <w:p>
      <w:pPr>
        <w:adjustRightInd w:val="0"/>
        <w:snapToGrid w:val="0"/>
        <w:spacing w:line="440" w:lineRule="exact"/>
        <w:ind w:left="105" w:firstLine="480" w:firstLineChars="200"/>
        <w:rPr>
          <w:rFonts w:ascii="Times New Roman" w:hAnsi="Times New Roman" w:eastAsia="仿宋_GB2312" w:cs="Times New Roman"/>
          <w:color w:val="auto"/>
          <w:sz w:val="24"/>
        </w:rPr>
      </w:pPr>
      <w:r>
        <w:rPr>
          <w:rFonts w:ascii="Times New Roman" w:hAnsi="Times New Roman" w:eastAsia="仿宋_GB2312" w:cs="Times New Roman"/>
          <w:color w:val="auto"/>
          <w:sz w:val="24"/>
        </w:rPr>
        <w:t>本协议作为</w:t>
      </w:r>
      <w:r>
        <w:rPr>
          <w:rFonts w:ascii="Times New Roman" w:hAnsi="Times New Roman" w:eastAsia="仿宋_GB2312" w:cs="Times New Roman"/>
          <w:bCs/>
          <w:color w:val="auto"/>
          <w:sz w:val="24"/>
          <w:u w:val="single"/>
        </w:rPr>
        <w:t xml:space="preserve"> 广州市净水有限公司在线监测</w:t>
      </w:r>
      <w:r>
        <w:rPr>
          <w:rFonts w:hint="eastAsia" w:ascii="Times New Roman" w:hAnsi="Times New Roman" w:eastAsia="仿宋_GB2312" w:cs="Times New Roman"/>
          <w:bCs/>
          <w:color w:val="auto"/>
          <w:sz w:val="24"/>
          <w:u w:val="single"/>
        </w:rPr>
        <w:t>数据智慧管理系统</w:t>
      </w:r>
      <w:r>
        <w:rPr>
          <w:rFonts w:ascii="Times New Roman" w:hAnsi="Times New Roman" w:eastAsia="仿宋_GB2312" w:cs="Times New Roman"/>
          <w:bCs/>
          <w:color w:val="auto"/>
          <w:sz w:val="24"/>
          <w:u w:val="single"/>
        </w:rPr>
        <w:t xml:space="preserve">采购项目 </w:t>
      </w:r>
      <w:r>
        <w:rPr>
          <w:rFonts w:ascii="Times New Roman" w:hAnsi="Times New Roman" w:eastAsia="仿宋_GB2312" w:cs="Times New Roman"/>
          <w:color w:val="auto"/>
          <w:sz w:val="24"/>
        </w:rPr>
        <w:t>的组成部分，与主合同具有同等法律</w:t>
      </w:r>
    </w:p>
    <w:p>
      <w:pPr>
        <w:adjustRightInd w:val="0"/>
        <w:snapToGrid w:val="0"/>
        <w:spacing w:line="44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二、甲方的义务</w:t>
      </w:r>
    </w:p>
    <w:p>
      <w:pPr>
        <w:spacing w:line="440" w:lineRule="exact"/>
        <w:ind w:firstLine="540" w:firstLineChars="225"/>
        <w:rPr>
          <w:rFonts w:ascii="Times New Roman" w:hAnsi="Times New Roman" w:eastAsia="仿宋_GB2312" w:cs="Times New Roman"/>
          <w:color w:val="auto"/>
          <w:kern w:val="0"/>
          <w:sz w:val="24"/>
          <w:szCs w:val="20"/>
        </w:rPr>
      </w:pPr>
      <w:r>
        <w:rPr>
          <w:rFonts w:ascii="Times New Roman" w:hAnsi="Times New Roman" w:eastAsia="仿宋_GB2312" w:cs="Times New Roman"/>
          <w:color w:val="auto"/>
          <w:kern w:val="0"/>
          <w:sz w:val="24"/>
          <w:szCs w:val="20"/>
        </w:rPr>
        <w:t>（一）与建设主管部门和属地疫情防控指挥部门形成联防联控机制，建立快速有效的处置工作流程。</w:t>
      </w:r>
    </w:p>
    <w:p>
      <w:pPr>
        <w:spacing w:line="440" w:lineRule="exact"/>
        <w:ind w:firstLine="540" w:firstLineChars="225"/>
        <w:rPr>
          <w:rFonts w:ascii="Times New Roman" w:hAnsi="Times New Roman" w:eastAsia="仿宋_GB2312" w:cs="Times New Roman"/>
          <w:color w:val="auto"/>
          <w:sz w:val="24"/>
        </w:rPr>
      </w:pPr>
      <w:r>
        <w:rPr>
          <w:rFonts w:ascii="Times New Roman" w:hAnsi="Times New Roman" w:eastAsia="仿宋_GB2312" w:cs="Times New Roman"/>
          <w:color w:val="auto"/>
          <w:kern w:val="0"/>
          <w:sz w:val="24"/>
          <w:szCs w:val="20"/>
        </w:rPr>
        <w:t>（二）对乙方防控工作的落实情况进行监督。</w:t>
      </w:r>
    </w:p>
    <w:p>
      <w:pPr>
        <w:adjustRightInd w:val="0"/>
        <w:snapToGrid w:val="0"/>
        <w:spacing w:line="44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三、乙方的义务</w:t>
      </w:r>
    </w:p>
    <w:p>
      <w:pPr>
        <w:pStyle w:val="7"/>
        <w:spacing w:line="440" w:lineRule="exact"/>
        <w:rPr>
          <w:rFonts w:eastAsia="仿宋_GB2312"/>
          <w:color w:val="auto"/>
          <w:sz w:val="24"/>
        </w:rPr>
      </w:pPr>
      <w:r>
        <w:rPr>
          <w:rFonts w:eastAsia="仿宋_GB2312"/>
          <w:color w:val="auto"/>
          <w:sz w:val="24"/>
        </w:rPr>
        <w:t>（一）开展疫情防控宣传教育，提高</w:t>
      </w:r>
      <w:r>
        <w:rPr>
          <w:rFonts w:eastAsia="仿宋"/>
          <w:color w:val="auto"/>
          <w:sz w:val="24"/>
        </w:rPr>
        <w:t>乙方</w:t>
      </w:r>
      <w:r>
        <w:rPr>
          <w:rFonts w:eastAsia="仿宋_GB2312"/>
          <w:color w:val="auto"/>
          <w:sz w:val="24"/>
        </w:rPr>
        <w:t>人员自我防护意识，最大限度减少人员暴露和感染的风险。</w:t>
      </w:r>
    </w:p>
    <w:p>
      <w:pPr>
        <w:pStyle w:val="7"/>
        <w:spacing w:line="440" w:lineRule="exact"/>
        <w:ind w:firstLine="480" w:firstLineChars="200"/>
        <w:rPr>
          <w:rFonts w:eastAsia="仿宋_GB2312"/>
          <w:color w:val="auto"/>
          <w:sz w:val="24"/>
        </w:rPr>
      </w:pPr>
      <w:r>
        <w:rPr>
          <w:rFonts w:eastAsia="仿宋_GB2312"/>
          <w:color w:val="auto"/>
          <w:sz w:val="24"/>
        </w:rPr>
        <w:t>（二）做好乙方人员防控工作管理，及时提交防疫资料，落实疫情防控备案，必要时需编制防控管理工作方案</w:t>
      </w:r>
      <w:r>
        <w:rPr>
          <w:rFonts w:eastAsia="仿宋_GB2312"/>
          <w:color w:val="auto"/>
          <w:sz w:val="32"/>
          <w:szCs w:val="32"/>
        </w:rPr>
        <w:t>。</w:t>
      </w:r>
    </w:p>
    <w:p>
      <w:pPr>
        <w:adjustRightInd w:val="0"/>
        <w:snapToGrid w:val="0"/>
        <w:spacing w:line="44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    （三）乙方人员须按照甲方各厂区进厂门岗防控要求进行疫苗接种及核酸检测，未满足相关要求的人员甲方有权限制进入厂区。</w:t>
      </w:r>
    </w:p>
    <w:p>
      <w:pPr>
        <w:pStyle w:val="7"/>
        <w:spacing w:line="440" w:lineRule="exact"/>
        <w:rPr>
          <w:rFonts w:eastAsia="仿宋_GB2312"/>
          <w:color w:val="auto"/>
          <w:sz w:val="24"/>
        </w:rPr>
      </w:pPr>
      <w:r>
        <w:rPr>
          <w:rFonts w:eastAsia="仿宋_GB2312"/>
          <w:color w:val="auto"/>
          <w:sz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rPr>
          <w:rFonts w:ascii="Times New Roman" w:hAnsi="Times New Roman" w:cs="Times New Roman"/>
          <w:color w:val="auto"/>
        </w:rPr>
      </w:pPr>
      <w:r>
        <w:rPr>
          <w:rFonts w:ascii="Times New Roman" w:hAnsi="Times New Roman" w:eastAsia="仿宋_GB2312" w:cs="Times New Roman"/>
          <w:color w:val="auto"/>
          <w:sz w:val="24"/>
        </w:rPr>
        <w:t>（五）各级政府、有关部门及甲方的其他</w:t>
      </w:r>
      <w:r>
        <w:rPr>
          <w:rFonts w:ascii="Times New Roman" w:hAnsi="Times New Roman" w:eastAsia="仿宋" w:cs="Times New Roman"/>
          <w:color w:val="auto"/>
          <w:sz w:val="24"/>
        </w:rPr>
        <w:t>防控要求</w:t>
      </w:r>
      <w:r>
        <w:rPr>
          <w:rFonts w:ascii="Times New Roman" w:hAnsi="Times New Roman" w:eastAsia="仿宋_GB2312" w:cs="Times New Roman"/>
          <w:color w:val="auto"/>
          <w:sz w:val="24"/>
        </w:rPr>
        <w:t>。</w:t>
      </w:r>
    </w:p>
    <w:p>
      <w:pPr>
        <w:adjustRightInd w:val="0"/>
        <w:snapToGrid w:val="0"/>
        <w:spacing w:line="44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四、违约责任</w:t>
      </w:r>
    </w:p>
    <w:p>
      <w:pPr>
        <w:adjustRightInd w:val="0"/>
        <w:snapToGrid w:val="0"/>
        <w:spacing w:line="440" w:lineRule="exact"/>
        <w:ind w:left="105" w:firstLine="480" w:firstLineChars="200"/>
        <w:rPr>
          <w:rFonts w:ascii="Times New Roman" w:hAnsi="Times New Roman" w:eastAsia="仿宋_GB2312" w:cs="Times New Roman"/>
          <w:color w:val="auto"/>
          <w:sz w:val="24"/>
        </w:rPr>
      </w:pPr>
      <w:r>
        <w:rPr>
          <w:rFonts w:ascii="Times New Roman" w:hAnsi="Times New Roman" w:eastAsia="仿宋_GB2312" w:cs="Times New Roman"/>
          <w:color w:val="auto"/>
          <w:sz w:val="24"/>
        </w:rPr>
        <w:t>乙方需按照甲方服务要求执行，未达到疫情防控要求的，需按下列条款执行：</w:t>
      </w:r>
    </w:p>
    <w:p>
      <w:pPr>
        <w:adjustRightInd w:val="0"/>
        <w:snapToGrid w:val="0"/>
        <w:spacing w:line="440" w:lineRule="exact"/>
        <w:ind w:left="105" w:firstLine="480" w:firstLineChars="200"/>
        <w:rPr>
          <w:rFonts w:ascii="Times New Roman" w:hAnsi="Times New Roman" w:eastAsia="仿宋_GB2312" w:cs="Times New Roman"/>
          <w:color w:val="auto"/>
          <w:sz w:val="24"/>
        </w:rPr>
      </w:pPr>
      <w:r>
        <w:rPr>
          <w:rFonts w:ascii="Times New Roman" w:hAnsi="Times New Roman" w:eastAsia="仿宋_GB2312" w:cs="Times New Roman"/>
          <w:color w:val="auto"/>
          <w:sz w:val="24"/>
        </w:rPr>
        <w:t>（一）乙方人员及其亲属有重点区域、重点场所旅居史未报备的，每发现一人，从乙方当月服务费中扣500元；</w:t>
      </w:r>
    </w:p>
    <w:p>
      <w:pPr>
        <w:adjustRightInd w:val="0"/>
        <w:snapToGrid w:val="0"/>
        <w:spacing w:line="440" w:lineRule="exact"/>
        <w:ind w:left="105" w:firstLine="480" w:firstLineChars="200"/>
        <w:rPr>
          <w:rFonts w:ascii="Times New Roman" w:hAnsi="Times New Roman" w:eastAsia="仿宋_GB2312" w:cs="Times New Roman"/>
          <w:color w:val="auto"/>
          <w:sz w:val="24"/>
        </w:rPr>
      </w:pPr>
      <w:r>
        <w:rPr>
          <w:rFonts w:ascii="Times New Roman" w:hAnsi="Times New Roman" w:eastAsia="仿宋_GB2312" w:cs="Times New Roman"/>
          <w:color w:val="auto"/>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rPr>
          <w:rFonts w:ascii="Times New Roman" w:hAnsi="Times New Roman" w:eastAsia="仿宋_GB2312" w:cs="Times New Roman"/>
          <w:color w:val="auto"/>
          <w:sz w:val="24"/>
        </w:rPr>
      </w:pPr>
      <w:r>
        <w:rPr>
          <w:rFonts w:ascii="Times New Roman" w:hAnsi="Times New Roman" w:eastAsia="仿宋_GB2312" w:cs="Times New Roman"/>
          <w:color w:val="auto"/>
          <w:sz w:val="24"/>
        </w:rPr>
        <w:t>（三）乙方</w:t>
      </w:r>
      <w:r>
        <w:rPr>
          <w:rFonts w:ascii="Times New Roman" w:hAnsi="Times New Roman" w:eastAsia="仿宋" w:cs="Times New Roman"/>
          <w:color w:val="auto"/>
          <w:sz w:val="24"/>
        </w:rPr>
        <w:t>项目维修施工</w:t>
      </w:r>
      <w:r>
        <w:rPr>
          <w:rFonts w:ascii="Times New Roman" w:hAnsi="Times New Roman" w:eastAsia="仿宋_GB2312" w:cs="Times New Roman"/>
          <w:color w:val="auto"/>
          <w:sz w:val="24"/>
        </w:rPr>
        <w:t>人员拒不配合甲方疫情防控要求或不满足甲方防疫工作要求的，甲方有权要求乙方3天内更换服务人员。</w:t>
      </w:r>
    </w:p>
    <w:p>
      <w:pPr>
        <w:adjustRightInd w:val="0"/>
        <w:snapToGrid w:val="0"/>
        <w:spacing w:line="440" w:lineRule="exact"/>
        <w:rPr>
          <w:rFonts w:ascii="Times New Roman" w:hAnsi="Times New Roman" w:eastAsia="仿宋_GB2312" w:cs="Times New Roman"/>
          <w:color w:val="auto"/>
          <w:sz w:val="24"/>
        </w:rPr>
      </w:pPr>
    </w:p>
    <w:p>
      <w:pPr>
        <w:pStyle w:val="36"/>
        <w:spacing w:line="440" w:lineRule="exact"/>
        <w:rPr>
          <w:rFonts w:ascii="Times New Roman" w:hAnsi="Times New Roman" w:eastAsia="仿宋_GB2312"/>
          <w:color w:val="auto"/>
          <w:sz w:val="24"/>
        </w:rPr>
      </w:pPr>
      <w:r>
        <w:rPr>
          <w:rFonts w:ascii="Times New Roman" w:hAnsi="Times New Roman" w:eastAsia="仿宋_GB2312"/>
          <w:color w:val="auto"/>
          <w:sz w:val="24"/>
        </w:rPr>
        <w:t>五、补充条款：</w:t>
      </w:r>
      <w:r>
        <w:rPr>
          <w:rFonts w:ascii="Times New Roman" w:hAnsi="Times New Roman" w:eastAsia="仿宋_GB2312"/>
          <w:color w:val="auto"/>
          <w:sz w:val="24"/>
          <w:u w:val="single"/>
        </w:rPr>
        <w:t xml:space="preserve">         /       </w:t>
      </w:r>
      <w:r>
        <w:rPr>
          <w:rFonts w:ascii="Times New Roman" w:hAnsi="Times New Roman" w:eastAsia="仿宋_GB2312"/>
          <w:color w:val="auto"/>
          <w:sz w:val="24"/>
        </w:rPr>
        <w:t>。</w:t>
      </w:r>
    </w:p>
    <w:p>
      <w:pPr>
        <w:adjustRightInd w:val="0"/>
        <w:snapToGrid w:val="0"/>
        <w:spacing w:line="44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六、附则</w:t>
      </w:r>
    </w:p>
    <w:p>
      <w:pPr>
        <w:adjustRightInd w:val="0"/>
        <w:snapToGrid w:val="0"/>
        <w:spacing w:line="440" w:lineRule="exact"/>
        <w:ind w:firstLine="480" w:firstLineChars="200"/>
        <w:rPr>
          <w:rFonts w:ascii="Times New Roman" w:hAnsi="Times New Roman" w:eastAsia="仿宋_GB2312" w:cs="Times New Roman"/>
          <w:color w:val="auto"/>
          <w:sz w:val="24"/>
        </w:rPr>
      </w:pPr>
      <w:r>
        <w:rPr>
          <w:rFonts w:ascii="Times New Roman" w:hAnsi="Times New Roman" w:eastAsia="仿宋_GB2312" w:cs="Times New Roman"/>
          <w:color w:val="auto"/>
          <w:sz w:val="24"/>
        </w:rPr>
        <w:t>本协议与合同同时签订、同时终止、同时生效，具有相同的法律效力。合同由甲乙双方签字、盖章生效，甲乙双方各份。</w:t>
      </w:r>
    </w:p>
    <w:p>
      <w:pPr>
        <w:adjustRightInd w:val="0"/>
        <w:snapToGrid w:val="0"/>
        <w:spacing w:line="440" w:lineRule="exact"/>
        <w:rPr>
          <w:rFonts w:ascii="Times New Roman" w:hAnsi="Times New Roman" w:eastAsia="仿宋_GB2312" w:cs="Times New Roman"/>
          <w:color w:val="auto"/>
          <w:sz w:val="24"/>
        </w:rPr>
      </w:pPr>
    </w:p>
    <w:p>
      <w:pPr>
        <w:adjustRightInd w:val="0"/>
        <w:snapToGrid w:val="0"/>
        <w:spacing w:line="440" w:lineRule="exact"/>
        <w:ind w:left="1330" w:leftChars="5" w:hanging="1320" w:hangingChars="550"/>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甲方代表 （章）：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    乙方代表（章）：                                                           　　              　　　　　　　</w:t>
      </w:r>
    </w:p>
    <w:p>
      <w:pPr>
        <w:adjustRightInd w:val="0"/>
        <w:snapToGrid w:val="0"/>
        <w:spacing w:line="44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      年 　月　  日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   年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月  　日</w:t>
      </w:r>
    </w:p>
    <w:p>
      <w:pPr>
        <w:rPr>
          <w:rFonts w:ascii="Times New Roman" w:hAnsi="Times New Roman" w:cs="Times New Roman"/>
          <w:color w:val="auto"/>
          <w:sz w:val="24"/>
        </w:rPr>
      </w:pPr>
    </w:p>
    <w:p>
      <w:pPr>
        <w:spacing w:line="560" w:lineRule="exact"/>
        <w:rPr>
          <w:rFonts w:hint="eastAsia" w:ascii="宋体" w:hAnsi="宋体" w:cs="宋体"/>
          <w:b/>
          <w:bCs/>
          <w:color w:val="auto"/>
          <w:szCs w:val="21"/>
        </w:rPr>
      </w:pPr>
    </w:p>
    <w:p>
      <w:pPr>
        <w:spacing w:line="560" w:lineRule="exact"/>
        <w:rPr>
          <w:rFonts w:hint="eastAsia" w:ascii="宋体" w:hAnsi="宋体" w:cs="宋体"/>
          <w:b/>
          <w:bCs/>
          <w:color w:val="auto"/>
          <w:szCs w:val="21"/>
        </w:rPr>
      </w:pPr>
    </w:p>
    <w:p>
      <w:pPr>
        <w:spacing w:line="560" w:lineRule="exact"/>
        <w:rPr>
          <w:rFonts w:hint="eastAsia" w:ascii="宋体" w:hAnsi="宋体" w:cs="宋体"/>
          <w:b/>
          <w:bCs/>
          <w:color w:val="auto"/>
          <w:szCs w:val="21"/>
        </w:rPr>
      </w:pPr>
    </w:p>
    <w:p>
      <w:pPr>
        <w:spacing w:line="560" w:lineRule="exact"/>
        <w:rPr>
          <w:rFonts w:hint="eastAsia" w:ascii="宋体" w:hAnsi="宋体" w:cs="宋体"/>
          <w:b/>
          <w:bCs/>
          <w:color w:val="auto"/>
          <w:szCs w:val="21"/>
        </w:rPr>
      </w:pPr>
    </w:p>
    <w:p>
      <w:pPr>
        <w:spacing w:line="560" w:lineRule="exact"/>
        <w:rPr>
          <w:rFonts w:hint="eastAsia" w:ascii="宋体" w:hAnsi="宋体" w:cs="宋体"/>
          <w:b/>
          <w:bCs/>
          <w:color w:val="auto"/>
          <w:szCs w:val="21"/>
        </w:rPr>
      </w:pPr>
    </w:p>
    <w:p>
      <w:pPr>
        <w:spacing w:line="560" w:lineRule="exact"/>
        <w:rPr>
          <w:rFonts w:hint="eastAsia" w:ascii="宋体" w:hAnsi="宋体" w:cs="宋体"/>
          <w:b/>
          <w:bCs/>
          <w:color w:val="auto"/>
          <w:szCs w:val="21"/>
        </w:rPr>
      </w:pPr>
    </w:p>
    <w:p>
      <w:pPr>
        <w:spacing w:line="560" w:lineRule="exact"/>
        <w:rPr>
          <w:rFonts w:hint="eastAsia" w:ascii="宋体" w:hAnsi="宋体" w:cs="宋体"/>
          <w:b/>
          <w:bCs/>
          <w:color w:val="auto"/>
          <w:szCs w:val="21"/>
        </w:rPr>
      </w:pPr>
    </w:p>
    <w:p>
      <w:pPr>
        <w:pStyle w:val="2"/>
        <w:rPr>
          <w:rFonts w:hint="eastAsia" w:ascii="宋体" w:hAnsi="宋体" w:cs="宋体"/>
          <w:b/>
          <w:bCs/>
          <w:color w:val="auto"/>
          <w:szCs w:val="21"/>
        </w:rPr>
      </w:pPr>
    </w:p>
    <w:p>
      <w:pPr>
        <w:pStyle w:val="3"/>
        <w:rPr>
          <w:rFonts w:hint="eastAsia" w:ascii="宋体" w:hAnsi="宋体" w:cs="宋体"/>
          <w:b/>
          <w:bCs/>
          <w:color w:val="auto"/>
          <w:szCs w:val="21"/>
        </w:rPr>
      </w:pPr>
    </w:p>
    <w:p>
      <w:pPr>
        <w:pStyle w:val="3"/>
        <w:rPr>
          <w:rFonts w:hint="eastAsia" w:ascii="宋体" w:hAnsi="宋体" w:cs="宋体"/>
          <w:b/>
          <w:bCs/>
          <w:color w:val="auto"/>
          <w:szCs w:val="21"/>
        </w:rPr>
      </w:pPr>
    </w:p>
    <w:p>
      <w:pPr>
        <w:spacing w:line="560" w:lineRule="exact"/>
        <w:rPr>
          <w:rFonts w:ascii="Times New Roman" w:hAnsi="Times New Roman" w:eastAsia="仿宋_GB2312" w:cs="Times New Roman"/>
          <w:b/>
          <w:color w:val="auto"/>
          <w:spacing w:val="100"/>
          <w:w w:val="110"/>
          <w:kern w:val="0"/>
          <w:sz w:val="28"/>
          <w:szCs w:val="28"/>
        </w:rPr>
      </w:pPr>
      <w:r>
        <w:rPr>
          <w:rFonts w:hint="eastAsia" w:ascii="宋体" w:hAnsi="宋体" w:cs="宋体"/>
          <w:b/>
          <w:bCs/>
          <w:color w:val="auto"/>
          <w:szCs w:val="21"/>
        </w:rPr>
        <w:t>附件9 安全管理协议书</w:t>
      </w:r>
    </w:p>
    <w:p>
      <w:pPr>
        <w:spacing w:line="560" w:lineRule="exact"/>
        <w:jc w:val="center"/>
        <w:rPr>
          <w:rFonts w:ascii="Times New Roman" w:hAnsi="Times New Roman" w:eastAsia="黑体" w:cs="Times New Roman"/>
          <w:bCs/>
          <w:color w:val="auto"/>
          <w:kern w:val="0"/>
          <w:sz w:val="44"/>
          <w:szCs w:val="44"/>
        </w:rPr>
      </w:pPr>
      <w:r>
        <w:rPr>
          <w:rFonts w:ascii="Times New Roman" w:hAnsi="Times New Roman" w:eastAsia="黑体" w:cs="Times New Roman"/>
          <w:bCs/>
          <w:color w:val="auto"/>
          <w:kern w:val="0"/>
          <w:sz w:val="44"/>
          <w:szCs w:val="44"/>
        </w:rPr>
        <w:t>物品采购安全协议书</w:t>
      </w:r>
    </w:p>
    <w:p>
      <w:pPr>
        <w:spacing w:line="560" w:lineRule="exact"/>
        <w:rPr>
          <w:rFonts w:ascii="Times New Roman" w:hAnsi="Times New Roman" w:cs="Times New Roman"/>
          <w:color w:val="auto"/>
          <w:kern w:val="0"/>
          <w:sz w:val="24"/>
        </w:rPr>
      </w:pP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甲方：</w:t>
      </w:r>
      <w:r>
        <w:rPr>
          <w:rFonts w:ascii="Times New Roman" w:hAnsi="Times New Roman" w:cs="Times New Roman"/>
          <w:color w:val="auto"/>
          <w:sz w:val="24"/>
        </w:rPr>
        <w:t>广州市净水有限公司</w:t>
      </w: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 xml:space="preserve">乙方： </w:t>
      </w:r>
    </w:p>
    <w:p>
      <w:pPr>
        <w:spacing w:line="560" w:lineRule="exact"/>
        <w:rPr>
          <w:rFonts w:ascii="Times New Roman" w:hAnsi="Times New Roman" w:cs="Times New Roman"/>
          <w:color w:val="auto"/>
          <w:kern w:val="0"/>
          <w:sz w:val="24"/>
        </w:rPr>
      </w:pP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为加强物品采购过程安全管理，根据《中华人民共和国安全生产法》、《生产安全事故报告和调查处理条例》等国家及地方有关安全生产法律法规，甲乙双方就物品采购的安全事宜，</w:t>
      </w:r>
      <w:r>
        <w:rPr>
          <w:rFonts w:ascii="Times New Roman" w:hAnsi="Times New Roman" w:cs="Times New Roman"/>
          <w:color w:val="auto"/>
          <w:sz w:val="24"/>
        </w:rPr>
        <w:t>经双方友好协商，达成如下协议</w:t>
      </w:r>
      <w:r>
        <w:rPr>
          <w:rFonts w:ascii="Times New Roman" w:hAnsi="Times New Roman" w:cs="Times New Roman"/>
          <w:color w:val="auto"/>
          <w:kern w:val="0"/>
          <w:sz w:val="24"/>
        </w:rPr>
        <w:t>。</w:t>
      </w:r>
    </w:p>
    <w:p>
      <w:pPr>
        <w:adjustRightInd w:val="0"/>
        <w:snapToGrid w:val="0"/>
        <w:spacing w:line="560" w:lineRule="exact"/>
        <w:ind w:firstLine="480" w:firstLineChars="200"/>
        <w:rPr>
          <w:rFonts w:ascii="Times New Roman" w:hAnsi="Times New Roman" w:eastAsia="等线" w:cs="Times New Roman"/>
          <w:b/>
          <w:color w:val="auto"/>
          <w:sz w:val="24"/>
        </w:rPr>
      </w:pPr>
      <w:r>
        <w:rPr>
          <w:rFonts w:ascii="Times New Roman" w:hAnsi="Times New Roman" w:eastAsia="等线" w:cs="Times New Roman"/>
          <w:b/>
          <w:color w:val="auto"/>
          <w:sz w:val="24"/>
        </w:rPr>
        <w:t>一、本协议与主合同的关系</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本协议作为</w:t>
      </w:r>
      <w:r>
        <w:rPr>
          <w:rFonts w:ascii="Times New Roman" w:hAnsi="Times New Roman" w:cs="Times New Roman"/>
          <w:color w:val="auto"/>
          <w:kern w:val="0"/>
          <w:sz w:val="24"/>
          <w:u w:val="single"/>
        </w:rPr>
        <w:t xml:space="preserve"> 广州市净水有限公司在线监测</w:t>
      </w:r>
      <w:r>
        <w:rPr>
          <w:rFonts w:hint="eastAsia" w:ascii="Times New Roman" w:hAnsi="Times New Roman" w:cs="Times New Roman"/>
          <w:color w:val="auto"/>
          <w:kern w:val="0"/>
          <w:sz w:val="24"/>
          <w:u w:val="single"/>
        </w:rPr>
        <w:t>数据智慧管理系统</w:t>
      </w:r>
      <w:r>
        <w:rPr>
          <w:rFonts w:ascii="Times New Roman" w:hAnsi="Times New Roman" w:cs="Times New Roman"/>
          <w:color w:val="auto"/>
          <w:kern w:val="0"/>
          <w:sz w:val="24"/>
          <w:u w:val="single"/>
        </w:rPr>
        <w:t>采购项目</w:t>
      </w:r>
      <w:r>
        <w:rPr>
          <w:rFonts w:ascii="Times New Roman" w:hAnsi="Times New Roman" w:cs="Times New Roman"/>
          <w:color w:val="auto"/>
          <w:kern w:val="0"/>
          <w:sz w:val="24"/>
        </w:rPr>
        <w:t>的组成部分，与主合同具有同等法律效力。</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二、甲方权责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（一）甲方进行物品采购时，应贯彻落实国家、地方有关安全管理的法律法规和规章制度。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（五）告知乙方在甲方应当遵守的安全管理要求。</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三、乙方权责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（六）人员管理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乙方聘请其他单位运输的，乙方应对运输单位的安全管理负责。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Times New Roman" w:hAnsi="Times New Roman" w:cs="Times New Roman"/>
          <w:color w:val="auto"/>
          <w:kern w:val="0"/>
          <w:sz w:val="24"/>
          <w:u w:val="single"/>
        </w:rPr>
        <w:t xml:space="preserve">      </w:t>
      </w:r>
      <w:r>
        <w:rPr>
          <w:rFonts w:ascii="Times New Roman" w:hAnsi="Times New Roman" w:cs="Times New Roman"/>
          <w:color w:val="auto"/>
          <w:kern w:val="0"/>
          <w:sz w:val="24"/>
        </w:rPr>
        <w:t>元/次。</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（七）发生事故时，乙方须立即报警处理，乙方在力所能及范围内采取补救措施，并在30分钟内将情况报告甲方。</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（十）乙方委托的第三方运输单位或个人，违反本协议的，全部责任均由乙方承担。</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四、补充条款：                 。</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五、附则</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（一）本协议未尽事宜，依据有关法律、法规、规章处理。法律、法规、规章没有明确规定的，经双方协商处理解决。</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Times New Roman" w:hAnsi="Times New Roman" w:eastAsia="等线" w:cs="Times New Roman"/>
          <w:color w:val="auto"/>
          <w:sz w:val="24"/>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Times New Roman" w:hAnsi="Times New Roman" w:eastAsia="等线" w:cs="Times New Roman"/>
                <w:color w:val="auto"/>
                <w:sz w:val="24"/>
              </w:rPr>
            </w:pPr>
            <w:r>
              <w:rPr>
                <w:rFonts w:ascii="Times New Roman" w:hAnsi="Times New Roman" w:eastAsia="等线" w:cs="Times New Roman"/>
                <w:color w:val="auto"/>
                <w:sz w:val="24"/>
              </w:rPr>
              <w:t>甲方：</w:t>
            </w:r>
          </w:p>
          <w:p>
            <w:pPr>
              <w:widowControl w:val="0"/>
              <w:adjustRightInd w:val="0"/>
              <w:snapToGrid w:val="0"/>
              <w:spacing w:line="560" w:lineRule="exact"/>
              <w:jc w:val="both"/>
              <w:textAlignment w:val="baseline"/>
              <w:rPr>
                <w:rFonts w:ascii="Times New Roman" w:hAnsi="Times New Roman" w:eastAsia="等线" w:cs="Times New Roman"/>
                <w:color w:val="auto"/>
                <w:sz w:val="24"/>
              </w:rPr>
            </w:pPr>
            <w:r>
              <w:rPr>
                <w:rFonts w:ascii="Times New Roman" w:hAnsi="Times New Roman" w:eastAsia="等线" w:cs="Times New Roman"/>
                <w:color w:val="auto"/>
                <w:sz w:val="24"/>
              </w:rPr>
              <w:t>签约代表：</w:t>
            </w:r>
          </w:p>
          <w:p>
            <w:pPr>
              <w:widowControl w:val="0"/>
              <w:adjustRightInd w:val="0"/>
              <w:snapToGrid w:val="0"/>
              <w:spacing w:line="560" w:lineRule="exact"/>
              <w:jc w:val="both"/>
              <w:textAlignment w:val="baseline"/>
              <w:rPr>
                <w:rFonts w:ascii="Times New Roman" w:hAnsi="Times New Roman" w:eastAsia="等线" w:cs="Times New Roman"/>
                <w:color w:val="auto"/>
                <w:sz w:val="24"/>
              </w:rPr>
            </w:pPr>
            <w:r>
              <w:rPr>
                <w:rFonts w:ascii="Times New Roman" w:hAnsi="Times New Roman" w:eastAsia="等线" w:cs="Times New Roman"/>
                <w:color w:val="auto"/>
                <w:sz w:val="24"/>
              </w:rPr>
              <w:t>联系电话：</w:t>
            </w:r>
          </w:p>
          <w:p>
            <w:pPr>
              <w:widowControl w:val="0"/>
              <w:adjustRightInd w:val="0"/>
              <w:snapToGrid w:val="0"/>
              <w:spacing w:line="560" w:lineRule="exact"/>
              <w:ind w:firstLine="240" w:firstLineChars="100"/>
              <w:jc w:val="right"/>
              <w:textAlignment w:val="baseline"/>
              <w:rPr>
                <w:rFonts w:ascii="Times New Roman" w:hAnsi="Times New Roman" w:eastAsia="等线" w:cs="Times New Roman"/>
                <w:color w:val="auto"/>
                <w:sz w:val="24"/>
              </w:rPr>
            </w:pPr>
            <w:r>
              <w:rPr>
                <w:rFonts w:ascii="Times New Roman" w:hAnsi="Times New Roman" w:eastAsia="等线" w:cs="Times New Roman"/>
                <w:color w:val="auto"/>
                <w:sz w:val="24"/>
              </w:rPr>
              <w:t>年    月    日</w:t>
            </w:r>
          </w:p>
        </w:tc>
        <w:tc>
          <w:tcPr>
            <w:tcW w:w="4474" w:type="dxa"/>
            <w:noWrap w:val="0"/>
            <w:vAlign w:val="top"/>
          </w:tcPr>
          <w:p>
            <w:pPr>
              <w:widowControl w:val="0"/>
              <w:adjustRightInd w:val="0"/>
              <w:snapToGrid w:val="0"/>
              <w:spacing w:line="560" w:lineRule="exact"/>
              <w:jc w:val="both"/>
              <w:textAlignment w:val="baseline"/>
              <w:rPr>
                <w:rFonts w:ascii="Times New Roman" w:hAnsi="Times New Roman" w:eastAsia="等线" w:cs="Times New Roman"/>
                <w:color w:val="auto"/>
                <w:sz w:val="24"/>
              </w:rPr>
            </w:pPr>
            <w:r>
              <w:rPr>
                <w:rFonts w:ascii="Times New Roman" w:hAnsi="Times New Roman" w:eastAsia="等线" w:cs="Times New Roman"/>
                <w:color w:val="auto"/>
                <w:sz w:val="24"/>
              </w:rPr>
              <w:t>乙方：</w:t>
            </w:r>
          </w:p>
          <w:p>
            <w:pPr>
              <w:widowControl w:val="0"/>
              <w:adjustRightInd w:val="0"/>
              <w:snapToGrid w:val="0"/>
              <w:spacing w:line="560" w:lineRule="exact"/>
              <w:jc w:val="both"/>
              <w:textAlignment w:val="baseline"/>
              <w:rPr>
                <w:rFonts w:ascii="Times New Roman" w:hAnsi="Times New Roman" w:eastAsia="等线" w:cs="Times New Roman"/>
                <w:color w:val="auto"/>
                <w:sz w:val="24"/>
              </w:rPr>
            </w:pPr>
            <w:r>
              <w:rPr>
                <w:rFonts w:ascii="Times New Roman" w:hAnsi="Times New Roman" w:eastAsia="等线" w:cs="Times New Roman"/>
                <w:color w:val="auto"/>
                <w:sz w:val="24"/>
              </w:rPr>
              <w:t>签约代表：</w:t>
            </w:r>
          </w:p>
          <w:p>
            <w:pPr>
              <w:widowControl w:val="0"/>
              <w:adjustRightInd w:val="0"/>
              <w:snapToGrid w:val="0"/>
              <w:spacing w:line="560" w:lineRule="exact"/>
              <w:jc w:val="both"/>
              <w:textAlignment w:val="baseline"/>
              <w:rPr>
                <w:rFonts w:ascii="Times New Roman" w:hAnsi="Times New Roman" w:eastAsia="等线" w:cs="Times New Roman"/>
                <w:color w:val="auto"/>
                <w:sz w:val="24"/>
              </w:rPr>
            </w:pPr>
            <w:r>
              <w:rPr>
                <w:rFonts w:ascii="Times New Roman" w:hAnsi="Times New Roman" w:eastAsia="等线" w:cs="Times New Roman"/>
                <w:color w:val="auto"/>
                <w:sz w:val="24"/>
              </w:rPr>
              <w:t>联系电话：</w:t>
            </w:r>
          </w:p>
          <w:p>
            <w:pPr>
              <w:widowControl w:val="0"/>
              <w:adjustRightInd w:val="0"/>
              <w:snapToGrid w:val="0"/>
              <w:spacing w:line="560" w:lineRule="exact"/>
              <w:jc w:val="right"/>
              <w:textAlignment w:val="baseline"/>
              <w:rPr>
                <w:rFonts w:ascii="Times New Roman" w:hAnsi="Times New Roman" w:eastAsia="等线" w:cs="Times New Roman"/>
                <w:color w:val="auto"/>
                <w:sz w:val="24"/>
              </w:rPr>
            </w:pPr>
            <w:r>
              <w:rPr>
                <w:rFonts w:ascii="Times New Roman" w:hAnsi="Times New Roman" w:eastAsia="等线" w:cs="Times New Roman"/>
                <w:color w:val="auto"/>
                <w:sz w:val="24"/>
              </w:rPr>
              <w:t>年    月    日</w:t>
            </w:r>
          </w:p>
        </w:tc>
      </w:tr>
    </w:tbl>
    <w:p>
      <w:pPr>
        <w:pStyle w:val="3"/>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4"/>
      </w:pPr>
      <w:bookmarkStart w:id="157" w:name="_Toc8147"/>
      <w:bookmarkStart w:id="158" w:name="_Toc3723"/>
      <w:bookmarkStart w:id="159" w:name="_Toc23515"/>
      <w:bookmarkStart w:id="160" w:name="_Toc6230"/>
      <w:bookmarkStart w:id="161" w:name="_Toc28358"/>
      <w:bookmarkStart w:id="162" w:name="_Toc21847"/>
      <w:bookmarkStart w:id="163" w:name="_Toc30824"/>
      <w:bookmarkStart w:id="164" w:name="_Toc1563"/>
      <w:bookmarkStart w:id="165" w:name="_Toc12169"/>
      <w:bookmarkStart w:id="166" w:name="_Toc5129"/>
      <w:bookmarkStart w:id="167" w:name="_Toc16552"/>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57"/>
      <w:bookmarkEnd w:id="158"/>
      <w:bookmarkEnd w:id="159"/>
      <w:bookmarkEnd w:id="160"/>
      <w:bookmarkEnd w:id="161"/>
      <w:bookmarkEnd w:id="162"/>
      <w:bookmarkEnd w:id="163"/>
      <w:bookmarkEnd w:id="164"/>
      <w:bookmarkEnd w:id="165"/>
      <w:bookmarkEnd w:id="166"/>
      <w:bookmarkEnd w:id="167"/>
    </w:p>
    <w:p>
      <w:pPr>
        <w:pStyle w:val="36"/>
      </w:pPr>
    </w:p>
    <w:p>
      <w:pPr>
        <w:pStyle w:val="4"/>
      </w:pPr>
      <w:bookmarkStart w:id="168" w:name="_Toc30157"/>
      <w:bookmarkStart w:id="169" w:name="_Toc88209951"/>
      <w:bookmarkStart w:id="170" w:name="_Toc17119"/>
      <w:bookmarkStart w:id="171" w:name="_Toc5342"/>
      <w:bookmarkStart w:id="172" w:name="_Toc87616388"/>
      <w:bookmarkStart w:id="173" w:name="_Toc12610"/>
      <w:bookmarkStart w:id="174" w:name="_Toc31564"/>
      <w:bookmarkStart w:id="175" w:name="_Toc22764"/>
      <w:bookmarkStart w:id="176" w:name="_Toc12769"/>
      <w:bookmarkStart w:id="177" w:name="_Toc24815"/>
      <w:bookmarkStart w:id="178" w:name="_Toc10840"/>
      <w:bookmarkStart w:id="179" w:name="_Toc21675"/>
      <w:bookmarkStart w:id="180" w:name="_Toc24490"/>
      <w:r>
        <w:rPr>
          <w:rFonts w:hint="eastAsia"/>
        </w:rPr>
        <w:t>响应文件</w:t>
      </w:r>
      <w:r>
        <w:rPr>
          <w:rFonts w:hint="eastAsia"/>
          <w:lang w:val="en-US" w:eastAsia="zh-CN"/>
        </w:rPr>
        <w:t>格式要求</w:t>
      </w:r>
      <w:bookmarkEnd w:id="168"/>
      <w:bookmarkEnd w:id="169"/>
      <w:bookmarkEnd w:id="170"/>
      <w:bookmarkEnd w:id="171"/>
      <w:bookmarkEnd w:id="172"/>
      <w:bookmarkEnd w:id="173"/>
      <w:bookmarkEnd w:id="174"/>
      <w:bookmarkEnd w:id="175"/>
      <w:bookmarkEnd w:id="176"/>
      <w:bookmarkEnd w:id="177"/>
      <w:bookmarkEnd w:id="178"/>
      <w:bookmarkEnd w:id="179"/>
      <w:bookmarkEnd w:id="180"/>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81" w:name="_Toc88209952"/>
      <w:bookmarkStart w:id="182" w:name="_Toc87616389"/>
      <w:r>
        <w:rPr>
          <w:rFonts w:hint="eastAsia" w:ascii="仿宋_GB2312" w:eastAsia="仿宋_GB2312"/>
          <w:sz w:val="28"/>
          <w:szCs w:val="28"/>
        </w:rPr>
        <w:t>1.响应函</w:t>
      </w:r>
      <w:bookmarkEnd w:id="181"/>
      <w:bookmarkEnd w:id="182"/>
    </w:p>
    <w:p>
      <w:pPr>
        <w:spacing w:line="600" w:lineRule="exact"/>
        <w:rPr>
          <w:rFonts w:hint="eastAsia" w:ascii="仿宋_GB2312" w:eastAsia="仿宋_GB2312"/>
          <w:sz w:val="28"/>
          <w:szCs w:val="28"/>
        </w:rPr>
      </w:pPr>
      <w:bookmarkStart w:id="183" w:name="_Toc87616390"/>
      <w:bookmarkStart w:id="184" w:name="_Toc88209953"/>
      <w:r>
        <w:rPr>
          <w:rFonts w:hint="eastAsia" w:ascii="仿宋_GB2312" w:eastAsia="仿宋_GB2312"/>
          <w:sz w:val="28"/>
          <w:szCs w:val="28"/>
        </w:rPr>
        <w:t>2.法定代表人证明或授权委托书</w:t>
      </w:r>
      <w:bookmarkEnd w:id="183"/>
      <w:bookmarkEnd w:id="184"/>
      <w:bookmarkStart w:id="185" w:name="_Toc88209956"/>
      <w:bookmarkStart w:id="186"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85"/>
      <w:bookmarkEnd w:id="186"/>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hint="eastAsia" w:ascii="仿宋" w:hAnsi="仿宋" w:eastAsia="仿宋" w:cs="仿宋"/>
          <w:sz w:val="28"/>
          <w:szCs w:val="28"/>
        </w:rPr>
      </w:pPr>
      <w:bookmarkStart w:id="187" w:name="_Toc12665"/>
      <w:bookmarkStart w:id="188" w:name="_Toc88209957"/>
      <w:bookmarkStart w:id="189" w:name="_Toc87616394"/>
      <w:bookmarkStart w:id="190" w:name="_Toc6313"/>
      <w:bookmarkStart w:id="191" w:name="_Toc28619645"/>
      <w:r>
        <w:rPr>
          <w:rFonts w:hint="eastAsia" w:ascii="仿宋" w:hAnsi="仿宋" w:eastAsia="仿宋" w:cs="仿宋"/>
          <w:sz w:val="28"/>
          <w:szCs w:val="28"/>
        </w:rPr>
        <w:t>1.响应函</w:t>
      </w:r>
      <w:bookmarkEnd w:id="187"/>
      <w:bookmarkEnd w:id="188"/>
      <w:bookmarkEnd w:id="189"/>
      <w:bookmarkEnd w:id="190"/>
      <w:bookmarkEnd w:id="191"/>
    </w:p>
    <w:p>
      <w:pPr>
        <w:spacing w:line="360" w:lineRule="auto"/>
        <w:rPr>
          <w:rFonts w:hint="eastAsia" w:ascii="仿宋" w:hAnsi="仿宋" w:eastAsia="仿宋" w:cs="仿宋"/>
          <w:sz w:val="28"/>
          <w:szCs w:val="28"/>
        </w:rPr>
      </w:pPr>
      <w:r>
        <w:rPr>
          <w:rFonts w:hint="eastAsia" w:ascii="仿宋" w:hAnsi="仿宋" w:eastAsia="仿宋" w:cs="仿宋"/>
          <w:sz w:val="28"/>
          <w:szCs w:val="28"/>
        </w:rPr>
        <w:t>1.1响应函</w:t>
      </w:r>
    </w:p>
    <w:p>
      <w:pPr>
        <w:spacing w:line="360" w:lineRule="auto"/>
        <w:rPr>
          <w:rFonts w:hint="eastAsia" w:ascii="仿宋" w:hAnsi="仿宋" w:eastAsia="仿宋" w:cs="仿宋"/>
          <w:sz w:val="28"/>
          <w:szCs w:val="28"/>
          <w:u w:val="single"/>
        </w:rPr>
      </w:pPr>
    </w:p>
    <w:p>
      <w:pPr>
        <w:spacing w:line="360" w:lineRule="auto"/>
        <w:rPr>
          <w:rFonts w:hint="eastAsia" w:ascii="仿宋" w:hAnsi="仿宋" w:eastAsia="仿宋" w:cs="仿宋"/>
          <w:sz w:val="28"/>
          <w:szCs w:val="28"/>
          <w:u w:val="single"/>
        </w:rPr>
      </w:pPr>
      <w:r>
        <w:rPr>
          <w:rFonts w:hint="eastAsia" w:ascii="仿宋" w:hAnsi="仿宋" w:eastAsia="仿宋" w:cs="仿宋"/>
          <w:sz w:val="28"/>
          <w:szCs w:val="28"/>
          <w:u w:val="single"/>
        </w:rPr>
        <w:t>至（采购人名称）：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1.我方已仔细研究了</w:t>
      </w:r>
      <w:r>
        <w:rPr>
          <w:rFonts w:hint="eastAsia" w:ascii="仿宋" w:hAnsi="仿宋" w:eastAsia="仿宋" w:cs="仿宋"/>
          <w:sz w:val="28"/>
          <w:szCs w:val="28"/>
          <w:u w:val="single"/>
        </w:rPr>
        <w:t xml:space="preserve">（项目名称、项目编号、标段/标包号）   </w:t>
      </w:r>
      <w:r>
        <w:rPr>
          <w:rFonts w:hint="eastAsia" w:ascii="仿宋" w:hAnsi="仿宋" w:eastAsia="仿宋" w:cs="仿宋"/>
          <w:sz w:val="28"/>
          <w:szCs w:val="28"/>
        </w:rPr>
        <w:t>采购文件的全部内容，愿意以含税价人民币（大写）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）的报价（其中，不含税价为</w:t>
      </w:r>
      <w:r>
        <w:rPr>
          <w:rFonts w:hint="eastAsia" w:ascii="仿宋" w:hAnsi="仿宋" w:eastAsia="仿宋" w:cs="仿宋"/>
          <w:sz w:val="28"/>
          <w:szCs w:val="28"/>
          <w:u w:val="single"/>
        </w:rPr>
        <w:t xml:space="preserve">       </w:t>
      </w:r>
      <w:r>
        <w:rPr>
          <w:rFonts w:hint="eastAsia" w:ascii="仿宋" w:hAnsi="仿宋" w:eastAsia="仿宋" w:cs="仿宋"/>
          <w:sz w:val="28"/>
          <w:szCs w:val="28"/>
        </w:rPr>
        <w:t>；增值税为</w:t>
      </w:r>
      <w:r>
        <w:rPr>
          <w:rFonts w:hint="eastAsia" w:ascii="仿宋" w:hAnsi="仿宋" w:eastAsia="仿宋" w:cs="仿宋"/>
          <w:sz w:val="28"/>
          <w:szCs w:val="28"/>
          <w:u w:val="single"/>
        </w:rPr>
        <w:t xml:space="preserve">       </w:t>
      </w:r>
      <w:r>
        <w:rPr>
          <w:rFonts w:hint="eastAsia" w:ascii="仿宋" w:hAnsi="仿宋" w:eastAsia="仿宋" w:cs="仿宋"/>
          <w:sz w:val="28"/>
          <w:szCs w:val="28"/>
        </w:rPr>
        <w:t>）完成/提供本项目□工程 □货物□服务并按合同约定履行义务。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2.我方响应文件包括下列内容：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响应函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法定代表人证明或授权委托书</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资格审查资料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拟投入本项目的项目负责人情况表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报价表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其他资料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响应文件的上述组成部分如有不一致的内容，以响应函为准。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w:t>
      </w:r>
      <w:r>
        <w:rPr>
          <w:rFonts w:hint="eastAsia" w:ascii="仿宋" w:hAnsi="仿宋" w:eastAsia="仿宋" w:cs="仿宋"/>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4.我方承诺在采购文件有效期内不撤销响应文件。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5.如我方成交，我方承诺：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（1）在收到成交通知书后，在成交通知书规定的期限内与你方签订合同；</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（2）在签订合同时不向你方提出附加条件；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（3）按照采购文件要求提交履约保证金；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（4）在合同约定的期限内完成合同规定的全部义务。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6.我方在此声明，所递交的响应文件及有关资料内容完整、真实和准确，且不存在采购公告中供应商不得存在的情形。</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u w:val="single"/>
        </w:rPr>
        <w:t xml:space="preserve">       （其他补充说明）</w:t>
      </w:r>
      <w:r>
        <w:rPr>
          <w:rFonts w:hint="eastAsia" w:ascii="仿宋" w:hAnsi="仿宋" w:eastAsia="仿宋" w:cs="仿宋"/>
          <w:sz w:val="28"/>
          <w:szCs w:val="28"/>
        </w:rPr>
        <w:t>。</w:t>
      </w:r>
    </w:p>
    <w:p>
      <w:pPr>
        <w:adjustRightInd w:val="0"/>
        <w:snapToGrid w:val="0"/>
        <w:spacing w:line="600" w:lineRule="exact"/>
        <w:ind w:left="1" w:firstLine="551" w:firstLineChars="197"/>
        <w:jc w:val="left"/>
        <w:rPr>
          <w:rFonts w:hint="eastAsia" w:ascii="仿宋" w:hAnsi="仿宋" w:eastAsia="仿宋" w:cs="仿宋"/>
          <w:sz w:val="28"/>
          <w:szCs w:val="28"/>
        </w:rPr>
      </w:pPr>
    </w:p>
    <w:p>
      <w:pPr>
        <w:adjustRightInd w:val="0"/>
        <w:snapToGrid w:val="0"/>
        <w:spacing w:line="600" w:lineRule="exact"/>
        <w:ind w:left="1" w:firstLine="551" w:firstLineChars="197"/>
        <w:jc w:val="left"/>
        <w:rPr>
          <w:rFonts w:hint="eastAsia" w:ascii="仿宋" w:hAnsi="仿宋" w:eastAsia="仿宋" w:cs="仿宋"/>
          <w:sz w:val="28"/>
          <w:szCs w:val="28"/>
        </w:rPr>
      </w:pPr>
    </w:p>
    <w:p>
      <w:pPr>
        <w:adjustRightInd w:val="0"/>
        <w:snapToGrid w:val="0"/>
        <w:spacing w:line="600" w:lineRule="exact"/>
        <w:ind w:left="1" w:firstLine="551" w:firstLineChars="197"/>
        <w:jc w:val="right"/>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（单位公章）</w:t>
      </w:r>
    </w:p>
    <w:p>
      <w:pPr>
        <w:adjustRightInd w:val="0"/>
        <w:snapToGrid w:val="0"/>
        <w:spacing w:line="600" w:lineRule="exact"/>
        <w:ind w:left="1" w:firstLine="551" w:firstLineChars="197"/>
        <w:jc w:val="right"/>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adjustRightInd w:val="0"/>
        <w:snapToGrid w:val="0"/>
        <w:spacing w:line="600" w:lineRule="exact"/>
        <w:ind w:left="1" w:firstLine="3771" w:firstLineChars="1347"/>
        <w:jc w:val="left"/>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p>
    <w:p>
      <w:pPr>
        <w:adjustRightInd w:val="0"/>
        <w:snapToGrid w:val="0"/>
        <w:spacing w:line="600" w:lineRule="exact"/>
        <w:ind w:left="1" w:firstLine="3771" w:firstLineChars="1347"/>
        <w:jc w:val="left"/>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u w:val="single"/>
        </w:rPr>
        <w:t xml:space="preserve">                          </w:t>
      </w:r>
    </w:p>
    <w:p>
      <w:pPr>
        <w:adjustRightInd w:val="0"/>
        <w:snapToGrid w:val="0"/>
        <w:spacing w:line="600" w:lineRule="exact"/>
        <w:ind w:left="1" w:firstLine="3771" w:firstLineChars="1347"/>
        <w:jc w:val="left"/>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u w:val="single"/>
        </w:rPr>
        <w:t xml:space="preserve">                              </w:t>
      </w:r>
    </w:p>
    <w:p>
      <w:pPr>
        <w:adjustRightInd w:val="0"/>
        <w:snapToGrid w:val="0"/>
        <w:spacing w:line="600" w:lineRule="exact"/>
        <w:ind w:left="1" w:firstLine="3771" w:firstLineChars="1347"/>
        <w:jc w:val="left"/>
        <w:rPr>
          <w:rFonts w:hint="eastAsia" w:ascii="仿宋" w:hAnsi="仿宋" w:eastAsia="仿宋" w:cs="仿宋"/>
          <w:sz w:val="28"/>
          <w:szCs w:val="28"/>
        </w:rPr>
      </w:pP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92" w:name="_Toc29833"/>
      <w:bookmarkStart w:id="193" w:name="_Toc87616395"/>
      <w:bookmarkStart w:id="194" w:name="_Toc22527"/>
      <w:bookmarkStart w:id="195" w:name="_Toc88209958"/>
    </w:p>
    <w:p>
      <w:pPr>
        <w:pStyle w:val="3"/>
        <w:rPr>
          <w:rFonts w:hint="eastAsia" w:asciiTheme="minorEastAsia" w:hAnsiTheme="minorEastAsia" w:eastAsiaTheme="minorEastAsia"/>
          <w:sz w:val="28"/>
          <w:szCs w:val="28"/>
        </w:rPr>
      </w:pPr>
    </w:p>
    <w:p>
      <w:pPr>
        <w:pStyle w:val="6"/>
        <w:rPr>
          <w:rFonts w:hint="eastAsia" w:ascii="仿宋" w:hAnsi="仿宋" w:eastAsia="仿宋" w:cs="仿宋"/>
          <w:sz w:val="28"/>
          <w:szCs w:val="28"/>
        </w:rPr>
      </w:pPr>
      <w:r>
        <w:rPr>
          <w:rFonts w:hint="eastAsia" w:ascii="仿宋" w:hAnsi="仿宋" w:eastAsia="仿宋" w:cs="仿宋"/>
          <w:sz w:val="28"/>
          <w:szCs w:val="28"/>
        </w:rPr>
        <w:t>2.法定代表人证明或授权委托书</w:t>
      </w:r>
      <w:bookmarkEnd w:id="192"/>
      <w:bookmarkEnd w:id="193"/>
      <w:bookmarkEnd w:id="194"/>
      <w:bookmarkEnd w:id="195"/>
    </w:p>
    <w:p>
      <w:pPr>
        <w:spacing w:line="360" w:lineRule="auto"/>
        <w:rPr>
          <w:rFonts w:hint="eastAsia" w:ascii="仿宋" w:hAnsi="仿宋" w:eastAsia="仿宋" w:cs="仿宋"/>
        </w:rPr>
      </w:pPr>
      <w:r>
        <w:rPr>
          <w:rFonts w:hint="eastAsia" w:ascii="仿宋" w:hAnsi="仿宋" w:eastAsia="仿宋" w:cs="仿宋"/>
          <w:sz w:val="28"/>
          <w:szCs w:val="28"/>
        </w:rPr>
        <w:t>2.1法定代表人证明格式</w:t>
      </w:r>
    </w:p>
    <w:p>
      <w:pPr>
        <w:widowControl/>
        <w:adjustRightInd w:val="0"/>
        <w:snapToGrid w:val="0"/>
        <w:spacing w:beforeLines="50" w:afterLines="50" w:line="600" w:lineRule="exact"/>
        <w:jc w:val="center"/>
        <w:rPr>
          <w:rFonts w:hint="eastAsia" w:ascii="仿宋" w:hAnsi="仿宋" w:eastAsia="仿宋" w:cs="仿宋"/>
          <w:kern w:val="0"/>
          <w:sz w:val="44"/>
          <w:szCs w:val="44"/>
        </w:rPr>
      </w:pPr>
      <w:r>
        <w:rPr>
          <w:rFonts w:hint="eastAsia" w:ascii="仿宋" w:hAnsi="仿宋" w:eastAsia="仿宋" w:cs="仿宋"/>
          <w:kern w:val="0"/>
          <w:sz w:val="44"/>
          <w:szCs w:val="44"/>
        </w:rPr>
        <w:t>法定代表人证明书</w:t>
      </w:r>
    </w:p>
    <w:p>
      <w:pPr>
        <w:pStyle w:val="38"/>
        <w:snapToGrid w:val="0"/>
        <w:spacing w:after="0" w:line="600" w:lineRule="exact"/>
        <w:jc w:val="both"/>
        <w:rPr>
          <w:rFonts w:hint="eastAsia" w:ascii="仿宋" w:hAnsi="仿宋" w:eastAsia="仿宋" w:cs="仿宋"/>
          <w:color w:val="000000"/>
          <w:sz w:val="30"/>
          <w:szCs w:val="30"/>
          <w:u w:val="single"/>
        </w:rPr>
      </w:pPr>
      <w:r>
        <w:rPr>
          <w:rFonts w:hint="eastAsia" w:ascii="仿宋" w:hAnsi="仿宋" w:eastAsia="仿宋" w:cs="仿宋"/>
          <w:color w:val="000000"/>
          <w:sz w:val="32"/>
          <w:szCs w:val="32"/>
        </w:rPr>
        <w:t xml:space="preserve">     </w:t>
      </w:r>
      <w:r>
        <w:rPr>
          <w:rFonts w:hint="eastAsia" w:ascii="仿宋" w:hAnsi="仿宋" w:eastAsia="仿宋" w:cs="仿宋"/>
          <w:color w:val="000000"/>
          <w:sz w:val="30"/>
          <w:szCs w:val="30"/>
        </w:rPr>
        <w:t>供应商名称：</w:t>
      </w:r>
      <w:r>
        <w:rPr>
          <w:rFonts w:hint="eastAsia" w:ascii="仿宋" w:hAnsi="仿宋" w:eastAsia="仿宋" w:cs="仿宋"/>
          <w:color w:val="000000"/>
          <w:sz w:val="30"/>
          <w:szCs w:val="30"/>
          <w:u w:val="single"/>
        </w:rPr>
        <w:t xml:space="preserve">                          </w:t>
      </w:r>
    </w:p>
    <w:p>
      <w:pPr>
        <w:pStyle w:val="12"/>
        <w:snapToGrid w:val="0"/>
        <w:spacing w:line="600" w:lineRule="exact"/>
        <w:rPr>
          <w:rFonts w:hint="eastAsia" w:ascii="仿宋" w:hAnsi="仿宋" w:eastAsia="仿宋" w:cs="仿宋"/>
          <w:sz w:val="30"/>
          <w:szCs w:val="30"/>
          <w:u w:val="single"/>
        </w:rPr>
      </w:pPr>
      <w:r>
        <w:rPr>
          <w:rFonts w:hint="eastAsia" w:ascii="仿宋" w:hAnsi="仿宋" w:eastAsia="仿宋" w:cs="仿宋"/>
          <w:sz w:val="30"/>
          <w:szCs w:val="30"/>
        </w:rPr>
        <w:t xml:space="preserve">     单位性质：</w:t>
      </w:r>
      <w:r>
        <w:rPr>
          <w:rFonts w:hint="eastAsia" w:ascii="仿宋" w:hAnsi="仿宋" w:eastAsia="仿宋" w:cs="仿宋"/>
          <w:sz w:val="30"/>
          <w:szCs w:val="30"/>
          <w:u w:val="single"/>
        </w:rPr>
        <w:t xml:space="preserve">                            </w:t>
      </w:r>
    </w:p>
    <w:p>
      <w:pPr>
        <w:pStyle w:val="37"/>
        <w:snapToGrid w:val="0"/>
        <w:spacing w:after="0" w:line="600" w:lineRule="exact"/>
        <w:ind w:firstLine="750" w:firstLineChars="250"/>
        <w:rPr>
          <w:rFonts w:hint="eastAsia" w:ascii="仿宋" w:hAnsi="仿宋" w:eastAsia="仿宋" w:cs="仿宋"/>
          <w:color w:val="000000"/>
          <w:sz w:val="30"/>
          <w:szCs w:val="30"/>
          <w:u w:val="single"/>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u w:val="single"/>
        </w:rPr>
        <w:t xml:space="preserve">                            </w:t>
      </w:r>
    </w:p>
    <w:p>
      <w:pPr>
        <w:pStyle w:val="12"/>
        <w:snapToGrid w:val="0"/>
        <w:spacing w:line="600" w:lineRule="exact"/>
        <w:ind w:firstLine="771" w:firstLineChars="257"/>
        <w:rPr>
          <w:rFonts w:hint="eastAsia" w:ascii="仿宋" w:hAnsi="仿宋" w:eastAsia="仿宋" w:cs="仿宋"/>
          <w:sz w:val="30"/>
          <w:szCs w:val="30"/>
        </w:rPr>
      </w:pPr>
      <w:r>
        <w:rPr>
          <w:rFonts w:hint="eastAsia" w:ascii="仿宋" w:hAnsi="仿宋" w:eastAsia="仿宋" w:cs="仿宋"/>
          <w:sz w:val="30"/>
          <w:szCs w:val="30"/>
        </w:rPr>
        <w:t>成立时间：</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pStyle w:val="12"/>
        <w:snapToGrid w:val="0"/>
        <w:spacing w:line="600" w:lineRule="exact"/>
        <w:ind w:firstLine="771" w:firstLineChars="257"/>
        <w:rPr>
          <w:rFonts w:hint="eastAsia" w:ascii="仿宋" w:hAnsi="仿宋" w:eastAsia="仿宋" w:cs="仿宋"/>
          <w:sz w:val="30"/>
          <w:szCs w:val="30"/>
        </w:rPr>
      </w:pPr>
      <w:r>
        <w:rPr>
          <w:rFonts w:hint="eastAsia" w:ascii="仿宋" w:hAnsi="仿宋" w:eastAsia="仿宋" w:cs="仿宋"/>
          <w:sz w:val="30"/>
          <w:szCs w:val="30"/>
        </w:rPr>
        <w:t>经营期限：</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pStyle w:val="12"/>
        <w:snapToGrid w:val="0"/>
        <w:spacing w:line="600" w:lineRule="exact"/>
        <w:ind w:firstLine="771" w:firstLineChars="257"/>
        <w:rPr>
          <w:rFonts w:hint="eastAsia" w:ascii="仿宋" w:hAnsi="仿宋" w:eastAsia="仿宋" w:cs="仿宋"/>
          <w:sz w:val="30"/>
          <w:szCs w:val="30"/>
        </w:rPr>
      </w:pPr>
      <w:r>
        <w:rPr>
          <w:rFonts w:hint="eastAsia" w:ascii="仿宋" w:hAnsi="仿宋" w:eastAsia="仿宋" w:cs="仿宋"/>
          <w:sz w:val="30"/>
          <w:szCs w:val="30"/>
        </w:rPr>
        <w:t>姓名：</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性别：</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年龄：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身份证号码：</w:t>
      </w:r>
      <w:r>
        <w:rPr>
          <w:rFonts w:hint="eastAsia" w:ascii="仿宋" w:hAnsi="仿宋" w:eastAsia="仿宋" w:cs="仿宋"/>
          <w:sz w:val="30"/>
          <w:szCs w:val="30"/>
          <w:u w:val="single"/>
        </w:rPr>
        <w:t xml:space="preserve">          </w:t>
      </w:r>
    </w:p>
    <w:p>
      <w:pPr>
        <w:pStyle w:val="12"/>
        <w:snapToGrid w:val="0"/>
        <w:spacing w:line="600" w:lineRule="exact"/>
        <w:ind w:firstLine="771" w:firstLineChars="257"/>
        <w:rPr>
          <w:rFonts w:hint="eastAsia" w:ascii="仿宋" w:hAnsi="仿宋" w:eastAsia="仿宋" w:cs="仿宋"/>
          <w:sz w:val="30"/>
          <w:szCs w:val="30"/>
        </w:rPr>
      </w:pPr>
      <w:r>
        <w:rPr>
          <w:rFonts w:hint="eastAsia" w:ascii="仿宋" w:hAnsi="仿宋" w:eastAsia="仿宋" w:cs="仿宋"/>
          <w:sz w:val="30"/>
          <w:szCs w:val="30"/>
        </w:rPr>
        <w:t>职务：</w:t>
      </w:r>
      <w:r>
        <w:rPr>
          <w:rFonts w:hint="eastAsia" w:ascii="仿宋" w:hAnsi="仿宋" w:eastAsia="仿宋" w:cs="仿宋"/>
          <w:sz w:val="30"/>
          <w:szCs w:val="30"/>
          <w:u w:val="single"/>
        </w:rPr>
        <w:t xml:space="preserve">         </w:t>
      </w:r>
      <w:r>
        <w:rPr>
          <w:rFonts w:hint="eastAsia" w:ascii="仿宋" w:hAnsi="仿宋" w:eastAsia="仿宋" w:cs="仿宋"/>
          <w:sz w:val="30"/>
          <w:szCs w:val="30"/>
        </w:rPr>
        <w:t>系</w:t>
      </w:r>
      <w:r>
        <w:rPr>
          <w:rFonts w:hint="eastAsia" w:ascii="仿宋" w:hAnsi="仿宋" w:eastAsia="仿宋" w:cs="仿宋"/>
          <w:sz w:val="30"/>
          <w:szCs w:val="30"/>
          <w:u w:val="single"/>
        </w:rPr>
        <w:t xml:space="preserve">     (供应商名称)       </w:t>
      </w:r>
      <w:r>
        <w:rPr>
          <w:rFonts w:hint="eastAsia" w:ascii="仿宋" w:hAnsi="仿宋" w:eastAsia="仿宋" w:cs="仿宋"/>
          <w:sz w:val="30"/>
          <w:szCs w:val="30"/>
        </w:rPr>
        <w:t xml:space="preserve"> 的法定代表人。</w:t>
      </w:r>
    </w:p>
    <w:p>
      <w:pPr>
        <w:pStyle w:val="12"/>
        <w:snapToGrid w:val="0"/>
        <w:spacing w:line="600" w:lineRule="exact"/>
        <w:ind w:firstLine="771" w:firstLineChars="257"/>
        <w:rPr>
          <w:rFonts w:hint="eastAsia" w:ascii="仿宋" w:hAnsi="仿宋" w:eastAsia="仿宋" w:cs="仿宋"/>
          <w:sz w:val="30"/>
          <w:szCs w:val="30"/>
        </w:rPr>
      </w:pPr>
      <w:r>
        <w:rPr>
          <w:rFonts w:hint="eastAsia" w:ascii="仿宋" w:hAnsi="仿宋" w:eastAsia="仿宋" w:cs="仿宋"/>
          <w:sz w:val="30"/>
          <w:szCs w:val="30"/>
        </w:rPr>
        <w:t>特此证明。</w:t>
      </w:r>
    </w:p>
    <w:p>
      <w:pPr>
        <w:adjustRightInd w:val="0"/>
        <w:snapToGrid w:val="0"/>
        <w:spacing w:line="600" w:lineRule="exact"/>
        <w:ind w:firstLine="702" w:firstLineChars="234"/>
        <w:rPr>
          <w:rFonts w:hint="eastAsia" w:ascii="仿宋" w:hAnsi="仿宋" w:eastAsia="仿宋" w:cs="仿宋"/>
          <w:color w:val="000000"/>
          <w:sz w:val="30"/>
          <w:szCs w:val="30"/>
        </w:rPr>
      </w:pPr>
      <w:r>
        <w:rPr>
          <w:rFonts w:hint="eastAsia" w:ascii="仿宋" w:hAnsi="仿宋" w:eastAsia="仿宋" w:cs="仿宋"/>
          <w:color w:val="000000"/>
          <w:sz w:val="30"/>
          <w:szCs w:val="30"/>
        </w:rPr>
        <w:t>附：法定代表人身份证(正反两面)复印件</w:t>
      </w:r>
    </w:p>
    <w:p>
      <w:pPr>
        <w:pStyle w:val="12"/>
        <w:snapToGrid w:val="0"/>
        <w:spacing w:line="600" w:lineRule="exact"/>
        <w:ind w:firstLine="3907" w:firstLineChars="1221"/>
        <w:rPr>
          <w:rFonts w:hint="eastAsia" w:ascii="仿宋" w:hAnsi="仿宋" w:eastAsia="仿宋" w:cs="仿宋"/>
          <w:sz w:val="32"/>
          <w:szCs w:val="32"/>
        </w:rPr>
      </w:pPr>
    </w:p>
    <w:p>
      <w:pPr>
        <w:pStyle w:val="12"/>
        <w:snapToGrid w:val="0"/>
        <w:spacing w:line="600" w:lineRule="exact"/>
        <w:ind w:firstLine="3663" w:firstLineChars="1221"/>
        <w:rPr>
          <w:rFonts w:hint="eastAsia" w:ascii="仿宋" w:hAnsi="仿宋" w:eastAsia="仿宋" w:cs="仿宋"/>
          <w:sz w:val="30"/>
          <w:szCs w:val="30"/>
        </w:rPr>
      </w:pPr>
      <w:r>
        <w:rPr>
          <w:rFonts w:hint="eastAsia" w:ascii="仿宋" w:hAnsi="仿宋" w:eastAsia="仿宋" w:cs="仿宋"/>
          <w:sz w:val="30"/>
          <w:szCs w:val="30"/>
        </w:rPr>
        <w:t>供应商：</w:t>
      </w:r>
      <w:r>
        <w:rPr>
          <w:rFonts w:hint="eastAsia" w:ascii="仿宋" w:hAnsi="仿宋" w:eastAsia="仿宋" w:cs="仿宋"/>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 w:hAnsi="仿宋" w:eastAsia="仿宋" w:cs="仿宋"/>
          <w:color w:val="000000"/>
          <w:sz w:val="30"/>
          <w:szCs w:val="30"/>
        </w:rPr>
        <w:t>日  期：</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rPr>
          <w:rFonts w:hint="eastAsia" w:ascii="仿宋" w:hAnsi="仿宋" w:eastAsia="仿宋" w:cs="仿宋"/>
        </w:rPr>
      </w:pPr>
      <w:r>
        <w:rPr>
          <w:rFonts w:hint="eastAsia" w:ascii="宋体" w:hAnsi="宋体" w:cs="宋体"/>
          <w:color w:val="000000"/>
          <w:kern w:val="0"/>
          <w:sz w:val="28"/>
          <w:szCs w:val="28"/>
        </w:rPr>
        <w:br w:type="page"/>
      </w:r>
      <w:r>
        <w:rPr>
          <w:rFonts w:hint="eastAsia" w:ascii="仿宋" w:hAnsi="仿宋" w:eastAsia="仿宋" w:cs="仿宋"/>
          <w:sz w:val="28"/>
          <w:szCs w:val="28"/>
        </w:rPr>
        <w:t>2.2法人授权委托书</w:t>
      </w:r>
    </w:p>
    <w:p>
      <w:pPr>
        <w:adjustRightInd w:val="0"/>
        <w:snapToGrid w:val="0"/>
        <w:spacing w:beforeLines="50" w:afterLines="50" w:line="600" w:lineRule="exact"/>
        <w:jc w:val="center"/>
        <w:rPr>
          <w:rFonts w:hint="eastAsia" w:ascii="仿宋" w:hAnsi="仿宋" w:eastAsia="仿宋" w:cs="仿宋"/>
          <w:kern w:val="0"/>
          <w:sz w:val="44"/>
          <w:szCs w:val="44"/>
        </w:rPr>
      </w:pPr>
      <w:r>
        <w:rPr>
          <w:rFonts w:hint="eastAsia" w:ascii="仿宋" w:hAnsi="仿宋" w:eastAsia="仿宋" w:cs="仿宋"/>
          <w:kern w:val="0"/>
          <w:sz w:val="44"/>
          <w:szCs w:val="44"/>
        </w:rPr>
        <w:t>法定代表人授权委托书</w:t>
      </w:r>
    </w:p>
    <w:p>
      <w:pPr>
        <w:adjustRightInd w:val="0"/>
        <w:snapToGrid w:val="0"/>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本人</w:t>
      </w:r>
      <w:r>
        <w:rPr>
          <w:rFonts w:hint="eastAsia" w:ascii="仿宋" w:hAnsi="仿宋" w:eastAsia="仿宋" w:cs="仿宋"/>
          <w:color w:val="000000"/>
          <w:sz w:val="30"/>
          <w:szCs w:val="30"/>
          <w:u w:val="single"/>
        </w:rPr>
        <w:t xml:space="preserve">   (姓名)    </w:t>
      </w:r>
      <w:r>
        <w:rPr>
          <w:rFonts w:hint="eastAsia" w:ascii="仿宋" w:hAnsi="仿宋" w:eastAsia="仿宋" w:cs="仿宋"/>
          <w:color w:val="000000"/>
          <w:sz w:val="30"/>
          <w:szCs w:val="30"/>
        </w:rPr>
        <w:t>系</w:t>
      </w:r>
      <w:r>
        <w:rPr>
          <w:rFonts w:hint="eastAsia" w:ascii="仿宋" w:hAnsi="仿宋" w:eastAsia="仿宋" w:cs="仿宋"/>
          <w:color w:val="000000"/>
          <w:sz w:val="30"/>
          <w:szCs w:val="30"/>
          <w:u w:val="single"/>
        </w:rPr>
        <w:t xml:space="preserve">        (供应商名称)          </w:t>
      </w:r>
      <w:r>
        <w:rPr>
          <w:rFonts w:hint="eastAsia" w:ascii="仿宋" w:hAnsi="仿宋" w:eastAsia="仿宋" w:cs="仿宋"/>
          <w:color w:val="000000"/>
          <w:sz w:val="30"/>
          <w:szCs w:val="30"/>
        </w:rPr>
        <w:t>的法定代表人，现授权</w:t>
      </w:r>
      <w:r>
        <w:rPr>
          <w:rFonts w:hint="eastAsia" w:ascii="仿宋" w:hAnsi="仿宋" w:eastAsia="仿宋" w:cs="仿宋"/>
          <w:color w:val="000000"/>
          <w:sz w:val="30"/>
          <w:szCs w:val="30"/>
          <w:u w:val="single"/>
        </w:rPr>
        <w:t xml:space="preserve">   (姓名)   </w:t>
      </w:r>
      <w:r>
        <w:rPr>
          <w:rFonts w:hint="eastAsia" w:ascii="仿宋" w:hAnsi="仿宋" w:eastAsia="仿宋" w:cs="仿宋"/>
          <w:color w:val="000000"/>
          <w:sz w:val="30"/>
          <w:szCs w:val="30"/>
        </w:rPr>
        <w:t>为我方代理人。代理人根据授权，以我方名义签署、澄清、说明、提交、</w:t>
      </w:r>
      <w:bookmarkStart w:id="207" w:name="_GoBack"/>
      <w:bookmarkEnd w:id="207"/>
      <w:r>
        <w:rPr>
          <w:rFonts w:hint="eastAsia" w:ascii="仿宋" w:hAnsi="仿宋" w:eastAsia="仿宋" w:cs="仿宋"/>
          <w:color w:val="000000"/>
          <w:sz w:val="30"/>
          <w:szCs w:val="30"/>
        </w:rPr>
        <w:t>撤回、修改</w:t>
      </w:r>
      <w:r>
        <w:rPr>
          <w:rFonts w:hint="eastAsia" w:ascii="仿宋" w:hAnsi="仿宋" w:eastAsia="仿宋" w:cs="仿宋"/>
          <w:color w:val="000000"/>
          <w:sz w:val="30"/>
          <w:szCs w:val="30"/>
          <w:u w:val="single"/>
        </w:rPr>
        <w:t xml:space="preserve"> （项目名称、项目编号、标段/标包号）  </w:t>
      </w:r>
      <w:r>
        <w:rPr>
          <w:rFonts w:hint="eastAsia" w:ascii="仿宋" w:hAnsi="仿宋" w:eastAsia="仿宋" w:cs="仿宋"/>
          <w:color w:val="000000"/>
          <w:sz w:val="30"/>
          <w:szCs w:val="30"/>
        </w:rPr>
        <w:t>的响应文件、签订合同和处理有关事宜，其法律后果由我方承担。</w:t>
      </w:r>
    </w:p>
    <w:p>
      <w:pPr>
        <w:adjustRightInd w:val="0"/>
        <w:snapToGrid w:val="0"/>
        <w:spacing w:line="600" w:lineRule="exact"/>
        <w:ind w:firstLine="590"/>
        <w:rPr>
          <w:rFonts w:hint="eastAsia" w:ascii="仿宋" w:hAnsi="仿宋" w:eastAsia="仿宋" w:cs="仿宋"/>
          <w:color w:val="000000"/>
          <w:sz w:val="30"/>
          <w:szCs w:val="30"/>
        </w:rPr>
      </w:pPr>
      <w:r>
        <w:rPr>
          <w:rFonts w:hint="eastAsia" w:ascii="仿宋" w:hAnsi="仿宋" w:eastAsia="仿宋" w:cs="仿宋"/>
          <w:color w:val="000000"/>
          <w:sz w:val="30"/>
          <w:szCs w:val="30"/>
        </w:rPr>
        <w:t>委托期限：</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adjustRightInd w:val="0"/>
        <w:snapToGrid w:val="0"/>
        <w:spacing w:line="600" w:lineRule="exact"/>
        <w:ind w:firstLine="590"/>
        <w:rPr>
          <w:rFonts w:hint="eastAsia" w:ascii="仿宋" w:hAnsi="仿宋" w:eastAsia="仿宋" w:cs="仿宋"/>
          <w:color w:val="000000"/>
          <w:sz w:val="30"/>
          <w:szCs w:val="30"/>
        </w:rPr>
      </w:pPr>
      <w:r>
        <w:rPr>
          <w:rFonts w:hint="eastAsia" w:ascii="仿宋" w:hAnsi="仿宋" w:eastAsia="仿宋" w:cs="仿宋"/>
          <w:color w:val="000000"/>
          <w:sz w:val="30"/>
          <w:szCs w:val="30"/>
        </w:rPr>
        <w:t>代理人无转委托权。</w:t>
      </w:r>
    </w:p>
    <w:p>
      <w:pPr>
        <w:adjustRightInd w:val="0"/>
        <w:snapToGrid w:val="0"/>
        <w:spacing w:line="600" w:lineRule="exact"/>
        <w:ind w:firstLine="590"/>
        <w:rPr>
          <w:rFonts w:hint="eastAsia" w:ascii="仿宋" w:hAnsi="仿宋" w:eastAsia="仿宋" w:cs="仿宋"/>
          <w:color w:val="000000"/>
          <w:sz w:val="30"/>
          <w:szCs w:val="30"/>
        </w:rPr>
      </w:pPr>
      <w:r>
        <w:rPr>
          <w:rFonts w:hint="eastAsia" w:ascii="仿宋" w:hAnsi="仿宋" w:eastAsia="仿宋" w:cs="仿宋"/>
          <w:color w:val="000000"/>
          <w:sz w:val="30"/>
          <w:szCs w:val="30"/>
        </w:rPr>
        <w:t>附：</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委托代理人身份证(正反两面)复印件</w:t>
      </w:r>
    </w:p>
    <w:p>
      <w:pPr>
        <w:pStyle w:val="36"/>
        <w:ind w:firstLine="1200" w:firstLineChars="4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hint="eastAsia" w:ascii="仿宋" w:hAnsi="仿宋" w:eastAsia="仿宋" w:cs="仿宋"/>
          <w:sz w:val="30"/>
          <w:szCs w:val="30"/>
        </w:rPr>
      </w:pPr>
      <w:r>
        <w:rPr>
          <w:rFonts w:hint="eastAsia" w:ascii="仿宋" w:hAnsi="仿宋" w:eastAsia="仿宋" w:cs="仿宋"/>
          <w:spacing w:val="30"/>
          <w:sz w:val="30"/>
          <w:szCs w:val="30"/>
        </w:rPr>
        <w:t>供应商</w:t>
      </w:r>
      <w:r>
        <w:rPr>
          <w:rFonts w:hint="eastAsia" w:ascii="仿宋" w:hAnsi="仿宋" w:eastAsia="仿宋" w:cs="仿宋"/>
          <w:sz w:val="30"/>
          <w:szCs w:val="30"/>
        </w:rPr>
        <w:t>：</w:t>
      </w:r>
      <w:r>
        <w:rPr>
          <w:rFonts w:hint="eastAsia" w:ascii="仿宋" w:hAnsi="仿宋" w:eastAsia="仿宋" w:cs="仿宋"/>
          <w:sz w:val="30"/>
          <w:szCs w:val="30"/>
          <w:u w:val="single"/>
        </w:rPr>
        <w:t xml:space="preserve">      (单位公章)         </w:t>
      </w:r>
    </w:p>
    <w:p>
      <w:pPr>
        <w:pStyle w:val="12"/>
        <w:snapToGrid w:val="0"/>
        <w:spacing w:line="600" w:lineRule="exact"/>
        <w:ind w:firstLine="3600" w:firstLineChars="1200"/>
        <w:rPr>
          <w:rFonts w:hint="eastAsia"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(签字)            </w:t>
      </w:r>
    </w:p>
    <w:p>
      <w:pPr>
        <w:pStyle w:val="12"/>
        <w:snapToGrid w:val="0"/>
        <w:spacing w:line="600" w:lineRule="exact"/>
        <w:ind w:firstLine="3600" w:firstLineChars="1200"/>
        <w:rPr>
          <w:rFonts w:hint="eastAsia" w:ascii="仿宋" w:hAnsi="仿宋" w:eastAsia="仿宋" w:cs="仿宋"/>
          <w:sz w:val="30"/>
          <w:szCs w:val="30"/>
        </w:rPr>
      </w:pPr>
      <w:r>
        <w:rPr>
          <w:rFonts w:hint="eastAsia" w:ascii="仿宋" w:hAnsi="仿宋" w:eastAsia="仿宋" w:cs="仿宋"/>
          <w:sz w:val="30"/>
          <w:szCs w:val="30"/>
        </w:rPr>
        <w:t>委托代理人：</w:t>
      </w:r>
      <w:r>
        <w:rPr>
          <w:rFonts w:hint="eastAsia" w:ascii="仿宋" w:hAnsi="仿宋" w:eastAsia="仿宋" w:cs="仿宋"/>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 w:hAnsi="仿宋" w:eastAsia="仿宋" w:cs="仿宋"/>
          <w:color w:val="000000"/>
          <w:sz w:val="30"/>
          <w:szCs w:val="30"/>
        </w:rPr>
        <w:t xml:space="preserve">                        日    期：</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w:t>
      </w: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96" w:name="_Toc19830"/>
      <w:bookmarkStart w:id="197" w:name="_Toc8086"/>
      <w:bookmarkStart w:id="198" w:name="_Toc88209963"/>
      <w:bookmarkStart w:id="199"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96"/>
      <w:bookmarkEnd w:id="197"/>
      <w:bookmarkEnd w:id="198"/>
      <w:bookmarkEnd w:id="199"/>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20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20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6"/>
        <w:rPr>
          <w:rFonts w:hint="eastAsia" w:asciiTheme="minorEastAsia" w:hAnsiTheme="minorEastAsia" w:eastAsiaTheme="minorEastAsia"/>
          <w:sz w:val="28"/>
          <w:szCs w:val="28"/>
        </w:rPr>
      </w:pPr>
      <w:bookmarkStart w:id="201" w:name="_Toc19423"/>
      <w:bookmarkStart w:id="202" w:name="_Toc32430"/>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201"/>
      <w:bookmarkEnd w:id="202"/>
    </w:p>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4"/>
        <w:tblW w:w="957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5"/>
        <w:gridCol w:w="705"/>
        <w:gridCol w:w="1054"/>
        <w:gridCol w:w="992"/>
        <w:gridCol w:w="425"/>
        <w:gridCol w:w="567"/>
        <w:gridCol w:w="880"/>
        <w:gridCol w:w="566"/>
        <w:gridCol w:w="982"/>
        <w:gridCol w:w="844"/>
        <w:gridCol w:w="566"/>
        <w:gridCol w:w="982"/>
        <w:gridCol w:w="5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7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名称</w:t>
            </w:r>
          </w:p>
        </w:tc>
        <w:tc>
          <w:tcPr>
            <w:tcW w:w="105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产地、品牌</w:t>
            </w:r>
          </w:p>
        </w:tc>
        <w:tc>
          <w:tcPr>
            <w:tcW w:w="425"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2392"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510"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continue"/>
          </w:tcPr>
          <w:p>
            <w:pPr>
              <w:adjustRightInd w:val="0"/>
              <w:snapToGrid w:val="0"/>
              <w:rPr>
                <w:rFonts w:ascii="仿宋_GB2312" w:eastAsia="仿宋_GB2312" w:hAnsiTheme="minorEastAsia"/>
                <w:sz w:val="28"/>
                <w:szCs w:val="28"/>
              </w:rPr>
            </w:pPr>
          </w:p>
        </w:tc>
        <w:tc>
          <w:tcPr>
            <w:tcW w:w="705" w:type="dxa"/>
            <w:vMerge w:val="continue"/>
          </w:tcPr>
          <w:p>
            <w:pPr>
              <w:adjustRightInd w:val="0"/>
              <w:snapToGrid w:val="0"/>
              <w:rPr>
                <w:rFonts w:ascii="仿宋_GB2312" w:eastAsia="仿宋_GB2312" w:hAnsiTheme="minorEastAsia"/>
                <w:sz w:val="28"/>
                <w:szCs w:val="28"/>
              </w:rPr>
            </w:pPr>
          </w:p>
        </w:tc>
        <w:tc>
          <w:tcPr>
            <w:tcW w:w="1054" w:type="dxa"/>
            <w:vMerge w:val="continue"/>
          </w:tcPr>
          <w:p>
            <w:pPr>
              <w:adjustRightInd w:val="0"/>
              <w:snapToGrid w:val="0"/>
              <w:rPr>
                <w:rFonts w:ascii="仿宋_GB2312" w:eastAsia="仿宋_GB2312" w:hAnsiTheme="minorEastAsia"/>
                <w:sz w:val="28"/>
                <w:szCs w:val="28"/>
              </w:rPr>
            </w:pPr>
          </w:p>
        </w:tc>
        <w:tc>
          <w:tcPr>
            <w:tcW w:w="992"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425"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567" w:type="dxa"/>
            <w:vMerge w:val="continue"/>
            <w:tcBorders>
              <w:left w:val="single" w:color="auto" w:sz="4" w:space="0"/>
            </w:tcBorders>
          </w:tcPr>
          <w:p>
            <w:pPr>
              <w:adjustRightInd w:val="0"/>
              <w:snapToGrid w:val="0"/>
              <w:rPr>
                <w:rFonts w:ascii="仿宋_GB2312" w:eastAsia="仿宋_GB2312" w:hAnsiTheme="minorEastAsia"/>
                <w:sz w:val="28"/>
                <w:szCs w:val="28"/>
              </w:rPr>
            </w:pPr>
          </w:p>
        </w:tc>
        <w:tc>
          <w:tcPr>
            <w:tcW w:w="880"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510"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676" w:type="dxa"/>
            <w:gridSpan w:val="9"/>
            <w:tcBorders>
              <w:right w:val="single" w:color="auto" w:sz="4" w:space="0"/>
            </w:tcBorders>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4"/>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850"/>
        <w:gridCol w:w="567"/>
        <w:gridCol w:w="851"/>
        <w:gridCol w:w="850"/>
        <w:gridCol w:w="851"/>
        <w:gridCol w:w="1134"/>
        <w:gridCol w:w="850"/>
        <w:gridCol w:w="992"/>
        <w:gridCol w:w="935"/>
        <w:gridCol w:w="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850"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服务费用分项名称</w:t>
            </w:r>
          </w:p>
        </w:tc>
        <w:tc>
          <w:tcPr>
            <w:tcW w:w="567"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2552"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1134" w:type="dxa"/>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计算依据、过程和公式</w:t>
            </w:r>
          </w:p>
        </w:tc>
        <w:tc>
          <w:tcPr>
            <w:tcW w:w="2777"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602"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34" w:type="dxa"/>
            <w:vMerge w:val="continue"/>
          </w:tcPr>
          <w:p>
            <w:pPr>
              <w:adjustRightInd w:val="0"/>
              <w:snapToGrid w:val="0"/>
              <w:rPr>
                <w:rFonts w:ascii="仿宋_GB2312" w:eastAsia="仿宋_GB2312" w:hAnsiTheme="minorEastAsia"/>
                <w:sz w:val="28"/>
                <w:szCs w:val="28"/>
              </w:rPr>
            </w:pPr>
          </w:p>
        </w:tc>
        <w:tc>
          <w:tcPr>
            <w:tcW w:w="850" w:type="dxa"/>
            <w:vMerge w:val="continue"/>
          </w:tcPr>
          <w:p>
            <w:pPr>
              <w:adjustRightInd w:val="0"/>
              <w:snapToGrid w:val="0"/>
              <w:rPr>
                <w:rFonts w:ascii="仿宋_GB2312" w:eastAsia="仿宋_GB2312" w:hAnsiTheme="minorEastAsia"/>
                <w:sz w:val="28"/>
                <w:szCs w:val="28"/>
              </w:rPr>
            </w:pPr>
          </w:p>
        </w:tc>
        <w:tc>
          <w:tcPr>
            <w:tcW w:w="567" w:type="dxa"/>
            <w:vMerge w:val="continue"/>
          </w:tcPr>
          <w:p>
            <w:pPr>
              <w:adjustRightInd w:val="0"/>
              <w:snapToGrid w:val="0"/>
              <w:rPr>
                <w:rFonts w:ascii="仿宋_GB2312" w:eastAsia="仿宋_GB2312" w:hAnsiTheme="minorEastAsia"/>
                <w:sz w:val="28"/>
                <w:szCs w:val="28"/>
              </w:rPr>
            </w:pPr>
          </w:p>
        </w:tc>
        <w:tc>
          <w:tcPr>
            <w:tcW w:w="851"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850"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851"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113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p>
        </w:tc>
        <w:tc>
          <w:tcPr>
            <w:tcW w:w="850"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99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35"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602"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22"/>
        <w:rPr>
          <w:rFonts w:hint="default"/>
          <w:lang w:val="en-US"/>
        </w:rPr>
      </w:pPr>
    </w:p>
    <w:p>
      <w:pPr>
        <w:pStyle w:val="22"/>
        <w:rPr>
          <w:rFonts w:hint="default"/>
          <w:lang w:val="en-US"/>
        </w:rPr>
      </w:pPr>
    </w:p>
    <w:p>
      <w:pPr>
        <w:pStyle w:val="6"/>
        <w:numPr>
          <w:ilvl w:val="0"/>
          <w:numId w:val="0"/>
        </w:numPr>
        <w:ind w:leftChars="0"/>
        <w:rPr>
          <w:rFonts w:hint="eastAsia" w:asciiTheme="majorEastAsia" w:hAnsiTheme="majorEastAsia" w:eastAsiaTheme="majorEastAsia"/>
          <w:sz w:val="28"/>
          <w:szCs w:val="28"/>
        </w:rPr>
      </w:pPr>
      <w:bookmarkStart w:id="203" w:name="_Toc88209965"/>
      <w:bookmarkStart w:id="204" w:name="_Toc87616402"/>
      <w:bookmarkStart w:id="205" w:name="_Toc16386"/>
      <w:bookmarkStart w:id="206" w:name="_Toc6058"/>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其他资料</w:t>
      </w:r>
      <w:bookmarkEnd w:id="203"/>
      <w:bookmarkEnd w:id="204"/>
      <w:bookmarkEnd w:id="205"/>
      <w:bookmarkEnd w:id="206"/>
    </w:p>
    <w:p>
      <w:pPr>
        <w:jc w:val="both"/>
        <w:rPr>
          <w:rFonts w:hint="eastAsia" w:ascii="Times New Roman" w:hAnsi="Times New Roman" w:eastAsia="仿宋"/>
          <w:b/>
          <w:color w:val="auto"/>
          <w:sz w:val="28"/>
          <w:szCs w:val="28"/>
        </w:rPr>
      </w:pPr>
      <w:r>
        <w:rPr>
          <w:rFonts w:hint="eastAsia" w:ascii="Times New Roman" w:hAnsi="Times New Roman" w:eastAsia="仿宋"/>
          <w:b/>
          <w:color w:val="auto"/>
          <w:sz w:val="28"/>
          <w:szCs w:val="28"/>
          <w:lang w:val="en-US" w:eastAsia="zh-CN"/>
        </w:rPr>
        <w:t>6.1实施</w:t>
      </w:r>
      <w:r>
        <w:rPr>
          <w:rFonts w:hint="eastAsia" w:ascii="Times New Roman" w:hAnsi="Times New Roman" w:eastAsia="仿宋"/>
          <w:b/>
          <w:color w:val="auto"/>
          <w:sz w:val="28"/>
          <w:szCs w:val="28"/>
        </w:rPr>
        <w:t>清单</w:t>
      </w:r>
    </w:p>
    <w:p>
      <w:pPr>
        <w:pStyle w:val="2"/>
        <w:rPr>
          <w:rFonts w:hint="eastAsia"/>
        </w:rPr>
      </w:pPr>
    </w:p>
    <w:tbl>
      <w:tblPr>
        <w:tblStyle w:val="23"/>
        <w:tblW w:w="8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29"/>
        <w:gridCol w:w="1486"/>
        <w:gridCol w:w="56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3" w:hRule="atLeast"/>
          <w:tblHeader/>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建设内容</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模块（服务）名称</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功能（型号版本）</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在线监测数据智慧管理系统及项目实施</w:t>
            </w:r>
          </w:p>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（基本业务管理，资源管理，质量控制管理，查询与数据统计分析，其他功能管理）</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基本业务管理</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宋体" w:hAnsi="宋体" w:cs="宋体"/>
                <w:color w:val="auto"/>
                <w:szCs w:val="21"/>
              </w:rPr>
            </w:pPr>
            <w:r>
              <w:rPr>
                <w:rFonts w:hint="eastAsia" w:ascii="宋体" w:hAnsi="宋体" w:cs="宋体"/>
                <w:color w:val="auto"/>
                <w:szCs w:val="21"/>
              </w:rPr>
              <w:t>数据查询与统计、数据标识与读取仪器状态、报警及预警管理、设备台账管理、异常管理、故障运维提醒、</w:t>
            </w:r>
            <w:r>
              <w:rPr>
                <w:rFonts w:hint="eastAsia" w:ascii="宋体" w:hAnsi="宋体" w:cs="宋体"/>
                <w:color w:val="auto"/>
                <w:szCs w:val="21"/>
                <w:lang w:val="en-US" w:eastAsia="zh-CN"/>
              </w:rPr>
              <w:t>运维日志管理、运维工作质量评价管理、</w:t>
            </w:r>
            <w:r>
              <w:rPr>
                <w:rFonts w:hint="eastAsia" w:ascii="宋体" w:hAnsi="宋体" w:cs="宋体"/>
                <w:color w:val="auto"/>
                <w:szCs w:val="21"/>
              </w:rPr>
              <w:t>大数据应用、网页端应用、移动端应用等，加100人并发用户数（同时在线人数）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资源管理</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账号管理、运维单位信息管理、仪器资产信息管理、监测点信息管理、用户管理、角色权限管理、组织结构管理、系统日志、多语言支持、报表工具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ascii="宋体" w:hAnsi="宋体" w:cs="宋体"/>
                <w:color w:val="auto"/>
                <w:szCs w:val="21"/>
              </w:rPr>
            </w:pPr>
            <w:r>
              <w:rPr>
                <w:rFonts w:hint="eastAsia" w:ascii="宋体" w:hAnsi="宋体" w:cs="宋体"/>
                <w:color w:val="auto"/>
                <w:szCs w:val="21"/>
              </w:rPr>
              <w:t>运行参数管理</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截距、斜率、相关系数、仪器量程、测量精度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ascii="宋体" w:hAnsi="宋体" w:cs="宋体"/>
                <w:color w:val="auto"/>
                <w:szCs w:val="21"/>
              </w:rPr>
            </w:pPr>
            <w:r>
              <w:rPr>
                <w:rFonts w:hint="eastAsia" w:ascii="宋体" w:hAnsi="宋体" w:cs="宋体"/>
                <w:color w:val="auto"/>
                <w:szCs w:val="21"/>
              </w:rPr>
              <w:t>仪器数据采集</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对数采仪读取、采集数据功能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ascii="宋体" w:hAnsi="宋体" w:cs="宋体"/>
                <w:color w:val="auto"/>
                <w:szCs w:val="21"/>
              </w:rPr>
            </w:pPr>
            <w:r>
              <w:rPr>
                <w:rFonts w:hint="eastAsia" w:ascii="宋体" w:hAnsi="宋体" w:cs="宋体"/>
                <w:color w:val="auto"/>
                <w:szCs w:val="21"/>
              </w:rPr>
              <w:t>运维日志管理</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记录运维日常工作日志，试剂更换登记、标液核查登记、校准校验登记、质控比对登记、废液清理登记、备品配件更换记录等，可拍照留存。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ascii="宋体" w:hAnsi="宋体" w:cs="宋体"/>
                <w:color w:val="auto"/>
                <w:szCs w:val="21"/>
              </w:rPr>
            </w:pPr>
            <w:r>
              <w:rPr>
                <w:rFonts w:hint="eastAsia" w:ascii="宋体" w:hAnsi="宋体" w:cs="宋体"/>
                <w:color w:val="auto"/>
                <w:szCs w:val="21"/>
              </w:rPr>
              <w:t>统计分析</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rPr>
                <w:rFonts w:ascii="宋体" w:hAnsi="宋体" w:cs="宋体"/>
                <w:color w:val="auto"/>
                <w:szCs w:val="21"/>
              </w:rPr>
            </w:pPr>
            <w:r>
              <w:rPr>
                <w:rFonts w:hint="eastAsia" w:ascii="宋体" w:hAnsi="宋体" w:cs="宋体"/>
                <w:color w:val="auto"/>
                <w:szCs w:val="21"/>
              </w:rPr>
              <w:t>统计功能（监测指标、数据统计报表、大数据分析、资源管理统计）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系统培训</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系统维护及使用培训、运行调试、维保1年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配套服务器</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云服务器操作系统</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宋体" w:hAnsi="宋体" w:cs="宋体"/>
                <w:color w:val="auto"/>
                <w:szCs w:val="21"/>
              </w:rPr>
            </w:pPr>
            <w:r>
              <w:rPr>
                <w:rFonts w:hint="eastAsia" w:ascii="宋体" w:hAnsi="宋体" w:cs="宋体"/>
                <w:color w:val="auto"/>
                <w:szCs w:val="21"/>
              </w:rPr>
              <w:t>正版操作系统或开源系统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云数据库</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宋体" w:hAnsi="宋体" w:cs="宋体"/>
                <w:color w:val="auto"/>
                <w:szCs w:val="21"/>
              </w:rPr>
            </w:pPr>
            <w:r>
              <w:rPr>
                <w:rFonts w:hint="eastAsia" w:ascii="宋体" w:hAnsi="宋体" w:cs="宋体"/>
                <w:color w:val="auto"/>
                <w:szCs w:val="21"/>
              </w:rPr>
              <w:t>正版数据库或开源数据库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olor w:val="auto"/>
                <w:szCs w:val="21"/>
              </w:rPr>
              <w:t>云服务器</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default"/>
                <w:color w:val="auto"/>
                <w:lang w:val="en-US" w:eastAsia="zh-CN"/>
              </w:rPr>
            </w:pPr>
            <w:r>
              <w:rPr>
                <w:rFonts w:hint="eastAsia"/>
                <w:color w:val="auto"/>
                <w:lang w:val="en-US" w:eastAsia="zh-CN"/>
              </w:rPr>
              <w:t>选用电信、移动或联通三大通讯运营商的云服务器资源；</w:t>
            </w:r>
          </w:p>
          <w:p>
            <w:pPr>
              <w:pStyle w:val="2"/>
              <w:tabs>
                <w:tab w:val="left" w:pos="720"/>
              </w:tabs>
              <w:rPr>
                <w:rFonts w:ascii="宋体" w:hAnsi="宋体" w:cs="宋体"/>
                <w:color w:val="auto"/>
                <w:szCs w:val="21"/>
              </w:rPr>
            </w:pPr>
            <w:r>
              <w:rPr>
                <w:rFonts w:hint="eastAsia" w:ascii="宋体" w:hAnsi="宋体" w:eastAsia="宋体" w:cs="宋体"/>
                <w:color w:val="auto"/>
                <w:kern w:val="2"/>
                <w:sz w:val="21"/>
                <w:szCs w:val="21"/>
                <w:lang w:val="en-US" w:eastAsia="zh-CN" w:bidi="ar-SA"/>
              </w:rPr>
              <w:t>每台服务器要求：CPU≥8核，内存≥16GB，系统盘≥100GB，数据盘≥500GB，带宽≥10Mbit/s，平 均 响 应 时 间（秒）≤ 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网络安全防护</w:t>
            </w:r>
          </w:p>
        </w:tc>
        <w:tc>
          <w:tcPr>
            <w:tcW w:w="1486"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安全服务器与防护服务</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宋体" w:hAnsi="宋体" w:cs="宋体"/>
                <w:color w:val="auto"/>
                <w:szCs w:val="21"/>
              </w:rPr>
            </w:pPr>
            <w:r>
              <w:rPr>
                <w:rFonts w:hint="eastAsia" w:ascii="宋体" w:hAnsi="宋体" w:cs="宋体"/>
                <w:color w:val="auto"/>
                <w:szCs w:val="21"/>
              </w:rPr>
              <w:t>完成</w:t>
            </w:r>
            <w:r>
              <w:rPr>
                <w:rFonts w:hint="eastAsia" w:ascii="宋体" w:hAnsi="宋体" w:eastAsia="宋体" w:cs="宋体"/>
                <w:color w:val="auto"/>
                <w:szCs w:val="21"/>
              </w:rPr>
              <w:t>信息安全等级保护二级</w:t>
            </w:r>
            <w:r>
              <w:rPr>
                <w:rFonts w:hint="eastAsia" w:ascii="宋体" w:hAnsi="宋体" w:eastAsia="宋体" w:cs="宋体"/>
                <w:color w:val="auto"/>
                <w:szCs w:val="21"/>
                <w:lang w:val="en-US" w:eastAsia="zh-CN"/>
              </w:rPr>
              <w:t>测评</w:t>
            </w:r>
            <w:r>
              <w:rPr>
                <w:rFonts w:hint="eastAsia" w:ascii="宋体" w:hAnsi="宋体" w:eastAsia="宋体" w:cs="宋体"/>
                <w:color w:val="auto"/>
                <w:szCs w:val="21"/>
              </w:rPr>
              <w:t>(</w:t>
            </w:r>
            <w:r>
              <w:rPr>
                <w:rFonts w:hint="eastAsia" w:ascii="宋体" w:hAnsi="宋体" w:cs="宋体"/>
                <w:color w:val="auto"/>
                <w:szCs w:val="21"/>
              </w:rPr>
              <w:t>含测评实施和相关测评所需的安全服务、软件采购、应用软件升级实施、部署以及公安部门备案）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4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cs="宋体"/>
                <w:color w:val="auto"/>
                <w:szCs w:val="21"/>
              </w:rPr>
            </w:pPr>
          </w:p>
        </w:tc>
        <w:tc>
          <w:tcPr>
            <w:tcW w:w="148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color w:val="auto"/>
                <w:szCs w:val="21"/>
              </w:rPr>
            </w:pP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宋体" w:hAnsi="宋体" w:cs="宋体"/>
                <w:color w:val="auto"/>
                <w:szCs w:val="21"/>
              </w:rPr>
            </w:pPr>
            <w:r>
              <w:rPr>
                <w:rFonts w:hint="eastAsia" w:ascii="宋体" w:hAnsi="宋体" w:cs="宋体"/>
                <w:color w:val="auto"/>
                <w:szCs w:val="21"/>
                <w:lang w:val="en-US" w:eastAsia="zh-CN"/>
              </w:rPr>
              <w:t>提供符合</w:t>
            </w:r>
            <w:r>
              <w:rPr>
                <w:rFonts w:hint="eastAsia" w:ascii="宋体" w:hAnsi="宋体" w:eastAsia="宋体" w:cs="宋体"/>
                <w:color w:val="auto"/>
                <w:szCs w:val="21"/>
              </w:rPr>
              <w:t>信息安全等级保护二级</w:t>
            </w:r>
            <w:r>
              <w:rPr>
                <w:rFonts w:hint="eastAsia" w:ascii="宋体" w:hAnsi="宋体" w:eastAsia="宋体" w:cs="宋体"/>
                <w:color w:val="auto"/>
                <w:szCs w:val="21"/>
                <w:lang w:val="en-US" w:eastAsia="zh-CN"/>
              </w:rPr>
              <w:t>测评</w:t>
            </w:r>
            <w:r>
              <w:rPr>
                <w:rFonts w:hint="eastAsia" w:ascii="宋体" w:hAnsi="宋体" w:cs="宋体"/>
                <w:color w:val="auto"/>
                <w:szCs w:val="21"/>
                <w:lang w:val="en-US" w:eastAsia="zh-CN"/>
              </w:rPr>
              <w:t>所需的安全服务措施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系统运维   服务</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宋体" w:hAnsi="宋体" w:eastAsia="宋体" w:cs="Calibri"/>
                <w:color w:val="auto"/>
                <w:kern w:val="2"/>
                <w:sz w:val="21"/>
                <w:szCs w:val="21"/>
                <w:lang w:val="en-US" w:eastAsia="zh-CN" w:bidi="ar-SA"/>
              </w:rPr>
            </w:pPr>
            <w:r>
              <w:rPr>
                <w:rFonts w:hint="eastAsia" w:ascii="宋体" w:hAnsi="宋体"/>
                <w:color w:val="auto"/>
                <w:szCs w:val="21"/>
                <w:lang w:val="en-US" w:eastAsia="zh-CN"/>
              </w:rPr>
              <w:t>运维服务</w:t>
            </w:r>
          </w:p>
        </w:tc>
        <w:tc>
          <w:tcPr>
            <w:tcW w:w="56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宋体" w:hAnsi="宋体" w:cs="宋体"/>
                <w:color w:val="auto"/>
                <w:kern w:val="2"/>
                <w:sz w:val="21"/>
                <w:szCs w:val="21"/>
                <w:lang w:val="en-US" w:eastAsia="zh-CN" w:bidi="ar-SA"/>
              </w:rPr>
            </w:pPr>
            <w:r>
              <w:rPr>
                <w:rFonts w:hint="eastAsia" w:ascii="宋体" w:hAnsi="宋体" w:eastAsia="宋体" w:cs="宋体"/>
                <w:color w:val="auto"/>
                <w:szCs w:val="21"/>
                <w:lang w:val="en-US" w:eastAsia="zh-CN"/>
              </w:rPr>
              <w:t>包含但不限于系统每日巡检、服务器定期巡检、应用系统与操作系统定期安全检查、系统打补丁、系统数据定期备份、防火墙病毒库定期更新、系统安全口令定期更换、系统适应性升级、系统故障处置及现场故障处理等内容</w:t>
            </w:r>
          </w:p>
        </w:tc>
      </w:tr>
    </w:tbl>
    <w:p>
      <w:pPr>
        <w:numPr>
          <w:ilvl w:val="0"/>
          <w:numId w:val="0"/>
        </w:numPr>
        <w:ind w:leftChars="0"/>
      </w:pPr>
    </w:p>
    <w:p>
      <w:pPr>
        <w:pStyle w:val="2"/>
      </w:pPr>
    </w:p>
    <w:p>
      <w:pPr>
        <w:jc w:val="both"/>
        <w:rPr>
          <w:rFonts w:hint="default" w:ascii="Times New Roman" w:hAnsi="Times New Roman" w:eastAsia="仿宋"/>
          <w:b/>
          <w:color w:val="auto"/>
          <w:sz w:val="28"/>
          <w:szCs w:val="28"/>
          <w:lang w:val="en-US" w:eastAsia="zh-CN"/>
        </w:rPr>
      </w:pPr>
      <w:r>
        <w:rPr>
          <w:rFonts w:hint="eastAsia" w:ascii="Times New Roman" w:hAnsi="Times New Roman" w:eastAsia="仿宋"/>
          <w:b/>
          <w:color w:val="auto"/>
          <w:sz w:val="28"/>
          <w:szCs w:val="28"/>
          <w:lang w:val="en-US" w:eastAsia="zh-CN"/>
        </w:rPr>
        <w:t>6.2.后续费用清单</w:t>
      </w:r>
    </w:p>
    <w:tbl>
      <w:tblPr>
        <w:tblStyle w:val="23"/>
        <w:tblW w:w="92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74"/>
        <w:gridCol w:w="1620"/>
        <w:gridCol w:w="3135"/>
        <w:gridCol w:w="31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费用类别</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内容</w:t>
            </w: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lang w:val="en-US" w:eastAsia="zh-CN"/>
              </w:rPr>
            </w:pPr>
            <w:r>
              <w:rPr>
                <w:rFonts w:hint="eastAsia" w:ascii="宋体" w:hAnsi="宋体" w:cs="宋体"/>
                <w:b/>
                <w:color w:val="auto"/>
                <w:szCs w:val="21"/>
                <w:lang w:val="en-US" w:eastAsia="zh-CN"/>
              </w:rPr>
              <w:t>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平台运维费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服务器租赁费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安全防护费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等保测评费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7</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bl>
    <w:p>
      <w:pPr>
        <w:adjustRightInd w:val="0"/>
        <w:snapToGrid w:val="0"/>
        <w:spacing w:line="300" w:lineRule="auto"/>
        <w:rPr>
          <w:rFonts w:ascii="Times New Roman" w:eastAsia="仿宋" w:cs="Times New Roman"/>
          <w:color w:val="auto"/>
        </w:rPr>
      </w:pPr>
    </w:p>
    <w:p>
      <w:pPr>
        <w:adjustRightInd w:val="0"/>
        <w:snapToGrid w:val="0"/>
        <w:spacing w:line="300" w:lineRule="auto"/>
        <w:rPr>
          <w:rFonts w:ascii="Times New Roman" w:hAnsi="Times New Roman" w:eastAsia="仿宋" w:cs="Times New Roman"/>
          <w:color w:val="auto"/>
          <w:sz w:val="28"/>
          <w:szCs w:val="28"/>
        </w:rPr>
      </w:pPr>
      <w:r>
        <w:rPr>
          <w:rFonts w:ascii="Times New Roman" w:eastAsia="仿宋" w:cs="Times New Roman"/>
          <w:color w:val="auto"/>
        </w:rPr>
        <w:t>说明：本设备清单仅指主要供货范围，是系统的必要组成部分，并非详细完整配置。</w:t>
      </w:r>
      <w:r>
        <w:rPr>
          <w:rFonts w:hint="eastAsia" w:ascii="Times New Roman" w:eastAsia="仿宋" w:cs="Times New Roman"/>
          <w:color w:val="auto"/>
          <w:lang w:val="en-US" w:eastAsia="zh-CN"/>
        </w:rPr>
        <w:t>报价</w:t>
      </w:r>
      <w:r>
        <w:rPr>
          <w:rFonts w:ascii="Times New Roman" w:eastAsia="仿宋" w:cs="Times New Roman"/>
          <w:color w:val="auto"/>
        </w:rPr>
        <w:t>人应根据系统整体要求对清单中未列出但为使整套系统能够按本</w:t>
      </w:r>
      <w:r>
        <w:rPr>
          <w:rFonts w:hint="eastAsia" w:ascii="Times New Roman" w:eastAsia="仿宋" w:cs="Times New Roman"/>
          <w:color w:val="auto"/>
        </w:rPr>
        <w:t>询价</w:t>
      </w:r>
      <w:r>
        <w:rPr>
          <w:rFonts w:ascii="Times New Roman" w:eastAsia="仿宋" w:cs="Times New Roman"/>
          <w:color w:val="auto"/>
        </w:rPr>
        <w:t>文件要求长期正常有效运行所需的货物和附件（包括但不限于：硬件、软件、支架、附件、线缆、专用检测设备和工具、材料等）进行补充，并应包含在</w:t>
      </w:r>
      <w:r>
        <w:rPr>
          <w:rFonts w:hint="eastAsia" w:ascii="Times New Roman" w:eastAsia="仿宋" w:cs="Times New Roman"/>
          <w:color w:val="auto"/>
          <w:lang w:val="en-US" w:eastAsia="zh-CN"/>
        </w:rPr>
        <w:t>项目</w:t>
      </w:r>
      <w:r>
        <w:rPr>
          <w:rFonts w:ascii="Times New Roman" w:eastAsia="仿宋" w:cs="Times New Roman"/>
          <w:color w:val="auto"/>
        </w:rPr>
        <w:t xml:space="preserve">总价内。 </w:t>
      </w:r>
    </w:p>
    <w:p>
      <w:pPr>
        <w:adjustRightInd w:val="0"/>
        <w:snapToGrid w:val="0"/>
        <w:spacing w:line="300" w:lineRule="auto"/>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报价单位代表（签名或盖私章）：</w:t>
      </w:r>
      <w:r>
        <w:rPr>
          <w:rFonts w:ascii="Times New Roman" w:hAnsi="Times New Roman" w:eastAsia="仿宋" w:cs="Times New Roman"/>
          <w:color w:val="auto"/>
          <w:sz w:val="28"/>
          <w:szCs w:val="28"/>
          <w:u w:val="single"/>
        </w:rPr>
        <w:t xml:space="preserve">                   </w:t>
      </w:r>
    </w:p>
    <w:p>
      <w:pPr>
        <w:adjustRightInd w:val="0"/>
        <w:snapToGrid w:val="0"/>
        <w:spacing w:line="300" w:lineRule="auto"/>
        <w:rPr>
          <w:rFonts w:ascii="Times New Roman" w:hAnsi="Times New Roman" w:eastAsia="仿宋" w:cs="Times New Roman"/>
          <w:color w:val="auto"/>
          <w:sz w:val="28"/>
          <w:szCs w:val="28"/>
          <w:u w:val="single"/>
        </w:rPr>
      </w:pPr>
      <w:r>
        <w:rPr>
          <w:rFonts w:ascii="Times New Roman" w:hAnsi="Times New Roman" w:eastAsia="仿宋" w:cs="Times New Roman"/>
          <w:color w:val="auto"/>
          <w:sz w:val="28"/>
          <w:szCs w:val="28"/>
        </w:rPr>
        <w:t>报价单位名称（盖单位公章）：</w:t>
      </w:r>
      <w:r>
        <w:rPr>
          <w:rFonts w:ascii="Times New Roman" w:hAnsi="Times New Roman" w:eastAsia="仿宋" w:cs="Times New Roman"/>
          <w:color w:val="auto"/>
          <w:sz w:val="28"/>
          <w:szCs w:val="28"/>
          <w:u w:val="single"/>
        </w:rPr>
        <w:t xml:space="preserve">                        </w:t>
      </w:r>
    </w:p>
    <w:p>
      <w:pPr>
        <w:rPr>
          <w:rFonts w:ascii="Times New Roman" w:hAnsi="Times New Roman" w:eastAsia="仿宋_GB2312" w:cs="Times New Roman"/>
          <w:snapToGrid w:val="0"/>
          <w:color w:val="auto"/>
          <w:spacing w:val="4"/>
          <w:kern w:val="0"/>
          <w:sz w:val="24"/>
        </w:rPr>
      </w:pPr>
      <w:r>
        <w:rPr>
          <w:rFonts w:ascii="Times New Roman" w:hAnsi="Times New Roman" w:eastAsia="仿宋" w:cs="Times New Roman"/>
          <w:color w:val="auto"/>
          <w:sz w:val="28"/>
          <w:szCs w:val="28"/>
        </w:rPr>
        <w:t>日期：</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年</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 xml:space="preserve"> 月</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 xml:space="preserve"> 日</w:t>
      </w:r>
      <w:r>
        <w:rPr>
          <w:rFonts w:ascii="Times New Roman" w:hAnsi="Times New Roman" w:eastAsia="仿宋_GB2312" w:cs="Times New Roman"/>
          <w:snapToGrid w:val="0"/>
          <w:color w:val="auto"/>
          <w:spacing w:val="4"/>
          <w:kern w:val="0"/>
          <w:sz w:val="24"/>
        </w:rPr>
        <w:t xml:space="preserve"> </w:t>
      </w:r>
    </w:p>
    <w:p>
      <w:pPr>
        <w:pStyle w:val="3"/>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4A3500"/>
    <w:multiLevelType w:val="singleLevel"/>
    <w:tmpl w:val="C04A3500"/>
    <w:lvl w:ilvl="0" w:tentative="0">
      <w:start w:val="1"/>
      <w:numFmt w:val="decimal"/>
      <w:suff w:val="nothing"/>
      <w:lvlText w:val="（%1）"/>
      <w:lvlJc w:val="left"/>
      <w:rPr>
        <w:rFonts w:hint="default"/>
        <w:color w:val="auto"/>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2MyNjQ2NGY1MjllMmY0MzFhM2QxMmJlMjlmNDUifQ=="/>
  </w:docVars>
  <w:rsids>
    <w:rsidRoot w:val="005D618A"/>
    <w:rsid w:val="003D60BA"/>
    <w:rsid w:val="00411689"/>
    <w:rsid w:val="005C362B"/>
    <w:rsid w:val="005D618A"/>
    <w:rsid w:val="00911ECD"/>
    <w:rsid w:val="00A042E0"/>
    <w:rsid w:val="00B26BB1"/>
    <w:rsid w:val="00B26E21"/>
    <w:rsid w:val="00F83B64"/>
    <w:rsid w:val="02090C75"/>
    <w:rsid w:val="02A23A3C"/>
    <w:rsid w:val="03AC246A"/>
    <w:rsid w:val="03B23056"/>
    <w:rsid w:val="03DC3EBA"/>
    <w:rsid w:val="03F9794D"/>
    <w:rsid w:val="046A2461"/>
    <w:rsid w:val="06C64829"/>
    <w:rsid w:val="077D16D2"/>
    <w:rsid w:val="08675FC8"/>
    <w:rsid w:val="09B713FD"/>
    <w:rsid w:val="09EF6ACC"/>
    <w:rsid w:val="0A287977"/>
    <w:rsid w:val="0A315056"/>
    <w:rsid w:val="0AFB45AD"/>
    <w:rsid w:val="0B351E9B"/>
    <w:rsid w:val="0B4C50D3"/>
    <w:rsid w:val="0B806B92"/>
    <w:rsid w:val="0B827E94"/>
    <w:rsid w:val="0BD070E1"/>
    <w:rsid w:val="0C247926"/>
    <w:rsid w:val="0D3D0294"/>
    <w:rsid w:val="0D794204"/>
    <w:rsid w:val="0E112D0B"/>
    <w:rsid w:val="0E2125D1"/>
    <w:rsid w:val="0E214211"/>
    <w:rsid w:val="0E5F2769"/>
    <w:rsid w:val="0F4D75A3"/>
    <w:rsid w:val="0F5B2DCA"/>
    <w:rsid w:val="0FED051E"/>
    <w:rsid w:val="0FEE4C29"/>
    <w:rsid w:val="10046082"/>
    <w:rsid w:val="10FF123B"/>
    <w:rsid w:val="112B101A"/>
    <w:rsid w:val="119B53FC"/>
    <w:rsid w:val="12424CDC"/>
    <w:rsid w:val="127A5A82"/>
    <w:rsid w:val="129A2738"/>
    <w:rsid w:val="12B56BF1"/>
    <w:rsid w:val="12CB1A89"/>
    <w:rsid w:val="131840FB"/>
    <w:rsid w:val="13467417"/>
    <w:rsid w:val="134F1CE9"/>
    <w:rsid w:val="136E76CF"/>
    <w:rsid w:val="15667CA7"/>
    <w:rsid w:val="159F637F"/>
    <w:rsid w:val="15BC6B3C"/>
    <w:rsid w:val="1694429A"/>
    <w:rsid w:val="17635326"/>
    <w:rsid w:val="18236EFD"/>
    <w:rsid w:val="18874F11"/>
    <w:rsid w:val="189D5B1F"/>
    <w:rsid w:val="18A34CD0"/>
    <w:rsid w:val="19B64DBC"/>
    <w:rsid w:val="1A373ACF"/>
    <w:rsid w:val="1A895341"/>
    <w:rsid w:val="1B0D071F"/>
    <w:rsid w:val="1B4568CE"/>
    <w:rsid w:val="1B9015B7"/>
    <w:rsid w:val="1D5A79EE"/>
    <w:rsid w:val="1DFD443E"/>
    <w:rsid w:val="1E0E2CD0"/>
    <w:rsid w:val="1E831280"/>
    <w:rsid w:val="1EBC4704"/>
    <w:rsid w:val="1F172EB5"/>
    <w:rsid w:val="1F94592D"/>
    <w:rsid w:val="1FB860DE"/>
    <w:rsid w:val="202540FB"/>
    <w:rsid w:val="203C5A02"/>
    <w:rsid w:val="209D4C94"/>
    <w:rsid w:val="20E84705"/>
    <w:rsid w:val="218400BA"/>
    <w:rsid w:val="21AB1E2F"/>
    <w:rsid w:val="21D40498"/>
    <w:rsid w:val="22767047"/>
    <w:rsid w:val="23A05588"/>
    <w:rsid w:val="25431AEB"/>
    <w:rsid w:val="25BF43FD"/>
    <w:rsid w:val="25F86BCD"/>
    <w:rsid w:val="25FB1BD3"/>
    <w:rsid w:val="2605748B"/>
    <w:rsid w:val="269E416A"/>
    <w:rsid w:val="26C909B2"/>
    <w:rsid w:val="272100D3"/>
    <w:rsid w:val="272C72FC"/>
    <w:rsid w:val="27AE2913"/>
    <w:rsid w:val="27EB149D"/>
    <w:rsid w:val="27FD3E52"/>
    <w:rsid w:val="28E11370"/>
    <w:rsid w:val="294A756A"/>
    <w:rsid w:val="29D5322D"/>
    <w:rsid w:val="2A025DD9"/>
    <w:rsid w:val="2A7C2231"/>
    <w:rsid w:val="2ABB753D"/>
    <w:rsid w:val="2B7A49FA"/>
    <w:rsid w:val="2C615D26"/>
    <w:rsid w:val="2CB679ED"/>
    <w:rsid w:val="2D173C07"/>
    <w:rsid w:val="2D424A86"/>
    <w:rsid w:val="2E7B52DB"/>
    <w:rsid w:val="2ECD69D3"/>
    <w:rsid w:val="2F324CFE"/>
    <w:rsid w:val="2FBA09F1"/>
    <w:rsid w:val="2FEF2ACF"/>
    <w:rsid w:val="30007DD5"/>
    <w:rsid w:val="30540211"/>
    <w:rsid w:val="3104458B"/>
    <w:rsid w:val="312D7741"/>
    <w:rsid w:val="31341C24"/>
    <w:rsid w:val="316F137F"/>
    <w:rsid w:val="31DF525F"/>
    <w:rsid w:val="32324C2E"/>
    <w:rsid w:val="327171DF"/>
    <w:rsid w:val="34096942"/>
    <w:rsid w:val="341E3434"/>
    <w:rsid w:val="351A2FDD"/>
    <w:rsid w:val="360B7EBA"/>
    <w:rsid w:val="369C32FD"/>
    <w:rsid w:val="36B721A8"/>
    <w:rsid w:val="37570BB2"/>
    <w:rsid w:val="37666E72"/>
    <w:rsid w:val="38167A04"/>
    <w:rsid w:val="38411F32"/>
    <w:rsid w:val="394B167A"/>
    <w:rsid w:val="3A4E4336"/>
    <w:rsid w:val="3A6007FE"/>
    <w:rsid w:val="3B7C2CE4"/>
    <w:rsid w:val="3C0B5355"/>
    <w:rsid w:val="3CD4176B"/>
    <w:rsid w:val="3D1F44D9"/>
    <w:rsid w:val="3D5C38CD"/>
    <w:rsid w:val="3DC25B26"/>
    <w:rsid w:val="3E5070F1"/>
    <w:rsid w:val="3F6C3589"/>
    <w:rsid w:val="3F850180"/>
    <w:rsid w:val="3F9004D6"/>
    <w:rsid w:val="400E4D5E"/>
    <w:rsid w:val="40E1138C"/>
    <w:rsid w:val="413814BA"/>
    <w:rsid w:val="41872511"/>
    <w:rsid w:val="42466655"/>
    <w:rsid w:val="42C82F57"/>
    <w:rsid w:val="43C76AF7"/>
    <w:rsid w:val="446828F0"/>
    <w:rsid w:val="44A00D3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10CA1"/>
    <w:rsid w:val="485321E0"/>
    <w:rsid w:val="48546AD3"/>
    <w:rsid w:val="48CA4868"/>
    <w:rsid w:val="48F005D3"/>
    <w:rsid w:val="498F4AF1"/>
    <w:rsid w:val="49C05787"/>
    <w:rsid w:val="49CF518D"/>
    <w:rsid w:val="4A32022E"/>
    <w:rsid w:val="4ADA1F63"/>
    <w:rsid w:val="4AE23D89"/>
    <w:rsid w:val="4B2038D0"/>
    <w:rsid w:val="4B296E7D"/>
    <w:rsid w:val="4B877F28"/>
    <w:rsid w:val="4D916BA6"/>
    <w:rsid w:val="4DC44169"/>
    <w:rsid w:val="4EF0709E"/>
    <w:rsid w:val="4F246FDD"/>
    <w:rsid w:val="513C6A7B"/>
    <w:rsid w:val="52274AF1"/>
    <w:rsid w:val="5333545B"/>
    <w:rsid w:val="5450213C"/>
    <w:rsid w:val="54D24048"/>
    <w:rsid w:val="54D64CD5"/>
    <w:rsid w:val="55887D69"/>
    <w:rsid w:val="55B522E2"/>
    <w:rsid w:val="561A0928"/>
    <w:rsid w:val="56423872"/>
    <w:rsid w:val="56B279F0"/>
    <w:rsid w:val="579D710E"/>
    <w:rsid w:val="581F22F6"/>
    <w:rsid w:val="586E1E17"/>
    <w:rsid w:val="58862C35"/>
    <w:rsid w:val="58C14957"/>
    <w:rsid w:val="59281AB0"/>
    <w:rsid w:val="5A172708"/>
    <w:rsid w:val="5AE83A50"/>
    <w:rsid w:val="5B701244"/>
    <w:rsid w:val="5BAB2917"/>
    <w:rsid w:val="5BFC33FA"/>
    <w:rsid w:val="5C3107A4"/>
    <w:rsid w:val="5C3B1B93"/>
    <w:rsid w:val="5C9220DF"/>
    <w:rsid w:val="5D4A15F3"/>
    <w:rsid w:val="5D69542A"/>
    <w:rsid w:val="5E0930EF"/>
    <w:rsid w:val="5E3D4D53"/>
    <w:rsid w:val="5E4717E6"/>
    <w:rsid w:val="5E55774C"/>
    <w:rsid w:val="60104DDC"/>
    <w:rsid w:val="605C0804"/>
    <w:rsid w:val="6189617B"/>
    <w:rsid w:val="61A9538B"/>
    <w:rsid w:val="61B52BB6"/>
    <w:rsid w:val="61B749C2"/>
    <w:rsid w:val="62280D20"/>
    <w:rsid w:val="62CA2457"/>
    <w:rsid w:val="638240A1"/>
    <w:rsid w:val="63A5257B"/>
    <w:rsid w:val="63BD3DCC"/>
    <w:rsid w:val="63C61741"/>
    <w:rsid w:val="64560967"/>
    <w:rsid w:val="64E9155E"/>
    <w:rsid w:val="65152DD4"/>
    <w:rsid w:val="656B1D10"/>
    <w:rsid w:val="66022B28"/>
    <w:rsid w:val="66581E87"/>
    <w:rsid w:val="66FA11D5"/>
    <w:rsid w:val="674302C7"/>
    <w:rsid w:val="680A5986"/>
    <w:rsid w:val="680D5F4B"/>
    <w:rsid w:val="68113F51"/>
    <w:rsid w:val="681B7A73"/>
    <w:rsid w:val="68E94770"/>
    <w:rsid w:val="68F949C9"/>
    <w:rsid w:val="695A4290"/>
    <w:rsid w:val="69CE6F63"/>
    <w:rsid w:val="6A334932"/>
    <w:rsid w:val="6A3353FF"/>
    <w:rsid w:val="6A5D63E6"/>
    <w:rsid w:val="6A5F24D1"/>
    <w:rsid w:val="6A8F7496"/>
    <w:rsid w:val="6AE347EB"/>
    <w:rsid w:val="6AEA045A"/>
    <w:rsid w:val="6B434AF0"/>
    <w:rsid w:val="6B57675A"/>
    <w:rsid w:val="6BDD7B4D"/>
    <w:rsid w:val="6EBC0B3A"/>
    <w:rsid w:val="6EF51C7D"/>
    <w:rsid w:val="6F8363E5"/>
    <w:rsid w:val="6FC746F5"/>
    <w:rsid w:val="6FEA0A38"/>
    <w:rsid w:val="700253EE"/>
    <w:rsid w:val="702F11D4"/>
    <w:rsid w:val="70317AC6"/>
    <w:rsid w:val="705D32C3"/>
    <w:rsid w:val="70863262"/>
    <w:rsid w:val="70A76ED3"/>
    <w:rsid w:val="71860B17"/>
    <w:rsid w:val="71DD2CCF"/>
    <w:rsid w:val="723B27CC"/>
    <w:rsid w:val="72687227"/>
    <w:rsid w:val="72A03FD9"/>
    <w:rsid w:val="73406CFF"/>
    <w:rsid w:val="7383028C"/>
    <w:rsid w:val="73A25E44"/>
    <w:rsid w:val="741F68CF"/>
    <w:rsid w:val="75252DF3"/>
    <w:rsid w:val="75621536"/>
    <w:rsid w:val="75BF3154"/>
    <w:rsid w:val="764A07CF"/>
    <w:rsid w:val="764F6B3D"/>
    <w:rsid w:val="76C20566"/>
    <w:rsid w:val="76CD2B7B"/>
    <w:rsid w:val="76D80645"/>
    <w:rsid w:val="76E03371"/>
    <w:rsid w:val="77A27102"/>
    <w:rsid w:val="780E5898"/>
    <w:rsid w:val="782642CC"/>
    <w:rsid w:val="7894095E"/>
    <w:rsid w:val="79000679"/>
    <w:rsid w:val="794B0358"/>
    <w:rsid w:val="79A416F0"/>
    <w:rsid w:val="79B03EB6"/>
    <w:rsid w:val="7AF37579"/>
    <w:rsid w:val="7AF87F64"/>
    <w:rsid w:val="7B1C0C84"/>
    <w:rsid w:val="7B5A62DF"/>
    <w:rsid w:val="7B7A04A8"/>
    <w:rsid w:val="7C0C3F6D"/>
    <w:rsid w:val="7C22163C"/>
    <w:rsid w:val="7C595075"/>
    <w:rsid w:val="7C6B07B2"/>
    <w:rsid w:val="7D133243"/>
    <w:rsid w:val="7E382D5E"/>
    <w:rsid w:val="7E394207"/>
    <w:rsid w:val="7E4007A2"/>
    <w:rsid w:val="7E791CAD"/>
    <w:rsid w:val="7EA50DFB"/>
    <w:rsid w:val="7EC86878"/>
    <w:rsid w:val="7F16390D"/>
    <w:rsid w:val="7F3C52BE"/>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1">
    <w:name w:val="Body Text First Indent"/>
    <w:basedOn w:val="2"/>
    <w:next w:val="1"/>
    <w:qFormat/>
    <w:uiPriority w:val="0"/>
    <w:pPr>
      <w:tabs>
        <w:tab w:val="left" w:pos="720"/>
      </w:tabs>
      <w:snapToGrid w:val="0"/>
      <w:spacing w:after="120" w:line="240" w:lineRule="auto"/>
      <w:ind w:firstLine="420"/>
      <w:textAlignment w:val="auto"/>
    </w:pPr>
    <w:rPr>
      <w:rFonts w:ascii="Times New Roman"/>
      <w:kern w:val="2"/>
      <w:sz w:val="24"/>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35940</Words>
  <Characters>38077</Characters>
  <Lines>300</Lines>
  <Paragraphs>84</Paragraphs>
  <TotalTime>44</TotalTime>
  <ScaleCrop>false</ScaleCrop>
  <LinksUpToDate>false</LinksUpToDate>
  <CharactersWithSpaces>40996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2022-06-02T00:58:00Z</cp:lastPrinted>
  <dcterms:modified xsi:type="dcterms:W3CDTF">2022-06-15T02:50:44Z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A61DEFB3D2A64D5C85F733E3978B4020</vt:lpwstr>
  </property>
</Properties>
</file>