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lang w:val="en-US" w:eastAsia="zh-CN"/>
        </w:rPr>
        <w:t>广州市净水有限公司2022年非诉专项法律服务项目</w:t>
      </w: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18145"/>
      <w:bookmarkStart w:id="1" w:name="_Toc26148"/>
    </w:p>
    <w:p>
      <w:pPr>
        <w:rPr>
          <w:rFonts w:hint="eastAsia"/>
          <w:color w:val="auto"/>
          <w:highlight w:val="none"/>
        </w:rPr>
      </w:pPr>
    </w:p>
    <w:p>
      <w:pPr>
        <w:pStyle w:val="4"/>
        <w:rPr>
          <w:rFonts w:hint="eastAsia"/>
          <w:color w:val="auto"/>
          <w:highlight w:val="none"/>
        </w:rPr>
      </w:pPr>
      <w:bookmarkStart w:id="2" w:name="_Toc1711"/>
      <w:bookmarkStart w:id="3" w:name="_Toc17696"/>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31938"/>
      <w:bookmarkStart w:id="5" w:name="_Toc7519"/>
      <w:bookmarkStart w:id="6" w:name="_Toc19609"/>
      <w:bookmarkStart w:id="7" w:name="_Toc4275"/>
      <w:bookmarkStart w:id="8" w:name="_Toc11322"/>
      <w:bookmarkStart w:id="9" w:name="_Toc17801"/>
      <w:bookmarkStart w:id="10" w:name="_Toc1669"/>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SgX3Cd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IK2LetYAAAAJAQAADwAAAAAAAAAB&#10;ACAAAAAiAAAAZHJzL2Rvd25yZXYueG1sUEsBAhQAFAAAAAgAh07iQD9ANObZAQAAlgMAAA4AAAAA&#10;AAAAAQAgAAAAJQ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广州市净水有限公司2022年非诉讼专项法律服务</w:t>
      </w:r>
      <w:r>
        <w:rPr>
          <w:rFonts w:hint="eastAsia" w:ascii="仿宋_GB2312" w:eastAsia="仿宋_GB2312"/>
          <w:color w:val="auto"/>
          <w:sz w:val="28"/>
          <w:szCs w:val="28"/>
          <w:highlight w:val="none"/>
        </w:rPr>
        <w:t>已具备采购条件，现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A3"/>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广州市净水有限公司2022年非诉讼专项法律服务</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XJ-20220609-2</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100万元（不含）以下</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lang w:val="en-US" w:eastAsia="zh-CN"/>
        </w:rPr>
        <w:t>无。</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none"/>
          <w:lang w:val="en-US" w:eastAsia="zh-CN"/>
        </w:rPr>
        <w:t>中选单位作为2022年6月至2023年5月期间公司非诉讼专项法律服务的服务单位并签订服务合同，代理公司的非诉专项法律服务（具体以实际委托项目为准）。但属地性较强、专业性极强等聘请其他律师事务所有利于降低成本或提高法律服务效果的，我公司可另行委托。</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根据公司的委托，中选单位</w:t>
      </w:r>
      <w:r>
        <w:rPr>
          <w:rFonts w:hint="eastAsia" w:ascii="仿宋_GB2312" w:eastAsia="仿宋_GB2312"/>
          <w:color w:val="auto"/>
          <w:sz w:val="28"/>
          <w:szCs w:val="28"/>
          <w:highlight w:val="none"/>
          <w:u w:val="none"/>
        </w:rPr>
        <w:t>在本</w:t>
      </w:r>
      <w:r>
        <w:rPr>
          <w:rFonts w:hint="eastAsia" w:ascii="仿宋_GB2312" w:eastAsia="仿宋_GB2312"/>
          <w:color w:val="auto"/>
          <w:sz w:val="28"/>
          <w:szCs w:val="28"/>
          <w:highlight w:val="none"/>
          <w:u w:val="none"/>
          <w:lang w:val="en-US" w:eastAsia="zh-CN"/>
        </w:rPr>
        <w:t>合同期限内</w:t>
      </w:r>
      <w:r>
        <w:rPr>
          <w:rFonts w:hint="eastAsia" w:ascii="仿宋_GB2312" w:eastAsia="仿宋_GB2312"/>
          <w:color w:val="auto"/>
          <w:sz w:val="28"/>
          <w:szCs w:val="28"/>
          <w:highlight w:val="none"/>
          <w:u w:val="none"/>
        </w:rPr>
        <w:t>为</w:t>
      </w:r>
      <w:r>
        <w:rPr>
          <w:rFonts w:hint="eastAsia" w:ascii="仿宋_GB2312" w:eastAsia="仿宋_GB2312"/>
          <w:color w:val="auto"/>
          <w:sz w:val="28"/>
          <w:szCs w:val="28"/>
          <w:highlight w:val="none"/>
          <w:u w:val="none"/>
          <w:lang w:val="en-US" w:eastAsia="zh-CN"/>
        </w:rPr>
        <w:t>公司</w:t>
      </w:r>
      <w:r>
        <w:rPr>
          <w:rFonts w:hint="eastAsia" w:ascii="仿宋_GB2312" w:eastAsia="仿宋_GB2312"/>
          <w:color w:val="auto"/>
          <w:sz w:val="28"/>
          <w:szCs w:val="28"/>
          <w:highlight w:val="none"/>
          <w:u w:val="none"/>
        </w:rPr>
        <w:t>提供专项法律服务</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具体项目以我公司实际委托为准</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包括但不限于法律尽职调查，法律风险分析，法律解决方案研究、参与协商谈判、合规审查等。具体工作内容如下：</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1.对各具体专项提供专项法律咨询服务工作，出具法律意见书；</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2.协助起草、修改、审核各类合同、报告、函件，出具合法性审查意见书；</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3.应甲方要求，参加协商谈判，协调处理纠纷、争议等非诉讼、非仲裁法律事务；</w:t>
      </w:r>
      <w:r>
        <w:rPr>
          <w:rFonts w:hint="eastAsia" w:ascii="仿宋_GB2312" w:eastAsia="仿宋_GB2312"/>
          <w:color w:val="auto"/>
          <w:sz w:val="28"/>
          <w:szCs w:val="28"/>
          <w:highlight w:val="none"/>
          <w:u w:val="none"/>
          <w:lang w:val="en-US" w:eastAsia="zh-CN"/>
        </w:rPr>
        <w:br w:type="textWrapping"/>
      </w:r>
      <w:r>
        <w:rPr>
          <w:rFonts w:hint="eastAsia" w:ascii="仿宋_GB2312" w:eastAsia="仿宋_GB2312"/>
          <w:color w:val="auto"/>
          <w:sz w:val="28"/>
          <w:szCs w:val="28"/>
          <w:highlight w:val="none"/>
          <w:u w:val="none"/>
          <w:lang w:val="en-US" w:eastAsia="zh-CN"/>
        </w:rPr>
        <w:t xml:space="preserve">    4.协助处理突发维稳事件，涉嫌刑事犯罪的，协助报案、申诉；</w:t>
      </w:r>
      <w:r>
        <w:rPr>
          <w:rFonts w:hint="eastAsia" w:ascii="仿宋_GB2312" w:eastAsia="仿宋_GB2312"/>
          <w:color w:val="auto"/>
          <w:sz w:val="28"/>
          <w:szCs w:val="28"/>
          <w:highlight w:val="none"/>
          <w:u w:val="none"/>
          <w:lang w:val="en-US" w:eastAsia="zh-CN"/>
        </w:rPr>
        <w:br w:type="textWrapping"/>
      </w:r>
      <w:r>
        <w:rPr>
          <w:rFonts w:hint="eastAsia" w:ascii="仿宋_GB2312" w:eastAsia="仿宋_GB2312"/>
          <w:color w:val="auto"/>
          <w:sz w:val="28"/>
          <w:szCs w:val="28"/>
          <w:highlight w:val="none"/>
          <w:u w:val="none"/>
          <w:lang w:val="en-US" w:eastAsia="zh-CN"/>
        </w:rPr>
        <w:t xml:space="preserve">    5.根据项目需要及甲方的要求，向公司提出建议，参加相关讨论会、协调会等；</w:t>
      </w:r>
      <w:r>
        <w:rPr>
          <w:rFonts w:hint="eastAsia" w:ascii="仿宋_GB2312" w:eastAsia="仿宋_GB2312"/>
          <w:color w:val="auto"/>
          <w:sz w:val="28"/>
          <w:szCs w:val="28"/>
          <w:highlight w:val="none"/>
          <w:u w:val="none"/>
          <w:lang w:val="en-US" w:eastAsia="zh-CN"/>
        </w:rPr>
        <w:br w:type="textWrapping"/>
      </w:r>
      <w:r>
        <w:rPr>
          <w:rFonts w:hint="eastAsia" w:ascii="仿宋_GB2312" w:eastAsia="仿宋_GB2312"/>
          <w:color w:val="auto"/>
          <w:sz w:val="28"/>
          <w:szCs w:val="28"/>
          <w:highlight w:val="none"/>
          <w:u w:val="none"/>
          <w:lang w:val="en-US" w:eastAsia="zh-CN"/>
        </w:rPr>
        <w:t xml:space="preserve">    6.按公司要求，向有关单位发律师函；</w:t>
      </w:r>
      <w:r>
        <w:rPr>
          <w:rFonts w:hint="eastAsia" w:ascii="仿宋_GB2312" w:eastAsia="仿宋_GB2312"/>
          <w:color w:val="auto"/>
          <w:sz w:val="28"/>
          <w:szCs w:val="28"/>
          <w:highlight w:val="none"/>
          <w:u w:val="none"/>
          <w:lang w:val="en-US" w:eastAsia="zh-CN"/>
        </w:rPr>
        <w:br w:type="textWrapping"/>
      </w:r>
      <w:r>
        <w:rPr>
          <w:rFonts w:hint="eastAsia" w:ascii="仿宋_GB2312" w:eastAsia="仿宋_GB2312"/>
          <w:color w:val="auto"/>
          <w:sz w:val="28"/>
          <w:szCs w:val="28"/>
          <w:highlight w:val="none"/>
          <w:u w:val="none"/>
          <w:lang w:val="en-US" w:eastAsia="zh-CN"/>
        </w:rPr>
        <w:t xml:space="preserve">    7.协助公司配合有关部门的调查、传唤、讯问；</w:t>
      </w:r>
      <w:r>
        <w:rPr>
          <w:rFonts w:hint="eastAsia" w:ascii="仿宋_GB2312" w:eastAsia="仿宋_GB2312"/>
          <w:color w:val="auto"/>
          <w:sz w:val="28"/>
          <w:szCs w:val="28"/>
          <w:highlight w:val="none"/>
          <w:u w:val="none"/>
          <w:lang w:val="en-US" w:eastAsia="zh-CN"/>
        </w:rPr>
        <w:br w:type="textWrapping"/>
      </w:r>
      <w:r>
        <w:rPr>
          <w:rFonts w:hint="eastAsia" w:ascii="仿宋_GB2312" w:eastAsia="仿宋_GB2312"/>
          <w:color w:val="auto"/>
          <w:sz w:val="28"/>
          <w:szCs w:val="28"/>
          <w:highlight w:val="none"/>
          <w:u w:val="none"/>
          <w:lang w:val="en-US" w:eastAsia="zh-CN"/>
        </w:rPr>
        <w:t xml:space="preserve">    8.提交专项结案报告；</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9.其他法律服务。</w:t>
      </w:r>
    </w:p>
    <w:p>
      <w:pPr>
        <w:adjustRightInd w:val="0"/>
        <w:snapToGrid w:val="0"/>
        <w:spacing w:line="600" w:lineRule="exact"/>
        <w:ind w:firstLine="560" w:firstLineChars="200"/>
        <w:jc w:val="left"/>
        <w:rPr>
          <w:rFonts w:hint="eastAsia" w:ascii="仿宋_GB2312" w:eastAsia="仿宋_GB2312"/>
          <w:color w:val="auto"/>
          <w:sz w:val="28"/>
          <w:szCs w:val="28"/>
          <w:highlight w:val="none"/>
          <w:u w:val="none"/>
          <w:lang w:val="en-US" w:eastAsia="zh-CN"/>
        </w:rPr>
      </w:pPr>
      <w:r>
        <w:rPr>
          <w:rFonts w:hint="eastAsia" w:ascii="仿宋_GB2312" w:eastAsia="仿宋_GB2312"/>
          <w:color w:val="auto"/>
          <w:sz w:val="28"/>
          <w:szCs w:val="28"/>
          <w:highlight w:val="none"/>
          <w:u w:val="none"/>
          <w:lang w:val="en-US" w:eastAsia="zh-CN"/>
        </w:rPr>
        <w:t>具体服务内容以我公司出具的具体项目委托函为准。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合同签订后一年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充分运用专业知识和技能，尽心尽职地根据法律、法规的规定完成被委托事项，最大限度地维护我公司的合法权益。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lang w:val="en-US" w:eastAsia="zh-CN"/>
        </w:rPr>
        <w:t>律师事务所执业许可证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w:t>
      </w:r>
      <w:r>
        <w:rPr>
          <w:rFonts w:hint="eastAsia" w:ascii="仿宋_GB2312" w:eastAsia="仿宋_GB2312"/>
          <w:color w:val="auto"/>
          <w:sz w:val="28"/>
          <w:szCs w:val="28"/>
          <w:highlight w:val="none"/>
          <w:lang w:val="en-US" w:eastAsia="zh-CN"/>
        </w:rPr>
        <w:t>一项</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项目的业绩。（提供合同复印件证明，包括但不限于项目名称、金额及实施内容、合同签字盖章、签订日期，加盖单位公章）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律师事务所合伙人身份</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已入库广州水投集团法律服务供应资源库</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（3）与本项目其他供应商存在管理关系。</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（4）被本项目所在地省级以上行业主管部门依法暂停、取消投标或禁止参加采购活动且处于有效期内的。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（5）处于被责令停产停业、暂扣或者吊销执照、暂扣或者吊销许可证、吊销资质证书状态。</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（6）进入清算程序，或被宣告破产，或其他丧失履约能力情形的。</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（7）近三年内因发生质量或安全生产事故等受到行政处罚且在处罚期内的。</w:t>
      </w:r>
    </w:p>
    <w:p>
      <w:pPr>
        <w:adjustRightInd w:val="0"/>
        <w:snapToGrid w:val="0"/>
        <w:spacing w:line="600" w:lineRule="exact"/>
        <w:ind w:firstLine="420" w:firstLineChars="150"/>
        <w:jc w:val="left"/>
        <w:rPr>
          <w:rFonts w:hint="eastAsia" w:ascii="仿宋_GB2312" w:eastAsia="仿宋_GB2312"/>
          <w:color w:val="auto"/>
          <w:sz w:val="28"/>
          <w:szCs w:val="28"/>
          <w:highlight w:val="none"/>
        </w:rPr>
      </w:pP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（8）被最高人民法院在</w:t>
      </w:r>
      <w:r>
        <w:rPr>
          <w:rFonts w:ascii="仿宋_GB2312" w:eastAsia="仿宋_GB2312"/>
          <w:color w:val="auto"/>
          <w:sz w:val="28"/>
          <w:szCs w:val="28"/>
          <w:highlight w:val="none"/>
        </w:rPr>
        <w:t>“</w:t>
      </w:r>
      <w:r>
        <w:rPr>
          <w:rFonts w:hint="eastAsia" w:ascii="仿宋_GB2312" w:eastAsia="仿宋_GB2312"/>
          <w:color w:val="auto"/>
          <w:sz w:val="28"/>
          <w:szCs w:val="28"/>
          <w:highlight w:val="none"/>
        </w:rPr>
        <w:t>信用中国</w:t>
      </w:r>
      <w:r>
        <w:rPr>
          <w:rFonts w:ascii="仿宋_GB2312" w:eastAsia="仿宋_GB2312"/>
          <w:color w:val="auto"/>
          <w:sz w:val="28"/>
          <w:szCs w:val="28"/>
          <w:highlight w:val="none"/>
        </w:rPr>
        <w:t>”</w:t>
      </w:r>
      <w:r>
        <w:rPr>
          <w:rFonts w:hint="eastAsia" w:ascii="仿宋_GB2312" w:eastAsia="仿宋_GB2312"/>
          <w:color w:val="auto"/>
          <w:sz w:val="28"/>
          <w:szCs w:val="28"/>
          <w:highlight w:val="none"/>
        </w:rPr>
        <w:t>网站（www.creditchina.gov.cn）或各级信用信息共享平台中列入失信被执行人名单。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14</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 xml:space="preserve">下载采购文件。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600" w:lineRule="exact"/>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□组织</w:t>
      </w:r>
    </w:p>
    <w:p>
      <w:pPr>
        <w:adjustRightInd w:val="0"/>
        <w:snapToGrid w:val="0"/>
        <w:spacing w:line="600" w:lineRule="exact"/>
        <w:ind w:firstLine="560" w:firstLineChars="200"/>
        <w:rPr>
          <w:rFonts w:hint="eastAsia" w:ascii="仿宋_GB2312" w:eastAsia="仿宋_GB2312" w:hAnsiTheme="minorHAnsi"/>
          <w:color w:val="auto"/>
          <w:sz w:val="28"/>
          <w:szCs w:val="28"/>
          <w:highlight w:val="none"/>
          <w:u w:val="none"/>
        </w:rPr>
      </w:pPr>
      <w:r>
        <w:rPr>
          <w:rFonts w:hint="eastAsia" w:ascii="仿宋_GB2312" w:eastAsia="仿宋_GB2312" w:hAnsiTheme="minorHAnsi"/>
          <w:color w:val="auto"/>
          <w:sz w:val="28"/>
          <w:szCs w:val="28"/>
          <w:highlight w:val="none"/>
          <w:u w:val="none"/>
        </w:rPr>
        <w:t>项目根据实际情况须在提交响应文件前进行现场踏勘，未进行现场踏勘的，报价一律视为无效报价，提交报价响应文件时需附上现场踏勘委派书（需求单位及报价单位均需盖章，详见附件现场踏勘委派书）</w:t>
      </w:r>
    </w:p>
    <w:p>
      <w:pPr>
        <w:adjustRightInd w:val="0"/>
        <w:snapToGrid w:val="0"/>
        <w:spacing w:line="600" w:lineRule="exact"/>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踏勘时间：</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.1递交响应文件截止时间：</w:t>
      </w:r>
      <w:r>
        <w:rPr>
          <w:rFonts w:hint="eastAsia" w:ascii="仿宋_GB2312" w:eastAsia="仿宋_GB2312"/>
          <w:color w:val="auto"/>
          <w:sz w:val="28"/>
          <w:szCs w:val="28"/>
          <w:highlight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15</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.2递交</w:t>
      </w:r>
      <w:r>
        <w:rPr>
          <w:rFonts w:hint="eastAsia" w:ascii="仿宋_GB2312" w:eastAsia="仿宋_GB2312"/>
          <w:color w:val="auto"/>
          <w:sz w:val="28"/>
          <w:szCs w:val="28"/>
          <w:highlight w:val="none"/>
          <w:lang w:val="en-US" w:eastAsia="zh-CN"/>
        </w:rPr>
        <w:t>及快递</w:t>
      </w:r>
      <w:r>
        <w:rPr>
          <w:rFonts w:hint="eastAsia" w:ascii="仿宋_GB2312" w:eastAsia="仿宋_GB2312"/>
          <w:color w:val="auto"/>
          <w:sz w:val="28"/>
          <w:szCs w:val="28"/>
          <w:highlight w:val="none"/>
        </w:rPr>
        <w:t>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2"/>
        <w:ind w:firstLine="560" w:firstLineChars="200"/>
        <w:rPr>
          <w:rFonts w:hint="default" w:eastAsia="仿宋_GB2312"/>
          <w:color w:val="auto"/>
          <w:highlight w:val="none"/>
          <w:lang w:val="en-US" w:eastAsia="zh-CN"/>
        </w:rPr>
      </w:pPr>
      <w:r>
        <w:rPr>
          <w:rFonts w:hint="eastAsia" w:ascii="仿宋_GB2312" w:eastAsia="仿宋_GB2312"/>
          <w:color w:val="auto"/>
          <w:sz w:val="28"/>
          <w:szCs w:val="28"/>
          <w:highlight w:val="none"/>
          <w:lang w:val="en-US" w:eastAsia="zh-CN"/>
        </w:rPr>
        <w:t>防疫要求：基于疫情防控形势，授权委托人须通过“广州净水公司”微信公众号（提前）预约，填写访客预约信息（包括：1.近14天内行程有异地中高风险地区及所在的地级市（、盟、州、直辖市的区）旅居史的来（返）穗人员拒绝来访；2.近14天行程内有异地本土疫情报告的地级市（、盟、州、直辖市的区）旅居史的来（返）穗人员拒绝来访3.近14天行程内有省外来（返）穗人员应持有抵穗后来访前三天的两次核酸检测证明，即“三天两检”（每次至少间隔24小时）4.如确需工作需要来访，应持有抵穗后来访前24小时内的核酸检测证明）。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4"/>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69"/>
        <w:gridCol w:w="3251"/>
        <w:gridCol w:w="43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1</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cs="宋体"/>
                <w:color w:val="auto"/>
                <w:sz w:val="24"/>
                <w:highlight w:val="none"/>
              </w:rPr>
              <w:t>2</w:t>
            </w:r>
          </w:p>
        </w:tc>
        <w:tc>
          <w:tcPr>
            <w:tcW w:w="3402"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eastAsiaTheme="minorEastAsia"/>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2021年11月18</w:t>
            </w:r>
            <w:r>
              <w:rPr>
                <w:rFonts w:hint="eastAsia" w:ascii="宋体" w:hAnsi="宋体" w:eastAsia="宋体" w:cs="宋体"/>
                <w:color w:val="auto"/>
                <w:sz w:val="24"/>
                <w:highlight w:val="none"/>
              </w:rPr>
              <w:t>至20</w:t>
            </w:r>
            <w:r>
              <w:rPr>
                <w:rFonts w:hint="eastAsia" w:ascii="宋体" w:hAnsi="宋体" w:cs="宋体"/>
                <w:color w:val="auto"/>
                <w:sz w:val="24"/>
                <w:highlight w:val="none"/>
                <w:lang w:val="en-US" w:eastAsia="zh-CN"/>
              </w:rPr>
              <w:t>23</w:t>
            </w:r>
            <w:r>
              <w:rPr>
                <w:rFonts w:hint="eastAsia" w:ascii="宋体" w:hAnsi="宋体" w:eastAsia="宋体" w:cs="宋体"/>
                <w:color w:val="auto"/>
                <w:sz w:val="24"/>
                <w:highlight w:val="none"/>
              </w:rPr>
              <w:t>年</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lang w:val="en-US" w:eastAsia="zh-CN"/>
              </w:rPr>
              <w:t>17</w:t>
            </w:r>
            <w:r>
              <w:rPr>
                <w:rFonts w:hint="eastAsia" w:ascii="宋体" w:hAnsi="宋体" w:eastAsia="宋体" w:cs="宋体"/>
                <w:color w:val="auto"/>
                <w:sz w:val="24"/>
                <w:highlight w:val="none"/>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cs="宋体"/>
                <w:color w:val="auto"/>
                <w:sz w:val="24"/>
                <w:highlight w:val="none"/>
                <w:lang w:val="en-US" w:eastAsia="zh-CN"/>
              </w:rPr>
              <w:t>3</w:t>
            </w:r>
          </w:p>
        </w:tc>
        <w:tc>
          <w:tcPr>
            <w:tcW w:w="3402" w:type="dxa"/>
            <w:vAlign w:val="center"/>
          </w:tcPr>
          <w:p>
            <w:pPr>
              <w:jc w:val="center"/>
              <w:rPr>
                <w:rFonts w:hint="eastAsia" w:ascii="宋体" w:hAnsi="宋体" w:eastAsia="宋体" w:cs="宋体"/>
                <w:color w:val="auto"/>
                <w:kern w:val="2"/>
                <w:sz w:val="24"/>
                <w:szCs w:val="22"/>
                <w:highlight w:val="none"/>
                <w:lang w:val="en-US" w:eastAsia="zh-CN" w:bidi="ar-SA"/>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sz w:val="24"/>
                <w:highlight w:val="none"/>
                <w:lang w:val="en-US" w:eastAsia="zh-CN"/>
              </w:rPr>
              <w:t>202</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年1月</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rPr>
              <w:t>月</w:t>
            </w:r>
            <w:r>
              <w:rPr>
                <w:rFonts w:hint="eastAsia" w:ascii="宋体" w:hAnsi="宋体" w:cs="宋体"/>
                <w:color w:val="auto"/>
                <w:sz w:val="24"/>
                <w:highlight w:val="none"/>
                <w:lang w:val="en-US" w:eastAsia="zh-CN"/>
              </w:rPr>
              <w:t>31</w:t>
            </w:r>
            <w:r>
              <w:rPr>
                <w:rFonts w:hint="eastAsia" w:ascii="宋体" w:hAnsi="宋体" w:eastAsia="宋体" w:cs="宋体"/>
                <w:color w:val="auto"/>
                <w:sz w:val="24"/>
                <w:highlight w:val="none"/>
              </w:rPr>
              <w:t>日</w:t>
            </w:r>
          </w:p>
        </w:tc>
      </w:tr>
    </w:tbl>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10</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020-62315524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日</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
        <w:rPr>
          <w:rFonts w:hint="eastAsia" w:ascii="仿宋_GB2312" w:eastAsia="仿宋_GB2312" w:hAnsiTheme="majorEastAsia"/>
          <w:color w:val="auto"/>
          <w:sz w:val="28"/>
          <w:szCs w:val="28"/>
          <w:highlight w:val="none"/>
        </w:rPr>
      </w:pPr>
    </w:p>
    <w:p>
      <w:pPr>
        <w:spacing w:line="480" w:lineRule="auto"/>
        <w:jc w:val="both"/>
        <w:rPr>
          <w:rFonts w:hint="eastAsia" w:ascii="仿宋" w:hAnsi="仿宋" w:eastAsia="仿宋" w:cs="仿宋"/>
          <w:b/>
          <w:color w:val="auto"/>
          <w:sz w:val="28"/>
          <w:szCs w:val="28"/>
          <w:highlight w:val="none"/>
          <w:lang w:val="en-US" w:eastAsia="zh-CN"/>
        </w:rPr>
      </w:pPr>
    </w:p>
    <w:p>
      <w:pPr>
        <w:spacing w:line="480" w:lineRule="auto"/>
        <w:jc w:val="both"/>
        <w:rPr>
          <w:rFonts w:hint="eastAsia" w:ascii="仿宋" w:hAnsi="仿宋" w:eastAsia="仿宋" w:cs="仿宋"/>
          <w:color w:val="auto"/>
          <w:szCs w:val="21"/>
          <w:highlight w:val="none"/>
          <w:lang w:eastAsia="zh-CN"/>
        </w:rPr>
      </w:pPr>
      <w:r>
        <w:rPr>
          <w:rFonts w:hint="eastAsia" w:ascii="仿宋" w:hAnsi="仿宋" w:eastAsia="仿宋" w:cs="仿宋"/>
          <w:b/>
          <w:color w:val="auto"/>
          <w:sz w:val="28"/>
          <w:szCs w:val="28"/>
          <w:highlight w:val="none"/>
          <w:lang w:val="en-US" w:eastAsia="zh-CN"/>
        </w:rPr>
        <w:t>附件：</w:t>
      </w:r>
      <w:r>
        <w:rPr>
          <w:rFonts w:hint="eastAsia" w:ascii="仿宋" w:hAnsi="仿宋" w:eastAsia="仿宋" w:cs="仿宋"/>
          <w:b/>
          <w:color w:val="auto"/>
          <w:sz w:val="28"/>
          <w:szCs w:val="28"/>
          <w:highlight w:val="none"/>
        </w:rPr>
        <w:t>现场踏勘委派书</w:t>
      </w:r>
      <w:r>
        <w:rPr>
          <w:rFonts w:hint="eastAsia" w:ascii="仿宋" w:hAnsi="仿宋" w:eastAsia="仿宋" w:cs="仿宋"/>
          <w:b/>
          <w:color w:val="auto"/>
          <w:sz w:val="28"/>
          <w:szCs w:val="28"/>
          <w:highlight w:val="none"/>
          <w:lang w:eastAsia="zh-CN"/>
        </w:rPr>
        <w:t>（</w:t>
      </w:r>
      <w:r>
        <w:rPr>
          <w:rFonts w:hint="eastAsia" w:ascii="仿宋" w:hAnsi="仿宋" w:eastAsia="仿宋" w:cs="仿宋"/>
          <w:b/>
          <w:color w:val="auto"/>
          <w:sz w:val="28"/>
          <w:szCs w:val="28"/>
          <w:highlight w:val="none"/>
          <w:lang w:val="en-US" w:eastAsia="zh-CN"/>
        </w:rPr>
        <w:t>如需</w:t>
      </w:r>
      <w:r>
        <w:rPr>
          <w:rFonts w:hint="eastAsia" w:ascii="仿宋" w:hAnsi="仿宋" w:eastAsia="仿宋" w:cs="仿宋"/>
          <w:b/>
          <w:color w:val="auto"/>
          <w:sz w:val="28"/>
          <w:szCs w:val="28"/>
          <w:highlight w:val="none"/>
          <w:lang w:eastAsia="zh-CN"/>
        </w:rPr>
        <w:t>）</w:t>
      </w:r>
    </w:p>
    <w:p>
      <w:pPr>
        <w:spacing w:line="360" w:lineRule="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lang w:eastAsia="zh-CN"/>
        </w:rPr>
        <w:t>广州净水有限公司</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我公司（单位）</w:t>
      </w:r>
      <w:r>
        <w:rPr>
          <w:rFonts w:hint="eastAsia" w:ascii="仿宋" w:hAnsi="仿宋" w:eastAsia="仿宋" w:cs="仿宋"/>
          <w:color w:val="auto"/>
          <w:sz w:val="28"/>
          <w:szCs w:val="28"/>
          <w:highlight w:val="none"/>
          <w:u w:val="single"/>
        </w:rPr>
        <w:t xml:space="preserve">    </w:t>
      </w:r>
      <w:r>
        <w:rPr>
          <w:rFonts w:hint="eastAsia" w:ascii="仿宋" w:hAnsi="仿宋" w:eastAsia="仿宋" w:cs="仿宋"/>
          <w:i w:val="0"/>
          <w:iCs w:val="0"/>
          <w:color w:val="auto"/>
          <w:sz w:val="28"/>
          <w:szCs w:val="28"/>
          <w:highlight w:val="none"/>
          <w:u w:val="single"/>
        </w:rPr>
        <w:t xml:space="preserve">  （报价单位名称）</w:t>
      </w:r>
      <w:r>
        <w:rPr>
          <w:rFonts w:hint="eastAsia" w:ascii="仿宋" w:hAnsi="仿宋" w:eastAsia="仿宋" w:cs="仿宋"/>
          <w:i/>
          <w:color w:val="auto"/>
          <w:sz w:val="28"/>
          <w:szCs w:val="28"/>
          <w:highlight w:val="none"/>
          <w:u w:val="single"/>
        </w:rPr>
        <w:t xml:space="preserve">     </w:t>
      </w:r>
      <w:r>
        <w:rPr>
          <w:rFonts w:hint="eastAsia" w:ascii="仿宋" w:hAnsi="仿宋" w:eastAsia="仿宋" w:cs="仿宋"/>
          <w:color w:val="auto"/>
          <w:sz w:val="28"/>
          <w:szCs w:val="28"/>
          <w:highlight w:val="none"/>
        </w:rPr>
        <w:t>现委派</w:t>
      </w:r>
      <w:r>
        <w:rPr>
          <w:rFonts w:hint="eastAsia" w:ascii="仿宋" w:hAnsi="仿宋" w:eastAsia="仿宋" w:cs="仿宋"/>
          <w:color w:val="auto"/>
          <w:sz w:val="28"/>
          <w:szCs w:val="28"/>
          <w:highlight w:val="none"/>
          <w:u w:val="single"/>
        </w:rPr>
        <w:t xml:space="preserve">    </w:t>
      </w:r>
      <w:r>
        <w:rPr>
          <w:rFonts w:hint="eastAsia" w:ascii="仿宋" w:hAnsi="仿宋" w:eastAsia="仿宋" w:cs="仿宋"/>
          <w:i/>
          <w:color w:val="auto"/>
          <w:sz w:val="28"/>
          <w:szCs w:val="28"/>
          <w:highlight w:val="none"/>
          <w:u w:val="single"/>
        </w:rPr>
        <w:t xml:space="preserve">（姓名、职务、身份证号）    </w:t>
      </w:r>
      <w:r>
        <w:rPr>
          <w:rFonts w:hint="eastAsia" w:ascii="仿宋" w:hAnsi="仿宋" w:eastAsia="仿宋" w:cs="仿宋"/>
          <w:color w:val="auto"/>
          <w:sz w:val="28"/>
          <w:szCs w:val="28"/>
          <w:highlight w:val="none"/>
        </w:rPr>
        <w:t>处理本项目</w:t>
      </w:r>
      <w:bookmarkStart w:id="121" w:name="_GoBack"/>
      <w:bookmarkEnd w:id="121"/>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的现场踏勘事宜。</w:t>
      </w:r>
    </w:p>
    <w:p>
      <w:pPr>
        <w:spacing w:line="360" w:lineRule="auto"/>
        <w:ind w:firstLine="540"/>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进厂要求详见响应文件递交防疫要求</w:t>
      </w:r>
      <w:r>
        <w:rPr>
          <w:rFonts w:hint="eastAsia" w:ascii="仿宋" w:hAnsi="仿宋" w:eastAsia="仿宋" w:cs="仿宋"/>
          <w:color w:val="auto"/>
          <w:sz w:val="28"/>
          <w:szCs w:val="28"/>
          <w:highlight w:val="none"/>
        </w:rPr>
        <w:t>）</w:t>
      </w:r>
    </w:p>
    <w:p>
      <w:pPr>
        <w:spacing w:line="360" w:lineRule="auto"/>
        <w:ind w:firstLine="540"/>
        <w:rPr>
          <w:rFonts w:hint="eastAsia" w:ascii="仿宋" w:hAnsi="仿宋" w:eastAsia="仿宋" w:cs="仿宋"/>
          <w:color w:val="auto"/>
          <w:highlight w:val="none"/>
          <w:lang w:eastAsia="zh-CN"/>
        </w:rPr>
      </w:pPr>
      <w:r>
        <w:rPr>
          <w:rFonts w:hint="eastAsia" w:ascii="仿宋" w:hAnsi="仿宋" w:eastAsia="仿宋" w:cs="仿宋"/>
          <w:color w:val="auto"/>
          <w:sz w:val="28"/>
          <w:szCs w:val="28"/>
          <w:highlight w:val="none"/>
        </w:rPr>
        <w:t>特此声明！</w:t>
      </w:r>
    </w:p>
    <w:p>
      <w:pPr>
        <w:adjustRightInd w:val="0"/>
        <w:snapToGrid w:val="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报价单位法定代表人（或法定授权代表）签字：</w:t>
      </w:r>
      <w:r>
        <w:rPr>
          <w:rFonts w:hint="eastAsia" w:ascii="仿宋" w:hAnsi="仿宋" w:eastAsia="仿宋" w:cs="仿宋"/>
          <w:color w:val="auto"/>
          <w:sz w:val="28"/>
          <w:szCs w:val="28"/>
          <w:highlight w:val="none"/>
          <w:u w:val="single"/>
        </w:rPr>
        <w:t xml:space="preserve">                   </w:t>
      </w:r>
    </w:p>
    <w:p>
      <w:pPr>
        <w:adjustRightInd w:val="0"/>
        <w:snapToGrid w:val="0"/>
        <w:spacing w:line="360" w:lineRule="auto"/>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报价单位名称（签章）：</w:t>
      </w:r>
      <w:r>
        <w:rPr>
          <w:rFonts w:hint="eastAsia" w:ascii="仿宋" w:hAnsi="仿宋" w:eastAsia="仿宋" w:cs="仿宋"/>
          <w:color w:val="auto"/>
          <w:sz w:val="28"/>
          <w:szCs w:val="28"/>
          <w:highlight w:val="none"/>
          <w:u w:val="single"/>
        </w:rPr>
        <w:t xml:space="preserve">                        </w:t>
      </w:r>
    </w:p>
    <w:p>
      <w:pPr>
        <w:spacing w:line="360" w:lineRule="auto"/>
        <w:rPr>
          <w:rFonts w:hint="eastAsia" w:ascii="仿宋" w:hAnsi="仿宋" w:eastAsia="仿宋" w:cs="仿宋"/>
          <w:color w:val="auto"/>
          <w:highlight w:val="none"/>
        </w:rPr>
      </w:pPr>
      <w:r>
        <w:rPr>
          <w:rFonts w:hint="eastAsia" w:ascii="仿宋" w:hAnsi="仿宋" w:eastAsia="仿宋" w:cs="仿宋"/>
          <w:color w:val="auto"/>
          <w:sz w:val="28"/>
          <w:szCs w:val="28"/>
          <w:highlight w:val="none"/>
        </w:rPr>
        <w:t>日期：   年   月   日</w:t>
      </w:r>
    </w:p>
    <w:tbl>
      <w:tblPr>
        <w:tblStyle w:val="24"/>
        <w:tblpPr w:leftFromText="180" w:rightFromText="180" w:vertAnchor="text" w:horzAnchor="page" w:tblpX="1711" w:tblpY="9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4230" w:type="dxa"/>
            <w:noWrap w:val="0"/>
            <w:vAlign w:val="top"/>
          </w:tcPr>
          <w:p>
            <w:pPr>
              <w:spacing w:line="360" w:lineRule="auto"/>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广州净水有限公司XX分公司</w:t>
            </w:r>
          </w:p>
          <w:p>
            <w:pPr>
              <w:spacing w:line="360" w:lineRule="auto"/>
              <w:rPr>
                <w:rFonts w:hint="eastAsia" w:ascii="仿宋" w:hAnsi="仿宋" w:eastAsia="仿宋" w:cs="仿宋"/>
                <w:b w:val="0"/>
                <w:bCs w:val="0"/>
                <w:color w:val="auto"/>
                <w:sz w:val="24"/>
                <w:szCs w:val="24"/>
                <w:highlight w:val="none"/>
                <w:vertAlign w:val="baseline"/>
              </w:rPr>
            </w:pPr>
            <w:r>
              <w:rPr>
                <w:rFonts w:hint="eastAsia" w:ascii="仿宋" w:hAnsi="仿宋" w:eastAsia="仿宋" w:cs="仿宋"/>
                <w:b w:val="0"/>
                <w:bCs w:val="0"/>
                <w:color w:val="auto"/>
                <w:sz w:val="24"/>
                <w:szCs w:val="24"/>
                <w:highlight w:val="none"/>
                <w:vertAlign w:val="baseline"/>
                <w:lang w:val="en-US" w:eastAsia="zh-CN"/>
              </w:rPr>
              <w:t>（盖章）</w:t>
            </w:r>
          </w:p>
          <w:p>
            <w:pPr>
              <w:spacing w:line="360" w:lineRule="auto"/>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经办人：</w:t>
            </w:r>
          </w:p>
          <w:p>
            <w:pPr>
              <w:spacing w:line="360" w:lineRule="auto"/>
              <w:jc w:val="left"/>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联系电话：</w:t>
            </w:r>
          </w:p>
        </w:tc>
      </w:tr>
    </w:tbl>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color w:val="auto"/>
          <w:highlight w:val="none"/>
        </w:rPr>
      </w:pPr>
      <w:bookmarkStart w:id="14" w:name="_Toc16557"/>
      <w:bookmarkStart w:id="15" w:name="_Toc9448"/>
      <w:bookmarkStart w:id="16" w:name="_Toc2324"/>
      <w:bookmarkStart w:id="17" w:name="_Toc23749"/>
      <w:bookmarkStart w:id="18" w:name="_Toc19295"/>
      <w:bookmarkStart w:id="19" w:name="_Toc32588"/>
      <w:bookmarkStart w:id="20" w:name="_Toc7340"/>
      <w:bookmarkStart w:id="21" w:name="_Toc25603"/>
      <w:bookmarkStart w:id="22" w:name="_Toc2331"/>
      <w:bookmarkStart w:id="23" w:name="_Toc16705"/>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p0vmtN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Cti3rWAAAACQEAAA8AAAAAAAAA&#10;AQAgAAAAIgAAAGRycy9kb3ducmV2LnhtbFBLAQIUABQAAAAIAIdO4kDGjl6E2gEAAJYDAAAOAAAA&#10;AAAAAAEAIAAAACUBAABkcnMvZTJvRG9jLnhtbFBLBQYAAAAABgAGAFkBAABx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ind w:left="0" w:leftChars="0" w:firstLine="0" w:firstLineChars="0"/>
        <w:rPr>
          <w:rFonts w:hint="eastAsia"/>
          <w:color w:val="auto"/>
          <w:highlight w:val="none"/>
        </w:rPr>
      </w:pPr>
    </w:p>
    <w:p>
      <w:pPr>
        <w:pStyle w:val="2"/>
        <w:ind w:left="0" w:leftChars="0" w:firstLine="0" w:firstLineChars="0"/>
        <w:rPr>
          <w:rFonts w:hint="eastAsia"/>
          <w:color w:val="auto"/>
          <w:highlight w:val="none"/>
        </w:rPr>
      </w:pPr>
    </w:p>
    <w:p>
      <w:pPr>
        <w:numPr>
          <w:ilvl w:val="0"/>
          <w:numId w:val="3"/>
        </w:numPr>
        <w:adjustRightInd w:val="0"/>
        <w:snapToGrid w:val="0"/>
        <w:spacing w:beforeLines="50" w:afterLines="50" w:line="500" w:lineRule="exact"/>
        <w:ind w:left="643" w:hanging="643"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 供应商或其他利害关系人可以对</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rPr>
        <w:t>、采购文件、预成交结果提出异议。异议应在采购公告或文件规定的时间内、预成交结果公示期间通过规定的异议渠道提出，并递交异议函和必要的证明材料。异议函包括但不限于下列内容：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SWEU7dYAAAAJAQAADwAAAAAAAAABACAA&#10;AAAiAAAAZHJzL2Rvd25yZXYueG1sUEsBAhQAFAAAAAgAh07iQBwgdlLWAQAAlAMAAA4AAAAAAAAA&#10;AQAgAAAAJQEAAGRycy9lMm9Eb2MueG1sUEsFBgAAAAAGAAYAWQEAAG0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wLQ/K1gAAAAkBAAAPAAAAAAAAAAEA&#10;IAAAACIAAABkcnMvZG93bnJldi54bWxQSwECFAAUAAAACACHTuJAv205XtgBAACUAwAADgAAAAAA&#10;AAABACAAAAAlAQAAZHJzL2Uyb0RvYy54bWxQSwUGAAAAAAYABgBZAQAAbwU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7303"/>
      <w:bookmarkStart w:id="30" w:name="_Toc7040"/>
      <w:bookmarkStart w:id="31" w:name="_Toc87616371"/>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2"/>
        <w:ind w:left="0" w:leftChars="0" w:firstLine="0" w:firstLineChars="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val="en-US" w:eastAsia="zh-CN"/>
        </w:rPr>
        <w:t>邀请</w:t>
      </w: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34" w:name="_Toc19050"/>
      <w:bookmarkStart w:id="35" w:name="_Toc20594"/>
      <w:bookmarkStart w:id="36" w:name="_Toc7437"/>
      <w:bookmarkStart w:id="37" w:name="_Toc4952"/>
      <w:bookmarkStart w:id="38" w:name="_Toc10930"/>
      <w:bookmarkStart w:id="39" w:name="_Toc14552"/>
      <w:bookmarkStart w:id="40" w:name="_Toc14870"/>
      <w:bookmarkStart w:id="41" w:name="_Toc3156"/>
      <w:bookmarkStart w:id="42" w:name="_Toc19759"/>
      <w:bookmarkStart w:id="43" w:name="_Toc7118"/>
      <w:bookmarkStart w:id="44" w:name="_Toc23581"/>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PQn/D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64ENcAAAAJAQAADwAAAAAAAAAB&#10;ACAAAAAiAAAAZHJzL2Rvd25yZXYueG1sUEsBAhQAFAAAAAgAh07iQDh8PFfYAQAAlAMAAA4AAAAA&#10;AAAAAQAgAAAAJgEAAGRycy9lMm9Eb2MueG1sUEsFBgAAAAAGAAYAWQEAAHA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21840"/>
      <w:bookmarkStart w:id="46" w:name="_Toc87616378"/>
      <w:bookmarkStart w:id="47" w:name="_Toc13898"/>
      <w:bookmarkStart w:id="48" w:name="_Toc30530"/>
      <w:bookmarkStart w:id="49" w:name="_Toc29345"/>
      <w:bookmarkStart w:id="50" w:name="_Toc21079"/>
      <w:bookmarkStart w:id="51" w:name="_Toc7831"/>
      <w:bookmarkStart w:id="52" w:name="_Toc12177"/>
      <w:bookmarkStart w:id="53" w:name="_Toc6308"/>
      <w:bookmarkStart w:id="54" w:name="_Toc22212"/>
      <w:bookmarkStart w:id="55" w:name="_Toc29484"/>
      <w:bookmarkStart w:id="56" w:name="_Toc32607"/>
      <w:bookmarkStart w:id="57" w:name="_Toc88209941"/>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r>
        <w:rPr>
          <w:rFonts w:hint="eastAsia"/>
          <w:color w:val="auto"/>
          <w:highlight w:val="none"/>
        </w:rPr>
        <w:sym w:font="Wingdings 2" w:char="0052"/>
      </w:r>
      <w:r>
        <w:rPr>
          <w:rFonts w:hint="eastAsia"/>
          <w:color w:val="auto"/>
          <w:highlight w:val="none"/>
        </w:rPr>
        <w:t>综合评分法</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6"/>
        <w:gridCol w:w="2051"/>
        <w:gridCol w:w="530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1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05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3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1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051"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309"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16" w:type="dxa"/>
            <w:vMerge w:val="continue"/>
            <w:vAlign w:val="center"/>
          </w:tcPr>
          <w:p>
            <w:pPr>
              <w:adjustRightInd w:val="0"/>
              <w:snapToGrid w:val="0"/>
              <w:jc w:val="center"/>
              <w:rPr>
                <w:color w:val="auto"/>
                <w:sz w:val="24"/>
                <w:szCs w:val="24"/>
                <w:highlight w:val="none"/>
              </w:rPr>
            </w:pPr>
          </w:p>
        </w:tc>
        <w:tc>
          <w:tcPr>
            <w:tcW w:w="2051"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3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16" w:type="dxa"/>
            <w:vMerge w:val="continue"/>
            <w:vAlign w:val="center"/>
          </w:tcPr>
          <w:p>
            <w:pPr>
              <w:adjustRightInd w:val="0"/>
              <w:snapToGrid w:val="0"/>
              <w:jc w:val="center"/>
              <w:rPr>
                <w:rFonts w:ascii="仿宋_GB2312" w:eastAsia="仿宋_GB2312"/>
                <w:color w:val="auto"/>
                <w:sz w:val="24"/>
                <w:szCs w:val="24"/>
                <w:highlight w:val="none"/>
              </w:rPr>
            </w:pPr>
          </w:p>
        </w:tc>
        <w:tc>
          <w:tcPr>
            <w:tcW w:w="2051"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309"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16" w:type="dxa"/>
            <w:vMerge w:val="continue"/>
            <w:vAlign w:val="center"/>
          </w:tcPr>
          <w:p>
            <w:pPr>
              <w:adjustRightInd w:val="0"/>
              <w:snapToGrid w:val="0"/>
              <w:jc w:val="center"/>
              <w:rPr>
                <w:rFonts w:ascii="仿宋_GB2312" w:eastAsia="仿宋_GB2312"/>
                <w:color w:val="auto"/>
                <w:sz w:val="24"/>
                <w:szCs w:val="24"/>
                <w:highlight w:val="none"/>
              </w:rPr>
            </w:pPr>
          </w:p>
        </w:tc>
        <w:tc>
          <w:tcPr>
            <w:tcW w:w="2051" w:type="dxa"/>
            <w:tcBorders>
              <w:top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法定代表人授权委托</w:t>
            </w:r>
          </w:p>
        </w:tc>
        <w:tc>
          <w:tcPr>
            <w:tcW w:w="5309" w:type="dxa"/>
            <w:tcBorders>
              <w:top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1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051" w:type="dxa"/>
            <w:vAlign w:val="center"/>
          </w:tcPr>
          <w:p>
            <w:pPr>
              <w:adjustRightInd w:val="0"/>
              <w:snapToGrid w:val="0"/>
              <w:ind w:firstLine="240" w:firstLineChars="100"/>
              <w:jc w:val="both"/>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309" w:type="dxa"/>
            <w:tcBorders>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051" w:type="dxa"/>
            <w:tcBorders>
              <w:top w:val="single" w:color="auto" w:sz="4" w:space="0"/>
              <w:bottom w:val="single" w:color="auto" w:sz="4" w:space="0"/>
            </w:tcBorders>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309" w:type="dxa"/>
            <w:tcBorders>
              <w:top w:val="single" w:color="auto" w:sz="4" w:space="0"/>
              <w:bottom w:val="single" w:color="auto" w:sz="4" w:space="0"/>
            </w:tcBorders>
            <w:vAlign w:val="center"/>
          </w:tcPr>
          <w:p>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1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51" w:type="dxa"/>
            <w:tcBorders>
              <w:top w:val="single" w:color="auto" w:sz="4" w:space="0"/>
              <w:bottom w:val="single" w:color="auto" w:sz="4" w:space="0"/>
            </w:tcBorders>
            <w:vAlign w:val="center"/>
          </w:tcPr>
          <w:p>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309" w:type="dxa"/>
            <w:tcBorders>
              <w:top w:val="single" w:color="auto" w:sz="4" w:space="0"/>
              <w:bottom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1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051" w:type="dxa"/>
            <w:tcBorders>
              <w:top w:val="single" w:color="auto" w:sz="4" w:space="0"/>
              <w:bottom w:val="single" w:color="auto" w:sz="4" w:space="0"/>
            </w:tcBorders>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309" w:type="dxa"/>
            <w:tcBorders>
              <w:top w:val="single" w:color="auto" w:sz="4" w:space="0"/>
              <w:bottom w:val="single" w:color="auto" w:sz="4" w:space="0"/>
              <w:right w:val="single" w:color="auto" w:sz="4" w:space="0"/>
            </w:tcBorders>
            <w:vAlign w:val="center"/>
          </w:tcPr>
          <w:p>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pPr>
        <w:adjustRightInd w:val="0"/>
        <w:snapToGrid w:val="0"/>
        <w:spacing w:line="400" w:lineRule="exact"/>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w:t>
      </w:r>
    </w:p>
    <w:tbl>
      <w:tblPr>
        <w:tblStyle w:val="23"/>
        <w:tblpPr w:leftFromText="180" w:rightFromText="180" w:vertAnchor="text" w:horzAnchor="page" w:tblpX="1223" w:tblpY="651"/>
        <w:tblOverlap w:val="never"/>
        <w:tblW w:w="9224" w:type="dxa"/>
        <w:tblInd w:w="0" w:type="dxa"/>
        <w:tblLayout w:type="fixed"/>
        <w:tblCellMar>
          <w:top w:w="0" w:type="dxa"/>
          <w:left w:w="0" w:type="dxa"/>
          <w:bottom w:w="0" w:type="dxa"/>
          <w:right w:w="0" w:type="dxa"/>
        </w:tblCellMar>
      </w:tblPr>
      <w:tblGrid>
        <w:gridCol w:w="1212"/>
        <w:gridCol w:w="6542"/>
        <w:gridCol w:w="1470"/>
      </w:tblGrid>
      <w:tr>
        <w:tblPrEx>
          <w:tblCellMar>
            <w:top w:w="0" w:type="dxa"/>
            <w:left w:w="0" w:type="dxa"/>
            <w:bottom w:w="0" w:type="dxa"/>
            <w:right w:w="0" w:type="dxa"/>
          </w:tblCellMar>
        </w:tblPrEx>
        <w:trPr>
          <w:trHeight w:val="427" w:hRule="atLeast"/>
        </w:trPr>
        <w:tc>
          <w:tcPr>
            <w:tcW w:w="12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项目</w:t>
            </w:r>
          </w:p>
        </w:tc>
        <w:tc>
          <w:tcPr>
            <w:tcW w:w="654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auto"/>
                <w:sz w:val="24"/>
                <w:szCs w:val="24"/>
                <w:highlight w:val="none"/>
              </w:rPr>
            </w:pPr>
            <w:r>
              <w:rPr>
                <w:rFonts w:hint="eastAsia" w:ascii="仿宋" w:hAnsi="仿宋" w:eastAsia="仿宋" w:cs="仿宋"/>
                <w:b/>
                <w:bCs/>
                <w:color w:val="auto"/>
                <w:kern w:val="0"/>
                <w:sz w:val="24"/>
                <w:szCs w:val="24"/>
                <w:highlight w:val="none"/>
              </w:rPr>
              <w:t>评分细则</w:t>
            </w:r>
          </w:p>
        </w:tc>
        <w:tc>
          <w:tcPr>
            <w:tcW w:w="14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最高评分</w:t>
            </w:r>
          </w:p>
        </w:tc>
      </w:tr>
      <w:tr>
        <w:tblPrEx>
          <w:tblCellMar>
            <w:top w:w="0" w:type="dxa"/>
            <w:left w:w="0" w:type="dxa"/>
            <w:bottom w:w="0" w:type="dxa"/>
            <w:right w:w="0" w:type="dxa"/>
          </w:tblCellMar>
        </w:tblPrEx>
        <w:trPr>
          <w:trHeight w:val="1302" w:hRule="atLeast"/>
        </w:trPr>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价格指标</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（30分）</w:t>
            </w:r>
          </w:p>
        </w:tc>
        <w:tc>
          <w:tcPr>
            <w:tcW w:w="6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价格分统一采用低价优先法计算，取最低</w:t>
            </w:r>
            <w:r>
              <w:rPr>
                <w:rFonts w:hint="eastAsia" w:ascii="仿宋" w:hAnsi="仿宋" w:eastAsia="仿宋" w:cs="仿宋"/>
                <w:color w:val="auto"/>
                <w:sz w:val="24"/>
                <w:highlight w:val="none"/>
                <w:lang w:val="en-US" w:eastAsia="zh-CN"/>
              </w:rPr>
              <w:t>报</w:t>
            </w:r>
            <w:r>
              <w:rPr>
                <w:rFonts w:hint="eastAsia" w:ascii="仿宋" w:hAnsi="仿宋" w:eastAsia="仿宋" w:cs="仿宋"/>
                <w:color w:val="auto"/>
                <w:sz w:val="24"/>
                <w:highlight w:val="none"/>
              </w:rPr>
              <w:t>价为基准价，其价格分为满分。其他服务商的价格分统一按照下列公式计算：</w:t>
            </w:r>
          </w:p>
          <w:p>
            <w:pPr>
              <w:widowControl/>
              <w:jc w:val="left"/>
              <w:textAlignment w:val="center"/>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价格评分=（评标基准价／评标价）×30分</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w:t>
            </w:r>
          </w:p>
        </w:tc>
      </w:tr>
      <w:tr>
        <w:tblPrEx>
          <w:tblCellMar>
            <w:top w:w="0" w:type="dxa"/>
            <w:left w:w="0" w:type="dxa"/>
            <w:bottom w:w="0" w:type="dxa"/>
            <w:right w:w="0" w:type="dxa"/>
          </w:tblCellMar>
        </w:tblPrEx>
        <w:trPr>
          <w:trHeight w:val="1107" w:hRule="atLeast"/>
        </w:trPr>
        <w:tc>
          <w:tcPr>
            <w:tcW w:w="121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服务方案</w:t>
            </w:r>
          </w:p>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（30分）</w:t>
            </w:r>
          </w:p>
        </w:tc>
        <w:tc>
          <w:tcPr>
            <w:tcW w:w="6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提供完善的法律服务方案，其中方案非常详细，内容全面，得</w:t>
            </w:r>
            <w:r>
              <w:rPr>
                <w:rFonts w:hint="eastAsia" w:ascii="仿宋" w:hAnsi="仿宋" w:eastAsia="仿宋" w:cs="仿宋"/>
                <w:color w:val="auto"/>
                <w:sz w:val="24"/>
                <w:highlight w:val="none"/>
                <w:lang w:val="en-US" w:eastAsia="zh-CN"/>
              </w:rPr>
              <w:t>15</w:t>
            </w:r>
            <w:r>
              <w:rPr>
                <w:rFonts w:hint="eastAsia" w:ascii="仿宋" w:hAnsi="仿宋" w:eastAsia="仿宋" w:cs="仿宋"/>
                <w:color w:val="auto"/>
                <w:sz w:val="24"/>
                <w:highlight w:val="none"/>
              </w:rPr>
              <w:t>分；其余方案完整度排名每靠后一名得分依次减少</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p>
        </w:tc>
      </w:tr>
      <w:tr>
        <w:tblPrEx>
          <w:tblCellMar>
            <w:top w:w="0" w:type="dxa"/>
            <w:left w:w="0" w:type="dxa"/>
            <w:bottom w:w="0" w:type="dxa"/>
            <w:right w:w="0" w:type="dxa"/>
          </w:tblCellMar>
        </w:tblPrEx>
        <w:trPr>
          <w:trHeight w:val="807" w:hRule="atLeast"/>
        </w:trPr>
        <w:tc>
          <w:tcPr>
            <w:tcW w:w="121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highlight w:val="none"/>
              </w:rPr>
            </w:pPr>
          </w:p>
        </w:tc>
        <w:tc>
          <w:tcPr>
            <w:tcW w:w="6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服务响应保障优，能提供非常及时便捷的服务，得1</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分；其余服务响应效率每靠后一名依次减少</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分。</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val="en-US" w:eastAsia="zh-CN"/>
              </w:rPr>
              <w:t>5</w:t>
            </w:r>
          </w:p>
        </w:tc>
      </w:tr>
      <w:tr>
        <w:tblPrEx>
          <w:tblCellMar>
            <w:top w:w="0" w:type="dxa"/>
            <w:left w:w="0" w:type="dxa"/>
            <w:bottom w:w="0" w:type="dxa"/>
            <w:right w:w="0" w:type="dxa"/>
          </w:tblCellMar>
        </w:tblPrEx>
        <w:trPr>
          <w:trHeight w:val="770" w:hRule="atLeast"/>
        </w:trPr>
        <w:tc>
          <w:tcPr>
            <w:tcW w:w="121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人员配置</w:t>
            </w:r>
          </w:p>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（10分）</w:t>
            </w:r>
          </w:p>
        </w:tc>
        <w:tc>
          <w:tcPr>
            <w:tcW w:w="6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由相对固定的3-5人律师团队提供法律服务，低于3人人员配置项目不得分。</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w:t>
            </w:r>
          </w:p>
        </w:tc>
      </w:tr>
      <w:tr>
        <w:tblPrEx>
          <w:tblCellMar>
            <w:top w:w="0" w:type="dxa"/>
            <w:left w:w="0" w:type="dxa"/>
            <w:bottom w:w="0" w:type="dxa"/>
            <w:right w:w="0" w:type="dxa"/>
          </w:tblCellMar>
        </w:tblPrEx>
        <w:trPr>
          <w:trHeight w:val="724" w:hRule="atLeast"/>
        </w:trPr>
        <w:tc>
          <w:tcPr>
            <w:tcW w:w="121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highlight w:val="none"/>
              </w:rPr>
            </w:pPr>
          </w:p>
        </w:tc>
        <w:tc>
          <w:tcPr>
            <w:tcW w:w="6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该律师团队负责人具有合伙人身份并执业10年及以上，执业年限排名第一得满分，</w:t>
            </w:r>
            <w:r>
              <w:rPr>
                <w:rFonts w:hint="eastAsia" w:ascii="仿宋" w:hAnsi="仿宋" w:eastAsia="仿宋" w:cs="仿宋"/>
                <w:color w:val="auto"/>
                <w:kern w:val="0"/>
                <w:sz w:val="24"/>
                <w:szCs w:val="24"/>
                <w:highlight w:val="none"/>
                <w:lang w:bidi="ar"/>
              </w:rPr>
              <w:t>其余排名每靠后一名得分依次减少1分</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r>
      <w:tr>
        <w:tblPrEx>
          <w:tblCellMar>
            <w:top w:w="0" w:type="dxa"/>
            <w:left w:w="0" w:type="dxa"/>
            <w:bottom w:w="0" w:type="dxa"/>
            <w:right w:w="0" w:type="dxa"/>
          </w:tblCellMar>
        </w:tblPrEx>
        <w:trPr>
          <w:trHeight w:val="875" w:hRule="atLeast"/>
        </w:trPr>
        <w:tc>
          <w:tcPr>
            <w:tcW w:w="1212" w:type="dxa"/>
            <w:vMerge w:val="continue"/>
            <w:tcBorders>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highlight w:val="none"/>
              </w:rPr>
            </w:pPr>
          </w:p>
        </w:tc>
        <w:tc>
          <w:tcPr>
            <w:tcW w:w="6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kern w:val="0"/>
                <w:sz w:val="24"/>
                <w:szCs w:val="24"/>
                <w:highlight w:val="none"/>
                <w:lang w:bidi="ar"/>
              </w:rPr>
              <w:t>其余团队成员平均从业8年及以上得5分，其余排名每靠后一名得分依次减少1分</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w:t>
            </w:r>
          </w:p>
        </w:tc>
      </w:tr>
      <w:tr>
        <w:tblPrEx>
          <w:tblCellMar>
            <w:top w:w="0" w:type="dxa"/>
            <w:left w:w="0" w:type="dxa"/>
            <w:bottom w:w="0" w:type="dxa"/>
            <w:right w:w="0" w:type="dxa"/>
          </w:tblCellMar>
        </w:tblPrEx>
        <w:trPr>
          <w:trHeight w:val="952" w:hRule="atLeast"/>
        </w:trPr>
        <w:tc>
          <w:tcPr>
            <w:tcW w:w="1212"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项目业绩</w:t>
            </w:r>
          </w:p>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（30分）</w:t>
            </w:r>
          </w:p>
        </w:tc>
        <w:tc>
          <w:tcPr>
            <w:tcW w:w="6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团队负责人</w:t>
            </w:r>
            <w:r>
              <w:rPr>
                <w:rFonts w:hint="eastAsia" w:ascii="仿宋" w:hAnsi="仿宋" w:eastAsia="仿宋" w:cs="仿宋"/>
                <w:color w:val="auto"/>
                <w:sz w:val="24"/>
                <w:highlight w:val="none"/>
              </w:rPr>
              <w:t>近3年内</w:t>
            </w:r>
            <w:r>
              <w:rPr>
                <w:rFonts w:ascii="仿宋" w:hAnsi="仿宋" w:eastAsia="仿宋" w:cs="仿宋"/>
                <w:color w:val="auto"/>
                <w:sz w:val="24"/>
                <w:highlight w:val="none"/>
              </w:rPr>
              <w:t>有为</w:t>
            </w:r>
            <w:r>
              <w:rPr>
                <w:rFonts w:hint="eastAsia" w:ascii="仿宋" w:hAnsi="仿宋" w:eastAsia="仿宋" w:cs="仿宋"/>
                <w:color w:val="auto"/>
                <w:sz w:val="24"/>
                <w:highlight w:val="none"/>
                <w:lang w:val="en-US" w:eastAsia="zh-CN"/>
              </w:rPr>
              <w:t>水务行业的国有企业</w:t>
            </w:r>
            <w:r>
              <w:rPr>
                <w:rFonts w:ascii="仿宋" w:hAnsi="仿宋" w:eastAsia="仿宋" w:cs="仿宋"/>
                <w:color w:val="auto"/>
                <w:sz w:val="24"/>
                <w:highlight w:val="none"/>
              </w:rPr>
              <w:t>提供法律服务的经验和案例</w:t>
            </w:r>
            <w:r>
              <w:rPr>
                <w:rFonts w:hint="eastAsia" w:ascii="仿宋" w:hAnsi="仿宋" w:eastAsia="仿宋" w:cs="仿宋"/>
                <w:color w:val="auto"/>
                <w:sz w:val="24"/>
                <w:highlight w:val="none"/>
              </w:rPr>
              <w:t>，</w:t>
            </w:r>
            <w:r>
              <w:rPr>
                <w:rFonts w:hint="eastAsia" w:ascii="仿宋" w:hAnsi="仿宋" w:eastAsia="仿宋" w:cs="仿宋"/>
                <w:color w:val="auto"/>
                <w:kern w:val="0"/>
                <w:sz w:val="24"/>
                <w:szCs w:val="24"/>
                <w:highlight w:val="none"/>
                <w:lang w:bidi="ar"/>
              </w:rPr>
              <w:t>按照相关工作数量进行横向比较：排名第一得10分，其余排名每靠后一名得分依次减少2分。</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w:t>
            </w:r>
          </w:p>
        </w:tc>
      </w:tr>
      <w:tr>
        <w:tblPrEx>
          <w:tblCellMar>
            <w:top w:w="0" w:type="dxa"/>
            <w:left w:w="0" w:type="dxa"/>
            <w:bottom w:w="0" w:type="dxa"/>
            <w:right w:w="0" w:type="dxa"/>
          </w:tblCellMar>
        </w:tblPrEx>
        <w:trPr>
          <w:trHeight w:val="1330" w:hRule="atLeast"/>
        </w:trPr>
        <w:tc>
          <w:tcPr>
            <w:tcW w:w="1212" w:type="dxa"/>
            <w:vMerge w:val="continue"/>
            <w:tcBorders>
              <w:left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仿宋" w:hAnsi="仿宋" w:eastAsia="仿宋" w:cs="仿宋"/>
                <w:color w:val="auto"/>
                <w:kern w:val="0"/>
                <w:sz w:val="24"/>
                <w:szCs w:val="24"/>
                <w:highlight w:val="none"/>
              </w:rPr>
            </w:pPr>
          </w:p>
        </w:tc>
        <w:tc>
          <w:tcPr>
            <w:tcW w:w="65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360" w:lineRule="exact"/>
              <w:rPr>
                <w:rFonts w:ascii="仿宋" w:hAnsi="仿宋" w:eastAsia="仿宋" w:cs="仿宋"/>
                <w:color w:val="auto"/>
                <w:sz w:val="24"/>
                <w:highlight w:val="none"/>
              </w:rPr>
            </w:pPr>
            <w:r>
              <w:rPr>
                <w:rFonts w:hint="eastAsia" w:ascii="仿宋" w:hAnsi="仿宋" w:eastAsia="仿宋" w:cs="仿宋"/>
                <w:color w:val="auto"/>
                <w:kern w:val="0"/>
                <w:sz w:val="24"/>
                <w:szCs w:val="24"/>
                <w:highlight w:val="none"/>
                <w:lang w:val="en-US" w:eastAsia="zh-CN" w:bidi="ar"/>
              </w:rPr>
              <w:t>团队负责人近3年</w:t>
            </w:r>
            <w:r>
              <w:rPr>
                <w:rFonts w:hint="eastAsia" w:ascii="仿宋" w:hAnsi="仿宋" w:eastAsia="仿宋" w:cs="仿宋"/>
                <w:color w:val="auto"/>
                <w:kern w:val="0"/>
                <w:sz w:val="24"/>
                <w:szCs w:val="24"/>
                <w:highlight w:val="none"/>
                <w:lang w:bidi="ar"/>
              </w:rPr>
              <w:t>提供</w:t>
            </w:r>
            <w:r>
              <w:rPr>
                <w:rFonts w:hint="eastAsia" w:ascii="仿宋" w:hAnsi="仿宋" w:eastAsia="仿宋" w:cs="仿宋"/>
                <w:color w:val="auto"/>
                <w:kern w:val="0"/>
                <w:sz w:val="24"/>
                <w:szCs w:val="24"/>
                <w:highlight w:val="none"/>
                <w:lang w:val="en-US" w:eastAsia="zh-CN" w:bidi="ar"/>
              </w:rPr>
              <w:t>国企改革、</w:t>
            </w:r>
            <w:r>
              <w:rPr>
                <w:rFonts w:hint="eastAsia" w:ascii="仿宋" w:hAnsi="仿宋" w:eastAsia="仿宋" w:cs="仿宋"/>
                <w:color w:val="auto"/>
                <w:kern w:val="0"/>
                <w:sz w:val="24"/>
                <w:szCs w:val="24"/>
                <w:highlight w:val="none"/>
                <w:lang w:bidi="ar"/>
              </w:rPr>
              <w:t>土地综合开发利用、</w:t>
            </w:r>
            <w:r>
              <w:rPr>
                <w:rFonts w:hint="eastAsia" w:ascii="仿宋" w:hAnsi="仿宋" w:eastAsia="仿宋" w:cs="仿宋"/>
                <w:color w:val="auto"/>
                <w:kern w:val="0"/>
                <w:sz w:val="24"/>
                <w:szCs w:val="24"/>
                <w:highlight w:val="none"/>
                <w:lang w:val="en-US" w:eastAsia="zh-CN" w:bidi="ar"/>
              </w:rPr>
              <w:t>建设工程、物业租赁、投融资、应急事件处理</w:t>
            </w:r>
            <w:r>
              <w:rPr>
                <w:rFonts w:hint="eastAsia" w:ascii="仿宋" w:hAnsi="仿宋" w:eastAsia="仿宋" w:cs="仿宋"/>
                <w:color w:val="auto"/>
                <w:kern w:val="0"/>
                <w:sz w:val="24"/>
                <w:szCs w:val="24"/>
                <w:highlight w:val="none"/>
                <w:lang w:bidi="ar"/>
              </w:rPr>
              <w:t>等方面专项法律服务，每1项得2分，</w:t>
            </w:r>
            <w:r>
              <w:rPr>
                <w:rFonts w:hint="eastAsia" w:ascii="仿宋" w:hAnsi="仿宋" w:eastAsia="仿宋" w:cs="仿宋"/>
                <w:color w:val="auto"/>
                <w:kern w:val="0"/>
                <w:sz w:val="24"/>
                <w:szCs w:val="24"/>
                <w:highlight w:val="none"/>
                <w:lang w:val="en-US" w:eastAsia="zh-CN" w:bidi="ar"/>
              </w:rPr>
              <w:t>每一类不超过4分，</w:t>
            </w:r>
            <w:r>
              <w:rPr>
                <w:rFonts w:hint="eastAsia" w:ascii="仿宋" w:hAnsi="仿宋" w:eastAsia="仿宋" w:cs="仿宋"/>
                <w:color w:val="auto"/>
                <w:kern w:val="0"/>
                <w:sz w:val="24"/>
                <w:szCs w:val="24"/>
                <w:highlight w:val="none"/>
                <w:lang w:bidi="ar"/>
              </w:rPr>
              <w:t>合计不超过20分。</w:t>
            </w:r>
          </w:p>
        </w:tc>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20</w:t>
            </w:r>
          </w:p>
        </w:tc>
      </w:tr>
      <w:tr>
        <w:tblPrEx>
          <w:tblCellMar>
            <w:top w:w="0" w:type="dxa"/>
            <w:left w:w="0" w:type="dxa"/>
            <w:bottom w:w="0" w:type="dxa"/>
            <w:right w:w="0" w:type="dxa"/>
          </w:tblCellMar>
        </w:tblPrEx>
        <w:trPr>
          <w:trHeight w:val="1680" w:hRule="atLeast"/>
        </w:trPr>
        <w:tc>
          <w:tcPr>
            <w:tcW w:w="9224" w:type="dxa"/>
            <w:gridSpan w:val="3"/>
            <w:tcBorders>
              <w:left w:val="single" w:color="000000" w:sz="4" w:space="0"/>
              <w:bottom w:val="single" w:color="000000" w:sz="4" w:space="0"/>
              <w:right w:val="single" w:color="000000" w:sz="4" w:space="0"/>
            </w:tcBorders>
            <w:noWrap w:val="0"/>
            <w:tcMar>
              <w:top w:w="15" w:type="dxa"/>
              <w:left w:w="15" w:type="dxa"/>
              <w:right w:w="15" w:type="dxa"/>
            </w:tcMar>
            <w:vAlign w:val="center"/>
          </w:tcPr>
          <w:p>
            <w:pPr>
              <w:tabs>
                <w:tab w:val="left" w:pos="3332"/>
              </w:tabs>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评审表评分说明</w:t>
            </w:r>
          </w:p>
          <w:p>
            <w:pPr>
              <w:numPr>
                <w:ilvl w:val="0"/>
                <w:numId w:val="0"/>
              </w:numPr>
              <w:tabs>
                <w:tab w:val="left" w:pos="3332"/>
              </w:tabs>
              <w:spacing w:line="500" w:lineRule="exact"/>
              <w:ind w:firstLine="482" w:firstLineChars="200"/>
              <w:jc w:val="left"/>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1.价格指标：</w:t>
            </w:r>
            <w:r>
              <w:rPr>
                <w:rFonts w:hint="eastAsia" w:ascii="仿宋" w:hAnsi="仿宋" w:eastAsia="仿宋" w:cs="仿宋"/>
                <w:color w:val="auto"/>
                <w:sz w:val="24"/>
                <w:szCs w:val="24"/>
                <w:highlight w:val="none"/>
              </w:rPr>
              <w:t>价格为含税价，包括了项目的全部费用。</w:t>
            </w:r>
            <w:r>
              <w:rPr>
                <w:rFonts w:hint="eastAsia" w:ascii="仿宋" w:hAnsi="仿宋" w:eastAsia="仿宋" w:cs="仿宋"/>
                <w:color w:val="auto"/>
                <w:sz w:val="24"/>
                <w:szCs w:val="24"/>
                <w:highlight w:val="none"/>
                <w:lang w:val="en-US" w:eastAsia="zh-CN"/>
              </w:rPr>
              <w:t>因暂无具体项目，本项价格指标报价为费用折扣率，即响应单位报价方式为收费标准的xx%，收费标准为《广东省物价局、司法厅律师服务收费管理实施办法》（粤价〔2006〕298号），其中报价高于上述收费标准80%的本项不得分。</w:t>
            </w:r>
          </w:p>
          <w:p>
            <w:pPr>
              <w:numPr>
                <w:ilvl w:val="0"/>
                <w:numId w:val="0"/>
              </w:numPr>
              <w:tabs>
                <w:tab w:val="left" w:pos="3332"/>
              </w:tabs>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2.服务方案：</w:t>
            </w:r>
            <w:r>
              <w:rPr>
                <w:rFonts w:hint="eastAsia" w:ascii="仿宋" w:hAnsi="仿宋" w:eastAsia="仿宋" w:cs="仿宋"/>
                <w:color w:val="auto"/>
                <w:sz w:val="24"/>
                <w:szCs w:val="24"/>
                <w:highlight w:val="none"/>
              </w:rPr>
              <w:t>包含报价、律师及服务团队介绍、律师简历、对我公司职责及法律服务需求的分析、担任法律顾问项目一览表、担任委托代理人项目一览表、法律服务质量及效率承诺、团队成员荣誉等。</w:t>
            </w:r>
          </w:p>
          <w:p>
            <w:pPr>
              <w:numPr>
                <w:ilvl w:val="0"/>
                <w:numId w:val="0"/>
              </w:numPr>
              <w:tabs>
                <w:tab w:val="left" w:pos="3332"/>
              </w:tabs>
              <w:spacing w:line="50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3.服务响应保障</w:t>
            </w:r>
            <w:r>
              <w:rPr>
                <w:rFonts w:hint="eastAsia" w:ascii="仿宋" w:hAnsi="仿宋" w:eastAsia="仿宋" w:cs="仿宋"/>
                <w:color w:val="auto"/>
                <w:sz w:val="24"/>
                <w:szCs w:val="24"/>
                <w:highlight w:val="none"/>
              </w:rPr>
              <w:t>：服务响应保障优的情况为：任何情况下，我公司如需提供项目法律服务时，可随时直接联系律师服务团队及其中任一律师，律师团队在4小时内（紧急事务在2小时内）作出回复或解答，提供初步解决方案。如遇复杂、重大事项咨询，应在6小时内提供初步解决方案；我公司如需律师团队审查、修改相关文件的，律师团队应在收到相关文件后24小时内完成。如涉及重大、复杂法律文件的审查、修改，则应在我公司指定的合理期限内（不少于24小时）完成；我公司如需律师团队出具相关书面法律服务文件，律师团队应在收集足够资料后二个工作日内出具相关书面法律服务文件。如遇复杂、重大事项需出具上述书面法律服务文件，或需出具专项法律意见书、尽职调查报告书等，则在我公司指定的合理期限内完成。我公司如需律师团队出席服务范围内有关协商、调解、谈判、会议等场合，律师团队应至少委派一名律师团队成员按时出席。如遇复杂、重大事项或我单位特殊要求，则应委派团队负责人律师亲自出席，根据现场情况提出法律意见。</w:t>
            </w:r>
          </w:p>
          <w:p>
            <w:pPr>
              <w:numPr>
                <w:ilvl w:val="0"/>
                <w:numId w:val="0"/>
              </w:numPr>
              <w:tabs>
                <w:tab w:val="left" w:pos="3332"/>
              </w:tabs>
              <w:spacing w:line="500" w:lineRule="exact"/>
              <w:ind w:firstLine="482" w:firstLineChars="200"/>
              <w:jc w:val="left"/>
              <w:rPr>
                <w:rFonts w:hint="eastAsia" w:ascii="仿宋" w:hAnsi="仿宋" w:eastAsia="仿宋_GB2312" w:cs="仿宋"/>
                <w:color w:val="auto"/>
                <w:sz w:val="24"/>
                <w:szCs w:val="24"/>
                <w:highlight w:val="none"/>
                <w:lang w:val="en-US" w:eastAsia="zh-CN"/>
              </w:rPr>
            </w:pPr>
            <w:r>
              <w:rPr>
                <w:rFonts w:hint="eastAsia" w:ascii="仿宋" w:hAnsi="仿宋" w:eastAsia="仿宋" w:cs="仿宋"/>
                <w:b/>
                <w:bCs/>
                <w:color w:val="auto"/>
                <w:sz w:val="24"/>
                <w:szCs w:val="24"/>
                <w:highlight w:val="none"/>
              </w:rPr>
              <w:t>5.人员配置：</w:t>
            </w:r>
            <w:r>
              <w:rPr>
                <w:rFonts w:hint="eastAsia" w:ascii="仿宋" w:hAnsi="仿宋" w:eastAsia="仿宋" w:cs="仿宋"/>
                <w:color w:val="auto"/>
                <w:sz w:val="24"/>
                <w:szCs w:val="24"/>
                <w:highlight w:val="none"/>
              </w:rPr>
              <w:t>律师团队介绍及律师简历需提供相关证明文件，未提供视为无。</w:t>
            </w:r>
            <w:r>
              <w:rPr>
                <w:rFonts w:hint="eastAsia" w:ascii="仿宋" w:hAnsi="仿宋" w:eastAsia="仿宋" w:cs="仿宋"/>
                <w:color w:val="auto"/>
                <w:sz w:val="24"/>
                <w:szCs w:val="24"/>
                <w:highlight w:val="none"/>
                <w:lang w:val="en-US" w:eastAsia="zh-CN"/>
              </w:rPr>
              <w:t>执业年限以</w:t>
            </w:r>
            <w:r>
              <w:rPr>
                <w:rFonts w:hint="eastAsia" w:ascii="仿宋_GB2312" w:eastAsia="仿宋_GB2312"/>
                <w:color w:val="auto"/>
                <w:sz w:val="24"/>
                <w:highlight w:val="none"/>
              </w:rPr>
              <w:t>执业证号时间</w:t>
            </w:r>
            <w:r>
              <w:rPr>
                <w:rFonts w:hint="eastAsia" w:ascii="仿宋_GB2312" w:eastAsia="仿宋_GB2312"/>
                <w:color w:val="auto"/>
                <w:sz w:val="24"/>
                <w:highlight w:val="none"/>
                <w:lang w:val="en-US" w:eastAsia="zh-CN"/>
              </w:rPr>
              <w:t>为准。</w:t>
            </w:r>
          </w:p>
          <w:p>
            <w:pPr>
              <w:numPr>
                <w:ilvl w:val="0"/>
                <w:numId w:val="0"/>
              </w:numPr>
              <w:tabs>
                <w:tab w:val="left" w:pos="3332"/>
              </w:tabs>
              <w:spacing w:line="500" w:lineRule="exact"/>
              <w:ind w:firstLine="482" w:firstLineChars="200"/>
              <w:jc w:val="left"/>
              <w:rPr>
                <w:rFonts w:hint="eastAsia" w:ascii="仿宋" w:hAnsi="仿宋" w:eastAsia="仿宋" w:cs="仿宋"/>
                <w:color w:val="auto"/>
                <w:kern w:val="0"/>
                <w:sz w:val="24"/>
                <w:szCs w:val="24"/>
                <w:highlight w:val="none"/>
              </w:rPr>
            </w:pPr>
            <w:r>
              <w:rPr>
                <w:rFonts w:hint="eastAsia" w:ascii="仿宋" w:hAnsi="仿宋" w:eastAsia="仿宋" w:cs="仿宋"/>
                <w:b/>
                <w:bCs/>
                <w:color w:val="auto"/>
                <w:sz w:val="24"/>
                <w:szCs w:val="24"/>
                <w:highlight w:val="none"/>
              </w:rPr>
              <w:t>6.项目业绩：</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水务行业国有企业</w:t>
            </w:r>
            <w:r>
              <w:rPr>
                <w:rFonts w:hint="eastAsia" w:ascii="仿宋" w:hAnsi="仿宋" w:eastAsia="仿宋" w:cs="仿宋"/>
                <w:color w:val="auto"/>
                <w:sz w:val="24"/>
                <w:szCs w:val="24"/>
                <w:highlight w:val="none"/>
              </w:rPr>
              <w:t>提供法律服务的经验和案例，按照相关工作数量进行横向比较</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相关工作数量”指服务单位的数量。</w:t>
            </w:r>
            <w:r>
              <w:rPr>
                <w:rFonts w:hint="eastAsia" w:ascii="仿宋" w:hAnsi="仿宋" w:eastAsia="仿宋" w:cs="仿宋"/>
                <w:color w:val="auto"/>
                <w:sz w:val="24"/>
                <w:szCs w:val="24"/>
                <w:highlight w:val="none"/>
              </w:rPr>
              <w:t>项目业绩证明文件需提供合同（封面及盖章页）、裁判文书、聘书等证明材料，未提供视为无。</w:t>
            </w:r>
          </w:p>
        </w:tc>
      </w:tr>
    </w:tbl>
    <w:p>
      <w:pPr>
        <w:adjustRightInd w:val="0"/>
        <w:snapToGrid w:val="0"/>
        <w:spacing w:line="600" w:lineRule="exact"/>
        <w:ind w:firstLine="560" w:firstLineChars="2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pPr>
        <w:adjustRightInd w:val="0"/>
        <w:snapToGrid w:val="0"/>
        <w:spacing w:line="600" w:lineRule="exact"/>
        <w:ind w:firstLine="560" w:firstLineChars="200"/>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w:t>
      </w:r>
      <w:r>
        <w:rPr>
          <w:rFonts w:hint="eastAsia" w:ascii="仿宋_GB2312" w:eastAsia="仿宋_GB2312" w:hAnsiTheme="minorEastAsia"/>
          <w:color w:val="auto"/>
          <w:sz w:val="28"/>
          <w:szCs w:val="28"/>
          <w:highlight w:val="none"/>
        </w:rPr>
        <w:sym w:font="Wingdings 2" w:char="0052"/>
      </w:r>
      <w:r>
        <w:rPr>
          <w:rFonts w:hint="eastAsia" w:ascii="仿宋_GB2312" w:eastAsia="仿宋_GB2312" w:hAnsiTheme="minorEastAsia"/>
          <w:color w:val="auto"/>
          <w:sz w:val="28"/>
          <w:szCs w:val="28"/>
          <w:highlight w:val="none"/>
        </w:rPr>
        <w:t>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u w:val="single"/>
          <w:lang w:val="en-US" w:eastAsia="zh-CN"/>
        </w:rPr>
        <w:t>价格低者中选</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color w:val="auto"/>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rFonts w:hint="eastAsia"/>
          <w:color w:val="auto"/>
          <w:highlight w:val="none"/>
        </w:rPr>
      </w:pPr>
      <w:bookmarkStart w:id="58" w:name="_Toc88209947"/>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M2AsR1wAAAAsBAAAPAAAAAAAA&#10;AAEAIAAAACIAAABkcnMvZG93bnJldi54bWxQSwECFAAUAAAACACHTuJAGWLF3toBAACWAwAADgAA&#10;AAAAAAABACAAAAAmAQAAZHJzL2Uyb0RvYy54bWxQSwUGAAAAAAYABgBZAQAAc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grYt61gAAAAkBAAAPAAAAAAAAAAEA&#10;IAAAACIAAABkcnMvZG93bnJldi54bWxQSwECFAAUAAAACACHTuJAbCcGMdgBAACWAwAADgAAAAAA&#10;AAABACAAAAAlAQAAZHJzL2Uyb0RvYy54bWxQSwUGAAAAAAYABgBZAQAAbw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bookmarkEnd w:id="58"/>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ind w:left="0" w:leftChars="0" w:firstLine="0" w:firstLineChars="0"/>
        <w:rPr>
          <w:rFonts w:ascii="仿宋_GB2312" w:eastAsia="仿宋_GB2312"/>
          <w:color w:val="auto"/>
          <w:sz w:val="28"/>
          <w:szCs w:val="28"/>
          <w:highlight w:val="none"/>
        </w:rPr>
      </w:pPr>
    </w:p>
    <w:p>
      <w:pPr>
        <w:pStyle w:val="13"/>
        <w:numPr>
          <w:ilvl w:val="0"/>
          <w:numId w:val="0"/>
        </w:numPr>
        <w:tabs>
          <w:tab w:val="left" w:pos="420"/>
        </w:tabs>
        <w:adjustRightInd w:val="0"/>
        <w:snapToGrid w:val="0"/>
        <w:spacing w:line="300" w:lineRule="auto"/>
        <w:ind w:firstLine="560" w:firstLineChars="200"/>
        <w:rPr>
          <w:rFonts w:hint="eastAsia" w:ascii="黑体" w:hAnsi="黑体" w:eastAsia="黑体" w:cs="黑体"/>
          <w:b w:val="0"/>
          <w:bCs/>
          <w:color w:val="auto"/>
          <w:sz w:val="28"/>
          <w:szCs w:val="28"/>
          <w:highlight w:val="none"/>
          <w:lang w:val="zh-CN"/>
        </w:rPr>
      </w:pPr>
      <w:r>
        <w:rPr>
          <w:rFonts w:hint="eastAsia" w:ascii="黑体" w:hAnsi="黑体" w:eastAsia="黑体" w:cs="黑体"/>
          <w:b w:val="0"/>
          <w:bCs/>
          <w:color w:val="auto"/>
          <w:sz w:val="28"/>
          <w:szCs w:val="28"/>
          <w:highlight w:val="none"/>
          <w:lang w:val="zh-CN"/>
        </w:rPr>
        <w:t>一、项目情况介绍</w:t>
      </w:r>
    </w:p>
    <w:p>
      <w:pPr>
        <w:spacing w:line="360" w:lineRule="auto"/>
        <w:ind w:firstLine="281" w:firstLineChars="100"/>
        <w:rPr>
          <w:rFonts w:hint="eastAsia"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lang w:eastAsia="zh-CN"/>
        </w:rPr>
        <w:t>（</w:t>
      </w:r>
      <w:r>
        <w:rPr>
          <w:rFonts w:hint="eastAsia" w:ascii="仿宋" w:hAnsi="仿宋" w:eastAsia="仿宋" w:cs="仿宋_GB2312"/>
          <w:b/>
          <w:bCs/>
          <w:color w:val="auto"/>
          <w:sz w:val="28"/>
          <w:szCs w:val="28"/>
          <w:highlight w:val="none"/>
          <w:lang w:val="en-US" w:eastAsia="zh-CN"/>
        </w:rPr>
        <w:t>一</w:t>
      </w:r>
      <w:r>
        <w:rPr>
          <w:rFonts w:hint="eastAsia" w:ascii="仿宋" w:hAnsi="仿宋" w:eastAsia="仿宋" w:cs="仿宋_GB2312"/>
          <w:b/>
          <w:bCs/>
          <w:color w:val="auto"/>
          <w:sz w:val="28"/>
          <w:szCs w:val="28"/>
          <w:highlight w:val="none"/>
          <w:lang w:eastAsia="zh-CN"/>
        </w:rPr>
        <w:t>）</w:t>
      </w:r>
      <w:r>
        <w:rPr>
          <w:rFonts w:hint="eastAsia" w:ascii="仿宋" w:hAnsi="仿宋" w:eastAsia="仿宋" w:cs="仿宋_GB2312"/>
          <w:b/>
          <w:bCs/>
          <w:color w:val="auto"/>
          <w:sz w:val="28"/>
          <w:szCs w:val="28"/>
          <w:highlight w:val="none"/>
        </w:rPr>
        <w:t>项目名称</w:t>
      </w:r>
    </w:p>
    <w:p>
      <w:pPr>
        <w:spacing w:line="360" w:lineRule="auto"/>
        <w:ind w:firstLine="560" w:firstLineChars="200"/>
        <w:rPr>
          <w:rFonts w:hint="default"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广州市净水有限公司2022年非诉讼专项法律服务</w:t>
      </w:r>
    </w:p>
    <w:p>
      <w:pPr>
        <w:numPr>
          <w:ilvl w:val="0"/>
          <w:numId w:val="0"/>
        </w:numPr>
        <w:spacing w:line="360" w:lineRule="auto"/>
        <w:ind w:leftChars="200"/>
        <w:rPr>
          <w:rFonts w:hint="eastAsia"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lang w:eastAsia="zh-CN"/>
        </w:rPr>
        <w:t>（</w:t>
      </w:r>
      <w:r>
        <w:rPr>
          <w:rFonts w:hint="eastAsia" w:ascii="仿宋" w:hAnsi="仿宋" w:eastAsia="仿宋" w:cs="仿宋_GB2312"/>
          <w:b/>
          <w:bCs/>
          <w:color w:val="auto"/>
          <w:sz w:val="28"/>
          <w:szCs w:val="28"/>
          <w:highlight w:val="none"/>
          <w:lang w:val="en-US" w:eastAsia="zh-CN"/>
        </w:rPr>
        <w:t>二</w:t>
      </w:r>
      <w:r>
        <w:rPr>
          <w:rFonts w:hint="eastAsia" w:ascii="仿宋" w:hAnsi="仿宋" w:eastAsia="仿宋" w:cs="仿宋_GB2312"/>
          <w:b/>
          <w:bCs/>
          <w:color w:val="auto"/>
          <w:sz w:val="28"/>
          <w:szCs w:val="28"/>
          <w:highlight w:val="none"/>
          <w:lang w:eastAsia="zh-CN"/>
        </w:rPr>
        <w:t>）</w:t>
      </w:r>
      <w:r>
        <w:rPr>
          <w:rFonts w:hint="eastAsia" w:ascii="仿宋" w:hAnsi="仿宋" w:eastAsia="仿宋" w:cs="仿宋_GB2312"/>
          <w:b/>
          <w:bCs/>
          <w:color w:val="auto"/>
          <w:sz w:val="28"/>
          <w:szCs w:val="28"/>
          <w:highlight w:val="none"/>
        </w:rPr>
        <w:t>项目介绍</w:t>
      </w:r>
    </w:p>
    <w:p>
      <w:pPr>
        <w:numPr>
          <w:ilvl w:val="0"/>
          <w:numId w:val="0"/>
        </w:numPr>
        <w:spacing w:line="360" w:lineRule="auto"/>
        <w:ind w:firstLine="560" w:firstLineChars="200"/>
        <w:rPr>
          <w:rFonts w:hint="eastAsia" w:ascii="仿宋" w:hAnsi="仿宋" w:eastAsia="仿宋" w:cs="仿宋_GB2312"/>
          <w:color w:val="auto"/>
          <w:sz w:val="28"/>
          <w:szCs w:val="28"/>
          <w:highlight w:val="none"/>
          <w:lang w:val="en-US" w:eastAsia="zh-CN"/>
        </w:rPr>
      </w:pPr>
      <w:r>
        <w:rPr>
          <w:rFonts w:hint="eastAsia" w:ascii="仿宋" w:hAnsi="仿宋" w:eastAsia="仿宋" w:cs="仿宋_GB2312"/>
          <w:color w:val="auto"/>
          <w:sz w:val="28"/>
          <w:szCs w:val="28"/>
          <w:highlight w:val="none"/>
          <w:lang w:val="en-US" w:eastAsia="zh-CN"/>
        </w:rPr>
        <w:t>公司经选聘程序聘请律师，作为2022年6月至2023年5月期间公司非诉讼专项法律服务的服务单位并签订服务合同，代理公司的专项法律服务（具体以实际委托项目为准）。</w:t>
      </w:r>
    </w:p>
    <w:p>
      <w:pPr>
        <w:pStyle w:val="2"/>
        <w:ind w:left="0" w:leftChars="0" w:firstLine="560" w:firstLineChars="200"/>
        <w:rPr>
          <w:rFonts w:hint="default" w:ascii="仿宋" w:hAnsi="仿宋" w:eastAsia="仿宋" w:cs="仿宋_GB2312"/>
          <w:color w:val="auto"/>
          <w:kern w:val="2"/>
          <w:sz w:val="28"/>
          <w:szCs w:val="28"/>
          <w:highlight w:val="none"/>
          <w:lang w:val="en-US" w:eastAsia="zh-CN" w:bidi="ar-SA"/>
        </w:rPr>
      </w:pPr>
      <w:r>
        <w:rPr>
          <w:rFonts w:hint="eastAsia" w:ascii="仿宋" w:hAnsi="仿宋" w:eastAsia="仿宋" w:cs="仿宋_GB2312"/>
          <w:color w:val="auto"/>
          <w:kern w:val="2"/>
          <w:sz w:val="28"/>
          <w:szCs w:val="28"/>
          <w:highlight w:val="none"/>
          <w:lang w:val="en-US" w:eastAsia="zh-CN" w:bidi="ar-SA"/>
        </w:rPr>
        <w:t>非诉讼专项项目可能涉及建设工程管理、合同模板制定、合同纠纷、土地开发利用、债券发行、股权投资、人事管理、环保侵权等事宜。</w:t>
      </w:r>
    </w:p>
    <w:p>
      <w:pPr>
        <w:spacing w:line="360" w:lineRule="auto"/>
        <w:ind w:firstLine="560" w:firstLineChars="200"/>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lang w:val="en-US" w:eastAsia="zh-CN"/>
        </w:rPr>
        <w:t>但属地性较强、专业性极强等聘请其他律师事务所有利于降低成本或提高法律服务效果的，我公司可另行委托。</w:t>
      </w:r>
    </w:p>
    <w:p>
      <w:pPr>
        <w:numPr>
          <w:ilvl w:val="0"/>
          <w:numId w:val="0"/>
        </w:numPr>
        <w:spacing w:line="500" w:lineRule="exact"/>
        <w:ind w:firstLine="562" w:firstLineChars="200"/>
        <w:rPr>
          <w:rFonts w:hint="eastAsia" w:ascii="仿宋" w:hAnsi="仿宋" w:eastAsia="仿宋" w:cs="仿宋_GB2312"/>
          <w:b/>
          <w:bCs/>
          <w:color w:val="auto"/>
          <w:sz w:val="28"/>
          <w:szCs w:val="28"/>
          <w:highlight w:val="none"/>
          <w:lang w:eastAsia="zh-CN"/>
        </w:rPr>
      </w:pPr>
    </w:p>
    <w:p>
      <w:pPr>
        <w:numPr>
          <w:ilvl w:val="0"/>
          <w:numId w:val="0"/>
        </w:numPr>
        <w:spacing w:line="500" w:lineRule="exact"/>
        <w:ind w:firstLine="562" w:firstLineChars="200"/>
        <w:rPr>
          <w:rFonts w:hint="eastAsia" w:ascii="仿宋" w:hAnsi="仿宋" w:eastAsia="仿宋" w:cs="仿宋_GB2312"/>
          <w:b/>
          <w:bCs/>
          <w:color w:val="auto"/>
          <w:sz w:val="28"/>
          <w:szCs w:val="28"/>
          <w:highlight w:val="none"/>
        </w:rPr>
      </w:pPr>
      <w:r>
        <w:rPr>
          <w:rFonts w:hint="eastAsia" w:ascii="仿宋" w:hAnsi="仿宋" w:eastAsia="仿宋" w:cs="仿宋_GB2312"/>
          <w:b/>
          <w:bCs/>
          <w:color w:val="auto"/>
          <w:sz w:val="28"/>
          <w:szCs w:val="28"/>
          <w:highlight w:val="none"/>
          <w:lang w:eastAsia="zh-CN"/>
        </w:rPr>
        <w:t>（</w:t>
      </w:r>
      <w:r>
        <w:rPr>
          <w:rFonts w:hint="eastAsia" w:ascii="仿宋" w:hAnsi="仿宋" w:eastAsia="仿宋" w:cs="仿宋_GB2312"/>
          <w:b/>
          <w:bCs/>
          <w:color w:val="auto"/>
          <w:sz w:val="28"/>
          <w:szCs w:val="28"/>
          <w:highlight w:val="none"/>
          <w:lang w:val="en-US" w:eastAsia="zh-CN"/>
        </w:rPr>
        <w:t>三</w:t>
      </w:r>
      <w:r>
        <w:rPr>
          <w:rFonts w:hint="eastAsia" w:ascii="仿宋" w:hAnsi="仿宋" w:eastAsia="仿宋" w:cs="仿宋_GB2312"/>
          <w:b/>
          <w:bCs/>
          <w:color w:val="auto"/>
          <w:sz w:val="28"/>
          <w:szCs w:val="28"/>
          <w:highlight w:val="none"/>
          <w:lang w:eastAsia="zh-CN"/>
        </w:rPr>
        <w:t>）</w:t>
      </w:r>
      <w:r>
        <w:rPr>
          <w:rFonts w:hint="eastAsia" w:ascii="仿宋" w:hAnsi="仿宋" w:eastAsia="仿宋" w:cs="仿宋_GB2312"/>
          <w:b/>
          <w:bCs/>
          <w:color w:val="auto"/>
          <w:sz w:val="28"/>
          <w:szCs w:val="28"/>
          <w:highlight w:val="none"/>
        </w:rPr>
        <w:t>服务内容</w:t>
      </w:r>
    </w:p>
    <w:p>
      <w:pPr>
        <w:numPr>
          <w:ilvl w:val="0"/>
          <w:numId w:val="0"/>
        </w:num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根据公司的委托，</w:t>
      </w:r>
      <w:r>
        <w:rPr>
          <w:rFonts w:hint="eastAsia" w:ascii="仿宋" w:hAnsi="仿宋" w:eastAsia="仿宋" w:cs="仿宋"/>
          <w:color w:val="auto"/>
          <w:sz w:val="28"/>
          <w:szCs w:val="28"/>
          <w:highlight w:val="none"/>
        </w:rPr>
        <w:t>在本</w:t>
      </w:r>
      <w:r>
        <w:rPr>
          <w:rFonts w:hint="eastAsia" w:ascii="仿宋" w:hAnsi="仿宋" w:eastAsia="仿宋" w:cs="仿宋"/>
          <w:color w:val="auto"/>
          <w:sz w:val="28"/>
          <w:szCs w:val="28"/>
          <w:highlight w:val="none"/>
          <w:lang w:val="en-US" w:eastAsia="zh-CN"/>
        </w:rPr>
        <w:t>合同期限内</w:t>
      </w:r>
      <w:r>
        <w:rPr>
          <w:rFonts w:hint="eastAsia" w:ascii="仿宋" w:hAnsi="仿宋" w:eastAsia="仿宋" w:cs="仿宋"/>
          <w:color w:val="auto"/>
          <w:sz w:val="28"/>
          <w:szCs w:val="28"/>
          <w:highlight w:val="none"/>
        </w:rPr>
        <w:t>为</w:t>
      </w:r>
      <w:r>
        <w:rPr>
          <w:rFonts w:hint="eastAsia" w:ascii="仿宋" w:hAnsi="仿宋" w:eastAsia="仿宋" w:cs="仿宋"/>
          <w:color w:val="auto"/>
          <w:sz w:val="28"/>
          <w:szCs w:val="28"/>
          <w:highlight w:val="none"/>
          <w:lang w:val="en-US" w:eastAsia="zh-CN"/>
        </w:rPr>
        <w:t>公司</w:t>
      </w:r>
      <w:r>
        <w:rPr>
          <w:rFonts w:hint="eastAsia" w:ascii="仿宋" w:hAnsi="仿宋" w:eastAsia="仿宋" w:cs="仿宋"/>
          <w:color w:val="auto"/>
          <w:sz w:val="28"/>
          <w:szCs w:val="28"/>
          <w:highlight w:val="none"/>
        </w:rPr>
        <w:t>提供专项法律服务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具体项目以甲方实际委托为准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包括但不限于法律尽职调查，法律风险分析，法律解决方案研究、参与协商谈判、合规审查等，</w:t>
      </w:r>
      <w:r>
        <w:rPr>
          <w:rFonts w:hint="eastAsia" w:ascii="仿宋" w:hAnsi="仿宋" w:eastAsia="仿宋" w:cs="仿宋"/>
          <w:color w:val="auto"/>
          <w:sz w:val="28"/>
          <w:szCs w:val="28"/>
          <w:highlight w:val="none"/>
        </w:rPr>
        <w:t>具体工作内容如下：</w:t>
      </w:r>
    </w:p>
    <w:p>
      <w:pPr>
        <w:spacing w:line="500" w:lineRule="exact"/>
        <w:ind w:firstLine="57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1.对各具体专项提供专项法律咨询服务工作，出具法律意见书；</w:t>
      </w:r>
    </w:p>
    <w:p>
      <w:pPr>
        <w:spacing w:line="500" w:lineRule="exact"/>
        <w:ind w:firstLine="57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2.协助起草、修改、审核各类合同、报告、函件，出具合法性审查意见书；</w:t>
      </w:r>
    </w:p>
    <w:p>
      <w:pPr>
        <w:spacing w:line="500" w:lineRule="exact"/>
        <w:ind w:firstLine="57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3.应甲方要求，参加协商谈判，协调处理纠纷、争议等非诉</w:t>
      </w:r>
      <w:r>
        <w:rPr>
          <w:rFonts w:ascii="仿宋" w:hAnsi="仿宋" w:eastAsia="仿宋" w:cs="仿宋"/>
          <w:color w:val="auto"/>
          <w:sz w:val="28"/>
          <w:szCs w:val="28"/>
          <w:highlight w:val="none"/>
        </w:rPr>
        <w:t>讼、非仲裁法律事务；</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4.</w:t>
      </w:r>
      <w:r>
        <w:rPr>
          <w:rFonts w:ascii="仿宋" w:hAnsi="仿宋" w:eastAsia="仿宋" w:cs="仿宋"/>
          <w:color w:val="auto"/>
          <w:sz w:val="28"/>
          <w:szCs w:val="28"/>
          <w:highlight w:val="none"/>
        </w:rPr>
        <w:t>协助处理突发维稳事件，涉嫌刑事犯罪的，协助报案、申诉；</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5.</w:t>
      </w:r>
      <w:r>
        <w:rPr>
          <w:rFonts w:ascii="仿宋" w:hAnsi="仿宋" w:eastAsia="仿宋" w:cs="仿宋"/>
          <w:color w:val="auto"/>
          <w:sz w:val="28"/>
          <w:szCs w:val="28"/>
          <w:highlight w:val="none"/>
        </w:rPr>
        <w:t>根据项目需要及</w:t>
      </w:r>
      <w:r>
        <w:rPr>
          <w:rFonts w:hint="eastAsia" w:ascii="仿宋" w:hAnsi="仿宋" w:eastAsia="仿宋" w:cs="仿宋"/>
          <w:color w:val="auto"/>
          <w:sz w:val="28"/>
          <w:szCs w:val="28"/>
          <w:highlight w:val="none"/>
          <w:lang w:val="en-US" w:eastAsia="zh-CN"/>
        </w:rPr>
        <w:t>甲方</w:t>
      </w:r>
      <w:r>
        <w:rPr>
          <w:rFonts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val="en-US" w:eastAsia="zh-CN"/>
        </w:rPr>
        <w:t>向公司</w:t>
      </w:r>
      <w:r>
        <w:rPr>
          <w:rFonts w:hint="eastAsia" w:ascii="仿宋" w:hAnsi="仿宋" w:eastAsia="仿宋" w:cs="仿宋"/>
          <w:color w:val="auto"/>
          <w:sz w:val="28"/>
          <w:szCs w:val="28"/>
          <w:highlight w:val="none"/>
        </w:rPr>
        <w:t>提出建议，</w:t>
      </w:r>
      <w:r>
        <w:rPr>
          <w:rFonts w:ascii="仿宋" w:hAnsi="仿宋" w:eastAsia="仿宋" w:cs="仿宋"/>
          <w:color w:val="auto"/>
          <w:sz w:val="28"/>
          <w:szCs w:val="28"/>
          <w:highlight w:val="none"/>
        </w:rPr>
        <w:t>参加相关讨论会、协调会等；</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6.</w:t>
      </w:r>
      <w:r>
        <w:rPr>
          <w:rFonts w:hint="eastAsia" w:ascii="仿宋" w:hAnsi="仿宋" w:eastAsia="仿宋" w:cs="仿宋"/>
          <w:color w:val="auto"/>
          <w:sz w:val="28"/>
          <w:szCs w:val="28"/>
          <w:highlight w:val="none"/>
        </w:rPr>
        <w:t>按公司</w:t>
      </w:r>
      <w:r>
        <w:rPr>
          <w:rFonts w:ascii="仿宋" w:hAnsi="仿宋" w:eastAsia="仿宋" w:cs="仿宋"/>
          <w:color w:val="auto"/>
          <w:sz w:val="28"/>
          <w:szCs w:val="28"/>
          <w:highlight w:val="none"/>
        </w:rPr>
        <w:t>要求，向有关单位发律师函；</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7.</w:t>
      </w:r>
      <w:r>
        <w:rPr>
          <w:rFonts w:ascii="仿宋" w:hAnsi="仿宋" w:eastAsia="仿宋" w:cs="仿宋"/>
          <w:color w:val="auto"/>
          <w:sz w:val="28"/>
          <w:szCs w:val="28"/>
          <w:highlight w:val="none"/>
        </w:rPr>
        <w:t>协助</w:t>
      </w:r>
      <w:r>
        <w:rPr>
          <w:rFonts w:hint="eastAsia" w:ascii="仿宋" w:hAnsi="仿宋" w:eastAsia="仿宋" w:cs="仿宋"/>
          <w:color w:val="auto"/>
          <w:sz w:val="28"/>
          <w:szCs w:val="28"/>
          <w:highlight w:val="none"/>
        </w:rPr>
        <w:t>公司</w:t>
      </w:r>
      <w:r>
        <w:rPr>
          <w:rFonts w:ascii="仿宋" w:hAnsi="仿宋" w:eastAsia="仿宋" w:cs="仿宋"/>
          <w:color w:val="auto"/>
          <w:sz w:val="28"/>
          <w:szCs w:val="28"/>
          <w:highlight w:val="none"/>
        </w:rPr>
        <w:t>配合有关部门的调查、传唤、讯问；</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en-US" w:eastAsia="zh-CN"/>
        </w:rPr>
        <w:t xml:space="preserve"> 8.</w:t>
      </w:r>
      <w:r>
        <w:rPr>
          <w:rFonts w:ascii="仿宋" w:hAnsi="仿宋" w:eastAsia="仿宋" w:cs="仿宋"/>
          <w:color w:val="auto"/>
          <w:sz w:val="28"/>
          <w:szCs w:val="28"/>
          <w:highlight w:val="none"/>
        </w:rPr>
        <w:t>提交专项结案报告</w:t>
      </w:r>
      <w:r>
        <w:rPr>
          <w:rFonts w:hint="eastAsia" w:ascii="仿宋" w:hAnsi="仿宋" w:eastAsia="仿宋" w:cs="仿宋"/>
          <w:color w:val="auto"/>
          <w:sz w:val="28"/>
          <w:szCs w:val="28"/>
          <w:highlight w:val="none"/>
          <w:lang w:eastAsia="zh-CN"/>
        </w:rPr>
        <w:t>；</w:t>
      </w:r>
    </w:p>
    <w:p>
      <w:pPr>
        <w:numPr>
          <w:ilvl w:val="0"/>
          <w:numId w:val="0"/>
        </w:num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9.其他法律服务。</w:t>
      </w:r>
    </w:p>
    <w:p>
      <w:pPr>
        <w:pStyle w:val="2"/>
        <w:spacing w:line="360" w:lineRule="auto"/>
        <w:ind w:firstLine="0" w:firstLineChars="0"/>
        <w:rPr>
          <w:rFonts w:hint="eastAsia" w:ascii="仿宋" w:hAnsi="仿宋" w:eastAsia="仿宋" w:cs="仿宋_GB2312"/>
          <w:b/>
          <w:bCs/>
          <w:color w:val="auto"/>
          <w:sz w:val="28"/>
          <w:szCs w:val="28"/>
          <w:highlight w:val="none"/>
          <w:lang w:val="zh-CN"/>
        </w:rPr>
      </w:pPr>
      <w:r>
        <w:rPr>
          <w:rFonts w:hint="eastAsia" w:ascii="仿宋" w:hAnsi="仿宋" w:eastAsia="仿宋" w:cs="仿宋"/>
          <w:color w:val="auto"/>
          <w:sz w:val="28"/>
          <w:szCs w:val="28"/>
          <w:highlight w:val="none"/>
          <w:lang w:val="en-US" w:eastAsia="zh-CN"/>
        </w:rPr>
        <w:t xml:space="preserve">    具体服务内容以我公司出具的具体项目委托函为准。</w:t>
      </w:r>
    </w:p>
    <w:p>
      <w:pPr>
        <w:spacing w:line="360" w:lineRule="auto"/>
        <w:ind w:firstLine="562" w:firstLineChars="200"/>
        <w:rPr>
          <w:rFonts w:hint="eastAsia" w:ascii="仿宋" w:hAnsi="仿宋" w:eastAsia="仿宋" w:cs="仿宋_GB2312"/>
          <w:b/>
          <w:bCs/>
          <w:color w:val="auto"/>
          <w:sz w:val="28"/>
          <w:szCs w:val="28"/>
          <w:highlight w:val="none"/>
          <w:lang w:val="zh-CN"/>
        </w:rPr>
      </w:pPr>
    </w:p>
    <w:p>
      <w:pPr>
        <w:spacing w:line="360" w:lineRule="auto"/>
        <w:ind w:firstLine="562" w:firstLineChars="200"/>
        <w:rPr>
          <w:rFonts w:hint="eastAsia" w:ascii="仿宋" w:hAnsi="仿宋" w:eastAsia="仿宋" w:cs="仿宋_GB2312"/>
          <w:b/>
          <w:bCs/>
          <w:color w:val="auto"/>
          <w:sz w:val="28"/>
          <w:szCs w:val="28"/>
          <w:highlight w:val="none"/>
          <w:lang w:val="en-US" w:eastAsia="zh-CN"/>
        </w:rPr>
      </w:pPr>
      <w:r>
        <w:rPr>
          <w:rFonts w:hint="eastAsia" w:ascii="仿宋" w:hAnsi="仿宋" w:eastAsia="仿宋" w:cs="仿宋_GB2312"/>
          <w:b/>
          <w:bCs/>
          <w:color w:val="auto"/>
          <w:sz w:val="28"/>
          <w:szCs w:val="28"/>
          <w:highlight w:val="none"/>
          <w:lang w:val="zh-CN"/>
        </w:rPr>
        <w:t>（</w:t>
      </w:r>
      <w:r>
        <w:rPr>
          <w:rFonts w:hint="eastAsia" w:ascii="仿宋" w:hAnsi="仿宋" w:eastAsia="仿宋" w:cs="仿宋_GB2312"/>
          <w:b/>
          <w:bCs/>
          <w:color w:val="auto"/>
          <w:sz w:val="28"/>
          <w:szCs w:val="28"/>
          <w:highlight w:val="none"/>
          <w:lang w:val="en-US" w:eastAsia="zh-CN"/>
        </w:rPr>
        <w:t>四</w:t>
      </w:r>
      <w:r>
        <w:rPr>
          <w:rFonts w:hint="eastAsia" w:ascii="仿宋" w:hAnsi="仿宋" w:eastAsia="仿宋" w:cs="仿宋_GB2312"/>
          <w:b/>
          <w:bCs/>
          <w:color w:val="auto"/>
          <w:sz w:val="28"/>
          <w:szCs w:val="28"/>
          <w:highlight w:val="none"/>
          <w:lang w:val="zh-CN"/>
        </w:rPr>
        <w:t>）</w:t>
      </w:r>
      <w:r>
        <w:rPr>
          <w:rFonts w:hint="eastAsia" w:ascii="仿宋" w:hAnsi="仿宋" w:eastAsia="仿宋" w:cs="仿宋_GB2312"/>
          <w:b/>
          <w:bCs/>
          <w:color w:val="auto"/>
          <w:sz w:val="28"/>
          <w:szCs w:val="28"/>
          <w:highlight w:val="none"/>
          <w:lang w:val="en-US" w:eastAsia="zh-CN"/>
        </w:rPr>
        <w:t>项目费用</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u w:val="none"/>
          <w:lang w:val="en-US" w:eastAsia="zh-CN"/>
        </w:rPr>
        <w:t>合同暂定</w:t>
      </w:r>
      <w:r>
        <w:rPr>
          <w:rFonts w:hint="eastAsia" w:ascii="仿宋" w:hAnsi="仿宋" w:eastAsia="仿宋" w:cs="仿宋"/>
          <w:color w:val="auto"/>
          <w:sz w:val="28"/>
          <w:szCs w:val="28"/>
          <w:highlight w:val="none"/>
          <w:u w:val="none"/>
        </w:rPr>
        <w:t>总价</w:t>
      </w:r>
      <w:r>
        <w:rPr>
          <w:rFonts w:hint="eastAsia" w:ascii="仿宋" w:hAnsi="仿宋" w:eastAsia="仿宋" w:cs="仿宋"/>
          <w:color w:val="auto"/>
          <w:sz w:val="28"/>
          <w:szCs w:val="28"/>
          <w:highlight w:val="none"/>
          <w:u w:val="none"/>
          <w:lang w:val="en-US" w:eastAsia="zh-CN"/>
        </w:rPr>
        <w:t>为</w:t>
      </w:r>
      <w:r>
        <w:rPr>
          <w:rFonts w:hint="eastAsia" w:ascii="仿宋" w:hAnsi="仿宋" w:eastAsia="仿宋" w:cs="仿宋"/>
          <w:b/>
          <w:bCs/>
          <w:color w:val="auto"/>
          <w:sz w:val="28"/>
          <w:szCs w:val="28"/>
          <w:highlight w:val="none"/>
          <w:u w:val="none"/>
          <w:lang w:val="en-US" w:eastAsia="zh-CN"/>
        </w:rPr>
        <w:t>100万</w:t>
      </w:r>
      <w:r>
        <w:rPr>
          <w:rFonts w:hint="eastAsia" w:ascii="仿宋" w:hAnsi="仿宋" w:eastAsia="仿宋" w:cs="仿宋"/>
          <w:b/>
          <w:bCs/>
          <w:color w:val="auto"/>
          <w:sz w:val="28"/>
          <w:szCs w:val="28"/>
          <w:highlight w:val="none"/>
          <w:u w:val="none"/>
        </w:rPr>
        <w:t>元人民币</w:t>
      </w:r>
      <w:r>
        <w:rPr>
          <w:rFonts w:hint="eastAsia" w:ascii="仿宋" w:hAnsi="仿宋" w:eastAsia="仿宋" w:cs="仿宋"/>
          <w:b/>
          <w:bCs/>
          <w:color w:val="auto"/>
          <w:sz w:val="28"/>
          <w:szCs w:val="28"/>
          <w:highlight w:val="none"/>
          <w:u w:val="none"/>
          <w:lang w:eastAsia="zh-CN"/>
        </w:rPr>
        <w:t>（</w:t>
      </w:r>
      <w:r>
        <w:rPr>
          <w:rFonts w:hint="eastAsia" w:ascii="仿宋" w:hAnsi="仿宋" w:eastAsia="仿宋" w:cs="仿宋"/>
          <w:b/>
          <w:bCs/>
          <w:color w:val="auto"/>
          <w:sz w:val="28"/>
          <w:szCs w:val="28"/>
          <w:highlight w:val="none"/>
          <w:u w:val="none"/>
          <w:lang w:val="en-US" w:eastAsia="zh-CN"/>
        </w:rPr>
        <w:t>不含本级</w:t>
      </w:r>
      <w:r>
        <w:rPr>
          <w:rFonts w:hint="eastAsia" w:ascii="仿宋" w:hAnsi="仿宋" w:eastAsia="仿宋" w:cs="仿宋"/>
          <w:b/>
          <w:bCs/>
          <w:color w:val="auto"/>
          <w:sz w:val="28"/>
          <w:szCs w:val="28"/>
          <w:highlight w:val="none"/>
          <w:u w:val="none"/>
          <w:lang w:eastAsia="zh-CN"/>
        </w:rPr>
        <w:t>）。</w:t>
      </w:r>
      <w:r>
        <w:rPr>
          <w:rFonts w:hint="eastAsia" w:ascii="仿宋" w:hAnsi="仿宋" w:eastAsia="仿宋" w:cs="仿宋"/>
          <w:color w:val="auto"/>
          <w:sz w:val="28"/>
          <w:szCs w:val="28"/>
          <w:highlight w:val="none"/>
          <w:lang w:val="en-US" w:eastAsia="zh-CN"/>
        </w:rPr>
        <w:t>具体项目费用</w:t>
      </w:r>
      <w:r>
        <w:rPr>
          <w:rFonts w:hint="default" w:ascii="仿宋" w:hAnsi="仿宋" w:eastAsia="仿宋" w:cs="仿宋"/>
          <w:color w:val="auto"/>
          <w:sz w:val="28"/>
          <w:szCs w:val="28"/>
          <w:highlight w:val="none"/>
          <w:lang w:val="en-US" w:eastAsia="zh-CN"/>
        </w:rPr>
        <w:t>按照《广东省物价局、司法厅律师服务收费管理实施办法》（</w:t>
      </w:r>
      <w:r>
        <w:rPr>
          <w:rFonts w:hint="eastAsia" w:ascii="仿宋" w:hAnsi="仿宋" w:eastAsia="仿宋" w:cs="仿宋"/>
          <w:color w:val="auto"/>
          <w:sz w:val="28"/>
          <w:szCs w:val="28"/>
          <w:highlight w:val="none"/>
          <w:lang w:val="en-US" w:eastAsia="zh-CN"/>
        </w:rPr>
        <w:t>粤价〔2006〕298号</w:t>
      </w:r>
      <w:r>
        <w:rPr>
          <w:rFonts w:hint="default" w:ascii="仿宋" w:hAnsi="仿宋" w:eastAsia="仿宋" w:cs="仿宋"/>
          <w:color w:val="auto"/>
          <w:sz w:val="28"/>
          <w:szCs w:val="28"/>
          <w:highlight w:val="none"/>
          <w:lang w:val="en-US" w:eastAsia="zh-CN"/>
        </w:rPr>
        <w:t>）计算</w:t>
      </w:r>
      <w:r>
        <w:rPr>
          <w:rFonts w:hint="eastAsia" w:ascii="仿宋" w:hAnsi="仿宋" w:eastAsia="仿宋" w:cs="仿宋"/>
          <w:color w:val="auto"/>
          <w:sz w:val="28"/>
          <w:szCs w:val="28"/>
          <w:highlight w:val="none"/>
          <w:lang w:val="en-US" w:eastAsia="zh-CN"/>
        </w:rPr>
        <w:t>，根据具体项目的市场价格、项目复杂程度、工作量等情况不同，以双方的议定价格</w:t>
      </w:r>
      <w:r>
        <w:rPr>
          <w:rFonts w:hint="default" w:ascii="仿宋" w:hAnsi="仿宋" w:eastAsia="仿宋" w:cs="仿宋"/>
          <w:color w:val="auto"/>
          <w:sz w:val="28"/>
          <w:szCs w:val="28"/>
          <w:highlight w:val="none"/>
          <w:lang w:val="en-US" w:eastAsia="zh-CN"/>
        </w:rPr>
        <w:t>进行结算</w:t>
      </w:r>
      <w:r>
        <w:rPr>
          <w:rFonts w:hint="eastAsia" w:ascii="仿宋" w:hAnsi="仿宋" w:eastAsia="仿宋" w:cs="仿宋"/>
          <w:color w:val="auto"/>
          <w:sz w:val="28"/>
          <w:szCs w:val="28"/>
          <w:highlight w:val="none"/>
          <w:lang w:val="en-US" w:eastAsia="zh-CN"/>
        </w:rPr>
        <w:t>，但无论如何，法律服务费不高于上述收费标准的80%。</w:t>
      </w:r>
    </w:p>
    <w:p>
      <w:pPr>
        <w:spacing w:line="360" w:lineRule="auto"/>
        <w:ind w:firstLine="560" w:firstLineChars="200"/>
        <w:rPr>
          <w:rFonts w:hint="eastAsia" w:ascii="仿宋" w:hAnsi="仿宋" w:cs="仿宋_GB2312"/>
          <w:b/>
          <w:color w:val="auto"/>
          <w:sz w:val="28"/>
          <w:szCs w:val="28"/>
          <w:highlight w:val="none"/>
          <w:lang w:val="zh-CN"/>
        </w:rPr>
      </w:pPr>
      <w:r>
        <w:rPr>
          <w:rFonts w:hint="eastAsia" w:ascii="仿宋" w:hAnsi="仿宋" w:eastAsia="仿宋" w:cs="仿宋"/>
          <w:color w:val="auto"/>
          <w:sz w:val="28"/>
          <w:szCs w:val="28"/>
          <w:highlight w:val="none"/>
          <w:lang w:val="en-US" w:eastAsia="zh-CN"/>
        </w:rPr>
        <w:t>如法律服务费结算金额累计总额达到100万元时，本合同提前终止</w:t>
      </w:r>
      <w:r>
        <w:rPr>
          <w:rFonts w:hint="eastAsia" w:ascii="仿宋" w:hAnsi="仿宋" w:eastAsia="仿宋" w:cs="仿宋"/>
          <w:color w:val="auto"/>
          <w:sz w:val="28"/>
          <w:szCs w:val="28"/>
          <w:highlight w:val="none"/>
        </w:rPr>
        <w:t>。</w:t>
      </w:r>
    </w:p>
    <w:p>
      <w:pPr>
        <w:pStyle w:val="13"/>
        <w:numPr>
          <w:ilvl w:val="0"/>
          <w:numId w:val="0"/>
        </w:numPr>
        <w:adjustRightInd w:val="0"/>
        <w:snapToGrid w:val="0"/>
        <w:spacing w:line="300" w:lineRule="auto"/>
        <w:ind w:firstLine="562" w:firstLineChars="200"/>
        <w:rPr>
          <w:rFonts w:ascii="仿宋" w:hAnsi="仿宋" w:eastAsia="仿宋" w:cs="仿宋_GB2312"/>
          <w:b/>
          <w:color w:val="auto"/>
          <w:sz w:val="28"/>
          <w:szCs w:val="28"/>
          <w:highlight w:val="none"/>
          <w:lang w:val="zh-CN"/>
        </w:rPr>
      </w:pPr>
    </w:p>
    <w:p>
      <w:pPr>
        <w:pStyle w:val="13"/>
        <w:numPr>
          <w:ilvl w:val="0"/>
          <w:numId w:val="0"/>
        </w:numPr>
        <w:adjustRightInd w:val="0"/>
        <w:snapToGrid w:val="0"/>
        <w:spacing w:line="300" w:lineRule="auto"/>
        <w:ind w:firstLine="562" w:firstLineChars="200"/>
        <w:rPr>
          <w:rFonts w:ascii="仿宋" w:hAnsi="仿宋" w:eastAsia="仿宋" w:cs="仿宋_GB2312"/>
          <w:color w:val="auto"/>
          <w:sz w:val="28"/>
          <w:szCs w:val="28"/>
          <w:highlight w:val="none"/>
          <w:lang w:val="zh-CN"/>
        </w:rPr>
      </w:pPr>
      <w:r>
        <w:rPr>
          <w:rFonts w:ascii="仿宋" w:hAnsi="仿宋" w:eastAsia="仿宋" w:cs="仿宋_GB2312"/>
          <w:b/>
          <w:color w:val="auto"/>
          <w:sz w:val="28"/>
          <w:szCs w:val="28"/>
          <w:highlight w:val="none"/>
          <w:lang w:val="zh-CN"/>
        </w:rPr>
        <w:t>二</w:t>
      </w:r>
      <w:r>
        <w:rPr>
          <w:rFonts w:hint="eastAsia" w:ascii="仿宋" w:hAnsi="仿宋" w:eastAsia="仿宋" w:cs="仿宋_GB2312"/>
          <w:b/>
          <w:color w:val="auto"/>
          <w:sz w:val="28"/>
          <w:szCs w:val="28"/>
          <w:highlight w:val="none"/>
          <w:lang w:val="zh-CN"/>
        </w:rPr>
        <w:t>、项目要求</w:t>
      </w:r>
    </w:p>
    <w:p>
      <w:pPr>
        <w:pStyle w:val="13"/>
        <w:adjustRightInd w:val="0"/>
        <w:snapToGrid w:val="0"/>
        <w:spacing w:line="360" w:lineRule="auto"/>
        <w:ind w:firstLine="560" w:firstLineChars="200"/>
        <w:rPr>
          <w:rFonts w:hint="eastAsia" w:ascii="仿宋" w:hAnsi="仿宋" w:eastAsia="仿宋" w:cs="仿宋_GB2312"/>
          <w:bCs/>
          <w:color w:val="auto"/>
          <w:sz w:val="28"/>
          <w:szCs w:val="28"/>
          <w:highlight w:val="none"/>
        </w:rPr>
      </w:pPr>
      <w:r>
        <w:rPr>
          <w:rFonts w:hint="eastAsia" w:ascii="仿宋" w:hAnsi="仿宋" w:eastAsia="仿宋" w:cs="仿宋_GB2312"/>
          <w:bCs/>
          <w:color w:val="auto"/>
          <w:sz w:val="28"/>
          <w:szCs w:val="28"/>
          <w:highlight w:val="none"/>
        </w:rPr>
        <w:t>1.</w:t>
      </w:r>
      <w:r>
        <w:rPr>
          <w:rFonts w:hint="eastAsia" w:ascii="仿宋" w:hAnsi="仿宋" w:eastAsia="仿宋" w:cs="仿宋_GB2312"/>
          <w:bCs/>
          <w:color w:val="auto"/>
          <w:sz w:val="28"/>
          <w:szCs w:val="28"/>
          <w:highlight w:val="none"/>
          <w:lang w:val="en-US" w:eastAsia="zh-CN"/>
        </w:rPr>
        <w:t>律师事务</w:t>
      </w:r>
      <w:r>
        <w:rPr>
          <w:rFonts w:hint="eastAsia" w:ascii="仿宋" w:hAnsi="仿宋" w:eastAsia="仿宋" w:cs="仿宋_GB2312"/>
          <w:bCs/>
          <w:color w:val="auto"/>
          <w:sz w:val="28"/>
          <w:szCs w:val="28"/>
          <w:highlight w:val="none"/>
        </w:rPr>
        <w:t>所需根据项目情况介绍制定法律服务方案，</w:t>
      </w:r>
      <w:r>
        <w:rPr>
          <w:rFonts w:hint="eastAsia" w:ascii="仿宋" w:hAnsi="仿宋" w:eastAsia="仿宋" w:cs="仿宋_GB2312"/>
          <w:bCs/>
          <w:color w:val="auto"/>
          <w:sz w:val="28"/>
          <w:szCs w:val="28"/>
          <w:highlight w:val="none"/>
          <w:lang w:val="en-US" w:eastAsia="zh-CN"/>
        </w:rPr>
        <w:t>方案包含报价、服务方案、人员配置、项目业绩等内容，</w:t>
      </w:r>
      <w:r>
        <w:rPr>
          <w:rFonts w:hint="eastAsia" w:ascii="仿宋" w:hAnsi="仿宋" w:eastAsia="仿宋" w:cs="仿宋_GB2312"/>
          <w:bCs/>
          <w:color w:val="auto"/>
          <w:sz w:val="28"/>
          <w:szCs w:val="28"/>
          <w:highlight w:val="none"/>
        </w:rPr>
        <w:t>作为报价文件在规定时间前递交至我公司。</w:t>
      </w:r>
    </w:p>
    <w:p>
      <w:pPr>
        <w:pStyle w:val="13"/>
        <w:adjustRightInd w:val="0"/>
        <w:snapToGrid w:val="0"/>
        <w:spacing w:line="360" w:lineRule="auto"/>
        <w:rPr>
          <w:rFonts w:ascii="仿宋" w:hAnsi="仿宋" w:eastAsia="仿宋" w:cs="仿宋_GB2312"/>
          <w:bCs/>
          <w:color w:val="auto"/>
          <w:sz w:val="28"/>
          <w:szCs w:val="28"/>
          <w:highlight w:val="none"/>
        </w:rPr>
      </w:pPr>
      <w:r>
        <w:rPr>
          <w:rFonts w:hint="eastAsia" w:ascii="仿宋" w:hAnsi="仿宋" w:eastAsia="仿宋" w:cs="仿宋_GB2312"/>
          <w:bCs/>
          <w:color w:val="auto"/>
          <w:sz w:val="28"/>
          <w:szCs w:val="28"/>
          <w:highlight w:val="none"/>
        </w:rPr>
        <w:t xml:space="preserve">    2.作为我公司的</w:t>
      </w:r>
      <w:r>
        <w:rPr>
          <w:rFonts w:hint="eastAsia" w:ascii="仿宋" w:hAnsi="仿宋" w:eastAsia="仿宋" w:cs="仿宋_GB2312"/>
          <w:bCs/>
          <w:color w:val="auto"/>
          <w:sz w:val="28"/>
          <w:szCs w:val="28"/>
          <w:highlight w:val="none"/>
          <w:lang w:val="en-US" w:eastAsia="zh-CN"/>
        </w:rPr>
        <w:t>专项</w:t>
      </w:r>
      <w:r>
        <w:rPr>
          <w:rFonts w:hint="eastAsia" w:ascii="仿宋" w:hAnsi="仿宋" w:eastAsia="仿宋" w:cs="仿宋_GB2312"/>
          <w:bCs/>
          <w:color w:val="auto"/>
          <w:sz w:val="28"/>
          <w:szCs w:val="28"/>
          <w:highlight w:val="none"/>
        </w:rPr>
        <w:t>法律顾问，充分运用专业知识和技能，尽心尽职地根据法律、法规的规定完成被委托事项，最大限度地维护我公司的合法权益。</w:t>
      </w:r>
    </w:p>
    <w:p>
      <w:pPr>
        <w:pStyle w:val="13"/>
        <w:adjustRightInd w:val="0"/>
        <w:snapToGrid w:val="0"/>
        <w:spacing w:line="360" w:lineRule="auto"/>
        <w:ind w:firstLine="560" w:firstLineChars="200"/>
        <w:rPr>
          <w:rFonts w:hint="eastAsia" w:ascii="仿宋" w:hAnsi="仿宋" w:eastAsia="仿宋" w:cs="仿宋_GB2312"/>
          <w:bCs/>
          <w:color w:val="auto"/>
          <w:sz w:val="28"/>
          <w:szCs w:val="28"/>
          <w:highlight w:val="none"/>
          <w:u w:val="single"/>
          <w:lang w:val="zh-CN"/>
        </w:rPr>
      </w:pPr>
      <w:r>
        <w:rPr>
          <w:rFonts w:hint="eastAsia" w:ascii="仿宋" w:hAnsi="仿宋" w:eastAsia="仿宋" w:cs="仿宋_GB2312"/>
          <w:bCs/>
          <w:color w:val="auto"/>
          <w:sz w:val="28"/>
          <w:szCs w:val="28"/>
          <w:highlight w:val="none"/>
        </w:rPr>
        <w:t>3.需</w:t>
      </w:r>
      <w:r>
        <w:rPr>
          <w:rFonts w:hint="eastAsia" w:ascii="仿宋" w:hAnsi="仿宋" w:eastAsia="仿宋" w:cs="仿宋_GB2312"/>
          <w:bCs/>
          <w:color w:val="auto"/>
          <w:sz w:val="28"/>
          <w:szCs w:val="28"/>
          <w:highlight w:val="none"/>
          <w:lang w:val="zh-CN"/>
        </w:rPr>
        <w:t>委派相对固定的</w:t>
      </w:r>
      <w:r>
        <w:rPr>
          <w:rFonts w:hint="eastAsia" w:ascii="仿宋" w:hAnsi="仿宋" w:eastAsia="仿宋" w:cs="仿宋_GB2312"/>
          <w:bCs/>
          <w:color w:val="auto"/>
          <w:sz w:val="28"/>
          <w:szCs w:val="28"/>
          <w:highlight w:val="none"/>
        </w:rPr>
        <w:t>3</w:t>
      </w:r>
      <w:r>
        <w:rPr>
          <w:rFonts w:hint="eastAsia" w:ascii="仿宋" w:hAnsi="仿宋" w:eastAsia="仿宋" w:cs="仿宋_GB2312"/>
          <w:bCs/>
          <w:color w:val="auto"/>
          <w:sz w:val="28"/>
          <w:szCs w:val="28"/>
          <w:highlight w:val="none"/>
          <w:lang w:val="zh-CN"/>
        </w:rPr>
        <w:t>人及以上的律师团队，该律师团队负责人应具有合伙人身份并执业10年及以上。</w:t>
      </w:r>
    </w:p>
    <w:p>
      <w:pPr>
        <w:pStyle w:val="13"/>
        <w:adjustRightInd w:val="0"/>
        <w:snapToGrid w:val="0"/>
        <w:spacing w:line="360" w:lineRule="auto"/>
        <w:ind w:firstLine="560" w:firstLineChars="200"/>
        <w:rPr>
          <w:rFonts w:ascii="仿宋" w:hAnsi="仿宋" w:eastAsia="仿宋" w:cs="仿宋_GB2312"/>
          <w:bCs/>
          <w:color w:val="auto"/>
          <w:sz w:val="28"/>
          <w:szCs w:val="28"/>
          <w:highlight w:val="none"/>
        </w:rPr>
      </w:pPr>
      <w:r>
        <w:rPr>
          <w:rFonts w:hint="eastAsia" w:ascii="仿宋" w:hAnsi="仿宋" w:eastAsia="仿宋" w:cs="仿宋_GB2312"/>
          <w:bCs/>
          <w:color w:val="auto"/>
          <w:sz w:val="28"/>
          <w:szCs w:val="28"/>
          <w:highlight w:val="none"/>
        </w:rPr>
        <w:t>4</w:t>
      </w:r>
      <w:r>
        <w:rPr>
          <w:rFonts w:hint="eastAsia" w:ascii="仿宋" w:hAnsi="仿宋" w:eastAsia="仿宋" w:cs="仿宋_GB2312"/>
          <w:bCs/>
          <w:color w:val="auto"/>
          <w:sz w:val="28"/>
          <w:szCs w:val="28"/>
          <w:highlight w:val="none"/>
          <w:lang w:val="zh-CN"/>
        </w:rPr>
        <w:t>.按公司业务需要及要求，通过</w:t>
      </w:r>
      <w:r>
        <w:rPr>
          <w:rFonts w:hint="eastAsia" w:ascii="仿宋" w:hAnsi="仿宋" w:eastAsia="仿宋" w:cs="仿宋_GB2312"/>
          <w:bCs/>
          <w:color w:val="auto"/>
          <w:sz w:val="28"/>
          <w:szCs w:val="28"/>
          <w:highlight w:val="none"/>
        </w:rPr>
        <w:t>即时通讯软件、</w:t>
      </w:r>
      <w:r>
        <w:rPr>
          <w:rFonts w:hint="eastAsia" w:ascii="仿宋" w:hAnsi="仿宋" w:eastAsia="仿宋" w:cs="仿宋_GB2312"/>
          <w:bCs/>
          <w:color w:val="auto"/>
          <w:sz w:val="28"/>
          <w:szCs w:val="28"/>
          <w:highlight w:val="none"/>
          <w:lang w:val="zh-CN"/>
        </w:rPr>
        <w:t>电话、传真、</w:t>
      </w:r>
      <w:r>
        <w:rPr>
          <w:rFonts w:hint="eastAsia" w:ascii="仿宋" w:hAnsi="仿宋" w:eastAsia="仿宋" w:cs="仿宋_GB2312"/>
          <w:bCs/>
          <w:color w:val="auto"/>
          <w:sz w:val="28"/>
          <w:szCs w:val="28"/>
          <w:highlight w:val="none"/>
        </w:rPr>
        <w:t>邮件</w:t>
      </w:r>
      <w:r>
        <w:rPr>
          <w:rFonts w:hint="eastAsia" w:ascii="仿宋" w:hAnsi="仿宋" w:eastAsia="仿宋" w:cs="仿宋_GB2312"/>
          <w:bCs/>
          <w:color w:val="auto"/>
          <w:sz w:val="28"/>
          <w:szCs w:val="28"/>
          <w:highlight w:val="none"/>
          <w:lang w:val="zh-CN"/>
        </w:rPr>
        <w:t>、</w:t>
      </w:r>
      <w:r>
        <w:rPr>
          <w:rFonts w:hint="eastAsia" w:ascii="仿宋" w:hAnsi="仿宋" w:eastAsia="仿宋" w:cs="仿宋_GB2312"/>
          <w:bCs/>
          <w:color w:val="auto"/>
          <w:sz w:val="28"/>
          <w:szCs w:val="28"/>
          <w:highlight w:val="none"/>
        </w:rPr>
        <w:t>出席会议、</w:t>
      </w:r>
      <w:r>
        <w:rPr>
          <w:rFonts w:hint="eastAsia" w:ascii="仿宋" w:hAnsi="仿宋" w:eastAsia="仿宋" w:cs="仿宋_GB2312"/>
          <w:bCs/>
          <w:color w:val="auto"/>
          <w:sz w:val="28"/>
          <w:szCs w:val="28"/>
          <w:highlight w:val="none"/>
          <w:lang w:val="zh-CN"/>
        </w:rPr>
        <w:t>外地出差等方式</w:t>
      </w:r>
      <w:r>
        <w:rPr>
          <w:rFonts w:hint="eastAsia" w:ascii="仿宋" w:hAnsi="仿宋" w:eastAsia="仿宋" w:cs="仿宋_GB2312"/>
          <w:bCs/>
          <w:color w:val="auto"/>
          <w:sz w:val="28"/>
          <w:szCs w:val="28"/>
          <w:highlight w:val="none"/>
        </w:rPr>
        <w:t>及时</w:t>
      </w:r>
      <w:r>
        <w:rPr>
          <w:rFonts w:hint="eastAsia" w:ascii="仿宋" w:hAnsi="仿宋" w:eastAsia="仿宋" w:cs="仿宋_GB2312"/>
          <w:bCs/>
          <w:color w:val="auto"/>
          <w:sz w:val="28"/>
          <w:szCs w:val="28"/>
          <w:highlight w:val="none"/>
          <w:lang w:val="zh-CN"/>
        </w:rPr>
        <w:t>提供服务。</w:t>
      </w:r>
    </w:p>
    <w:p>
      <w:pPr>
        <w:pStyle w:val="13"/>
        <w:adjustRightInd w:val="0"/>
        <w:snapToGrid w:val="0"/>
        <w:spacing w:line="360" w:lineRule="auto"/>
        <w:ind w:firstLine="560" w:firstLineChars="200"/>
        <w:rPr>
          <w:rFonts w:hint="eastAsia" w:ascii="仿宋" w:hAnsi="仿宋" w:eastAsia="仿宋" w:cs="仿宋_GB2312"/>
          <w:bCs/>
          <w:color w:val="auto"/>
          <w:sz w:val="28"/>
          <w:szCs w:val="28"/>
          <w:highlight w:val="none"/>
          <w:lang w:val="zh-CN"/>
        </w:rPr>
      </w:pPr>
      <w:r>
        <w:rPr>
          <w:rFonts w:hint="eastAsia" w:ascii="仿宋" w:hAnsi="仿宋" w:eastAsia="仿宋" w:cs="仿宋_GB2312"/>
          <w:bCs/>
          <w:color w:val="auto"/>
          <w:sz w:val="28"/>
          <w:szCs w:val="28"/>
          <w:highlight w:val="none"/>
        </w:rPr>
        <w:t>5</w:t>
      </w:r>
      <w:r>
        <w:rPr>
          <w:rFonts w:hint="eastAsia" w:ascii="仿宋" w:hAnsi="仿宋" w:eastAsia="仿宋" w:cs="仿宋_GB2312"/>
          <w:bCs/>
          <w:color w:val="auto"/>
          <w:sz w:val="28"/>
          <w:szCs w:val="28"/>
          <w:highlight w:val="none"/>
          <w:lang w:val="zh-CN"/>
        </w:rPr>
        <w:t>.应按照公司要求的格式</w:t>
      </w:r>
      <w:r>
        <w:rPr>
          <w:rFonts w:hint="eastAsia" w:ascii="仿宋" w:hAnsi="仿宋" w:eastAsia="仿宋" w:cs="仿宋_GB2312"/>
          <w:bCs/>
          <w:color w:val="auto"/>
          <w:sz w:val="28"/>
          <w:szCs w:val="28"/>
          <w:highlight w:val="none"/>
        </w:rPr>
        <w:t>提供法律意见、</w:t>
      </w:r>
      <w:r>
        <w:rPr>
          <w:rFonts w:hint="eastAsia" w:ascii="仿宋" w:hAnsi="仿宋" w:eastAsia="仿宋" w:cs="仿宋_GB2312"/>
          <w:bCs/>
          <w:color w:val="auto"/>
          <w:sz w:val="28"/>
          <w:szCs w:val="28"/>
          <w:highlight w:val="none"/>
          <w:lang w:val="zh-CN"/>
        </w:rPr>
        <w:t>报送工作记录单和费用清单，按照事先的书面指示提供符合要求的工作成果；</w:t>
      </w:r>
    </w:p>
    <w:p>
      <w:pPr>
        <w:pStyle w:val="13"/>
        <w:adjustRightInd w:val="0"/>
        <w:snapToGrid w:val="0"/>
        <w:spacing w:line="360" w:lineRule="auto"/>
        <w:ind w:firstLine="560" w:firstLineChars="200"/>
        <w:rPr>
          <w:rFonts w:hint="eastAsia" w:ascii="仿宋" w:hAnsi="仿宋" w:eastAsia="仿宋" w:cs="仿宋_GB2312"/>
          <w:bCs/>
          <w:color w:val="auto"/>
          <w:sz w:val="28"/>
          <w:szCs w:val="28"/>
          <w:highlight w:val="none"/>
        </w:rPr>
      </w:pPr>
      <w:r>
        <w:rPr>
          <w:rFonts w:hint="eastAsia" w:ascii="仿宋" w:hAnsi="仿宋" w:eastAsia="仿宋" w:cs="仿宋_GB2312"/>
          <w:bCs/>
          <w:color w:val="auto"/>
          <w:sz w:val="28"/>
          <w:szCs w:val="28"/>
          <w:highlight w:val="none"/>
        </w:rPr>
        <w:t>6</w:t>
      </w:r>
      <w:r>
        <w:rPr>
          <w:rFonts w:hint="eastAsia" w:ascii="仿宋" w:hAnsi="仿宋" w:eastAsia="仿宋" w:cs="仿宋_GB2312"/>
          <w:bCs/>
          <w:color w:val="auto"/>
          <w:sz w:val="28"/>
          <w:szCs w:val="28"/>
          <w:highlight w:val="none"/>
          <w:lang w:val="zh-CN"/>
        </w:rPr>
        <w:t>.不得担任与公司存在利益冲突的当事人的受托人或代理人，不得泄露对公司不利的信息、资料。</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59" w:name="_Toc1496"/>
      <w:bookmarkStart w:id="60" w:name="_Toc25925"/>
      <w:bookmarkStart w:id="61" w:name="_Toc4680"/>
      <w:bookmarkStart w:id="62" w:name="_Toc29835"/>
      <w:bookmarkStart w:id="63" w:name="_Toc537"/>
      <w:bookmarkStart w:id="64" w:name="_Toc23353"/>
      <w:bookmarkStart w:id="65" w:name="_Toc12135"/>
      <w:bookmarkStart w:id="66" w:name="_Toc1284"/>
      <w:bookmarkStart w:id="67" w:name="_Toc18538"/>
      <w:bookmarkStart w:id="68" w:name="_Toc15570"/>
      <w:bookmarkStart w:id="69" w:name="_Toc23330"/>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IxQX0fYAQAAlA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LK5P71gEAAJQ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第六章</w:t>
      </w:r>
      <w:bookmarkEnd w:id="59"/>
      <w:bookmarkEnd w:id="60"/>
      <w:bookmarkEnd w:id="61"/>
      <w:bookmarkEnd w:id="62"/>
      <w:bookmarkEnd w:id="63"/>
      <w:bookmarkEnd w:id="64"/>
      <w:bookmarkEnd w:id="65"/>
      <w:bookmarkEnd w:id="66"/>
      <w:bookmarkEnd w:id="67"/>
      <w:bookmarkEnd w:id="68"/>
      <w:bookmarkEnd w:id="69"/>
    </w:p>
    <w:p>
      <w:pPr>
        <w:pStyle w:val="4"/>
        <w:jc w:val="both"/>
        <w:rPr>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spacing w:line="660" w:lineRule="exact"/>
        <w:jc w:val="both"/>
        <w:textAlignment w:val="center"/>
        <w:rPr>
          <w:rFonts w:hint="eastAsia" w:ascii="仿宋" w:hAnsi="仿宋" w:eastAsia="仿宋" w:cs="仿宋"/>
          <w:b/>
          <w:bCs/>
          <w:color w:val="auto"/>
          <w:sz w:val="48"/>
          <w:highlight w:val="none"/>
        </w:rPr>
      </w:pPr>
    </w:p>
    <w:p>
      <w:pPr>
        <w:spacing w:line="660" w:lineRule="exact"/>
        <w:jc w:val="center"/>
        <w:textAlignment w:val="center"/>
        <w:rPr>
          <w:rFonts w:hint="eastAsia" w:ascii="仿宋" w:hAnsi="仿宋" w:eastAsia="仿宋" w:cs="仿宋"/>
          <w:b/>
          <w:bCs/>
          <w:color w:val="auto"/>
          <w:sz w:val="48"/>
          <w:highlight w:val="none"/>
        </w:rPr>
      </w:pPr>
    </w:p>
    <w:p>
      <w:pPr>
        <w:spacing w:line="660" w:lineRule="exact"/>
        <w:jc w:val="center"/>
        <w:textAlignment w:val="center"/>
        <w:rPr>
          <w:rFonts w:hint="eastAsia" w:ascii="仿宋" w:hAnsi="仿宋" w:eastAsia="仿宋" w:cs="仿宋"/>
          <w:b/>
          <w:bCs/>
          <w:color w:val="auto"/>
          <w:sz w:val="48"/>
          <w:highlight w:val="none"/>
        </w:rPr>
      </w:pPr>
    </w:p>
    <w:p>
      <w:pPr>
        <w:spacing w:line="660" w:lineRule="exact"/>
        <w:jc w:val="center"/>
        <w:textAlignment w:val="center"/>
        <w:rPr>
          <w:rFonts w:hint="eastAsia" w:ascii="仿宋" w:hAnsi="仿宋" w:eastAsia="仿宋" w:cs="仿宋"/>
          <w:b/>
          <w:bCs/>
          <w:color w:val="auto"/>
          <w:sz w:val="52"/>
          <w:szCs w:val="52"/>
          <w:highlight w:val="none"/>
          <w:lang w:val="en-US" w:eastAsia="zh-CN"/>
        </w:rPr>
      </w:pPr>
      <w:r>
        <w:rPr>
          <w:rFonts w:hint="eastAsia" w:ascii="仿宋" w:hAnsi="仿宋" w:eastAsia="仿宋" w:cs="仿宋"/>
          <w:b/>
          <w:bCs/>
          <w:color w:val="auto"/>
          <w:sz w:val="52"/>
          <w:szCs w:val="52"/>
          <w:highlight w:val="none"/>
        </w:rPr>
        <w:t xml:space="preserve">专 项 法 律 </w:t>
      </w:r>
      <w:r>
        <w:rPr>
          <w:rFonts w:hint="eastAsia" w:ascii="仿宋" w:hAnsi="仿宋" w:eastAsia="仿宋" w:cs="仿宋"/>
          <w:b/>
          <w:bCs/>
          <w:color w:val="auto"/>
          <w:sz w:val="52"/>
          <w:szCs w:val="52"/>
          <w:highlight w:val="none"/>
          <w:lang w:val="en-US" w:eastAsia="zh-CN"/>
        </w:rPr>
        <w:t>服 务</w:t>
      </w:r>
    </w:p>
    <w:p>
      <w:pPr>
        <w:spacing w:line="660" w:lineRule="exact"/>
        <w:jc w:val="center"/>
        <w:textAlignment w:val="center"/>
        <w:rPr>
          <w:rFonts w:hint="eastAsia" w:ascii="仿宋" w:hAnsi="仿宋" w:eastAsia="仿宋" w:cs="仿宋"/>
          <w:b/>
          <w:bCs/>
          <w:color w:val="auto"/>
          <w:sz w:val="52"/>
          <w:szCs w:val="52"/>
          <w:highlight w:val="none"/>
        </w:rPr>
      </w:pPr>
    </w:p>
    <w:p>
      <w:pPr>
        <w:spacing w:line="660" w:lineRule="exact"/>
        <w:jc w:val="center"/>
        <w:textAlignment w:val="center"/>
        <w:rPr>
          <w:rFonts w:hint="eastAsia" w:ascii="仿宋" w:hAnsi="仿宋" w:eastAsia="仿宋" w:cs="仿宋"/>
          <w:b/>
          <w:bCs/>
          <w:color w:val="auto"/>
          <w:sz w:val="52"/>
          <w:szCs w:val="52"/>
          <w:highlight w:val="none"/>
        </w:rPr>
      </w:pPr>
      <w:r>
        <w:rPr>
          <w:rFonts w:hint="eastAsia" w:ascii="仿宋" w:hAnsi="仿宋" w:eastAsia="仿宋" w:cs="仿宋"/>
          <w:b/>
          <w:bCs/>
          <w:color w:val="auto"/>
          <w:sz w:val="52"/>
          <w:szCs w:val="52"/>
          <w:highlight w:val="none"/>
        </w:rPr>
        <w:t>协 议 书</w:t>
      </w:r>
    </w:p>
    <w:p>
      <w:pPr>
        <w:spacing w:line="660" w:lineRule="exact"/>
        <w:jc w:val="center"/>
        <w:rPr>
          <w:rFonts w:hint="eastAsia" w:ascii="仿宋" w:hAnsi="仿宋" w:eastAsia="仿宋" w:cs="仿宋"/>
          <w:color w:val="auto"/>
          <w:sz w:val="36"/>
          <w:szCs w:val="36"/>
          <w:highlight w:val="none"/>
        </w:rPr>
      </w:pPr>
      <w:r>
        <w:rPr>
          <w:rFonts w:hint="eastAsia" w:ascii="仿宋" w:hAnsi="仿宋" w:eastAsia="仿宋" w:cs="仿宋"/>
          <w:color w:val="auto"/>
          <w:sz w:val="36"/>
          <w:szCs w:val="36"/>
          <w:highlight w:val="none"/>
        </w:rPr>
        <w:t>（</w:t>
      </w:r>
      <w:r>
        <w:rPr>
          <w:rFonts w:hint="eastAsia" w:ascii="仿宋" w:hAnsi="仿宋" w:eastAsia="仿宋" w:cs="仿宋"/>
          <w:color w:val="auto"/>
          <w:sz w:val="36"/>
          <w:szCs w:val="36"/>
          <w:highlight w:val="none"/>
          <w:lang w:val="en-US" w:eastAsia="zh-CN"/>
        </w:rPr>
        <w:t>2022年专项法律服务</w:t>
      </w:r>
      <w:r>
        <w:rPr>
          <w:rFonts w:hint="eastAsia" w:ascii="仿宋" w:hAnsi="仿宋" w:eastAsia="仿宋" w:cs="仿宋"/>
          <w:color w:val="auto"/>
          <w:sz w:val="36"/>
          <w:szCs w:val="36"/>
          <w:highlight w:val="none"/>
        </w:rPr>
        <w:t>）</w:t>
      </w:r>
    </w:p>
    <w:p>
      <w:pPr>
        <w:spacing w:line="660" w:lineRule="exact"/>
        <w:jc w:val="center"/>
        <w:textAlignment w:val="center"/>
        <w:rPr>
          <w:rFonts w:hint="eastAsia" w:ascii="仿宋" w:hAnsi="仿宋" w:eastAsia="仿宋" w:cs="仿宋"/>
          <w:b/>
          <w:bCs/>
          <w:color w:val="auto"/>
          <w:sz w:val="48"/>
          <w:highlight w:val="none"/>
        </w:rPr>
      </w:pPr>
    </w:p>
    <w:p>
      <w:pPr>
        <w:spacing w:line="660" w:lineRule="exact"/>
        <w:jc w:val="center"/>
        <w:textAlignment w:val="center"/>
        <w:rPr>
          <w:rFonts w:hint="eastAsia" w:ascii="仿宋" w:hAnsi="仿宋" w:eastAsia="仿宋" w:cs="仿宋"/>
          <w:b/>
          <w:bCs/>
          <w:color w:val="auto"/>
          <w:sz w:val="48"/>
          <w:highlight w:val="none"/>
        </w:rPr>
      </w:pPr>
    </w:p>
    <w:p>
      <w:pPr>
        <w:spacing w:line="660" w:lineRule="exact"/>
        <w:textAlignment w:val="center"/>
        <w:rPr>
          <w:rFonts w:hint="eastAsia" w:ascii="仿宋" w:hAnsi="仿宋" w:eastAsia="仿宋" w:cs="仿宋"/>
          <w:b/>
          <w:bCs/>
          <w:color w:val="auto"/>
          <w:sz w:val="48"/>
          <w:highlight w:val="none"/>
        </w:rPr>
      </w:pPr>
    </w:p>
    <w:p>
      <w:pPr>
        <w:spacing w:line="660" w:lineRule="exact"/>
        <w:jc w:val="center"/>
        <w:textAlignment w:val="center"/>
        <w:rPr>
          <w:rFonts w:hint="eastAsia" w:ascii="仿宋" w:hAnsi="仿宋" w:eastAsia="仿宋" w:cs="仿宋"/>
          <w:b/>
          <w:bCs/>
          <w:color w:val="auto"/>
          <w:sz w:val="48"/>
          <w:highlight w:val="none"/>
        </w:rPr>
      </w:pPr>
    </w:p>
    <w:p>
      <w:pPr>
        <w:spacing w:line="660" w:lineRule="exact"/>
        <w:jc w:val="center"/>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聘请方：广州市净水有限公</w:t>
      </w:r>
      <w:r>
        <w:rPr>
          <w:rFonts w:hint="eastAsia" w:ascii="仿宋" w:hAnsi="仿宋" w:eastAsia="仿宋" w:cs="仿宋"/>
          <w:color w:val="auto"/>
          <w:sz w:val="36"/>
          <w:szCs w:val="36"/>
          <w:highlight w:val="none"/>
          <w:lang w:val="en-US" w:eastAsia="zh-CN"/>
        </w:rPr>
        <w:t>司</w:t>
      </w:r>
    </w:p>
    <w:p>
      <w:pPr>
        <w:spacing w:line="660" w:lineRule="exact"/>
        <w:ind w:firstLine="1800" w:firstLineChars="500"/>
        <w:jc w:val="left"/>
        <w:rPr>
          <w:rFonts w:hint="eastAsia" w:ascii="仿宋" w:hAnsi="仿宋" w:eastAsia="仿宋" w:cs="仿宋"/>
          <w:color w:val="auto"/>
          <w:sz w:val="36"/>
          <w:szCs w:val="36"/>
          <w:highlight w:val="none"/>
          <w:lang w:val="en-US" w:eastAsia="zh-CN"/>
        </w:rPr>
      </w:pPr>
      <w:r>
        <w:rPr>
          <w:rFonts w:hint="eastAsia" w:ascii="仿宋" w:hAnsi="仿宋" w:eastAsia="仿宋" w:cs="仿宋"/>
          <w:color w:val="auto"/>
          <w:sz w:val="36"/>
          <w:szCs w:val="36"/>
          <w:highlight w:val="none"/>
        </w:rPr>
        <w:t>受聘方</w:t>
      </w:r>
      <w:r>
        <w:rPr>
          <w:rFonts w:hint="eastAsia" w:ascii="仿宋" w:hAnsi="仿宋" w:eastAsia="仿宋" w:cs="仿宋"/>
          <w:color w:val="auto"/>
          <w:sz w:val="36"/>
          <w:szCs w:val="36"/>
          <w:highlight w:val="none"/>
          <w:lang w:eastAsia="zh-CN"/>
        </w:rPr>
        <w:t>：</w:t>
      </w:r>
    </w:p>
    <w:p>
      <w:pPr>
        <w:spacing w:line="660" w:lineRule="exact"/>
        <w:textAlignment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 xml:space="preserve">  </w:t>
      </w:r>
    </w:p>
    <w:p>
      <w:pPr>
        <w:spacing w:line="660" w:lineRule="exact"/>
        <w:textAlignment w:val="center"/>
        <w:rPr>
          <w:rFonts w:hint="eastAsia" w:ascii="仿宋" w:hAnsi="仿宋" w:eastAsia="仿宋" w:cs="仿宋"/>
          <w:b/>
          <w:bCs/>
          <w:color w:val="auto"/>
          <w:sz w:val="36"/>
          <w:szCs w:val="36"/>
          <w:highlight w:val="none"/>
        </w:rPr>
      </w:pPr>
    </w:p>
    <w:p>
      <w:pPr>
        <w:wordWrap w:val="0"/>
        <w:jc w:val="center"/>
        <w:rPr>
          <w:rFonts w:ascii="仿宋" w:hAnsi="仿宋" w:eastAsia="仿宋" w:cs="仿宋"/>
          <w:bCs/>
          <w:color w:val="auto"/>
          <w:sz w:val="30"/>
          <w:szCs w:val="30"/>
          <w:highlight w:val="none"/>
        </w:rPr>
      </w:pPr>
      <w:r>
        <w:rPr>
          <w:rFonts w:hint="eastAsia" w:ascii="仿宋" w:hAnsi="仿宋" w:eastAsia="仿宋" w:cs="仿宋"/>
          <w:bCs/>
          <w:color w:val="auto"/>
          <w:sz w:val="30"/>
          <w:szCs w:val="30"/>
          <w:highlight w:val="none"/>
        </w:rPr>
        <w:t>穗净水合（202</w:t>
      </w:r>
      <w:r>
        <w:rPr>
          <w:rFonts w:hint="eastAsia" w:ascii="仿宋" w:hAnsi="仿宋" w:eastAsia="仿宋" w:cs="仿宋"/>
          <w:bCs/>
          <w:color w:val="auto"/>
          <w:sz w:val="30"/>
          <w:szCs w:val="30"/>
          <w:highlight w:val="none"/>
          <w:lang w:val="en-US" w:eastAsia="zh-CN"/>
        </w:rPr>
        <w:t>2</w:t>
      </w:r>
      <w:r>
        <w:rPr>
          <w:rFonts w:hint="eastAsia" w:ascii="仿宋" w:hAnsi="仿宋" w:eastAsia="仿宋" w:cs="仿宋"/>
          <w:bCs/>
          <w:color w:val="auto"/>
          <w:sz w:val="30"/>
          <w:szCs w:val="30"/>
          <w:highlight w:val="none"/>
        </w:rPr>
        <w:t>）     号</w:t>
      </w:r>
    </w:p>
    <w:p>
      <w:pPr>
        <w:wordWrap w:val="0"/>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br w:type="page"/>
      </w:r>
      <w:r>
        <w:rPr>
          <w:rFonts w:hint="eastAsia" w:ascii="仿宋" w:hAnsi="仿宋" w:eastAsia="仿宋" w:cs="仿宋"/>
          <w:b/>
          <w:color w:val="auto"/>
          <w:sz w:val="36"/>
          <w:szCs w:val="36"/>
          <w:highlight w:val="none"/>
        </w:rPr>
        <w:t>专项法律</w:t>
      </w:r>
      <w:r>
        <w:rPr>
          <w:rFonts w:hint="eastAsia" w:ascii="仿宋" w:hAnsi="仿宋" w:eastAsia="仿宋" w:cs="仿宋"/>
          <w:b/>
          <w:color w:val="auto"/>
          <w:sz w:val="36"/>
          <w:szCs w:val="36"/>
          <w:highlight w:val="none"/>
          <w:lang w:val="en-US" w:eastAsia="zh-CN"/>
        </w:rPr>
        <w:t>服务</w:t>
      </w:r>
      <w:r>
        <w:rPr>
          <w:rFonts w:hint="eastAsia" w:ascii="仿宋" w:hAnsi="仿宋" w:eastAsia="仿宋" w:cs="仿宋"/>
          <w:b/>
          <w:color w:val="auto"/>
          <w:sz w:val="36"/>
          <w:szCs w:val="36"/>
          <w:highlight w:val="none"/>
        </w:rPr>
        <w:t>协议书</w:t>
      </w:r>
    </w:p>
    <w:p>
      <w:pPr>
        <w:wordWrap w:val="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 xml:space="preserve">                                       </w:t>
      </w:r>
    </w:p>
    <w:p>
      <w:pPr>
        <w:wordWrap w:val="0"/>
        <w:jc w:val="center"/>
        <w:rPr>
          <w:rFonts w:hint="eastAsia" w:ascii="仿宋" w:hAnsi="仿宋" w:eastAsia="仿宋" w:cs="仿宋"/>
          <w:color w:val="auto"/>
          <w:highlight w:val="none"/>
        </w:rPr>
      </w:pPr>
      <w:r>
        <w:rPr>
          <w:rFonts w:hint="eastAsia" w:ascii="仿宋" w:hAnsi="仿宋" w:eastAsia="仿宋" w:cs="仿宋"/>
          <w:bCs/>
          <w:color w:val="auto"/>
          <w:szCs w:val="21"/>
          <w:highlight w:val="none"/>
        </w:rPr>
        <w:t xml:space="preserve">                                                  </w:t>
      </w:r>
    </w:p>
    <w:p>
      <w:pPr>
        <w:spacing w:line="50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甲  方（聘请方）：广州市净水有限公司 </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地址：广州市天河临江大道501号</w:t>
      </w:r>
    </w:p>
    <w:p>
      <w:pPr>
        <w:spacing w:line="500" w:lineRule="exact"/>
        <w:rPr>
          <w:rFonts w:hint="eastAsia" w:ascii="仿宋" w:hAnsi="仿宋" w:eastAsia="仿宋" w:cs="仿宋"/>
          <w:color w:val="auto"/>
          <w:sz w:val="28"/>
          <w:szCs w:val="28"/>
          <w:highlight w:val="none"/>
        </w:rPr>
      </w:pPr>
    </w:p>
    <w:p>
      <w:pPr>
        <w:spacing w:line="580" w:lineRule="exact"/>
        <w:rPr>
          <w:rFonts w:hint="eastAsia" w:ascii="仿宋" w:hAnsi="仿宋" w:eastAsia="仿宋" w:cs="仿宋"/>
          <w:b/>
          <w:bCs/>
          <w:color w:val="auto"/>
          <w:sz w:val="28"/>
          <w:szCs w:val="28"/>
          <w:highlight w:val="none"/>
        </w:rPr>
      </w:pPr>
      <w:r>
        <w:rPr>
          <w:rFonts w:hint="eastAsia" w:ascii="仿宋" w:hAnsi="仿宋" w:eastAsia="仿宋" w:cs="仿宋"/>
          <w:b/>
          <w:color w:val="auto"/>
          <w:sz w:val="28"/>
          <w:szCs w:val="28"/>
          <w:highlight w:val="none"/>
        </w:rPr>
        <w:t>乙  方（受聘方）：</w:t>
      </w:r>
      <w:r>
        <w:rPr>
          <w:rFonts w:hint="eastAsia" w:ascii="仿宋" w:hAnsi="仿宋" w:eastAsia="仿宋" w:cs="仿宋"/>
          <w:b/>
          <w:bCs/>
          <w:color w:val="auto"/>
          <w:sz w:val="28"/>
          <w:szCs w:val="28"/>
          <w:highlight w:val="none"/>
        </w:rPr>
        <w:t xml:space="preserve"> </w:t>
      </w:r>
    </w:p>
    <w:p>
      <w:pPr>
        <w:spacing w:line="5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地址： </w:t>
      </w:r>
    </w:p>
    <w:p>
      <w:pPr>
        <w:spacing w:line="58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电话：          传真：       邮编：</w:t>
      </w:r>
    </w:p>
    <w:p>
      <w:pPr>
        <w:spacing w:line="500" w:lineRule="exact"/>
        <w:rPr>
          <w:rFonts w:hint="eastAsia" w:ascii="仿宋" w:hAnsi="仿宋" w:eastAsia="仿宋" w:cs="仿宋"/>
          <w:color w:val="auto"/>
          <w:sz w:val="28"/>
          <w:szCs w:val="28"/>
          <w:highlight w:val="none"/>
        </w:rPr>
      </w:pPr>
    </w:p>
    <w:p>
      <w:pPr>
        <w:spacing w:before="312" w:beforeLines="100" w:after="156" w:afterLines="50"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根据《中华人民共和国律师法》、《中华人民共和国民法典》的规定，甲方聘请乙方</w:t>
      </w:r>
      <w:bookmarkStart w:id="70" w:name="_Hlk26178029"/>
      <w:r>
        <w:rPr>
          <w:rFonts w:hint="eastAsia" w:ascii="仿宋" w:hAnsi="仿宋" w:eastAsia="仿宋" w:cs="仿宋"/>
          <w:color w:val="auto"/>
          <w:sz w:val="28"/>
          <w:szCs w:val="28"/>
          <w:highlight w:val="none"/>
          <w:lang w:val="en-US" w:eastAsia="zh-CN"/>
        </w:rPr>
        <w:t>为2022年非诉讼专项法律服务顾问</w:t>
      </w:r>
      <w:r>
        <w:rPr>
          <w:rFonts w:hint="eastAsia" w:ascii="仿宋" w:hAnsi="仿宋" w:eastAsia="仿宋" w:cs="仿宋"/>
          <w:color w:val="auto"/>
          <w:sz w:val="28"/>
          <w:szCs w:val="28"/>
          <w:highlight w:val="none"/>
        </w:rPr>
        <w:t>，在</w:t>
      </w:r>
      <w:r>
        <w:rPr>
          <w:rFonts w:hint="eastAsia" w:ascii="仿宋" w:hAnsi="仿宋" w:eastAsia="仿宋" w:cs="仿宋"/>
          <w:color w:val="auto"/>
          <w:sz w:val="28"/>
          <w:szCs w:val="28"/>
          <w:highlight w:val="none"/>
          <w:lang w:val="en-US" w:eastAsia="zh-CN"/>
        </w:rPr>
        <w:t>各具体</w:t>
      </w:r>
      <w:r>
        <w:rPr>
          <w:rFonts w:hint="eastAsia" w:ascii="仿宋" w:hAnsi="仿宋" w:eastAsia="仿宋" w:cs="仿宋"/>
          <w:color w:val="auto"/>
          <w:sz w:val="28"/>
          <w:szCs w:val="28"/>
          <w:highlight w:val="none"/>
        </w:rPr>
        <w:t>项目中为甲方提供专项法律服务</w:t>
      </w:r>
      <w:bookmarkEnd w:id="70"/>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具体以甲方实际委托为准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。经协商，双方就专项法律顾问聘请事宜，订立如下合同条款，以供共同遵守：</w:t>
      </w:r>
    </w:p>
    <w:p>
      <w:pPr>
        <w:spacing w:before="156" w:beforeLines="50" w:after="156" w:afterLines="50" w:line="500" w:lineRule="exact"/>
        <w:ind w:firstLine="57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rPr>
        <w:t>一、</w:t>
      </w:r>
      <w:r>
        <w:rPr>
          <w:rFonts w:hint="eastAsia" w:ascii="仿宋" w:hAnsi="仿宋" w:eastAsia="仿宋" w:cs="仿宋"/>
          <w:b/>
          <w:bCs/>
          <w:color w:val="auto"/>
          <w:sz w:val="28"/>
          <w:szCs w:val="28"/>
          <w:highlight w:val="none"/>
          <w:lang w:val="en-US" w:eastAsia="zh-CN"/>
        </w:rPr>
        <w:t>委托事项</w:t>
      </w:r>
    </w:p>
    <w:p>
      <w:p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乙方根据甲方的委托，</w:t>
      </w:r>
      <w:r>
        <w:rPr>
          <w:rFonts w:hint="eastAsia" w:ascii="仿宋" w:hAnsi="仿宋" w:eastAsia="仿宋" w:cs="仿宋"/>
          <w:color w:val="auto"/>
          <w:sz w:val="28"/>
          <w:szCs w:val="28"/>
          <w:highlight w:val="none"/>
        </w:rPr>
        <w:t>在本</w:t>
      </w:r>
      <w:r>
        <w:rPr>
          <w:rFonts w:hint="eastAsia" w:ascii="仿宋" w:hAnsi="仿宋" w:eastAsia="仿宋" w:cs="仿宋"/>
          <w:color w:val="auto"/>
          <w:sz w:val="28"/>
          <w:szCs w:val="28"/>
          <w:highlight w:val="none"/>
          <w:lang w:val="en-US" w:eastAsia="zh-CN"/>
        </w:rPr>
        <w:t>合同期限内</w:t>
      </w:r>
      <w:r>
        <w:rPr>
          <w:rFonts w:hint="eastAsia" w:ascii="仿宋" w:hAnsi="仿宋" w:eastAsia="仿宋" w:cs="仿宋"/>
          <w:color w:val="auto"/>
          <w:sz w:val="28"/>
          <w:szCs w:val="28"/>
          <w:highlight w:val="none"/>
        </w:rPr>
        <w:t>为甲方提供专项法律服务</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具体项目以甲方实际委托为准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包括但不限于法律尽职调查，法律风险分析，法律解决方案研究、参与协商谈判、合规审查等，</w:t>
      </w:r>
      <w:r>
        <w:rPr>
          <w:rFonts w:hint="eastAsia" w:ascii="仿宋" w:hAnsi="仿宋" w:eastAsia="仿宋" w:cs="仿宋"/>
          <w:color w:val="auto"/>
          <w:sz w:val="28"/>
          <w:szCs w:val="28"/>
          <w:highlight w:val="none"/>
        </w:rPr>
        <w:t>具体工作内容如下：</w:t>
      </w:r>
    </w:p>
    <w:p>
      <w:pPr>
        <w:spacing w:line="500" w:lineRule="exact"/>
        <w:ind w:firstLine="57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（一）对各具体专项提供专项法律咨询服务工作，出具法律意见书；</w:t>
      </w:r>
    </w:p>
    <w:p>
      <w:pPr>
        <w:spacing w:line="500" w:lineRule="exact"/>
        <w:ind w:firstLine="57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（二）协助起草、修改、审核各类合同、报告、函件，出具合法性审查意见书；</w:t>
      </w:r>
    </w:p>
    <w:p>
      <w:pPr>
        <w:spacing w:line="500" w:lineRule="exact"/>
        <w:ind w:firstLine="57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（三）应甲方要求，参加协商谈判，协调处理纠纷、争议等非诉</w:t>
      </w:r>
      <w:r>
        <w:rPr>
          <w:rFonts w:ascii="仿宋" w:hAnsi="仿宋" w:eastAsia="仿宋" w:cs="仿宋"/>
          <w:color w:val="auto"/>
          <w:sz w:val="28"/>
          <w:szCs w:val="28"/>
          <w:highlight w:val="none"/>
        </w:rPr>
        <w:t>讼、非仲裁法律事务；</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ascii="仿宋" w:hAnsi="仿宋" w:eastAsia="仿宋" w:cs="仿宋"/>
          <w:color w:val="auto"/>
          <w:sz w:val="28"/>
          <w:szCs w:val="28"/>
          <w:highlight w:val="none"/>
        </w:rPr>
        <w:t>（四）协助处理突发维稳事件，涉嫌刑事犯罪的，协助报案、申诉；</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ascii="仿宋" w:hAnsi="仿宋" w:eastAsia="仿宋" w:cs="仿宋"/>
          <w:color w:val="auto"/>
          <w:sz w:val="28"/>
          <w:szCs w:val="28"/>
          <w:highlight w:val="none"/>
        </w:rPr>
        <w:t>（五）根据项目需要及</w:t>
      </w:r>
      <w:r>
        <w:rPr>
          <w:rFonts w:hint="eastAsia" w:ascii="仿宋" w:hAnsi="仿宋" w:eastAsia="仿宋" w:cs="仿宋"/>
          <w:color w:val="auto"/>
          <w:sz w:val="28"/>
          <w:szCs w:val="28"/>
          <w:highlight w:val="none"/>
          <w:lang w:val="en-US" w:eastAsia="zh-CN"/>
        </w:rPr>
        <w:t>甲方</w:t>
      </w:r>
      <w:r>
        <w:rPr>
          <w:rFonts w:ascii="仿宋" w:hAnsi="仿宋" w:eastAsia="仿宋" w:cs="仿宋"/>
          <w:color w:val="auto"/>
          <w:sz w:val="28"/>
          <w:szCs w:val="28"/>
          <w:highlight w:val="none"/>
        </w:rPr>
        <w:t>的要求，</w:t>
      </w:r>
      <w:r>
        <w:rPr>
          <w:rFonts w:hint="eastAsia" w:ascii="仿宋" w:hAnsi="仿宋" w:eastAsia="仿宋" w:cs="仿宋"/>
          <w:color w:val="auto"/>
          <w:sz w:val="28"/>
          <w:szCs w:val="28"/>
          <w:highlight w:val="none"/>
          <w:lang w:val="en-US" w:eastAsia="zh-CN"/>
        </w:rPr>
        <w:t>向公司</w:t>
      </w:r>
      <w:r>
        <w:rPr>
          <w:rFonts w:hint="eastAsia" w:ascii="仿宋" w:hAnsi="仿宋" w:eastAsia="仿宋" w:cs="仿宋"/>
          <w:color w:val="auto"/>
          <w:sz w:val="28"/>
          <w:szCs w:val="28"/>
          <w:highlight w:val="none"/>
        </w:rPr>
        <w:t>提出建议，</w:t>
      </w:r>
      <w:r>
        <w:rPr>
          <w:rFonts w:ascii="仿宋" w:hAnsi="仿宋" w:eastAsia="仿宋" w:cs="仿宋"/>
          <w:color w:val="auto"/>
          <w:sz w:val="28"/>
          <w:szCs w:val="28"/>
          <w:highlight w:val="none"/>
        </w:rPr>
        <w:t>参加相关讨论会、协调会等；</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ascii="仿宋" w:hAnsi="仿宋" w:eastAsia="仿宋" w:cs="仿宋"/>
          <w:color w:val="auto"/>
          <w:sz w:val="28"/>
          <w:szCs w:val="28"/>
          <w:highlight w:val="none"/>
        </w:rPr>
        <w:t>（六）</w:t>
      </w:r>
      <w:r>
        <w:rPr>
          <w:rFonts w:hint="eastAsia" w:ascii="仿宋" w:hAnsi="仿宋" w:eastAsia="仿宋" w:cs="仿宋"/>
          <w:color w:val="auto"/>
          <w:sz w:val="28"/>
          <w:szCs w:val="28"/>
          <w:highlight w:val="none"/>
        </w:rPr>
        <w:t>按公司</w:t>
      </w:r>
      <w:r>
        <w:rPr>
          <w:rFonts w:ascii="仿宋" w:hAnsi="仿宋" w:eastAsia="仿宋" w:cs="仿宋"/>
          <w:color w:val="auto"/>
          <w:sz w:val="28"/>
          <w:szCs w:val="28"/>
          <w:highlight w:val="none"/>
        </w:rPr>
        <w:t>要求，向有关单位发律师函；</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ascii="仿宋" w:hAnsi="仿宋" w:eastAsia="仿宋" w:cs="仿宋"/>
          <w:color w:val="auto"/>
          <w:sz w:val="28"/>
          <w:szCs w:val="28"/>
          <w:highlight w:val="none"/>
        </w:rPr>
        <w:t>（七）协助</w:t>
      </w:r>
      <w:r>
        <w:rPr>
          <w:rFonts w:hint="eastAsia" w:ascii="仿宋" w:hAnsi="仿宋" w:eastAsia="仿宋" w:cs="仿宋"/>
          <w:color w:val="auto"/>
          <w:sz w:val="28"/>
          <w:szCs w:val="28"/>
          <w:highlight w:val="none"/>
        </w:rPr>
        <w:t>公司</w:t>
      </w:r>
      <w:r>
        <w:rPr>
          <w:rFonts w:ascii="仿宋" w:hAnsi="仿宋" w:eastAsia="仿宋" w:cs="仿宋"/>
          <w:color w:val="auto"/>
          <w:sz w:val="28"/>
          <w:szCs w:val="28"/>
          <w:highlight w:val="none"/>
        </w:rPr>
        <w:t>配合有关部门的调查、传唤、讯问；</w:t>
      </w:r>
      <w:r>
        <w:rPr>
          <w:rFonts w:ascii="仿宋" w:hAnsi="仿宋" w:eastAsia="仿宋" w:cs="仿宋"/>
          <w:color w:val="auto"/>
          <w:sz w:val="28"/>
          <w:szCs w:val="28"/>
          <w:highlight w:val="none"/>
        </w:rPr>
        <w:br w:type="textWrapping"/>
      </w:r>
      <w:r>
        <w:rPr>
          <w:rFonts w:hint="eastAsia" w:ascii="仿宋" w:hAnsi="仿宋" w:eastAsia="仿宋" w:cs="仿宋"/>
          <w:color w:val="auto"/>
          <w:sz w:val="28"/>
          <w:szCs w:val="28"/>
          <w:highlight w:val="none"/>
        </w:rPr>
        <w:t xml:space="preserve">   </w:t>
      </w:r>
      <w:r>
        <w:rPr>
          <w:rFonts w:ascii="仿宋" w:hAnsi="仿宋" w:eastAsia="仿宋" w:cs="仿宋"/>
          <w:color w:val="auto"/>
          <w:sz w:val="28"/>
          <w:szCs w:val="28"/>
          <w:highlight w:val="none"/>
        </w:rPr>
        <w:t>（八）提交专项结案报告</w:t>
      </w:r>
      <w:r>
        <w:rPr>
          <w:rFonts w:hint="eastAsia" w:ascii="仿宋" w:hAnsi="仿宋" w:eastAsia="仿宋" w:cs="仿宋"/>
          <w:color w:val="auto"/>
          <w:sz w:val="28"/>
          <w:szCs w:val="28"/>
          <w:highlight w:val="none"/>
          <w:lang w:eastAsia="zh-CN"/>
        </w:rPr>
        <w:t>；</w:t>
      </w:r>
    </w:p>
    <w:p>
      <w:pPr>
        <w:numPr>
          <w:ilvl w:val="0"/>
          <w:numId w:val="4"/>
        </w:numPr>
        <w:spacing w:line="360" w:lineRule="auto"/>
        <w:ind w:left="560" w:lef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其他法律服务。</w:t>
      </w:r>
    </w:p>
    <w:p>
      <w:pPr>
        <w:spacing w:before="156" w:beforeLines="50" w:after="156" w:afterLines="50" w:line="500" w:lineRule="exact"/>
        <w:ind w:firstLine="57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二</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lang w:val="en-US" w:eastAsia="zh-CN"/>
        </w:rPr>
        <w:t>合同</w:t>
      </w:r>
      <w:r>
        <w:rPr>
          <w:rFonts w:hint="eastAsia" w:ascii="仿宋" w:hAnsi="仿宋" w:eastAsia="仿宋" w:cs="仿宋"/>
          <w:b/>
          <w:bCs/>
          <w:color w:val="auto"/>
          <w:sz w:val="28"/>
          <w:szCs w:val="28"/>
          <w:highlight w:val="none"/>
        </w:rPr>
        <w:t>期限</w:t>
      </w:r>
    </w:p>
    <w:p>
      <w:pPr>
        <w:spacing w:line="500" w:lineRule="exact"/>
        <w:ind w:firstLine="57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本合同服务期自</w:t>
      </w:r>
      <w:r>
        <w:rPr>
          <w:rFonts w:hint="eastAsia" w:ascii="仿宋" w:hAnsi="仿宋" w:eastAsia="仿宋" w:cs="仿宋"/>
          <w:color w:val="auto"/>
          <w:sz w:val="28"/>
          <w:szCs w:val="28"/>
          <w:highlight w:val="none"/>
        </w:rPr>
        <w:t>2022年</w:t>
      </w:r>
      <w:r>
        <w:rPr>
          <w:rFonts w:hint="eastAsia" w:ascii="仿宋" w:hAnsi="仿宋" w:eastAsia="仿宋" w:cs="仿宋"/>
          <w:color w:val="auto"/>
          <w:sz w:val="28"/>
          <w:szCs w:val="28"/>
          <w:highlight w:val="none"/>
          <w:lang w:val="en-US" w:eastAsia="zh-CN"/>
        </w:rPr>
        <w:t>x月至2023年x月止（自合同签订之日起1年），如合同服务期内法律服务费结算金额累计总额达到100万元前，合同提前终止。</w:t>
      </w:r>
    </w:p>
    <w:p>
      <w:pPr>
        <w:spacing w:before="156" w:beforeLines="50" w:after="156" w:afterLines="50" w:line="500" w:lineRule="exact"/>
        <w:ind w:firstLine="570"/>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三、</w:t>
      </w:r>
      <w:r>
        <w:rPr>
          <w:rFonts w:hint="default" w:ascii="仿宋" w:hAnsi="仿宋" w:eastAsia="仿宋" w:cs="仿宋"/>
          <w:b/>
          <w:bCs/>
          <w:color w:val="auto"/>
          <w:sz w:val="28"/>
          <w:szCs w:val="28"/>
          <w:highlight w:val="none"/>
          <w:lang w:val="en-US" w:eastAsia="zh-CN"/>
        </w:rPr>
        <w:t>合同暂定价的确定及支付方式</w:t>
      </w:r>
    </w:p>
    <w:p>
      <w:pPr>
        <w:spacing w:line="500" w:lineRule="exact"/>
        <w:ind w:firstLine="57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（一）</w:t>
      </w:r>
      <w:r>
        <w:rPr>
          <w:rFonts w:hint="default" w:ascii="仿宋" w:hAnsi="仿宋" w:eastAsia="仿宋" w:cs="仿宋"/>
          <w:color w:val="auto"/>
          <w:sz w:val="28"/>
          <w:szCs w:val="28"/>
          <w:highlight w:val="none"/>
          <w:lang w:val="en-US" w:eastAsia="zh-CN"/>
        </w:rPr>
        <w:t>甲乙双方商定，本合同年度</w:t>
      </w:r>
      <w:r>
        <w:rPr>
          <w:rFonts w:hint="eastAsia" w:ascii="仿宋" w:hAnsi="仿宋" w:eastAsia="仿宋" w:cs="仿宋"/>
          <w:color w:val="auto"/>
          <w:sz w:val="28"/>
          <w:szCs w:val="28"/>
          <w:highlight w:val="none"/>
          <w:lang w:val="en-US" w:eastAsia="zh-CN"/>
        </w:rPr>
        <w:t>法律服务</w:t>
      </w:r>
      <w:r>
        <w:rPr>
          <w:rFonts w:hint="default" w:ascii="仿宋" w:hAnsi="仿宋" w:eastAsia="仿宋" w:cs="仿宋"/>
          <w:color w:val="auto"/>
          <w:sz w:val="28"/>
          <w:szCs w:val="28"/>
          <w:highlight w:val="none"/>
          <w:lang w:val="en-US" w:eastAsia="zh-CN"/>
        </w:rPr>
        <w:t>费总额暂定价为人民币100</w:t>
      </w:r>
      <w:r>
        <w:rPr>
          <w:rFonts w:hint="eastAsia" w:ascii="仿宋" w:hAnsi="仿宋" w:eastAsia="仿宋" w:cs="仿宋"/>
          <w:color w:val="auto"/>
          <w:sz w:val="28"/>
          <w:szCs w:val="28"/>
          <w:highlight w:val="none"/>
          <w:lang w:val="en-US" w:eastAsia="zh-CN"/>
        </w:rPr>
        <w:t>万</w:t>
      </w:r>
      <w:r>
        <w:rPr>
          <w:rFonts w:hint="default" w:ascii="仿宋" w:hAnsi="仿宋" w:eastAsia="仿宋" w:cs="仿宋"/>
          <w:color w:val="auto"/>
          <w:sz w:val="28"/>
          <w:szCs w:val="28"/>
          <w:highlight w:val="none"/>
          <w:lang w:val="en-US" w:eastAsia="zh-CN"/>
        </w:rPr>
        <w:t>元（大写：壹佰万元整</w:t>
      </w:r>
      <w:r>
        <w:rPr>
          <w:rFonts w:hint="eastAsia" w:ascii="仿宋" w:hAnsi="仿宋" w:eastAsia="仿宋" w:cs="仿宋"/>
          <w:color w:val="auto"/>
          <w:sz w:val="28"/>
          <w:szCs w:val="28"/>
          <w:highlight w:val="none"/>
          <w:lang w:val="en-US" w:eastAsia="zh-CN"/>
        </w:rPr>
        <w:t>，不含本级</w:t>
      </w:r>
      <w:r>
        <w:rPr>
          <w:rFonts w:hint="default" w:ascii="仿宋" w:hAnsi="仿宋" w:eastAsia="仿宋" w:cs="仿宋"/>
          <w:color w:val="auto"/>
          <w:sz w:val="28"/>
          <w:szCs w:val="28"/>
          <w:highlight w:val="none"/>
          <w:lang w:val="en-US" w:eastAsia="zh-CN"/>
        </w:rPr>
        <w:t>）。</w:t>
      </w:r>
    </w:p>
    <w:p>
      <w:pPr>
        <w:spacing w:line="500" w:lineRule="exact"/>
        <w:ind w:firstLine="57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（二）</w:t>
      </w:r>
      <w:r>
        <w:rPr>
          <w:rFonts w:hint="default" w:ascii="仿宋" w:hAnsi="仿宋" w:eastAsia="仿宋" w:cs="仿宋"/>
          <w:color w:val="auto"/>
          <w:sz w:val="28"/>
          <w:szCs w:val="28"/>
          <w:highlight w:val="none"/>
          <w:lang w:val="en-US" w:eastAsia="zh-CN"/>
        </w:rPr>
        <w:t>本合同约定的价格为含税价价格（税率 6 %），合同履行期间国家税率调整或乙方开票的实际税率与前述税率不一致的，不含税价不变，价税合计按实际税率相应调整，以开具发票时间为准。</w:t>
      </w:r>
    </w:p>
    <w:p>
      <w:pPr>
        <w:spacing w:line="500" w:lineRule="exact"/>
        <w:ind w:firstLine="57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（三）具体项目</w:t>
      </w:r>
      <w:r>
        <w:rPr>
          <w:rFonts w:hint="default" w:ascii="仿宋" w:hAnsi="仿宋" w:eastAsia="仿宋" w:cs="仿宋"/>
          <w:color w:val="auto"/>
          <w:sz w:val="28"/>
          <w:szCs w:val="28"/>
          <w:highlight w:val="none"/>
          <w:lang w:val="en-US" w:eastAsia="zh-CN"/>
        </w:rPr>
        <w:t>按照 《广东省物价局、司法厅律师服务收费管理实施办法》（</w:t>
      </w:r>
      <w:r>
        <w:rPr>
          <w:rFonts w:hint="eastAsia" w:ascii="仿宋" w:hAnsi="仿宋" w:eastAsia="仿宋" w:cs="仿宋"/>
          <w:color w:val="auto"/>
          <w:sz w:val="28"/>
          <w:szCs w:val="28"/>
          <w:highlight w:val="none"/>
          <w:lang w:val="en-US" w:eastAsia="zh-CN"/>
        </w:rPr>
        <w:t>粤价〔2006〕298号</w:t>
      </w:r>
      <w:r>
        <w:rPr>
          <w:rFonts w:hint="default" w:ascii="仿宋" w:hAnsi="仿宋" w:eastAsia="仿宋" w:cs="仿宋"/>
          <w:color w:val="auto"/>
          <w:sz w:val="28"/>
          <w:szCs w:val="28"/>
          <w:highlight w:val="none"/>
          <w:lang w:val="en-US" w:eastAsia="zh-CN"/>
        </w:rPr>
        <w:t>）计算费用。</w:t>
      </w:r>
      <w:r>
        <w:rPr>
          <w:rFonts w:hint="eastAsia" w:ascii="仿宋" w:hAnsi="仿宋" w:eastAsia="仿宋" w:cs="仿宋"/>
          <w:color w:val="auto"/>
          <w:sz w:val="28"/>
          <w:szCs w:val="28"/>
          <w:highlight w:val="none"/>
          <w:lang w:val="en-US" w:eastAsia="zh-CN"/>
        </w:rPr>
        <w:t>因具体项目的市场价格、项目复杂程度、工作量等情况不同，以甲乙双方的议定价格</w:t>
      </w:r>
      <w:r>
        <w:rPr>
          <w:rFonts w:hint="default" w:ascii="仿宋" w:hAnsi="仿宋" w:eastAsia="仿宋" w:cs="仿宋"/>
          <w:color w:val="auto"/>
          <w:sz w:val="28"/>
          <w:szCs w:val="28"/>
          <w:highlight w:val="none"/>
          <w:lang w:val="en-US" w:eastAsia="zh-CN"/>
        </w:rPr>
        <w:t>进行结算</w:t>
      </w:r>
      <w:r>
        <w:rPr>
          <w:rFonts w:hint="eastAsia" w:ascii="仿宋" w:hAnsi="仿宋" w:eastAsia="仿宋" w:cs="仿宋"/>
          <w:color w:val="auto"/>
          <w:sz w:val="28"/>
          <w:szCs w:val="28"/>
          <w:highlight w:val="none"/>
          <w:lang w:val="en-US" w:eastAsia="zh-CN"/>
        </w:rPr>
        <w:t>，但无论如何，法律服务费不高于上述收费标准的xx%。</w:t>
      </w:r>
      <w:r>
        <w:rPr>
          <w:rFonts w:hint="default" w:ascii="仿宋" w:hAnsi="仿宋" w:eastAsia="仿宋" w:cs="仿宋"/>
          <w:color w:val="auto"/>
          <w:sz w:val="28"/>
          <w:szCs w:val="28"/>
          <w:highlight w:val="none"/>
          <w:lang w:val="en-US" w:eastAsia="zh-CN"/>
        </w:rPr>
        <w:t xml:space="preserve"> </w:t>
      </w:r>
    </w:p>
    <w:p>
      <w:pPr>
        <w:spacing w:line="500" w:lineRule="exact"/>
        <w:ind w:firstLine="57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（四）甲方出具具体项目的委托书给乙方后十日内支付该项目法律服务费的80%，项目于甲方出具验收报告。验收合格后支付至该项目法律服务费的100%</w:t>
      </w:r>
      <w:r>
        <w:rPr>
          <w:rFonts w:hint="default" w:ascii="仿宋" w:hAnsi="仿宋" w:eastAsia="仿宋" w:cs="仿宋"/>
          <w:color w:val="auto"/>
          <w:sz w:val="28"/>
          <w:szCs w:val="28"/>
          <w:highlight w:val="none"/>
          <w:lang w:val="en-US" w:eastAsia="zh-CN"/>
        </w:rPr>
        <w:t>。</w:t>
      </w:r>
    </w:p>
    <w:p>
      <w:pPr>
        <w:spacing w:line="500" w:lineRule="exact"/>
        <w:ind w:firstLine="57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（五）</w:t>
      </w:r>
      <w:r>
        <w:rPr>
          <w:rFonts w:hint="default" w:ascii="仿宋" w:hAnsi="仿宋" w:eastAsia="仿宋" w:cs="仿宋"/>
          <w:color w:val="auto"/>
          <w:sz w:val="28"/>
          <w:szCs w:val="28"/>
          <w:highlight w:val="none"/>
          <w:lang w:val="en-US" w:eastAsia="zh-CN"/>
        </w:rPr>
        <w:t>乙方在收款前需提交等额增值税专用发票给甲方。增值税专用发票信息：</w:t>
      </w:r>
    </w:p>
    <w:p>
      <w:pPr>
        <w:spacing w:line="500" w:lineRule="exact"/>
        <w:ind w:firstLine="57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名称：</w:t>
      </w:r>
    </w:p>
    <w:p>
      <w:pPr>
        <w:spacing w:line="500" w:lineRule="exact"/>
        <w:ind w:firstLine="57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税号：</w:t>
      </w:r>
    </w:p>
    <w:p>
      <w:pPr>
        <w:spacing w:line="500" w:lineRule="exact"/>
        <w:ind w:firstLine="57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地址及电话：</w:t>
      </w:r>
    </w:p>
    <w:p>
      <w:pPr>
        <w:spacing w:line="500" w:lineRule="exact"/>
        <w:ind w:firstLine="57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开户行/账号：</w:t>
      </w:r>
    </w:p>
    <w:p>
      <w:pPr>
        <w:spacing w:line="500" w:lineRule="exact"/>
        <w:ind w:firstLine="57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乙方收款账户：</w:t>
      </w:r>
    </w:p>
    <w:p>
      <w:pPr>
        <w:spacing w:line="500" w:lineRule="exact"/>
        <w:ind w:firstLine="57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收款账号：</w:t>
      </w:r>
    </w:p>
    <w:p>
      <w:pPr>
        <w:spacing w:line="500" w:lineRule="exact"/>
        <w:ind w:firstLine="570"/>
        <w:rPr>
          <w:rFonts w:hint="default" w:ascii="仿宋" w:hAnsi="仿宋" w:eastAsia="仿宋" w:cs="仿宋"/>
          <w:color w:val="auto"/>
          <w:sz w:val="28"/>
          <w:szCs w:val="28"/>
          <w:highlight w:val="none"/>
          <w:lang w:val="en-US" w:eastAsia="zh-CN"/>
        </w:rPr>
      </w:pPr>
      <w:r>
        <w:rPr>
          <w:rFonts w:hint="default" w:ascii="仿宋" w:hAnsi="仿宋" w:eastAsia="仿宋" w:cs="仿宋"/>
          <w:color w:val="auto"/>
          <w:sz w:val="28"/>
          <w:szCs w:val="28"/>
          <w:highlight w:val="none"/>
          <w:lang w:val="en-US" w:eastAsia="zh-CN"/>
        </w:rPr>
        <w:t>开户行：</w:t>
      </w:r>
    </w:p>
    <w:p>
      <w:pPr>
        <w:spacing w:before="156" w:beforeLines="50" w:after="156" w:afterLines="50" w:line="500" w:lineRule="exact"/>
        <w:ind w:firstLine="57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四、甲方的义务</w:t>
      </w:r>
    </w:p>
    <w:p>
      <w:pPr>
        <w:pStyle w:val="1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对乙方律师开展法律服务予以充分的合作，及时、真实和完整地向乙方提供与本项目法律服务有关的，一切必要的各种信息、文件、资料的副本或复印件，并保证该副本、复印件与正本、原件一致。</w:t>
      </w:r>
    </w:p>
    <w:p>
      <w:pPr>
        <w:numPr>
          <w:ilvl w:val="0"/>
          <w:numId w:val="0"/>
        </w:num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二</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按协议约定的时间和金额，按时、足额向乙方支付法律服务费。</w:t>
      </w:r>
    </w:p>
    <w:p>
      <w:pPr>
        <w:pStyle w:val="16"/>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甲方指定</w:t>
      </w:r>
      <w:r>
        <w:rPr>
          <w:rFonts w:hint="eastAsia" w:ascii="仿宋" w:hAnsi="仿宋" w:eastAsia="仿宋" w:cs="仿宋"/>
          <w:color w:val="auto"/>
          <w:sz w:val="28"/>
          <w:szCs w:val="28"/>
          <w:highlight w:val="none"/>
          <w:lang w:val="en-US" w:eastAsia="zh-CN"/>
        </w:rPr>
        <w:t>____</w:t>
      </w:r>
      <w:r>
        <w:rPr>
          <w:rFonts w:hint="eastAsia" w:ascii="仿宋" w:hAnsi="仿宋" w:eastAsia="仿宋" w:cs="仿宋"/>
          <w:color w:val="auto"/>
          <w:sz w:val="28"/>
          <w:szCs w:val="28"/>
          <w:highlight w:val="none"/>
        </w:rPr>
        <w:t>为本协议项下接受乙方提供法律服务的联系人，负责转达甲方的指示和要求，提供文件和资料等，甲方更换联系人应当及时通知乙方。</w:t>
      </w:r>
    </w:p>
    <w:p>
      <w:pPr>
        <w:spacing w:before="156" w:beforeLines="50" w:after="156" w:afterLines="50" w:line="500" w:lineRule="exact"/>
        <w:ind w:firstLine="57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五、乙方的义务</w:t>
      </w:r>
    </w:p>
    <w:p>
      <w:pPr>
        <w:spacing w:line="500" w:lineRule="exact"/>
        <w:ind w:left="279" w:leftChars="133" w:firstLine="478" w:firstLineChars="17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一</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接受甲方委托，乙方指派</w:t>
      </w:r>
      <w:r>
        <w:rPr>
          <w:rFonts w:hint="eastAsia" w:ascii="仿宋" w:hAnsi="仿宋" w:eastAsia="仿宋" w:cs="仿宋"/>
          <w:color w:val="auto"/>
          <w:sz w:val="28"/>
          <w:szCs w:val="28"/>
          <w:highlight w:val="none"/>
          <w:lang w:val="en-US" w:eastAsia="zh-CN"/>
        </w:rPr>
        <w:t>_____</w:t>
      </w:r>
      <w:r>
        <w:rPr>
          <w:rFonts w:hint="eastAsia" w:ascii="仿宋" w:hAnsi="仿宋" w:eastAsia="仿宋" w:cs="仿宋"/>
          <w:color w:val="auto"/>
          <w:sz w:val="28"/>
          <w:szCs w:val="28"/>
          <w:highlight w:val="none"/>
        </w:rPr>
        <w:t>为负责人的律师团队担任本</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项目的专项法律顾问。甲方同意上述律师指派其他律师助理配合完成前述法律事务工作。</w:t>
      </w:r>
    </w:p>
    <w:p>
      <w:pPr>
        <w:pStyle w:val="16"/>
        <w:rPr>
          <w:rFonts w:hint="eastAsia" w:ascii="仿宋" w:hAnsi="仿宋" w:eastAsia="仿宋" w:cs="仿宋"/>
          <w:color w:val="auto"/>
          <w:szCs w:val="28"/>
          <w:highlight w:val="none"/>
        </w:rPr>
      </w:pPr>
      <w:r>
        <w:rPr>
          <w:rFonts w:hint="eastAsia" w:ascii="仿宋" w:hAnsi="仿宋" w:eastAsia="仿宋" w:cs="仿宋"/>
          <w:color w:val="auto"/>
          <w:szCs w:val="28"/>
          <w:highlight w:val="none"/>
        </w:rPr>
        <w:t>乙方应依照法律维护甲方的合法权益，所委派的律师如因故中途不能执行职务，应在征得甲方同意后负责另行委派律师接替。</w:t>
      </w:r>
    </w:p>
    <w:p>
      <w:pPr>
        <w:pStyle w:val="16"/>
        <w:rPr>
          <w:rFonts w:hint="eastAsia" w:ascii="仿宋" w:hAnsi="仿宋" w:eastAsia="仿宋" w:cs="仿宋"/>
          <w:color w:val="auto"/>
          <w:sz w:val="28"/>
          <w:szCs w:val="28"/>
          <w:highlight w:val="none"/>
        </w:rPr>
      </w:pPr>
      <w:r>
        <w:rPr>
          <w:rFonts w:hint="eastAsia" w:ascii="仿宋" w:hAnsi="仿宋" w:eastAsia="仿宋" w:cs="仿宋"/>
          <w:color w:val="auto"/>
          <w:szCs w:val="28"/>
          <w:highlight w:val="none"/>
          <w:lang w:eastAsia="zh-CN"/>
        </w:rPr>
        <w:t>（</w:t>
      </w:r>
      <w:r>
        <w:rPr>
          <w:rFonts w:hint="eastAsia" w:ascii="仿宋" w:hAnsi="仿宋" w:eastAsia="仿宋" w:cs="仿宋"/>
          <w:color w:val="auto"/>
          <w:szCs w:val="28"/>
          <w:highlight w:val="none"/>
          <w:lang w:val="en-US" w:eastAsia="zh-CN"/>
        </w:rPr>
        <w:t>二</w:t>
      </w:r>
      <w:r>
        <w:rPr>
          <w:rFonts w:hint="eastAsia" w:ascii="仿宋" w:hAnsi="仿宋" w:eastAsia="仿宋" w:cs="仿宋"/>
          <w:color w:val="auto"/>
          <w:szCs w:val="28"/>
          <w:highlight w:val="none"/>
          <w:lang w:eastAsia="zh-CN"/>
        </w:rPr>
        <w:t>）</w:t>
      </w:r>
      <w:r>
        <w:rPr>
          <w:rFonts w:hint="eastAsia" w:ascii="仿宋" w:hAnsi="仿宋" w:eastAsia="仿宋" w:cs="宋体"/>
          <w:color w:val="auto"/>
          <w:sz w:val="28"/>
          <w:szCs w:val="28"/>
          <w:highlight w:val="none"/>
        </w:rPr>
        <w:t>勤勉、尽责地完成第</w:t>
      </w:r>
      <w:r>
        <w:rPr>
          <w:rFonts w:hint="eastAsia" w:ascii="仿宋" w:hAnsi="仿宋" w:eastAsia="仿宋" w:cs="宋体"/>
          <w:color w:val="auto"/>
          <w:sz w:val="28"/>
          <w:szCs w:val="28"/>
          <w:highlight w:val="none"/>
          <w:lang w:val="en-US" w:eastAsia="zh-CN"/>
        </w:rPr>
        <w:t>一</w:t>
      </w:r>
      <w:r>
        <w:rPr>
          <w:rFonts w:hint="eastAsia" w:ascii="仿宋" w:hAnsi="仿宋" w:eastAsia="仿宋" w:cs="宋体"/>
          <w:color w:val="auto"/>
          <w:sz w:val="28"/>
          <w:szCs w:val="28"/>
          <w:highlight w:val="none"/>
        </w:rPr>
        <w:t>条所列法律服务工作</w:t>
      </w:r>
      <w:r>
        <w:rPr>
          <w:rFonts w:hint="eastAsia" w:ascii="仿宋" w:hAnsi="仿宋" w:eastAsia="仿宋" w:cs="仿宋"/>
          <w:color w:val="auto"/>
          <w:sz w:val="28"/>
          <w:szCs w:val="28"/>
          <w:highlight w:val="none"/>
        </w:rPr>
        <w:t>。</w:t>
      </w:r>
    </w:p>
    <w:p>
      <w:pPr>
        <w:numPr>
          <w:ilvl w:val="0"/>
          <w:numId w:val="0"/>
        </w:num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三</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应当以其依据法律做出的判断，公开、公平、公正地维护甲方的合法权益。</w:t>
      </w:r>
    </w:p>
    <w:p>
      <w:pPr>
        <w:numPr>
          <w:ilvl w:val="0"/>
          <w:numId w:val="0"/>
        </w:num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乙方律师应当在取得甲方提供的文件资料后，及时完成委托事项；但因非乙方原因致使乙方无法按时完成委托事项的,乙方不负责任。</w:t>
      </w:r>
    </w:p>
    <w:p>
      <w:pPr>
        <w:numPr>
          <w:ilvl w:val="0"/>
          <w:numId w:val="0"/>
        </w:num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乙方律师在本合同期内，对涉及甲方的对抗性案件或者交易活动，未经甲方事先书面同意，不得担任与甲方具有法律上利益冲突的另一方的法律顾问或者代理人。</w:t>
      </w:r>
    </w:p>
    <w:p>
      <w:pPr>
        <w:numPr>
          <w:ilvl w:val="0"/>
          <w:numId w:val="0"/>
        </w:num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乙方对其获知的甲方商业秘密、非公开的信息、资料负有保密责任，非由法律规定或者经甲方同意，不得向任何第三方披露。</w:t>
      </w:r>
    </w:p>
    <w:p>
      <w:pPr>
        <w:numPr>
          <w:ilvl w:val="0"/>
          <w:numId w:val="0"/>
        </w:numPr>
        <w:spacing w:line="500" w:lineRule="exact"/>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七</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乙方对甲方业务应当单独建档，根据律师事务所档案管理规定保存完整的工作记录，对涉及甲方的原始证据、法律文件和财物应当妥善保管。</w:t>
      </w:r>
    </w:p>
    <w:p>
      <w:pPr>
        <w:spacing w:before="156" w:beforeLines="50" w:after="156" w:afterLines="50" w:line="500" w:lineRule="exact"/>
        <w:ind w:firstLine="57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六</w:t>
      </w:r>
      <w:r>
        <w:rPr>
          <w:rFonts w:hint="eastAsia" w:ascii="仿宋" w:hAnsi="仿宋" w:eastAsia="仿宋" w:cs="仿宋"/>
          <w:b/>
          <w:bCs/>
          <w:color w:val="auto"/>
          <w:sz w:val="28"/>
          <w:szCs w:val="28"/>
          <w:highlight w:val="none"/>
        </w:rPr>
        <w:t>、合同的</w:t>
      </w:r>
      <w:r>
        <w:rPr>
          <w:rFonts w:hint="eastAsia" w:ascii="仿宋" w:hAnsi="仿宋" w:eastAsia="仿宋" w:cs="仿宋"/>
          <w:b/>
          <w:bCs/>
          <w:color w:val="auto"/>
          <w:sz w:val="28"/>
          <w:szCs w:val="28"/>
          <w:highlight w:val="none"/>
          <w:lang w:val="en-US" w:eastAsia="zh-CN"/>
        </w:rPr>
        <w:t>变更及</w:t>
      </w:r>
      <w:r>
        <w:rPr>
          <w:rFonts w:hint="eastAsia" w:ascii="仿宋" w:hAnsi="仿宋" w:eastAsia="仿宋" w:cs="仿宋"/>
          <w:b/>
          <w:bCs/>
          <w:color w:val="auto"/>
          <w:sz w:val="28"/>
          <w:szCs w:val="28"/>
          <w:highlight w:val="none"/>
        </w:rPr>
        <w:t>解除</w:t>
      </w:r>
    </w:p>
    <w:p>
      <w:pPr>
        <w:numPr>
          <w:ilvl w:val="0"/>
          <w:numId w:val="5"/>
        </w:num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具体项目实施过程中，经双方协商一致可以变更或终止该项目，项目终止后按乙方工作量合理确定法律服务费，乙方提供工作量清单经甲方审定后据实结算。若甲方已支付金额超出结算金额，乙方应在十个工作日退还超付部分。</w:t>
      </w:r>
    </w:p>
    <w:p>
      <w:pPr>
        <w:numPr>
          <w:ilvl w:val="0"/>
          <w:numId w:val="0"/>
        </w:numPr>
        <w:spacing w:line="500" w:lineRule="exact"/>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甲方收款账户：</w:t>
      </w:r>
    </w:p>
    <w:p>
      <w:pPr>
        <w:pStyle w:val="2"/>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收款账号：</w:t>
      </w:r>
    </w:p>
    <w:p>
      <w:pPr>
        <w:pStyle w:val="2"/>
        <w:ind w:firstLine="840" w:firstLineChars="300"/>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开户行：</w:t>
      </w:r>
    </w:p>
    <w:p>
      <w:pPr>
        <w:numPr>
          <w:ilvl w:val="0"/>
          <w:numId w:val="5"/>
        </w:num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双方经协商一致，可以变更或者解除本合同。甲方明确终止委托事项，甲乙双方协商解除合同，按乙方工作量合理确定法律服务费。</w:t>
      </w:r>
    </w:p>
    <w:p>
      <w:pPr>
        <w:numPr>
          <w:ilvl w:val="0"/>
          <w:numId w:val="5"/>
        </w:num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乙方有下列情形之一的，甲方有权解除合同：</w:t>
      </w:r>
    </w:p>
    <w:p>
      <w:p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1、因乙方律师工作延误、失职导致甲方蒙受重大损失的；</w:t>
      </w:r>
    </w:p>
    <w:p>
      <w:p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2、违反本协议第五条第（</w:t>
      </w:r>
      <w:r>
        <w:rPr>
          <w:rFonts w:hint="eastAsia" w:ascii="仿宋" w:hAnsi="仿宋" w:eastAsia="仿宋" w:cs="仿宋"/>
          <w:color w:val="auto"/>
          <w:sz w:val="28"/>
          <w:szCs w:val="28"/>
          <w:highlight w:val="none"/>
          <w:lang w:val="en-US" w:eastAsia="zh-CN"/>
        </w:rPr>
        <w:t>五</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六</w:t>
      </w:r>
      <w:r>
        <w:rPr>
          <w:rFonts w:hint="eastAsia" w:ascii="仿宋" w:hAnsi="仿宋" w:eastAsia="仿宋" w:cs="仿宋"/>
          <w:color w:val="auto"/>
          <w:sz w:val="28"/>
          <w:szCs w:val="28"/>
          <w:highlight w:val="none"/>
        </w:rPr>
        <w:t>）项义务的。</w:t>
      </w:r>
    </w:p>
    <w:p>
      <w:p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四</w:t>
      </w:r>
      <w:r>
        <w:rPr>
          <w:rFonts w:hint="eastAsia" w:ascii="仿宋" w:hAnsi="仿宋" w:eastAsia="仿宋" w:cs="仿宋"/>
          <w:color w:val="auto"/>
          <w:sz w:val="28"/>
          <w:szCs w:val="28"/>
          <w:highlight w:val="none"/>
        </w:rPr>
        <w:t>）甲方有下列情形之一的，乙方有权解除合同或暂停工作直至甲方自行纠正时止：</w:t>
      </w:r>
    </w:p>
    <w:p>
      <w:p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1、甲方的委托事项违反法律或者违反律师职业规范的；</w:t>
      </w:r>
    </w:p>
    <w:p>
      <w:p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2、甲方向乙方提供的资料有虚假、误导、隐瞒、重大遗漏及其他违规行为，致使乙方律师不能提供有效的法律服务的。</w:t>
      </w:r>
    </w:p>
    <w:p>
      <w:pPr>
        <w:spacing w:before="156" w:beforeLines="50" w:after="156" w:afterLines="50" w:line="500" w:lineRule="exact"/>
        <w:ind w:firstLine="57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八、违约责任</w:t>
      </w:r>
    </w:p>
    <w:p>
      <w:pPr>
        <w:pStyle w:val="10"/>
        <w:spacing w:line="480" w:lineRule="auto"/>
        <w:ind w:firstLine="557" w:firstLineChars="19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合同签订以后，双方都应严格遵守，任何一方违反合同，都应当依照本合同约定及法律法规规定承担违约责任。若乙方律师因工作延误、失职或者本协议第五条第（</w:t>
      </w:r>
      <w:r>
        <w:rPr>
          <w:rFonts w:hint="eastAsia" w:ascii="仿宋" w:hAnsi="仿宋" w:eastAsia="仿宋" w:cs="仿宋"/>
          <w:b w:val="0"/>
          <w:bCs w:val="0"/>
          <w:color w:val="auto"/>
          <w:sz w:val="28"/>
          <w:szCs w:val="28"/>
          <w:highlight w:val="none"/>
          <w:lang w:val="en-US" w:eastAsia="zh-CN"/>
        </w:rPr>
        <w:t>五</w:t>
      </w:r>
      <w:r>
        <w:rPr>
          <w:rFonts w:hint="eastAsia" w:ascii="仿宋" w:hAnsi="仿宋" w:eastAsia="仿宋" w:cs="仿宋"/>
          <w:b w:val="0"/>
          <w:bCs w:val="0"/>
          <w:color w:val="auto"/>
          <w:sz w:val="28"/>
          <w:szCs w:val="28"/>
          <w:highlight w:val="none"/>
        </w:rPr>
        <w:t>）（</w:t>
      </w:r>
      <w:r>
        <w:rPr>
          <w:rFonts w:hint="eastAsia" w:ascii="仿宋" w:hAnsi="仿宋" w:eastAsia="仿宋" w:cs="仿宋"/>
          <w:b w:val="0"/>
          <w:bCs w:val="0"/>
          <w:color w:val="auto"/>
          <w:sz w:val="28"/>
          <w:szCs w:val="28"/>
          <w:highlight w:val="none"/>
          <w:lang w:val="en-US" w:eastAsia="zh-CN"/>
        </w:rPr>
        <w:t>六</w:t>
      </w:r>
      <w:r>
        <w:rPr>
          <w:rFonts w:hint="eastAsia" w:ascii="仿宋" w:hAnsi="仿宋" w:eastAsia="仿宋" w:cs="仿宋"/>
          <w:b w:val="0"/>
          <w:bCs w:val="0"/>
          <w:color w:val="auto"/>
          <w:sz w:val="28"/>
          <w:szCs w:val="28"/>
          <w:highlight w:val="none"/>
        </w:rPr>
        <w:t>）项的义务之一，甲方有权要求乙方支付</w:t>
      </w:r>
      <w:r>
        <w:rPr>
          <w:rFonts w:hint="eastAsia" w:ascii="仿宋" w:hAnsi="仿宋" w:eastAsia="仿宋" w:cs="仿宋"/>
          <w:b w:val="0"/>
          <w:bCs w:val="0"/>
          <w:color w:val="auto"/>
          <w:sz w:val="28"/>
          <w:szCs w:val="28"/>
          <w:highlight w:val="none"/>
          <w:lang w:val="en-US" w:eastAsia="zh-CN"/>
        </w:rPr>
        <w:t>具体项目法律服务费</w:t>
      </w:r>
      <w:r>
        <w:rPr>
          <w:rFonts w:hint="eastAsia" w:ascii="仿宋" w:hAnsi="仿宋" w:eastAsia="仿宋" w:cs="仿宋"/>
          <w:b w:val="0"/>
          <w:bCs w:val="0"/>
          <w:color w:val="auto"/>
          <w:sz w:val="28"/>
          <w:szCs w:val="28"/>
          <w:highlight w:val="none"/>
        </w:rPr>
        <w:t>30%的违约金；若导致甲方蒙受经济损失的，甲方还有权要求乙方承担赔偿责任。</w:t>
      </w:r>
    </w:p>
    <w:p>
      <w:pPr>
        <w:pStyle w:val="10"/>
        <w:spacing w:line="480" w:lineRule="auto"/>
        <w:ind w:firstLine="557" w:firstLineChars="199"/>
        <w:rPr>
          <w:rFonts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在合同有效期内，若乙方发生不诚信行为情形的，乙方自愿接受甲方按《广州市净水有限公司经营建设项目参建企业不诚信行为管理办法》处理，具体处理标准详见附件4。</w:t>
      </w:r>
    </w:p>
    <w:p>
      <w:pPr>
        <w:pStyle w:val="10"/>
        <w:spacing w:line="480" w:lineRule="auto"/>
        <w:ind w:firstLine="557" w:firstLineChars="19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乙方自愿按照并接受甲方《广州市净水有限公司外聘法律服务机构管理办法（试行）》（穗净水[2021]456号）</w:t>
      </w:r>
      <w:r>
        <w:rPr>
          <w:rFonts w:hint="eastAsia" w:ascii="仿宋" w:hAnsi="仿宋" w:eastAsia="仿宋" w:cs="仿宋"/>
          <w:b w:val="0"/>
          <w:color w:val="auto"/>
          <w:sz w:val="28"/>
          <w:szCs w:val="28"/>
          <w:highlight w:val="none"/>
        </w:rPr>
        <w:t>的考核</w:t>
      </w:r>
      <w:r>
        <w:rPr>
          <w:rFonts w:hint="eastAsia" w:ascii="仿宋" w:hAnsi="仿宋" w:eastAsia="仿宋" w:cs="仿宋"/>
          <w:b w:val="0"/>
          <w:bCs w:val="0"/>
          <w:color w:val="auto"/>
          <w:sz w:val="28"/>
          <w:szCs w:val="28"/>
          <w:highlight w:val="none"/>
        </w:rPr>
        <w:t>管理。</w:t>
      </w:r>
    </w:p>
    <w:p>
      <w:pPr>
        <w:spacing w:before="156" w:beforeLines="50" w:after="156" w:afterLines="50" w:line="500" w:lineRule="exact"/>
        <w:ind w:firstLine="57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九、争议的解决</w:t>
      </w:r>
    </w:p>
    <w:p>
      <w:p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因履行本协议产生的争议，应当友好协商解决。如协商不成，任何一方可向甲方所在地的人民法院提起诉讼。</w:t>
      </w:r>
    </w:p>
    <w:p>
      <w:pPr>
        <w:spacing w:before="156" w:beforeLines="50" w:after="156" w:afterLines="50" w:line="500" w:lineRule="exact"/>
        <w:ind w:firstLine="57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十、合同的签订及生效</w:t>
      </w:r>
    </w:p>
    <w:p>
      <w:pPr>
        <w:spacing w:line="500" w:lineRule="exact"/>
        <w:ind w:firstLine="57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本协议一式</w:t>
      </w:r>
      <w:r>
        <w:rPr>
          <w:rFonts w:hint="eastAsia" w:ascii="仿宋" w:hAnsi="仿宋" w:eastAsia="仿宋" w:cs="仿宋"/>
          <w:color w:val="auto"/>
          <w:sz w:val="28"/>
          <w:szCs w:val="28"/>
          <w:highlight w:val="none"/>
          <w:u w:val="single"/>
        </w:rPr>
        <w:t>伍</w:t>
      </w:r>
      <w:r>
        <w:rPr>
          <w:rFonts w:hint="eastAsia" w:ascii="仿宋" w:hAnsi="仿宋" w:eastAsia="仿宋" w:cs="仿宋"/>
          <w:color w:val="auto"/>
          <w:sz w:val="28"/>
          <w:szCs w:val="28"/>
          <w:highlight w:val="none"/>
        </w:rPr>
        <w:t>份，甲方执</w:t>
      </w:r>
      <w:r>
        <w:rPr>
          <w:rFonts w:hint="eastAsia" w:ascii="仿宋" w:hAnsi="仿宋" w:eastAsia="仿宋" w:cs="仿宋"/>
          <w:color w:val="auto"/>
          <w:sz w:val="28"/>
          <w:szCs w:val="28"/>
          <w:highlight w:val="none"/>
          <w:u w:val="single"/>
        </w:rPr>
        <w:t>叁</w:t>
      </w:r>
      <w:r>
        <w:rPr>
          <w:rFonts w:hint="eastAsia" w:ascii="仿宋" w:hAnsi="仿宋" w:eastAsia="仿宋" w:cs="仿宋"/>
          <w:color w:val="auto"/>
          <w:sz w:val="28"/>
          <w:szCs w:val="28"/>
          <w:highlight w:val="none"/>
        </w:rPr>
        <w:t>份，乙方执</w:t>
      </w:r>
      <w:r>
        <w:rPr>
          <w:rFonts w:hint="eastAsia" w:ascii="仿宋" w:hAnsi="仿宋" w:eastAsia="仿宋" w:cs="仿宋"/>
          <w:color w:val="auto"/>
          <w:sz w:val="28"/>
          <w:szCs w:val="28"/>
          <w:highlight w:val="none"/>
          <w:u w:val="single"/>
        </w:rPr>
        <w:t>贰</w:t>
      </w:r>
      <w:r>
        <w:rPr>
          <w:rFonts w:hint="eastAsia" w:ascii="仿宋" w:hAnsi="仿宋" w:eastAsia="仿宋" w:cs="仿宋"/>
          <w:color w:val="auto"/>
          <w:sz w:val="28"/>
          <w:szCs w:val="28"/>
          <w:highlight w:val="none"/>
        </w:rPr>
        <w:t>份。本协议自双方签订之日起生效。</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（以下无正文）</w:t>
      </w:r>
    </w:p>
    <w:p>
      <w:pPr>
        <w:spacing w:line="500" w:lineRule="exact"/>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附件：1</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广东省物价局、司法厅律师服务收费管理实施办法</w:t>
      </w:r>
    </w:p>
    <w:p>
      <w:pPr>
        <w:spacing w:line="500" w:lineRule="exact"/>
        <w:ind w:left="84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2</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验收报告</w:t>
      </w:r>
    </w:p>
    <w:p>
      <w:pPr>
        <w:spacing w:line="500" w:lineRule="exact"/>
        <w:ind w:left="840"/>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3</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廉洁协议</w:t>
      </w:r>
    </w:p>
    <w:p>
      <w:pPr>
        <w:spacing w:line="500" w:lineRule="exact"/>
        <w:ind w:left="84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w:t>
      </w:r>
      <w:r>
        <w:rPr>
          <w:rFonts w:ascii="仿宋" w:hAnsi="仿宋" w:eastAsia="仿宋" w:cs="仿宋"/>
          <w:color w:val="auto"/>
          <w:sz w:val="28"/>
          <w:szCs w:val="28"/>
          <w:highlight w:val="none"/>
        </w:rPr>
        <w:t>.</w:t>
      </w:r>
      <w:r>
        <w:rPr>
          <w:rFonts w:hint="eastAsia" w:ascii="仿宋" w:hAnsi="仿宋" w:eastAsia="仿宋" w:cs="仿宋"/>
          <w:color w:val="auto"/>
          <w:sz w:val="28"/>
          <w:szCs w:val="28"/>
          <w:highlight w:val="none"/>
        </w:rPr>
        <w:t>不诚信行为的情形及相应被暂停参与投标活动的处理标准</w:t>
      </w:r>
    </w:p>
    <w:p>
      <w:pPr>
        <w:spacing w:line="500" w:lineRule="exact"/>
        <w:jc w:val="left"/>
        <w:rPr>
          <w:rFonts w:ascii="仿宋" w:hAnsi="仿宋" w:eastAsia="仿宋" w:cs="仿宋"/>
          <w:color w:val="auto"/>
          <w:sz w:val="28"/>
          <w:szCs w:val="28"/>
          <w:highlight w:val="none"/>
        </w:rPr>
      </w:pPr>
    </w:p>
    <w:p>
      <w:pPr>
        <w:spacing w:line="500" w:lineRule="exact"/>
        <w:jc w:val="left"/>
        <w:rPr>
          <w:rFonts w:hint="eastAsia" w:ascii="仿宋" w:hAnsi="仿宋" w:eastAsia="仿宋" w:cs="仿宋"/>
          <w:color w:val="auto"/>
          <w:sz w:val="28"/>
          <w:szCs w:val="28"/>
          <w:highlight w:val="none"/>
        </w:rPr>
      </w:pPr>
    </w:p>
    <w:p>
      <w:pPr>
        <w:spacing w:line="500" w:lineRule="exact"/>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甲方：广州市净水有限公司                      （盖章）                             </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签约代表：</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（签名）</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签署时间：    年    月   日</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p>
    <w:p>
      <w:pPr>
        <w:spacing w:line="500" w:lineRule="exact"/>
        <w:rPr>
          <w:rFonts w:hint="eastAsia" w:ascii="仿宋" w:hAnsi="仿宋" w:eastAsia="仿宋" w:cs="仿宋"/>
          <w:color w:val="auto"/>
          <w:sz w:val="28"/>
          <w:szCs w:val="28"/>
          <w:highlight w:val="none"/>
        </w:rPr>
      </w:pP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乙方：广东合富律师事务所                      （盖章）</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签约代表：                                    （签名）                         </w:t>
      </w:r>
    </w:p>
    <w:p>
      <w:pPr>
        <w:spacing w:line="50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签署时间：    年    月   日</w:t>
      </w:r>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rPr>
          <w:color w:val="auto"/>
          <w:highlight w:val="none"/>
        </w:rPr>
        <w:sectPr>
          <w:headerReference r:id="rId3" w:type="default"/>
          <w:footerReference r:id="rId4" w:type="default"/>
          <w:footerReference r:id="rId5" w:type="even"/>
          <w:pgSz w:w="11906" w:h="16838"/>
          <w:pgMar w:top="1440" w:right="1646" w:bottom="1440" w:left="1800" w:header="851" w:footer="992" w:gutter="0"/>
          <w:pgNumType w:start="0"/>
          <w:cols w:space="720" w:num="1"/>
          <w:titlePg/>
          <w:docGrid w:type="lines" w:linePitch="312" w:charSpace="0"/>
        </w:sectPr>
      </w:pPr>
    </w:p>
    <w:p>
      <w:pPr>
        <w:jc w:val="left"/>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附件</w:t>
      </w:r>
      <w:r>
        <w:rPr>
          <w:rFonts w:hint="eastAsia" w:ascii="黑体" w:hAnsi="黑体" w:eastAsia="黑体"/>
          <w:color w:val="auto"/>
          <w:sz w:val="32"/>
          <w:szCs w:val="32"/>
          <w:highlight w:val="none"/>
          <w:lang w:val="en-US" w:eastAsia="zh-CN"/>
        </w:rPr>
        <w:t>2</w:t>
      </w:r>
    </w:p>
    <w:p>
      <w:pPr>
        <w:jc w:val="center"/>
        <w:rPr>
          <w:rFonts w:hint="eastAsia"/>
          <w:color w:val="auto"/>
          <w:sz w:val="36"/>
          <w:szCs w:val="36"/>
          <w:highlight w:val="none"/>
        </w:rPr>
      </w:pPr>
      <w:r>
        <w:rPr>
          <w:rFonts w:hint="eastAsia"/>
          <w:color w:val="auto"/>
          <w:sz w:val="36"/>
          <w:szCs w:val="36"/>
          <w:highlight w:val="none"/>
        </w:rPr>
        <w:t>广州市净水有限公司专项法律服务</w:t>
      </w:r>
    </w:p>
    <w:p>
      <w:pPr>
        <w:rPr>
          <w:rFonts w:hint="eastAsia"/>
          <w:color w:val="auto"/>
          <w:sz w:val="44"/>
          <w:szCs w:val="44"/>
          <w:highlight w:val="none"/>
        </w:rPr>
      </w:pPr>
    </w:p>
    <w:p>
      <w:pPr>
        <w:jc w:val="center"/>
        <w:rPr>
          <w:rFonts w:hint="eastAsia" w:ascii="黑体" w:eastAsia="黑体"/>
          <w:color w:val="auto"/>
          <w:sz w:val="72"/>
          <w:szCs w:val="72"/>
          <w:highlight w:val="none"/>
        </w:rPr>
      </w:pPr>
      <w:r>
        <w:rPr>
          <w:rFonts w:hint="eastAsia" w:ascii="黑体" w:eastAsia="黑体"/>
          <w:color w:val="auto"/>
          <w:sz w:val="72"/>
          <w:szCs w:val="72"/>
          <w:highlight w:val="none"/>
        </w:rPr>
        <w:t>验收报告</w:t>
      </w:r>
    </w:p>
    <w:p>
      <w:pPr>
        <w:rPr>
          <w:rFonts w:hint="eastAsia" w:ascii="宋体" w:hAnsi="宋体"/>
          <w:b/>
          <w:color w:val="auto"/>
          <w:sz w:val="44"/>
          <w:szCs w:val="44"/>
          <w:highlight w:val="none"/>
        </w:rPr>
      </w:pPr>
    </w:p>
    <w:p>
      <w:pPr>
        <w:rPr>
          <w:rFonts w:hint="eastAsia" w:ascii="宋体" w:hAnsi="宋体"/>
          <w:b/>
          <w:color w:val="auto"/>
          <w:sz w:val="44"/>
          <w:szCs w:val="44"/>
          <w:highlight w:val="none"/>
        </w:rPr>
      </w:pPr>
    </w:p>
    <w:p>
      <w:pPr>
        <w:rPr>
          <w:rFonts w:hint="eastAsia" w:ascii="宋体" w:hAnsi="宋体"/>
          <w:b/>
          <w:color w:val="auto"/>
          <w:sz w:val="44"/>
          <w:szCs w:val="44"/>
          <w:highlight w:val="none"/>
        </w:rPr>
      </w:pPr>
    </w:p>
    <w:p>
      <w:pPr>
        <w:rPr>
          <w:rFonts w:hint="eastAsia" w:ascii="宋体" w:hAnsi="宋体"/>
          <w:b/>
          <w:color w:val="auto"/>
          <w:sz w:val="44"/>
          <w:szCs w:val="44"/>
          <w:highlight w:val="none"/>
        </w:rPr>
      </w:pPr>
    </w:p>
    <w:p>
      <w:pPr>
        <w:rPr>
          <w:rFonts w:hint="eastAsia" w:ascii="宋体" w:hAnsi="宋体"/>
          <w:b/>
          <w:color w:val="auto"/>
          <w:sz w:val="44"/>
          <w:szCs w:val="44"/>
          <w:highlight w:val="none"/>
        </w:rPr>
      </w:pPr>
    </w:p>
    <w:p>
      <w:pPr>
        <w:rPr>
          <w:rFonts w:hint="eastAsia" w:ascii="宋体" w:hAnsi="宋体"/>
          <w:b/>
          <w:color w:val="auto"/>
          <w:sz w:val="44"/>
          <w:szCs w:val="44"/>
          <w:highlight w:val="none"/>
        </w:rPr>
      </w:pPr>
    </w:p>
    <w:p>
      <w:pPr>
        <w:rPr>
          <w:rFonts w:hint="eastAsia" w:ascii="宋体" w:hAnsi="宋体"/>
          <w:b/>
          <w:color w:val="auto"/>
          <w:sz w:val="44"/>
          <w:szCs w:val="44"/>
          <w:highlight w:val="none"/>
        </w:rPr>
      </w:pPr>
    </w:p>
    <w:p>
      <w:pPr>
        <w:pStyle w:val="46"/>
        <w:ind w:left="0" w:right="622"/>
        <w:jc w:val="both"/>
        <w:rPr>
          <w:rFonts w:hint="eastAsia" w:ascii="宋体" w:hAnsi="宋体"/>
          <w:b/>
          <w:color w:val="auto"/>
          <w:szCs w:val="24"/>
          <w:highlight w:val="none"/>
          <w:u w:val="single"/>
        </w:rPr>
      </w:pPr>
      <w:r>
        <w:rPr>
          <w:rFonts w:hint="eastAsia" w:ascii="宋体" w:hAnsi="宋体"/>
          <w:b/>
          <w:color w:val="auto"/>
          <w:sz w:val="28"/>
          <w:szCs w:val="28"/>
          <w:highlight w:val="none"/>
        </w:rPr>
        <w:t>项目名称：</w:t>
      </w:r>
      <w:r>
        <w:rPr>
          <w:rFonts w:hint="eastAsia" w:ascii="宋体" w:hAnsi="宋体"/>
          <w:b/>
          <w:color w:val="auto"/>
          <w:szCs w:val="24"/>
          <w:highlight w:val="none"/>
          <w:u w:val="single"/>
        </w:rPr>
        <w:t xml:space="preserve">                      </w:t>
      </w:r>
    </w:p>
    <w:p>
      <w:pPr>
        <w:rPr>
          <w:rFonts w:hint="eastAsia" w:ascii="宋体" w:hAnsi="宋体"/>
          <w:color w:val="auto"/>
          <w:sz w:val="28"/>
          <w:szCs w:val="28"/>
          <w:highlight w:val="none"/>
          <w:u w:val="single"/>
        </w:rPr>
      </w:pPr>
      <w:r>
        <w:rPr>
          <w:rFonts w:hint="eastAsia" w:ascii="宋体" w:hAnsi="宋体"/>
          <w:b/>
          <w:color w:val="auto"/>
          <w:sz w:val="28"/>
          <w:szCs w:val="28"/>
          <w:highlight w:val="none"/>
        </w:rPr>
        <w:t>验收日期：</w:t>
      </w:r>
      <w:r>
        <w:rPr>
          <w:rFonts w:hint="eastAsia" w:ascii="宋体" w:hAnsi="宋体"/>
          <w:color w:val="auto"/>
          <w:sz w:val="28"/>
          <w:szCs w:val="28"/>
          <w:highlight w:val="none"/>
          <w:u w:val="single"/>
        </w:rPr>
        <w:t xml:space="preserve">       </w:t>
      </w:r>
      <w:r>
        <w:rPr>
          <w:rFonts w:hint="eastAsia" w:ascii="宋体" w:hAnsi="宋体"/>
          <w:b/>
          <w:color w:val="auto"/>
          <w:kern w:val="0"/>
          <w:sz w:val="24"/>
          <w:highlight w:val="none"/>
          <w:u w:val="single"/>
        </w:rPr>
        <w:t>年   月   日</w:t>
      </w:r>
      <w:r>
        <w:rPr>
          <w:rFonts w:hint="eastAsia" w:ascii="宋体" w:hAnsi="宋体"/>
          <w:color w:val="auto"/>
          <w:sz w:val="28"/>
          <w:szCs w:val="28"/>
          <w:highlight w:val="none"/>
          <w:u w:val="single"/>
        </w:rPr>
        <w:t xml:space="preserve">  </w:t>
      </w:r>
    </w:p>
    <w:p>
      <w:pPr>
        <w:rPr>
          <w:rFonts w:hint="eastAsia" w:ascii="宋体" w:hAnsi="宋体"/>
          <w:color w:val="auto"/>
          <w:sz w:val="28"/>
          <w:szCs w:val="28"/>
          <w:highlight w:val="none"/>
          <w:u w:val="single"/>
        </w:rPr>
      </w:pPr>
    </w:p>
    <w:p>
      <w:pPr>
        <w:rPr>
          <w:rFonts w:hint="eastAsia" w:ascii="宋体" w:hAnsi="宋体"/>
          <w:color w:val="auto"/>
          <w:sz w:val="28"/>
          <w:szCs w:val="28"/>
          <w:highlight w:val="none"/>
          <w:u w:val="single"/>
        </w:rPr>
      </w:pPr>
    </w:p>
    <w:p>
      <w:pPr>
        <w:rPr>
          <w:rFonts w:hint="eastAsia" w:ascii="宋体" w:hAnsi="宋体"/>
          <w:b/>
          <w:color w:val="auto"/>
          <w:sz w:val="28"/>
          <w:szCs w:val="28"/>
          <w:highlight w:val="none"/>
        </w:rPr>
      </w:pPr>
    </w:p>
    <w:p>
      <w:pPr>
        <w:rPr>
          <w:rFonts w:hint="eastAsia" w:ascii="宋体" w:hAnsi="宋体"/>
          <w:b/>
          <w:color w:val="auto"/>
          <w:sz w:val="32"/>
          <w:szCs w:val="32"/>
          <w:highlight w:val="none"/>
        </w:rPr>
      </w:pPr>
      <w:r>
        <w:rPr>
          <w:rFonts w:hint="eastAsia" w:ascii="宋体" w:hAnsi="宋体"/>
          <w:b/>
          <w:color w:val="auto"/>
          <w:sz w:val="28"/>
          <w:szCs w:val="28"/>
          <w:highlight w:val="none"/>
        </w:rPr>
        <w:t>经办部室/单位（盖章）：</w:t>
      </w:r>
      <w:r>
        <w:rPr>
          <w:rFonts w:hint="eastAsia" w:ascii="宋体" w:hAnsi="宋体"/>
          <w:b/>
          <w:color w:val="auto"/>
          <w:sz w:val="28"/>
          <w:szCs w:val="28"/>
          <w:highlight w:val="none"/>
          <w:u w:val="single"/>
        </w:rPr>
        <w:t xml:space="preserve">                       </w:t>
      </w:r>
      <w:r>
        <w:rPr>
          <w:rFonts w:hint="eastAsia" w:ascii="宋体" w:hAnsi="宋体" w:cs="宋体"/>
          <w:color w:val="auto"/>
          <w:kern w:val="0"/>
          <w:sz w:val="28"/>
          <w:szCs w:val="28"/>
          <w:highlight w:val="none"/>
          <w:u w:val="single"/>
        </w:rPr>
        <w:t xml:space="preserve"> </w:t>
      </w:r>
      <w:r>
        <w:rPr>
          <w:rFonts w:hint="eastAsia" w:ascii="宋体" w:hAnsi="宋体"/>
          <w:b/>
          <w:color w:val="auto"/>
          <w:sz w:val="24"/>
          <w:highlight w:val="none"/>
          <w:u w:val="single"/>
        </w:rPr>
        <w:t xml:space="preserve">  </w:t>
      </w: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28"/>
          <w:szCs w:val="28"/>
          <w:highlight w:val="none"/>
        </w:rPr>
      </w:pPr>
    </w:p>
    <w:p>
      <w:pPr>
        <w:rPr>
          <w:rFonts w:hint="eastAsia" w:ascii="宋体" w:hAnsi="宋体"/>
          <w:b/>
          <w:color w:val="auto"/>
          <w:sz w:val="32"/>
          <w:szCs w:val="32"/>
          <w:highlight w:val="none"/>
          <w:u w:val="single"/>
        </w:rPr>
      </w:pPr>
      <w:r>
        <w:rPr>
          <w:rFonts w:hint="eastAsia" w:ascii="宋体" w:hAnsi="宋体"/>
          <w:b/>
          <w:color w:val="auto"/>
          <w:sz w:val="28"/>
          <w:szCs w:val="28"/>
          <w:highlight w:val="none"/>
        </w:rPr>
        <w:t>服务单位（盖章）：</w:t>
      </w:r>
      <w:r>
        <w:rPr>
          <w:rFonts w:hint="eastAsia" w:ascii="宋体" w:hAnsi="宋体"/>
          <w:b/>
          <w:color w:val="auto"/>
          <w:sz w:val="28"/>
          <w:szCs w:val="28"/>
          <w:highlight w:val="none"/>
          <w:u w:val="single"/>
        </w:rPr>
        <w:t xml:space="preserve"> </w:t>
      </w:r>
      <w:r>
        <w:rPr>
          <w:rFonts w:hint="eastAsia" w:ascii="宋体" w:hAnsi="宋体"/>
          <w:b/>
          <w:color w:val="auto"/>
          <w:sz w:val="24"/>
          <w:highlight w:val="none"/>
          <w:u w:val="single"/>
        </w:rPr>
        <w:t xml:space="preserve">   </w:t>
      </w:r>
      <w:r>
        <w:rPr>
          <w:rFonts w:hint="eastAsia" w:ascii="宋体" w:hAnsi="宋体" w:cs="宋体"/>
          <w:color w:val="auto"/>
          <w:kern w:val="0"/>
          <w:sz w:val="28"/>
          <w:szCs w:val="28"/>
          <w:highlight w:val="none"/>
          <w:u w:val="single"/>
        </w:rPr>
        <w:t xml:space="preserve">                          </w:t>
      </w:r>
      <w:r>
        <w:rPr>
          <w:rFonts w:hint="eastAsia" w:ascii="宋体" w:hAnsi="宋体"/>
          <w:b/>
          <w:color w:val="auto"/>
          <w:sz w:val="24"/>
          <w:highlight w:val="none"/>
          <w:u w:val="single"/>
        </w:rPr>
        <w:t xml:space="preserve">  </w:t>
      </w:r>
    </w:p>
    <w:p>
      <w:pPr>
        <w:spacing w:line="300" w:lineRule="exact"/>
        <w:rPr>
          <w:rFonts w:hint="eastAsia" w:ascii="黑体" w:hAnsi="宋体" w:eastAsia="黑体"/>
          <w:color w:val="auto"/>
          <w:sz w:val="32"/>
          <w:szCs w:val="32"/>
          <w:highlight w:val="none"/>
        </w:rPr>
      </w:pPr>
    </w:p>
    <w:p>
      <w:pPr>
        <w:spacing w:line="300" w:lineRule="exact"/>
        <w:rPr>
          <w:rFonts w:hint="eastAsia" w:ascii="黑体" w:hAnsi="宋体" w:eastAsia="黑体"/>
          <w:color w:val="auto"/>
          <w:sz w:val="32"/>
          <w:szCs w:val="32"/>
          <w:highlight w:val="none"/>
        </w:rPr>
      </w:pPr>
    </w:p>
    <w:p>
      <w:pPr>
        <w:spacing w:line="300" w:lineRule="exact"/>
        <w:rPr>
          <w:rFonts w:hint="eastAsia" w:ascii="黑体" w:hAnsi="宋体" w:eastAsia="黑体"/>
          <w:color w:val="auto"/>
          <w:sz w:val="32"/>
          <w:szCs w:val="32"/>
          <w:highlight w:val="none"/>
        </w:rPr>
      </w:pPr>
      <w:r>
        <w:rPr>
          <w:rFonts w:hint="eastAsia" w:ascii="黑体" w:hAnsi="宋体" w:eastAsia="黑体"/>
          <w:color w:val="auto"/>
          <w:sz w:val="32"/>
          <w:szCs w:val="32"/>
          <w:highlight w:val="none"/>
        </w:rPr>
        <w:t>一、概况</w:t>
      </w:r>
    </w:p>
    <w:p>
      <w:pPr>
        <w:spacing w:line="300" w:lineRule="exact"/>
        <w:rPr>
          <w:rFonts w:hint="eastAsia" w:ascii="黑体" w:hAnsi="宋体" w:eastAsia="黑体"/>
          <w:color w:val="auto"/>
          <w:sz w:val="32"/>
          <w:szCs w:val="32"/>
          <w:highlight w:val="none"/>
        </w:rPr>
      </w:pP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4"/>
        <w:gridCol w:w="3295"/>
        <w:gridCol w:w="1681"/>
        <w:gridCol w:w="2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1604" w:type="dxa"/>
            <w:noWrap w:val="0"/>
            <w:vAlign w:val="center"/>
          </w:tcPr>
          <w:p>
            <w:pPr>
              <w:spacing w:line="600" w:lineRule="exact"/>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3295" w:type="dxa"/>
            <w:noWrap w:val="0"/>
            <w:vAlign w:val="center"/>
          </w:tcPr>
          <w:p>
            <w:pPr>
              <w:jc w:val="center"/>
              <w:rPr>
                <w:rFonts w:hint="eastAsia" w:ascii="宋体" w:hAnsi="宋体"/>
                <w:color w:val="auto"/>
                <w:szCs w:val="21"/>
                <w:highlight w:val="none"/>
              </w:rPr>
            </w:pPr>
          </w:p>
        </w:tc>
        <w:tc>
          <w:tcPr>
            <w:tcW w:w="1681" w:type="dxa"/>
            <w:noWrap w:val="0"/>
            <w:vAlign w:val="center"/>
          </w:tcPr>
          <w:p>
            <w:pPr>
              <w:spacing w:line="600" w:lineRule="exact"/>
              <w:jc w:val="center"/>
              <w:rPr>
                <w:rFonts w:hint="eastAsia" w:ascii="宋体" w:hAnsi="宋体"/>
                <w:color w:val="auto"/>
                <w:szCs w:val="21"/>
                <w:highlight w:val="none"/>
              </w:rPr>
            </w:pPr>
          </w:p>
        </w:tc>
        <w:tc>
          <w:tcPr>
            <w:tcW w:w="270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1604" w:type="dxa"/>
            <w:noWrap w:val="0"/>
            <w:vAlign w:val="center"/>
          </w:tcPr>
          <w:p>
            <w:pPr>
              <w:spacing w:line="600" w:lineRule="exact"/>
              <w:jc w:val="center"/>
              <w:rPr>
                <w:rFonts w:hint="eastAsia" w:ascii="宋体" w:hAnsi="宋体"/>
                <w:color w:val="auto"/>
                <w:szCs w:val="21"/>
                <w:highlight w:val="none"/>
              </w:rPr>
            </w:pPr>
            <w:r>
              <w:rPr>
                <w:rFonts w:hint="eastAsia" w:ascii="宋体" w:hAnsi="宋体"/>
                <w:color w:val="auto"/>
                <w:szCs w:val="21"/>
                <w:highlight w:val="none"/>
              </w:rPr>
              <w:t>合同编号</w:t>
            </w:r>
          </w:p>
        </w:tc>
        <w:tc>
          <w:tcPr>
            <w:tcW w:w="3295" w:type="dxa"/>
            <w:noWrap w:val="0"/>
            <w:vAlign w:val="center"/>
          </w:tcPr>
          <w:p>
            <w:pPr>
              <w:jc w:val="center"/>
              <w:rPr>
                <w:rFonts w:hint="eastAsia" w:ascii="宋体" w:hAnsi="宋体"/>
                <w:color w:val="auto"/>
                <w:szCs w:val="21"/>
                <w:highlight w:val="none"/>
              </w:rPr>
            </w:pPr>
            <w:r>
              <w:rPr>
                <w:rFonts w:hint="eastAsia"/>
                <w:color w:val="auto"/>
                <w:sz w:val="24"/>
                <w:highlight w:val="none"/>
              </w:rPr>
              <w:t xml:space="preserve"> </w:t>
            </w:r>
          </w:p>
        </w:tc>
        <w:tc>
          <w:tcPr>
            <w:tcW w:w="1681" w:type="dxa"/>
            <w:noWrap w:val="0"/>
            <w:vAlign w:val="center"/>
          </w:tcPr>
          <w:p>
            <w:pPr>
              <w:spacing w:line="600" w:lineRule="exact"/>
              <w:jc w:val="center"/>
              <w:rPr>
                <w:rFonts w:hint="eastAsia" w:ascii="宋体" w:hAnsi="宋体"/>
                <w:color w:val="auto"/>
                <w:szCs w:val="21"/>
                <w:highlight w:val="none"/>
              </w:rPr>
            </w:pPr>
            <w:r>
              <w:rPr>
                <w:rFonts w:hint="eastAsia" w:ascii="宋体" w:hAnsi="宋体"/>
                <w:color w:val="auto"/>
                <w:szCs w:val="21"/>
                <w:highlight w:val="none"/>
              </w:rPr>
              <w:t>合同价</w:t>
            </w:r>
          </w:p>
        </w:tc>
        <w:tc>
          <w:tcPr>
            <w:tcW w:w="2708" w:type="dxa"/>
            <w:noWrap w:val="0"/>
            <w:vAlign w:val="center"/>
          </w:tcPr>
          <w:p>
            <w:pPr>
              <w:jc w:val="center"/>
              <w:rPr>
                <w:rFonts w:hint="eastAsia" w:ascii="宋体" w:hAnsi="宋体"/>
                <w:color w:val="auto"/>
                <w:szCs w:val="21"/>
                <w:highlight w:val="none"/>
              </w:rPr>
            </w:pPr>
            <w:r>
              <w:rPr>
                <w:color w:val="auto"/>
                <w:sz w:val="24"/>
                <w:highlight w:val="none"/>
              </w:rPr>
              <w:t>¥</w:t>
            </w:r>
            <w:r>
              <w:rPr>
                <w:rFonts w:hint="eastAsia"/>
                <w:color w:val="auto"/>
                <w:sz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604"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开工日期</w:t>
            </w:r>
          </w:p>
        </w:tc>
        <w:tc>
          <w:tcPr>
            <w:tcW w:w="3295"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c>
          <w:tcPr>
            <w:tcW w:w="1681"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完工日期</w:t>
            </w:r>
          </w:p>
        </w:tc>
        <w:tc>
          <w:tcPr>
            <w:tcW w:w="2708"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1604"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经办部室</w:t>
            </w:r>
          </w:p>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（单位）</w:t>
            </w:r>
          </w:p>
        </w:tc>
        <w:tc>
          <w:tcPr>
            <w:tcW w:w="3295" w:type="dxa"/>
            <w:noWrap w:val="0"/>
            <w:vAlign w:val="center"/>
          </w:tcPr>
          <w:p>
            <w:pPr>
              <w:jc w:val="center"/>
              <w:rPr>
                <w:rFonts w:hint="eastAsia" w:ascii="宋体" w:hAnsi="宋体"/>
                <w:color w:val="auto"/>
                <w:szCs w:val="21"/>
                <w:highlight w:val="none"/>
              </w:rPr>
            </w:pPr>
          </w:p>
        </w:tc>
        <w:tc>
          <w:tcPr>
            <w:tcW w:w="1681"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经办部室（单位）项目负责人</w:t>
            </w:r>
          </w:p>
        </w:tc>
        <w:tc>
          <w:tcPr>
            <w:tcW w:w="2708" w:type="dxa"/>
            <w:noWrap w:val="0"/>
            <w:vAlign w:val="center"/>
          </w:tcPr>
          <w:p>
            <w:pPr>
              <w:jc w:val="center"/>
              <w:rPr>
                <w:rFonts w:hint="eastAsia"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604"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服务单位</w:t>
            </w:r>
          </w:p>
        </w:tc>
        <w:tc>
          <w:tcPr>
            <w:tcW w:w="3295" w:type="dxa"/>
            <w:noWrap w:val="0"/>
            <w:vAlign w:val="center"/>
          </w:tcPr>
          <w:p>
            <w:pPr>
              <w:jc w:val="center"/>
              <w:rPr>
                <w:rFonts w:hint="eastAsia" w:ascii="宋体" w:hAnsi="宋体"/>
                <w:color w:val="auto"/>
                <w:szCs w:val="21"/>
                <w:highlight w:val="none"/>
              </w:rPr>
            </w:pPr>
          </w:p>
        </w:tc>
        <w:tc>
          <w:tcPr>
            <w:tcW w:w="1681" w:type="dxa"/>
            <w:noWrap w:val="0"/>
            <w:vAlign w:val="center"/>
          </w:tcPr>
          <w:p>
            <w:pPr>
              <w:jc w:val="center"/>
              <w:rPr>
                <w:rFonts w:hint="eastAsia" w:ascii="宋体" w:hAnsi="宋体"/>
                <w:color w:val="auto"/>
                <w:szCs w:val="21"/>
                <w:highlight w:val="none"/>
              </w:rPr>
            </w:pPr>
            <w:r>
              <w:rPr>
                <w:rFonts w:hint="eastAsia" w:ascii="宋体" w:hAnsi="宋体"/>
                <w:color w:val="auto"/>
                <w:szCs w:val="21"/>
                <w:highlight w:val="none"/>
              </w:rPr>
              <w:t>服务单位项目负责人</w:t>
            </w:r>
          </w:p>
        </w:tc>
        <w:tc>
          <w:tcPr>
            <w:tcW w:w="2708" w:type="dxa"/>
            <w:noWrap w:val="0"/>
            <w:vAlign w:val="center"/>
          </w:tcPr>
          <w:p>
            <w:pPr>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1604" w:type="dxa"/>
            <w:noWrap w:val="0"/>
            <w:vAlign w:val="center"/>
          </w:tcPr>
          <w:p>
            <w:pPr>
              <w:spacing w:line="360" w:lineRule="exact"/>
              <w:jc w:val="center"/>
              <w:rPr>
                <w:rFonts w:hint="eastAsia" w:ascii="宋体" w:hAnsi="宋体"/>
                <w:color w:val="auto"/>
                <w:szCs w:val="21"/>
                <w:highlight w:val="none"/>
              </w:rPr>
            </w:pPr>
            <w:r>
              <w:rPr>
                <w:rFonts w:hint="eastAsia" w:ascii="宋体" w:hAnsi="宋体"/>
                <w:color w:val="auto"/>
                <w:szCs w:val="21"/>
                <w:highlight w:val="none"/>
              </w:rPr>
              <w:t>服务内容</w:t>
            </w:r>
          </w:p>
        </w:tc>
        <w:tc>
          <w:tcPr>
            <w:tcW w:w="7684" w:type="dxa"/>
            <w:gridSpan w:val="3"/>
            <w:noWrap w:val="0"/>
            <w:vAlign w:val="center"/>
          </w:tcPr>
          <w:p>
            <w:pPr>
              <w:rPr>
                <w:rFonts w:hint="eastAsia" w:ascii="宋体" w:hAnsi="宋体"/>
                <w:color w:val="auto"/>
                <w:szCs w:val="21"/>
                <w:highlight w:val="none"/>
              </w:rPr>
            </w:pPr>
          </w:p>
        </w:tc>
      </w:tr>
    </w:tbl>
    <w:p>
      <w:pPr>
        <w:rPr>
          <w:rFonts w:hint="eastAsia" w:ascii="黑体" w:hAnsi="宋体" w:eastAsia="黑体"/>
          <w:color w:val="auto"/>
          <w:sz w:val="32"/>
          <w:szCs w:val="32"/>
          <w:highlight w:val="none"/>
        </w:rPr>
      </w:pPr>
    </w:p>
    <w:p>
      <w:pPr>
        <w:rPr>
          <w:rFonts w:hint="eastAsia" w:ascii="黑体" w:hAnsi="宋体" w:eastAsia="黑体"/>
          <w:color w:val="auto"/>
          <w:sz w:val="32"/>
          <w:szCs w:val="32"/>
          <w:highlight w:val="none"/>
        </w:rPr>
      </w:pPr>
      <w:r>
        <w:rPr>
          <w:rFonts w:hint="eastAsia" w:ascii="黑体" w:hAnsi="宋体" w:eastAsia="黑体"/>
          <w:color w:val="auto"/>
          <w:sz w:val="32"/>
          <w:szCs w:val="32"/>
          <w:highlight w:val="none"/>
        </w:rPr>
        <w:t>二、验收组成员签名</w:t>
      </w:r>
    </w:p>
    <w:tbl>
      <w:tblPr>
        <w:tblStyle w:val="23"/>
        <w:tblW w:w="9266"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1640"/>
        <w:gridCol w:w="3519"/>
        <w:gridCol w:w="1500"/>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spacing w:line="6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序号</w:t>
            </w:r>
          </w:p>
        </w:tc>
        <w:tc>
          <w:tcPr>
            <w:tcW w:w="1640" w:type="dxa"/>
            <w:noWrap w:val="0"/>
            <w:vAlign w:val="center"/>
          </w:tcPr>
          <w:p>
            <w:pPr>
              <w:spacing w:line="6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姓名</w:t>
            </w:r>
          </w:p>
        </w:tc>
        <w:tc>
          <w:tcPr>
            <w:tcW w:w="3519" w:type="dxa"/>
            <w:noWrap w:val="0"/>
            <w:vAlign w:val="center"/>
          </w:tcPr>
          <w:p>
            <w:pPr>
              <w:spacing w:line="600" w:lineRule="exact"/>
              <w:jc w:val="center"/>
              <w:rPr>
                <w:rFonts w:hint="eastAsia" w:ascii="宋体" w:hAnsi="宋体"/>
                <w:color w:val="auto"/>
                <w:sz w:val="28"/>
                <w:szCs w:val="28"/>
                <w:highlight w:val="none"/>
              </w:rPr>
            </w:pPr>
            <w:r>
              <w:rPr>
                <w:rFonts w:hint="eastAsia" w:ascii="宋体" w:hAnsi="宋体"/>
                <w:color w:val="auto"/>
                <w:sz w:val="28"/>
                <w:szCs w:val="28"/>
                <w:highlight w:val="none"/>
              </w:rPr>
              <w:t>工作单位</w:t>
            </w:r>
          </w:p>
        </w:tc>
        <w:tc>
          <w:tcPr>
            <w:tcW w:w="1500" w:type="dxa"/>
            <w:noWrap w:val="0"/>
            <w:vAlign w:val="center"/>
          </w:tcPr>
          <w:p>
            <w:pPr>
              <w:spacing w:line="6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联系方式</w:t>
            </w:r>
          </w:p>
        </w:tc>
        <w:tc>
          <w:tcPr>
            <w:tcW w:w="1794" w:type="dxa"/>
            <w:noWrap w:val="0"/>
            <w:vAlign w:val="center"/>
          </w:tcPr>
          <w:p>
            <w:pPr>
              <w:spacing w:line="300" w:lineRule="exact"/>
              <w:jc w:val="center"/>
              <w:rPr>
                <w:rFonts w:hint="eastAsia" w:ascii="宋体" w:hAnsi="宋体"/>
                <w:color w:val="auto"/>
                <w:sz w:val="28"/>
                <w:szCs w:val="28"/>
                <w:highlight w:val="none"/>
              </w:rPr>
            </w:pPr>
            <w:r>
              <w:rPr>
                <w:rFonts w:hint="eastAsia" w:ascii="宋体" w:hAnsi="宋体"/>
                <w:color w:val="auto"/>
                <w:sz w:val="28"/>
                <w:szCs w:val="28"/>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spacing w:line="600" w:lineRule="exact"/>
              <w:jc w:val="center"/>
              <w:rPr>
                <w:rFonts w:hint="eastAsia" w:ascii="宋体" w:hAnsi="宋体"/>
                <w:color w:val="auto"/>
                <w:sz w:val="28"/>
                <w:szCs w:val="28"/>
                <w:highlight w:val="none"/>
              </w:rPr>
            </w:pPr>
          </w:p>
        </w:tc>
        <w:tc>
          <w:tcPr>
            <w:tcW w:w="1640" w:type="dxa"/>
            <w:noWrap w:val="0"/>
            <w:vAlign w:val="center"/>
          </w:tcPr>
          <w:p>
            <w:pPr>
              <w:spacing w:line="600" w:lineRule="exact"/>
              <w:jc w:val="center"/>
              <w:rPr>
                <w:rFonts w:hint="eastAsia" w:ascii="宋体" w:hAnsi="宋体"/>
                <w:color w:val="auto"/>
                <w:sz w:val="28"/>
                <w:szCs w:val="28"/>
                <w:highlight w:val="none"/>
              </w:rPr>
            </w:pPr>
          </w:p>
        </w:tc>
        <w:tc>
          <w:tcPr>
            <w:tcW w:w="3519" w:type="dxa"/>
            <w:noWrap w:val="0"/>
            <w:vAlign w:val="center"/>
          </w:tcPr>
          <w:p>
            <w:pPr>
              <w:spacing w:line="600" w:lineRule="exact"/>
              <w:jc w:val="center"/>
              <w:rPr>
                <w:rFonts w:hint="eastAsia" w:ascii="宋体" w:hAnsi="宋体"/>
                <w:color w:val="auto"/>
                <w:sz w:val="28"/>
                <w:szCs w:val="28"/>
                <w:highlight w:val="none"/>
              </w:rPr>
            </w:pPr>
          </w:p>
        </w:tc>
        <w:tc>
          <w:tcPr>
            <w:tcW w:w="1500" w:type="dxa"/>
            <w:noWrap w:val="0"/>
            <w:vAlign w:val="center"/>
          </w:tcPr>
          <w:p>
            <w:pPr>
              <w:spacing w:line="600" w:lineRule="exact"/>
              <w:jc w:val="center"/>
              <w:rPr>
                <w:rFonts w:hint="eastAsia" w:ascii="宋体" w:hAnsi="宋体"/>
                <w:color w:val="auto"/>
                <w:sz w:val="28"/>
                <w:szCs w:val="28"/>
                <w:highlight w:val="none"/>
              </w:rPr>
            </w:pPr>
          </w:p>
        </w:tc>
        <w:tc>
          <w:tcPr>
            <w:tcW w:w="1794" w:type="dxa"/>
            <w:noWrap w:val="0"/>
            <w:vAlign w:val="center"/>
          </w:tcPr>
          <w:p>
            <w:pPr>
              <w:spacing w:line="300" w:lineRule="exact"/>
              <w:jc w:val="center"/>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spacing w:line="600" w:lineRule="exact"/>
              <w:jc w:val="center"/>
              <w:rPr>
                <w:rFonts w:hint="eastAsia" w:ascii="宋体" w:hAnsi="宋体"/>
                <w:color w:val="auto"/>
                <w:sz w:val="28"/>
                <w:szCs w:val="28"/>
                <w:highlight w:val="none"/>
              </w:rPr>
            </w:pPr>
          </w:p>
        </w:tc>
        <w:tc>
          <w:tcPr>
            <w:tcW w:w="1640" w:type="dxa"/>
            <w:noWrap w:val="0"/>
            <w:vAlign w:val="center"/>
          </w:tcPr>
          <w:p>
            <w:pPr>
              <w:spacing w:line="600" w:lineRule="exact"/>
              <w:jc w:val="center"/>
              <w:rPr>
                <w:rFonts w:hint="eastAsia" w:ascii="宋体" w:hAnsi="宋体"/>
                <w:color w:val="auto"/>
                <w:sz w:val="28"/>
                <w:szCs w:val="28"/>
                <w:highlight w:val="none"/>
              </w:rPr>
            </w:pPr>
          </w:p>
        </w:tc>
        <w:tc>
          <w:tcPr>
            <w:tcW w:w="3519" w:type="dxa"/>
            <w:noWrap w:val="0"/>
            <w:vAlign w:val="center"/>
          </w:tcPr>
          <w:p>
            <w:pPr>
              <w:spacing w:line="600" w:lineRule="exact"/>
              <w:jc w:val="center"/>
              <w:rPr>
                <w:rFonts w:hint="eastAsia" w:ascii="宋体" w:hAnsi="宋体"/>
                <w:color w:val="auto"/>
                <w:sz w:val="28"/>
                <w:szCs w:val="28"/>
                <w:highlight w:val="none"/>
              </w:rPr>
            </w:pPr>
          </w:p>
        </w:tc>
        <w:tc>
          <w:tcPr>
            <w:tcW w:w="1500" w:type="dxa"/>
            <w:noWrap w:val="0"/>
            <w:vAlign w:val="center"/>
          </w:tcPr>
          <w:p>
            <w:pPr>
              <w:spacing w:line="600" w:lineRule="exact"/>
              <w:jc w:val="center"/>
              <w:rPr>
                <w:rFonts w:hint="eastAsia" w:ascii="宋体" w:hAnsi="宋体"/>
                <w:color w:val="auto"/>
                <w:sz w:val="28"/>
                <w:szCs w:val="28"/>
                <w:highlight w:val="none"/>
              </w:rPr>
            </w:pPr>
          </w:p>
        </w:tc>
        <w:tc>
          <w:tcPr>
            <w:tcW w:w="1794" w:type="dxa"/>
            <w:noWrap w:val="0"/>
            <w:vAlign w:val="center"/>
          </w:tcPr>
          <w:p>
            <w:pPr>
              <w:spacing w:line="300" w:lineRule="exact"/>
              <w:jc w:val="center"/>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spacing w:line="600" w:lineRule="exact"/>
              <w:jc w:val="center"/>
              <w:rPr>
                <w:rFonts w:hint="eastAsia" w:ascii="宋体" w:hAnsi="宋体"/>
                <w:color w:val="auto"/>
                <w:sz w:val="28"/>
                <w:szCs w:val="28"/>
                <w:highlight w:val="none"/>
              </w:rPr>
            </w:pPr>
          </w:p>
        </w:tc>
        <w:tc>
          <w:tcPr>
            <w:tcW w:w="1640" w:type="dxa"/>
            <w:noWrap w:val="0"/>
            <w:vAlign w:val="center"/>
          </w:tcPr>
          <w:p>
            <w:pPr>
              <w:spacing w:line="600" w:lineRule="exact"/>
              <w:ind w:left="-107" w:leftChars="-51"/>
              <w:jc w:val="center"/>
              <w:rPr>
                <w:rFonts w:hint="eastAsia" w:ascii="宋体" w:hAnsi="宋体"/>
                <w:color w:val="auto"/>
                <w:sz w:val="28"/>
                <w:szCs w:val="28"/>
                <w:highlight w:val="none"/>
              </w:rPr>
            </w:pPr>
          </w:p>
        </w:tc>
        <w:tc>
          <w:tcPr>
            <w:tcW w:w="3519" w:type="dxa"/>
            <w:noWrap w:val="0"/>
            <w:vAlign w:val="center"/>
          </w:tcPr>
          <w:p>
            <w:pPr>
              <w:spacing w:line="600" w:lineRule="exact"/>
              <w:jc w:val="center"/>
              <w:rPr>
                <w:rFonts w:hint="eastAsia" w:ascii="宋体" w:hAnsi="宋体"/>
                <w:color w:val="auto"/>
                <w:sz w:val="28"/>
                <w:szCs w:val="28"/>
                <w:highlight w:val="none"/>
              </w:rPr>
            </w:pPr>
          </w:p>
        </w:tc>
        <w:tc>
          <w:tcPr>
            <w:tcW w:w="1500" w:type="dxa"/>
            <w:noWrap w:val="0"/>
            <w:vAlign w:val="center"/>
          </w:tcPr>
          <w:p>
            <w:pPr>
              <w:spacing w:line="600" w:lineRule="exact"/>
              <w:jc w:val="center"/>
              <w:rPr>
                <w:rFonts w:hint="eastAsia" w:ascii="宋体" w:hAnsi="宋体"/>
                <w:color w:val="auto"/>
                <w:sz w:val="28"/>
                <w:szCs w:val="28"/>
                <w:highlight w:val="none"/>
              </w:rPr>
            </w:pPr>
          </w:p>
        </w:tc>
        <w:tc>
          <w:tcPr>
            <w:tcW w:w="1794" w:type="dxa"/>
            <w:noWrap w:val="0"/>
            <w:vAlign w:val="center"/>
          </w:tcPr>
          <w:p>
            <w:pPr>
              <w:spacing w:line="300" w:lineRule="exact"/>
              <w:jc w:val="center"/>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spacing w:line="600" w:lineRule="exact"/>
              <w:jc w:val="center"/>
              <w:rPr>
                <w:rFonts w:hint="eastAsia" w:ascii="宋体" w:hAnsi="宋体"/>
                <w:color w:val="auto"/>
                <w:sz w:val="28"/>
                <w:szCs w:val="28"/>
                <w:highlight w:val="none"/>
              </w:rPr>
            </w:pPr>
          </w:p>
        </w:tc>
        <w:tc>
          <w:tcPr>
            <w:tcW w:w="1640" w:type="dxa"/>
            <w:noWrap w:val="0"/>
            <w:vAlign w:val="center"/>
          </w:tcPr>
          <w:p>
            <w:pPr>
              <w:spacing w:line="600" w:lineRule="exact"/>
              <w:ind w:left="-107" w:leftChars="-51"/>
              <w:jc w:val="center"/>
              <w:rPr>
                <w:rFonts w:hint="eastAsia" w:ascii="宋体" w:hAnsi="宋体"/>
                <w:color w:val="auto"/>
                <w:sz w:val="28"/>
                <w:szCs w:val="28"/>
                <w:highlight w:val="none"/>
              </w:rPr>
            </w:pPr>
          </w:p>
        </w:tc>
        <w:tc>
          <w:tcPr>
            <w:tcW w:w="3519" w:type="dxa"/>
            <w:noWrap w:val="0"/>
            <w:vAlign w:val="center"/>
          </w:tcPr>
          <w:p>
            <w:pPr>
              <w:spacing w:line="600" w:lineRule="exact"/>
              <w:jc w:val="center"/>
              <w:rPr>
                <w:rFonts w:hint="eastAsia" w:ascii="宋体" w:hAnsi="宋体"/>
                <w:color w:val="auto"/>
                <w:sz w:val="28"/>
                <w:szCs w:val="28"/>
                <w:highlight w:val="none"/>
              </w:rPr>
            </w:pPr>
          </w:p>
        </w:tc>
        <w:tc>
          <w:tcPr>
            <w:tcW w:w="1500" w:type="dxa"/>
            <w:noWrap w:val="0"/>
            <w:vAlign w:val="center"/>
          </w:tcPr>
          <w:p>
            <w:pPr>
              <w:spacing w:line="600" w:lineRule="exact"/>
              <w:jc w:val="center"/>
              <w:rPr>
                <w:rFonts w:hint="eastAsia" w:ascii="宋体" w:hAnsi="宋体"/>
                <w:color w:val="auto"/>
                <w:sz w:val="28"/>
                <w:szCs w:val="28"/>
                <w:highlight w:val="none"/>
              </w:rPr>
            </w:pPr>
          </w:p>
        </w:tc>
        <w:tc>
          <w:tcPr>
            <w:tcW w:w="1794" w:type="dxa"/>
            <w:noWrap w:val="0"/>
            <w:vAlign w:val="center"/>
          </w:tcPr>
          <w:p>
            <w:pPr>
              <w:spacing w:line="300" w:lineRule="exact"/>
              <w:jc w:val="center"/>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noWrap w:val="0"/>
            <w:vAlign w:val="top"/>
          </w:tcPr>
          <w:p>
            <w:pPr>
              <w:spacing w:line="600" w:lineRule="exact"/>
              <w:jc w:val="center"/>
              <w:rPr>
                <w:rFonts w:hint="eastAsia" w:ascii="宋体" w:hAnsi="宋体"/>
                <w:color w:val="auto"/>
                <w:sz w:val="28"/>
                <w:szCs w:val="28"/>
                <w:highlight w:val="none"/>
              </w:rPr>
            </w:pPr>
          </w:p>
        </w:tc>
        <w:tc>
          <w:tcPr>
            <w:tcW w:w="1640" w:type="dxa"/>
            <w:noWrap w:val="0"/>
            <w:vAlign w:val="center"/>
          </w:tcPr>
          <w:p>
            <w:pPr>
              <w:spacing w:line="600" w:lineRule="exact"/>
              <w:ind w:left="-107" w:leftChars="-51"/>
              <w:jc w:val="center"/>
              <w:rPr>
                <w:rFonts w:hint="eastAsia" w:ascii="宋体" w:hAnsi="宋体"/>
                <w:color w:val="auto"/>
                <w:sz w:val="28"/>
                <w:szCs w:val="28"/>
                <w:highlight w:val="none"/>
              </w:rPr>
            </w:pPr>
          </w:p>
        </w:tc>
        <w:tc>
          <w:tcPr>
            <w:tcW w:w="3519" w:type="dxa"/>
            <w:noWrap w:val="0"/>
            <w:vAlign w:val="center"/>
          </w:tcPr>
          <w:p>
            <w:pPr>
              <w:spacing w:line="600" w:lineRule="exact"/>
              <w:jc w:val="center"/>
              <w:rPr>
                <w:rFonts w:hint="eastAsia" w:ascii="宋体" w:hAnsi="宋体"/>
                <w:color w:val="auto"/>
                <w:sz w:val="28"/>
                <w:szCs w:val="28"/>
                <w:highlight w:val="none"/>
              </w:rPr>
            </w:pPr>
          </w:p>
        </w:tc>
        <w:tc>
          <w:tcPr>
            <w:tcW w:w="1500" w:type="dxa"/>
            <w:noWrap w:val="0"/>
            <w:vAlign w:val="center"/>
          </w:tcPr>
          <w:p>
            <w:pPr>
              <w:spacing w:line="600" w:lineRule="exact"/>
              <w:jc w:val="center"/>
              <w:rPr>
                <w:rFonts w:hint="eastAsia" w:ascii="宋体" w:hAnsi="宋体"/>
                <w:color w:val="auto"/>
                <w:sz w:val="28"/>
                <w:szCs w:val="28"/>
                <w:highlight w:val="none"/>
              </w:rPr>
            </w:pPr>
          </w:p>
        </w:tc>
        <w:tc>
          <w:tcPr>
            <w:tcW w:w="1794" w:type="dxa"/>
            <w:noWrap w:val="0"/>
            <w:vAlign w:val="center"/>
          </w:tcPr>
          <w:p>
            <w:pPr>
              <w:spacing w:line="300" w:lineRule="exact"/>
              <w:jc w:val="center"/>
              <w:rPr>
                <w:rFonts w:hint="eastAsia" w:ascii="宋体" w:hAnsi="宋体"/>
                <w:color w:val="auto"/>
                <w:sz w:val="28"/>
                <w:szCs w:val="28"/>
                <w:highlight w:val="none"/>
              </w:rPr>
            </w:pPr>
          </w:p>
        </w:tc>
      </w:tr>
    </w:tbl>
    <w:p>
      <w:pPr>
        <w:rPr>
          <w:rFonts w:hint="eastAsia" w:ascii="黑体" w:hAnsi="宋体" w:eastAsia="黑体"/>
          <w:color w:val="auto"/>
          <w:sz w:val="32"/>
          <w:szCs w:val="32"/>
          <w:highlight w:val="none"/>
        </w:rPr>
      </w:pPr>
    </w:p>
    <w:p>
      <w:pPr>
        <w:rPr>
          <w:rFonts w:hint="eastAsia" w:ascii="黑体" w:hAnsi="宋体" w:eastAsia="黑体"/>
          <w:color w:val="auto"/>
          <w:sz w:val="32"/>
          <w:szCs w:val="32"/>
          <w:highlight w:val="none"/>
        </w:rPr>
      </w:pPr>
    </w:p>
    <w:p>
      <w:pPr>
        <w:rPr>
          <w:rFonts w:hint="eastAsia" w:ascii="黑体" w:hAnsi="宋体" w:eastAsia="黑体"/>
          <w:color w:val="auto"/>
          <w:sz w:val="32"/>
          <w:szCs w:val="32"/>
          <w:highlight w:val="none"/>
        </w:rPr>
      </w:pPr>
    </w:p>
    <w:p>
      <w:pPr>
        <w:rPr>
          <w:rFonts w:ascii="黑体" w:hAnsi="宋体" w:eastAsia="黑体"/>
          <w:color w:val="auto"/>
          <w:sz w:val="32"/>
          <w:szCs w:val="32"/>
          <w:highlight w:val="none"/>
        </w:rPr>
      </w:pPr>
      <w:r>
        <w:rPr>
          <w:rFonts w:hint="eastAsia" w:ascii="黑体" w:hAnsi="宋体" w:eastAsia="黑体"/>
          <w:color w:val="auto"/>
          <w:sz w:val="32"/>
          <w:szCs w:val="32"/>
          <w:highlight w:val="none"/>
        </w:rPr>
        <w:t>三、验收结论</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2"/>
        <w:gridCol w:w="4644"/>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5" w:hRule="atLeast"/>
        </w:trPr>
        <w:tc>
          <w:tcPr>
            <w:tcW w:w="9288" w:type="dxa"/>
            <w:gridSpan w:val="3"/>
            <w:noWrap w:val="0"/>
            <w:vAlign w:val="top"/>
          </w:tcPr>
          <w:p>
            <w:pPr>
              <w:rPr>
                <w:rFonts w:hint="eastAsia" w:ascii="宋体" w:hAnsi="宋体"/>
                <w:color w:val="auto"/>
                <w:sz w:val="28"/>
                <w:szCs w:val="28"/>
                <w:highlight w:val="none"/>
              </w:rPr>
            </w:pPr>
            <w:r>
              <w:rPr>
                <w:rFonts w:hint="eastAsia" w:ascii="宋体" w:hAnsi="宋体"/>
                <w:color w:val="auto"/>
                <w:sz w:val="28"/>
                <w:szCs w:val="28"/>
                <w:highlight w:val="none"/>
              </w:rPr>
              <w:t>服务内容完成情况：</w:t>
            </w:r>
          </w:p>
          <w:p>
            <w:pPr>
              <w:rPr>
                <w:rFonts w:hint="eastAsia"/>
                <w:bCs/>
                <w:color w:val="auto"/>
                <w:sz w:val="28"/>
                <w:szCs w:val="28"/>
                <w:highlight w:val="none"/>
              </w:rPr>
            </w:pPr>
          </w:p>
          <w:p>
            <w:pPr>
              <w:rPr>
                <w:rFonts w:hint="eastAsia"/>
                <w:bCs/>
                <w:color w:val="auto"/>
                <w:sz w:val="28"/>
                <w:szCs w:val="28"/>
                <w:highlight w:val="none"/>
              </w:rPr>
            </w:pPr>
          </w:p>
          <w:p>
            <w:pPr>
              <w:rPr>
                <w:rFonts w:hint="eastAsia" w:ascii="宋体" w:hAnsi="宋体"/>
                <w:color w:val="auto"/>
                <w:sz w:val="28"/>
                <w:szCs w:val="28"/>
                <w:highlight w:val="none"/>
              </w:rPr>
            </w:pPr>
          </w:p>
          <w:p>
            <w:pPr>
              <w:rPr>
                <w:rFonts w:hint="eastAsia" w:ascii="宋体" w:hAnsi="宋体"/>
                <w:color w:val="auto"/>
                <w:sz w:val="28"/>
                <w:szCs w:val="28"/>
                <w:highlight w:val="none"/>
              </w:rPr>
            </w:pPr>
            <w:r>
              <w:rPr>
                <w:rFonts w:hint="eastAsia" w:ascii="宋体" w:hAnsi="宋体"/>
                <w:color w:val="auto"/>
                <w:sz w:val="28"/>
                <w:szCs w:val="28"/>
                <w:highlight w:val="none"/>
              </w:rPr>
              <w:t>服务验收结论：</w:t>
            </w:r>
          </w:p>
          <w:p>
            <w:pPr>
              <w:rPr>
                <w:rFonts w:hint="eastAsia" w:ascii="宋体" w:hAnsi="宋体"/>
                <w:color w:val="auto"/>
                <w:sz w:val="28"/>
                <w:szCs w:val="28"/>
                <w:highlight w:val="none"/>
              </w:rPr>
            </w:pPr>
          </w:p>
          <w:p>
            <w:pPr>
              <w:tabs>
                <w:tab w:val="left" w:pos="425"/>
                <w:tab w:val="center" w:pos="4252"/>
                <w:tab w:val="left" w:pos="5517"/>
              </w:tabs>
              <w:ind w:left="420"/>
              <w:rPr>
                <w:rFonts w:hint="eastAsia" w:ascii="宋体" w:hAnsi="宋体"/>
                <w:color w:val="auto"/>
                <w:sz w:val="28"/>
                <w:szCs w:val="28"/>
                <w:highlight w:val="none"/>
              </w:rPr>
            </w:pPr>
          </w:p>
          <w:p>
            <w:pPr>
              <w:rPr>
                <w:rFonts w:hint="eastAsia" w:ascii="宋体" w:hAnsi="宋体"/>
                <w:color w:val="auto"/>
                <w:sz w:val="28"/>
                <w:szCs w:val="28"/>
                <w:highlight w:val="none"/>
              </w:rPr>
            </w:pPr>
          </w:p>
          <w:p>
            <w:pPr>
              <w:ind w:firstLine="560" w:firstLineChars="200"/>
              <w:rPr>
                <w:rFonts w:hint="eastAsia"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trPr>
        <w:tc>
          <w:tcPr>
            <w:tcW w:w="2322" w:type="dxa"/>
            <w:noWrap w:val="0"/>
            <w:vAlign w:val="top"/>
          </w:tcPr>
          <w:p>
            <w:pPr>
              <w:spacing w:line="360" w:lineRule="exact"/>
              <w:rPr>
                <w:rFonts w:hint="eastAsia" w:ascii="宋体" w:hAnsi="宋体"/>
                <w:color w:val="auto"/>
                <w:sz w:val="24"/>
                <w:szCs w:val="24"/>
                <w:highlight w:val="none"/>
              </w:rPr>
            </w:pPr>
          </w:p>
          <w:p>
            <w:pPr>
              <w:spacing w:line="360" w:lineRule="exact"/>
              <w:rPr>
                <w:rFonts w:hint="eastAsia" w:ascii="宋体" w:hAnsi="宋体"/>
                <w:color w:val="auto"/>
                <w:sz w:val="24"/>
                <w:szCs w:val="24"/>
                <w:highlight w:val="none"/>
              </w:rPr>
            </w:pPr>
            <w:r>
              <w:rPr>
                <w:rFonts w:hint="eastAsia" w:ascii="宋体" w:hAnsi="宋体"/>
                <w:color w:val="auto"/>
                <w:sz w:val="24"/>
                <w:szCs w:val="24"/>
                <w:highlight w:val="none"/>
              </w:rPr>
              <w:t>经办部室（单位）：</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（公章）</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部室（单位）负责人：</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jc w:val="right"/>
              <w:rPr>
                <w:rFonts w:hint="eastAsia" w:ascii="宋体" w:hAnsi="宋体"/>
                <w:color w:val="auto"/>
                <w:sz w:val="24"/>
                <w:szCs w:val="24"/>
                <w:highlight w:val="none"/>
              </w:rPr>
            </w:pPr>
            <w:r>
              <w:rPr>
                <w:rFonts w:hint="eastAsia" w:ascii="宋体" w:hAnsi="宋体"/>
                <w:color w:val="auto"/>
                <w:sz w:val="24"/>
                <w:szCs w:val="24"/>
                <w:highlight w:val="none"/>
              </w:rPr>
              <w:t>年  月  日</w:t>
            </w:r>
          </w:p>
        </w:tc>
        <w:tc>
          <w:tcPr>
            <w:tcW w:w="4644" w:type="dxa"/>
            <w:noWrap w:val="0"/>
            <w:vAlign w:val="top"/>
          </w:tcPr>
          <w:p>
            <w:pPr>
              <w:spacing w:line="360" w:lineRule="exact"/>
              <w:rPr>
                <w:rFonts w:hint="eastAsia" w:ascii="宋体" w:hAnsi="宋体"/>
                <w:color w:val="auto"/>
                <w:sz w:val="24"/>
                <w:szCs w:val="24"/>
                <w:highlight w:val="none"/>
              </w:rPr>
            </w:pPr>
          </w:p>
          <w:p>
            <w:pPr>
              <w:spacing w:line="360" w:lineRule="exact"/>
              <w:rPr>
                <w:rFonts w:hint="eastAsia" w:ascii="宋体" w:hAnsi="宋体"/>
                <w:color w:val="auto"/>
                <w:sz w:val="24"/>
                <w:szCs w:val="24"/>
                <w:highlight w:val="none"/>
              </w:rPr>
            </w:pPr>
            <w:r>
              <w:rPr>
                <w:rFonts w:hint="eastAsia" w:ascii="宋体" w:hAnsi="宋体"/>
                <w:color w:val="auto"/>
                <w:sz w:val="24"/>
                <w:szCs w:val="24"/>
                <w:highlight w:val="none"/>
              </w:rPr>
              <w:t>相关部室（单位）：</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（公章）</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部室（单位）负责人：</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jc w:val="right"/>
              <w:rPr>
                <w:rFonts w:hint="eastAsia" w:ascii="宋体" w:hAnsi="宋体"/>
                <w:color w:val="auto"/>
                <w:sz w:val="24"/>
                <w:szCs w:val="24"/>
                <w:highlight w:val="none"/>
              </w:rPr>
            </w:pPr>
            <w:r>
              <w:rPr>
                <w:rFonts w:hint="eastAsia" w:ascii="宋体" w:hAnsi="宋体"/>
                <w:color w:val="auto"/>
                <w:sz w:val="24"/>
                <w:szCs w:val="24"/>
                <w:highlight w:val="none"/>
              </w:rPr>
              <w:t>年  月  日</w:t>
            </w:r>
          </w:p>
        </w:tc>
        <w:tc>
          <w:tcPr>
            <w:tcW w:w="2322" w:type="dxa"/>
            <w:noWrap w:val="0"/>
            <w:vAlign w:val="top"/>
          </w:tcPr>
          <w:p>
            <w:pPr>
              <w:rPr>
                <w:rFonts w:hint="eastAsia" w:ascii="宋体" w:hAnsi="宋体"/>
                <w:color w:val="auto"/>
                <w:sz w:val="24"/>
                <w:szCs w:val="24"/>
                <w:highlight w:val="none"/>
              </w:rPr>
            </w:pPr>
          </w:p>
          <w:p>
            <w:pPr>
              <w:spacing w:line="360" w:lineRule="exact"/>
              <w:rPr>
                <w:rFonts w:hint="eastAsia" w:ascii="宋体" w:hAnsi="宋体"/>
                <w:color w:val="auto"/>
                <w:sz w:val="24"/>
                <w:szCs w:val="24"/>
                <w:highlight w:val="none"/>
              </w:rPr>
            </w:pPr>
            <w:r>
              <w:rPr>
                <w:rFonts w:hint="eastAsia" w:ascii="宋体" w:hAnsi="宋体"/>
                <w:color w:val="auto"/>
                <w:sz w:val="24"/>
                <w:szCs w:val="24"/>
                <w:highlight w:val="none"/>
              </w:rPr>
              <w:t>服务单位：</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（公章）</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r>
              <w:rPr>
                <w:rFonts w:hint="eastAsia" w:ascii="宋体" w:hAnsi="宋体"/>
                <w:color w:val="auto"/>
                <w:sz w:val="24"/>
                <w:szCs w:val="24"/>
                <w:highlight w:val="none"/>
              </w:rPr>
              <w:t>服务单位负责人：</w:t>
            </w: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rPr>
                <w:rFonts w:hint="eastAsia" w:ascii="宋体" w:hAnsi="宋体"/>
                <w:color w:val="auto"/>
                <w:sz w:val="24"/>
                <w:szCs w:val="24"/>
                <w:highlight w:val="none"/>
              </w:rPr>
            </w:pPr>
          </w:p>
          <w:p>
            <w:pPr>
              <w:jc w:val="right"/>
              <w:rPr>
                <w:rFonts w:hint="eastAsia" w:ascii="宋体" w:hAnsi="宋体"/>
                <w:color w:val="auto"/>
                <w:sz w:val="24"/>
                <w:szCs w:val="24"/>
                <w:highlight w:val="none"/>
              </w:rPr>
            </w:pPr>
            <w:r>
              <w:rPr>
                <w:rFonts w:hint="eastAsia" w:ascii="宋体" w:hAnsi="宋体"/>
                <w:color w:val="auto"/>
                <w:sz w:val="24"/>
                <w:szCs w:val="24"/>
                <w:highlight w:val="none"/>
              </w:rPr>
              <w:t>年  月  日</w:t>
            </w:r>
          </w:p>
        </w:tc>
      </w:tr>
    </w:tbl>
    <w:p>
      <w:pPr>
        <w:spacing w:line="500" w:lineRule="exact"/>
        <w:ind w:right="1960"/>
        <w:rPr>
          <w:rFonts w:hint="eastAsia" w:ascii="仿宋" w:hAnsi="仿宋" w:eastAsia="仿宋" w:cs="仿宋"/>
          <w:color w:val="auto"/>
          <w:sz w:val="28"/>
          <w:szCs w:val="28"/>
          <w:highlight w:val="none"/>
        </w:rPr>
      </w:pPr>
    </w:p>
    <w:p>
      <w:pPr>
        <w:spacing w:line="500" w:lineRule="exact"/>
        <w:ind w:right="1960"/>
        <w:rPr>
          <w:rFonts w:hint="eastAsia" w:ascii="仿宋" w:hAnsi="仿宋" w:eastAsia="仿宋" w:cs="仿宋"/>
          <w:color w:val="auto"/>
          <w:sz w:val="28"/>
          <w:szCs w:val="28"/>
          <w:highlight w:val="none"/>
        </w:rPr>
      </w:pPr>
    </w:p>
    <w:p>
      <w:pPr>
        <w:spacing w:line="360" w:lineRule="auto"/>
        <w:jc w:val="center"/>
        <w:rPr>
          <w:rFonts w:hint="eastAsia" w:ascii="宋体" w:hAnsi="宋体"/>
          <w:b/>
          <w:color w:val="auto"/>
          <w:sz w:val="32"/>
          <w:szCs w:val="32"/>
          <w:highlight w:val="none"/>
        </w:rPr>
      </w:pPr>
    </w:p>
    <w:p>
      <w:pPr>
        <w:spacing w:line="360" w:lineRule="auto"/>
        <w:jc w:val="center"/>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pStyle w:val="2"/>
        <w:rPr>
          <w:rFonts w:hint="eastAsia" w:ascii="宋体" w:hAnsi="宋体"/>
          <w:b/>
          <w:color w:val="auto"/>
          <w:sz w:val="32"/>
          <w:szCs w:val="32"/>
          <w:highlight w:val="none"/>
        </w:rPr>
      </w:pPr>
    </w:p>
    <w:p>
      <w:pPr>
        <w:spacing w:line="360" w:lineRule="auto"/>
        <w:jc w:val="left"/>
        <w:rPr>
          <w:rFonts w:hint="eastAsia" w:ascii="黑体" w:hAnsi="黑体" w:eastAsia="黑体" w:cs="仿宋"/>
          <w:bCs/>
          <w:color w:val="auto"/>
          <w:sz w:val="32"/>
          <w:szCs w:val="32"/>
          <w:highlight w:val="none"/>
        </w:rPr>
      </w:pPr>
    </w:p>
    <w:p>
      <w:pPr>
        <w:spacing w:line="360" w:lineRule="auto"/>
        <w:jc w:val="left"/>
        <w:rPr>
          <w:rFonts w:hint="eastAsia" w:ascii="黑体" w:hAnsi="黑体" w:eastAsia="黑体" w:cs="仿宋"/>
          <w:bCs/>
          <w:color w:val="auto"/>
          <w:sz w:val="32"/>
          <w:szCs w:val="32"/>
          <w:highlight w:val="none"/>
          <w:lang w:val="en-US" w:eastAsia="zh-CN"/>
        </w:rPr>
      </w:pPr>
      <w:r>
        <w:rPr>
          <w:rFonts w:hint="eastAsia" w:ascii="黑体" w:hAnsi="黑体" w:eastAsia="黑体" w:cs="仿宋"/>
          <w:bCs/>
          <w:color w:val="auto"/>
          <w:sz w:val="32"/>
          <w:szCs w:val="32"/>
          <w:highlight w:val="none"/>
        </w:rPr>
        <w:t>附件</w:t>
      </w:r>
      <w:r>
        <w:rPr>
          <w:rFonts w:hint="eastAsia" w:ascii="黑体" w:hAnsi="黑体" w:eastAsia="黑体" w:cs="仿宋"/>
          <w:bCs/>
          <w:color w:val="auto"/>
          <w:sz w:val="32"/>
          <w:szCs w:val="32"/>
          <w:highlight w:val="none"/>
          <w:lang w:val="en-US" w:eastAsia="zh-CN"/>
        </w:rPr>
        <w:t>3</w:t>
      </w:r>
    </w:p>
    <w:p>
      <w:pPr>
        <w:spacing w:line="360" w:lineRule="auto"/>
        <w:jc w:val="center"/>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20" w:lineRule="exact"/>
        <w:ind w:firstLine="630" w:firstLineChars="225"/>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20" w:lineRule="exact"/>
        <w:ind w:firstLine="420" w:firstLineChars="15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20" w:lineRule="exact"/>
        <w:ind w:left="25" w:leftChars="12"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pStyle w:val="16"/>
        <w:spacing w:line="520" w:lineRule="exact"/>
        <w:rPr>
          <w:rFonts w:hint="eastAsia" w:ascii="仿宋_GB2312" w:hAnsi="仿宋_GB2312" w:eastAsia="仿宋_GB2312" w:cs="仿宋_GB2312"/>
          <w:bCs/>
          <w:color w:val="auto"/>
          <w:szCs w:val="28"/>
          <w:highlight w:val="none"/>
        </w:rPr>
      </w:pPr>
      <w:r>
        <w:rPr>
          <w:rFonts w:hint="eastAsia" w:ascii="仿宋_GB2312" w:hAnsi="仿宋_GB2312" w:eastAsia="仿宋_GB2312" w:cs="仿宋_GB2312"/>
          <w:bCs/>
          <w:color w:val="auto"/>
          <w:szCs w:val="28"/>
          <w:highlight w:val="none"/>
        </w:rPr>
        <w:t>（四）乙方不得为甲方单位和个人购置或提供通讯工具和高档办公用品等物品，也不得为甲方提供与工作无关的房屋、汽车等。</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20" w:lineRule="exact"/>
        <w:ind w:left="15" w:leftChars="7"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pStyle w:val="22"/>
        <w:widowControl/>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22"/>
        <w:widowControl/>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1、扣除主合同的全部履约保证金；</w:t>
      </w:r>
    </w:p>
    <w:p>
      <w:pPr>
        <w:pStyle w:val="22"/>
        <w:widowControl/>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2、解除主合同；</w:t>
      </w:r>
    </w:p>
    <w:p>
      <w:pPr>
        <w:pStyle w:val="22"/>
        <w:widowControl/>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3、追究乙方其他违约责任；</w:t>
      </w:r>
    </w:p>
    <w:p>
      <w:pPr>
        <w:pStyle w:val="22"/>
        <w:widowControl/>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4、根据甲方的有关规章制度，在一定时间内暂停乙方参与甲方及下属单位所有项目的交易资格；</w:t>
      </w:r>
    </w:p>
    <w:p>
      <w:pPr>
        <w:pStyle w:val="22"/>
        <w:widowControl/>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5、根据甲方的有关规章制度，将乙方清退出甲方相关企业库；</w:t>
      </w:r>
    </w:p>
    <w:p>
      <w:pPr>
        <w:pStyle w:val="22"/>
        <w:widowControl/>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6、根据甲方上级单位、行政主管部门的意见、决定执行；</w:t>
      </w:r>
    </w:p>
    <w:p>
      <w:pPr>
        <w:pStyle w:val="22"/>
        <w:widowControl/>
        <w:spacing w:beforeAutospacing="0"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7、按规定向有关行政监督部门、乙方业务管理部门进行投诉、报告。</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20" w:lineRule="exact"/>
        <w:ind w:firstLine="560" w:firstLineChars="200"/>
        <w:rPr>
          <w:rFonts w:hint="eastAsia"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20" w:lineRule="exact"/>
        <w:ind w:firstLine="560"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20" w:lineRule="exact"/>
        <w:ind w:firstLine="560" w:firstLineChars="200"/>
        <w:rPr>
          <w:rFonts w:hint="eastAsia" w:ascii="仿宋_GB2312" w:hAnsi="仿宋_GB2312" w:eastAsia="仿宋_GB2312" w:cs="仿宋_GB2312"/>
          <w:bCs/>
          <w:color w:val="auto"/>
          <w:sz w:val="28"/>
          <w:szCs w:val="28"/>
          <w:highlight w:val="none"/>
        </w:rPr>
      </w:pPr>
    </w:p>
    <w:p>
      <w:pPr>
        <w:spacing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br w:type="textWrapping"/>
      </w:r>
      <w:r>
        <w:rPr>
          <w:rFonts w:hint="eastAsia" w:ascii="仿宋_GB2312" w:hAnsi="仿宋_GB2312" w:eastAsia="仿宋_GB2312" w:cs="仿宋_GB2312"/>
          <w:bCs/>
          <w:color w:val="auto"/>
          <w:sz w:val="28"/>
          <w:szCs w:val="28"/>
          <w:highlight w:val="none"/>
        </w:rPr>
        <w:t>甲方（盖章）：                     乙方（盖章）：</w:t>
      </w:r>
    </w:p>
    <w:p>
      <w:pPr>
        <w:pStyle w:val="33"/>
        <w:tabs>
          <w:tab w:val="left" w:pos="5100"/>
        </w:tabs>
        <w:spacing w:line="520" w:lineRule="exact"/>
        <w:ind w:left="7200" w:firstLine="0" w:firstLineChars="0"/>
        <w:jc w:val="left"/>
        <w:rPr>
          <w:rFonts w:hint="eastAsia" w:ascii="仿宋_GB2312" w:hAnsi="仿宋_GB2312" w:eastAsia="仿宋_GB2312" w:cs="仿宋_GB2312"/>
          <w:bCs/>
          <w:color w:val="auto"/>
          <w:sz w:val="28"/>
          <w:szCs w:val="28"/>
          <w:highlight w:val="none"/>
        </w:rPr>
      </w:pPr>
    </w:p>
    <w:p>
      <w:pPr>
        <w:tabs>
          <w:tab w:val="left" w:pos="5100"/>
        </w:tabs>
        <w:spacing w:line="520" w:lineRule="exact"/>
        <w:ind w:left="8400" w:hanging="8400" w:hangingChars="30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20" w:lineRule="exact"/>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rPr>
          <w:rFonts w:hint="eastAsia" w:ascii="仿宋_GB2312" w:hAnsi="仿宋_GB2312" w:eastAsia="仿宋_GB2312" w:cs="仿宋_GB2312"/>
          <w:bCs/>
          <w:color w:val="auto"/>
          <w:sz w:val="30"/>
          <w:szCs w:val="30"/>
          <w:highlight w:val="none"/>
        </w:rPr>
      </w:pPr>
    </w:p>
    <w:p>
      <w:pPr>
        <w:spacing w:line="500" w:lineRule="exact"/>
        <w:ind w:right="3080"/>
        <w:rPr>
          <w:rFonts w:ascii="仿宋" w:hAnsi="仿宋" w:eastAsia="仿宋" w:cs="仿宋"/>
          <w:color w:val="auto"/>
          <w:sz w:val="28"/>
          <w:szCs w:val="28"/>
          <w:highlight w:val="none"/>
        </w:rPr>
      </w:pPr>
    </w:p>
    <w:p>
      <w:pPr>
        <w:spacing w:line="500" w:lineRule="exact"/>
        <w:ind w:right="3080"/>
        <w:rPr>
          <w:rFonts w:ascii="仿宋" w:hAnsi="仿宋" w:eastAsia="仿宋" w:cs="仿宋"/>
          <w:color w:val="auto"/>
          <w:sz w:val="28"/>
          <w:szCs w:val="28"/>
          <w:highlight w:val="none"/>
        </w:rPr>
      </w:pPr>
    </w:p>
    <w:p>
      <w:pPr>
        <w:spacing w:line="500" w:lineRule="exact"/>
        <w:ind w:right="3080"/>
        <w:rPr>
          <w:rFonts w:ascii="仿宋" w:hAnsi="仿宋" w:eastAsia="仿宋" w:cs="仿宋"/>
          <w:color w:val="auto"/>
          <w:sz w:val="28"/>
          <w:szCs w:val="28"/>
          <w:highlight w:val="none"/>
        </w:rPr>
      </w:pPr>
    </w:p>
    <w:p>
      <w:pPr>
        <w:adjustRightInd w:val="0"/>
        <w:snapToGrid w:val="0"/>
        <w:jc w:val="left"/>
        <w:rPr>
          <w:rFonts w:ascii="黑体" w:hAnsi="黑体" w:eastAsia="黑体" w:cs="方正小标宋简体"/>
          <w:color w:val="auto"/>
          <w:sz w:val="32"/>
          <w:szCs w:val="32"/>
          <w:highlight w:val="none"/>
        </w:rPr>
      </w:pPr>
      <w:r>
        <w:rPr>
          <w:rFonts w:hint="eastAsia" w:ascii="黑体" w:hAnsi="黑体" w:eastAsia="黑体" w:cs="方正小标宋简体"/>
          <w:color w:val="auto"/>
          <w:sz w:val="32"/>
          <w:szCs w:val="32"/>
          <w:highlight w:val="none"/>
        </w:rPr>
        <w:br w:type="page"/>
      </w:r>
      <w:r>
        <w:rPr>
          <w:rFonts w:hint="eastAsia" w:ascii="黑体" w:hAnsi="黑体" w:eastAsia="黑体" w:cs="方正小标宋简体"/>
          <w:color w:val="auto"/>
          <w:sz w:val="32"/>
          <w:szCs w:val="32"/>
          <w:highlight w:val="none"/>
        </w:rPr>
        <w:t>附件4</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不诚信行为的情形及相应被暂停参与投标活动的处理标准</w:t>
      </w:r>
    </w:p>
    <w:tbl>
      <w:tblPr>
        <w:tblStyle w:val="23"/>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contextualSpacing/>
        <w:jc w:val="lef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spacing w:line="500" w:lineRule="exact"/>
        <w:ind w:right="3080"/>
        <w:rPr>
          <w:rFonts w:hint="eastAsia" w:ascii="仿宋" w:hAnsi="仿宋" w:eastAsia="仿宋" w:cs="仿宋"/>
          <w:color w:val="auto"/>
          <w:sz w:val="28"/>
          <w:szCs w:val="28"/>
          <w:highlight w:val="none"/>
        </w:rPr>
      </w:pPr>
    </w:p>
    <w:p>
      <w:pPr>
        <w:spacing w:line="500" w:lineRule="exact"/>
        <w:ind w:right="3080"/>
        <w:rPr>
          <w:rFonts w:hint="eastAsia" w:ascii="仿宋" w:hAnsi="仿宋" w:eastAsia="仿宋" w:cs="仿宋"/>
          <w:color w:val="auto"/>
          <w:sz w:val="28"/>
          <w:szCs w:val="28"/>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color w:val="auto"/>
          <w:highlight w:val="none"/>
        </w:rPr>
      </w:pPr>
      <w:bookmarkStart w:id="71" w:name="_Toc8147"/>
      <w:bookmarkStart w:id="72" w:name="_Toc1563"/>
      <w:bookmarkStart w:id="73" w:name="_Toc12169"/>
      <w:bookmarkStart w:id="74" w:name="_Toc21847"/>
      <w:bookmarkStart w:id="75" w:name="_Toc23515"/>
      <w:bookmarkStart w:id="76" w:name="_Toc5129"/>
      <w:bookmarkStart w:id="77" w:name="_Toc30824"/>
      <w:bookmarkStart w:id="78" w:name="_Toc28358"/>
      <w:bookmarkStart w:id="79" w:name="_Toc16552"/>
      <w:bookmarkStart w:id="80" w:name="_Toc6230"/>
      <w:bookmarkStart w:id="81" w:name="_Toc3723"/>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WbC+tcAAAALAQAADwAAAAAAAAAB&#10;ACAAAAAiAAAAZHJzL2Rvd25yZXYueG1sUEsBAhQAFAAAAAgAh07iQN3VFBTYAQAAlQMAAA4AAAAA&#10;AAAAAQAgAAAAJgEAAGRycy9lMm9Eb2MueG1sUEsFBgAAAAAGAAYAWQEAAHA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8OuBDXAAAACQEAAA8AAAAAAAAAAQAg&#10;AAAAIgAAAGRycy9kb3ducmV2LnhtbFBLAQIUABQAAAAIAIdO4kDVFipB1gEAAJUDAAAOAAAAAAAA&#10;AAEAIAAAACYBAABkcnMvZTJvRG9jLnhtbFBLBQYAAAAABgAGAFkBAABuBQAAAAA=&#10;">
                <v:fill on="f" focussize="0,0"/>
                <v:stroke color="#000000" joinstyle="round"/>
                <v:imagedata o:title=""/>
                <o:lock v:ext="edit" aspectratio="f"/>
              </v:shape>
            </w:pict>
          </mc:Fallback>
        </mc:AlternateContent>
      </w:r>
      <w:r>
        <w:rPr>
          <w:rFonts w:hint="eastAsia"/>
          <w:color w:val="auto"/>
          <w:highlight w:val="none"/>
        </w:rPr>
        <w:t>第七章</w:t>
      </w:r>
      <w:bookmarkEnd w:id="71"/>
      <w:bookmarkEnd w:id="72"/>
      <w:bookmarkEnd w:id="73"/>
      <w:bookmarkEnd w:id="74"/>
      <w:bookmarkEnd w:id="75"/>
      <w:bookmarkEnd w:id="76"/>
      <w:bookmarkEnd w:id="77"/>
      <w:bookmarkEnd w:id="78"/>
      <w:bookmarkEnd w:id="79"/>
      <w:bookmarkEnd w:id="80"/>
      <w:bookmarkEnd w:id="81"/>
    </w:p>
    <w:p>
      <w:pPr>
        <w:pStyle w:val="36"/>
        <w:rPr>
          <w:color w:val="auto"/>
          <w:highlight w:val="none"/>
        </w:rPr>
      </w:pPr>
    </w:p>
    <w:p>
      <w:pPr>
        <w:pStyle w:val="4"/>
        <w:rPr>
          <w:color w:val="auto"/>
          <w:highlight w:val="none"/>
        </w:rPr>
      </w:pPr>
      <w:bookmarkStart w:id="82" w:name="_Toc5342"/>
      <w:bookmarkStart w:id="83" w:name="_Toc10840"/>
      <w:bookmarkStart w:id="84" w:name="_Toc12610"/>
      <w:bookmarkStart w:id="85" w:name="_Toc22764"/>
      <w:bookmarkStart w:id="86" w:name="_Toc87616388"/>
      <w:bookmarkStart w:id="87" w:name="_Toc88209951"/>
      <w:bookmarkStart w:id="88" w:name="_Toc24490"/>
      <w:bookmarkStart w:id="89" w:name="_Toc17119"/>
      <w:bookmarkStart w:id="90" w:name="_Toc12769"/>
      <w:bookmarkStart w:id="91" w:name="_Toc31564"/>
      <w:bookmarkStart w:id="92" w:name="_Toc24815"/>
      <w:bookmarkStart w:id="93" w:name="_Toc21675"/>
      <w:bookmarkStart w:id="94" w:name="_Toc30157"/>
      <w:r>
        <w:rPr>
          <w:rFonts w:hint="eastAsia"/>
          <w:color w:val="auto"/>
          <w:highlight w:val="none"/>
        </w:rPr>
        <w:t>响应文件</w:t>
      </w:r>
      <w:r>
        <w:rPr>
          <w:rFonts w:hint="eastAsia"/>
          <w:color w:val="auto"/>
          <w:highlight w:val="none"/>
          <w:lang w:val="en-US" w:eastAsia="zh-CN"/>
        </w:rPr>
        <w:t>格式要求</w:t>
      </w:r>
      <w:bookmarkEnd w:id="82"/>
      <w:bookmarkEnd w:id="83"/>
      <w:bookmarkEnd w:id="84"/>
      <w:bookmarkEnd w:id="85"/>
      <w:bookmarkEnd w:id="86"/>
      <w:bookmarkEnd w:id="87"/>
      <w:bookmarkEnd w:id="88"/>
      <w:bookmarkEnd w:id="89"/>
      <w:bookmarkEnd w:id="90"/>
      <w:bookmarkEnd w:id="91"/>
      <w:bookmarkEnd w:id="92"/>
      <w:bookmarkEnd w:id="93"/>
      <w:bookmarkEnd w:id="94"/>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95" w:name="_Toc87616389"/>
      <w:bookmarkStart w:id="96" w:name="_Toc88209952"/>
      <w:r>
        <w:rPr>
          <w:rFonts w:hint="eastAsia" w:ascii="仿宋_GB2312" w:eastAsia="仿宋_GB2312"/>
          <w:color w:val="auto"/>
          <w:sz w:val="28"/>
          <w:szCs w:val="28"/>
          <w:highlight w:val="none"/>
        </w:rPr>
        <w:t>1.响应函</w:t>
      </w:r>
      <w:bookmarkEnd w:id="95"/>
      <w:bookmarkEnd w:id="96"/>
    </w:p>
    <w:p>
      <w:pPr>
        <w:spacing w:line="600" w:lineRule="exact"/>
        <w:rPr>
          <w:rFonts w:hint="eastAsia" w:ascii="仿宋_GB2312" w:eastAsia="仿宋_GB2312"/>
          <w:color w:val="auto"/>
          <w:sz w:val="28"/>
          <w:szCs w:val="28"/>
          <w:highlight w:val="none"/>
        </w:rPr>
      </w:pPr>
      <w:bookmarkStart w:id="97" w:name="_Toc87616390"/>
      <w:bookmarkStart w:id="98" w:name="_Toc88209953"/>
      <w:r>
        <w:rPr>
          <w:rFonts w:hint="eastAsia" w:ascii="仿宋_GB2312" w:eastAsia="仿宋_GB2312"/>
          <w:color w:val="auto"/>
          <w:sz w:val="28"/>
          <w:szCs w:val="28"/>
          <w:highlight w:val="none"/>
        </w:rPr>
        <w:t>2.法定代表人证明或授权委托书</w:t>
      </w:r>
      <w:bookmarkEnd w:id="97"/>
      <w:bookmarkEnd w:id="98"/>
      <w:bookmarkStart w:id="99" w:name="_Toc87616393"/>
      <w:bookmarkStart w:id="100"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99"/>
      <w:bookmarkEnd w:id="100"/>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01" w:name="_Toc88209957"/>
      <w:bookmarkStart w:id="102" w:name="_Toc87616394"/>
      <w:bookmarkStart w:id="103" w:name="_Toc6313"/>
      <w:bookmarkStart w:id="104" w:name="_Toc28619645"/>
      <w:bookmarkStart w:id="105" w:name="_Toc12665"/>
      <w:r>
        <w:rPr>
          <w:rFonts w:hint="eastAsia" w:asciiTheme="minorEastAsia" w:hAnsiTheme="minorEastAsia" w:eastAsiaTheme="minorEastAsia"/>
          <w:color w:val="auto"/>
          <w:sz w:val="28"/>
          <w:szCs w:val="28"/>
          <w:highlight w:val="none"/>
        </w:rPr>
        <w:t>1.响应函</w:t>
      </w:r>
      <w:bookmarkEnd w:id="101"/>
      <w:bookmarkEnd w:id="102"/>
      <w:bookmarkEnd w:id="103"/>
      <w:bookmarkEnd w:id="104"/>
      <w:bookmarkEnd w:id="10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lang w:eastAsia="zh-CN"/>
        </w:rPr>
        <w:t>（</w:t>
      </w:r>
      <w:r>
        <w:rPr>
          <w:rFonts w:hint="eastAsia" w:ascii="仿宋_GB2312" w:hAnsi="黑体" w:eastAsia="仿宋_GB2312"/>
          <w:color w:val="auto"/>
          <w:sz w:val="28"/>
          <w:szCs w:val="28"/>
          <w:highlight w:val="none"/>
          <w:u w:val="single"/>
          <w:lang w:val="en-US" w:eastAsia="zh-CN"/>
        </w:rPr>
        <w:t>按实际报价下浮率填写报价</w:t>
      </w:r>
      <w:r>
        <w:rPr>
          <w:rFonts w:hint="eastAsia" w:ascii="仿宋_GB2312" w:hAnsi="黑体" w:eastAsia="仿宋_GB2312"/>
          <w:color w:val="auto"/>
          <w:sz w:val="28"/>
          <w:szCs w:val="28"/>
          <w:highlight w:val="none"/>
          <w:u w:val="single"/>
          <w:lang w:eastAsia="zh-CN"/>
        </w:rPr>
        <w:t>）</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06" w:name="_Toc22527"/>
      <w:bookmarkStart w:id="107" w:name="_Toc87616395"/>
      <w:bookmarkStart w:id="108" w:name="_Toc88209958"/>
      <w:bookmarkStart w:id="109"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06"/>
      <w:bookmarkEnd w:id="107"/>
      <w:bookmarkEnd w:id="108"/>
      <w:bookmarkEnd w:id="109"/>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ap/F/YAAAACQEAAA8AAAAAAAAAAQAgAAAAIgAAAGRycy9kb3ducmV2LnhtbFBLAQIU&#10;ABQAAAAIAIdO4kAGUFgFLAIAAEgEAAAOAAAAAAAAAAEAIAAAACcBAABkcnMvZTJvRG9jLnhtbFBL&#10;BQYAAAAABgAGAFkBAADF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1MiiO2QAAAAkBAAAPAAAAAAAAAAEAIAAAACIAAABkcnMvZG93bnJldi54bWxQSwEC&#10;FAAUAAAACACHTuJAM448DywCAABJBAAADgAAAAAAAAABACAAAAAoAQAAZHJzL2Uyb0RvYy54bWxQ&#10;SwUGAAAAAAYABgBZAQAAxg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10" w:name="_Toc8086"/>
      <w:bookmarkStart w:id="111" w:name="_Toc88209963"/>
      <w:bookmarkStart w:id="112" w:name="_Toc87616400"/>
      <w:bookmarkStart w:id="113"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10"/>
      <w:bookmarkEnd w:id="111"/>
      <w:bookmarkEnd w:id="112"/>
      <w:bookmarkEnd w:id="11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14"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14"/>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广州市净水有限公司2022年紫外消毒设备大修采购项目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注：附件：网页截图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1、网站截图为“信用中国”网站（www.creditchina.gov.cn）首页“信用信息”搜索一栏输入企业全称后得出的查询结果页面。信用记录承诺必须附网站截图。</w:t>
      </w:r>
    </w:p>
    <w:p>
      <w:pPr>
        <w:adjustRightInd w:val="0"/>
        <w:snapToGrid w:val="0"/>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2、截图中应显示网站域名，页面信息必须明确显示参与本项目的企业全称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6"/>
        <w:rPr>
          <w:rFonts w:asciiTheme="minorEastAsia" w:hAnsiTheme="minorEastAsia" w:eastAsiaTheme="minorEastAsia"/>
          <w:color w:val="auto"/>
          <w:sz w:val="28"/>
          <w:szCs w:val="28"/>
          <w:highlight w:val="none"/>
        </w:rPr>
      </w:pPr>
      <w:bookmarkStart w:id="115" w:name="_Toc32430"/>
      <w:bookmarkStart w:id="116" w:name="_Toc19423"/>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15"/>
      <w:bookmarkEnd w:id="116"/>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
        <w:rPr>
          <w:rFonts w:hint="default"/>
          <w:color w:val="auto"/>
          <w:highlight w:val="none"/>
          <w:lang w:val="en-US"/>
        </w:rPr>
      </w:pPr>
    </w:p>
    <w:p>
      <w:pPr>
        <w:pStyle w:val="6"/>
        <w:rPr>
          <w:rFonts w:asciiTheme="majorEastAsia" w:hAnsiTheme="majorEastAsia" w:eastAsiaTheme="majorEastAsia"/>
          <w:color w:val="auto"/>
          <w:sz w:val="28"/>
          <w:szCs w:val="28"/>
          <w:highlight w:val="none"/>
        </w:rPr>
      </w:pPr>
      <w:bookmarkStart w:id="117" w:name="_Toc88209965"/>
      <w:bookmarkStart w:id="118" w:name="_Toc6058"/>
      <w:bookmarkStart w:id="119" w:name="_Toc16386"/>
      <w:bookmarkStart w:id="120"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17"/>
      <w:bookmarkEnd w:id="118"/>
      <w:bookmarkEnd w:id="119"/>
      <w:bookmarkEnd w:id="120"/>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separate"/>
    </w:r>
    <w:r>
      <w:rPr>
        <w:rStyle w:val="26"/>
      </w:rPr>
      <w:t>2</w:t>
    </w:r>
    <w: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6"/>
      </w:rPr>
    </w:pPr>
    <w:r>
      <w:fldChar w:fldCharType="begin"/>
    </w:r>
    <w:r>
      <w:rPr>
        <w:rStyle w:val="26"/>
      </w:rPr>
      <w:instrText xml:space="preserve">PAGE  </w:instrText>
    </w:r>
    <w:r>
      <w:fldChar w:fldCharType="separate"/>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Q/B668BAABMAwAADgAAAGRycy9lMm9Eb2MueG1srVPNThsxEL5X4h0s&#10;34mXIFXp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cQ/B668BAABM&#10;AwAADgAAAAAAAAABACAAAAAeAQAAZHJzL2Uyb0RvYy54bWxQSwUGAAAAAAYABgBZAQAAPwU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mQVx/a8BAABM&#10;AwAADgAAAAAAAAABACAAAAAeAQAAZHJzL2Uyb0RvYy54bWxQSwUGAAAAAAYABgBZAQAAPwU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CpoPxrgEAAEwD&#10;AAAOAAAAAAAAAAEAIAAAAB4BAABkcnMvZTJvRG9jLnhtbFBLBQYAAAAABgAGAFkBAAA+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0000000E"/>
    <w:multiLevelType w:val="singleLevel"/>
    <w:tmpl w:val="0000000E"/>
    <w:lvl w:ilvl="0" w:tentative="0">
      <w:start w:val="1"/>
      <w:numFmt w:val="chineseCounting"/>
      <w:suff w:val="nothing"/>
      <w:lvlText w:val="（%1）"/>
      <w:lvlJc w:val="left"/>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705D32C3"/>
    <w:multiLevelType w:val="singleLevel"/>
    <w:tmpl w:val="705D32C3"/>
    <w:lvl w:ilvl="0" w:tentative="0">
      <w:start w:val="5"/>
      <w:numFmt w:val="decimal"/>
      <w:lvlText w:val="%1."/>
      <w:lvlJc w:val="left"/>
      <w:pPr>
        <w:tabs>
          <w:tab w:val="left" w:pos="312"/>
        </w:tabs>
      </w:pPr>
    </w:lvl>
  </w:abstractNum>
  <w:abstractNum w:abstractNumId="4">
    <w:nsid w:val="72A91362"/>
    <w:multiLevelType w:val="singleLevel"/>
    <w:tmpl w:val="72A91362"/>
    <w:lvl w:ilvl="0" w:tentative="0">
      <w:start w:val="9"/>
      <w:numFmt w:val="chineseCounting"/>
      <w:suff w:val="nothing"/>
      <w:lvlText w:val="（%1）"/>
      <w:lvlJc w:val="left"/>
      <w:pPr>
        <w:ind w:left="560" w:firstLine="0"/>
      </w:pPr>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618A"/>
    <w:rsid w:val="000B21AE"/>
    <w:rsid w:val="003D60BA"/>
    <w:rsid w:val="00411689"/>
    <w:rsid w:val="005C04A2"/>
    <w:rsid w:val="005D618A"/>
    <w:rsid w:val="00911ECD"/>
    <w:rsid w:val="00A042E0"/>
    <w:rsid w:val="00B26BB1"/>
    <w:rsid w:val="00B26E21"/>
    <w:rsid w:val="00F83B64"/>
    <w:rsid w:val="013E3461"/>
    <w:rsid w:val="02090C75"/>
    <w:rsid w:val="02A23A3C"/>
    <w:rsid w:val="039110A9"/>
    <w:rsid w:val="03AC246A"/>
    <w:rsid w:val="03B23056"/>
    <w:rsid w:val="03DC3EBA"/>
    <w:rsid w:val="03F9794D"/>
    <w:rsid w:val="0430297E"/>
    <w:rsid w:val="046A2461"/>
    <w:rsid w:val="04F8095C"/>
    <w:rsid w:val="051C2970"/>
    <w:rsid w:val="06C64829"/>
    <w:rsid w:val="077D16D2"/>
    <w:rsid w:val="082A69F3"/>
    <w:rsid w:val="08675FC8"/>
    <w:rsid w:val="09B713FD"/>
    <w:rsid w:val="09EF6ACC"/>
    <w:rsid w:val="0A014F90"/>
    <w:rsid w:val="0A315056"/>
    <w:rsid w:val="0A3F2426"/>
    <w:rsid w:val="0ABA6ADB"/>
    <w:rsid w:val="0AFB45AD"/>
    <w:rsid w:val="0B351E9B"/>
    <w:rsid w:val="0B4C50D3"/>
    <w:rsid w:val="0B806B92"/>
    <w:rsid w:val="0B827E94"/>
    <w:rsid w:val="0B8C775A"/>
    <w:rsid w:val="0BD070E1"/>
    <w:rsid w:val="0BF842C8"/>
    <w:rsid w:val="0C247926"/>
    <w:rsid w:val="0C3260F3"/>
    <w:rsid w:val="0C9C5BD1"/>
    <w:rsid w:val="0CCB7741"/>
    <w:rsid w:val="0D794204"/>
    <w:rsid w:val="0E2125D1"/>
    <w:rsid w:val="0E214211"/>
    <w:rsid w:val="0E5F2769"/>
    <w:rsid w:val="0F4D75A3"/>
    <w:rsid w:val="0F5B2DCA"/>
    <w:rsid w:val="0FED051E"/>
    <w:rsid w:val="0FEE4C29"/>
    <w:rsid w:val="10046082"/>
    <w:rsid w:val="110D340B"/>
    <w:rsid w:val="111703D2"/>
    <w:rsid w:val="112B101A"/>
    <w:rsid w:val="119B53FC"/>
    <w:rsid w:val="12424CDC"/>
    <w:rsid w:val="129A2738"/>
    <w:rsid w:val="12B56BF1"/>
    <w:rsid w:val="12CB1A89"/>
    <w:rsid w:val="131840FB"/>
    <w:rsid w:val="13467417"/>
    <w:rsid w:val="136E76CF"/>
    <w:rsid w:val="13F67846"/>
    <w:rsid w:val="149E09DA"/>
    <w:rsid w:val="14D42BA4"/>
    <w:rsid w:val="15BC6B3C"/>
    <w:rsid w:val="164D40B0"/>
    <w:rsid w:val="165C3571"/>
    <w:rsid w:val="1694429A"/>
    <w:rsid w:val="17635326"/>
    <w:rsid w:val="18236EFD"/>
    <w:rsid w:val="189D5B1F"/>
    <w:rsid w:val="18A34CD0"/>
    <w:rsid w:val="19772108"/>
    <w:rsid w:val="198401C4"/>
    <w:rsid w:val="19A53EA8"/>
    <w:rsid w:val="19B64DBC"/>
    <w:rsid w:val="1A373ACF"/>
    <w:rsid w:val="1A895341"/>
    <w:rsid w:val="1A9C43C1"/>
    <w:rsid w:val="1B0D071F"/>
    <w:rsid w:val="1B3E48E5"/>
    <w:rsid w:val="1B4568CE"/>
    <w:rsid w:val="1B68434B"/>
    <w:rsid w:val="1B9015B7"/>
    <w:rsid w:val="1BF54245"/>
    <w:rsid w:val="1BF57933"/>
    <w:rsid w:val="1D0E6976"/>
    <w:rsid w:val="1D5A79EE"/>
    <w:rsid w:val="1E0E2CD0"/>
    <w:rsid w:val="1E2D2094"/>
    <w:rsid w:val="1E831280"/>
    <w:rsid w:val="1EBC4704"/>
    <w:rsid w:val="1EBF02FC"/>
    <w:rsid w:val="1F172EB5"/>
    <w:rsid w:val="1F94592D"/>
    <w:rsid w:val="1FB860DE"/>
    <w:rsid w:val="203C5A02"/>
    <w:rsid w:val="209D4C94"/>
    <w:rsid w:val="20E84705"/>
    <w:rsid w:val="21351258"/>
    <w:rsid w:val="218400BA"/>
    <w:rsid w:val="21AB1E2F"/>
    <w:rsid w:val="21D40498"/>
    <w:rsid w:val="225443C0"/>
    <w:rsid w:val="22767047"/>
    <w:rsid w:val="23A05588"/>
    <w:rsid w:val="240476A1"/>
    <w:rsid w:val="24B96C6A"/>
    <w:rsid w:val="25431AEB"/>
    <w:rsid w:val="25BF43FD"/>
    <w:rsid w:val="25F86BCD"/>
    <w:rsid w:val="2605748B"/>
    <w:rsid w:val="26190AD7"/>
    <w:rsid w:val="262A6321"/>
    <w:rsid w:val="269E416A"/>
    <w:rsid w:val="272100D3"/>
    <w:rsid w:val="272C72FC"/>
    <w:rsid w:val="275131CB"/>
    <w:rsid w:val="27EB149D"/>
    <w:rsid w:val="27FD3E52"/>
    <w:rsid w:val="28387D7E"/>
    <w:rsid w:val="28E11370"/>
    <w:rsid w:val="294A756A"/>
    <w:rsid w:val="29781BF8"/>
    <w:rsid w:val="29C33ED0"/>
    <w:rsid w:val="29D5322D"/>
    <w:rsid w:val="2A025DD9"/>
    <w:rsid w:val="2A2619CB"/>
    <w:rsid w:val="2A7C2231"/>
    <w:rsid w:val="2ABB753D"/>
    <w:rsid w:val="2AEA7B0B"/>
    <w:rsid w:val="2B7A49FA"/>
    <w:rsid w:val="2C1F7FDE"/>
    <w:rsid w:val="2C615D26"/>
    <w:rsid w:val="2CB32906"/>
    <w:rsid w:val="2CB679ED"/>
    <w:rsid w:val="2D173C07"/>
    <w:rsid w:val="2D424A86"/>
    <w:rsid w:val="2D9A5122"/>
    <w:rsid w:val="2E2B5DB5"/>
    <w:rsid w:val="2E7B52DB"/>
    <w:rsid w:val="2F273966"/>
    <w:rsid w:val="2F324CFE"/>
    <w:rsid w:val="2F637182"/>
    <w:rsid w:val="2FBA09F1"/>
    <w:rsid w:val="2FEF2ACF"/>
    <w:rsid w:val="30540211"/>
    <w:rsid w:val="31112A0D"/>
    <w:rsid w:val="311F4B20"/>
    <w:rsid w:val="312D7741"/>
    <w:rsid w:val="316F137F"/>
    <w:rsid w:val="31850CDF"/>
    <w:rsid w:val="31DF525F"/>
    <w:rsid w:val="32324C2E"/>
    <w:rsid w:val="327171DF"/>
    <w:rsid w:val="341E3434"/>
    <w:rsid w:val="34BB4442"/>
    <w:rsid w:val="34E6283D"/>
    <w:rsid w:val="35C80C6E"/>
    <w:rsid w:val="360B7EBA"/>
    <w:rsid w:val="365D5847"/>
    <w:rsid w:val="367136F5"/>
    <w:rsid w:val="369C32FD"/>
    <w:rsid w:val="37666E72"/>
    <w:rsid w:val="38156F95"/>
    <w:rsid w:val="38167A04"/>
    <w:rsid w:val="394B167A"/>
    <w:rsid w:val="3A4E4336"/>
    <w:rsid w:val="3A6007FE"/>
    <w:rsid w:val="3B7A33CD"/>
    <w:rsid w:val="3B7C2CE4"/>
    <w:rsid w:val="3BB95DD9"/>
    <w:rsid w:val="3C0B5355"/>
    <w:rsid w:val="3CD4176B"/>
    <w:rsid w:val="3D1F44D9"/>
    <w:rsid w:val="3D5C38CD"/>
    <w:rsid w:val="3E5070F1"/>
    <w:rsid w:val="3F0B5680"/>
    <w:rsid w:val="3F6C3589"/>
    <w:rsid w:val="3F850180"/>
    <w:rsid w:val="3F9004D6"/>
    <w:rsid w:val="400E4D5E"/>
    <w:rsid w:val="4011109B"/>
    <w:rsid w:val="40E1138C"/>
    <w:rsid w:val="413814BA"/>
    <w:rsid w:val="41872511"/>
    <w:rsid w:val="41F25D8B"/>
    <w:rsid w:val="42466655"/>
    <w:rsid w:val="42C82F57"/>
    <w:rsid w:val="43041318"/>
    <w:rsid w:val="43193526"/>
    <w:rsid w:val="433F44BC"/>
    <w:rsid w:val="43C76AF7"/>
    <w:rsid w:val="446828F0"/>
    <w:rsid w:val="45093E85"/>
    <w:rsid w:val="45C13B4D"/>
    <w:rsid w:val="46054BCA"/>
    <w:rsid w:val="46402754"/>
    <w:rsid w:val="464C6AFC"/>
    <w:rsid w:val="468B0091"/>
    <w:rsid w:val="46A107C3"/>
    <w:rsid w:val="46B15CE2"/>
    <w:rsid w:val="46BE113D"/>
    <w:rsid w:val="46E44B13"/>
    <w:rsid w:val="4703508A"/>
    <w:rsid w:val="475023F8"/>
    <w:rsid w:val="479D361E"/>
    <w:rsid w:val="47B74789"/>
    <w:rsid w:val="480F2B9D"/>
    <w:rsid w:val="48282920"/>
    <w:rsid w:val="483D6BD1"/>
    <w:rsid w:val="485321E0"/>
    <w:rsid w:val="48546AD3"/>
    <w:rsid w:val="48CA4868"/>
    <w:rsid w:val="48F005D3"/>
    <w:rsid w:val="48FF701D"/>
    <w:rsid w:val="498F4AF1"/>
    <w:rsid w:val="49C05787"/>
    <w:rsid w:val="49CF518D"/>
    <w:rsid w:val="4A5D06F7"/>
    <w:rsid w:val="4ADA1F63"/>
    <w:rsid w:val="4AE23D89"/>
    <w:rsid w:val="4B2038D0"/>
    <w:rsid w:val="4B296E7D"/>
    <w:rsid w:val="4B877F28"/>
    <w:rsid w:val="4B877FAD"/>
    <w:rsid w:val="4C6B4260"/>
    <w:rsid w:val="4D916BA6"/>
    <w:rsid w:val="4DC44169"/>
    <w:rsid w:val="4EF0709E"/>
    <w:rsid w:val="4F0469A4"/>
    <w:rsid w:val="4FAD0EDC"/>
    <w:rsid w:val="506023C7"/>
    <w:rsid w:val="50834781"/>
    <w:rsid w:val="51246FEE"/>
    <w:rsid w:val="513C6A7B"/>
    <w:rsid w:val="51F567EC"/>
    <w:rsid w:val="532A0F25"/>
    <w:rsid w:val="532D486F"/>
    <w:rsid w:val="5333545B"/>
    <w:rsid w:val="53597ECD"/>
    <w:rsid w:val="538D0E89"/>
    <w:rsid w:val="542D463A"/>
    <w:rsid w:val="5450213C"/>
    <w:rsid w:val="54994694"/>
    <w:rsid w:val="54D24048"/>
    <w:rsid w:val="54D64CD5"/>
    <w:rsid w:val="54E67B92"/>
    <w:rsid w:val="55887D69"/>
    <w:rsid w:val="56107449"/>
    <w:rsid w:val="561A0928"/>
    <w:rsid w:val="56206F8E"/>
    <w:rsid w:val="56423872"/>
    <w:rsid w:val="56B279F0"/>
    <w:rsid w:val="57596306"/>
    <w:rsid w:val="579D710E"/>
    <w:rsid w:val="581F22F6"/>
    <w:rsid w:val="586E1E17"/>
    <w:rsid w:val="58862C35"/>
    <w:rsid w:val="58C14957"/>
    <w:rsid w:val="5AE83A50"/>
    <w:rsid w:val="5B080EEE"/>
    <w:rsid w:val="5BAB2917"/>
    <w:rsid w:val="5BEC66A7"/>
    <w:rsid w:val="5BFC33FA"/>
    <w:rsid w:val="5C3107A4"/>
    <w:rsid w:val="5C3B1B93"/>
    <w:rsid w:val="5C9220DF"/>
    <w:rsid w:val="5D3B754D"/>
    <w:rsid w:val="5D4A15F3"/>
    <w:rsid w:val="5D69542A"/>
    <w:rsid w:val="5D783B72"/>
    <w:rsid w:val="5E0930EF"/>
    <w:rsid w:val="5E3D4D53"/>
    <w:rsid w:val="5E4717E6"/>
    <w:rsid w:val="5E55774C"/>
    <w:rsid w:val="5E634609"/>
    <w:rsid w:val="5E8D406F"/>
    <w:rsid w:val="60104DDC"/>
    <w:rsid w:val="605C0804"/>
    <w:rsid w:val="6189617B"/>
    <w:rsid w:val="61950342"/>
    <w:rsid w:val="61B52BB6"/>
    <w:rsid w:val="61B749C2"/>
    <w:rsid w:val="62280D20"/>
    <w:rsid w:val="6256002F"/>
    <w:rsid w:val="62632B4B"/>
    <w:rsid w:val="62CA2457"/>
    <w:rsid w:val="638240A1"/>
    <w:rsid w:val="63833423"/>
    <w:rsid w:val="63A5257B"/>
    <w:rsid w:val="63BD3DCC"/>
    <w:rsid w:val="63C61741"/>
    <w:rsid w:val="63DC48D9"/>
    <w:rsid w:val="64560967"/>
    <w:rsid w:val="65264C18"/>
    <w:rsid w:val="656B1D10"/>
    <w:rsid w:val="65B841F9"/>
    <w:rsid w:val="65BE2AA5"/>
    <w:rsid w:val="65E424C5"/>
    <w:rsid w:val="66022B28"/>
    <w:rsid w:val="664A38E2"/>
    <w:rsid w:val="66581E87"/>
    <w:rsid w:val="66744746"/>
    <w:rsid w:val="668F6753"/>
    <w:rsid w:val="66FA11D5"/>
    <w:rsid w:val="674302C7"/>
    <w:rsid w:val="680A5986"/>
    <w:rsid w:val="680D5F4B"/>
    <w:rsid w:val="68113F51"/>
    <w:rsid w:val="68E94770"/>
    <w:rsid w:val="68F949C9"/>
    <w:rsid w:val="695A4290"/>
    <w:rsid w:val="6968165F"/>
    <w:rsid w:val="69E61990"/>
    <w:rsid w:val="6A23732E"/>
    <w:rsid w:val="6A334932"/>
    <w:rsid w:val="6A3353FF"/>
    <w:rsid w:val="6A5D63E6"/>
    <w:rsid w:val="6A5F24D1"/>
    <w:rsid w:val="6AE347EB"/>
    <w:rsid w:val="6AF62722"/>
    <w:rsid w:val="6B434AF0"/>
    <w:rsid w:val="6B57675A"/>
    <w:rsid w:val="6BDD7B4D"/>
    <w:rsid w:val="6EBC0B3A"/>
    <w:rsid w:val="6EF51C7D"/>
    <w:rsid w:val="6F8363E5"/>
    <w:rsid w:val="6FC746F5"/>
    <w:rsid w:val="70317AC6"/>
    <w:rsid w:val="7044728C"/>
    <w:rsid w:val="70863262"/>
    <w:rsid w:val="70A76ED3"/>
    <w:rsid w:val="71860B17"/>
    <w:rsid w:val="723B27CC"/>
    <w:rsid w:val="726365B7"/>
    <w:rsid w:val="72687227"/>
    <w:rsid w:val="72A03FD9"/>
    <w:rsid w:val="73406CFF"/>
    <w:rsid w:val="7383028C"/>
    <w:rsid w:val="73A25E44"/>
    <w:rsid w:val="741F68CF"/>
    <w:rsid w:val="75252DF3"/>
    <w:rsid w:val="75621536"/>
    <w:rsid w:val="75907943"/>
    <w:rsid w:val="75BF3154"/>
    <w:rsid w:val="764A07CF"/>
    <w:rsid w:val="764F6B3D"/>
    <w:rsid w:val="76CD2B7B"/>
    <w:rsid w:val="76D80645"/>
    <w:rsid w:val="76E03371"/>
    <w:rsid w:val="77C91D4D"/>
    <w:rsid w:val="780E5898"/>
    <w:rsid w:val="782642CC"/>
    <w:rsid w:val="7894095E"/>
    <w:rsid w:val="78964555"/>
    <w:rsid w:val="78CF4963"/>
    <w:rsid w:val="79000679"/>
    <w:rsid w:val="79A416F0"/>
    <w:rsid w:val="79B03EB6"/>
    <w:rsid w:val="7A120A59"/>
    <w:rsid w:val="7AE15A5C"/>
    <w:rsid w:val="7AF37579"/>
    <w:rsid w:val="7AF87F64"/>
    <w:rsid w:val="7B1C0C84"/>
    <w:rsid w:val="7B5A62DF"/>
    <w:rsid w:val="7B7A04A8"/>
    <w:rsid w:val="7C0C3F6D"/>
    <w:rsid w:val="7C22163C"/>
    <w:rsid w:val="7C457B4B"/>
    <w:rsid w:val="7C595075"/>
    <w:rsid w:val="7C6B07B2"/>
    <w:rsid w:val="7D133243"/>
    <w:rsid w:val="7D945420"/>
    <w:rsid w:val="7E394207"/>
    <w:rsid w:val="7E4007A2"/>
    <w:rsid w:val="7E791CAD"/>
    <w:rsid w:val="7EA50DFB"/>
    <w:rsid w:val="7EC86878"/>
    <w:rsid w:val="7F16390D"/>
    <w:rsid w:val="7F752917"/>
    <w:rsid w:val="7F8F711B"/>
    <w:rsid w:val="7FDD6D75"/>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line="500" w:lineRule="exact"/>
      <w:ind w:firstLine="570"/>
    </w:pPr>
    <w:rPr>
      <w:sz w:val="28"/>
    </w:r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page number"/>
    <w:qFormat/>
    <w:uiPriority w:val="0"/>
    <w:rPr>
      <w:rFonts w:ascii="Arial" w:hAnsi="Arial"/>
      <w:color w:val="333333"/>
      <w:sz w:val="18"/>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Blockquote"/>
    <w:basedOn w:val="1"/>
    <w:qFormat/>
    <w:uiPriority w:val="0"/>
    <w:pPr>
      <w:autoSpaceDE w:val="0"/>
      <w:autoSpaceDN w:val="0"/>
      <w:adjustRightInd w:val="0"/>
      <w:spacing w:before="100" w:after="100"/>
      <w:ind w:left="360" w:right="360"/>
      <w:jc w:val="left"/>
    </w:pPr>
    <w:rPr>
      <w:rFonts w:ascii="Calibri" w:hAnsi="Calibri"/>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100</Pages>
  <Words>6324</Words>
  <Characters>36048</Characters>
  <Lines>300</Lines>
  <Paragraphs>84</Paragraphs>
  <TotalTime>22</TotalTime>
  <ScaleCrop>false</ScaleCrop>
  <LinksUpToDate>false</LinksUpToDate>
  <CharactersWithSpaces>42288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林煜韩</cp:lastModifiedBy>
  <cp:lastPrinted>2022-05-27T01:20:00Z</cp:lastPrinted>
  <dcterms:modified xsi:type="dcterms:W3CDTF">2022-06-09T08:36:20Z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