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宋体" w:hAnsi="宋体" w:eastAsia="宋体" w:cs="宋体"/>
          <w:b/>
          <w:bCs/>
          <w:sz w:val="52"/>
          <w:szCs w:val="52"/>
        </w:rPr>
      </w:pPr>
      <w:r>
        <w:rPr>
          <w:rFonts w:hint="eastAsia" w:ascii="宋体" w:hAnsi="宋体" w:eastAsia="宋体" w:cs="宋体"/>
          <w:b/>
          <w:bCs/>
          <w:sz w:val="52"/>
          <w:szCs w:val="52"/>
        </w:rPr>
        <w:t>广州市净水有限公司大沙地污水厂树木保护专章编制项目</w:t>
      </w:r>
    </w:p>
    <w:p>
      <w:pPr>
        <w:jc w:val="center"/>
        <w:rPr>
          <w:rFonts w:ascii="方正小标宋简体" w:eastAsia="方正小标宋简体"/>
          <w:sz w:val="52"/>
          <w:szCs w:val="52"/>
        </w:rPr>
      </w:pPr>
      <w:r>
        <w:rPr>
          <w:rFonts w:hint="eastAsia" w:ascii="宋体" w:hAnsi="宋体" w:eastAsia="宋体" w:cs="宋体"/>
          <w:b/>
          <w:bCs/>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广州市净水有限公司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4"/>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9"/>
        <w:numPr>
          <w:ilvl w:val="0"/>
          <w:numId w:val="1"/>
        </w:numPr>
        <w:tabs>
          <w:tab w:val="right" w:pos="8844"/>
        </w:tabs>
      </w:pPr>
      <w:r>
        <w:rPr>
          <w:rFonts w:hint="eastAsia"/>
        </w:rPr>
        <w:t>采购公告</w:t>
      </w:r>
    </w:p>
    <w:p>
      <w:pPr>
        <w:pStyle w:val="19"/>
        <w:numPr>
          <w:ilvl w:val="0"/>
          <w:numId w:val="1"/>
        </w:numPr>
        <w:tabs>
          <w:tab w:val="right" w:pos="8844"/>
        </w:tabs>
      </w:pPr>
      <w:r>
        <w:rPr>
          <w:rFonts w:hint="eastAsia"/>
        </w:rPr>
        <w:t>供应商须知</w:t>
      </w:r>
    </w:p>
    <w:p>
      <w:pPr>
        <w:pStyle w:val="19"/>
        <w:numPr>
          <w:ilvl w:val="0"/>
          <w:numId w:val="1"/>
        </w:numPr>
        <w:tabs>
          <w:tab w:val="right" w:pos="8844"/>
        </w:tabs>
      </w:pPr>
      <w:r>
        <w:rPr>
          <w:rFonts w:hint="eastAsia"/>
        </w:rPr>
        <w:t>采购方法</w:t>
      </w:r>
    </w:p>
    <w:p>
      <w:pPr>
        <w:pStyle w:val="19"/>
        <w:numPr>
          <w:ilvl w:val="0"/>
          <w:numId w:val="1"/>
        </w:numPr>
        <w:tabs>
          <w:tab w:val="right" w:pos="8844"/>
        </w:tabs>
      </w:pPr>
      <w:r>
        <w:rPr>
          <w:rFonts w:hint="eastAsia"/>
        </w:rPr>
        <w:t>评审方法</w:t>
      </w:r>
    </w:p>
    <w:p>
      <w:pPr>
        <w:pStyle w:val="19"/>
        <w:numPr>
          <w:ilvl w:val="0"/>
          <w:numId w:val="1"/>
        </w:numPr>
        <w:tabs>
          <w:tab w:val="right" w:pos="8844"/>
        </w:tabs>
      </w:pPr>
      <w:r>
        <w:rPr>
          <w:rFonts w:hint="eastAsia"/>
        </w:rPr>
        <w:t>采购需求</w:t>
      </w:r>
    </w:p>
    <w:p>
      <w:pPr>
        <w:pStyle w:val="19"/>
        <w:numPr>
          <w:ilvl w:val="0"/>
          <w:numId w:val="1"/>
        </w:numPr>
        <w:tabs>
          <w:tab w:val="right" w:pos="8844"/>
        </w:tabs>
      </w:pPr>
      <w:r>
        <w:rPr>
          <w:rFonts w:hint="eastAsia"/>
        </w:rPr>
        <w:t>合同草案</w:t>
      </w:r>
    </w:p>
    <w:p>
      <w:pPr>
        <w:pStyle w:val="19"/>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9"/>
        <w:tabs>
          <w:tab w:val="right" w:pos="8844"/>
        </w:tabs>
      </w:pPr>
      <w:r>
        <w:fldChar w:fldCharType="begin"/>
      </w:r>
      <w:r>
        <w:instrText xml:space="preserve"> HYPERLINK \l "_Toc5817" </w:instrText>
      </w:r>
      <w:r>
        <w:fldChar w:fldCharType="separate"/>
      </w:r>
      <w:r>
        <w:fldChar w:fldCharType="end"/>
      </w:r>
    </w:p>
    <w:p>
      <w:pPr>
        <w:pStyle w:val="19"/>
        <w:tabs>
          <w:tab w:val="right" w:pos="8844"/>
        </w:tabs>
      </w:pPr>
      <w:r>
        <w:fldChar w:fldCharType="begin"/>
      </w:r>
      <w:r>
        <w:instrText xml:space="preserve"> HYPERLINK \l "_Toc27928" </w:instrText>
      </w:r>
      <w:r>
        <w:fldChar w:fldCharType="separate"/>
      </w:r>
      <w:r>
        <w:fldChar w:fldCharType="end"/>
      </w:r>
    </w:p>
    <w:p>
      <w:pPr>
        <w:pStyle w:val="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26148"/>
      <w:bookmarkStart w:id="1" w:name="_Toc18145"/>
    </w:p>
    <w:p/>
    <w:p>
      <w:pPr>
        <w:pStyle w:val="4"/>
      </w:pPr>
      <w:bookmarkStart w:id="2" w:name="_Toc17696"/>
      <w:bookmarkStart w:id="3" w:name="_Toc1711"/>
    </w:p>
    <w:p/>
    <w:p>
      <w:pPr>
        <w:pStyle w:val="2"/>
      </w:pPr>
    </w:p>
    <w:p>
      <w:pPr>
        <w:pStyle w:val="2"/>
      </w:pPr>
    </w:p>
    <w:p>
      <w:pPr>
        <w:pStyle w:val="2"/>
      </w:pPr>
    </w:p>
    <w:p>
      <w:pPr>
        <w:pStyle w:val="2"/>
      </w:pPr>
    </w:p>
    <w:p>
      <w:pPr>
        <w:pStyle w:val="4"/>
      </w:pPr>
      <w:bookmarkStart w:id="4" w:name="_Toc17801"/>
      <w:bookmarkStart w:id="5" w:name="_Toc4275"/>
      <w:bookmarkStart w:id="6" w:name="_Toc11322"/>
      <w:bookmarkStart w:id="7" w:name="_Toc19609"/>
      <w:bookmarkStart w:id="8" w:name="_Toc31938"/>
      <w:bookmarkStart w:id="9" w:name="_Toc1669"/>
      <w:bookmarkStart w:id="10" w:name="_Toc7519"/>
    </w:p>
    <w:p>
      <w:pPr>
        <w:pStyle w:val="4"/>
      </w:pPr>
    </w:p>
    <w:p>
      <w:pPr>
        <w:pStyle w:val="4"/>
      </w:pPr>
    </w:p>
    <w:p>
      <w:pPr>
        <w:pStyle w:val="4"/>
      </w:pPr>
      <w:r>
        <w:pict>
          <v:shape id="_x0000_s2065" o:spid="_x0000_s2065"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6"/>
      </w:pPr>
    </w:p>
    <w:p>
      <w:pPr>
        <w:pStyle w:val="4"/>
      </w:pPr>
      <w:bookmarkStart w:id="11" w:name="_Toc5230"/>
      <w:bookmarkStart w:id="12" w:name="_Toc26363"/>
      <w:bookmarkStart w:id="13" w:name="_Toc30989"/>
      <w:bookmarkStart w:id="14" w:name="_Toc14238"/>
      <w:bookmarkStart w:id="15" w:name="_Toc15709"/>
      <w:bookmarkStart w:id="16" w:name="_Toc8201"/>
      <w:bookmarkStart w:id="17" w:name="_Toc30131"/>
      <w:bookmarkStart w:id="18" w:name="_Toc2659"/>
      <w:bookmarkStart w:id="19" w:name="_Toc88209924"/>
      <w:bookmarkStart w:id="20" w:name="_Toc999"/>
      <w:bookmarkStart w:id="21" w:name="_Toc10122"/>
      <w:bookmarkStart w:id="22" w:name="_Toc28995"/>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仿宋_GB2312" w:eastAsia="仿宋_GB2312"/>
          <w:sz w:val="28"/>
          <w:szCs w:val="28"/>
        </w:rPr>
      </w:pPr>
    </w:p>
    <w:p>
      <w:pPr>
        <w:adjustRightInd w:val="0"/>
        <w:snapToGrid w:val="0"/>
        <w:spacing w:before="156" w:beforeLines="50" w:after="156" w:afterLines="50" w:line="600" w:lineRule="exact"/>
        <w:jc w:val="left"/>
        <w:rPr>
          <w:rFonts w:hint="eastAsia" w:asciiTheme="minorEastAsia" w:hAnsiTheme="minorEastAsia"/>
          <w:sz w:val="24"/>
          <w:szCs w:val="24"/>
        </w:rPr>
      </w:pPr>
    </w:p>
    <w:p>
      <w:pPr>
        <w:adjustRightInd w:val="0"/>
        <w:snapToGrid w:val="0"/>
        <w:spacing w:before="156" w:beforeLines="50" w:after="156" w:afterLines="50" w:line="600" w:lineRule="exact"/>
        <w:jc w:val="left"/>
      </w:pPr>
      <w:r>
        <w:rPr>
          <w:rFonts w:hint="eastAsia" w:asciiTheme="minorEastAsia" w:hAnsiTheme="minorEastAsia"/>
          <w:sz w:val="24"/>
          <w:szCs w:val="24"/>
        </w:rPr>
        <w:t>适用于纸质评审的公开采购方式</w:t>
      </w:r>
    </w:p>
    <w:p>
      <w:pPr>
        <w:pStyle w:val="5"/>
        <w:spacing w:line="600" w:lineRule="exact"/>
      </w:pPr>
      <w:bookmarkStart w:id="23" w:name="_Toc9680"/>
      <w:bookmarkStart w:id="24" w:name="_Toc21373"/>
      <w:r>
        <w:rPr>
          <w:rFonts w:hint="eastAsia" w:ascii="宋体" w:hAnsi="宋体" w:eastAsia="宋体" w:cs="宋体"/>
          <w:b/>
          <w:bCs w:val="0"/>
          <w:sz w:val="30"/>
          <w:szCs w:val="30"/>
          <w:u w:val="single"/>
        </w:rPr>
        <w:t>广州市净水有限公司大沙地污水厂树木保护专章编制项目</w:t>
      </w:r>
      <w:r>
        <w:rPr>
          <w:rFonts w:hint="eastAsia" w:ascii="宋体" w:hAnsi="宋体" w:eastAsia="宋体" w:cs="宋体"/>
          <w:b/>
          <w:bCs w:val="0"/>
          <w:sz w:val="30"/>
          <w:szCs w:val="30"/>
        </w:rPr>
        <w:t>采购公告</w:t>
      </w:r>
      <w:bookmarkEnd w:id="23"/>
      <w:bookmarkEnd w:id="24"/>
    </w:p>
    <w:p>
      <w:pPr>
        <w:adjustRightInd w:val="0"/>
        <w:snapToGrid w:val="0"/>
        <w:spacing w:line="600" w:lineRule="exact"/>
        <w:jc w:val="left"/>
        <w:rPr>
          <w:rFonts w:hint="eastAsia" w:ascii="仿宋" w:hAnsi="仿宋" w:eastAsia="仿宋" w:cs="仿宋"/>
          <w:sz w:val="28"/>
          <w:szCs w:val="28"/>
          <w:u w:val="single"/>
        </w:rPr>
      </w:pPr>
      <w:r>
        <w:rPr>
          <w:rFonts w:hint="eastAsia" w:ascii="仿宋_GB2312" w:eastAsia="仿宋_GB2312"/>
          <w:sz w:val="28"/>
          <w:szCs w:val="28"/>
        </w:rPr>
        <w:t xml:space="preserve">  </w:t>
      </w:r>
      <w:r>
        <w:rPr>
          <w:rFonts w:hint="eastAsia" w:ascii="仿宋" w:hAnsi="仿宋" w:eastAsia="仿宋" w:cs="仿宋"/>
          <w:sz w:val="28"/>
          <w:szCs w:val="28"/>
          <w:u w:val="single"/>
        </w:rPr>
        <w:t>广州市净水有限公司大沙地污水厂树木保护专章编制项目</w:t>
      </w:r>
      <w:r>
        <w:rPr>
          <w:rFonts w:hint="eastAsia" w:ascii="仿宋" w:hAnsi="仿宋" w:eastAsia="仿宋" w:cs="仿宋"/>
          <w:sz w:val="28"/>
          <w:szCs w:val="28"/>
        </w:rPr>
        <w:t xml:space="preserve">已具备采购条件，现对该□施工  </w:t>
      </w:r>
      <w:r>
        <w:rPr>
          <w:rFonts w:hint="eastAsia" w:ascii="仿宋" w:hAnsi="仿宋" w:eastAsia="仿宋" w:cs="仿宋"/>
          <w:sz w:val="28"/>
          <w:szCs w:val="28"/>
        </w:rPr>
        <w:sym w:font="Wingdings 2" w:char="00A3"/>
      </w:r>
      <w:r>
        <w:rPr>
          <w:rFonts w:hint="eastAsia" w:ascii="仿宋" w:hAnsi="仿宋" w:eastAsia="仿宋" w:cs="仿宋"/>
          <w:sz w:val="28"/>
          <w:szCs w:val="28"/>
        </w:rPr>
        <w:t>货物</w:t>
      </w:r>
      <w:r>
        <w:rPr>
          <w:rFonts w:hint="eastAsia" w:ascii="仿宋" w:hAnsi="仿宋" w:eastAsia="仿宋" w:cs="仿宋"/>
          <w:sz w:val="28"/>
          <w:szCs w:val="28"/>
          <w:lang w:val="en-US" w:eastAsia="zh-CN"/>
        </w:rPr>
        <w:t xml:space="preserve"> </w:t>
      </w:r>
      <w:bookmarkStart w:id="148" w:name="_GoBack"/>
      <w:bookmarkEnd w:id="148"/>
      <w:r>
        <w:rPr>
          <w:rFonts w:hint="eastAsia" w:ascii="仿宋" w:hAnsi="仿宋" w:eastAsia="仿宋" w:cs="仿宋"/>
          <w:sz w:val="28"/>
          <w:szCs w:val="28"/>
        </w:rPr>
        <w:t xml:space="preserve"> </w:t>
      </w:r>
      <w:r>
        <w:rPr>
          <w:rFonts w:hint="eastAsia" w:ascii="仿宋" w:hAnsi="仿宋" w:eastAsia="仿宋" w:cs="仿宋"/>
          <w:sz w:val="28"/>
          <w:szCs w:val="28"/>
        </w:rPr>
        <w:sym w:font="Wingdings 2" w:char="0052"/>
      </w:r>
      <w:r>
        <w:rPr>
          <w:rFonts w:hint="eastAsia" w:ascii="仿宋" w:hAnsi="仿宋" w:eastAsia="仿宋" w:cs="仿宋"/>
          <w:sz w:val="28"/>
          <w:szCs w:val="28"/>
        </w:rPr>
        <w:t>服务项目实施公开采购活动，采用</w:t>
      </w:r>
      <w:r>
        <w:rPr>
          <w:rFonts w:hint="eastAsia" w:ascii="仿宋" w:hAnsi="仿宋" w:eastAsia="仿宋" w:cs="仿宋"/>
          <w:sz w:val="28"/>
          <w:szCs w:val="28"/>
          <w:u w:val="single"/>
        </w:rPr>
        <w:t>询比采购</w:t>
      </w:r>
      <w:r>
        <w:rPr>
          <w:rFonts w:hint="eastAsia" w:ascii="仿宋" w:hAnsi="仿宋" w:eastAsia="仿宋" w:cs="仿宋"/>
          <w:sz w:val="28"/>
          <w:szCs w:val="28"/>
        </w:rPr>
        <w:t>方式公开邀请合格供应商参加本项目采购竞争。</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1.采购项目简介</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1.1采购项目名称：</w:t>
      </w:r>
      <w:r>
        <w:rPr>
          <w:rFonts w:hint="eastAsia" w:ascii="仿宋" w:hAnsi="仿宋" w:eastAsia="仿宋" w:cs="仿宋"/>
          <w:sz w:val="28"/>
          <w:szCs w:val="28"/>
          <w:u w:val="single"/>
        </w:rPr>
        <w:t>广州市净水有限公司大沙地污水厂树木保护专章编制项目</w:t>
      </w:r>
      <w:r>
        <w:rPr>
          <w:rFonts w:hint="eastAsia" w:ascii="仿宋" w:hAnsi="仿宋" w:eastAsia="仿宋" w:cs="仿宋"/>
          <w:sz w:val="28"/>
          <w:szCs w:val="28"/>
        </w:rPr>
        <w:t xml:space="preserve">  </w:t>
      </w:r>
    </w:p>
    <w:p>
      <w:pPr>
        <w:adjustRightInd w:val="0"/>
        <w:snapToGrid w:val="0"/>
        <w:spacing w:line="600" w:lineRule="exact"/>
        <w:jc w:val="left"/>
        <w:rPr>
          <w:rFonts w:hint="eastAsia" w:ascii="仿宋" w:hAnsi="仿宋" w:eastAsia="仿宋" w:cs="仿宋"/>
          <w:sz w:val="28"/>
          <w:szCs w:val="28"/>
          <w:lang w:val="en-US"/>
        </w:rPr>
      </w:pPr>
      <w:r>
        <w:rPr>
          <w:rFonts w:hint="eastAsia" w:ascii="仿宋" w:hAnsi="仿宋" w:eastAsia="仿宋" w:cs="仿宋"/>
          <w:sz w:val="28"/>
          <w:szCs w:val="28"/>
        </w:rPr>
        <w:t>1.2项目编号：</w:t>
      </w:r>
      <w:r>
        <w:rPr>
          <w:rFonts w:hint="eastAsia" w:ascii="仿宋" w:hAnsi="仿宋" w:eastAsia="仿宋" w:cs="仿宋"/>
          <w:sz w:val="28"/>
          <w:szCs w:val="28"/>
          <w:lang w:val="en-US" w:eastAsia="zh-CN"/>
        </w:rPr>
        <w:t>XJ-20220608-3</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1.3资金来源：</w:t>
      </w:r>
      <w:r>
        <w:rPr>
          <w:rFonts w:hint="eastAsia" w:ascii="仿宋" w:hAnsi="仿宋" w:eastAsia="仿宋" w:cs="仿宋"/>
          <w:sz w:val="28"/>
          <w:szCs w:val="28"/>
          <w:u w:val="single"/>
        </w:rPr>
        <w:t>自有资金</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1.4最高限价（元）：</w:t>
      </w:r>
      <w:r>
        <w:rPr>
          <w:rFonts w:hint="eastAsia" w:ascii="仿宋" w:hAnsi="仿宋" w:eastAsia="仿宋" w:cs="仿宋"/>
          <w:sz w:val="28"/>
          <w:szCs w:val="28"/>
          <w:u w:val="single"/>
        </w:rPr>
        <w:t xml:space="preserve"> 37.08万元</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1.5标段划分：</w:t>
      </w:r>
      <w:r>
        <w:rPr>
          <w:rFonts w:hint="eastAsia" w:ascii="仿宋" w:hAnsi="仿宋" w:eastAsia="仿宋" w:cs="仿宋"/>
          <w:sz w:val="28"/>
          <w:szCs w:val="28"/>
          <w:lang w:val="en-US" w:eastAsia="zh-CN"/>
        </w:rPr>
        <w:t>/</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2.采购内容和范围</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t>2.1采购内容和范围：</w:t>
      </w:r>
      <w:r>
        <w:rPr>
          <w:rFonts w:hint="eastAsia" w:ascii="仿宋" w:hAnsi="仿宋" w:eastAsia="仿宋" w:cs="仿宋"/>
          <w:sz w:val="28"/>
          <w:szCs w:val="28"/>
          <w:u w:val="single"/>
        </w:rPr>
        <w:t>根据《广州市2021年水务基础设施建设管理及征地拆迁任务书》要求，目前正推进大沙地污水厂控规调整工作。根据黄埔区规自局针对调规报告提出的审查意见，项目调规过程需补充树木保护专章。</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2.2项目工期：□计划工期   □交货期  √服务期为</w:t>
      </w:r>
      <w:r>
        <w:rPr>
          <w:rFonts w:hint="eastAsia" w:ascii="仿宋" w:hAnsi="仿宋" w:eastAsia="仿宋" w:cs="仿宋"/>
          <w:sz w:val="28"/>
          <w:szCs w:val="28"/>
          <w:u w:val="single"/>
        </w:rPr>
        <w:t xml:space="preserve">暂定为自合同签订后一年                   </w:t>
      </w:r>
      <w:r>
        <w:rPr>
          <w:rFonts w:hint="eastAsia" w:ascii="仿宋" w:hAnsi="仿宋" w:eastAsia="仿宋" w:cs="仿宋"/>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 w:hAnsi="仿宋" w:eastAsia="仿宋" w:cs="仿宋"/>
          <w:sz w:val="28"/>
          <w:szCs w:val="28"/>
        </w:rPr>
        <w:t>2.3地点：□建设地点  □交货地点  √服务地点位于</w:t>
      </w:r>
      <w:r>
        <w:rPr>
          <w:rFonts w:hint="eastAsia" w:ascii="仿宋" w:hAnsi="仿宋" w:eastAsia="仿宋" w:cs="仿宋"/>
          <w:sz w:val="28"/>
          <w:szCs w:val="28"/>
          <w:u w:val="single"/>
        </w:rPr>
        <w:t xml:space="preserve">  广州市黄埔区  </w:t>
      </w:r>
      <w:r>
        <w:rPr>
          <w:rFonts w:hint="eastAsia" w:ascii="仿宋_GB2312" w:eastAsia="仿宋_GB2312"/>
          <w:sz w:val="28"/>
          <w:szCs w:val="28"/>
          <w:u w:val="single"/>
        </w:rPr>
        <w:t xml:space="preserve">                   </w:t>
      </w:r>
    </w:p>
    <w:p>
      <w:pPr>
        <w:adjustRightInd w:val="0"/>
        <w:snapToGrid w:val="0"/>
        <w:spacing w:line="600" w:lineRule="exact"/>
        <w:ind w:left="420" w:right="-370" w:rightChars="-176" w:hanging="420" w:hangingChars="150"/>
        <w:jc w:val="left"/>
        <w:rPr>
          <w:rFonts w:hint="eastAsia" w:ascii="仿宋" w:hAnsi="仿宋" w:eastAsia="仿宋" w:cs="仿宋"/>
          <w:sz w:val="28"/>
          <w:szCs w:val="28"/>
        </w:rPr>
      </w:pPr>
      <w:r>
        <w:rPr>
          <w:rFonts w:hint="eastAsia" w:ascii="仿宋" w:hAnsi="仿宋" w:eastAsia="仿宋" w:cs="仿宋"/>
          <w:sz w:val="28"/>
          <w:szCs w:val="28"/>
        </w:rPr>
        <w:t xml:space="preserve">2.4质量要求：□施工质量要求   □货物质量标准或主要技术性能指标  </w:t>
      </w:r>
      <w:r>
        <w:rPr>
          <w:rFonts w:hint="eastAsia" w:ascii="仿宋" w:hAnsi="仿宋" w:eastAsia="仿宋" w:cs="仿宋"/>
          <w:sz w:val="28"/>
          <w:szCs w:val="28"/>
        </w:rPr>
        <w:sym w:font="Wingdings 2" w:char="0052"/>
      </w:r>
      <w:r>
        <w:rPr>
          <w:rFonts w:hint="eastAsia" w:ascii="仿宋" w:hAnsi="仿宋" w:eastAsia="仿宋" w:cs="仿宋"/>
          <w:sz w:val="28"/>
          <w:szCs w:val="28"/>
        </w:rPr>
        <w:t>服务质量要求或服务标准如下：</w:t>
      </w:r>
      <w:r>
        <w:rPr>
          <w:rFonts w:hint="eastAsia" w:ascii="仿宋" w:hAnsi="仿宋" w:eastAsia="仿宋" w:cs="仿宋"/>
          <w:sz w:val="28"/>
          <w:szCs w:val="28"/>
          <w:u w:val="single"/>
        </w:rPr>
        <w:t>应按照所在地政府树木保护专章的内容和深度进行编制</w:t>
      </w:r>
      <w:r>
        <w:rPr>
          <w:rFonts w:hint="eastAsia" w:ascii="仿宋" w:hAnsi="仿宋" w:eastAsia="仿宋" w:cs="仿宋"/>
          <w:sz w:val="28"/>
          <w:szCs w:val="28"/>
        </w:rPr>
        <w:t xml:space="preserve"> </w:t>
      </w:r>
    </w:p>
    <w:p>
      <w:pPr>
        <w:adjustRightInd w:val="0"/>
        <w:snapToGrid w:val="0"/>
        <w:spacing w:line="600" w:lineRule="exact"/>
        <w:ind w:left="420" w:right="-370" w:rightChars="-176" w:hanging="420" w:hangingChars="150"/>
        <w:jc w:val="left"/>
        <w:rPr>
          <w:rFonts w:hint="eastAsia" w:ascii="仿宋" w:hAnsi="仿宋" w:eastAsia="仿宋" w:cs="仿宋"/>
          <w:sz w:val="28"/>
          <w:szCs w:val="28"/>
        </w:rPr>
      </w:pPr>
      <w:r>
        <w:rPr>
          <w:rFonts w:hint="eastAsia" w:ascii="仿宋" w:hAnsi="仿宋" w:eastAsia="仿宋" w:cs="仿宋"/>
          <w:sz w:val="28"/>
          <w:szCs w:val="28"/>
        </w:rPr>
        <w:t>2.5其他：□安全目标如下：</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3.供应商资格要求（须提供复印件并加盖单位公章）</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3.1参与本项目采购活动的供应商应当依法设立且满足如下要求：</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52"/>
      </w:r>
      <w:r>
        <w:rPr>
          <w:rFonts w:hint="eastAsia" w:ascii="仿宋" w:hAnsi="仿宋" w:eastAsia="仿宋" w:cs="仿宋"/>
          <w:sz w:val="28"/>
          <w:szCs w:val="28"/>
        </w:rPr>
        <w:t>（2）供应商应当具备</w:t>
      </w:r>
      <w:r>
        <w:rPr>
          <w:rFonts w:hint="eastAsia" w:ascii="仿宋" w:hAnsi="仿宋" w:eastAsia="仿宋" w:cs="仿宋"/>
          <w:sz w:val="28"/>
          <w:szCs w:val="28"/>
          <w:u w:val="none"/>
        </w:rPr>
        <w:t>林业调查规划设计或风景园林资质乙级（或以上）证书。并配备生态、林业、园林、园艺、植保等绿化相关专业高级以上专业技术职称人员不少于三人。</w:t>
      </w:r>
    </w:p>
    <w:p>
      <w:pPr>
        <w:adjustRightInd w:val="0"/>
        <w:snapToGrid w:val="0"/>
        <w:spacing w:line="600" w:lineRule="exact"/>
        <w:jc w:val="left"/>
        <w:rPr>
          <w:rFonts w:hint="eastAsia" w:ascii="仿宋" w:hAnsi="仿宋" w:eastAsia="仿宋" w:cs="仿宋"/>
          <w:sz w:val="28"/>
          <w:szCs w:val="28"/>
          <w:lang w:eastAsia="zh-CN"/>
        </w:rPr>
      </w:pPr>
      <w:r>
        <w:rPr>
          <w:rFonts w:hint="eastAsia" w:ascii="仿宋" w:hAnsi="仿宋" w:eastAsia="仿宋" w:cs="仿宋"/>
          <w:sz w:val="28"/>
          <w:szCs w:val="28"/>
        </w:rPr>
        <w:sym w:font="Wingdings 2" w:char="0052"/>
      </w:r>
      <w:r>
        <w:rPr>
          <w:rFonts w:hint="eastAsia" w:ascii="仿宋" w:hAnsi="仿宋" w:eastAsia="仿宋" w:cs="仿宋"/>
          <w:sz w:val="28"/>
          <w:szCs w:val="28"/>
        </w:rPr>
        <w:t>（3）</w:t>
      </w:r>
      <w:r>
        <w:rPr>
          <w:rFonts w:hint="eastAsia" w:ascii="仿宋" w:hAnsi="仿宋" w:eastAsia="仿宋" w:cs="仿宋"/>
          <w:sz w:val="28"/>
          <w:szCs w:val="28"/>
          <w:u w:val="none"/>
        </w:rPr>
        <w:t>2019年1月1日至今，供应商最少具有一项树木保护类项目的业绩</w:t>
      </w:r>
      <w:r>
        <w:rPr>
          <w:rFonts w:hint="eastAsia" w:ascii="仿宋" w:hAnsi="仿宋" w:eastAsia="仿宋" w:cs="仿宋"/>
          <w:sz w:val="28"/>
          <w:szCs w:val="28"/>
        </w:rPr>
        <w:t>（提供合同复印件证明，包括但不限于项目名称、金额及实施内容、合同签字盖章、签订日期，加盖单位公章）</w:t>
      </w:r>
      <w:r>
        <w:rPr>
          <w:rFonts w:hint="eastAsia" w:ascii="仿宋" w:hAnsi="仿宋" w:eastAsia="仿宋" w:cs="仿宋"/>
          <w:sz w:val="28"/>
          <w:szCs w:val="28"/>
          <w:lang w:eastAsia="zh-CN"/>
        </w:rPr>
        <w:t>。</w:t>
      </w:r>
    </w:p>
    <w:p>
      <w:pPr>
        <w:adjustRightInd w:val="0"/>
        <w:snapToGrid w:val="0"/>
        <w:spacing w:line="600" w:lineRule="exact"/>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A3"/>
      </w:r>
      <w:r>
        <w:rPr>
          <w:rFonts w:hint="eastAsia" w:ascii="仿宋" w:hAnsi="仿宋" w:eastAsia="仿宋" w:cs="仿宋"/>
          <w:sz w:val="28"/>
          <w:szCs w:val="28"/>
        </w:rPr>
        <w:t>（4）项目负责人应当</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资格条件。</w:t>
      </w:r>
    </w:p>
    <w:p>
      <w:pPr>
        <w:pStyle w:val="2"/>
        <w:spacing w:line="600" w:lineRule="exact"/>
        <w:ind w:firstLine="0"/>
        <w:jc w:val="left"/>
        <w:rPr>
          <w:rFonts w:hint="eastAsia" w:ascii="仿宋" w:hAnsi="仿宋" w:eastAsia="仿宋" w:cs="仿宋"/>
          <w:sz w:val="28"/>
          <w:szCs w:val="28"/>
          <w:u w:val="single"/>
        </w:rPr>
      </w:pPr>
      <w:r>
        <w:rPr>
          <w:rFonts w:hint="eastAsia" w:ascii="仿宋" w:hAnsi="仿宋" w:eastAsia="仿宋" w:cs="仿宋"/>
          <w:sz w:val="28"/>
          <w:szCs w:val="28"/>
        </w:rPr>
        <w:sym w:font="Wingdings 2" w:char="00A3"/>
      </w:r>
      <w:r>
        <w:rPr>
          <w:rFonts w:hint="eastAsia" w:ascii="仿宋" w:hAnsi="仿宋" w:eastAsia="仿宋" w:cs="仿宋"/>
          <w:sz w:val="28"/>
          <w:szCs w:val="28"/>
        </w:rPr>
        <w:t>（6）其他要求：</w:t>
      </w:r>
      <w:r>
        <w:rPr>
          <w:rFonts w:hint="eastAsia" w:ascii="仿宋" w:hAnsi="仿宋" w:eastAsia="仿宋" w:cs="仿宋"/>
          <w:sz w:val="28"/>
          <w:szCs w:val="28"/>
          <w:u w:val="single"/>
        </w:rPr>
        <w:t xml:space="preserve">  无                                             </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 w:hAnsi="仿宋" w:eastAsia="仿宋" w:cs="仿宋"/>
          <w:sz w:val="28"/>
          <w:szCs w:val="28"/>
        </w:rPr>
        <w:t>（2）与本项目其他供应商存在控股关系。</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（3）与本项目其他供应商存在管理关系。</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（6）进入清算程序，或被宣告破产，或其他丧失履约能力情形的。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（7）近三年内因发生质量或安全生产事故等受到行政处罚且在处罚期内的。</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（9）被“信用广州”网站纳入失信被执行人名单（失信黑名单）。</w:t>
      </w:r>
    </w:p>
    <w:p>
      <w:pPr>
        <w:adjustRightInd w:val="0"/>
        <w:snapToGrid w:val="0"/>
        <w:spacing w:line="600" w:lineRule="exact"/>
        <w:ind w:firstLine="420" w:firstLineChars="150"/>
        <w:jc w:val="left"/>
        <w:rPr>
          <w:rFonts w:hint="eastAsia" w:ascii="仿宋" w:hAnsi="仿宋" w:eastAsia="仿宋" w:cs="仿宋"/>
          <w:sz w:val="28"/>
          <w:szCs w:val="28"/>
        </w:rPr>
      </w:pPr>
      <w:r>
        <w:rPr>
          <w:rFonts w:hint="eastAsia" w:ascii="仿宋" w:hAnsi="仿宋" w:eastAsia="仿宋" w:cs="仿宋"/>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hint="eastAsia" w:ascii="仿宋" w:hAnsi="仿宋" w:eastAsia="仿宋" w:cs="仿宋"/>
          <w:sz w:val="28"/>
          <w:szCs w:val="28"/>
        </w:rPr>
      </w:pPr>
      <w:r>
        <w:rPr>
          <w:rFonts w:hint="eastAsia" w:ascii="仿宋" w:hAnsi="仿宋" w:eastAsia="仿宋" w:cs="仿宋"/>
          <w:sz w:val="28"/>
          <w:szCs w:val="28"/>
        </w:rPr>
        <w:t>（11）其他违法违纪行为，经审查认为不宜被邀请参加采购活动的。</w:t>
      </w:r>
    </w:p>
    <w:p>
      <w:pPr>
        <w:adjustRightInd w:val="0"/>
        <w:snapToGrid w:val="0"/>
        <w:spacing w:line="600" w:lineRule="exact"/>
        <w:ind w:firstLine="420" w:firstLineChars="150"/>
        <w:jc w:val="left"/>
        <w:rPr>
          <w:rFonts w:hint="eastAsia" w:ascii="仿宋" w:hAnsi="仿宋" w:eastAsia="仿宋" w:cs="仿宋"/>
          <w:sz w:val="28"/>
          <w:szCs w:val="28"/>
          <w:u w:val="single"/>
        </w:rPr>
      </w:pPr>
      <w:r>
        <w:rPr>
          <w:rFonts w:hint="eastAsia" w:ascii="仿宋" w:hAnsi="仿宋" w:eastAsia="仿宋" w:cs="仿宋"/>
          <w:sz w:val="28"/>
          <w:szCs w:val="28"/>
        </w:rPr>
        <w:t>（12）其他禁止情形：</w:t>
      </w:r>
      <w:r>
        <w:rPr>
          <w:rFonts w:hint="eastAsia" w:ascii="仿宋" w:hAnsi="仿宋" w:eastAsia="仿宋" w:cs="仿宋"/>
          <w:sz w:val="28"/>
          <w:szCs w:val="28"/>
          <w:u w:val="single"/>
        </w:rPr>
        <w:t xml:space="preserve">                                               </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3.3本次项目</w:t>
      </w:r>
      <w:r>
        <w:rPr>
          <w:rFonts w:hint="eastAsia" w:ascii="仿宋" w:hAnsi="仿宋" w:eastAsia="仿宋" w:cs="仿宋"/>
          <w:sz w:val="28"/>
          <w:szCs w:val="28"/>
          <w:u w:val="single"/>
        </w:rPr>
        <w:t>不接受</w:t>
      </w:r>
      <w:r>
        <w:rPr>
          <w:rFonts w:hint="eastAsia" w:ascii="仿宋" w:hAnsi="仿宋" w:eastAsia="仿宋" w:cs="仿宋"/>
          <w:sz w:val="28"/>
          <w:szCs w:val="28"/>
        </w:rPr>
        <w:t>联合体参加采购活动</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4.采购文件的获取</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4.1获取时间</w:t>
      </w:r>
    </w:p>
    <w:p>
      <w:pPr>
        <w:adjustRightInd w:val="0"/>
        <w:snapToGrid w:val="0"/>
        <w:spacing w:line="600" w:lineRule="exact"/>
        <w:ind w:firstLine="555"/>
        <w:jc w:val="left"/>
        <w:rPr>
          <w:rFonts w:hint="eastAsia" w:ascii="仿宋" w:hAnsi="仿宋" w:eastAsia="仿宋" w:cs="仿宋"/>
          <w:sz w:val="28"/>
          <w:szCs w:val="28"/>
        </w:rPr>
      </w:pPr>
      <w:r>
        <w:rPr>
          <w:rFonts w:hint="eastAsia" w:ascii="仿宋" w:hAnsi="仿宋" w:eastAsia="仿宋" w:cs="仿宋"/>
          <w:sz w:val="28"/>
          <w:szCs w:val="28"/>
        </w:rPr>
        <w:t>从</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日至</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日（北京时间）</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 w:hAnsi="仿宋" w:eastAsia="仿宋" w:cs="仿宋"/>
          <w:sz w:val="28"/>
          <w:szCs w:val="28"/>
        </w:rPr>
        <w:t>在</w:t>
      </w:r>
      <w:r>
        <w:rPr>
          <w:rFonts w:hint="eastAsia" w:ascii="仿宋" w:hAnsi="仿宋" w:eastAsia="仿宋" w:cs="仿宋"/>
          <w:sz w:val="28"/>
          <w:szCs w:val="28"/>
          <w:u w:val="single"/>
        </w:rPr>
        <w:t>广州市净水有限公司门户网站</w:t>
      </w:r>
      <w:r>
        <w:rPr>
          <w:rFonts w:hint="eastAsia" w:ascii="仿宋" w:hAnsi="仿宋" w:eastAsia="仿宋" w:cs="仿宋"/>
          <w:sz w:val="28"/>
          <w:szCs w:val="28"/>
        </w:rPr>
        <w:t>下载采购文件。</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p>
    <w:p>
      <w:pPr>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rPr>
        <w:sym w:font="Wingdings 2" w:char="0052"/>
      </w:r>
      <w:r>
        <w:rPr>
          <w:rFonts w:hint="eastAsia" w:ascii="仿宋" w:hAnsi="仿宋" w:eastAsia="仿宋" w:cs="仿宋"/>
          <w:sz w:val="28"/>
          <w:szCs w:val="28"/>
        </w:rPr>
        <w:t>不组织</w:t>
      </w:r>
    </w:p>
    <w:p>
      <w:pPr>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rPr>
        <w:t>□组织</w:t>
      </w:r>
    </w:p>
    <w:p>
      <w:pPr>
        <w:adjustRightInd w:val="0"/>
        <w:snapToGrid w:val="0"/>
        <w:spacing w:line="60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hint="eastAsia" w:ascii="仿宋" w:hAnsi="仿宋" w:eastAsia="仿宋" w:cs="仿宋"/>
          <w:sz w:val="28"/>
          <w:szCs w:val="28"/>
        </w:rPr>
      </w:pPr>
      <w:r>
        <w:rPr>
          <w:rFonts w:hint="eastAsia" w:ascii="仿宋" w:hAnsi="仿宋" w:eastAsia="仿宋" w:cs="仿宋"/>
          <w:sz w:val="28"/>
          <w:szCs w:val="28"/>
        </w:rPr>
        <w:t xml:space="preserve">踏勘时间：                     </w:t>
      </w:r>
    </w:p>
    <w:p>
      <w:pPr>
        <w:adjustRightInd w:val="0"/>
        <w:snapToGrid w:val="0"/>
        <w:spacing w:line="600" w:lineRule="exact"/>
        <w:jc w:val="left"/>
        <w:rPr>
          <w:rFonts w:asciiTheme="minorEastAsia" w:hAnsiTheme="minorEastAsia"/>
          <w:b/>
          <w:sz w:val="32"/>
          <w:szCs w:val="32"/>
        </w:rPr>
      </w:pPr>
      <w:r>
        <w:rPr>
          <w:rFonts w:hint="eastAsia" w:ascii="仿宋" w:hAnsi="仿宋" w:eastAsia="仿宋" w:cs="仿宋"/>
          <w:sz w:val="28"/>
          <w:szCs w:val="28"/>
        </w:rPr>
        <w:t>踏勘集中地点：</w:t>
      </w:r>
      <w:r>
        <w:rPr>
          <w:rFonts w:hint="eastAsia" w:ascii="仿宋_GB2312" w:eastAsia="仿宋_GB2312"/>
          <w:sz w:val="28"/>
          <w:szCs w:val="28"/>
        </w:rPr>
        <w:t xml:space="preserve">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6.1递交响应文件截止时间：</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14</w:t>
      </w:r>
      <w:r>
        <w:rPr>
          <w:rFonts w:hint="eastAsia" w:ascii="仿宋" w:hAnsi="仿宋" w:eastAsia="仿宋" w:cs="仿宋"/>
          <w:sz w:val="28"/>
          <w:szCs w:val="28"/>
        </w:rPr>
        <w:t>日</w:t>
      </w:r>
      <w:r>
        <w:rPr>
          <w:rFonts w:hint="eastAsia" w:ascii="仿宋" w:hAnsi="仿宋" w:eastAsia="仿宋" w:cs="仿宋"/>
          <w:sz w:val="28"/>
          <w:szCs w:val="28"/>
          <w:lang w:val="en-US" w:eastAsia="zh-CN"/>
        </w:rPr>
        <w:t>15</w:t>
      </w:r>
      <w:r>
        <w:rPr>
          <w:rFonts w:hint="eastAsia" w:ascii="仿宋" w:hAnsi="仿宋" w:eastAsia="仿宋" w:cs="仿宋"/>
          <w:sz w:val="28"/>
          <w:szCs w:val="28"/>
        </w:rPr>
        <w:t>时</w:t>
      </w:r>
      <w:r>
        <w:rPr>
          <w:rFonts w:hint="eastAsia" w:ascii="仿宋" w:hAnsi="仿宋" w:eastAsia="仿宋" w:cs="仿宋"/>
          <w:sz w:val="28"/>
          <w:szCs w:val="28"/>
          <w:lang w:val="en-US" w:eastAsia="zh-CN"/>
        </w:rPr>
        <w:t>00</w:t>
      </w:r>
      <w:r>
        <w:rPr>
          <w:rFonts w:hint="eastAsia" w:ascii="仿宋" w:hAnsi="仿宋" w:eastAsia="仿宋" w:cs="仿宋"/>
          <w:sz w:val="28"/>
          <w:szCs w:val="28"/>
        </w:rPr>
        <w:t>分前（北京时间）。</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6.2递交及快递地址：广州市天河区临江大道501号</w:t>
      </w:r>
      <w:r>
        <w:rPr>
          <w:rFonts w:hint="eastAsia" w:ascii="仿宋" w:hAnsi="仿宋" w:eastAsia="仿宋" w:cs="仿宋"/>
          <w:sz w:val="28"/>
          <w:szCs w:val="28"/>
          <w:u w:val="none"/>
        </w:rPr>
        <w:t>广州市净水有限公司6楼招标部</w:t>
      </w:r>
      <w:r>
        <w:rPr>
          <w:rFonts w:hint="eastAsia" w:ascii="仿宋" w:hAnsi="仿宋" w:eastAsia="仿宋" w:cs="仿宋"/>
          <w:sz w:val="28"/>
          <w:szCs w:val="28"/>
        </w:rPr>
        <w:t>。</w:t>
      </w:r>
    </w:p>
    <w:p>
      <w:pPr>
        <w:pStyle w:val="2"/>
        <w:ind w:firstLine="560" w:firstLineChars="200"/>
        <w:rPr>
          <w:rFonts w:hint="eastAsia" w:ascii="仿宋" w:hAnsi="仿宋" w:eastAsia="仿宋" w:cs="仿宋"/>
        </w:rPr>
      </w:pPr>
      <w:r>
        <w:rPr>
          <w:rFonts w:hint="eastAsia" w:ascii="仿宋" w:hAnsi="仿宋" w:eastAsia="仿宋" w:cs="仿宋"/>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w:t>
      </w:r>
      <w:r>
        <w:rPr>
          <w:rFonts w:hint="eastAsia" w:ascii="仿宋" w:hAnsi="仿宋" w:eastAsia="仿宋" w:cs="仿宋"/>
          <w:sz w:val="28"/>
          <w:szCs w:val="28"/>
          <w:lang w:val="en-US" w:eastAsia="zh-CN"/>
        </w:rPr>
        <w:t>48</w:t>
      </w:r>
      <w:r>
        <w:rPr>
          <w:rFonts w:hint="eastAsia" w:ascii="仿宋" w:hAnsi="仿宋" w:eastAsia="仿宋" w:cs="仿宋"/>
          <w:sz w:val="28"/>
          <w:szCs w:val="28"/>
        </w:rPr>
        <w:t>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7.其他</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7.1发布公告的其他媒介</w:t>
      </w:r>
    </w:p>
    <w:p>
      <w:pPr>
        <w:adjustRightInd w:val="0"/>
        <w:snapToGrid w:val="0"/>
        <w:spacing w:line="600" w:lineRule="exact"/>
        <w:ind w:firstLine="555"/>
        <w:rPr>
          <w:rFonts w:hint="eastAsia" w:ascii="仿宋" w:hAnsi="仿宋" w:eastAsia="仿宋" w:cs="仿宋"/>
          <w:sz w:val="28"/>
          <w:szCs w:val="28"/>
        </w:rPr>
      </w:pPr>
      <w:r>
        <w:rPr>
          <w:rFonts w:hint="eastAsia" w:ascii="仿宋" w:hAnsi="仿宋" w:eastAsia="仿宋" w:cs="仿宋"/>
          <w:sz w:val="28"/>
          <w:szCs w:val="28"/>
        </w:rPr>
        <w:t>本项目采购公告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补充和修改</w:t>
      </w:r>
      <w:r>
        <w:rPr>
          <w:rFonts w:hint="eastAsia" w:ascii="仿宋" w:hAnsi="仿宋" w:eastAsia="仿宋" w:cs="仿宋"/>
          <w:sz w:val="28"/>
          <w:szCs w:val="28"/>
        </w:rPr>
        <w:t>同时在广州市净水有限公司门户网站</w:t>
      </w:r>
      <w:r>
        <w:rPr>
          <w:rFonts w:hint="eastAsia" w:ascii="仿宋" w:hAnsi="仿宋" w:eastAsia="仿宋" w:cs="仿宋"/>
          <w:sz w:val="28"/>
          <w:szCs w:val="28"/>
          <w:lang w:val="en-US" w:eastAsia="zh-CN"/>
        </w:rPr>
        <w:t>和阳光平台</w:t>
      </w:r>
      <w:r>
        <w:rPr>
          <w:rFonts w:hint="eastAsia" w:ascii="仿宋" w:hAnsi="仿宋" w:eastAsia="仿宋" w:cs="仿宋"/>
          <w:sz w:val="28"/>
          <w:szCs w:val="28"/>
        </w:rPr>
        <w:t>上发布。本公告在各媒体发布的文本如有不同之处，以</w:t>
      </w:r>
      <w:r>
        <w:rPr>
          <w:rFonts w:hint="eastAsia" w:ascii="仿宋" w:hAnsi="仿宋" w:eastAsia="仿宋" w:cs="仿宋"/>
          <w:sz w:val="28"/>
          <w:szCs w:val="28"/>
          <w:lang w:val="en-US" w:eastAsia="zh-CN"/>
        </w:rPr>
        <w:t>净水公司门户网站</w:t>
      </w:r>
      <w:r>
        <w:rPr>
          <w:rFonts w:hint="eastAsia" w:ascii="仿宋" w:hAnsi="仿宋" w:eastAsia="仿宋" w:cs="仿宋"/>
          <w:sz w:val="28"/>
          <w:szCs w:val="28"/>
        </w:rPr>
        <w:t>为准。</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7.2响应文件递交注意事项</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（1）逾期送达的、未送达指定地点的响应文件，采购人将予以拒收。</w:t>
      </w: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（2）不按照采购文件要求密封的响应文件，采购人将予以拒收。</w:t>
      </w:r>
    </w:p>
    <w:p>
      <w:pPr>
        <w:widowControl/>
        <w:shd w:val="clear" w:color="auto" w:fill="FFFFFF"/>
        <w:adjustRightInd w:val="0"/>
        <w:snapToGrid w:val="0"/>
        <w:spacing w:line="600" w:lineRule="exact"/>
        <w:rPr>
          <w:rFonts w:hint="eastAsia" w:ascii="仿宋" w:hAnsi="仿宋" w:eastAsia="仿宋" w:cs="仿宋"/>
          <w:b/>
          <w:sz w:val="32"/>
          <w:szCs w:val="32"/>
        </w:rPr>
      </w:pPr>
      <w:r>
        <w:rPr>
          <w:rFonts w:hint="eastAsia" w:ascii="仿宋" w:hAnsi="仿宋" w:eastAsia="仿宋" w:cs="仿宋"/>
          <w:b/>
          <w:sz w:val="32"/>
          <w:szCs w:val="32"/>
        </w:rPr>
        <w:t>8.异议及投诉的受理</w:t>
      </w:r>
    </w:p>
    <w:p>
      <w:pPr>
        <w:widowControl/>
        <w:shd w:val="clear" w:color="auto" w:fill="FFFFFF"/>
        <w:adjustRightInd w:val="0"/>
        <w:snapToGrid w:val="0"/>
        <w:spacing w:line="600" w:lineRule="exact"/>
        <w:ind w:left="1" w:firstLine="618" w:firstLineChars="221"/>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潜在供应商或利害关系人对本采购公告及采购文件中任何违法及不公平内容有异议的，可以在提交响应文件截止之日</w:t>
      </w:r>
      <w:r>
        <w:rPr>
          <w:rFonts w:hint="eastAsia" w:ascii="仿宋" w:hAnsi="仿宋" w:eastAsia="仿宋" w:cs="仿宋"/>
          <w:color w:val="000000" w:themeColor="text1"/>
          <w:sz w:val="28"/>
          <w:szCs w:val="28"/>
          <w:u w:val="single"/>
        </w:rPr>
        <w:t>2</w:t>
      </w:r>
      <w:r>
        <w:rPr>
          <w:rFonts w:hint="eastAsia" w:ascii="仿宋" w:hAnsi="仿宋" w:eastAsia="仿宋" w:cs="仿宋"/>
          <w:color w:val="000000" w:themeColor="text1"/>
          <w:sz w:val="28"/>
          <w:szCs w:val="28"/>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异议受理部门：</w:t>
      </w:r>
      <w:r>
        <w:rPr>
          <w:rFonts w:hint="eastAsia" w:ascii="仿宋" w:hAnsi="仿宋" w:eastAsia="仿宋" w:cs="仿宋"/>
          <w:color w:val="000000" w:themeColor="text1"/>
          <w:sz w:val="28"/>
          <w:szCs w:val="28"/>
          <w:u w:val="single"/>
        </w:rPr>
        <w:t>广州市净水有限公司</w:t>
      </w:r>
      <w:r>
        <w:rPr>
          <w:rFonts w:hint="eastAsia" w:ascii="仿宋" w:hAnsi="仿宋" w:eastAsia="仿宋" w:cs="仿宋"/>
          <w:color w:val="000000" w:themeColor="text1"/>
          <w:sz w:val="28"/>
          <w:szCs w:val="28"/>
        </w:rPr>
        <w:t>，电话：38890841/</w:t>
      </w:r>
      <w:r>
        <w:rPr>
          <w:rFonts w:hint="eastAsia" w:ascii="仿宋" w:hAnsi="仿宋" w:eastAsia="仿宋" w:cs="仿宋"/>
          <w:color w:val="000000" w:themeColor="text1"/>
          <w:sz w:val="28"/>
          <w:szCs w:val="28"/>
          <w:u w:val="single"/>
        </w:rPr>
        <w:t>62315524</w:t>
      </w:r>
      <w:r>
        <w:rPr>
          <w:rFonts w:hint="eastAsia" w:ascii="仿宋" w:hAnsi="仿宋" w:eastAsia="仿宋" w:cs="仿宋"/>
          <w:color w:val="000000" w:themeColor="text1"/>
          <w:sz w:val="28"/>
          <w:szCs w:val="28"/>
        </w:rPr>
        <w:t>。</w:t>
      </w:r>
    </w:p>
    <w:p>
      <w:pPr>
        <w:widowControl/>
        <w:shd w:val="clear" w:color="auto" w:fill="FFFFFF"/>
        <w:adjustRightInd w:val="0"/>
        <w:snapToGrid w:val="0"/>
        <w:spacing w:line="600" w:lineRule="exact"/>
        <w:ind w:left="1" w:firstLine="480"/>
        <w:rPr>
          <w:rFonts w:hint="eastAsia" w:ascii="仿宋" w:hAnsi="仿宋" w:eastAsia="仿宋" w:cs="仿宋"/>
          <w:color w:val="000000" w:themeColor="text1"/>
          <w:sz w:val="28"/>
          <w:szCs w:val="28"/>
        </w:rPr>
      </w:pPr>
      <w:r>
        <w:rPr>
          <w:rFonts w:hint="eastAsia" w:ascii="仿宋" w:hAnsi="仿宋" w:eastAsia="仿宋" w:cs="仿宋"/>
          <w:color w:val="000000" w:themeColor="text1"/>
          <w:sz w:val="28"/>
          <w:szCs w:val="28"/>
        </w:rPr>
        <w:t>地址：</w:t>
      </w:r>
      <w:r>
        <w:rPr>
          <w:rFonts w:hint="eastAsia" w:ascii="仿宋" w:hAnsi="仿宋" w:eastAsia="仿宋" w:cs="仿宋"/>
          <w:color w:val="000000" w:themeColor="text1"/>
          <w:sz w:val="28"/>
          <w:szCs w:val="28"/>
          <w:u w:val="single"/>
        </w:rPr>
        <w:t>广州市天河区临江大道501号广州市净水有限公司</w:t>
      </w:r>
      <w:r>
        <w:rPr>
          <w:rFonts w:hint="eastAsia" w:ascii="仿宋" w:hAnsi="仿宋" w:eastAsia="仿宋" w:cs="仿宋"/>
          <w:color w:val="000000" w:themeColor="text1"/>
          <w:sz w:val="28"/>
          <w:szCs w:val="28"/>
        </w:rPr>
        <w:t xml:space="preserve"> 。</w:t>
      </w:r>
    </w:p>
    <w:p>
      <w:pPr>
        <w:adjustRightInd w:val="0"/>
        <w:snapToGrid w:val="0"/>
        <w:spacing w:line="600" w:lineRule="exact"/>
        <w:jc w:val="left"/>
        <w:rPr>
          <w:rFonts w:hint="eastAsia" w:ascii="仿宋" w:hAnsi="仿宋" w:eastAsia="仿宋" w:cs="仿宋"/>
          <w:b/>
          <w:sz w:val="32"/>
          <w:szCs w:val="32"/>
        </w:rPr>
      </w:pPr>
      <w:r>
        <w:rPr>
          <w:rFonts w:hint="eastAsia" w:ascii="仿宋" w:hAnsi="仿宋" w:eastAsia="仿宋" w:cs="仿宋"/>
          <w:b/>
          <w:sz w:val="32"/>
          <w:szCs w:val="32"/>
        </w:rPr>
        <w:t>9. 被书面限制参与采购活动的企业名单</w:t>
      </w:r>
    </w:p>
    <w:p>
      <w:pPr>
        <w:adjustRightInd w:val="0"/>
        <w:snapToGrid w:val="0"/>
        <w:spacing w:line="60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序号</w:t>
            </w:r>
          </w:p>
        </w:tc>
        <w:tc>
          <w:tcPr>
            <w:tcW w:w="3402"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单位名称</w:t>
            </w:r>
          </w:p>
        </w:tc>
        <w:tc>
          <w:tcPr>
            <w:tcW w:w="4557" w:type="dxa"/>
          </w:tcPr>
          <w:p>
            <w:pPr>
              <w:adjustRightInd w:val="0"/>
              <w:snapToGrid w:val="0"/>
              <w:spacing w:line="600" w:lineRule="exact"/>
              <w:jc w:val="center"/>
              <w:rPr>
                <w:rFonts w:hint="eastAsia" w:ascii="仿宋" w:hAnsi="仿宋" w:eastAsia="仿宋" w:cs="仿宋"/>
                <w:sz w:val="28"/>
                <w:szCs w:val="28"/>
              </w:rPr>
            </w:pPr>
            <w:r>
              <w:rPr>
                <w:rFonts w:hint="eastAsia" w:ascii="仿宋" w:hAnsi="仿宋" w:eastAsia="仿宋" w:cs="仿宋"/>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3402" w:type="dxa"/>
            <w:vAlign w:val="center"/>
          </w:tcPr>
          <w:p>
            <w:pPr>
              <w:jc w:val="center"/>
              <w:rPr>
                <w:rFonts w:hint="eastAsia" w:ascii="仿宋" w:hAnsi="仿宋" w:eastAsia="仿宋" w:cs="仿宋"/>
                <w:sz w:val="24"/>
              </w:rPr>
            </w:pPr>
            <w:r>
              <w:rPr>
                <w:rFonts w:hint="eastAsia" w:ascii="仿宋" w:hAnsi="仿宋" w:eastAsia="仿宋" w:cs="仿宋"/>
                <w:sz w:val="24"/>
              </w:rPr>
              <w:t>广州市水电建设工程有限公司</w:t>
            </w:r>
          </w:p>
        </w:tc>
        <w:tc>
          <w:tcPr>
            <w:tcW w:w="4557" w:type="dxa"/>
            <w:vAlign w:val="center"/>
          </w:tcPr>
          <w:p>
            <w:pPr>
              <w:jc w:val="center"/>
              <w:rPr>
                <w:rFonts w:hint="eastAsia" w:ascii="仿宋" w:hAnsi="仿宋" w:eastAsia="仿宋" w:cs="仿宋"/>
                <w:sz w:val="24"/>
              </w:rPr>
            </w:pPr>
            <w:r>
              <w:rPr>
                <w:rFonts w:hint="eastAsia" w:ascii="仿宋" w:hAnsi="仿宋" w:eastAsia="仿宋" w:cs="仿宋"/>
                <w:sz w:val="24"/>
              </w:rPr>
              <w:t>2021年11月18至202</w:t>
            </w:r>
            <w:r>
              <w:rPr>
                <w:rFonts w:hint="eastAsia" w:ascii="仿宋" w:hAnsi="仿宋" w:eastAsia="仿宋" w:cs="仿宋"/>
                <w:sz w:val="24"/>
                <w:lang w:val="en-US" w:eastAsia="zh-CN"/>
              </w:rPr>
              <w:t>3</w:t>
            </w:r>
            <w:r>
              <w:rPr>
                <w:rFonts w:hint="eastAsia" w:ascii="仿宋" w:hAnsi="仿宋" w:eastAsia="仿宋" w:cs="仿宋"/>
                <w:sz w:val="24"/>
              </w:rPr>
              <w:t>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3402" w:type="dxa"/>
            <w:vAlign w:val="center"/>
          </w:tcPr>
          <w:p>
            <w:pPr>
              <w:jc w:val="center"/>
              <w:rPr>
                <w:rFonts w:hint="eastAsia" w:ascii="仿宋" w:hAnsi="仿宋" w:eastAsia="仿宋" w:cs="仿宋"/>
                <w:sz w:val="24"/>
              </w:rPr>
            </w:pPr>
            <w:r>
              <w:rPr>
                <w:rFonts w:hint="eastAsia" w:ascii="仿宋" w:hAnsi="仿宋" w:eastAsia="仿宋" w:cs="仿宋"/>
                <w:sz w:val="24"/>
              </w:rPr>
              <w:t>广州市南粤工程建设监理有限公司</w:t>
            </w:r>
          </w:p>
        </w:tc>
        <w:tc>
          <w:tcPr>
            <w:tcW w:w="4557" w:type="dxa"/>
            <w:vAlign w:val="center"/>
          </w:tcPr>
          <w:p>
            <w:pPr>
              <w:jc w:val="center"/>
              <w:rPr>
                <w:rFonts w:hint="eastAsia" w:ascii="仿宋" w:hAnsi="仿宋" w:eastAsia="仿宋" w:cs="仿宋"/>
                <w:sz w:val="24"/>
              </w:rPr>
            </w:pPr>
            <w:r>
              <w:rPr>
                <w:rFonts w:hint="eastAsia" w:ascii="仿宋" w:hAnsi="仿宋" w:eastAsia="仿宋" w:cs="仿宋"/>
                <w:sz w:val="24"/>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3402" w:type="dxa"/>
            <w:vAlign w:val="center"/>
          </w:tcPr>
          <w:p>
            <w:pPr>
              <w:jc w:val="center"/>
              <w:rPr>
                <w:rFonts w:hint="eastAsia" w:ascii="仿宋" w:hAnsi="仿宋" w:eastAsia="仿宋" w:cs="仿宋"/>
                <w:sz w:val="24"/>
              </w:rPr>
            </w:pPr>
            <w:r>
              <w:rPr>
                <w:rFonts w:hint="eastAsia" w:ascii="仿宋" w:hAnsi="仿宋" w:eastAsia="仿宋" w:cs="仿宋"/>
                <w:sz w:val="24"/>
                <w:szCs w:val="24"/>
              </w:rPr>
              <w:t>广州市自来水工程有限公司</w:t>
            </w:r>
          </w:p>
        </w:tc>
        <w:tc>
          <w:tcPr>
            <w:tcW w:w="4557" w:type="dxa"/>
            <w:vAlign w:val="center"/>
          </w:tcPr>
          <w:p>
            <w:pPr>
              <w:jc w:val="center"/>
              <w:rPr>
                <w:rFonts w:hint="eastAsia" w:ascii="仿宋" w:hAnsi="仿宋" w:eastAsia="仿宋" w:cs="仿宋"/>
                <w:sz w:val="24"/>
              </w:rPr>
            </w:pPr>
            <w:r>
              <w:rPr>
                <w:rFonts w:hint="eastAsia" w:ascii="仿宋" w:hAnsi="仿宋" w:eastAsia="仿宋" w:cs="仿宋"/>
                <w:sz w:val="24"/>
              </w:rPr>
              <w:t>2022年1月1至2022年12月31日</w:t>
            </w:r>
          </w:p>
        </w:tc>
      </w:tr>
    </w:tbl>
    <w:p>
      <w:pPr>
        <w:adjustRightInd w:val="0"/>
        <w:snapToGrid w:val="0"/>
        <w:spacing w:before="156" w:beforeLines="50" w:after="156" w:afterLines="50" w:line="600" w:lineRule="exact"/>
        <w:jc w:val="left"/>
        <w:rPr>
          <w:rFonts w:hint="eastAsia" w:ascii="仿宋" w:hAnsi="仿宋" w:eastAsia="仿宋" w:cs="仿宋"/>
          <w:b/>
          <w:sz w:val="32"/>
          <w:szCs w:val="32"/>
        </w:rPr>
      </w:pPr>
      <w:r>
        <w:rPr>
          <w:rFonts w:hint="eastAsia" w:ascii="仿宋" w:hAnsi="仿宋" w:eastAsia="仿宋" w:cs="仿宋"/>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sz w:val="28"/>
                <w:szCs w:val="28"/>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 w:hAnsi="仿宋" w:eastAsia="仿宋" w:cs="仿宋"/>
                <w:sz w:val="28"/>
                <w:szCs w:val="28"/>
              </w:rPr>
            </w:pPr>
          </w:p>
          <w:p>
            <w:pPr>
              <w:adjustRightInd w:val="0"/>
              <w:snapToGrid w:val="0"/>
              <w:spacing w:line="60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w:t>
            </w:r>
          </w:p>
        </w:tc>
      </w:tr>
    </w:tbl>
    <w:p>
      <w:pPr>
        <w:adjustRightInd w:val="0"/>
        <w:snapToGrid w:val="0"/>
        <w:spacing w:line="600" w:lineRule="exact"/>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ascii="仿宋_GB2312" w:eastAsia="仿宋_GB2312" w:hAnsiTheme="majorEastAsia"/>
          <w:sz w:val="28"/>
          <w:szCs w:val="28"/>
        </w:rPr>
      </w:pPr>
    </w:p>
    <w:p>
      <w:pPr>
        <w:spacing w:line="480" w:lineRule="auto"/>
        <w:rPr>
          <w:rFonts w:ascii="仿宋" w:hAnsi="仿宋" w:eastAsia="仿宋" w:cs="仿宋"/>
          <w:szCs w:val="21"/>
        </w:rPr>
      </w:pPr>
      <w:r>
        <w:rPr>
          <w:rFonts w:hint="eastAsia" w:ascii="仿宋" w:hAnsi="仿宋" w:eastAsia="仿宋" w:cs="仿宋"/>
          <w:b/>
          <w:sz w:val="28"/>
          <w:szCs w:val="28"/>
        </w:rPr>
        <w:t>附件：现场踏勘委派书（如需）</w:t>
      </w:r>
    </w:p>
    <w:p>
      <w:pPr>
        <w:spacing w:line="360" w:lineRule="auto"/>
        <w:rPr>
          <w:rFonts w:ascii="仿宋" w:hAnsi="仿宋" w:eastAsia="仿宋" w:cs="仿宋"/>
          <w:sz w:val="28"/>
          <w:szCs w:val="28"/>
        </w:rPr>
      </w:pPr>
      <w:r>
        <w:rPr>
          <w:rFonts w:hint="eastAsia" w:ascii="仿宋" w:hAnsi="仿宋" w:eastAsia="仿宋" w:cs="仿宋"/>
          <w:sz w:val="28"/>
          <w:szCs w:val="28"/>
        </w:rPr>
        <w:t>致：广州净水有限公司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w:t>
      </w:r>
      <w:r>
        <w:rPr>
          <w:rFonts w:hint="eastAsia" w:ascii="仿宋" w:hAnsi="仿宋" w:eastAsia="仿宋" w:cs="仿宋"/>
          <w:i/>
          <w:sz w:val="28"/>
          <w:szCs w:val="28"/>
          <w:u w:val="single"/>
        </w:rPr>
        <w:t xml:space="preserve">     </w:t>
      </w:r>
      <w:r>
        <w:rPr>
          <w:rFonts w:hint="eastAsia" w:ascii="仿宋" w:hAnsi="仿宋" w:eastAsia="仿宋" w:cs="仿宋"/>
          <w:sz w:val="28"/>
          <w:szCs w:val="28"/>
        </w:rPr>
        <w:t>现委派</w:t>
      </w:r>
      <w:r>
        <w:rPr>
          <w:rFonts w:hint="eastAsia" w:ascii="仿宋" w:hAnsi="仿宋" w:eastAsia="仿宋" w:cs="仿宋"/>
          <w:sz w:val="28"/>
          <w:szCs w:val="28"/>
          <w:u w:val="single"/>
        </w:rPr>
        <w:t xml:space="preserve">    </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处理本项目，项目编号：        的现场踏勘事宜。</w:t>
      </w:r>
    </w:p>
    <w:p>
      <w:pPr>
        <w:spacing w:line="360" w:lineRule="auto"/>
        <w:ind w:firstLine="540"/>
        <w:jc w:val="center"/>
        <w:rPr>
          <w:rFonts w:ascii="仿宋" w:hAnsi="仿宋" w:eastAsia="仿宋" w:cs="仿宋"/>
          <w:sz w:val="28"/>
          <w:szCs w:val="28"/>
        </w:rPr>
      </w:pPr>
      <w:r>
        <w:rPr>
          <w:rFonts w:hint="eastAsia" w:ascii="仿宋" w:hAnsi="仿宋" w:eastAsia="仿宋" w:cs="仿宋"/>
          <w:sz w:val="28"/>
          <w:szCs w:val="28"/>
        </w:rPr>
        <w:t>（进厂要求详见响应文件递交防疫要求）</w:t>
      </w:r>
    </w:p>
    <w:p>
      <w:pPr>
        <w:spacing w:line="360" w:lineRule="auto"/>
        <w:ind w:firstLine="540"/>
        <w:rPr>
          <w:rFonts w:ascii="仿宋" w:hAnsi="仿宋" w:eastAsia="仿宋" w:cs="仿宋"/>
        </w:rPr>
      </w:pPr>
      <w:r>
        <w:rPr>
          <w:rFonts w:hint="eastAsia" w:ascii="仿宋" w:hAnsi="仿宋" w:eastAsia="仿宋" w:cs="仿宋"/>
          <w:sz w:val="28"/>
          <w:szCs w:val="28"/>
        </w:rPr>
        <w:t>特此声明！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报价单位法定代表人（或法定授权代表）签字：</w:t>
      </w:r>
      <w:r>
        <w:rPr>
          <w:rFonts w:hint="eastAsia" w:ascii="仿宋" w:hAnsi="仿宋" w:eastAsia="仿宋" w:cs="仿宋"/>
          <w:sz w:val="28"/>
          <w:szCs w:val="28"/>
          <w:u w:val="single"/>
        </w:rPr>
        <w:t xml:space="preserve">                   </w:t>
      </w:r>
    </w:p>
    <w:p>
      <w:pPr>
        <w:adjustRightInd w:val="0"/>
        <w:snapToGrid w:val="0"/>
        <w:spacing w:line="360" w:lineRule="auto"/>
        <w:rPr>
          <w:rFonts w:ascii="仿宋" w:hAnsi="仿宋" w:eastAsia="仿宋" w:cs="仿宋"/>
          <w:sz w:val="28"/>
          <w:szCs w:val="28"/>
          <w:u w:val="single"/>
        </w:rPr>
      </w:pPr>
      <w:r>
        <w:rPr>
          <w:rFonts w:hint="eastAsia" w:ascii="仿宋" w:hAnsi="仿宋" w:eastAsia="仿宋" w:cs="仿宋"/>
          <w:sz w:val="28"/>
          <w:szCs w:val="28"/>
        </w:rPr>
        <w:t>报价单位名称（签章）：</w:t>
      </w:r>
      <w:r>
        <w:rPr>
          <w:rFonts w:hint="eastAsia" w:ascii="仿宋" w:hAnsi="仿宋" w:eastAsia="仿宋" w:cs="仿宋"/>
          <w:sz w:val="28"/>
          <w:szCs w:val="28"/>
          <w:u w:val="single"/>
        </w:rPr>
        <w:t xml:space="preserve">                        </w:t>
      </w:r>
    </w:p>
    <w:p>
      <w:pPr>
        <w:spacing w:line="360" w:lineRule="auto"/>
        <w:rPr>
          <w:rFonts w:ascii="仿宋" w:hAnsi="仿宋" w:eastAsia="仿宋" w:cs="仿宋"/>
        </w:rPr>
      </w:pPr>
      <w:r>
        <w:rPr>
          <w:rFonts w:hint="eastAsia" w:ascii="仿宋" w:hAnsi="仿宋" w:eastAsia="仿宋" w:cs="仿宋"/>
          <w:sz w:val="28"/>
          <w:szCs w:val="28"/>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tcPr>
          <w:p>
            <w:pPr>
              <w:spacing w:line="360" w:lineRule="auto"/>
              <w:rPr>
                <w:rFonts w:ascii="仿宋" w:hAnsi="仿宋" w:eastAsia="仿宋" w:cs="仿宋"/>
                <w:sz w:val="24"/>
                <w:szCs w:val="24"/>
              </w:rPr>
            </w:pPr>
            <w:r>
              <w:rPr>
                <w:rFonts w:hint="eastAsia" w:ascii="仿宋" w:hAnsi="仿宋" w:eastAsia="仿宋" w:cs="仿宋"/>
                <w:sz w:val="24"/>
                <w:szCs w:val="24"/>
              </w:rPr>
              <w:t>广州净水有限公司XX分公司</w:t>
            </w:r>
          </w:p>
          <w:p>
            <w:pPr>
              <w:spacing w:line="360" w:lineRule="auto"/>
              <w:rPr>
                <w:rFonts w:ascii="仿宋" w:hAnsi="仿宋" w:eastAsia="仿宋" w:cs="仿宋"/>
                <w:sz w:val="24"/>
                <w:szCs w:val="24"/>
              </w:rPr>
            </w:pPr>
            <w:r>
              <w:rPr>
                <w:rFonts w:hint="eastAsia" w:ascii="仿宋" w:hAnsi="仿宋" w:eastAsia="仿宋" w:cs="仿宋"/>
                <w:sz w:val="24"/>
                <w:szCs w:val="24"/>
              </w:rPr>
              <w:t>（盖章）</w:t>
            </w:r>
          </w:p>
          <w:p>
            <w:pPr>
              <w:spacing w:line="360" w:lineRule="auto"/>
              <w:jc w:val="left"/>
              <w:rPr>
                <w:rFonts w:ascii="仿宋" w:hAnsi="仿宋" w:eastAsia="仿宋" w:cs="仿宋"/>
                <w:sz w:val="24"/>
                <w:szCs w:val="24"/>
              </w:rPr>
            </w:pPr>
            <w:r>
              <w:rPr>
                <w:rFonts w:hint="eastAsia" w:ascii="仿宋" w:hAnsi="仿宋" w:eastAsia="仿宋" w:cs="仿宋"/>
                <w:sz w:val="24"/>
                <w:szCs w:val="24"/>
              </w:rPr>
              <w:t>经办人：</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before="156" w:beforeLines="50" w:after="156"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25" w:name="_Toc10891"/>
    </w:p>
    <w:p>
      <w:pPr>
        <w:pStyle w:val="4"/>
      </w:pPr>
      <w:bookmarkStart w:id="26" w:name="_Toc16705"/>
      <w:bookmarkStart w:id="27" w:name="_Toc32588"/>
      <w:bookmarkStart w:id="28" w:name="_Toc2331"/>
      <w:bookmarkStart w:id="29" w:name="_Toc9448"/>
      <w:bookmarkStart w:id="30" w:name="_Toc16557"/>
      <w:bookmarkStart w:id="31" w:name="_Toc2324"/>
      <w:bookmarkStart w:id="32" w:name="_Toc19295"/>
      <w:bookmarkStart w:id="33" w:name="_Toc23749"/>
      <w:bookmarkStart w:id="34" w:name="_Toc7340"/>
      <w:bookmarkStart w:id="35" w:name="_Toc25603"/>
      <w:r>
        <w:pict>
          <v:shape id="_x0000_s2066" o:spid="_x0000_s2066"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5"/>
      </w:pPr>
    </w:p>
    <w:p>
      <w:pPr>
        <w:pStyle w:val="5"/>
      </w:pPr>
      <w:bookmarkStart w:id="36" w:name="_Toc3416"/>
      <w:bookmarkStart w:id="37" w:name="_Toc2339"/>
      <w:r>
        <w:rPr>
          <w:rFonts w:hint="eastAsia"/>
        </w:rPr>
        <w:t>供应商须知</w:t>
      </w:r>
      <w:bookmarkEnd w:id="36"/>
      <w:bookmarkEnd w:id="37"/>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adjustRightInd w:val="0"/>
        <w:snapToGrid w:val="0"/>
        <w:spacing w:before="156" w:beforeLines="50" w:after="156" w:afterLines="50" w:line="600" w:lineRule="exact"/>
        <w:ind w:left="643" w:hanging="643" w:hangingChars="200"/>
        <w:jc w:val="left"/>
        <w:rPr>
          <w:rFonts w:asciiTheme="minorEastAsia" w:hAnsiTheme="minorEastAsia"/>
          <w:b/>
          <w:sz w:val="32"/>
          <w:szCs w:val="32"/>
        </w:rPr>
      </w:pPr>
    </w:p>
    <w:p>
      <w:pPr>
        <w:pStyle w:val="2"/>
      </w:pPr>
    </w:p>
    <w:p>
      <w:pPr>
        <w:pStyle w:val="2"/>
      </w:pPr>
    </w:p>
    <w:p>
      <w:pPr>
        <w:pStyle w:val="2"/>
      </w:pPr>
    </w:p>
    <w:p>
      <w:pPr>
        <w:pStyle w:val="2"/>
      </w:pPr>
    </w:p>
    <w:p>
      <w:pPr>
        <w:pStyle w:val="2"/>
      </w:pPr>
    </w:p>
    <w:p>
      <w:pPr>
        <w:pStyle w:val="2"/>
        <w:rPr>
          <w:rFonts w:hint="eastAsia"/>
        </w:rPr>
      </w:pPr>
    </w:p>
    <w:p>
      <w:pPr>
        <w:pStyle w:val="2"/>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r>
              <w:rPr>
                <w:rFonts w:hint="eastAsia" w:ascii="仿宋_GB2312" w:eastAsia="仿宋_GB2312" w:hAnsiTheme="minorEastAsia"/>
                <w:sz w:val="24"/>
                <w:szCs w:val="24"/>
                <w:highlight w:val="non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无</w:t>
            </w:r>
          </w:p>
        </w:tc>
      </w:tr>
    </w:tbl>
    <w:p>
      <w:pPr>
        <w:adjustRightInd w:val="0"/>
        <w:snapToGrid w:val="0"/>
        <w:spacing w:before="156" w:beforeLines="50" w:after="156" w:afterLines="50" w:line="560" w:lineRule="exact"/>
        <w:jc w:val="left"/>
        <w:rPr>
          <w:rFonts w:asciiTheme="minorEastAsia" w:hAnsiTheme="minorEastAsia"/>
          <w:b/>
          <w:sz w:val="32"/>
          <w:szCs w:val="32"/>
        </w:rPr>
      </w:pPr>
      <w:r>
        <w:rPr>
          <w:rFonts w:hint="eastAsia" w:asciiTheme="minorEastAsia" w:hAnsiTheme="minorEastAsia"/>
          <w:b/>
          <w:sz w:val="32"/>
          <w:szCs w:val="32"/>
          <w:lang w:val="en-US" w:eastAsia="zh-CN"/>
        </w:rPr>
        <w:t>2</w:t>
      </w:r>
      <w:r>
        <w:rPr>
          <w:rFonts w:hint="eastAsia" w:asciiTheme="minorEastAsia" w:hAnsiTheme="minorEastAsia"/>
          <w:b/>
          <w:sz w:val="32"/>
          <w:szCs w:val="32"/>
        </w:rPr>
        <w:t>.若出现以下情况之一的，采购人将拒绝接收响应文件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3</w:t>
      </w:r>
      <w:r>
        <w:rPr>
          <w:rFonts w:hint="eastAsia" w:asciiTheme="minorEastAsia" w:hAnsiTheme="minorEastAsia"/>
          <w:b/>
          <w:sz w:val="32"/>
          <w:szCs w:val="32"/>
        </w:rPr>
        <w:t>.发生下列情况之一者，视为无效响应行为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4</w:t>
      </w:r>
      <w:r>
        <w:rPr>
          <w:rFonts w:hint="eastAsia" w:asciiTheme="minorEastAsia" w:hAnsiTheme="minorEastAsia"/>
          <w:b/>
          <w:sz w:val="32"/>
          <w:szCs w:val="32"/>
        </w:rPr>
        <w:t>.响应保证金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5</w:t>
      </w:r>
      <w:r>
        <w:rPr>
          <w:rFonts w:hint="eastAsia" w:asciiTheme="minorEastAsia" w:hAnsiTheme="minorEastAsia"/>
          <w:b/>
          <w:sz w:val="32"/>
          <w:szCs w:val="32"/>
        </w:rPr>
        <w:t>.响应文件要求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lang w:val="en-US" w:eastAsia="zh-CN"/>
        </w:rPr>
        <w:t>6</w:t>
      </w:r>
      <w:r>
        <w:rPr>
          <w:rFonts w:hint="eastAsia" w:asciiTheme="minorEastAsia" w:hAnsiTheme="minorEastAsia"/>
          <w:b/>
          <w:sz w:val="32"/>
          <w:szCs w:val="32"/>
        </w:rPr>
        <w:t>.异议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6"/>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记录人</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
        <w:rPr>
          <w:rFonts w:ascii="仿宋_GB2312" w:eastAsia="仿宋_GB2312" w:hAnsiTheme="majorEastAsia"/>
          <w:sz w:val="28"/>
          <w:szCs w:val="28"/>
        </w:rPr>
      </w:pPr>
    </w:p>
    <w:p>
      <w:pPr>
        <w:pStyle w:val="2"/>
        <w:rPr>
          <w:rFonts w:hint="eastAsia"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6"/>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6"/>
      </w:pPr>
    </w:p>
    <w:p>
      <w:pPr>
        <w:pStyle w:val="36"/>
        <w:ind w:firstLine="3465" w:firstLineChars="1650"/>
        <w:rPr>
          <w:rFonts w:ascii="仿宋_GB2312" w:eastAsia="仿宋_GB2312"/>
        </w:rPr>
      </w:pPr>
      <w:r>
        <w:rPr>
          <w:rFonts w:hint="eastAsia" w:ascii="仿宋_GB2312" w:eastAsia="仿宋_GB2312"/>
        </w:rPr>
        <w:t>（编号：</w:t>
      </w:r>
      <w:r>
        <w:rPr>
          <w:rFonts w:ascii="仿宋_GB2312" w:eastAsia="仿宋_GB2312"/>
        </w:rPr>
        <w:t xml:space="preserve">        </w:t>
      </w:r>
      <w:r>
        <w:rPr>
          <w:rFonts w:hint="eastAsia" w:ascii="仿宋_GB2312" w:eastAsia="仿宋_GB2312"/>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，小写：</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 xml:space="preserve">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w:t>
      </w:r>
      <w:r>
        <w:rPr>
          <w:rFonts w:hint="eastAsia" w:asciiTheme="majorEastAsia" w:hAnsiTheme="majorEastAsia" w:eastAsiaTheme="majorEastAsia"/>
          <w:b/>
          <w:sz w:val="28"/>
          <w:szCs w:val="28"/>
          <w:u w:val="single"/>
        </w:rPr>
        <w:t xml:space="preserve">          </w:t>
      </w:r>
      <w:r>
        <w:rPr>
          <w:rFonts w:hint="eastAsia" w:ascii="仿宋_GB2312" w:eastAsia="仿宋_GB2312" w:hAnsiTheme="majorEastAsia"/>
          <w:sz w:val="28"/>
          <w:szCs w:val="28"/>
        </w:rPr>
        <w:t>（公章）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 xml:space="preserve"> </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年</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月</w:t>
      </w:r>
      <w:r>
        <w:rPr>
          <w:rFonts w:hint="eastAsia" w:ascii="仿宋_GB2312" w:eastAsia="仿宋_GB2312" w:hAnsiTheme="majorEastAsia"/>
          <w:sz w:val="28"/>
          <w:szCs w:val="28"/>
          <w:u w:val="single"/>
        </w:rPr>
        <w:t xml:space="preserve">    </w:t>
      </w:r>
      <w:r>
        <w:rPr>
          <w:rFonts w:hint="eastAsia" w:ascii="仿宋_GB2312" w:eastAsia="仿宋_GB2312" w:hAnsiTheme="majorEastAsia"/>
          <w:sz w:val="28"/>
          <w:szCs w:val="28"/>
        </w:rPr>
        <w:t>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asciiTheme="minorHAnsi" w:hAnsiTheme="minorHAnsi" w:cstheme="minorBidi"/>
          <w:kern w:val="44"/>
          <w:sz w:val="44"/>
          <w:szCs w:val="44"/>
        </w:rPr>
      </w:pPr>
      <w:bookmarkStart w:id="38" w:name="_Toc2867"/>
      <w:bookmarkStart w:id="39" w:name="_Toc21455"/>
      <w:r>
        <w:rPr>
          <w:rFonts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第三章</w:t>
      </w:r>
      <w:bookmarkEnd w:id="38"/>
      <w:bookmarkEnd w:id="39"/>
    </w:p>
    <w:p>
      <w:pPr>
        <w:pStyle w:val="36"/>
      </w:pPr>
    </w:p>
    <w:p>
      <w:pPr>
        <w:pStyle w:val="5"/>
      </w:pPr>
      <w:bookmarkStart w:id="40" w:name="_Toc87616371"/>
      <w:bookmarkStart w:id="41" w:name="_Toc7040"/>
      <w:bookmarkStart w:id="42" w:name="_Toc7303"/>
      <w:bookmarkStart w:id="43" w:name="_Toc88209934"/>
      <w:r>
        <w:rPr>
          <w:rFonts w:hint="eastAsia"/>
        </w:rPr>
        <w:t>采购方法</w:t>
      </w:r>
      <w:bookmarkEnd w:id="40"/>
      <w:bookmarkEnd w:id="41"/>
      <w:bookmarkEnd w:id="42"/>
      <w:bookmarkEnd w:id="43"/>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2"/>
        <w:rPr>
          <w:rFonts w:ascii="方正小标宋简体" w:eastAsia="方正小标宋简体"/>
          <w:sz w:val="44"/>
          <w:szCs w:val="44"/>
        </w:rPr>
      </w:pPr>
    </w:p>
    <w:p>
      <w:pPr>
        <w:pStyle w:val="5"/>
      </w:pPr>
      <w:bookmarkStart w:id="44" w:name="_Toc3789"/>
      <w:bookmarkStart w:id="45" w:name="_Toc24895"/>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 </w:t>
            </w:r>
            <w:r>
              <w:rPr>
                <w:rFonts w:hint="eastAsia" w:ascii="仿宋_GB2312" w:eastAsia="仿宋_GB2312" w:hAnsiTheme="minorEastAsia"/>
                <w:sz w:val="24"/>
                <w:szCs w:val="24"/>
                <w:u w:val="single"/>
              </w:rPr>
              <w:t xml:space="preserve"> </w:t>
            </w: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r>
              <w:rPr>
                <w:rFonts w:hint="eastAsia" w:ascii="仿宋_GB2312" w:eastAsia="仿宋_GB2312"/>
                <w:sz w:val="24"/>
                <w:szCs w:val="24"/>
              </w:rPr>
              <w:t xml:space="preserve"> </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广州市天河区临江大道501号广州市净水有限公司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ascii="仿宋_GB2312" w:eastAsia="仿宋_GB2312" w:hAnsiTheme="minorEastAsia"/>
                <w:sz w:val="24"/>
                <w:szCs w:val="24"/>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在评审小组提交评审报告3日内，在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4"/>
      </w:pPr>
      <w:bookmarkStart w:id="46" w:name="_Toc14552"/>
      <w:bookmarkStart w:id="47" w:name="_Toc14870"/>
      <w:bookmarkStart w:id="48" w:name="_Toc20594"/>
      <w:bookmarkStart w:id="49" w:name="_Toc19759"/>
      <w:bookmarkStart w:id="50" w:name="_Toc4952"/>
      <w:bookmarkStart w:id="51" w:name="_Toc23581"/>
      <w:bookmarkStart w:id="52" w:name="_Toc10930"/>
      <w:bookmarkStart w:id="53" w:name="_Toc19050"/>
      <w:bookmarkStart w:id="54" w:name="_Toc7118"/>
      <w:bookmarkStart w:id="55" w:name="_Toc7437"/>
      <w:bookmarkStart w:id="56" w:name="_Toc3156"/>
      <w: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6"/>
      </w:pPr>
    </w:p>
    <w:p>
      <w:pPr>
        <w:pStyle w:val="4"/>
      </w:pPr>
      <w:bookmarkStart w:id="57" w:name="_Toc22212"/>
      <w:bookmarkStart w:id="58" w:name="_Toc13898"/>
      <w:bookmarkStart w:id="59" w:name="_Toc7831"/>
      <w:bookmarkStart w:id="60" w:name="_Toc21079"/>
      <w:bookmarkStart w:id="61" w:name="_Toc30530"/>
      <w:bookmarkStart w:id="62" w:name="_Toc88209941"/>
      <w:bookmarkStart w:id="63" w:name="_Toc29345"/>
      <w:bookmarkStart w:id="64" w:name="_Toc21840"/>
      <w:bookmarkStart w:id="65" w:name="_Toc12177"/>
      <w:bookmarkStart w:id="66" w:name="_Toc87616378"/>
      <w:bookmarkStart w:id="67" w:name="_Toc6308"/>
      <w:bookmarkStart w:id="68" w:name="_Toc29484"/>
      <w:bookmarkStart w:id="69" w:name="_Toc3260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方正小标宋简体" w:eastAsia="方正小标宋简体"/>
          <w:sz w:val="44"/>
          <w:szCs w:val="44"/>
        </w:rPr>
      </w:pPr>
    </w:p>
    <w:p>
      <w:pPr>
        <w:pStyle w:val="2"/>
        <w:ind w:firstLine="0"/>
        <w:rPr>
          <w:rFonts w:ascii="方正小标宋简体" w:eastAsia="方正小标宋简体"/>
          <w:sz w:val="44"/>
          <w:szCs w:val="44"/>
        </w:rPr>
      </w:pPr>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52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sz w:val="24"/>
                <w:szCs w:val="24"/>
              </w:rPr>
            </w:pPr>
          </w:p>
        </w:tc>
        <w:tc>
          <w:tcPr>
            <w:tcW w:w="2127"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52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52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
        <w:rPr>
          <w:rFonts w:ascii="仿宋_GB2312" w:eastAsia="仿宋_GB2312" w:hAnsiTheme="minorEastAsia"/>
          <w:szCs w:val="21"/>
        </w:rPr>
      </w:pPr>
    </w:p>
    <w:p>
      <w:pPr>
        <w:pStyle w:val="2"/>
        <w:rPr>
          <w:rFonts w:ascii="仿宋_GB2312" w:eastAsia="仿宋_GB2312" w:hAnsiTheme="minorEastAsia"/>
          <w:szCs w:val="21"/>
        </w:rPr>
      </w:pPr>
    </w:p>
    <w:p>
      <w:pPr>
        <w:pStyle w:val="4"/>
      </w:pPr>
      <w:bookmarkStart w:id="72" w:name="_Toc88209947"/>
      <w:r>
        <w:pict>
          <v:shape id="_x0000_s2072" o:spid="_x0000_s2072" o:spt="32" type="#_x0000_t32" style="position:absolute;left:0pt;margin-left:184.3pt;margin-top:58.7pt;height:0pt;width:75.5pt;z-index:251677696;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6672;mso-width-relative:page;mso-height-relative:page;" o:connectortype="straight" filled="f" coordsize="21600,21600">
            <v:path arrowok="t"/>
            <v:fill on="f" focussize="0,0"/>
            <v:stroke/>
            <v:imagedata o:title=""/>
            <o:lock v:ext="edit"/>
          </v:shape>
        </w:pict>
      </w:r>
      <w:r>
        <w:rPr>
          <w:rFonts w:hint="eastAsia"/>
        </w:rPr>
        <w:t>第五章</w:t>
      </w:r>
    </w:p>
    <w:p>
      <w:pPr>
        <w:pStyle w:val="5"/>
      </w:pPr>
    </w:p>
    <w:p>
      <w:pPr>
        <w:pStyle w:val="5"/>
        <w:rPr>
          <w:szCs w:val="44"/>
        </w:rPr>
      </w:pPr>
      <w:r>
        <w:rPr>
          <w:rFonts w:hint="eastAsia"/>
          <w:szCs w:val="44"/>
        </w:rPr>
        <w:t>采购需求</w:t>
      </w:r>
    </w:p>
    <w:p>
      <w:pPr>
        <w:pStyle w:val="5"/>
        <w:rPr>
          <w:szCs w:val="44"/>
        </w:rPr>
      </w:pPr>
    </w:p>
    <w:p>
      <w:pPr>
        <w:pStyle w:val="5"/>
        <w:rPr>
          <w:szCs w:val="44"/>
        </w:rPr>
      </w:pPr>
      <w:r>
        <w:rPr>
          <w:rFonts w:hint="eastAsia"/>
          <w:szCs w:val="44"/>
        </w:rPr>
        <w:t>采购需求编制说明</w:t>
      </w:r>
      <w:bookmarkEnd w:id="72"/>
    </w:p>
    <w:p>
      <w:pPr>
        <w:ind w:firstLine="560" w:firstLineChars="200"/>
        <w:rPr>
          <w:rFonts w:ascii="仿宋_GB2312" w:eastAsia="仿宋_GB2312"/>
          <w:sz w:val="28"/>
          <w:szCs w:val="28"/>
        </w:rPr>
      </w:pPr>
      <w:r>
        <w:rPr>
          <w:rFonts w:hint="eastAsia" w:ascii="仿宋_GB2312" w:eastAsia="仿宋_GB2312"/>
          <w:sz w:val="28"/>
          <w:szCs w:val="28"/>
        </w:rPr>
        <w:t>工程项目应提供图纸、技术标准和要求、工程量清单</w:t>
      </w:r>
    </w:p>
    <w:p>
      <w:pPr>
        <w:ind w:firstLine="560" w:firstLineChars="200"/>
        <w:rPr>
          <w:rFonts w:ascii="仿宋_GB2312" w:eastAsia="仿宋_GB2312"/>
          <w:sz w:val="28"/>
          <w:szCs w:val="28"/>
        </w:rPr>
      </w:pPr>
      <w:r>
        <w:rPr>
          <w:rFonts w:hint="eastAsia" w:ascii="仿宋_GB2312" w:eastAsia="仿宋_GB2312"/>
          <w:sz w:val="28"/>
          <w:szCs w:val="28"/>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sz w:val="28"/>
          <w:szCs w:val="28"/>
        </w:rPr>
      </w:pPr>
      <w:r>
        <w:rPr>
          <w:rFonts w:hint="eastAsia" w:ascii="仿宋_GB2312" w:eastAsia="仿宋_GB2312"/>
          <w:sz w:val="28"/>
          <w:szCs w:val="28"/>
        </w:rPr>
        <w:t>服务项目应明确服务采购需求和服务工作开展条件、服务成果要求（成果文件、周期、质量、配合技术服务要求等）等内容。</w:t>
      </w:r>
    </w:p>
    <w:p>
      <w:pPr>
        <w:pStyle w:val="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
        <w:rPr>
          <w:rFonts w:ascii="仿宋_GB2312" w:eastAsia="仿宋_GB2312"/>
          <w:sz w:val="28"/>
          <w:szCs w:val="28"/>
        </w:rPr>
      </w:pPr>
    </w:p>
    <w:p>
      <w:pPr>
        <w:pStyle w:val="2"/>
        <w:rPr>
          <w:rFonts w:ascii="仿宋_GB2312" w:eastAsia="仿宋_GB2312"/>
          <w:sz w:val="28"/>
          <w:szCs w:val="28"/>
        </w:rPr>
      </w:pPr>
    </w:p>
    <w:p>
      <w:pPr>
        <w:pStyle w:val="2"/>
      </w:pPr>
    </w:p>
    <w:p>
      <w:pPr>
        <w:pStyle w:val="2"/>
      </w:pPr>
    </w:p>
    <w:p>
      <w:pPr>
        <w:pStyle w:val="2"/>
      </w:pPr>
    </w:p>
    <w:p>
      <w:pPr>
        <w:pStyle w:val="2"/>
        <w:ind w:firstLine="0"/>
      </w:pPr>
    </w:p>
    <w:p>
      <w:pPr>
        <w:pStyle w:val="4"/>
      </w:pPr>
      <w:bookmarkStart w:id="73" w:name="_Toc23330"/>
      <w:bookmarkStart w:id="74" w:name="_Toc23353"/>
      <w:bookmarkStart w:id="75" w:name="_Toc18538"/>
      <w:bookmarkStart w:id="76" w:name="_Toc15570"/>
      <w:bookmarkStart w:id="77" w:name="_Toc1284"/>
      <w:bookmarkStart w:id="78" w:name="_Toc1496"/>
      <w:bookmarkStart w:id="79" w:name="_Toc29835"/>
      <w:bookmarkStart w:id="80" w:name="_Toc4680"/>
      <w:bookmarkStart w:id="81" w:name="_Toc25925"/>
      <w:bookmarkStart w:id="82" w:name="_Toc12135"/>
      <w:bookmarkStart w:id="83" w:name="_Toc537"/>
      <w:r>
        <w:pict>
          <v:shape id="_x0000_s2057" o:spid="_x0000_s2057"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pict>
          <v:shape id="_x0000_s2056" o:spid="_x0000_s2056"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4"/>
      </w:pPr>
      <w:bookmarkStart w:id="84" w:name="_Toc8183"/>
      <w:bookmarkStart w:id="85" w:name="_Toc19088"/>
      <w:bookmarkStart w:id="86" w:name="_Toc12980"/>
      <w:bookmarkStart w:id="87" w:name="_Toc1375"/>
      <w:bookmarkStart w:id="88" w:name="_Toc12721"/>
      <w:bookmarkStart w:id="89" w:name="_Toc88209949"/>
      <w:bookmarkStart w:id="90" w:name="_Toc13309"/>
      <w:bookmarkStart w:id="91" w:name="_Toc22797"/>
      <w:bookmarkStart w:id="92" w:name="_Toc87616386"/>
      <w:bookmarkStart w:id="93" w:name="_Toc323"/>
      <w:bookmarkStart w:id="94" w:name="_Toc19686"/>
      <w:bookmarkStart w:id="95" w:name="_Toc22501"/>
      <w:bookmarkStart w:id="96" w:name="_Toc12968"/>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eastAsia="黑体"/>
          <w:b/>
          <w:bCs/>
          <w:color w:val="000000"/>
          <w:sz w:val="48"/>
          <w:szCs w:val="48"/>
        </w:rPr>
      </w:pPr>
      <w:r>
        <w:rPr>
          <w:rFonts w:hint="eastAsia" w:eastAsia="黑体"/>
          <w:b/>
          <w:bCs/>
          <w:color w:val="000000"/>
          <w:sz w:val="48"/>
          <w:szCs w:val="48"/>
        </w:rPr>
        <w:t>树木保护专章编制服务合同</w:t>
      </w:r>
    </w:p>
    <w:p>
      <w:pPr>
        <w:rPr>
          <w:b/>
          <w:bCs/>
          <w:color w:val="000000"/>
          <w:sz w:val="44"/>
        </w:rPr>
      </w:pPr>
    </w:p>
    <w:p>
      <w:pPr>
        <w:rPr>
          <w:b/>
          <w:bCs/>
          <w:color w:val="000000"/>
          <w:sz w:val="44"/>
        </w:rPr>
      </w:pPr>
    </w:p>
    <w:p>
      <w:pPr>
        <w:rPr>
          <w:b/>
          <w:bCs/>
          <w:color w:val="000000"/>
          <w:sz w:val="44"/>
        </w:rPr>
      </w:pPr>
    </w:p>
    <w:p>
      <w:pPr>
        <w:spacing w:line="600" w:lineRule="auto"/>
        <w:ind w:left="2317" w:hanging="2317" w:hangingChars="498"/>
        <w:rPr>
          <w:rFonts w:ascii="宋体" w:hAnsi="宋体" w:cs="宋体"/>
          <w:bCs/>
          <w:color w:val="000000"/>
          <w:sz w:val="30"/>
          <w:szCs w:val="30"/>
          <w:u w:val="single"/>
        </w:rPr>
      </w:pPr>
      <w:r>
        <w:rPr>
          <w:rFonts w:hint="eastAsia" w:ascii="宋体" w:hAnsi="宋体" w:cs="宋体"/>
          <w:b/>
          <w:bCs/>
          <w:color w:val="000000"/>
          <w:spacing w:val="82"/>
          <w:sz w:val="30"/>
          <w:szCs w:val="30"/>
        </w:rPr>
        <w:t>工程名称：</w:t>
      </w:r>
      <w:r>
        <w:rPr>
          <w:rFonts w:hint="eastAsia" w:ascii="宋体" w:hAnsi="宋体" w:cs="宋体"/>
          <w:bCs/>
          <w:color w:val="000000"/>
          <w:sz w:val="30"/>
          <w:szCs w:val="30"/>
          <w:u w:val="single"/>
        </w:rPr>
        <w:t>大沙地污水厂</w:t>
      </w:r>
    </w:p>
    <w:p>
      <w:pPr>
        <w:spacing w:line="600" w:lineRule="auto"/>
        <w:ind w:left="2317" w:hanging="2317" w:hangingChars="498"/>
        <w:rPr>
          <w:rFonts w:ascii="宋体" w:hAnsi="宋体" w:cs="宋体"/>
          <w:b/>
          <w:bCs/>
          <w:color w:val="000000"/>
          <w:sz w:val="30"/>
          <w:szCs w:val="30"/>
          <w:u w:val="single"/>
        </w:rPr>
      </w:pPr>
      <w:r>
        <w:rPr>
          <w:rFonts w:hint="eastAsia" w:ascii="宋体" w:hAnsi="宋体" w:cs="宋体"/>
          <w:b/>
          <w:bCs/>
          <w:color w:val="000000"/>
          <w:spacing w:val="82"/>
          <w:sz w:val="30"/>
          <w:szCs w:val="30"/>
        </w:rPr>
        <w:t>合同名称：</w:t>
      </w:r>
      <w:r>
        <w:rPr>
          <w:rFonts w:hint="eastAsia" w:ascii="宋体" w:hAnsi="宋体" w:cs="宋体"/>
          <w:bCs/>
          <w:color w:val="000000"/>
          <w:sz w:val="30"/>
          <w:szCs w:val="30"/>
          <w:u w:val="single"/>
        </w:rPr>
        <w:t>广州市净水有限公司大沙地污水厂树木保护专章编制服务合同</w:t>
      </w:r>
    </w:p>
    <w:p>
      <w:pPr>
        <w:spacing w:line="600" w:lineRule="auto"/>
        <w:rPr>
          <w:b/>
          <w:bCs/>
          <w:color w:val="000000"/>
          <w:sz w:val="30"/>
          <w:u w:val="single"/>
        </w:rPr>
      </w:pPr>
      <w:r>
        <w:rPr>
          <w:rFonts w:hint="eastAsia"/>
          <w:b/>
          <w:bCs/>
          <w:color w:val="000000"/>
          <w:spacing w:val="82"/>
          <w:sz w:val="30"/>
        </w:rPr>
        <w:t>工程地点：</w:t>
      </w:r>
      <w:r>
        <w:rPr>
          <w:rFonts w:hint="eastAsia"/>
          <w:bCs/>
          <w:color w:val="000000"/>
          <w:sz w:val="30"/>
          <w:u w:val="single"/>
        </w:rPr>
        <w:t>广州市</w:t>
      </w:r>
    </w:p>
    <w:p>
      <w:pPr>
        <w:spacing w:line="600" w:lineRule="auto"/>
        <w:rPr>
          <w:b/>
          <w:bCs/>
          <w:color w:val="000000"/>
          <w:spacing w:val="-14"/>
          <w:u w:val="single"/>
        </w:rPr>
      </w:pPr>
      <w:r>
        <w:rPr>
          <w:rFonts w:hint="eastAsia"/>
          <w:b/>
          <w:bCs/>
          <w:color w:val="000000"/>
          <w:spacing w:val="82"/>
          <w:sz w:val="30"/>
        </w:rPr>
        <w:t>合同编号：</w:t>
      </w:r>
      <w:r>
        <w:rPr>
          <w:rFonts w:hint="eastAsia" w:ascii="宋体" w:hAnsi="宋体" w:cs="宋体"/>
          <w:bCs/>
          <w:color w:val="000000"/>
          <w:sz w:val="30"/>
          <w:szCs w:val="30"/>
          <w:u w:val="single"/>
        </w:rPr>
        <w:t>穗净水合[2022]   号</w:t>
      </w:r>
      <w:r>
        <w:rPr>
          <w:b/>
          <w:bCs/>
          <w:color w:val="000000"/>
          <w:spacing w:val="-14"/>
        </w:rPr>
        <w:t xml:space="preserve">               </w:t>
      </w:r>
    </w:p>
    <w:p>
      <w:pPr>
        <w:spacing w:line="600" w:lineRule="auto"/>
        <w:rPr>
          <w:b/>
          <w:bCs/>
          <w:color w:val="000000"/>
          <w:sz w:val="30"/>
        </w:rPr>
      </w:pPr>
      <w:r>
        <w:rPr>
          <w:rFonts w:hint="eastAsia"/>
          <w:b/>
          <w:bCs/>
          <w:color w:val="000000"/>
          <w:spacing w:val="82"/>
          <w:sz w:val="30"/>
        </w:rPr>
        <w:t>甲</w:t>
      </w:r>
      <w:r>
        <w:rPr>
          <w:rFonts w:hint="eastAsia"/>
          <w:b/>
          <w:bCs/>
          <w:color w:val="000000"/>
          <w:sz w:val="30"/>
        </w:rPr>
        <w:t xml:space="preserve">        方</w:t>
      </w:r>
      <w:r>
        <w:rPr>
          <w:rFonts w:hint="eastAsia"/>
          <w:b/>
          <w:bCs/>
          <w:color w:val="000000"/>
          <w:spacing w:val="82"/>
          <w:sz w:val="30"/>
        </w:rPr>
        <w:t>：</w:t>
      </w:r>
      <w:r>
        <w:rPr>
          <w:rFonts w:hint="eastAsia"/>
          <w:bCs/>
          <w:color w:val="000000"/>
          <w:sz w:val="30"/>
          <w:u w:val="single"/>
        </w:rPr>
        <w:t>广州市净水有限公司</w:t>
      </w:r>
    </w:p>
    <w:p>
      <w:pPr>
        <w:spacing w:line="600" w:lineRule="auto"/>
        <w:rPr>
          <w:b/>
          <w:bCs/>
          <w:color w:val="000000"/>
          <w:sz w:val="30"/>
        </w:rPr>
      </w:pPr>
      <w:r>
        <w:rPr>
          <w:rFonts w:hint="eastAsia"/>
          <w:b/>
          <w:bCs/>
          <w:color w:val="000000"/>
          <w:spacing w:val="82"/>
          <w:sz w:val="30"/>
        </w:rPr>
        <w:t>乙</w:t>
      </w:r>
      <w:r>
        <w:rPr>
          <w:rFonts w:hint="eastAsia"/>
          <w:b/>
          <w:bCs/>
          <w:color w:val="000000"/>
          <w:sz w:val="30"/>
        </w:rPr>
        <w:t xml:space="preserve">        方</w:t>
      </w:r>
      <w:r>
        <w:rPr>
          <w:rFonts w:hint="eastAsia"/>
          <w:b/>
          <w:bCs/>
          <w:color w:val="000000"/>
          <w:spacing w:val="82"/>
          <w:sz w:val="30"/>
        </w:rPr>
        <w:t>：</w:t>
      </w:r>
    </w:p>
    <w:p>
      <w:pPr>
        <w:spacing w:line="600" w:lineRule="auto"/>
        <w:rPr>
          <w:bCs/>
          <w:color w:val="000000"/>
          <w:sz w:val="30"/>
        </w:rPr>
      </w:pPr>
      <w:r>
        <w:rPr>
          <w:rFonts w:hint="eastAsia"/>
          <w:b/>
          <w:bCs/>
          <w:color w:val="000000"/>
          <w:spacing w:val="82"/>
          <w:sz w:val="30"/>
        </w:rPr>
        <w:t>签订日期：</w:t>
      </w:r>
      <w:r>
        <w:rPr>
          <w:rFonts w:hint="eastAsia"/>
          <w:bCs/>
          <w:color w:val="000000"/>
          <w:sz w:val="30"/>
          <w:u w:val="single"/>
        </w:rPr>
        <w:t xml:space="preserve">    </w:t>
      </w:r>
      <w:r>
        <w:rPr>
          <w:rFonts w:hint="eastAsia"/>
          <w:bCs/>
          <w:color w:val="000000"/>
          <w:sz w:val="30"/>
        </w:rPr>
        <w:t>年</w:t>
      </w:r>
      <w:r>
        <w:rPr>
          <w:rFonts w:hint="eastAsia"/>
          <w:bCs/>
          <w:color w:val="000000"/>
          <w:sz w:val="30"/>
          <w:u w:val="single"/>
        </w:rPr>
        <w:t xml:space="preserve">  </w:t>
      </w:r>
      <w:r>
        <w:rPr>
          <w:rFonts w:hint="eastAsia"/>
          <w:bCs/>
          <w:color w:val="000000"/>
          <w:sz w:val="30"/>
        </w:rPr>
        <w:t>月</w:t>
      </w:r>
      <w:r>
        <w:rPr>
          <w:rFonts w:hint="eastAsia"/>
          <w:bCs/>
          <w:color w:val="000000"/>
          <w:sz w:val="30"/>
          <w:u w:val="single"/>
        </w:rPr>
        <w:t xml:space="preserve">  </w:t>
      </w:r>
      <w:r>
        <w:rPr>
          <w:rFonts w:hint="eastAsia"/>
          <w:bCs/>
          <w:color w:val="000000"/>
          <w:sz w:val="30"/>
        </w:rPr>
        <w:t>日</w:t>
      </w:r>
    </w:p>
    <w:p>
      <w:pPr>
        <w:pStyle w:val="22"/>
        <w:ind w:firstLine="440"/>
        <w:jc w:val="center"/>
        <w:rPr>
          <w:rFonts w:ascii="仿宋_GB2312" w:hAnsi="仿宋_GB2312" w:eastAsia="仿宋_GB2312" w:cs="仿宋_GB2312"/>
          <w:sz w:val="28"/>
          <w:szCs w:val="28"/>
        </w:rPr>
      </w:pPr>
      <w:r>
        <w:rPr>
          <w:rFonts w:hint="eastAsia" w:ascii="宋体" w:hAnsi="宋体"/>
          <w:color w:val="000000"/>
          <w:sz w:val="44"/>
          <w:szCs w:val="44"/>
        </w:rPr>
        <w:t>合同文件</w:t>
      </w:r>
    </w:p>
    <w:p>
      <w:pPr>
        <w:ind w:firstLine="228" w:firstLineChars="95"/>
        <w:rPr>
          <w:rFonts w:ascii="宋体" w:hAnsi="宋体"/>
          <w:color w:val="000000"/>
          <w:sz w:val="24"/>
        </w:rPr>
      </w:pPr>
    </w:p>
    <w:p>
      <w:pPr>
        <w:adjustRightInd w:val="0"/>
        <w:spacing w:line="360" w:lineRule="auto"/>
        <w:ind w:firstLine="480" w:firstLineChars="200"/>
        <w:jc w:val="left"/>
        <w:textAlignment w:val="baseline"/>
        <w:rPr>
          <w:rFonts w:ascii="宋体" w:hAnsi="宋体" w:cs="宋体"/>
          <w:color w:val="000000"/>
          <w:sz w:val="24"/>
          <w:u w:val="single"/>
        </w:rPr>
      </w:pPr>
      <w:r>
        <w:rPr>
          <w:rFonts w:hint="eastAsia" w:ascii="宋体" w:hAnsi="宋体" w:cs="宋体"/>
          <w:color w:val="000000"/>
          <w:sz w:val="24"/>
        </w:rPr>
        <w:t>甲方（发包人） ：</w:t>
      </w:r>
      <w:r>
        <w:rPr>
          <w:rFonts w:hint="eastAsia" w:ascii="宋体" w:hAnsi="宋体" w:cs="宋体"/>
          <w:color w:val="000000"/>
          <w:sz w:val="24"/>
          <w:u w:val="single"/>
        </w:rPr>
        <w:t>广州市</w:t>
      </w:r>
      <w:r>
        <w:rPr>
          <w:rFonts w:hint="eastAsia" w:ascii="宋体" w:hAnsi="宋体" w:cs="宋体"/>
          <w:bCs/>
          <w:color w:val="000000"/>
          <w:sz w:val="24"/>
          <w:u w:val="single"/>
        </w:rPr>
        <w:t>净水有限公司</w:t>
      </w:r>
    </w:p>
    <w:p>
      <w:pPr>
        <w:adjustRightInd w:val="0"/>
        <w:spacing w:line="360" w:lineRule="auto"/>
        <w:ind w:firstLine="480" w:firstLineChars="200"/>
        <w:jc w:val="left"/>
        <w:textAlignment w:val="baseline"/>
        <w:rPr>
          <w:rFonts w:ascii="宋体" w:hAnsi="宋体" w:cs="宋体"/>
          <w:color w:val="000000"/>
          <w:sz w:val="24"/>
          <w:u w:val="single"/>
        </w:rPr>
      </w:pPr>
      <w:r>
        <w:rPr>
          <w:rFonts w:hint="eastAsia" w:ascii="宋体" w:hAnsi="宋体" w:cs="宋体"/>
          <w:color w:val="000000"/>
          <w:sz w:val="24"/>
        </w:rPr>
        <w:t>乙方（承包人） ：</w:t>
      </w:r>
    </w:p>
    <w:p>
      <w:pPr>
        <w:adjustRightInd w:val="0"/>
        <w:spacing w:line="360" w:lineRule="auto"/>
        <w:ind w:firstLine="228" w:firstLineChars="95"/>
        <w:jc w:val="left"/>
        <w:textAlignment w:val="baseline"/>
        <w:rPr>
          <w:rFonts w:ascii="宋体" w:hAnsi="宋体" w:cs="宋体"/>
          <w:color w:val="000000"/>
          <w:sz w:val="24"/>
        </w:rPr>
      </w:pPr>
    </w:p>
    <w:p>
      <w:pPr>
        <w:pStyle w:val="12"/>
        <w:spacing w:line="360" w:lineRule="auto"/>
        <w:ind w:firstLine="480" w:firstLineChars="200"/>
        <w:rPr>
          <w:rFonts w:hAnsi="宋体" w:cs="宋体"/>
          <w:color w:val="000000"/>
          <w:sz w:val="24"/>
          <w:szCs w:val="24"/>
        </w:rPr>
      </w:pPr>
      <w:r>
        <w:rPr>
          <w:rFonts w:hint="eastAsia" w:hAnsi="宋体" w:cs="宋体"/>
          <w:color w:val="000000"/>
          <w:sz w:val="24"/>
          <w:szCs w:val="24"/>
        </w:rPr>
        <w:t>甲方就</w:t>
      </w:r>
      <w:r>
        <w:rPr>
          <w:rFonts w:hint="eastAsia" w:hAnsi="宋体" w:cs="宋体"/>
          <w:sz w:val="24"/>
        </w:rPr>
        <w:t>大沙地污水厂</w:t>
      </w:r>
      <w:r>
        <w:rPr>
          <w:rFonts w:hint="eastAsia" w:hAnsi="宋体" w:cs="宋体"/>
          <w:color w:val="000000"/>
          <w:sz w:val="24"/>
          <w:szCs w:val="24"/>
        </w:rPr>
        <w:t>树木保护专章编制服务委托乙方提供相应工作成果。经双方协商一致，签订本合同。</w:t>
      </w:r>
    </w:p>
    <w:p>
      <w:pPr>
        <w:adjustRightInd w:val="0"/>
        <w:spacing w:line="360" w:lineRule="auto"/>
        <w:jc w:val="left"/>
        <w:textAlignment w:val="baseline"/>
        <w:rPr>
          <w:rFonts w:ascii="宋体" w:hAnsi="宋体" w:cs="宋体"/>
          <w:b/>
          <w:color w:val="000000"/>
          <w:sz w:val="24"/>
        </w:rPr>
      </w:pPr>
      <w:r>
        <w:rPr>
          <w:rFonts w:hint="eastAsia" w:ascii="宋体" w:hAnsi="宋体" w:cs="宋体"/>
          <w:b/>
          <w:bCs/>
          <w:color w:val="000000"/>
          <w:sz w:val="24"/>
        </w:rPr>
        <w:t>第一条</w:t>
      </w:r>
      <w:r>
        <w:rPr>
          <w:rFonts w:hint="eastAsia" w:ascii="宋体" w:hAnsi="宋体" w:cs="宋体"/>
          <w:b/>
          <w:color w:val="000000"/>
          <w:sz w:val="24"/>
        </w:rPr>
        <w:t xml:space="preserve">  签订依据 </w:t>
      </w:r>
    </w:p>
    <w:p>
      <w:pPr>
        <w:overflowPunct w:val="0"/>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1.1《中华人民共和国民法典》</w:t>
      </w:r>
    </w:p>
    <w:p>
      <w:pPr>
        <w:overflowPunct w:val="0"/>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1.2《林业行业调查规划项目收费指导意见》</w:t>
      </w:r>
    </w:p>
    <w:p>
      <w:pPr>
        <w:adjustRightInd w:val="0"/>
        <w:spacing w:line="360" w:lineRule="auto"/>
        <w:jc w:val="left"/>
        <w:textAlignment w:val="baseline"/>
        <w:rPr>
          <w:rFonts w:ascii="宋体" w:hAnsi="宋体" w:cs="宋体"/>
          <w:b/>
          <w:bCs/>
          <w:color w:val="000000"/>
          <w:sz w:val="24"/>
        </w:rPr>
      </w:pPr>
      <w:r>
        <w:rPr>
          <w:rFonts w:hint="eastAsia" w:ascii="宋体" w:hAnsi="宋体" w:cs="宋体"/>
          <w:b/>
          <w:bCs/>
          <w:color w:val="000000"/>
          <w:sz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rPr>
      </w:pPr>
      <w:r>
        <w:rPr>
          <w:rFonts w:hint="eastAsia" w:ascii="宋体" w:hAnsi="宋体" w:cs="宋体"/>
          <w:color w:val="000000"/>
          <w:sz w:val="24"/>
        </w:rPr>
        <w:t>2.1甲方给乙方的发包通知书</w:t>
      </w:r>
    </w:p>
    <w:p>
      <w:pPr>
        <w:overflowPunct w:val="0"/>
        <w:adjustRightInd w:val="0"/>
        <w:spacing w:line="360" w:lineRule="auto"/>
        <w:ind w:firstLine="480" w:firstLineChars="200"/>
        <w:jc w:val="left"/>
        <w:textAlignment w:val="baseline"/>
        <w:rPr>
          <w:rFonts w:ascii="宋体" w:hAnsi="宋体" w:cs="宋体"/>
          <w:color w:val="000000"/>
          <w:sz w:val="24"/>
        </w:rPr>
      </w:pPr>
      <w:r>
        <w:rPr>
          <w:rFonts w:hint="eastAsia" w:ascii="宋体" w:hAnsi="宋体" w:cs="宋体"/>
          <w:color w:val="000000"/>
          <w:sz w:val="24"/>
        </w:rPr>
        <w:t>2.2甲方提交的基础资料</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color w:val="000000"/>
          <w:sz w:val="24"/>
        </w:rPr>
        <w:t>2.3 乙方采用的主要技术标准包括但不限于：</w:t>
      </w:r>
      <w:r>
        <w:rPr>
          <w:rFonts w:hint="eastAsia" w:ascii="宋体" w:hAnsi="宋体" w:cs="宋体"/>
          <w:sz w:val="24"/>
        </w:rPr>
        <w:t>《中华人民共和国环境保护法》（2014年修订）；《中华人民共和国森林法》（2019年修订） ；《中华人民共和国刑法》（2020年修正）；《城市古树名木保护管理办法》（2000年实施）；《广东省城市绿化条例》（2014年修正）；《广州市历史文化名城保护条例》（2020年修正）；《城市绿化条例》（2017年修订）；《广州市绿化条例》（2020年修正）；《广州市古树名木迁移管理办法》（2020年实施）；《广州市城市树木保护管理规定（试行）》（穗林业园林规字[2022]1号）；《住房城乡建设部关于促进城市园林绿化事业健康发展的指导意见》（建城〔2012〕166号）；《全国绿化委员会关于进一步加强古树名木保护管理的意见》（全绿字〔2016〕1号）；《国务院办公厅关于科学绿化的指导意见》（国办发〔2021〕19号）；《关于在城乡建设中加强历史文化保护传承的意见》（厅字〔2021〕36号）；《住房和城乡建设部关于在实施城市更新行动中防止大拆大建问题的通知》（建科〔2021〕63号）；《广东省人民政府办公厅关于科学绿化的实施意见》（粤府办〔2021〕48号）；《广州市关于科学绿化的实施意见》（穂办〔2021〕11号）；《广州市城市规划管理技术标准与准则》（修建性详细规划篇）；《广州市关于在城市更新行动中防止大拆大建问题的实施意见（试行）》（建科[2021]63号）；《广州市园林事业发展“十四五”规划》（2021年9月正式发布）；《广州市绿地系统规划》（2020-2035年）；《绿化工程施工及验收规范（CJJ-82-2012）》；《城市古树名木养护和复壮工程技术规范（GB/T 51168-2016）》；《园林绿化工程项目规范（GB 55014-2021）》；《古树名木复壮技术规程（LY∕T 2494-2015）》；《古树名木鉴定规范（LY/T 2737-2016）》；《古树名木普查技术规范（LY/T 2738-2016）》；《古树名木管护技术规程（LY/T 3073-2018）》；《古树名木生长与环境监测技术规程（LY/T 2970-2018）》；《古树名木管护技术规程（LY/T 3073-2018）》；《园林植物保护技术规范(DB44/T 968-2011)》；《园林绿地养护管理技术规范(B4401/T 6-2018)》；《园林树木安全性评价技术规范（DB4401/T 17-2019）》；《园林种植土（DB4401/T 36-2019）》；《古树名木保护技术规范（DB4401/T 52-2020）》；《古树名木健康巡查技术规范（DB4401/T 126-2021）》；《广州市树木修剪技术指引（试行）》（2021.9）；《广州市城市道路绿化改造行道树处理技术指引》（2020.3）。</w:t>
      </w:r>
    </w:p>
    <w:p>
      <w:pPr>
        <w:adjustRightInd w:val="0"/>
        <w:spacing w:line="360" w:lineRule="auto"/>
        <w:ind w:firstLine="480" w:firstLineChars="200"/>
        <w:jc w:val="left"/>
        <w:textAlignment w:val="baseline"/>
        <w:rPr>
          <w:rFonts w:ascii="宋体" w:hAnsi="宋体" w:cs="宋体"/>
          <w:color w:val="000000"/>
          <w:sz w:val="24"/>
        </w:rPr>
      </w:pPr>
      <w:r>
        <w:rPr>
          <w:rFonts w:hint="eastAsia" w:ascii="宋体" w:hAnsi="宋体" w:cs="宋体"/>
          <w:color w:val="000000"/>
          <w:sz w:val="24"/>
        </w:rPr>
        <w:t>上述规范如有更新的，以最新版本为准。</w:t>
      </w:r>
    </w:p>
    <w:p>
      <w:pPr>
        <w:adjustRightInd w:val="0"/>
        <w:spacing w:line="360" w:lineRule="auto"/>
        <w:jc w:val="left"/>
        <w:textAlignment w:val="baseline"/>
        <w:rPr>
          <w:rFonts w:ascii="宋体" w:hAnsi="宋体" w:cs="宋体"/>
          <w:b/>
          <w:bCs/>
          <w:color w:val="000000"/>
          <w:sz w:val="24"/>
        </w:rPr>
      </w:pPr>
      <w:r>
        <w:rPr>
          <w:rFonts w:hint="eastAsia" w:ascii="宋体" w:hAnsi="宋体" w:cs="宋体"/>
          <w:b/>
          <w:bCs/>
          <w:color w:val="000000"/>
          <w:sz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rPr>
      </w:pPr>
      <w:r>
        <w:rPr>
          <w:rFonts w:hint="eastAsia" w:ascii="宋体" w:hAnsi="宋体" w:cs="宋体"/>
          <w:color w:val="000000"/>
          <w:sz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rPr>
      </w:pPr>
      <w:r>
        <w:rPr>
          <w:rFonts w:hint="eastAsia" w:ascii="宋体" w:hAnsi="宋体" w:cs="宋体"/>
          <w:color w:val="000000"/>
          <w:sz w:val="24"/>
        </w:rPr>
        <w:t>3.1合同书</w:t>
      </w:r>
    </w:p>
    <w:p>
      <w:pPr>
        <w:adjustRightInd w:val="0"/>
        <w:spacing w:line="360" w:lineRule="auto"/>
        <w:ind w:firstLine="480" w:firstLineChars="200"/>
        <w:jc w:val="left"/>
        <w:textAlignment w:val="baseline"/>
        <w:rPr>
          <w:rFonts w:ascii="宋体" w:hAnsi="宋体" w:cs="宋体"/>
          <w:color w:val="000000"/>
          <w:sz w:val="24"/>
          <w:shd w:val="pct10" w:color="auto" w:fill="FFFFFF"/>
        </w:rPr>
      </w:pPr>
      <w:r>
        <w:rPr>
          <w:rFonts w:hint="eastAsia" w:ascii="宋体" w:hAnsi="宋体" w:cs="宋体"/>
          <w:color w:val="000000"/>
          <w:sz w:val="24"/>
        </w:rPr>
        <w:t>3.2发包通知书</w:t>
      </w:r>
    </w:p>
    <w:p>
      <w:pPr>
        <w:adjustRightInd w:val="0"/>
        <w:spacing w:line="360" w:lineRule="auto"/>
        <w:ind w:firstLine="480" w:firstLineChars="200"/>
        <w:jc w:val="left"/>
        <w:textAlignment w:val="baseline"/>
        <w:rPr>
          <w:rFonts w:ascii="宋体" w:hAnsi="宋体" w:cs="宋体"/>
          <w:color w:val="000000"/>
          <w:sz w:val="24"/>
        </w:rPr>
      </w:pPr>
      <w:r>
        <w:rPr>
          <w:rFonts w:hint="eastAsia" w:ascii="宋体" w:hAnsi="宋体" w:cs="宋体"/>
          <w:color w:val="000000"/>
          <w:sz w:val="24"/>
        </w:rPr>
        <w:t xml:space="preserve">3.3甲方的要求 </w:t>
      </w:r>
    </w:p>
    <w:p>
      <w:pPr>
        <w:adjustRightInd w:val="0"/>
        <w:spacing w:line="360" w:lineRule="auto"/>
        <w:ind w:firstLine="480" w:firstLineChars="200"/>
        <w:jc w:val="left"/>
        <w:textAlignment w:val="baseline"/>
        <w:rPr>
          <w:rFonts w:ascii="宋体" w:hAnsi="宋体" w:cs="宋体"/>
          <w:color w:val="000000"/>
          <w:sz w:val="24"/>
        </w:rPr>
      </w:pPr>
      <w:r>
        <w:rPr>
          <w:rFonts w:hint="eastAsia" w:ascii="宋体" w:hAnsi="宋体" w:cs="宋体"/>
          <w:color w:val="000000"/>
          <w:sz w:val="24"/>
        </w:rPr>
        <w:t>3.4技术规范</w:t>
      </w:r>
    </w:p>
    <w:p>
      <w:pPr>
        <w:adjustRightInd w:val="0"/>
        <w:spacing w:line="360" w:lineRule="auto"/>
        <w:jc w:val="left"/>
        <w:textAlignment w:val="baseline"/>
        <w:rPr>
          <w:rFonts w:ascii="宋体" w:hAnsi="宋体" w:cs="宋体"/>
          <w:b/>
          <w:bCs/>
          <w:color w:val="000000"/>
          <w:sz w:val="24"/>
        </w:rPr>
      </w:pPr>
      <w:r>
        <w:rPr>
          <w:rFonts w:hint="eastAsia" w:ascii="宋体" w:hAnsi="宋体" w:cs="宋体"/>
          <w:b/>
          <w:bCs/>
          <w:color w:val="000000"/>
          <w:sz w:val="24"/>
        </w:rPr>
        <w:t>第四条  项目概况</w:t>
      </w:r>
    </w:p>
    <w:p>
      <w:pPr>
        <w:adjustRightInd w:val="0"/>
        <w:spacing w:line="360" w:lineRule="auto"/>
        <w:ind w:left="1" w:firstLine="480" w:firstLineChars="200"/>
        <w:jc w:val="left"/>
        <w:textAlignment w:val="baseline"/>
        <w:rPr>
          <w:rFonts w:ascii="宋体" w:hAnsi="宋体" w:cs="宋体"/>
          <w:sz w:val="24"/>
        </w:rPr>
      </w:pPr>
      <w:r>
        <w:rPr>
          <w:rFonts w:hint="eastAsia" w:ascii="宋体" w:hAnsi="宋体" w:cs="宋体"/>
          <w:sz w:val="24"/>
        </w:rPr>
        <w:t>项目名称：大沙地污水厂树木保护专章编制项目</w:t>
      </w:r>
    </w:p>
    <w:p>
      <w:pPr>
        <w:adjustRightInd w:val="0"/>
        <w:spacing w:line="360" w:lineRule="auto"/>
        <w:ind w:left="1" w:firstLine="480" w:firstLineChars="200"/>
        <w:jc w:val="left"/>
        <w:textAlignment w:val="baseline"/>
        <w:rPr>
          <w:rFonts w:ascii="宋体" w:hAnsi="宋体" w:cs="宋体"/>
          <w:sz w:val="24"/>
        </w:rPr>
      </w:pPr>
      <w:r>
        <w:rPr>
          <w:rFonts w:hint="eastAsia" w:ascii="宋体" w:hAnsi="宋体" w:cs="宋体"/>
          <w:sz w:val="24"/>
        </w:rPr>
        <w:t>项目地点：</w:t>
      </w:r>
      <w:r>
        <w:rPr>
          <w:rFonts w:hint="eastAsia" w:ascii="宋体" w:hAnsi="宋体" w:cs="宋体"/>
          <w:sz w:val="24"/>
          <w:u w:val="single"/>
        </w:rPr>
        <w:t>本项目地块位于广州市黄埔区。</w:t>
      </w:r>
    </w:p>
    <w:p>
      <w:pPr>
        <w:adjustRightInd w:val="0"/>
        <w:spacing w:line="360" w:lineRule="auto"/>
        <w:ind w:left="1" w:firstLine="480" w:firstLineChars="200"/>
        <w:jc w:val="left"/>
        <w:textAlignment w:val="baseline"/>
        <w:rPr>
          <w:rFonts w:ascii="宋体" w:hAnsi="宋体" w:cs="宋体"/>
          <w:sz w:val="24"/>
        </w:rPr>
      </w:pPr>
      <w:r>
        <w:rPr>
          <w:rFonts w:hint="eastAsia" w:ascii="宋体" w:hAnsi="宋体" w:cs="宋体"/>
          <w:sz w:val="24"/>
        </w:rPr>
        <w:t>主要工作内容包括：</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对绿地及连片成林树木的范围、面积及主要树种进行摸查记录；对项目场地范围内胸径80cm（含）以上的古树名木及古树后续资源的现状（树种、数量、坐标科名、地理位置）、生长状况进行调查记录；对非连片成林的20cm以上的树木进行逐一清点，对其树种、数量进行调查记录，成果质量应按照所在地政府树木保护专章的内容和深度进行编制，切实做好树木保护专章工作。</w:t>
      </w:r>
    </w:p>
    <w:p>
      <w:pPr>
        <w:adjustRightInd w:val="0"/>
        <w:spacing w:line="360" w:lineRule="auto"/>
        <w:jc w:val="left"/>
        <w:textAlignment w:val="baseline"/>
        <w:rPr>
          <w:rFonts w:ascii="宋体" w:hAnsi="宋体" w:cs="宋体"/>
          <w:b/>
          <w:bCs/>
          <w:sz w:val="24"/>
        </w:rPr>
      </w:pPr>
      <w:r>
        <w:rPr>
          <w:rFonts w:hint="eastAsia" w:ascii="宋体" w:hAnsi="宋体" w:cs="宋体"/>
          <w:b/>
          <w:bCs/>
          <w:sz w:val="24"/>
        </w:rPr>
        <w:t>第五条 乙方向甲方交付资料及文件</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5.1本合同签订后，乙方应在3个工作日内提交编制计划及参编人员名单并征得甲方同意。合同执行中，乙方如需更换设计人员的，需征得甲方书面同意。</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5.2 乙方应在合同签订后</w:t>
      </w:r>
      <w:r>
        <w:rPr>
          <w:rFonts w:ascii="宋体" w:hAnsi="宋体" w:cs="宋体"/>
          <w:sz w:val="24"/>
        </w:rPr>
        <w:t>30</w:t>
      </w:r>
      <w:r>
        <w:rPr>
          <w:rFonts w:hint="eastAsia" w:ascii="宋体" w:hAnsi="宋体" w:cs="宋体"/>
          <w:sz w:val="24"/>
        </w:rPr>
        <w:t>个工作日内完成大沙地污水厂树木保护专章编制工作。（具体视情况而定）该</w:t>
      </w:r>
      <w:r>
        <w:rPr>
          <w:rFonts w:ascii="宋体" w:hAnsi="宋体" w:cs="宋体"/>
          <w:sz w:val="24"/>
        </w:rPr>
        <w:t>工作应配合</w:t>
      </w:r>
      <w:r>
        <w:rPr>
          <w:rFonts w:hint="eastAsia" w:ascii="宋体" w:hAnsi="宋体" w:cs="宋体"/>
          <w:sz w:val="24"/>
        </w:rPr>
        <w:t>大沙地净水厂地块控规调整工作进度时间、部门意见进行编制、提交成果及作相应修改完善，以用于甲方申请控规调整，（若该阶段工作，相关部门意见要求树评单独开展专家评审，由乙方负责相关费用）。成果书暂定一式十份，电子光盘2份（未加密且可编辑格式），具体以甲方通知为准</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5.3乙方应配合甲方开展结算工作并提交结算的相关资料,若乙方在接到甲方通知后逾期超过30天未提交完整的结算资料和结算报告等，甲方有权单方自行结算，由此产生的一切责任由乙方承担。</w:t>
      </w:r>
    </w:p>
    <w:p>
      <w:pPr>
        <w:adjustRightInd w:val="0"/>
        <w:spacing w:line="360" w:lineRule="auto"/>
        <w:jc w:val="left"/>
        <w:textAlignment w:val="baseline"/>
        <w:rPr>
          <w:rFonts w:ascii="宋体" w:hAnsi="宋体" w:cs="宋体"/>
          <w:b/>
          <w:bCs/>
          <w:sz w:val="24"/>
        </w:rPr>
      </w:pPr>
      <w:r>
        <w:rPr>
          <w:rFonts w:hint="eastAsia" w:ascii="宋体" w:hAnsi="宋体" w:cs="宋体"/>
          <w:b/>
          <w:bCs/>
          <w:sz w:val="24"/>
        </w:rPr>
        <w:t xml:space="preserve">第六条 费用 </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6.1本合同总价包干暂定为人民币</w:t>
      </w:r>
      <w:r>
        <w:rPr>
          <w:rFonts w:hint="eastAsia" w:ascii="宋体" w:hAnsi="宋体" w:cs="宋体"/>
          <w:sz w:val="24"/>
          <w:u w:val="single"/>
        </w:rPr>
        <w:t xml:space="preserve">    </w:t>
      </w:r>
      <w:r>
        <w:rPr>
          <w:rFonts w:hint="eastAsia" w:ascii="宋体" w:hAnsi="宋体" w:cs="宋体"/>
          <w:sz w:val="24"/>
        </w:rPr>
        <w:t>万元（大写：人民币    ，税率  %）。甲、乙双方同意，对属于《广州市财政投资评审管理办法》评审范围的财政性资金投资项目，财政投资评审结果作为该项目价款结算的依据。</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6.2本合同采用总价包干，工作内容包括完成本合同项下的所有工作（包含但不限于成果编制和报审、修改完善及公示期间相关工作的配合）。</w:t>
      </w:r>
    </w:p>
    <w:p>
      <w:pPr>
        <w:adjustRightInd w:val="0"/>
        <w:spacing w:line="360" w:lineRule="auto"/>
        <w:jc w:val="left"/>
        <w:textAlignment w:val="baseline"/>
        <w:rPr>
          <w:rFonts w:ascii="宋体" w:hAnsi="宋体" w:cs="宋体"/>
          <w:b/>
          <w:bCs/>
          <w:sz w:val="24"/>
        </w:rPr>
      </w:pPr>
      <w:r>
        <w:rPr>
          <w:rFonts w:hint="eastAsia" w:ascii="宋体" w:hAnsi="宋体" w:cs="宋体"/>
          <w:b/>
          <w:bCs/>
          <w:sz w:val="24"/>
        </w:rPr>
        <w:t>第七条 支付方式</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7.1.1 支付办法：本合同生效后，甲方收到乙方提交的等额增值税发票后，向乙方支付合同费用。</w:t>
      </w:r>
    </w:p>
    <w:p>
      <w:pPr>
        <w:pStyle w:val="51"/>
        <w:spacing w:line="360" w:lineRule="auto"/>
        <w:ind w:firstLine="480" w:firstLineChars="200"/>
        <w:rPr>
          <w:rFonts w:hAnsi="宋体" w:eastAsia="宋体"/>
        </w:rPr>
      </w:pPr>
      <w:r>
        <w:rPr>
          <w:rFonts w:hint="eastAsia" w:hAnsi="宋体"/>
        </w:rPr>
        <w:t xml:space="preserve">7.1.2 </w:t>
      </w:r>
      <w:r>
        <w:rPr>
          <w:rFonts w:hint="eastAsia" w:hAnsi="宋体" w:eastAsia="宋体"/>
        </w:rPr>
        <w:t>乙方收款账号资料</w:t>
      </w:r>
    </w:p>
    <w:p>
      <w:pPr>
        <w:spacing w:line="360" w:lineRule="auto"/>
        <w:ind w:firstLine="720" w:firstLineChars="300"/>
        <w:rPr>
          <w:rFonts w:ascii="宋体" w:hAnsi="宋体" w:cs="宋体"/>
          <w:sz w:val="24"/>
        </w:rPr>
      </w:pPr>
      <w:r>
        <w:rPr>
          <w:rFonts w:hint="eastAsia" w:ascii="宋体" w:hAnsi="宋体" w:cs="宋体"/>
          <w:sz w:val="24"/>
        </w:rPr>
        <w:t>乙方收款账户：；</w:t>
      </w:r>
    </w:p>
    <w:p>
      <w:pPr>
        <w:spacing w:line="360" w:lineRule="auto"/>
        <w:ind w:firstLine="840" w:firstLineChars="350"/>
        <w:rPr>
          <w:rFonts w:ascii="宋体" w:hAnsi="宋体" w:cs="宋体"/>
          <w:sz w:val="24"/>
        </w:rPr>
      </w:pPr>
      <w:r>
        <w:rPr>
          <w:rFonts w:hint="eastAsia" w:ascii="宋体" w:hAnsi="宋体" w:cs="宋体"/>
          <w:sz w:val="24"/>
        </w:rPr>
        <w:t>收款账号：；</w:t>
      </w:r>
    </w:p>
    <w:p>
      <w:pPr>
        <w:spacing w:line="360" w:lineRule="auto"/>
        <w:ind w:firstLine="840" w:firstLineChars="350"/>
        <w:rPr>
          <w:rFonts w:ascii="宋体" w:hAnsi="宋体" w:cs="宋体"/>
          <w:sz w:val="24"/>
        </w:rPr>
      </w:pPr>
      <w:r>
        <w:rPr>
          <w:rFonts w:hint="eastAsia" w:ascii="宋体" w:hAnsi="宋体" w:cs="宋体"/>
          <w:sz w:val="24"/>
        </w:rPr>
        <w:t>开户行：；</w:t>
      </w:r>
    </w:p>
    <w:p>
      <w:pPr>
        <w:spacing w:line="360" w:lineRule="auto"/>
        <w:ind w:firstLine="720" w:firstLineChars="300"/>
        <w:rPr>
          <w:rFonts w:ascii="宋体" w:hAnsi="宋体" w:cs="宋体"/>
          <w:sz w:val="24"/>
        </w:rPr>
      </w:pPr>
      <w:r>
        <w:rPr>
          <w:rFonts w:hint="eastAsia" w:ascii="宋体" w:hAnsi="宋体" w:cs="宋体"/>
          <w:sz w:val="24"/>
        </w:rPr>
        <w:t>甲方增值税专用发票信息：</w:t>
      </w:r>
    </w:p>
    <w:p>
      <w:pPr>
        <w:spacing w:line="360" w:lineRule="auto"/>
        <w:ind w:firstLine="960" w:firstLineChars="400"/>
        <w:rPr>
          <w:rFonts w:ascii="宋体" w:hAnsi="宋体" w:cs="宋体"/>
          <w:sz w:val="24"/>
        </w:rPr>
      </w:pPr>
      <w:r>
        <w:rPr>
          <w:rFonts w:hint="eastAsia" w:ascii="宋体" w:hAnsi="宋体" w:cs="宋体"/>
          <w:sz w:val="24"/>
        </w:rPr>
        <w:t>名称：广州市净水有限公司</w:t>
      </w:r>
    </w:p>
    <w:p>
      <w:pPr>
        <w:spacing w:line="360" w:lineRule="auto"/>
        <w:ind w:firstLine="960" w:firstLineChars="400"/>
        <w:rPr>
          <w:rFonts w:ascii="宋体" w:hAnsi="宋体" w:cs="宋体"/>
          <w:sz w:val="24"/>
        </w:rPr>
      </w:pPr>
      <w:r>
        <w:rPr>
          <w:rFonts w:hint="eastAsia" w:ascii="宋体" w:hAnsi="宋体" w:cs="宋体"/>
          <w:sz w:val="24"/>
        </w:rPr>
        <w:t>税号：</w:t>
      </w:r>
    </w:p>
    <w:p>
      <w:pPr>
        <w:pStyle w:val="51"/>
        <w:spacing w:line="360" w:lineRule="auto"/>
        <w:ind w:firstLine="960" w:firstLineChars="400"/>
        <w:rPr>
          <w:rFonts w:hAnsi="宋体" w:eastAsia="宋体"/>
        </w:rPr>
      </w:pPr>
      <w:r>
        <w:rPr>
          <w:rFonts w:hint="eastAsia" w:hAnsi="宋体" w:eastAsia="宋体"/>
        </w:rPr>
        <w:t>地址：</w:t>
      </w:r>
    </w:p>
    <w:p>
      <w:pPr>
        <w:spacing w:line="360" w:lineRule="auto"/>
        <w:ind w:firstLine="480" w:firstLineChars="200"/>
        <w:rPr>
          <w:rFonts w:ascii="宋体" w:hAnsi="宋体" w:cs="宋体"/>
          <w:sz w:val="24"/>
        </w:rPr>
      </w:pPr>
      <w:r>
        <w:rPr>
          <w:rFonts w:hint="eastAsia" w:ascii="宋体" w:hAnsi="宋体" w:cs="宋体"/>
          <w:sz w:val="24"/>
        </w:rPr>
        <w:t xml:space="preserve"> 7.1.3付款方式：</w:t>
      </w:r>
      <w:r>
        <w:rPr>
          <w:rFonts w:hint="eastAsia" w:ascii="宋体" w:hAnsi="宋体" w:cs="宋体"/>
          <w:sz w:val="24"/>
        </w:rPr>
        <w:sym w:font="Wingdings" w:char="00FE"/>
      </w:r>
      <w:r>
        <w:rPr>
          <w:rFonts w:hint="eastAsia" w:ascii="宋体" w:hAnsi="宋体" w:cs="宋体"/>
          <w:sz w:val="24"/>
        </w:rPr>
        <w:t>网银支付；</w:t>
      </w:r>
      <w:r>
        <w:rPr>
          <w:rFonts w:hint="eastAsia" w:ascii="宋体" w:hAnsi="宋体" w:cs="宋体"/>
          <w:sz w:val="24"/>
        </w:rPr>
        <w:sym w:font="Wingdings" w:char="00A8"/>
      </w:r>
      <w:r>
        <w:rPr>
          <w:rFonts w:hint="eastAsia" w:ascii="宋体" w:hAnsi="宋体" w:cs="宋体"/>
          <w:sz w:val="24"/>
        </w:rPr>
        <w:t>支票；</w:t>
      </w:r>
      <w:r>
        <w:rPr>
          <w:rFonts w:hint="eastAsia" w:ascii="宋体" w:hAnsi="宋体" w:cs="宋体"/>
          <w:sz w:val="24"/>
        </w:rPr>
        <w:sym w:font="Wingdings" w:char="00A8"/>
      </w:r>
      <w:r>
        <w:rPr>
          <w:rFonts w:hint="eastAsia" w:ascii="宋体" w:hAnsi="宋体" w:cs="宋体"/>
          <w:sz w:val="24"/>
        </w:rPr>
        <w:t>其他：/</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7.2 本合同生效后，乙方向甲方提出定金支付申请，甲方向乙方支付合同包干价的20％作为定金，计 万元。</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7.3 乙方应于当月20日前将工程支付申请书一式四份报送给甲方，费用按照以下方式予以支付：</w:t>
      </w:r>
    </w:p>
    <w:p>
      <w:pPr>
        <w:adjustRightInd w:val="0"/>
        <w:spacing w:line="360" w:lineRule="auto"/>
        <w:ind w:firstLine="480" w:firstLineChars="200"/>
        <w:jc w:val="left"/>
        <w:textAlignment w:val="baseline"/>
        <w:rPr>
          <w:rFonts w:ascii="宋体" w:hAnsi="宋体" w:cs="宋体"/>
          <w:sz w:val="24"/>
        </w:rPr>
      </w:pPr>
      <w:r>
        <w:rPr>
          <w:rFonts w:ascii="宋体" w:hAnsi="宋体" w:cs="宋体"/>
          <w:sz w:val="24"/>
        </w:rPr>
        <w:t xml:space="preserve">7.3.1 </w:t>
      </w:r>
      <w:r>
        <w:rPr>
          <w:rFonts w:hint="eastAsia" w:ascii="宋体" w:hAnsi="宋体" w:cs="宋体"/>
          <w:sz w:val="24"/>
        </w:rPr>
        <w:t>乙方提交树木</w:t>
      </w:r>
      <w:bookmarkStart w:id="97" w:name="_Hlk103085108"/>
      <w:r>
        <w:rPr>
          <w:rFonts w:hint="eastAsia" w:ascii="宋体" w:hAnsi="宋体" w:cs="宋体"/>
          <w:sz w:val="24"/>
        </w:rPr>
        <w:t>保护专章，经甲方确认后，甲方向乙方支付至合同包干价的6</w:t>
      </w:r>
      <w:r>
        <w:rPr>
          <w:rFonts w:ascii="宋体" w:hAnsi="宋体" w:cs="宋体"/>
          <w:sz w:val="24"/>
        </w:rPr>
        <w:t>0%（含定金）。</w:t>
      </w:r>
    </w:p>
    <w:bookmarkEnd w:id="97"/>
    <w:p>
      <w:pPr>
        <w:overflowPunct w:val="0"/>
        <w:adjustRightInd w:val="0"/>
        <w:spacing w:line="360" w:lineRule="auto"/>
        <w:ind w:firstLine="480" w:firstLineChars="200"/>
        <w:jc w:val="left"/>
        <w:textAlignment w:val="baseline"/>
        <w:rPr>
          <w:rFonts w:ascii="宋体" w:hAnsi="宋体" w:cs="宋体"/>
          <w:sz w:val="24"/>
        </w:rPr>
      </w:pPr>
      <w:r>
        <w:rPr>
          <w:rFonts w:ascii="宋体" w:hAnsi="宋体" w:cs="宋体"/>
          <w:sz w:val="24"/>
        </w:rPr>
        <w:t xml:space="preserve">7.3.2 </w:t>
      </w:r>
      <w:r>
        <w:rPr>
          <w:rFonts w:hint="eastAsia" w:ascii="宋体" w:hAnsi="宋体" w:cs="宋体"/>
          <w:sz w:val="24"/>
        </w:rPr>
        <w:t>乙方提交树木保护专章，</w:t>
      </w:r>
      <w:r>
        <w:rPr>
          <w:rFonts w:hint="eastAsia"/>
          <w:sz w:val="24"/>
        </w:rPr>
        <w:t>作为控制性规划调整方案配套文件，</w:t>
      </w:r>
      <w:r>
        <w:rPr>
          <w:rFonts w:hint="eastAsia" w:ascii="宋体" w:hAnsi="宋体" w:cs="宋体"/>
          <w:sz w:val="24"/>
        </w:rPr>
        <w:t>取得区规委会书面同意意见后，甲方向乙方支付至合同包干价的8</w:t>
      </w:r>
      <w:r>
        <w:rPr>
          <w:rFonts w:ascii="宋体" w:hAnsi="宋体" w:cs="宋体"/>
          <w:sz w:val="24"/>
        </w:rPr>
        <w:t>0%（含定金）。</w:t>
      </w:r>
    </w:p>
    <w:p>
      <w:pPr>
        <w:overflowPunct w:val="0"/>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7.3.3</w:t>
      </w:r>
      <w:r>
        <w:rPr>
          <w:rFonts w:hint="eastAsia" w:ascii="宋体" w:hAnsi="宋体"/>
          <w:sz w:val="24"/>
        </w:rPr>
        <w:t>待相关部门终审结算后，甲方支付至合同结算价的100% 。</w:t>
      </w:r>
    </w:p>
    <w:p>
      <w:pPr>
        <w:adjustRightInd w:val="0"/>
        <w:spacing w:line="360" w:lineRule="auto"/>
        <w:ind w:firstLine="480" w:firstLineChars="200"/>
        <w:jc w:val="left"/>
        <w:textAlignment w:val="baseline"/>
        <w:rPr>
          <w:color w:val="FF0000"/>
        </w:rPr>
      </w:pPr>
      <w:r>
        <w:rPr>
          <w:rFonts w:hint="eastAsia" w:ascii="宋体" w:hAnsi="宋体" w:cs="宋体"/>
          <w:sz w:val="24"/>
        </w:rPr>
        <w:t>7.4乙方</w:t>
      </w:r>
      <w:r>
        <w:rPr>
          <w:rFonts w:hint="eastAsia" w:ascii="宋体" w:hAnsi="宋体"/>
          <w:sz w:val="24"/>
        </w:rPr>
        <w:t>在收取每一笔合同费用前，需向甲方提供等额有效的增值税专用发票。</w:t>
      </w:r>
    </w:p>
    <w:p>
      <w:pPr>
        <w:adjustRightInd w:val="0"/>
        <w:spacing w:line="360" w:lineRule="auto"/>
        <w:jc w:val="left"/>
        <w:textAlignment w:val="baseline"/>
        <w:rPr>
          <w:rFonts w:ascii="宋体" w:hAnsi="宋体" w:cs="宋体"/>
          <w:b/>
          <w:bCs/>
          <w:sz w:val="24"/>
        </w:rPr>
      </w:pPr>
      <w:r>
        <w:rPr>
          <w:rFonts w:hint="eastAsia" w:ascii="宋体" w:hAnsi="宋体" w:cs="宋体"/>
          <w:b/>
          <w:bCs/>
          <w:sz w:val="24"/>
        </w:rPr>
        <w:t>第八条 双方责任</w:t>
      </w:r>
    </w:p>
    <w:p>
      <w:pPr>
        <w:spacing w:line="360" w:lineRule="auto"/>
        <w:ind w:firstLine="482" w:firstLineChars="200"/>
        <w:rPr>
          <w:rFonts w:ascii="宋体" w:hAnsi="宋体" w:cs="宋体"/>
          <w:sz w:val="24"/>
        </w:rPr>
      </w:pPr>
      <w:r>
        <w:rPr>
          <w:rFonts w:hint="eastAsia" w:ascii="宋体" w:hAnsi="宋体" w:cs="宋体"/>
          <w:b/>
          <w:bCs/>
          <w:sz w:val="24"/>
        </w:rPr>
        <w:t>8.1甲方责任</w:t>
      </w:r>
    </w:p>
    <w:p>
      <w:pPr>
        <w:spacing w:line="360" w:lineRule="auto"/>
        <w:ind w:firstLine="480" w:firstLineChars="200"/>
        <w:rPr>
          <w:rFonts w:ascii="宋体" w:hAnsi="宋体"/>
          <w:sz w:val="24"/>
        </w:rPr>
      </w:pPr>
      <w:r>
        <w:rPr>
          <w:rFonts w:hint="eastAsia" w:ascii="宋体" w:hAnsi="宋体" w:cs="宋体"/>
          <w:sz w:val="24"/>
        </w:rPr>
        <w:t>8.1.1</w:t>
      </w:r>
      <w:r>
        <w:rPr>
          <w:rFonts w:hint="eastAsia" w:ascii="宋体" w:hAnsi="宋体"/>
          <w:sz w:val="24"/>
        </w:rPr>
        <w:t>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ascii="宋体" w:hAnsi="宋体"/>
          <w:sz w:val="24"/>
        </w:rPr>
      </w:pPr>
      <w:r>
        <w:rPr>
          <w:rFonts w:hint="eastAsia" w:ascii="宋体" w:hAnsi="宋体"/>
          <w:sz w:val="24"/>
        </w:rPr>
        <w:t>8.1.2 合同生效后，</w:t>
      </w:r>
      <w:r>
        <w:rPr>
          <w:rFonts w:hint="eastAsia" w:ascii="宋体" w:hAnsi="宋体"/>
          <w:color w:val="000000"/>
          <w:sz w:val="24"/>
        </w:rPr>
        <w:t>由于甲方原因</w:t>
      </w:r>
      <w:r>
        <w:rPr>
          <w:rFonts w:hint="eastAsia" w:ascii="宋体" w:hAnsi="宋体"/>
          <w:sz w:val="24"/>
        </w:rPr>
        <w:t xml:space="preserve">要求终止或解除合同，乙方未开始项目工作的，不退还甲方已付的定金。 </w:t>
      </w:r>
    </w:p>
    <w:p>
      <w:pPr>
        <w:spacing w:line="360" w:lineRule="auto"/>
        <w:ind w:firstLine="480" w:firstLineChars="200"/>
        <w:rPr>
          <w:rFonts w:ascii="宋体" w:hAnsi="宋体" w:cs="宋体"/>
          <w:sz w:val="24"/>
        </w:rPr>
      </w:pPr>
      <w:r>
        <w:rPr>
          <w:rFonts w:hint="eastAsia" w:ascii="宋体" w:hAnsi="宋体" w:cs="宋体"/>
          <w:sz w:val="24"/>
        </w:rPr>
        <w:t>8.1.3在合同履行期间，已开始编制工作，非乙方原因甲方要求终止或解除合同的，甲方根据乙方已进行的实际工作量按实进行结算，最高支付至合同包干价的六成。</w:t>
      </w:r>
    </w:p>
    <w:p>
      <w:pPr>
        <w:spacing w:line="360" w:lineRule="auto"/>
        <w:ind w:firstLine="360" w:firstLineChars="150"/>
        <w:rPr>
          <w:rFonts w:ascii="宋体" w:hAnsi="宋体" w:cs="宋体"/>
          <w:sz w:val="24"/>
        </w:rPr>
      </w:pPr>
      <w:r>
        <w:rPr>
          <w:rFonts w:hint="eastAsia" w:ascii="宋体" w:hAnsi="宋体" w:cs="宋体"/>
          <w:sz w:val="24"/>
        </w:rPr>
        <w:t xml:space="preserve"> 8.1.4甲方要求乙方比合同规定时间提前交付编制文件时，需提前通知乙方，且征得乙方同意，不得严重背离合理编制周期。</w:t>
      </w:r>
    </w:p>
    <w:p>
      <w:pPr>
        <w:pStyle w:val="6"/>
        <w:keepNext w:val="0"/>
        <w:keepLines w:val="0"/>
        <w:spacing w:before="0" w:after="0" w:line="360" w:lineRule="auto"/>
        <w:ind w:firstLine="482" w:firstLineChars="200"/>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rPr>
      </w:pPr>
      <w:r>
        <w:rPr>
          <w:rFonts w:hint="eastAsia" w:ascii="宋体" w:hAnsi="宋体" w:cs="宋体"/>
          <w:sz w:val="24"/>
        </w:rPr>
        <w:t>8.2.1乙方按合同约定时间向甲方提交有关工作成果，若该成果需要开展专家评审，由乙方并承担评审费用；乙方保证具备相应的资质并对提交的文件、报告及所出的结论负责。</w:t>
      </w:r>
    </w:p>
    <w:p>
      <w:pPr>
        <w:spacing w:line="360" w:lineRule="auto"/>
        <w:ind w:firstLine="480" w:firstLineChars="200"/>
        <w:rPr>
          <w:rFonts w:ascii="宋体" w:hAnsi="宋体" w:cs="宋体"/>
          <w:sz w:val="24"/>
        </w:rPr>
      </w:pPr>
      <w:r>
        <w:rPr>
          <w:rFonts w:hint="eastAsia" w:ascii="宋体" w:hAnsi="宋体" w:cs="宋体"/>
          <w:sz w:val="24"/>
        </w:rPr>
        <w:t>8.2.2乙方在接到甲方书面质量异议通知后，乙方应在1</w:t>
      </w:r>
      <w:r>
        <w:rPr>
          <w:rFonts w:ascii="宋体" w:hAnsi="宋体" w:cs="宋体"/>
          <w:sz w:val="24"/>
        </w:rPr>
        <w:t>5</w:t>
      </w:r>
      <w:r>
        <w:rPr>
          <w:rFonts w:hint="eastAsia" w:ascii="宋体" w:hAnsi="宋体" w:cs="宋体"/>
          <w:sz w:val="24"/>
        </w:rPr>
        <w:t>个工作日内反馈处理意见，逾期未答复即视为默认异议成立，甲方有权要求乙方赔偿相应的损失。</w:t>
      </w:r>
    </w:p>
    <w:p>
      <w:pPr>
        <w:spacing w:line="360" w:lineRule="auto"/>
        <w:ind w:firstLine="480" w:firstLineChars="200"/>
        <w:rPr>
          <w:rFonts w:ascii="宋体" w:hAnsi="宋体" w:cs="宋体"/>
          <w:sz w:val="24"/>
        </w:rPr>
      </w:pPr>
      <w:r>
        <w:rPr>
          <w:rFonts w:hint="eastAsia" w:ascii="宋体" w:hAnsi="宋体" w:cs="宋体"/>
          <w:sz w:val="24"/>
        </w:rPr>
        <w:t>8.2.3乙方提交的文件不符合合同约定，经修改后仍未达到要求的，甲方有权解除合同，要求乙方赔偿损失并返还已收到的全部合同价款，如逾期未返还，应按同期银行贷款利率支付相应利息。若乙方未按合同约定条款执行，并给甲方生产造成影响及经济损失的，乙方应承担赔偿责任，赔偿金额为甲方受到的损失。</w:t>
      </w:r>
    </w:p>
    <w:p>
      <w:pPr>
        <w:spacing w:line="360" w:lineRule="auto"/>
        <w:ind w:firstLine="480" w:firstLineChars="200"/>
        <w:rPr>
          <w:rFonts w:ascii="宋体" w:hAnsi="宋体" w:cs="宋体"/>
          <w:sz w:val="24"/>
        </w:rPr>
      </w:pPr>
      <w:r>
        <w:rPr>
          <w:rFonts w:hint="eastAsia" w:ascii="宋体" w:hAnsi="宋体" w:cs="宋体"/>
          <w:sz w:val="24"/>
        </w:rPr>
        <w:t>8.2.4由于乙方自身原因，延误了按本合同第五条规定的成果交付时间，每延误一天应减收该项目合同价的2‰，逾期超过30天，甲方有权解除合同。由此给甲方造成损失的，乙方应承担赔偿责任。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sz w:val="24"/>
        </w:rPr>
      </w:pPr>
      <w:r>
        <w:rPr>
          <w:rFonts w:hint="eastAsia" w:ascii="宋体" w:hAnsi="宋体" w:cs="宋体"/>
          <w:sz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rPr>
      </w:pPr>
      <w:r>
        <w:rPr>
          <w:rFonts w:hint="eastAsia" w:ascii="宋体" w:hAnsi="宋体" w:cs="宋体"/>
          <w:sz w:val="24"/>
        </w:rPr>
        <w:t>8.2.6若标准或计划变更，经甲方同意，乙方可顺延期限。</w:t>
      </w:r>
    </w:p>
    <w:p>
      <w:pPr>
        <w:spacing w:line="360" w:lineRule="auto"/>
        <w:ind w:firstLine="480" w:firstLineChars="200"/>
        <w:rPr>
          <w:rFonts w:ascii="宋体" w:hAnsi="宋体" w:cs="宋体"/>
          <w:sz w:val="24"/>
        </w:rPr>
      </w:pPr>
      <w:r>
        <w:rPr>
          <w:rFonts w:hint="eastAsia" w:ascii="宋体" w:hAnsi="宋体" w:cs="宋体"/>
          <w:sz w:val="24"/>
        </w:rPr>
        <w:t>8.2.7合同生效后，非甲方原因乙方要求解除合同的，应赔偿甲方的损失，并双倍退还定金。</w:t>
      </w:r>
    </w:p>
    <w:p>
      <w:pPr>
        <w:spacing w:line="360" w:lineRule="auto"/>
        <w:ind w:firstLine="480" w:firstLineChars="200"/>
        <w:rPr>
          <w:rFonts w:ascii="宋体" w:hAnsi="宋体" w:cs="宋体"/>
          <w:sz w:val="24"/>
        </w:rPr>
      </w:pPr>
      <w:r>
        <w:rPr>
          <w:rFonts w:ascii="宋体" w:hAnsi="宋体" w:cs="宋体"/>
          <w:color w:val="000000"/>
          <w:sz w:val="24"/>
        </w:rPr>
        <w:t>8.2.8如甲方选择适用定金罚则，定金不足以弥补乙方违约造成的损失的，甲方可以</w:t>
      </w:r>
      <w:r>
        <w:rPr>
          <w:rFonts w:hint="eastAsia" w:ascii="宋体" w:hAnsi="宋体" w:cs="宋体"/>
          <w:sz w:val="24"/>
        </w:rPr>
        <w:t>请求赔偿超过定金数额的损失。</w:t>
      </w:r>
    </w:p>
    <w:p>
      <w:pPr>
        <w:pStyle w:val="2"/>
        <w:ind w:firstLine="480" w:firstLineChars="200"/>
      </w:pPr>
      <w:r>
        <w:rPr>
          <w:rFonts w:hint="eastAsia" w:cs="宋体"/>
        </w:rPr>
        <w:t>8.2.9</w:t>
      </w:r>
      <w:r>
        <w:rPr>
          <w:rFonts w:hint="eastAsia" w:eastAsia="宋体" w:cs="宋体"/>
          <w:color w:val="auto"/>
        </w:rPr>
        <w:t>在合同有效期内，若乙方发生不诚信行为情形的，乙方自愿接受甲方按《广州市净水有限公司经营建设项目参建企业不诚信行为管理办法》处理，具体处理标准详见附件4。</w:t>
      </w:r>
    </w:p>
    <w:p>
      <w:pPr>
        <w:adjustRightInd w:val="0"/>
        <w:spacing w:line="360" w:lineRule="auto"/>
        <w:jc w:val="left"/>
        <w:textAlignment w:val="baseline"/>
        <w:rPr>
          <w:rFonts w:ascii="宋体" w:hAnsi="宋体" w:cs="宋体"/>
          <w:b/>
          <w:bCs/>
          <w:sz w:val="24"/>
        </w:rPr>
      </w:pPr>
      <w:r>
        <w:rPr>
          <w:rFonts w:hint="eastAsia" w:ascii="宋体" w:hAnsi="宋体" w:cs="宋体"/>
          <w:b/>
          <w:bCs/>
          <w:sz w:val="24"/>
        </w:rPr>
        <w:t>第九条  知识产权</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rPr>
      </w:pPr>
      <w:r>
        <w:rPr>
          <w:rFonts w:hint="eastAsia" w:ascii="宋体" w:hAnsi="宋体" w:cs="宋体"/>
          <w:b/>
          <w:bCs/>
          <w:sz w:val="24"/>
        </w:rPr>
        <w:t>第十条  争议解决</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（一）提交广州仲裁委员会仲裁；</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（二）依法向甲方所在地的人民法院起诉。</w:t>
      </w:r>
    </w:p>
    <w:p>
      <w:pPr>
        <w:adjustRightInd w:val="0"/>
        <w:spacing w:line="360" w:lineRule="auto"/>
        <w:jc w:val="left"/>
        <w:textAlignment w:val="baseline"/>
        <w:rPr>
          <w:rFonts w:ascii="宋体" w:hAnsi="宋体" w:cs="宋体"/>
          <w:b/>
          <w:bCs/>
          <w:sz w:val="24"/>
        </w:rPr>
      </w:pPr>
      <w:r>
        <w:rPr>
          <w:rFonts w:hint="eastAsia" w:ascii="宋体" w:hAnsi="宋体" w:cs="宋体"/>
          <w:b/>
          <w:bCs/>
          <w:sz w:val="24"/>
        </w:rPr>
        <w:t>第十一条  合同生效及其他</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11.1合同生效的条件：合同签订盖章。</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11.5本合同正本一式</w:t>
      </w:r>
      <w:r>
        <w:rPr>
          <w:rFonts w:hint="eastAsia" w:ascii="宋体" w:hAnsi="宋体" w:cs="宋体"/>
          <w:sz w:val="24"/>
          <w:u w:val="single"/>
        </w:rPr>
        <w:t xml:space="preserve"> 贰 </w:t>
      </w:r>
      <w:r>
        <w:rPr>
          <w:rFonts w:hint="eastAsia" w:ascii="宋体" w:hAnsi="宋体" w:cs="宋体"/>
          <w:sz w:val="24"/>
        </w:rPr>
        <w:t>份，甲方执</w:t>
      </w:r>
      <w:r>
        <w:rPr>
          <w:rFonts w:hint="eastAsia" w:ascii="宋体" w:hAnsi="宋体" w:cs="宋体"/>
          <w:sz w:val="24"/>
          <w:u w:val="single"/>
        </w:rPr>
        <w:t xml:space="preserve"> 壹 </w:t>
      </w:r>
      <w:r>
        <w:rPr>
          <w:rFonts w:hint="eastAsia" w:ascii="宋体" w:hAnsi="宋体" w:cs="宋体"/>
          <w:sz w:val="24"/>
        </w:rPr>
        <w:t>份，乙方执</w:t>
      </w:r>
      <w:r>
        <w:rPr>
          <w:rFonts w:hint="eastAsia" w:ascii="宋体" w:hAnsi="宋体" w:cs="宋体"/>
          <w:sz w:val="24"/>
          <w:u w:val="single"/>
        </w:rPr>
        <w:t>壹</w:t>
      </w:r>
      <w:r>
        <w:rPr>
          <w:rFonts w:hint="eastAsia" w:ascii="宋体" w:hAnsi="宋体" w:cs="宋体"/>
          <w:sz w:val="24"/>
        </w:rPr>
        <w:t>份；副本一式</w:t>
      </w:r>
      <w:r>
        <w:rPr>
          <w:rFonts w:hint="eastAsia" w:ascii="宋体" w:hAnsi="宋体" w:cs="宋体"/>
          <w:sz w:val="24"/>
          <w:u w:val="single"/>
        </w:rPr>
        <w:t>捌</w:t>
      </w:r>
      <w:r>
        <w:rPr>
          <w:rFonts w:hint="eastAsia" w:ascii="宋体" w:hAnsi="宋体" w:cs="宋体"/>
          <w:sz w:val="24"/>
        </w:rPr>
        <w:t>份，甲方执</w:t>
      </w:r>
      <w:r>
        <w:rPr>
          <w:rFonts w:hint="eastAsia" w:ascii="宋体" w:hAnsi="宋体" w:cs="宋体"/>
          <w:sz w:val="24"/>
          <w:u w:val="single"/>
        </w:rPr>
        <w:t>伍</w:t>
      </w:r>
      <w:r>
        <w:rPr>
          <w:rFonts w:hint="eastAsia" w:ascii="宋体" w:hAnsi="宋体" w:cs="宋体"/>
          <w:sz w:val="24"/>
        </w:rPr>
        <w:t>份，乙方执</w:t>
      </w:r>
      <w:r>
        <w:rPr>
          <w:rFonts w:hint="eastAsia" w:ascii="宋体" w:hAnsi="宋体" w:cs="宋体"/>
          <w:sz w:val="24"/>
          <w:u w:val="single"/>
        </w:rPr>
        <w:t>叁</w:t>
      </w:r>
      <w:r>
        <w:rPr>
          <w:rFonts w:hint="eastAsia" w:ascii="宋体" w:hAnsi="宋体" w:cs="宋体"/>
          <w:sz w:val="24"/>
        </w:rPr>
        <w:t>份，双方所执合同具同等法律效力。</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11.7双方认可的来往传真、会议纪要等，均为合同的组成部分，与本合同具有同等法律效力。</w:t>
      </w:r>
    </w:p>
    <w:p>
      <w:pPr>
        <w:spacing w:line="360" w:lineRule="auto"/>
        <w:ind w:firstLine="480" w:firstLineChars="200"/>
        <w:outlineLvl w:val="0"/>
        <w:rPr>
          <w:rFonts w:ascii="宋体" w:hAnsi="宋体" w:cs="宋体"/>
          <w:color w:val="000000"/>
          <w:sz w:val="24"/>
        </w:rPr>
      </w:pPr>
      <w:r>
        <w:rPr>
          <w:rFonts w:hint="eastAsia" w:ascii="宋体" w:hAnsi="宋体" w:cs="宋体"/>
          <w:sz w:val="24"/>
        </w:rPr>
        <w:t>11.8未尽事宜，双方协商一致，</w:t>
      </w:r>
      <w:r>
        <w:rPr>
          <w:rFonts w:hint="eastAsia" w:ascii="宋体" w:hAnsi="宋体" w:cs="宋体"/>
          <w:color w:val="000000"/>
          <w:sz w:val="24"/>
        </w:rPr>
        <w:t>可签订补充协议，补充协议与本合同具有同等效力。</w:t>
      </w:r>
    </w:p>
    <w:p>
      <w:pPr>
        <w:spacing w:line="360" w:lineRule="auto"/>
        <w:ind w:firstLine="480" w:firstLineChars="200"/>
        <w:outlineLvl w:val="0"/>
        <w:rPr>
          <w:rFonts w:ascii="宋体" w:hAnsi="宋体" w:cs="宋体"/>
          <w:sz w:val="24"/>
        </w:rPr>
      </w:pPr>
      <w:r>
        <w:rPr>
          <w:rFonts w:hint="eastAsia" w:ascii="宋体" w:hAnsi="宋体" w:cs="宋体"/>
          <w:sz w:val="24"/>
        </w:rPr>
        <w:t>11.9本合同附件是合同不可分割的一部分，具有相同的法律效力，具体附件如下：</w:t>
      </w:r>
    </w:p>
    <w:p>
      <w:pPr>
        <w:pStyle w:val="15"/>
        <w:spacing w:line="360" w:lineRule="auto"/>
        <w:ind w:left="584" w:leftChars="278" w:firstLine="120" w:firstLineChars="50"/>
        <w:rPr>
          <w:rFonts w:ascii="宋体" w:hAnsi="宋体" w:cs="宋体"/>
          <w:color w:val="000000"/>
          <w:sz w:val="24"/>
        </w:rPr>
      </w:pPr>
      <w:r>
        <w:rPr>
          <w:rFonts w:hint="eastAsia" w:ascii="宋体" w:hAnsi="宋体" w:cs="宋体"/>
          <w:color w:val="000000"/>
          <w:sz w:val="24"/>
        </w:rPr>
        <w:t>附件</w:t>
      </w:r>
      <w:r>
        <w:rPr>
          <w:rFonts w:ascii="宋体" w:hAnsi="宋体" w:cs="宋体"/>
          <w:color w:val="000000"/>
          <w:sz w:val="24"/>
        </w:rPr>
        <w:t>1：</w:t>
      </w:r>
      <w:r>
        <w:rPr>
          <w:rFonts w:hint="eastAsia" w:ascii="宋体" w:hAnsi="宋体" w:cs="宋体"/>
          <w:color w:val="000000"/>
          <w:sz w:val="24"/>
        </w:rPr>
        <w:t>发包通知书</w:t>
      </w:r>
    </w:p>
    <w:p>
      <w:pPr>
        <w:pStyle w:val="15"/>
        <w:spacing w:line="360" w:lineRule="auto"/>
        <w:ind w:left="584" w:leftChars="278" w:firstLine="120" w:firstLineChars="50"/>
        <w:rPr>
          <w:rFonts w:ascii="宋体" w:hAnsi="宋体" w:cs="宋体"/>
          <w:color w:val="000000"/>
          <w:sz w:val="24"/>
        </w:rPr>
      </w:pPr>
      <w:r>
        <w:rPr>
          <w:rFonts w:hint="eastAsia" w:ascii="宋体" w:hAnsi="宋体" w:cs="宋体"/>
          <w:color w:val="000000"/>
          <w:sz w:val="24"/>
        </w:rPr>
        <w:t>附件</w:t>
      </w:r>
      <w:r>
        <w:rPr>
          <w:rFonts w:ascii="宋体" w:hAnsi="宋体" w:cs="宋体"/>
          <w:color w:val="000000"/>
          <w:sz w:val="24"/>
        </w:rPr>
        <w:t>2：</w:t>
      </w:r>
      <w:r>
        <w:rPr>
          <w:rFonts w:hint="eastAsia" w:ascii="宋体" w:hAnsi="宋体" w:cs="宋体"/>
          <w:color w:val="000000"/>
          <w:sz w:val="24"/>
        </w:rPr>
        <w:t>廉洁协议</w:t>
      </w:r>
    </w:p>
    <w:p>
      <w:pPr>
        <w:pStyle w:val="15"/>
        <w:spacing w:line="360" w:lineRule="auto"/>
        <w:ind w:left="584" w:leftChars="278" w:firstLine="120" w:firstLineChars="50"/>
        <w:rPr>
          <w:rFonts w:ascii="宋体" w:hAnsi="宋体" w:cs="宋体"/>
          <w:color w:val="000000"/>
          <w:sz w:val="24"/>
        </w:rPr>
      </w:pPr>
      <w:r>
        <w:rPr>
          <w:rFonts w:hint="eastAsia" w:ascii="宋体" w:hAnsi="宋体" w:cs="宋体"/>
          <w:color w:val="000000"/>
          <w:sz w:val="24"/>
        </w:rPr>
        <w:t>附件3：安全协议书</w:t>
      </w:r>
    </w:p>
    <w:p>
      <w:pPr>
        <w:pStyle w:val="15"/>
        <w:spacing w:line="360" w:lineRule="auto"/>
        <w:ind w:left="584" w:leftChars="278" w:firstLine="120" w:firstLineChars="50"/>
        <w:rPr>
          <w:rFonts w:ascii="宋体" w:hAnsi="宋体" w:cs="宋体"/>
          <w:color w:val="000000"/>
          <w:sz w:val="24"/>
        </w:rPr>
      </w:pPr>
      <w:r>
        <w:rPr>
          <w:rFonts w:hint="eastAsia" w:ascii="宋体" w:hAnsi="宋体" w:cs="宋体"/>
          <w:color w:val="000000"/>
          <w:sz w:val="24"/>
        </w:rPr>
        <w:t>附件4：不诚信行为的情形及相应被暂停参与投标活动的处理标准</w:t>
      </w:r>
    </w:p>
    <w:p>
      <w:pPr>
        <w:pStyle w:val="15"/>
        <w:spacing w:line="360" w:lineRule="auto"/>
        <w:ind w:left="584" w:leftChars="278" w:firstLine="120" w:firstLineChars="50"/>
        <w:rPr>
          <w:rFonts w:ascii="宋体" w:hAnsi="宋体" w:cs="宋体"/>
          <w:color w:val="000000"/>
          <w:sz w:val="24"/>
        </w:rPr>
      </w:pPr>
    </w:p>
    <w:p>
      <w:pPr>
        <w:pStyle w:val="15"/>
        <w:spacing w:line="360" w:lineRule="auto"/>
        <w:ind w:left="465" w:leftChars="50" w:hanging="360" w:hangingChars="150"/>
        <w:rPr>
          <w:rFonts w:ascii="宋体" w:hAnsi="宋体" w:cs="宋体"/>
          <w:color w:val="000000"/>
          <w:sz w:val="24"/>
        </w:rPr>
      </w:pPr>
      <w:r>
        <w:rPr>
          <w:rFonts w:hint="eastAsia" w:ascii="宋体" w:hAnsi="宋体" w:cs="宋体"/>
          <w:color w:val="000000"/>
          <w:sz w:val="24"/>
        </w:rPr>
        <w:t>（以下无正文）</w:t>
      </w:r>
    </w:p>
    <w:tbl>
      <w:tblPr>
        <w:tblStyle w:val="23"/>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rPr>
            </w:pPr>
            <w:r>
              <w:rPr>
                <w:rFonts w:hint="eastAsia" w:ascii="宋体" w:hAnsi="宋体" w:cs="宋体"/>
                <w:color w:val="000000"/>
                <w:sz w:val="24"/>
              </w:rPr>
              <w:t>甲方：广州市净水有限公司</w:t>
            </w:r>
          </w:p>
        </w:tc>
        <w:tc>
          <w:tcPr>
            <w:tcW w:w="562" w:type="dxa"/>
            <w:vAlign w:val="center"/>
          </w:tcPr>
          <w:p>
            <w:pPr>
              <w:spacing w:line="360" w:lineRule="auto"/>
              <w:rPr>
                <w:rFonts w:ascii="宋体" w:hAnsi="宋体" w:cs="宋体"/>
                <w:color w:val="000000"/>
                <w:sz w:val="24"/>
              </w:rPr>
            </w:pPr>
          </w:p>
        </w:tc>
        <w:tc>
          <w:tcPr>
            <w:tcW w:w="4007" w:type="dxa"/>
            <w:vAlign w:val="center"/>
          </w:tcPr>
          <w:p>
            <w:pPr>
              <w:spacing w:line="360" w:lineRule="auto"/>
              <w:rPr>
                <w:rFonts w:ascii="宋体" w:hAnsi="宋体" w:cs="宋体"/>
                <w:color w:val="000000"/>
                <w:sz w:val="24"/>
              </w:rPr>
            </w:pPr>
            <w:r>
              <w:rPr>
                <w:rFonts w:hint="eastAsia" w:ascii="宋体" w:hAnsi="宋体" w:cs="宋体"/>
                <w:color w:val="000000"/>
                <w:sz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rPr>
            </w:pPr>
            <w:r>
              <w:rPr>
                <w:rFonts w:hint="eastAsia" w:ascii="宋体" w:hAnsi="宋体" w:cs="宋体"/>
                <w:color w:val="000000"/>
                <w:sz w:val="24"/>
              </w:rPr>
              <w:t>(盖章)</w:t>
            </w:r>
          </w:p>
          <w:p>
            <w:pPr>
              <w:spacing w:line="360" w:lineRule="auto"/>
              <w:rPr>
                <w:rFonts w:ascii="宋体" w:hAnsi="宋体" w:cs="宋体"/>
                <w:color w:val="000000"/>
                <w:sz w:val="24"/>
              </w:rPr>
            </w:pPr>
          </w:p>
        </w:tc>
        <w:tc>
          <w:tcPr>
            <w:tcW w:w="562" w:type="dxa"/>
          </w:tcPr>
          <w:p>
            <w:pPr>
              <w:spacing w:line="360" w:lineRule="auto"/>
              <w:rPr>
                <w:rFonts w:ascii="宋体" w:hAnsi="宋体" w:cs="宋体"/>
                <w:color w:val="000000"/>
                <w:sz w:val="24"/>
              </w:rPr>
            </w:pPr>
          </w:p>
        </w:tc>
        <w:tc>
          <w:tcPr>
            <w:tcW w:w="4007" w:type="dxa"/>
          </w:tcPr>
          <w:p>
            <w:pPr>
              <w:spacing w:line="360" w:lineRule="auto"/>
              <w:rPr>
                <w:rFonts w:ascii="宋体" w:hAnsi="宋体" w:cs="宋体"/>
                <w:color w:val="000000"/>
                <w:sz w:val="24"/>
              </w:rPr>
            </w:pPr>
            <w:r>
              <w:rPr>
                <w:rFonts w:hint="eastAsia" w:ascii="宋体" w:hAnsi="宋体" w:cs="宋体"/>
                <w:color w:val="000000"/>
                <w:sz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rPr>
            </w:pPr>
            <w:r>
              <w:rPr>
                <w:rFonts w:hint="eastAsia" w:ascii="宋体" w:hAnsi="宋体" w:cs="宋体"/>
                <w:color w:val="000000"/>
                <w:sz w:val="24"/>
              </w:rPr>
              <w:t>法定代表人/授权代理人：</w:t>
            </w:r>
          </w:p>
          <w:p>
            <w:pPr>
              <w:spacing w:line="360" w:lineRule="auto"/>
              <w:rPr>
                <w:rFonts w:ascii="宋体" w:hAnsi="宋体" w:cs="宋体"/>
                <w:color w:val="000000"/>
                <w:sz w:val="24"/>
              </w:rPr>
            </w:pPr>
          </w:p>
        </w:tc>
        <w:tc>
          <w:tcPr>
            <w:tcW w:w="562" w:type="dxa"/>
          </w:tcPr>
          <w:p>
            <w:pPr>
              <w:spacing w:line="360" w:lineRule="auto"/>
              <w:rPr>
                <w:rFonts w:ascii="宋体" w:hAnsi="宋体" w:cs="宋体"/>
                <w:sz w:val="24"/>
              </w:rPr>
            </w:pPr>
          </w:p>
        </w:tc>
        <w:tc>
          <w:tcPr>
            <w:tcW w:w="4007" w:type="dxa"/>
          </w:tcPr>
          <w:p>
            <w:pPr>
              <w:spacing w:line="360" w:lineRule="auto"/>
              <w:rPr>
                <w:rFonts w:ascii="宋体" w:hAnsi="宋体" w:cs="宋体"/>
                <w:color w:val="000000"/>
                <w:sz w:val="24"/>
              </w:rPr>
            </w:pPr>
            <w:r>
              <w:rPr>
                <w:rFonts w:hint="eastAsia" w:ascii="宋体" w:hAnsi="宋体" w:cs="宋体"/>
                <w:color w:val="000000"/>
                <w:sz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rPr>
            </w:pPr>
            <w:r>
              <w:rPr>
                <w:rFonts w:hint="eastAsia" w:ascii="宋体" w:hAnsi="宋体" w:cs="宋体"/>
                <w:color w:val="000000"/>
                <w:sz w:val="24"/>
              </w:rPr>
              <w:t>联系人：</w:t>
            </w:r>
          </w:p>
        </w:tc>
        <w:tc>
          <w:tcPr>
            <w:tcW w:w="562" w:type="dxa"/>
            <w:vAlign w:val="center"/>
          </w:tcPr>
          <w:p>
            <w:pPr>
              <w:spacing w:line="360" w:lineRule="auto"/>
              <w:rPr>
                <w:rFonts w:ascii="宋体" w:hAnsi="宋体" w:cs="宋体"/>
                <w:sz w:val="24"/>
              </w:rPr>
            </w:pPr>
          </w:p>
        </w:tc>
        <w:tc>
          <w:tcPr>
            <w:tcW w:w="4007" w:type="dxa"/>
            <w:vAlign w:val="center"/>
          </w:tcPr>
          <w:p>
            <w:pPr>
              <w:spacing w:line="360" w:lineRule="auto"/>
              <w:ind w:right="-19" w:rightChars="-9"/>
              <w:rPr>
                <w:rFonts w:ascii="宋体" w:hAnsi="宋体" w:cs="宋体"/>
                <w:color w:val="000000"/>
                <w:sz w:val="24"/>
              </w:rPr>
            </w:pPr>
            <w:r>
              <w:rPr>
                <w:rFonts w:hint="eastAsia" w:ascii="宋体" w:hAnsi="宋体" w:cs="宋体"/>
                <w:color w:val="000000"/>
                <w:sz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rPr>
            </w:pPr>
            <w:r>
              <w:rPr>
                <w:rFonts w:hint="eastAsia" w:ascii="宋体" w:hAnsi="宋体" w:cs="宋体"/>
                <w:color w:val="000000"/>
                <w:sz w:val="24"/>
              </w:rPr>
              <w:t>地址：</w:t>
            </w:r>
          </w:p>
        </w:tc>
        <w:tc>
          <w:tcPr>
            <w:tcW w:w="562" w:type="dxa"/>
          </w:tcPr>
          <w:p>
            <w:pPr>
              <w:spacing w:line="360" w:lineRule="auto"/>
              <w:rPr>
                <w:rFonts w:ascii="宋体" w:hAnsi="宋体" w:cs="宋体"/>
                <w:sz w:val="24"/>
              </w:rPr>
            </w:pPr>
          </w:p>
        </w:tc>
        <w:tc>
          <w:tcPr>
            <w:tcW w:w="4007" w:type="dxa"/>
          </w:tcPr>
          <w:p>
            <w:pPr>
              <w:spacing w:line="360" w:lineRule="auto"/>
              <w:rPr>
                <w:rFonts w:ascii="宋体" w:hAnsi="宋体" w:cs="宋体"/>
                <w:color w:val="000000"/>
                <w:sz w:val="24"/>
              </w:rPr>
            </w:pPr>
            <w:r>
              <w:rPr>
                <w:rFonts w:hint="eastAsia" w:ascii="宋体" w:hAnsi="宋体" w:cs="宋体"/>
                <w:color w:val="000000"/>
                <w:sz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rPr>
            </w:pPr>
            <w:r>
              <w:rPr>
                <w:rFonts w:hint="eastAsia" w:ascii="宋体" w:hAnsi="宋体" w:cs="宋体"/>
                <w:color w:val="000000"/>
                <w:sz w:val="24"/>
              </w:rPr>
              <w:t>邮政编码：</w:t>
            </w:r>
            <w:r>
              <w:rPr>
                <w:rFonts w:hint="eastAsia" w:ascii="宋体" w:hAnsi="宋体" w:cs="宋体"/>
                <w:sz w:val="24"/>
              </w:rPr>
              <w:tab/>
            </w:r>
          </w:p>
        </w:tc>
        <w:tc>
          <w:tcPr>
            <w:tcW w:w="562" w:type="dxa"/>
            <w:vAlign w:val="center"/>
          </w:tcPr>
          <w:p>
            <w:pPr>
              <w:spacing w:line="360" w:lineRule="auto"/>
              <w:rPr>
                <w:rFonts w:ascii="宋体" w:hAnsi="宋体" w:cs="宋体"/>
                <w:sz w:val="24"/>
              </w:rPr>
            </w:pPr>
          </w:p>
        </w:tc>
        <w:tc>
          <w:tcPr>
            <w:tcW w:w="4007" w:type="dxa"/>
            <w:vAlign w:val="center"/>
          </w:tcPr>
          <w:p>
            <w:pPr>
              <w:spacing w:line="360" w:lineRule="auto"/>
              <w:rPr>
                <w:rFonts w:ascii="宋体" w:hAnsi="宋体" w:cs="宋体"/>
                <w:color w:val="000000"/>
                <w:sz w:val="24"/>
              </w:rPr>
            </w:pPr>
            <w:r>
              <w:rPr>
                <w:rFonts w:hint="eastAsia" w:ascii="宋体" w:hAnsi="宋体" w:cs="宋体"/>
                <w:color w:val="000000"/>
                <w:sz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rPr>
            </w:pPr>
            <w:r>
              <w:rPr>
                <w:rFonts w:hint="eastAsia" w:ascii="宋体" w:hAnsi="宋体" w:cs="宋体"/>
                <w:color w:val="000000"/>
                <w:sz w:val="24"/>
              </w:rPr>
              <w:t>电话：</w:t>
            </w:r>
          </w:p>
        </w:tc>
        <w:tc>
          <w:tcPr>
            <w:tcW w:w="562" w:type="dxa"/>
            <w:vAlign w:val="center"/>
          </w:tcPr>
          <w:p>
            <w:pPr>
              <w:spacing w:line="360" w:lineRule="auto"/>
              <w:rPr>
                <w:rFonts w:ascii="宋体" w:hAnsi="宋体" w:cs="宋体"/>
                <w:sz w:val="24"/>
              </w:rPr>
            </w:pPr>
          </w:p>
        </w:tc>
        <w:tc>
          <w:tcPr>
            <w:tcW w:w="4007" w:type="dxa"/>
            <w:vAlign w:val="center"/>
          </w:tcPr>
          <w:p>
            <w:pPr>
              <w:spacing w:line="360" w:lineRule="auto"/>
              <w:rPr>
                <w:rFonts w:ascii="宋体" w:hAnsi="宋体" w:cs="宋体"/>
                <w:color w:val="000000"/>
                <w:sz w:val="24"/>
              </w:rPr>
            </w:pPr>
            <w:r>
              <w:rPr>
                <w:rFonts w:hint="eastAsia" w:ascii="宋体" w:hAnsi="宋体" w:cs="宋体"/>
                <w:color w:val="000000"/>
                <w:sz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rPr>
            </w:pPr>
            <w:r>
              <w:rPr>
                <w:rFonts w:hint="eastAsia" w:ascii="宋体" w:hAnsi="宋体" w:cs="宋体"/>
                <w:color w:val="000000"/>
                <w:sz w:val="24"/>
              </w:rPr>
              <w:t>传真：</w:t>
            </w:r>
          </w:p>
        </w:tc>
        <w:tc>
          <w:tcPr>
            <w:tcW w:w="562" w:type="dxa"/>
            <w:vAlign w:val="center"/>
          </w:tcPr>
          <w:p>
            <w:pPr>
              <w:spacing w:line="360" w:lineRule="auto"/>
              <w:rPr>
                <w:rFonts w:ascii="宋体" w:hAnsi="宋体" w:cs="宋体"/>
                <w:sz w:val="24"/>
              </w:rPr>
            </w:pPr>
          </w:p>
        </w:tc>
        <w:tc>
          <w:tcPr>
            <w:tcW w:w="4007" w:type="dxa"/>
            <w:vAlign w:val="center"/>
          </w:tcPr>
          <w:p>
            <w:pPr>
              <w:spacing w:line="360" w:lineRule="auto"/>
              <w:rPr>
                <w:rFonts w:ascii="宋体" w:hAnsi="宋体" w:cs="宋体"/>
                <w:color w:val="000000"/>
                <w:sz w:val="24"/>
              </w:rPr>
            </w:pPr>
            <w:r>
              <w:rPr>
                <w:rFonts w:hint="eastAsia" w:ascii="宋体" w:hAnsi="宋体" w:cs="宋体"/>
                <w:color w:val="000000"/>
                <w:sz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rPr>
            </w:pPr>
          </w:p>
        </w:tc>
        <w:tc>
          <w:tcPr>
            <w:tcW w:w="562" w:type="dxa"/>
            <w:vAlign w:val="center"/>
          </w:tcPr>
          <w:p>
            <w:pPr>
              <w:spacing w:line="360" w:lineRule="auto"/>
              <w:rPr>
                <w:rFonts w:ascii="宋体" w:hAnsi="宋体" w:cs="宋体"/>
                <w:sz w:val="24"/>
              </w:rPr>
            </w:pPr>
          </w:p>
        </w:tc>
        <w:tc>
          <w:tcPr>
            <w:tcW w:w="4007" w:type="dxa"/>
            <w:vAlign w:val="center"/>
          </w:tcPr>
          <w:p>
            <w:pPr>
              <w:spacing w:line="360" w:lineRule="auto"/>
              <w:rPr>
                <w:rFonts w:ascii="宋体" w:hAnsi="宋体" w:cs="宋体"/>
                <w:color w:val="000000"/>
                <w:sz w:val="24"/>
              </w:rPr>
            </w:pPr>
            <w:r>
              <w:rPr>
                <w:rFonts w:hint="eastAsia" w:ascii="宋体" w:hAnsi="宋体" w:cs="宋体"/>
                <w:color w:val="000000"/>
                <w:sz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rPr>
            </w:pPr>
          </w:p>
        </w:tc>
        <w:tc>
          <w:tcPr>
            <w:tcW w:w="562" w:type="dxa"/>
            <w:vAlign w:val="center"/>
          </w:tcPr>
          <w:p>
            <w:pPr>
              <w:spacing w:line="360" w:lineRule="auto"/>
              <w:rPr>
                <w:rFonts w:ascii="宋体" w:hAnsi="宋体" w:cs="宋体"/>
                <w:sz w:val="24"/>
              </w:rPr>
            </w:pPr>
          </w:p>
        </w:tc>
        <w:tc>
          <w:tcPr>
            <w:tcW w:w="4007" w:type="dxa"/>
            <w:vAlign w:val="center"/>
          </w:tcPr>
          <w:p>
            <w:pPr>
              <w:spacing w:line="360" w:lineRule="auto"/>
              <w:rPr>
                <w:rFonts w:ascii="宋体" w:hAnsi="宋体" w:cs="宋体"/>
                <w:color w:val="000000"/>
                <w:sz w:val="24"/>
              </w:rPr>
            </w:pPr>
            <w:r>
              <w:rPr>
                <w:rFonts w:hint="eastAsia" w:ascii="宋体" w:hAnsi="宋体" w:cs="宋体"/>
                <w:color w:val="000000"/>
                <w:sz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rPr>
            </w:pPr>
            <w:r>
              <w:rPr>
                <w:rFonts w:hint="eastAsia" w:ascii="宋体" w:hAnsi="宋体" w:cs="宋体"/>
                <w:sz w:val="24"/>
              </w:rPr>
              <w:t>签约日期：  年  月  日</w:t>
            </w:r>
          </w:p>
        </w:tc>
        <w:tc>
          <w:tcPr>
            <w:tcW w:w="562" w:type="dxa"/>
            <w:vAlign w:val="center"/>
          </w:tcPr>
          <w:p>
            <w:pPr>
              <w:rPr>
                <w:rFonts w:ascii="宋体" w:hAnsi="宋体" w:cs="宋体"/>
                <w:sz w:val="24"/>
              </w:rPr>
            </w:pPr>
          </w:p>
        </w:tc>
        <w:tc>
          <w:tcPr>
            <w:tcW w:w="4007" w:type="dxa"/>
            <w:vAlign w:val="center"/>
          </w:tcPr>
          <w:p>
            <w:pPr>
              <w:rPr>
                <w:rFonts w:ascii="宋体" w:hAnsi="宋体" w:cs="宋体"/>
                <w:sz w:val="24"/>
              </w:rPr>
            </w:pPr>
            <w:r>
              <w:rPr>
                <w:rFonts w:hint="eastAsia" w:ascii="宋体" w:hAnsi="宋体" w:cs="宋体"/>
                <w:sz w:val="24"/>
              </w:rPr>
              <w:t>签约日期：年  月  日</w:t>
            </w:r>
          </w:p>
        </w:tc>
      </w:tr>
    </w:tbl>
    <w:p>
      <w:pPr>
        <w:rPr>
          <w:rFonts w:ascii="宋体" w:hAnsi="宋体" w:cs="宋体"/>
        </w:rPr>
      </w:pPr>
    </w:p>
    <w:p>
      <w:pPr>
        <w:rPr>
          <w:rFonts w:ascii="宋体" w:hAnsi="宋体" w:cs="宋体"/>
          <w:b/>
          <w:bCs/>
        </w:rPr>
      </w:pPr>
      <w:r>
        <w:rPr>
          <w:rFonts w:hint="eastAsia" w:ascii="宋体" w:hAnsi="宋体" w:cs="宋体"/>
        </w:rPr>
        <w:br w:type="page"/>
      </w:r>
      <w:r>
        <w:rPr>
          <w:rFonts w:hint="eastAsia" w:ascii="宋体" w:hAnsi="宋体" w:cs="宋体"/>
          <w:b/>
          <w:bCs/>
        </w:rPr>
        <w:t>附件1：发包通知书</w:t>
      </w:r>
    </w:p>
    <w:p>
      <w:pPr>
        <w:rPr>
          <w:rFonts w:ascii="宋体" w:hAnsi="宋体" w:cs="宋体"/>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spacing w:line="360" w:lineRule="auto"/>
        <w:jc w:val="righ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 xml:space="preserve">             </w:t>
      </w:r>
    </w:p>
    <w:p>
      <w:pPr>
        <w:spacing w:line="520" w:lineRule="exact"/>
        <w:jc w:val="center"/>
        <w:rPr>
          <w:rFonts w:ascii="仿宋" w:hAnsi="仿宋" w:eastAsia="仿宋" w:cs="仿宋"/>
          <w:bCs/>
          <w:sz w:val="28"/>
          <w:szCs w:val="28"/>
        </w:rPr>
      </w:pPr>
      <w:r>
        <w:rPr>
          <w:rFonts w:hint="eastAsia" w:ascii="仿宋" w:hAnsi="仿宋" w:eastAsia="仿宋" w:cs="仿宋"/>
          <w:bCs/>
          <w:sz w:val="28"/>
          <w:szCs w:val="28"/>
        </w:rPr>
        <w:t>廉洁协议</w:t>
      </w:r>
    </w:p>
    <w:p>
      <w:pPr>
        <w:spacing w:line="520" w:lineRule="exact"/>
        <w:ind w:firstLine="630" w:firstLineChars="225"/>
        <w:rPr>
          <w:rFonts w:ascii="仿宋" w:hAnsi="仿宋" w:eastAsia="仿宋" w:cs="仿宋"/>
          <w:bCs/>
          <w:sz w:val="28"/>
          <w:szCs w:val="28"/>
        </w:rPr>
      </w:pPr>
      <w:r>
        <w:rPr>
          <w:rFonts w:hint="eastAsia" w:ascii="仿宋" w:hAnsi="仿宋" w:eastAsia="仿宋" w:cs="仿宋"/>
          <w:bCs/>
          <w:sz w:val="28"/>
          <w:szCs w:val="28"/>
        </w:rPr>
        <w:t>为促进双方诚信经营、廉洁从业，防范商业贿赂，保护国家、集体和当事人的合法权益，根据国家有关法律法规和广东省、广州市廉政建设的规定，</w:t>
      </w:r>
      <w:r>
        <w:rPr>
          <w:rFonts w:hint="eastAsia" w:ascii="仿宋" w:hAnsi="仿宋" w:eastAsia="仿宋" w:cs="仿宋"/>
          <w:bCs/>
          <w:sz w:val="28"/>
          <w:szCs w:val="28"/>
          <w:u w:val="single"/>
        </w:rPr>
        <w:t>广州市净水有限公司</w:t>
      </w:r>
      <w:r>
        <w:rPr>
          <w:rFonts w:hint="eastAsia" w:ascii="仿宋" w:hAnsi="仿宋" w:eastAsia="仿宋" w:cs="仿宋"/>
          <w:bCs/>
          <w:sz w:val="28"/>
          <w:szCs w:val="28"/>
        </w:rPr>
        <w:t>(以下称甲方)与(以下称乙方)，特此订立本协议共同遵照执行。</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第一条 甲乙双方的权利和义务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（二）严格执行</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合同（以下简称：主合同），自觉履行合同约定的相关义务。</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（三）在业务活动中坚持公开、公正、诚信、透明的原则，不得损害国家、集体利益。</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（四）建立健全廉洁从业制度，开展廉洁教育，公布举报电话，监督并认真查处不廉洁及违法违纪行为。</w:t>
      </w:r>
    </w:p>
    <w:p>
      <w:pPr>
        <w:spacing w:line="520" w:lineRule="exact"/>
        <w:ind w:firstLine="420" w:firstLineChars="150"/>
        <w:rPr>
          <w:rFonts w:ascii="仿宋" w:hAnsi="仿宋" w:eastAsia="仿宋" w:cs="仿宋"/>
          <w:bCs/>
          <w:sz w:val="28"/>
          <w:szCs w:val="28"/>
        </w:rPr>
      </w:pPr>
      <w:r>
        <w:rPr>
          <w:rFonts w:hint="eastAsia" w:ascii="仿宋" w:hAnsi="仿宋" w:eastAsia="仿宋" w:cs="仿宋"/>
          <w:bCs/>
          <w:sz w:val="28"/>
          <w:szCs w:val="28"/>
        </w:rPr>
        <w:t>（五）发现对方在业务活动中有不廉洁行为，应及时提醒对方纠正。情节严重的，应向其有关监督部门检举。</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第二条甲方的义务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（七）甲方工作人员不得接受乙方给予或赠送的干股或红利。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第三条乙方的义务</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（一）乙方不得以任何理由向甲方及其工作人员行贿或馈赠礼金、有价证券、贵重礼品。</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 w:hAnsi="仿宋" w:eastAsia="仿宋" w:cs="仿宋"/>
          <w:bCs/>
          <w:sz w:val="28"/>
          <w:szCs w:val="28"/>
        </w:rPr>
      </w:pPr>
      <w:r>
        <w:rPr>
          <w:rFonts w:hint="eastAsia" w:ascii="仿宋" w:hAnsi="仿宋" w:eastAsia="仿宋" w:cs="仿宋"/>
          <w:bCs/>
          <w:sz w:val="28"/>
          <w:szCs w:val="28"/>
        </w:rPr>
        <w:t>（三）乙方不得以任何理由安排甲方工作人员参加可能影响相关业务公开、公正、公平性的宴请及娱乐活动。</w:t>
      </w:r>
    </w:p>
    <w:p>
      <w:pPr>
        <w:pStyle w:val="15"/>
        <w:spacing w:line="520" w:lineRule="exact"/>
        <w:rPr>
          <w:rFonts w:ascii="仿宋" w:hAnsi="仿宋" w:eastAsia="仿宋" w:cs="仿宋"/>
          <w:bCs/>
          <w:sz w:val="28"/>
          <w:szCs w:val="28"/>
        </w:rPr>
      </w:pPr>
      <w:r>
        <w:rPr>
          <w:rFonts w:hint="eastAsia" w:ascii="仿宋" w:hAnsi="仿宋" w:eastAsia="仿宋" w:cs="仿宋"/>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（七）乙方不得向甲方工作人员提供干股或红利。</w:t>
      </w:r>
    </w:p>
    <w:p>
      <w:pPr>
        <w:spacing w:line="520" w:lineRule="exact"/>
        <w:ind w:left="15" w:leftChars="7" w:firstLine="560" w:firstLineChars="200"/>
        <w:rPr>
          <w:rFonts w:ascii="仿宋" w:hAnsi="仿宋" w:eastAsia="仿宋" w:cs="仿宋"/>
          <w:bCs/>
          <w:sz w:val="28"/>
          <w:szCs w:val="28"/>
        </w:rPr>
      </w:pPr>
      <w:r>
        <w:rPr>
          <w:rFonts w:hint="eastAsia" w:ascii="仿宋" w:hAnsi="仿宋" w:eastAsia="仿宋" w:cs="仿宋"/>
          <w:bCs/>
          <w:sz w:val="28"/>
          <w:szCs w:val="28"/>
        </w:rPr>
        <w:t>(八）不得存在其他违反廉洁规定的行为。</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第四条违约责任</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甲方举报投诉联系部门：广州市净水有限公司</w:t>
      </w:r>
      <w:r>
        <w:rPr>
          <w:rFonts w:hint="eastAsia" w:ascii="仿宋" w:hAnsi="仿宋" w:eastAsia="仿宋" w:cs="仿宋"/>
          <w:bCs/>
          <w:sz w:val="28"/>
          <w:szCs w:val="28"/>
          <w:u w:val="single"/>
        </w:rPr>
        <w:t>纪检室</w:t>
      </w:r>
      <w:r>
        <w:rPr>
          <w:rFonts w:hint="eastAsia" w:ascii="仿宋" w:hAnsi="仿宋" w:eastAsia="仿宋" w:cs="仿宋"/>
          <w:bCs/>
          <w:sz w:val="28"/>
          <w:szCs w:val="28"/>
        </w:rPr>
        <w:t>，联系电话：</w:t>
      </w:r>
      <w:r>
        <w:rPr>
          <w:rFonts w:hint="eastAsia" w:ascii="仿宋" w:hAnsi="仿宋" w:eastAsia="仿宋" w:cs="仿宋"/>
          <w:bCs/>
          <w:sz w:val="28"/>
          <w:szCs w:val="28"/>
          <w:u w:val="single"/>
        </w:rPr>
        <w:t xml:space="preserve"> 020-38890265 </w:t>
      </w:r>
      <w:r>
        <w:rPr>
          <w:rFonts w:hint="eastAsia" w:ascii="仿宋" w:hAnsi="仿宋" w:eastAsia="仿宋" w:cs="仿宋"/>
          <w:bCs/>
          <w:sz w:val="28"/>
          <w:szCs w:val="28"/>
        </w:rPr>
        <w:t>。</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1、扣除主合同的全部履约保证金；</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2、解除主合同；</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3、追究乙方其他违约责任；</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4、根据甲方的有关规章制度，在一定时间内暂停乙方参与甲方及下属单位所有项目的交易资格；</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5、根据甲方的有关规章制度，将乙方清退出甲方相关企业库；</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6、根据甲方上级单位、行政主管部门的意见、决定执行；</w:t>
      </w:r>
    </w:p>
    <w:p>
      <w:pPr>
        <w:pStyle w:val="21"/>
        <w:spacing w:beforeAutospacing="0" w:line="520" w:lineRule="exact"/>
        <w:rPr>
          <w:rFonts w:ascii="仿宋" w:hAnsi="仿宋" w:eastAsia="仿宋" w:cs="仿宋"/>
          <w:bCs/>
          <w:color w:val="auto"/>
          <w:sz w:val="28"/>
          <w:szCs w:val="28"/>
        </w:rPr>
      </w:pPr>
      <w:r>
        <w:rPr>
          <w:rFonts w:hint="eastAsia" w:ascii="仿宋" w:hAnsi="仿宋" w:eastAsia="仿宋" w:cs="仿宋"/>
          <w:bCs/>
          <w:color w:val="auto"/>
          <w:sz w:val="28"/>
          <w:szCs w:val="28"/>
        </w:rPr>
        <w:t>7、按规定向有关行政监督部门、乙方业务管理部门进行投诉、报告。</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 w:hAnsi="仿宋" w:eastAsia="仿宋" w:cs="仿宋"/>
          <w:bCs/>
          <w:kern w:val="0"/>
          <w:sz w:val="28"/>
          <w:szCs w:val="28"/>
        </w:rPr>
      </w:pPr>
      <w:r>
        <w:rPr>
          <w:rFonts w:hint="eastAsia" w:ascii="仿宋" w:hAnsi="仿宋" w:eastAsia="仿宋" w:cs="仿宋"/>
          <w:bCs/>
          <w:sz w:val="28"/>
          <w:szCs w:val="28"/>
        </w:rPr>
        <w:t xml:space="preserve">第五条 </w:t>
      </w:r>
      <w:r>
        <w:rPr>
          <w:rFonts w:hint="eastAsia" w:ascii="仿宋" w:hAnsi="仿宋" w:eastAsia="仿宋" w:cs="仿宋"/>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第六条本协议作为</w:t>
      </w:r>
      <w:r>
        <w:rPr>
          <w:rFonts w:hint="eastAsia" w:ascii="仿宋" w:hAnsi="仿宋" w:eastAsia="仿宋" w:cs="仿宋"/>
          <w:bCs/>
          <w:sz w:val="28"/>
          <w:szCs w:val="28"/>
          <w:u w:val="single"/>
        </w:rPr>
        <w:t>（合同名称）+（合同编号）</w:t>
      </w:r>
      <w:r>
        <w:rPr>
          <w:rFonts w:hint="eastAsia" w:ascii="仿宋" w:hAnsi="仿宋" w:eastAsia="仿宋" w:cs="仿宋"/>
          <w:bCs/>
          <w:sz w:val="28"/>
          <w:szCs w:val="28"/>
        </w:rPr>
        <w:t>合同的附件，并具有同等的法律效力，本协议自双方签字盖章之日起生效，与主合同同时终止。</w:t>
      </w:r>
    </w:p>
    <w:p>
      <w:pPr>
        <w:spacing w:line="520" w:lineRule="exact"/>
        <w:ind w:firstLine="560" w:firstLineChars="200"/>
        <w:rPr>
          <w:rFonts w:ascii="仿宋" w:hAnsi="仿宋" w:eastAsia="仿宋" w:cs="仿宋"/>
          <w:bCs/>
          <w:sz w:val="28"/>
          <w:szCs w:val="28"/>
        </w:rPr>
      </w:pPr>
      <w:r>
        <w:rPr>
          <w:rFonts w:hint="eastAsia" w:ascii="仿宋" w:hAnsi="仿宋" w:eastAsia="仿宋" w:cs="仿宋"/>
          <w:bCs/>
          <w:sz w:val="28"/>
          <w:szCs w:val="28"/>
        </w:rPr>
        <w:t>第七条本协议一式</w:t>
      </w:r>
      <w:r>
        <w:rPr>
          <w:rFonts w:hint="eastAsia" w:ascii="仿宋" w:hAnsi="仿宋" w:eastAsia="仿宋" w:cs="仿宋"/>
          <w:bCs/>
          <w:sz w:val="28"/>
          <w:szCs w:val="28"/>
          <w:u w:val="single"/>
        </w:rPr>
        <w:t>…</w:t>
      </w:r>
      <w:r>
        <w:rPr>
          <w:rFonts w:hint="eastAsia" w:ascii="仿宋" w:hAnsi="仿宋" w:eastAsia="仿宋" w:cs="仿宋"/>
          <w:bCs/>
          <w:sz w:val="28"/>
          <w:szCs w:val="28"/>
        </w:rPr>
        <w:t>份，甲方</w:t>
      </w:r>
      <w:r>
        <w:rPr>
          <w:rFonts w:hint="eastAsia" w:ascii="仿宋" w:hAnsi="仿宋" w:eastAsia="仿宋" w:cs="仿宋"/>
          <w:bCs/>
          <w:sz w:val="28"/>
          <w:szCs w:val="28"/>
          <w:u w:val="single"/>
        </w:rPr>
        <w:t>…</w:t>
      </w:r>
      <w:r>
        <w:rPr>
          <w:rFonts w:hint="eastAsia" w:ascii="仿宋" w:hAnsi="仿宋" w:eastAsia="仿宋" w:cs="仿宋"/>
          <w:bCs/>
          <w:sz w:val="28"/>
          <w:szCs w:val="28"/>
        </w:rPr>
        <w:t>份，乙方</w:t>
      </w:r>
      <w:r>
        <w:rPr>
          <w:rFonts w:hint="eastAsia" w:ascii="仿宋" w:hAnsi="仿宋" w:eastAsia="仿宋" w:cs="仿宋"/>
          <w:bCs/>
          <w:sz w:val="28"/>
          <w:szCs w:val="28"/>
          <w:u w:val="single"/>
        </w:rPr>
        <w:t>…</w:t>
      </w:r>
      <w:r>
        <w:rPr>
          <w:rFonts w:hint="eastAsia" w:ascii="仿宋" w:hAnsi="仿宋" w:eastAsia="仿宋" w:cs="仿宋"/>
          <w:bCs/>
          <w:sz w:val="28"/>
          <w:szCs w:val="28"/>
        </w:rPr>
        <w:t>份。</w:t>
      </w:r>
    </w:p>
    <w:p>
      <w:pPr>
        <w:spacing w:line="520" w:lineRule="exact"/>
        <w:ind w:firstLine="560" w:firstLineChars="200"/>
        <w:rPr>
          <w:rFonts w:ascii="仿宋" w:hAnsi="仿宋" w:eastAsia="仿宋" w:cs="仿宋"/>
          <w:bCs/>
          <w:sz w:val="28"/>
          <w:szCs w:val="28"/>
        </w:rPr>
      </w:pPr>
    </w:p>
    <w:p>
      <w:pPr>
        <w:spacing w:line="520" w:lineRule="exact"/>
        <w:rPr>
          <w:rFonts w:ascii="仿宋" w:hAnsi="仿宋" w:eastAsia="仿宋" w:cs="仿宋"/>
          <w:bCs/>
          <w:sz w:val="28"/>
          <w:szCs w:val="28"/>
        </w:rPr>
      </w:pPr>
    </w:p>
    <w:p>
      <w:pPr>
        <w:spacing w:line="520" w:lineRule="exact"/>
        <w:rPr>
          <w:rFonts w:ascii="仿宋" w:hAnsi="仿宋" w:eastAsia="仿宋" w:cs="仿宋"/>
          <w:bCs/>
          <w:sz w:val="28"/>
          <w:szCs w:val="28"/>
        </w:rPr>
      </w:pPr>
      <w:r>
        <w:rPr>
          <w:rFonts w:hint="eastAsia" w:ascii="仿宋" w:hAnsi="仿宋" w:eastAsia="仿宋" w:cs="仿宋"/>
          <w:bCs/>
          <w:sz w:val="28"/>
          <w:szCs w:val="28"/>
        </w:rPr>
        <w:t>甲方（盖章）：                     乙方（盖章）：</w:t>
      </w:r>
    </w:p>
    <w:p>
      <w:pPr>
        <w:pStyle w:val="33"/>
        <w:tabs>
          <w:tab w:val="left" w:pos="5100"/>
        </w:tabs>
        <w:spacing w:line="520" w:lineRule="exact"/>
        <w:ind w:left="7200" w:firstLine="0" w:firstLineChars="0"/>
        <w:jc w:val="left"/>
        <w:rPr>
          <w:rFonts w:ascii="仿宋" w:hAnsi="仿宋" w:eastAsia="仿宋" w:cs="仿宋"/>
          <w:bCs/>
          <w:sz w:val="28"/>
          <w:szCs w:val="28"/>
        </w:rPr>
      </w:pPr>
    </w:p>
    <w:p>
      <w:pPr>
        <w:tabs>
          <w:tab w:val="left" w:pos="5100"/>
        </w:tabs>
        <w:spacing w:line="520" w:lineRule="exact"/>
        <w:ind w:left="8400" w:hanging="8400" w:hangingChars="3000"/>
        <w:rPr>
          <w:rFonts w:ascii="仿宋" w:hAnsi="仿宋" w:eastAsia="仿宋" w:cs="仿宋"/>
          <w:bCs/>
          <w:sz w:val="28"/>
          <w:szCs w:val="28"/>
        </w:rPr>
      </w:pPr>
      <w:r>
        <w:rPr>
          <w:rFonts w:hint="eastAsia" w:ascii="仿宋" w:hAnsi="仿宋" w:eastAsia="仿宋" w:cs="仿宋"/>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 w:hAnsi="仿宋" w:eastAsia="仿宋" w:cs="仿宋"/>
          <w:bCs/>
          <w:sz w:val="28"/>
          <w:szCs w:val="28"/>
        </w:rPr>
        <w:t>日期:    年  月  日</w:t>
      </w:r>
      <w:r>
        <w:rPr>
          <w:rFonts w:hint="eastAsia" w:ascii="仿宋" w:hAnsi="仿宋" w:eastAsia="仿宋" w:cs="仿宋"/>
          <w:bCs/>
          <w:sz w:val="28"/>
          <w:szCs w:val="28"/>
        </w:rPr>
        <w:tab/>
      </w:r>
      <w:r>
        <w:rPr>
          <w:rFonts w:hint="eastAsia" w:ascii="仿宋" w:hAnsi="仿宋" w:eastAsia="仿宋" w:cs="仿宋"/>
          <w:bCs/>
          <w:sz w:val="28"/>
          <w:szCs w:val="28"/>
        </w:rPr>
        <w:t>日期：  年  月  日</w:t>
      </w:r>
    </w:p>
    <w:p>
      <w:pPr>
        <w:pStyle w:val="51"/>
        <w:rPr>
          <w:rFonts w:hAnsi="宋体" w:eastAsia="宋体"/>
          <w:color w:val="auto"/>
          <w:kern w:val="2"/>
          <w:sz w:val="21"/>
          <w:szCs w:val="21"/>
        </w:rPr>
      </w:pPr>
    </w:p>
    <w:p>
      <w:pPr>
        <w:spacing w:line="360" w:lineRule="auto"/>
        <w:rPr>
          <w:rFonts w:ascii="宋体" w:hAnsi="宋体"/>
          <w:b/>
          <w:bCs/>
          <w:szCs w:val="21"/>
        </w:rPr>
      </w:pPr>
    </w:p>
    <w:p>
      <w:pPr>
        <w:spacing w:line="360" w:lineRule="auto"/>
        <w:rPr>
          <w:rFonts w:ascii="宋体" w:hAnsi="宋体"/>
          <w:szCs w:val="21"/>
        </w:rPr>
      </w:pPr>
      <w:r>
        <w:rPr>
          <w:rFonts w:ascii="宋体" w:hAnsi="宋体"/>
          <w:b/>
          <w:bCs/>
          <w:szCs w:val="21"/>
        </w:rPr>
        <w:br w:type="page"/>
      </w:r>
      <w:r>
        <w:rPr>
          <w:rFonts w:hint="eastAsia" w:ascii="宋体" w:hAnsi="宋体"/>
          <w:b/>
          <w:bCs/>
          <w:szCs w:val="21"/>
        </w:rPr>
        <w:t>附件</w:t>
      </w:r>
      <w:r>
        <w:rPr>
          <w:rFonts w:ascii="宋体" w:hAnsi="宋体"/>
          <w:b/>
          <w:bCs/>
          <w:szCs w:val="21"/>
        </w:rPr>
        <w:t>3</w:t>
      </w:r>
      <w:r>
        <w:rPr>
          <w:rFonts w:hint="eastAsia" w:ascii="宋体" w:hAnsi="宋体"/>
          <w:b/>
          <w:bCs/>
          <w:szCs w:val="21"/>
        </w:rPr>
        <w:t>：安全协议书</w:t>
      </w:r>
    </w:p>
    <w:p>
      <w:pPr>
        <w:spacing w:line="560" w:lineRule="exact"/>
        <w:rPr>
          <w:rFonts w:ascii="黑体" w:hAnsi="黑体" w:eastAsia="黑体" w:cs="Batang"/>
          <w:bCs/>
          <w:kern w:val="0"/>
          <w:sz w:val="32"/>
          <w:szCs w:val="32"/>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宋体" w:hAnsi="宋体"/>
          <w:b w:val="0"/>
          <w:u w:val="single"/>
        </w:rPr>
      </w:pPr>
    </w:p>
    <w:p>
      <w:pPr>
        <w:adjustRightInd w:val="0"/>
        <w:snapToGrid w:val="0"/>
        <w:spacing w:line="560" w:lineRule="exact"/>
        <w:ind w:firstLine="480" w:firstLineChars="200"/>
        <w:jc w:val="left"/>
        <w:rPr>
          <w:rFonts w:ascii="宋体" w:hAnsi="宋体"/>
          <w:sz w:val="24"/>
        </w:rPr>
      </w:pPr>
      <w:r>
        <w:rPr>
          <w:rFonts w:hint="eastAsia" w:ascii="宋体" w:hAnsi="宋体"/>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一、本协议与主合同的关系</w:t>
      </w:r>
    </w:p>
    <w:p>
      <w:pPr>
        <w:adjustRightInd w:val="0"/>
        <w:snapToGrid w:val="0"/>
        <w:spacing w:line="560" w:lineRule="exact"/>
        <w:ind w:firstLine="480" w:firstLineChars="200"/>
        <w:jc w:val="left"/>
        <w:rPr>
          <w:rFonts w:ascii="宋体" w:hAnsi="宋体"/>
          <w:sz w:val="24"/>
        </w:rPr>
      </w:pPr>
      <w:r>
        <w:rPr>
          <w:rFonts w:hint="eastAsia" w:ascii="宋体" w:hAnsi="宋体"/>
          <w:sz w:val="24"/>
        </w:rPr>
        <w:t>本协议作为</w:t>
      </w:r>
      <w:r>
        <w:rPr>
          <w:rFonts w:hint="eastAsia" w:ascii="宋体" w:hAnsi="宋体"/>
          <w:sz w:val="24"/>
          <w:u w:val="single"/>
        </w:rPr>
        <w:t xml:space="preserve">                          </w:t>
      </w:r>
      <w:r>
        <w:rPr>
          <w:rFonts w:hint="eastAsia" w:ascii="宋体" w:hAnsi="宋体"/>
          <w:sz w:val="24"/>
        </w:rPr>
        <w:t>的组成部分，与主合同具有同等法律。</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二、甲方权责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三、乙方权责</w:t>
      </w:r>
    </w:p>
    <w:p>
      <w:pPr>
        <w:adjustRightInd w:val="0"/>
        <w:snapToGrid w:val="0"/>
        <w:spacing w:line="560" w:lineRule="exact"/>
        <w:ind w:firstLine="480" w:firstLineChars="200"/>
        <w:jc w:val="left"/>
        <w:rPr>
          <w:rFonts w:ascii="宋体" w:hAnsi="宋体"/>
          <w:sz w:val="24"/>
        </w:rPr>
      </w:pPr>
      <w:r>
        <w:rPr>
          <w:rFonts w:hint="eastAsia" w:ascii="宋体" w:hAnsi="宋体"/>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sz w:val="24"/>
        </w:rPr>
      </w:pPr>
      <w:r>
        <w:rPr>
          <w:rFonts w:hint="eastAsia" w:ascii="宋体" w:hAnsi="宋体"/>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宋体" w:hAnsi="宋体"/>
          <w:sz w:val="24"/>
        </w:rPr>
      </w:pPr>
      <w:r>
        <w:rPr>
          <w:rFonts w:hint="eastAsia" w:ascii="宋体" w:hAnsi="宋体"/>
          <w:sz w:val="24"/>
        </w:rPr>
        <w:t>（三）严格执行国家、地方和行业主管部门的强制性标准、地方行政法规、管理要求。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（四）遵守甲方制定的安全管理要求。</w:t>
      </w:r>
    </w:p>
    <w:p>
      <w:pPr>
        <w:adjustRightInd w:val="0"/>
        <w:snapToGrid w:val="0"/>
        <w:spacing w:line="560" w:lineRule="exact"/>
        <w:ind w:firstLine="480" w:firstLineChars="200"/>
        <w:jc w:val="left"/>
        <w:rPr>
          <w:rFonts w:ascii="宋体" w:hAnsi="宋体"/>
          <w:sz w:val="24"/>
        </w:rPr>
      </w:pPr>
      <w:r>
        <w:rPr>
          <w:rFonts w:hint="eastAsia" w:ascii="宋体" w:hAnsi="宋体"/>
          <w:sz w:val="24"/>
        </w:rPr>
        <w:t>（五）配合甲方的安全监督检查，并立即对提出的问题隐患进行整改。</w:t>
      </w:r>
    </w:p>
    <w:p>
      <w:pPr>
        <w:adjustRightInd w:val="0"/>
        <w:snapToGrid w:val="0"/>
        <w:spacing w:line="560" w:lineRule="exact"/>
        <w:ind w:firstLine="480" w:firstLineChars="200"/>
        <w:jc w:val="left"/>
        <w:rPr>
          <w:rFonts w:ascii="宋体" w:hAnsi="宋体"/>
          <w:sz w:val="24"/>
        </w:rPr>
      </w:pPr>
      <w:r>
        <w:rPr>
          <w:rFonts w:hint="eastAsia" w:ascii="宋体" w:hAnsi="宋体"/>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宋体" w:hAnsi="宋体"/>
          <w:sz w:val="24"/>
        </w:rPr>
      </w:pPr>
      <w:r>
        <w:rPr>
          <w:rFonts w:hint="eastAsia" w:ascii="宋体" w:hAnsi="宋体"/>
          <w:sz w:val="24"/>
        </w:rPr>
        <w:t>（七）乙方聘请、委托的个人或单位，违反本协议的，全部责任均由乙方承担。</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四、事故责任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sz w:val="24"/>
        </w:rPr>
      </w:pPr>
      <w:r>
        <w:rPr>
          <w:rFonts w:hint="eastAsia" w:ascii="宋体" w:hAnsi="宋体"/>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宋体" w:hAnsi="宋体"/>
          <w:sz w:val="24"/>
        </w:rPr>
      </w:pPr>
      <w:r>
        <w:rPr>
          <w:rFonts w:hint="eastAsia" w:ascii="宋体" w:hAnsi="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sz w:val="24"/>
        </w:rPr>
      </w:pPr>
      <w:r>
        <w:rPr>
          <w:rFonts w:hint="eastAsia" w:ascii="宋体" w:hAnsi="宋体"/>
          <w:sz w:val="24"/>
        </w:rPr>
        <w:t>（七）委托的第三方运输单位或个人，违反本协议的，全部责任均由乙方承担。</w:t>
      </w:r>
    </w:p>
    <w:p>
      <w:pPr>
        <w:pStyle w:val="36"/>
        <w:spacing w:line="560" w:lineRule="exact"/>
        <w:ind w:firstLine="482" w:firstLineChars="200"/>
        <w:rPr>
          <w:rFonts w:ascii="宋体" w:hAnsi="宋体"/>
          <w:sz w:val="24"/>
        </w:rPr>
      </w:pPr>
      <w:r>
        <w:rPr>
          <w:rFonts w:hint="eastAsia" w:ascii="宋体" w:hAnsi="宋体"/>
          <w:b/>
          <w:sz w:val="24"/>
        </w:rPr>
        <w:t>五、补充条款：</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w:t>
      </w:r>
    </w:p>
    <w:p>
      <w:pPr>
        <w:adjustRightInd w:val="0"/>
        <w:snapToGrid w:val="0"/>
        <w:spacing w:line="560" w:lineRule="exact"/>
        <w:ind w:firstLine="482" w:firstLineChars="200"/>
        <w:jc w:val="left"/>
        <w:rPr>
          <w:rFonts w:ascii="宋体" w:hAnsi="宋体"/>
          <w:b/>
          <w:sz w:val="24"/>
        </w:rPr>
      </w:pPr>
      <w:r>
        <w:rPr>
          <w:rFonts w:hint="eastAsia" w:ascii="宋体" w:hAnsi="宋体"/>
          <w:b/>
          <w:sz w:val="24"/>
        </w:rPr>
        <w:t>六、附则</w:t>
      </w:r>
    </w:p>
    <w:p>
      <w:pPr>
        <w:adjustRightInd w:val="0"/>
        <w:snapToGrid w:val="0"/>
        <w:spacing w:line="560" w:lineRule="exact"/>
        <w:ind w:firstLine="480" w:firstLineChars="200"/>
        <w:jc w:val="left"/>
        <w:rPr>
          <w:rFonts w:ascii="宋体" w:hAns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宋体" w:hAnsi="宋体"/>
          <w:sz w:val="24"/>
        </w:rPr>
      </w:pPr>
    </w:p>
    <w:tbl>
      <w:tblPr>
        <w:tblStyle w:val="23"/>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sz w:val="24"/>
              </w:rPr>
            </w:pPr>
            <w:r>
              <w:rPr>
                <w:rFonts w:hint="eastAsia" w:ascii="宋体" w:hAnsi="宋体"/>
                <w:sz w:val="24"/>
              </w:rPr>
              <w:t>甲方：</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w:t>
            </w:r>
          </w:p>
          <w:p>
            <w:pPr>
              <w:adjustRightInd w:val="0"/>
              <w:snapToGrid w:val="0"/>
              <w:spacing w:line="560" w:lineRule="exact"/>
              <w:ind w:firstLine="240" w:firstLineChars="100"/>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c>
          <w:tcPr>
            <w:tcW w:w="4474" w:type="dxa"/>
          </w:tcPr>
          <w:p>
            <w:pPr>
              <w:adjustRightInd w:val="0"/>
              <w:snapToGrid w:val="0"/>
              <w:spacing w:line="560" w:lineRule="exact"/>
              <w:rPr>
                <w:rFonts w:ascii="宋体" w:hAnsi="宋体"/>
                <w:sz w:val="24"/>
              </w:rPr>
            </w:pPr>
            <w:r>
              <w:rPr>
                <w:rFonts w:hint="eastAsia" w:ascii="宋体" w:hAnsi="宋体"/>
                <w:sz w:val="24"/>
              </w:rPr>
              <w:t>乙方：</w:t>
            </w:r>
          </w:p>
          <w:p>
            <w:pPr>
              <w:adjustRightInd w:val="0"/>
              <w:snapToGrid w:val="0"/>
              <w:spacing w:line="560" w:lineRule="exact"/>
              <w:rPr>
                <w:rFonts w:ascii="宋体" w:hAnsi="宋体"/>
                <w:sz w:val="24"/>
              </w:rPr>
            </w:pPr>
            <w:r>
              <w:rPr>
                <w:rFonts w:hint="eastAsia" w:ascii="宋体" w:hAnsi="宋体"/>
                <w:sz w:val="24"/>
              </w:rPr>
              <w:t>签约代表：</w:t>
            </w:r>
          </w:p>
          <w:p>
            <w:pPr>
              <w:adjustRightInd w:val="0"/>
              <w:snapToGrid w:val="0"/>
              <w:spacing w:line="560" w:lineRule="exact"/>
              <w:rPr>
                <w:rFonts w:ascii="宋体" w:hAnsi="宋体"/>
                <w:sz w:val="24"/>
              </w:rPr>
            </w:pPr>
            <w:r>
              <w:rPr>
                <w:rFonts w:hint="eastAsia" w:ascii="宋体" w:hAnsi="宋体"/>
                <w:sz w:val="24"/>
              </w:rPr>
              <w:t>联系电话：</w:t>
            </w:r>
          </w:p>
          <w:p>
            <w:pPr>
              <w:adjustRightInd w:val="0"/>
              <w:snapToGrid w:val="0"/>
              <w:spacing w:line="560" w:lineRule="exact"/>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tc>
      </w:tr>
    </w:tbl>
    <w:p>
      <w:pPr>
        <w:widowControl/>
        <w:spacing w:line="560" w:lineRule="exact"/>
        <w:jc w:val="left"/>
        <w:rPr>
          <w:rFonts w:ascii="宋体" w:hAnsi="宋体" w:cs="宋体"/>
          <w:kern w:val="0"/>
          <w:sz w:val="24"/>
        </w:rPr>
      </w:pPr>
    </w:p>
    <w:p>
      <w:pPr>
        <w:widowControl/>
        <w:spacing w:line="360" w:lineRule="auto"/>
        <w:ind w:firstLine="1370" w:firstLineChars="650"/>
        <w:jc w:val="left"/>
        <w:rPr>
          <w:rFonts w:ascii="宋体" w:hAnsi="宋体"/>
          <w:b/>
          <w:szCs w:val="21"/>
        </w:rPr>
      </w:pPr>
    </w:p>
    <w:p>
      <w:pPr>
        <w:spacing w:line="360" w:lineRule="auto"/>
        <w:rPr>
          <w:rFonts w:ascii="宋体" w:hAnsi="宋体" w:cs="宋体"/>
          <w:b/>
          <w:bCs/>
          <w:szCs w:val="21"/>
        </w:rPr>
      </w:pPr>
    </w:p>
    <w:p/>
    <w:p>
      <w:pPr>
        <w:pStyle w:val="9"/>
      </w:pPr>
    </w:p>
    <w:p>
      <w:pPr>
        <w:pStyle w:val="9"/>
      </w:pPr>
    </w:p>
    <w:p>
      <w:pPr>
        <w:pStyle w:val="9"/>
      </w:pPr>
    </w:p>
    <w:p>
      <w:pPr>
        <w:pStyle w:val="9"/>
      </w:pPr>
    </w:p>
    <w:p>
      <w:pPr>
        <w:pStyle w:val="9"/>
      </w:pPr>
    </w:p>
    <w:p>
      <w:pPr>
        <w:pStyle w:val="9"/>
      </w:pPr>
    </w:p>
    <w:p>
      <w:pPr>
        <w:pStyle w:val="51"/>
        <w:rPr>
          <w:rFonts w:hAnsi="宋体"/>
          <w:szCs w:val="21"/>
        </w:rPr>
      </w:pPr>
      <w:r>
        <w:rPr>
          <w:rFonts w:hAnsi="宋体" w:eastAsia="宋体"/>
          <w:b/>
          <w:bCs/>
          <w:sz w:val="21"/>
          <w:szCs w:val="21"/>
        </w:rPr>
        <w:br w:type="page"/>
      </w:r>
      <w:r>
        <w:rPr>
          <w:rFonts w:hint="eastAsia" w:hAnsi="宋体" w:eastAsia="宋体"/>
          <w:b/>
          <w:bCs/>
          <w:sz w:val="21"/>
          <w:szCs w:val="21"/>
        </w:rPr>
        <w:t>附件</w:t>
      </w:r>
      <w:r>
        <w:rPr>
          <w:rFonts w:hAnsi="宋体" w:eastAsia="宋体"/>
          <w:b/>
          <w:bCs/>
          <w:sz w:val="21"/>
          <w:szCs w:val="21"/>
        </w:rPr>
        <w:t>4</w:t>
      </w:r>
      <w:r>
        <w:rPr>
          <w:rFonts w:hint="eastAsia" w:hAnsi="宋体" w:eastAsia="宋体"/>
          <w:b/>
          <w:bCs/>
          <w:sz w:val="21"/>
          <w:szCs w:val="21"/>
        </w:rPr>
        <w:t>：</w:t>
      </w:r>
    </w:p>
    <w:p>
      <w:pPr>
        <w:pStyle w:val="51"/>
        <w:rPr>
          <w:rFonts w:hAnsi="宋体"/>
          <w:szCs w:val="21"/>
        </w:rPr>
      </w:pP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处理</w:t>
            </w:r>
          </w:p>
          <w:p>
            <w:pPr>
              <w:adjustRightInd w:val="0"/>
              <w:snapToGrid w:val="0"/>
              <w:rPr>
                <w:rFonts w:ascii="仿宋_GB2312" w:hAnsi="仿宋_GB2312" w:eastAsia="仿宋_GB2312" w:cs="仿宋_GB2312"/>
              </w:rPr>
            </w:pPr>
            <w:r>
              <w:rPr>
                <w:rFonts w:hint="eastAsia" w:ascii="仿宋_GB2312" w:hAnsi="仿宋_GB2312" w:eastAsia="仿宋_GB2312" w:cs="仿宋_GB2312"/>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发生重伤或死亡1～2人的，暂停投标1年至2年（含）。</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发生重伤或死亡3～9人的，暂停投标2年以上至4年。</w:t>
            </w:r>
          </w:p>
          <w:p>
            <w:pPr>
              <w:adjustRightInd w:val="0"/>
              <w:snapToGrid w:val="0"/>
              <w:rPr>
                <w:rFonts w:ascii="仿宋_GB2312" w:hAnsi="仿宋_GB2312" w:eastAsia="仿宋_GB2312" w:cs="仿宋_GB2312"/>
              </w:rPr>
            </w:pPr>
            <w:r>
              <w:rPr>
                <w:rFonts w:hint="eastAsia" w:ascii="仿宋_GB2312" w:hAnsi="仿宋_GB2312" w:eastAsia="仿宋_GB2312" w:cs="仿宋_GB2312"/>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其他不诚信</w:t>
            </w:r>
          </w:p>
          <w:p>
            <w:pPr>
              <w:adjustRightInd w:val="0"/>
              <w:snapToGrid w:val="0"/>
              <w:rPr>
                <w:rFonts w:ascii="仿宋_GB2312" w:hAnsi="仿宋_GB2312" w:eastAsia="仿宋_GB2312" w:cs="仿宋_GB2312"/>
              </w:rPr>
            </w:pPr>
            <w:r>
              <w:rPr>
                <w:rFonts w:hint="eastAsia" w:ascii="仿宋_GB2312" w:hAnsi="仿宋_GB2312" w:eastAsia="仿宋_GB2312" w:cs="仿宋_GB2312"/>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rPr>
            </w:pPr>
            <w:r>
              <w:rPr>
                <w:rFonts w:hint="eastAsia" w:ascii="仿宋_GB2312" w:hAnsi="仿宋_GB2312" w:eastAsia="仿宋_GB2312" w:cs="仿宋_GB2312"/>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rPr>
            </w:pPr>
            <w:r>
              <w:rPr>
                <w:rFonts w:hint="eastAsia" w:ascii="仿宋_GB2312" w:hAnsi="仿宋_GB2312" w:eastAsia="仿宋_GB2312" w:cs="仿宋_GB2312"/>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rPr>
            </w:pPr>
            <w:r>
              <w:rPr>
                <w:rFonts w:hint="eastAsia" w:ascii="仿宋_GB2312" w:hAnsi="仿宋_GB2312" w:eastAsia="仿宋_GB2312" w:cs="仿宋_GB2312"/>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r>
              <w:rPr>
                <w:rFonts w:hint="eastAsia" w:ascii="仿宋_GB2312" w:hAnsi="仿宋_GB2312" w:eastAsia="仿宋_GB2312" w:cs="仿宋_GB2312"/>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rPr>
            </w:pPr>
          </w:p>
        </w:tc>
      </w:tr>
    </w:tbl>
    <w:p>
      <w:pPr>
        <w:contextualSpacing/>
        <w:jc w:val="left"/>
        <w:rPr>
          <w:rFonts w:ascii="仿宋_GB2312" w:hAnsi="仿宋_GB2312" w:eastAsia="仿宋_GB2312" w:cs="仿宋_GB2312"/>
          <w:sz w:val="24"/>
        </w:rPr>
      </w:pPr>
      <w:r>
        <w:rPr>
          <w:rFonts w:hint="eastAsia" w:ascii="仿宋_GB2312" w:hAnsi="仿宋_GB2312" w:eastAsia="仿宋_GB2312" w:cs="仿宋_GB2312"/>
          <w:sz w:val="24"/>
        </w:rPr>
        <w:t>备注：本处理标准出自</w:t>
      </w:r>
      <w:r>
        <w:rPr>
          <w:rFonts w:hint="eastAsia" w:ascii="仿宋_GB2312" w:hAnsi="仿宋_GB2312" w:eastAsia="仿宋_GB2312" w:cs="仿宋_GB2312"/>
          <w:color w:val="000000"/>
          <w:sz w:val="24"/>
        </w:rPr>
        <w:t>《广州市净水有限公司经营建设项目参建企业不诚信行为管理办法》。</w:t>
      </w:r>
    </w:p>
    <w:p>
      <w:pPr>
        <w:pStyle w:val="2"/>
      </w:pPr>
      <w:r>
        <w:br w:type="page"/>
      </w:r>
    </w:p>
    <w:p>
      <w:pPr>
        <w:pStyle w:val="2"/>
        <w:rPr>
          <w:rFonts w:ascii="仿宋_GB2312" w:eastAsia="仿宋_GB2312"/>
          <w:sz w:val="28"/>
          <w:szCs w:val="28"/>
        </w:rPr>
      </w:pPr>
    </w:p>
    <w:p>
      <w:pPr>
        <w:pStyle w:val="4"/>
      </w:pPr>
      <w:bookmarkStart w:id="98" w:name="_Toc21847"/>
      <w:bookmarkStart w:id="99" w:name="_Toc8147"/>
      <w:bookmarkStart w:id="100" w:name="_Toc6230"/>
      <w:bookmarkStart w:id="101" w:name="_Toc1563"/>
      <w:bookmarkStart w:id="102" w:name="_Toc12169"/>
      <w:bookmarkStart w:id="103" w:name="_Toc28358"/>
      <w:bookmarkStart w:id="104" w:name="_Toc30824"/>
      <w:bookmarkStart w:id="105" w:name="_Toc23515"/>
      <w:bookmarkStart w:id="106" w:name="_Toc3723"/>
      <w:bookmarkStart w:id="107" w:name="_Toc16552"/>
      <w:bookmarkStart w:id="108" w:name="_Toc5129"/>
      <w:r>
        <w:pict>
          <v:shape id="_x0000_s2059" o:spid="_x0000_s2059" o:spt="32" type="#_x0000_t32" style="position:absolute;left:0pt;margin-left:181.6pt;margin-top:56.7pt;height:0pt;width:75.5pt;z-index:251669504;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8480;mso-width-relative:page;mso-height-relative:page;" o:connectortype="straight" filled="f" coordsize="21600,21600">
            <v:path arrowok="t"/>
            <v:fill on="f" focussize="0,0"/>
            <v:stroke/>
            <v:imagedata o:title=""/>
            <o:lock v:ext="edit"/>
          </v:shape>
        </w:pict>
      </w:r>
      <w:r>
        <w:rPr>
          <w:rFonts w:hint="eastAsia"/>
        </w:rPr>
        <w:t>第七章</w:t>
      </w:r>
      <w:bookmarkEnd w:id="98"/>
      <w:bookmarkEnd w:id="99"/>
      <w:bookmarkEnd w:id="100"/>
      <w:bookmarkEnd w:id="101"/>
      <w:bookmarkEnd w:id="102"/>
      <w:bookmarkEnd w:id="103"/>
      <w:bookmarkEnd w:id="104"/>
      <w:bookmarkEnd w:id="105"/>
      <w:bookmarkEnd w:id="106"/>
      <w:bookmarkEnd w:id="107"/>
      <w:bookmarkEnd w:id="108"/>
    </w:p>
    <w:p>
      <w:pPr>
        <w:pStyle w:val="36"/>
      </w:pPr>
    </w:p>
    <w:p>
      <w:pPr>
        <w:pStyle w:val="4"/>
      </w:pPr>
      <w:bookmarkStart w:id="109" w:name="_Toc17119"/>
      <w:bookmarkStart w:id="110" w:name="_Toc21675"/>
      <w:bookmarkStart w:id="111" w:name="_Toc12769"/>
      <w:bookmarkStart w:id="112" w:name="_Toc24815"/>
      <w:bookmarkStart w:id="113" w:name="_Toc5342"/>
      <w:bookmarkStart w:id="114" w:name="_Toc30157"/>
      <w:bookmarkStart w:id="115" w:name="_Toc12610"/>
      <w:bookmarkStart w:id="116" w:name="_Toc10840"/>
      <w:bookmarkStart w:id="117" w:name="_Toc31564"/>
      <w:bookmarkStart w:id="118" w:name="_Toc88209951"/>
      <w:bookmarkStart w:id="119" w:name="_Toc22764"/>
      <w:bookmarkStart w:id="120" w:name="_Toc87616388"/>
      <w:bookmarkStart w:id="121" w:name="_Toc24490"/>
      <w:r>
        <w:rPr>
          <w:rFonts w:hint="eastAsia"/>
        </w:rPr>
        <w:t>响应文件格式要求</w:t>
      </w:r>
      <w:bookmarkEnd w:id="109"/>
      <w:bookmarkEnd w:id="110"/>
      <w:bookmarkEnd w:id="111"/>
      <w:bookmarkEnd w:id="112"/>
      <w:bookmarkEnd w:id="113"/>
      <w:bookmarkEnd w:id="114"/>
      <w:bookmarkEnd w:id="115"/>
      <w:bookmarkEnd w:id="116"/>
      <w:bookmarkEnd w:id="117"/>
      <w:bookmarkEnd w:id="118"/>
      <w:bookmarkEnd w:id="119"/>
      <w:bookmarkEnd w:id="120"/>
      <w:bookmarkEnd w:id="121"/>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u w:val="single"/>
        </w:rPr>
      </w:pPr>
      <w:r>
        <w:rPr>
          <w:rFonts w:hint="eastAsia" w:ascii="方正小标宋简体" w:eastAsia="方正小标宋简体"/>
          <w:sz w:val="44"/>
          <w:szCs w:val="44"/>
          <w:u w:val="single"/>
        </w:rPr>
        <w:t>（项目名称、标段/标包号）</w:t>
      </w:r>
    </w:p>
    <w:p>
      <w:pPr>
        <w:adjustRightInd w:val="0"/>
        <w:snapToGrid w:val="0"/>
        <w:spacing w:before="156" w:beforeLines="50" w:after="156" w:afterLines="50" w:line="600" w:lineRule="exact"/>
        <w:jc w:val="center"/>
        <w:rPr>
          <w:rFonts w:ascii="仿宋_GB2312" w:eastAsia="仿宋_GB2312"/>
          <w:sz w:val="30"/>
          <w:szCs w:val="30"/>
        </w:rPr>
      </w:pPr>
    </w:p>
    <w:p>
      <w:pPr>
        <w:adjustRightInd w:val="0"/>
        <w:snapToGrid w:val="0"/>
        <w:spacing w:before="156" w:beforeLines="50" w:after="156" w:afterLines="50" w:line="600" w:lineRule="exact"/>
        <w:jc w:val="center"/>
        <w:rPr>
          <w:rFonts w:ascii="仿宋_GB2312" w:eastAsia="仿宋_GB2312"/>
          <w:sz w:val="30"/>
          <w:szCs w:val="30"/>
        </w:rPr>
      </w:pPr>
      <w:r>
        <w:rPr>
          <w:rFonts w:hint="eastAsia" w:ascii="仿宋_GB2312" w:eastAsia="仿宋_GB2312"/>
          <w:sz w:val="30"/>
          <w:szCs w:val="30"/>
        </w:rPr>
        <w:t>（项目编号：   ）</w:t>
      </w:r>
    </w:p>
    <w:p>
      <w:pPr>
        <w:adjustRightInd w:val="0"/>
        <w:snapToGrid w:val="0"/>
        <w:spacing w:before="156" w:beforeLines="50" w:after="156"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年</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u w:val="single"/>
        </w:rPr>
        <w:t xml:space="preserve">    </w:t>
      </w:r>
      <w:r>
        <w:rPr>
          <w:rFonts w:hint="eastAsia" w:ascii="仿宋_GB2312" w:eastAsia="仿宋_GB2312" w:hAnsiTheme="minorEastAsia"/>
          <w:sz w:val="36"/>
          <w:szCs w:val="36"/>
        </w:rPr>
        <w:t>日</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30"/>
          <w:szCs w:val="30"/>
        </w:rPr>
      </w:pPr>
    </w:p>
    <w:p>
      <w:pPr>
        <w:adjustRightInd w:val="0"/>
        <w:snapToGrid w:val="0"/>
        <w:spacing w:before="156" w:beforeLines="50" w:after="156" w:afterLines="50" w:line="600" w:lineRule="exact"/>
        <w:jc w:val="center"/>
        <w:rPr>
          <w:rFonts w:ascii="方正小标宋简体" w:eastAsia="方正小标宋简体"/>
          <w:sz w:val="44"/>
          <w:szCs w:val="44"/>
        </w:rPr>
      </w:pPr>
      <w:r>
        <w:rPr>
          <w:rFonts w:ascii="方正小标宋简体" w:eastAsia="方正小标宋简体"/>
          <w:sz w:val="44"/>
          <w:szCs w:val="44"/>
        </w:rPr>
        <w:t>目</w:t>
      </w:r>
      <w:r>
        <w:rPr>
          <w:rFonts w:hint="eastAsia" w:ascii="方正小标宋简体" w:eastAsia="方正小标宋简体"/>
          <w:sz w:val="44"/>
          <w:szCs w:val="44"/>
        </w:rPr>
        <w:t xml:space="preserve">  </w:t>
      </w:r>
      <w:r>
        <w:rPr>
          <w:rFonts w:ascii="方正小标宋简体" w:eastAsia="方正小标宋简体"/>
          <w:sz w:val="44"/>
          <w:szCs w:val="44"/>
        </w:rPr>
        <w:t>录</w:t>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22" w:name="_Toc88209952"/>
      <w:bookmarkStart w:id="123" w:name="_Toc87616389"/>
      <w:r>
        <w:rPr>
          <w:rFonts w:hint="eastAsia" w:ascii="仿宋_GB2312" w:eastAsia="仿宋_GB2312"/>
          <w:sz w:val="28"/>
          <w:szCs w:val="28"/>
        </w:rPr>
        <w:t>1.响应函</w:t>
      </w:r>
      <w:bookmarkEnd w:id="122"/>
      <w:bookmarkEnd w:id="123"/>
    </w:p>
    <w:p>
      <w:pPr>
        <w:spacing w:line="600" w:lineRule="exact"/>
        <w:rPr>
          <w:rFonts w:ascii="仿宋_GB2312" w:eastAsia="仿宋_GB2312"/>
          <w:sz w:val="28"/>
          <w:szCs w:val="28"/>
        </w:rPr>
      </w:pPr>
      <w:bookmarkStart w:id="124" w:name="_Toc87616390"/>
      <w:bookmarkStart w:id="125" w:name="_Toc88209953"/>
      <w:r>
        <w:rPr>
          <w:rFonts w:hint="eastAsia" w:ascii="仿宋_GB2312" w:eastAsia="仿宋_GB2312"/>
          <w:sz w:val="28"/>
          <w:szCs w:val="28"/>
        </w:rPr>
        <w:t>2.法定代表人证明或授权委托书</w:t>
      </w:r>
      <w:bookmarkEnd w:id="124"/>
      <w:bookmarkEnd w:id="125"/>
      <w:bookmarkStart w:id="126" w:name="_Toc87616393"/>
      <w:bookmarkStart w:id="127" w:name="_Toc88209956"/>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26"/>
      <w:bookmarkEnd w:id="127"/>
      <w:r>
        <w:rPr>
          <w:rFonts w:hint="eastAsia" w:ascii="仿宋_GB2312" w:eastAsia="仿宋_GB2312"/>
          <w:sz w:val="28"/>
          <w:szCs w:val="28"/>
        </w:rPr>
        <w:cr/>
      </w: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pPr>
    </w:p>
    <w:p>
      <w:pPr>
        <w:adjustRightInd w:val="0"/>
        <w:snapToGrid w:val="0"/>
        <w:spacing w:before="156" w:beforeLines="50" w:after="156" w:afterLines="50" w:line="600" w:lineRule="exact"/>
        <w:rPr>
          <w:rFonts w:ascii="方正小标宋简体" w:eastAsia="方正小标宋简体"/>
          <w:sz w:val="44"/>
          <w:szCs w:val="44"/>
        </w:rPr>
      </w:pPr>
    </w:p>
    <w:p>
      <w:pPr>
        <w:adjustRightInd w:val="0"/>
        <w:snapToGrid w:val="0"/>
        <w:spacing w:before="156" w:beforeLines="50" w:after="156" w:afterLines="50" w:line="600" w:lineRule="exact"/>
        <w:rPr>
          <w:rFonts w:ascii="方正小标宋简体" w:eastAsia="方正小标宋简体"/>
          <w:sz w:val="44"/>
          <w:szCs w:val="44"/>
        </w:rPr>
      </w:pPr>
    </w:p>
    <w:p>
      <w:pPr>
        <w:pStyle w:val="6"/>
        <w:rPr>
          <w:rFonts w:asciiTheme="minorEastAsia" w:hAnsiTheme="minorEastAsia" w:eastAsiaTheme="minorEastAsia"/>
          <w:sz w:val="28"/>
          <w:szCs w:val="28"/>
        </w:rPr>
      </w:pPr>
      <w:bookmarkStart w:id="128" w:name="_Toc12665"/>
      <w:bookmarkStart w:id="129" w:name="_Toc6313"/>
      <w:bookmarkStart w:id="130" w:name="_Toc88209957"/>
      <w:bookmarkStart w:id="131" w:name="_Toc87616394"/>
      <w:bookmarkStart w:id="132" w:name="_Toc28619645"/>
      <w:r>
        <w:rPr>
          <w:rFonts w:hint="eastAsia" w:asciiTheme="minorEastAsia" w:hAnsiTheme="minorEastAsia" w:eastAsiaTheme="minorEastAsia"/>
          <w:sz w:val="28"/>
          <w:szCs w:val="28"/>
        </w:rPr>
        <w:t>1.响应函</w:t>
      </w:r>
      <w:bookmarkEnd w:id="128"/>
      <w:bookmarkEnd w:id="129"/>
      <w:bookmarkEnd w:id="130"/>
      <w:bookmarkEnd w:id="131"/>
      <w:bookmarkEnd w:id="13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至（采购人名称）：</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仿宋_GB2312" w:hAnsi="黑体" w:eastAsia="仿宋_GB2312"/>
          <w:sz w:val="28"/>
          <w:szCs w:val="28"/>
          <w:u w:val="single"/>
        </w:rPr>
        <w:t xml:space="preserve">                </w:t>
      </w:r>
      <w:r>
        <w:rPr>
          <w:rFonts w:hint="eastAsia" w:ascii="仿宋_GB2312" w:hAnsi="黑体" w:eastAsia="仿宋_GB2312"/>
          <w:sz w:val="28"/>
          <w:szCs w:val="28"/>
        </w:rPr>
        <w:t>(</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 xml:space="preserve">  </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；增值税为</w:t>
      </w:r>
      <w:r>
        <w:rPr>
          <w:rFonts w:hint="eastAsia" w:ascii="仿宋_GB2312" w:hAnsi="黑体" w:eastAsia="仿宋_GB2312"/>
          <w:sz w:val="28"/>
          <w:szCs w:val="28"/>
          <w:u w:val="single"/>
        </w:rPr>
        <w:t xml:space="preserve">       </w:t>
      </w:r>
      <w:r>
        <w:rPr>
          <w:rFonts w:hint="eastAsia" w:ascii="仿宋_GB2312" w:hAnsi="黑体" w:eastAsia="仿宋_GB2312"/>
          <w:sz w:val="28"/>
          <w:szCs w:val="28"/>
        </w:rPr>
        <w:t>）完成/提供本项目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w:t>
      </w:r>
      <w:r>
        <w:rPr>
          <w:rFonts w:hint="eastAsia" w:ascii="仿宋_GB2312" w:hAnsi="黑体" w:eastAsia="仿宋_GB2312"/>
          <w:sz w:val="28"/>
          <w:szCs w:val="28"/>
          <w:highlight w:val="none"/>
        </w:rPr>
        <w:t>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r>
        <w:rPr>
          <w:rFonts w:hint="eastAsia" w:ascii="仿宋_GB2312" w:eastAsia="仿宋_GB2312" w:hAnsiTheme="minorEastAsia"/>
          <w:sz w:val="28"/>
          <w:szCs w:val="28"/>
          <w:u w:val="single"/>
        </w:rPr>
        <w:t xml:space="preserve">                              </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r>
        <w:rPr>
          <w:rFonts w:hint="eastAsia" w:ascii="仿宋_GB2312" w:eastAsia="仿宋_GB2312" w:hAnsiTheme="minorEastAsia"/>
          <w:sz w:val="28"/>
          <w:szCs w:val="28"/>
          <w:u w:val="single"/>
        </w:rPr>
        <w:t xml:space="preserve">                              </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年</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u w:val="single"/>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33" w:name="_Toc88209958"/>
      <w:bookmarkStart w:id="134" w:name="_Toc29833"/>
      <w:bookmarkStart w:id="135" w:name="_Toc87616395"/>
      <w:bookmarkStart w:id="136" w:name="_Toc22527"/>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33"/>
      <w:bookmarkEnd w:id="134"/>
      <w:bookmarkEnd w:id="135"/>
      <w:bookmarkEnd w:id="136"/>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8"/>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2"/>
          <w:szCs w:val="32"/>
        </w:rPr>
        <w:t xml:space="preserve">     </w:t>
      </w:r>
      <w:r>
        <w:rPr>
          <w:rFonts w:hint="eastAsia" w:ascii="仿宋_GB2312" w:hAnsi="宋体" w:eastAsia="仿宋_GB2312" w:cs="Times New Roman"/>
          <w:color w:val="000000"/>
          <w:sz w:val="30"/>
          <w:szCs w:val="30"/>
        </w:rPr>
        <w:t>供应商名称：</w:t>
      </w:r>
      <w:r>
        <w:rPr>
          <w:rFonts w:hint="eastAsia" w:ascii="仿宋_GB2312" w:hAnsi="宋体" w:eastAsia="仿宋_GB2312" w:cs="Times New Roman"/>
          <w:color w:val="000000"/>
          <w:sz w:val="30"/>
          <w:szCs w:val="30"/>
          <w:u w:val="single"/>
        </w:rPr>
        <w:t xml:space="preserve">                          </w:t>
      </w:r>
    </w:p>
    <w:p>
      <w:pPr>
        <w:pStyle w:val="13"/>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r>
        <w:rPr>
          <w:rFonts w:hint="eastAsia" w:ascii="仿宋_GB2312" w:hAnsi="宋体" w:eastAsia="仿宋_GB2312" w:cs="Times New Roman"/>
          <w:sz w:val="30"/>
          <w:szCs w:val="30"/>
          <w:u w:val="single"/>
        </w:rPr>
        <w:t xml:space="preserve">                            </w:t>
      </w:r>
    </w:p>
    <w:p>
      <w:pPr>
        <w:pStyle w:val="37"/>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r>
        <w:rPr>
          <w:rFonts w:hint="eastAsia" w:ascii="仿宋_GB2312" w:hAnsi="宋体" w:eastAsia="仿宋_GB2312" w:cs="Times New Roman"/>
          <w:color w:val="000000"/>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年</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月</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日</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性别：</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年龄：</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 xml:space="preserve"> 身份证号码：</w:t>
      </w:r>
      <w:r>
        <w:rPr>
          <w:rFonts w:hint="eastAsia" w:ascii="仿宋_GB2312" w:hAnsi="宋体" w:eastAsia="仿宋_GB2312" w:cs="Times New Roman"/>
          <w:sz w:val="30"/>
          <w:szCs w:val="30"/>
          <w:u w:val="single"/>
        </w:rPr>
        <w:t xml:space="preserve">          </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w:t>
      </w:r>
      <w:r>
        <w:rPr>
          <w:rFonts w:hint="eastAsia" w:ascii="仿宋_GB2312" w:hAnsi="宋体" w:eastAsia="仿宋_GB2312" w:cs="Times New Roman"/>
          <w:sz w:val="30"/>
          <w:szCs w:val="30"/>
          <w:u w:val="single"/>
        </w:rPr>
        <w:t xml:space="preserve">         </w:t>
      </w:r>
      <w:r>
        <w:rPr>
          <w:rFonts w:hint="eastAsia" w:ascii="仿宋_GB2312" w:hAnsi="宋体" w:eastAsia="仿宋_GB2312" w:cs="Times New Roman"/>
          <w:sz w:val="30"/>
          <w:szCs w:val="30"/>
        </w:rPr>
        <w:t>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3"/>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3"/>
        <w:snapToGrid w:val="0"/>
        <w:spacing w:line="600" w:lineRule="exact"/>
        <w:ind w:firstLine="3907" w:firstLineChars="1221"/>
        <w:rPr>
          <w:rFonts w:ascii="仿宋_GB2312" w:hAnsi="宋体" w:eastAsia="仿宋_GB2312" w:cs="Times New Roman"/>
          <w:sz w:val="32"/>
          <w:szCs w:val="32"/>
        </w:rPr>
      </w:pPr>
    </w:p>
    <w:p>
      <w:pPr>
        <w:pStyle w:val="13"/>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pict>
          <v:shape id="文本框 2" o:spid="_x0000_s2060" o:spt="202" type="#_x0000_t202" style="position:absolute;left:0pt;margin-left:32pt;margin-top:14.8pt;height:101.4pt;width:297pt;mso-wrap-distance-bottom:0pt;mso-wrap-distance-left:9pt;mso-wrap-distance-right:9pt;mso-wrap-distance-top:0pt;z-index:251670528;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6"/>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3"/>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2"/>
        <w:rPr>
          <w:rFonts w:ascii="仿宋_GB2312" w:eastAsia="仿宋_GB2312"/>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71552;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
      </w:pPr>
    </w:p>
    <w:p>
      <w:pPr>
        <w:pStyle w:val="2"/>
      </w:pPr>
    </w:p>
    <w:p>
      <w:pPr>
        <w:pStyle w:val="2"/>
      </w:pPr>
    </w:p>
    <w:p>
      <w:pPr>
        <w:pStyle w:val="2"/>
      </w:pP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 xml:space="preserve"> </w:t>
      </w:r>
      <w:bookmarkStart w:id="137" w:name="_Toc19830"/>
      <w:bookmarkStart w:id="138" w:name="_Toc87616400"/>
      <w:bookmarkStart w:id="139" w:name="_Toc8086"/>
      <w:bookmarkStart w:id="140" w:name="_Toc88209963"/>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37"/>
      <w:bookmarkEnd w:id="138"/>
      <w:bookmarkEnd w:id="139"/>
      <w:bookmarkEnd w:id="140"/>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41" w:name="_Hlk59025866"/>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41"/>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w:t>
      </w:r>
      <w:r>
        <w:rPr>
          <w:rFonts w:hint="eastAsia" w:ascii="宋体" w:hAnsi="宋体" w:eastAsia="宋体" w:cs="宋体"/>
          <w:b/>
          <w:bCs/>
          <w:sz w:val="24"/>
          <w:szCs w:val="24"/>
          <w:shd w:val="clear" w:color="auto" w:fill="FFFFFF"/>
        </w:rPr>
        <w:t>广州市净水有限公司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cs="宋体"/>
          <w:sz w:val="24"/>
          <w:szCs w:val="24"/>
          <w:lang w:val="en-GB"/>
        </w:rPr>
        <w:t>广州市净水有限公司2022年紫外消毒设备大修采购项目</w:t>
      </w:r>
      <w:r>
        <w:rPr>
          <w:rFonts w:hint="eastAsia" w:ascii="宋体" w:hAnsi="宋体" w:eastAsia="宋体" w:cs="宋体"/>
          <w:sz w:val="24"/>
          <w:szCs w:val="24"/>
          <w:u w:val="single"/>
          <w:lang w:val="en-GB"/>
        </w:rPr>
        <w:t>（项目编号： ******）</w:t>
      </w:r>
      <w:r>
        <w:rPr>
          <w:rFonts w:hint="eastAsia" w:ascii="宋体" w:hAnsi="宋体" w:eastAsia="宋体" w:cs="宋体"/>
          <w:sz w:val="24"/>
          <w:szCs w:val="24"/>
          <w:lang w:val="en-GB"/>
        </w:rPr>
        <w:t>采购期间，未被</w:t>
      </w:r>
      <w:r>
        <w:rPr>
          <w:rFonts w:hint="eastAsia" w:ascii="仿宋_GB2312" w:eastAsia="仿宋_GB2312"/>
          <w:sz w:val="28"/>
          <w:szCs w:val="28"/>
        </w:rPr>
        <w:t>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年  月  日</w:t>
      </w:r>
    </w:p>
    <w:p>
      <w:pPr>
        <w:pStyle w:val="2"/>
        <w:ind w:firstLine="0"/>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tcPr>
          <w:p>
            <w:pPr>
              <w:jc w:val="center"/>
              <w:rPr>
                <w:rFonts w:ascii="仿宋" w:hAnsi="仿宋" w:eastAsia="仿宋" w:cs="仿宋_GB2312"/>
                <w:b/>
                <w:sz w:val="28"/>
                <w:szCs w:val="28"/>
              </w:rPr>
            </w:pPr>
          </w:p>
        </w:tc>
        <w:tc>
          <w:tcPr>
            <w:tcW w:w="161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tcPr>
          <w:p>
            <w:pPr>
              <w:spacing w:line="360" w:lineRule="exact"/>
              <w:jc w:val="center"/>
              <w:rPr>
                <w:rFonts w:ascii="仿宋" w:hAnsi="仿宋" w:eastAsia="仿宋" w:cs="仿宋_GB2312"/>
                <w:b/>
                <w:sz w:val="28"/>
                <w:szCs w:val="28"/>
              </w:rPr>
            </w:pPr>
          </w:p>
        </w:tc>
        <w:tc>
          <w:tcPr>
            <w:tcW w:w="1613"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tcPr>
          <w:p>
            <w:pPr>
              <w:spacing w:line="360" w:lineRule="exact"/>
              <w:jc w:val="center"/>
              <w:rPr>
                <w:rFonts w:ascii="仿宋" w:hAnsi="仿宋" w:eastAsia="仿宋" w:cs="仿宋_GB2312"/>
                <w:b/>
                <w:sz w:val="28"/>
                <w:szCs w:val="28"/>
              </w:rPr>
            </w:pPr>
          </w:p>
        </w:tc>
        <w:tc>
          <w:tcPr>
            <w:tcW w:w="2198"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tcPr>
          <w:p>
            <w:pPr>
              <w:jc w:val="center"/>
              <w:rPr>
                <w:rFonts w:ascii="仿宋" w:hAnsi="仿宋" w:eastAsia="仿宋" w:cs="仿宋_GB2312"/>
                <w:b/>
                <w:sz w:val="28"/>
                <w:szCs w:val="28"/>
              </w:rPr>
            </w:pPr>
          </w:p>
        </w:tc>
        <w:tc>
          <w:tcPr>
            <w:tcW w:w="2198"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453" w:type="dxa"/>
            <w:gridSpan w:val="2"/>
          </w:tcPr>
          <w:p>
            <w:pPr>
              <w:jc w:val="center"/>
              <w:rPr>
                <w:rFonts w:ascii="仿宋" w:hAnsi="仿宋" w:eastAsia="仿宋" w:cs="仿宋_GB2312"/>
                <w:b/>
                <w:sz w:val="28"/>
                <w:szCs w:val="28"/>
              </w:rPr>
            </w:pPr>
          </w:p>
        </w:tc>
      </w:tr>
    </w:tbl>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2"/>
        <w:rPr>
          <w:rFonts w:ascii="仿宋_GB2312" w:eastAsia="仿宋_GB2312" w:hAnsiTheme="minorEastAsia"/>
          <w:sz w:val="28"/>
          <w:szCs w:val="28"/>
        </w:rPr>
      </w:pPr>
    </w:p>
    <w:p>
      <w:pPr>
        <w:pStyle w:val="6"/>
        <w:rPr>
          <w:rFonts w:asciiTheme="minorEastAsia" w:hAnsiTheme="minorEastAsia" w:eastAsiaTheme="minorEastAsia"/>
          <w:sz w:val="28"/>
          <w:szCs w:val="28"/>
        </w:rPr>
      </w:pPr>
      <w:bookmarkStart w:id="142" w:name="_Toc32430"/>
      <w:bookmarkStart w:id="143" w:name="_Toc19423"/>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42"/>
      <w:bookmarkEnd w:id="14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4"/>
        <w:tblW w:w="957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05"/>
        <w:gridCol w:w="705"/>
        <w:gridCol w:w="1054"/>
        <w:gridCol w:w="992"/>
        <w:gridCol w:w="425"/>
        <w:gridCol w:w="567"/>
        <w:gridCol w:w="880"/>
        <w:gridCol w:w="566"/>
        <w:gridCol w:w="982"/>
        <w:gridCol w:w="844"/>
        <w:gridCol w:w="566"/>
        <w:gridCol w:w="982"/>
        <w:gridCol w:w="51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705"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名称</w:t>
            </w:r>
          </w:p>
        </w:tc>
        <w:tc>
          <w:tcPr>
            <w:tcW w:w="1054"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规格型号</w:t>
            </w:r>
          </w:p>
        </w:tc>
        <w:tc>
          <w:tcPr>
            <w:tcW w:w="992"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产地、品牌</w:t>
            </w:r>
          </w:p>
        </w:tc>
        <w:tc>
          <w:tcPr>
            <w:tcW w:w="425" w:type="dxa"/>
            <w:vMerge w:val="restart"/>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567" w:type="dxa"/>
            <w:vMerge w:val="restart"/>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单位</w:t>
            </w:r>
          </w:p>
        </w:tc>
        <w:tc>
          <w:tcPr>
            <w:tcW w:w="2428"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2392"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510"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vMerge w:val="continue"/>
          </w:tcPr>
          <w:p>
            <w:pPr>
              <w:adjustRightInd w:val="0"/>
              <w:snapToGrid w:val="0"/>
              <w:rPr>
                <w:rFonts w:ascii="仿宋_GB2312" w:eastAsia="仿宋_GB2312" w:hAnsiTheme="minorEastAsia"/>
                <w:sz w:val="28"/>
                <w:szCs w:val="28"/>
              </w:rPr>
            </w:pPr>
          </w:p>
        </w:tc>
        <w:tc>
          <w:tcPr>
            <w:tcW w:w="705" w:type="dxa"/>
            <w:vMerge w:val="continue"/>
          </w:tcPr>
          <w:p>
            <w:pPr>
              <w:adjustRightInd w:val="0"/>
              <w:snapToGrid w:val="0"/>
              <w:rPr>
                <w:rFonts w:ascii="仿宋_GB2312" w:eastAsia="仿宋_GB2312" w:hAnsiTheme="minorEastAsia"/>
                <w:sz w:val="28"/>
                <w:szCs w:val="28"/>
              </w:rPr>
            </w:pPr>
          </w:p>
        </w:tc>
        <w:tc>
          <w:tcPr>
            <w:tcW w:w="1054" w:type="dxa"/>
            <w:vMerge w:val="continue"/>
          </w:tcPr>
          <w:p>
            <w:pPr>
              <w:adjustRightInd w:val="0"/>
              <w:snapToGrid w:val="0"/>
              <w:rPr>
                <w:rFonts w:ascii="仿宋_GB2312" w:eastAsia="仿宋_GB2312" w:hAnsiTheme="minorEastAsia"/>
                <w:sz w:val="28"/>
                <w:szCs w:val="28"/>
              </w:rPr>
            </w:pPr>
          </w:p>
        </w:tc>
        <w:tc>
          <w:tcPr>
            <w:tcW w:w="992"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425" w:type="dxa"/>
            <w:vMerge w:val="continue"/>
            <w:tcBorders>
              <w:right w:val="single" w:color="auto" w:sz="4" w:space="0"/>
            </w:tcBorders>
          </w:tcPr>
          <w:p>
            <w:pPr>
              <w:adjustRightInd w:val="0"/>
              <w:snapToGrid w:val="0"/>
              <w:rPr>
                <w:rFonts w:ascii="仿宋_GB2312" w:eastAsia="仿宋_GB2312" w:hAnsiTheme="minorEastAsia"/>
                <w:sz w:val="28"/>
                <w:szCs w:val="28"/>
              </w:rPr>
            </w:pPr>
          </w:p>
        </w:tc>
        <w:tc>
          <w:tcPr>
            <w:tcW w:w="567" w:type="dxa"/>
            <w:vMerge w:val="continue"/>
            <w:tcBorders>
              <w:left w:val="single" w:color="auto" w:sz="4" w:space="0"/>
            </w:tcBorders>
          </w:tcPr>
          <w:p>
            <w:pPr>
              <w:adjustRightInd w:val="0"/>
              <w:snapToGrid w:val="0"/>
              <w:rPr>
                <w:rFonts w:ascii="仿宋_GB2312" w:eastAsia="仿宋_GB2312" w:hAnsiTheme="minorEastAsia"/>
                <w:sz w:val="28"/>
                <w:szCs w:val="28"/>
              </w:rPr>
            </w:pPr>
          </w:p>
        </w:tc>
        <w:tc>
          <w:tcPr>
            <w:tcW w:w="880"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82"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84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566"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82"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510"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5"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w:t>
            </w:r>
          </w:p>
        </w:tc>
        <w:tc>
          <w:tcPr>
            <w:tcW w:w="705" w:type="dxa"/>
          </w:tcPr>
          <w:p>
            <w:pPr>
              <w:adjustRightInd w:val="0"/>
              <w:snapToGrid w:val="0"/>
              <w:spacing w:line="600" w:lineRule="exact"/>
              <w:rPr>
                <w:rFonts w:ascii="仿宋_GB2312" w:eastAsia="仿宋_GB2312" w:hAnsiTheme="minorEastAsia"/>
                <w:sz w:val="28"/>
                <w:szCs w:val="28"/>
              </w:rPr>
            </w:pPr>
          </w:p>
        </w:tc>
        <w:tc>
          <w:tcPr>
            <w:tcW w:w="1054" w:type="dxa"/>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425"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7"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880" w:type="dxa"/>
          </w:tcPr>
          <w:p>
            <w:pPr>
              <w:adjustRightInd w:val="0"/>
              <w:snapToGrid w:val="0"/>
              <w:spacing w:line="600" w:lineRule="exact"/>
              <w:rPr>
                <w:rFonts w:ascii="仿宋_GB2312" w:eastAsia="仿宋_GB2312" w:hAnsiTheme="minorEastAsia"/>
                <w:sz w:val="28"/>
                <w:szCs w:val="28"/>
              </w:rPr>
            </w:pPr>
          </w:p>
        </w:tc>
        <w:tc>
          <w:tcPr>
            <w:tcW w:w="566"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676" w:type="dxa"/>
            <w:gridSpan w:val="9"/>
            <w:tcBorders>
              <w:right w:val="single" w:color="auto" w:sz="4" w:space="0"/>
            </w:tcBorders>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合计报价</w:t>
            </w:r>
          </w:p>
        </w:tc>
        <w:tc>
          <w:tcPr>
            <w:tcW w:w="84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66"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8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51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A3"/>
      </w: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tbl>
      <w:tblPr>
        <w:tblStyle w:val="24"/>
        <w:tblW w:w="901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850"/>
        <w:gridCol w:w="567"/>
        <w:gridCol w:w="851"/>
        <w:gridCol w:w="850"/>
        <w:gridCol w:w="851"/>
        <w:gridCol w:w="1134"/>
        <w:gridCol w:w="850"/>
        <w:gridCol w:w="992"/>
        <w:gridCol w:w="935"/>
        <w:gridCol w:w="60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序号</w:t>
            </w:r>
          </w:p>
        </w:tc>
        <w:tc>
          <w:tcPr>
            <w:tcW w:w="850"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服务费用分项名称</w:t>
            </w:r>
          </w:p>
        </w:tc>
        <w:tc>
          <w:tcPr>
            <w:tcW w:w="567" w:type="dxa"/>
            <w:vMerge w:val="restart"/>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数量</w:t>
            </w:r>
          </w:p>
        </w:tc>
        <w:tc>
          <w:tcPr>
            <w:tcW w:w="2552" w:type="dxa"/>
            <w:gridSpan w:val="3"/>
            <w:tcBorders>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单价</w:t>
            </w:r>
          </w:p>
        </w:tc>
        <w:tc>
          <w:tcPr>
            <w:tcW w:w="1134" w:type="dxa"/>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计算依据、过程和公式</w:t>
            </w:r>
          </w:p>
        </w:tc>
        <w:tc>
          <w:tcPr>
            <w:tcW w:w="2777" w:type="dxa"/>
            <w:gridSpan w:val="3"/>
            <w:tcBorders>
              <w:left w:val="single" w:color="auto" w:sz="4" w:space="0"/>
              <w:righ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总价</w:t>
            </w:r>
          </w:p>
        </w:tc>
        <w:tc>
          <w:tcPr>
            <w:tcW w:w="602" w:type="dxa"/>
            <w:tcBorders>
              <w:left w:val="single" w:color="auto" w:sz="4" w:space="0"/>
            </w:tcBorders>
            <w:vAlign w:val="center"/>
          </w:tcPr>
          <w:p>
            <w:pPr>
              <w:adjustRightInd w:val="0"/>
              <w:snapToGrid w:val="0"/>
              <w:jc w:val="center"/>
              <w:rPr>
                <w:rFonts w:ascii="仿宋_GB2312" w:eastAsia="仿宋_GB2312" w:hAnsiTheme="minorEastAsia"/>
                <w:sz w:val="28"/>
                <w:szCs w:val="28"/>
              </w:rPr>
            </w:pPr>
            <w:r>
              <w:rPr>
                <w:rFonts w:hint="eastAsia" w:ascii="仿宋_GB2312" w:eastAsia="仿宋_GB2312" w:hAnsiTheme="minorEastAsia"/>
                <w:sz w:val="28"/>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Merge w:val="continue"/>
          </w:tcPr>
          <w:p>
            <w:pPr>
              <w:adjustRightInd w:val="0"/>
              <w:snapToGrid w:val="0"/>
              <w:rPr>
                <w:rFonts w:ascii="仿宋_GB2312" w:eastAsia="仿宋_GB2312" w:hAnsiTheme="minorEastAsia"/>
                <w:sz w:val="28"/>
                <w:szCs w:val="28"/>
              </w:rPr>
            </w:pPr>
          </w:p>
        </w:tc>
        <w:tc>
          <w:tcPr>
            <w:tcW w:w="850" w:type="dxa"/>
            <w:vMerge w:val="continue"/>
          </w:tcPr>
          <w:p>
            <w:pPr>
              <w:adjustRightInd w:val="0"/>
              <w:snapToGrid w:val="0"/>
              <w:rPr>
                <w:rFonts w:ascii="仿宋_GB2312" w:eastAsia="仿宋_GB2312" w:hAnsiTheme="minorEastAsia"/>
                <w:sz w:val="28"/>
                <w:szCs w:val="28"/>
              </w:rPr>
            </w:pPr>
          </w:p>
        </w:tc>
        <w:tc>
          <w:tcPr>
            <w:tcW w:w="567" w:type="dxa"/>
            <w:vMerge w:val="continue"/>
          </w:tcPr>
          <w:p>
            <w:pPr>
              <w:adjustRightInd w:val="0"/>
              <w:snapToGrid w:val="0"/>
              <w:rPr>
                <w:rFonts w:ascii="仿宋_GB2312" w:eastAsia="仿宋_GB2312" w:hAnsiTheme="minorEastAsia"/>
                <w:sz w:val="28"/>
                <w:szCs w:val="28"/>
              </w:rPr>
            </w:pPr>
          </w:p>
        </w:tc>
        <w:tc>
          <w:tcPr>
            <w:tcW w:w="851" w:type="dxa"/>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850"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851"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1134"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p>
        </w:tc>
        <w:tc>
          <w:tcPr>
            <w:tcW w:w="850" w:type="dxa"/>
            <w:tcBorders>
              <w:lef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不含税金额</w:t>
            </w:r>
          </w:p>
        </w:tc>
        <w:tc>
          <w:tcPr>
            <w:tcW w:w="992" w:type="dxa"/>
            <w:tcBorders>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税额</w:t>
            </w:r>
          </w:p>
        </w:tc>
        <w:tc>
          <w:tcPr>
            <w:tcW w:w="935" w:type="dxa"/>
            <w:tcBorders>
              <w:left w:val="single" w:color="auto" w:sz="4" w:space="0"/>
              <w:right w:val="single" w:color="auto" w:sz="4" w:space="0"/>
            </w:tcBorders>
          </w:tcPr>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价税合计</w:t>
            </w:r>
          </w:p>
        </w:tc>
        <w:tc>
          <w:tcPr>
            <w:tcW w:w="602" w:type="dxa"/>
            <w:tcBorders>
              <w:left w:val="single" w:color="auto" w:sz="4" w:space="0"/>
            </w:tcBorders>
          </w:tcPr>
          <w:p>
            <w:pPr>
              <w:adjustRightInd w:val="0"/>
              <w:snapToGrid w:val="0"/>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w:t>
            </w:r>
          </w:p>
        </w:tc>
        <w:tc>
          <w:tcPr>
            <w:tcW w:w="850" w:type="dxa"/>
          </w:tcPr>
          <w:p>
            <w:pPr>
              <w:adjustRightInd w:val="0"/>
              <w:snapToGrid w:val="0"/>
              <w:spacing w:line="600" w:lineRule="exact"/>
              <w:rPr>
                <w:rFonts w:ascii="仿宋_GB2312" w:eastAsia="仿宋_GB2312" w:hAnsiTheme="minorEastAsia"/>
                <w:sz w:val="28"/>
                <w:szCs w:val="28"/>
              </w:rPr>
            </w:pPr>
          </w:p>
        </w:tc>
        <w:tc>
          <w:tcPr>
            <w:tcW w:w="567" w:type="dxa"/>
          </w:tcPr>
          <w:p>
            <w:pPr>
              <w:adjustRightInd w:val="0"/>
              <w:snapToGrid w:val="0"/>
              <w:spacing w:line="600" w:lineRule="exact"/>
              <w:rPr>
                <w:rFonts w:ascii="仿宋_GB2312" w:eastAsia="仿宋_GB2312" w:hAnsiTheme="minorEastAsia"/>
                <w:sz w:val="28"/>
                <w:szCs w:val="28"/>
              </w:rPr>
            </w:pPr>
          </w:p>
        </w:tc>
        <w:tc>
          <w:tcPr>
            <w:tcW w:w="851" w:type="dxa"/>
          </w:tcPr>
          <w:p>
            <w:pPr>
              <w:adjustRightInd w:val="0"/>
              <w:snapToGrid w:val="0"/>
              <w:spacing w:line="600" w:lineRule="exact"/>
              <w:rPr>
                <w:rFonts w:ascii="仿宋_GB2312" w:eastAsia="仿宋_GB2312" w:hAnsiTheme="minorEastAsia"/>
                <w:sz w:val="28"/>
                <w:szCs w:val="28"/>
              </w:rPr>
            </w:pPr>
          </w:p>
        </w:tc>
        <w:tc>
          <w:tcPr>
            <w:tcW w:w="850"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1"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1134"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850"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c>
          <w:tcPr>
            <w:tcW w:w="992" w:type="dxa"/>
            <w:tcBorders>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935" w:type="dxa"/>
            <w:tcBorders>
              <w:left w:val="single" w:color="auto" w:sz="4" w:space="0"/>
              <w:right w:val="single" w:color="auto" w:sz="4" w:space="0"/>
            </w:tcBorders>
          </w:tcPr>
          <w:p>
            <w:pPr>
              <w:adjustRightInd w:val="0"/>
              <w:snapToGrid w:val="0"/>
              <w:spacing w:line="600" w:lineRule="exact"/>
              <w:rPr>
                <w:rFonts w:ascii="仿宋_GB2312" w:eastAsia="仿宋_GB2312" w:hAnsiTheme="minorEastAsia"/>
                <w:sz w:val="28"/>
                <w:szCs w:val="28"/>
              </w:rPr>
            </w:pPr>
          </w:p>
        </w:tc>
        <w:tc>
          <w:tcPr>
            <w:tcW w:w="602" w:type="dxa"/>
            <w:tcBorders>
              <w:left w:val="single" w:color="auto" w:sz="4" w:space="0"/>
            </w:tcBorders>
          </w:tcPr>
          <w:p>
            <w:pPr>
              <w:adjustRightInd w:val="0"/>
              <w:snapToGrid w:val="0"/>
              <w:spacing w:line="600" w:lineRule="exact"/>
              <w:rPr>
                <w:rFonts w:ascii="仿宋_GB2312" w:eastAsia="仿宋_GB2312" w:hAnsiTheme="minorEastAsia"/>
                <w:sz w:val="28"/>
                <w:szCs w:val="28"/>
              </w:rPr>
            </w:pPr>
          </w:p>
        </w:tc>
      </w:tr>
    </w:tbl>
    <w:p>
      <w:pPr>
        <w:adjustRightInd w:val="0"/>
        <w:snapToGrid w:val="0"/>
        <w:rPr>
          <w:rFonts w:ascii="仿宋_GB2312" w:eastAsia="仿宋_GB2312" w:hAnsiTheme="minorEastAsia"/>
          <w:sz w:val="28"/>
          <w:szCs w:val="28"/>
        </w:rPr>
      </w:pPr>
      <w:r>
        <w:rPr>
          <w:rFonts w:hint="eastAsia" w:ascii="仿宋_GB2312" w:eastAsia="仿宋_GB2312" w:hAnsiTheme="minorEastAsia"/>
          <w:sz w:val="28"/>
          <w:szCs w:val="28"/>
        </w:rPr>
        <w:t>注：若分项费用的计算依据、过程和公式不便在表中表述，可单独另附表格或描述进行说明。</w:t>
      </w: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p>
    <w:p>
      <w:pPr>
        <w:pStyle w:val="2"/>
      </w:pPr>
    </w:p>
    <w:p>
      <w:pPr>
        <w:pStyle w:val="6"/>
        <w:rPr>
          <w:rFonts w:asciiTheme="majorEastAsia" w:hAnsiTheme="majorEastAsia" w:eastAsiaTheme="majorEastAsia"/>
          <w:sz w:val="28"/>
          <w:szCs w:val="28"/>
        </w:rPr>
      </w:pPr>
      <w:bookmarkStart w:id="144" w:name="_Toc87616402"/>
      <w:bookmarkStart w:id="145" w:name="_Toc6058"/>
      <w:bookmarkStart w:id="146" w:name="_Toc88209965"/>
      <w:bookmarkStart w:id="147" w:name="_Toc16386"/>
      <w:r>
        <w:rPr>
          <w:rFonts w:hint="eastAsia" w:eastAsiaTheme="majorEastAsia"/>
        </w:rPr>
        <w:t>6</w:t>
      </w:r>
      <w:r>
        <w:rPr>
          <w:rFonts w:hint="eastAsia" w:asciiTheme="majorEastAsia" w:hAnsiTheme="majorEastAsia" w:eastAsiaTheme="majorEastAsia"/>
          <w:sz w:val="28"/>
          <w:szCs w:val="28"/>
        </w:rPr>
        <w:t>.其他资料</w:t>
      </w:r>
      <w:bookmarkEnd w:id="144"/>
      <w:bookmarkEnd w:id="145"/>
      <w:bookmarkEnd w:id="146"/>
      <w:bookmarkEnd w:id="147"/>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方正舒体">
    <w:panose1 w:val="02010601030101010101"/>
    <w:charset w:val="86"/>
    <w:family w:val="auto"/>
    <w:pitch w:val="default"/>
    <w:sig w:usb0="00000003"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1027" o:spid="_x0000_s102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w:r>
    <w:r>
      <w:pict>
        <v:shape id="_x0000_s1028" o:spid="_x0000_s102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7"/>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D618A"/>
    <w:rsid w:val="000E09C5"/>
    <w:rsid w:val="00141CE7"/>
    <w:rsid w:val="002E591A"/>
    <w:rsid w:val="003D60BA"/>
    <w:rsid w:val="00411689"/>
    <w:rsid w:val="005A413C"/>
    <w:rsid w:val="005D618A"/>
    <w:rsid w:val="006A4AB8"/>
    <w:rsid w:val="008137B8"/>
    <w:rsid w:val="00834396"/>
    <w:rsid w:val="00911ECD"/>
    <w:rsid w:val="00A042E0"/>
    <w:rsid w:val="00AD2637"/>
    <w:rsid w:val="00B26BB1"/>
    <w:rsid w:val="00B26E21"/>
    <w:rsid w:val="00B94B5E"/>
    <w:rsid w:val="00C33FC9"/>
    <w:rsid w:val="00F83B64"/>
    <w:rsid w:val="02090C75"/>
    <w:rsid w:val="02A23A3C"/>
    <w:rsid w:val="03AC246A"/>
    <w:rsid w:val="03B23056"/>
    <w:rsid w:val="03DC3EBA"/>
    <w:rsid w:val="03F9794D"/>
    <w:rsid w:val="046A2461"/>
    <w:rsid w:val="06C64829"/>
    <w:rsid w:val="077D16D2"/>
    <w:rsid w:val="08675FC8"/>
    <w:rsid w:val="09B713FD"/>
    <w:rsid w:val="09EF6ACC"/>
    <w:rsid w:val="0A315056"/>
    <w:rsid w:val="0AFB45AD"/>
    <w:rsid w:val="0B351E9B"/>
    <w:rsid w:val="0B4C50D3"/>
    <w:rsid w:val="0B806B92"/>
    <w:rsid w:val="0B827E94"/>
    <w:rsid w:val="0BD070E1"/>
    <w:rsid w:val="0C247926"/>
    <w:rsid w:val="0D794204"/>
    <w:rsid w:val="0E2125D1"/>
    <w:rsid w:val="0E214211"/>
    <w:rsid w:val="0E5F2769"/>
    <w:rsid w:val="0F164D6D"/>
    <w:rsid w:val="0F4D75A3"/>
    <w:rsid w:val="0F5B2DCA"/>
    <w:rsid w:val="0FED051E"/>
    <w:rsid w:val="0FEE4C29"/>
    <w:rsid w:val="10046082"/>
    <w:rsid w:val="112B101A"/>
    <w:rsid w:val="119B53FC"/>
    <w:rsid w:val="12424CDC"/>
    <w:rsid w:val="129A2738"/>
    <w:rsid w:val="12B56BF1"/>
    <w:rsid w:val="12CB1A89"/>
    <w:rsid w:val="131840FB"/>
    <w:rsid w:val="13467417"/>
    <w:rsid w:val="136E76CF"/>
    <w:rsid w:val="150264CC"/>
    <w:rsid w:val="15827372"/>
    <w:rsid w:val="15BC6B3C"/>
    <w:rsid w:val="15F11EF2"/>
    <w:rsid w:val="165D0624"/>
    <w:rsid w:val="1694429A"/>
    <w:rsid w:val="17635326"/>
    <w:rsid w:val="1804677F"/>
    <w:rsid w:val="18236EFD"/>
    <w:rsid w:val="189D5B1F"/>
    <w:rsid w:val="18A34CD0"/>
    <w:rsid w:val="19B64DBC"/>
    <w:rsid w:val="1A373ACF"/>
    <w:rsid w:val="1A895341"/>
    <w:rsid w:val="1B0D071F"/>
    <w:rsid w:val="1B4568CE"/>
    <w:rsid w:val="1B9015B7"/>
    <w:rsid w:val="1D5A79EE"/>
    <w:rsid w:val="1E0E2CD0"/>
    <w:rsid w:val="1E831280"/>
    <w:rsid w:val="1EBC4704"/>
    <w:rsid w:val="1F172EB5"/>
    <w:rsid w:val="1F403FCA"/>
    <w:rsid w:val="1F94592D"/>
    <w:rsid w:val="1FB860DE"/>
    <w:rsid w:val="203C5A02"/>
    <w:rsid w:val="209D4C94"/>
    <w:rsid w:val="20C270A4"/>
    <w:rsid w:val="20E84705"/>
    <w:rsid w:val="21716FBC"/>
    <w:rsid w:val="218400BA"/>
    <w:rsid w:val="21AB1E2F"/>
    <w:rsid w:val="21C54A47"/>
    <w:rsid w:val="21D40498"/>
    <w:rsid w:val="22767047"/>
    <w:rsid w:val="23406C52"/>
    <w:rsid w:val="23A05588"/>
    <w:rsid w:val="25431AEB"/>
    <w:rsid w:val="25BF43FD"/>
    <w:rsid w:val="25F86BCD"/>
    <w:rsid w:val="269E416A"/>
    <w:rsid w:val="272100D3"/>
    <w:rsid w:val="272C72FC"/>
    <w:rsid w:val="27EB149D"/>
    <w:rsid w:val="27FD3E52"/>
    <w:rsid w:val="28630235"/>
    <w:rsid w:val="28E11370"/>
    <w:rsid w:val="294A756A"/>
    <w:rsid w:val="29D5322D"/>
    <w:rsid w:val="2A025DD9"/>
    <w:rsid w:val="2A7C2231"/>
    <w:rsid w:val="2ABB753D"/>
    <w:rsid w:val="2AF96C1B"/>
    <w:rsid w:val="2B7A49FA"/>
    <w:rsid w:val="2BF30C85"/>
    <w:rsid w:val="2C615D26"/>
    <w:rsid w:val="2CB679ED"/>
    <w:rsid w:val="2D173C07"/>
    <w:rsid w:val="2D424A86"/>
    <w:rsid w:val="2E7B52DB"/>
    <w:rsid w:val="2F324CFE"/>
    <w:rsid w:val="2FBA09F1"/>
    <w:rsid w:val="2FEF2ACF"/>
    <w:rsid w:val="30540211"/>
    <w:rsid w:val="312D7741"/>
    <w:rsid w:val="316F137F"/>
    <w:rsid w:val="31DF525F"/>
    <w:rsid w:val="322E4A36"/>
    <w:rsid w:val="32324C2E"/>
    <w:rsid w:val="327171DF"/>
    <w:rsid w:val="341E3434"/>
    <w:rsid w:val="360B7EBA"/>
    <w:rsid w:val="369C32FD"/>
    <w:rsid w:val="37666E72"/>
    <w:rsid w:val="38167A04"/>
    <w:rsid w:val="38E2589B"/>
    <w:rsid w:val="394B167A"/>
    <w:rsid w:val="3A4E4336"/>
    <w:rsid w:val="3A566297"/>
    <w:rsid w:val="3A6007FE"/>
    <w:rsid w:val="3B7C2CE4"/>
    <w:rsid w:val="3C0B5355"/>
    <w:rsid w:val="3CD4176B"/>
    <w:rsid w:val="3CD71A2F"/>
    <w:rsid w:val="3D1F44D9"/>
    <w:rsid w:val="3D5C38CD"/>
    <w:rsid w:val="3D910858"/>
    <w:rsid w:val="3E5070F1"/>
    <w:rsid w:val="3F6C3589"/>
    <w:rsid w:val="3F850180"/>
    <w:rsid w:val="3F9004D6"/>
    <w:rsid w:val="3FAF4F20"/>
    <w:rsid w:val="3FB11733"/>
    <w:rsid w:val="400E4D5E"/>
    <w:rsid w:val="40BD1CAF"/>
    <w:rsid w:val="40E1138C"/>
    <w:rsid w:val="413814BA"/>
    <w:rsid w:val="41743C50"/>
    <w:rsid w:val="41872511"/>
    <w:rsid w:val="42466655"/>
    <w:rsid w:val="42C82F57"/>
    <w:rsid w:val="43C76AF7"/>
    <w:rsid w:val="446828F0"/>
    <w:rsid w:val="45C13B4D"/>
    <w:rsid w:val="46054BCA"/>
    <w:rsid w:val="464C6AFC"/>
    <w:rsid w:val="468B0091"/>
    <w:rsid w:val="46A107C3"/>
    <w:rsid w:val="46A34C52"/>
    <w:rsid w:val="46B15CE2"/>
    <w:rsid w:val="46BE113D"/>
    <w:rsid w:val="46E44B13"/>
    <w:rsid w:val="47031A46"/>
    <w:rsid w:val="4703508A"/>
    <w:rsid w:val="47360B13"/>
    <w:rsid w:val="475023F8"/>
    <w:rsid w:val="479D361E"/>
    <w:rsid w:val="47B74789"/>
    <w:rsid w:val="480F2B9D"/>
    <w:rsid w:val="48282920"/>
    <w:rsid w:val="485321E0"/>
    <w:rsid w:val="48546AD3"/>
    <w:rsid w:val="48CA4868"/>
    <w:rsid w:val="48F005D3"/>
    <w:rsid w:val="498F4AF1"/>
    <w:rsid w:val="49C05787"/>
    <w:rsid w:val="49CF518D"/>
    <w:rsid w:val="4A1B21A8"/>
    <w:rsid w:val="4A3832D1"/>
    <w:rsid w:val="4ADA1F63"/>
    <w:rsid w:val="4AE23D89"/>
    <w:rsid w:val="4B2038D0"/>
    <w:rsid w:val="4B296E7D"/>
    <w:rsid w:val="4B877F28"/>
    <w:rsid w:val="4CF452C6"/>
    <w:rsid w:val="4D916BA6"/>
    <w:rsid w:val="4DB82EDE"/>
    <w:rsid w:val="4DC44169"/>
    <w:rsid w:val="4EF0709E"/>
    <w:rsid w:val="513C6A7B"/>
    <w:rsid w:val="51892055"/>
    <w:rsid w:val="51AB4E65"/>
    <w:rsid w:val="523868BF"/>
    <w:rsid w:val="5333545B"/>
    <w:rsid w:val="5450213C"/>
    <w:rsid w:val="54D24048"/>
    <w:rsid w:val="54D64CD5"/>
    <w:rsid w:val="55887D69"/>
    <w:rsid w:val="55AB26B3"/>
    <w:rsid w:val="561A0928"/>
    <w:rsid w:val="563E7BD1"/>
    <w:rsid w:val="56423872"/>
    <w:rsid w:val="56B279F0"/>
    <w:rsid w:val="579D710E"/>
    <w:rsid w:val="581F22F6"/>
    <w:rsid w:val="586E1E17"/>
    <w:rsid w:val="58862C35"/>
    <w:rsid w:val="58C14957"/>
    <w:rsid w:val="5AE83A50"/>
    <w:rsid w:val="5BAB2917"/>
    <w:rsid w:val="5BFC33FA"/>
    <w:rsid w:val="5C1F50B5"/>
    <w:rsid w:val="5C3107A4"/>
    <w:rsid w:val="5C3B1B93"/>
    <w:rsid w:val="5C9220DF"/>
    <w:rsid w:val="5D4A15F3"/>
    <w:rsid w:val="5D69542A"/>
    <w:rsid w:val="5E0930EF"/>
    <w:rsid w:val="5E3D4D53"/>
    <w:rsid w:val="5E4717E6"/>
    <w:rsid w:val="5E55774C"/>
    <w:rsid w:val="60104DDC"/>
    <w:rsid w:val="605C0804"/>
    <w:rsid w:val="60820600"/>
    <w:rsid w:val="6189617B"/>
    <w:rsid w:val="61B52BB6"/>
    <w:rsid w:val="61B749C2"/>
    <w:rsid w:val="62280D20"/>
    <w:rsid w:val="62CA2457"/>
    <w:rsid w:val="638240A1"/>
    <w:rsid w:val="63A5257B"/>
    <w:rsid w:val="63BD3DCC"/>
    <w:rsid w:val="63C61741"/>
    <w:rsid w:val="63CB2BA2"/>
    <w:rsid w:val="63E0479A"/>
    <w:rsid w:val="64560967"/>
    <w:rsid w:val="64632EE8"/>
    <w:rsid w:val="64884005"/>
    <w:rsid w:val="656B1D10"/>
    <w:rsid w:val="66022B28"/>
    <w:rsid w:val="66581E87"/>
    <w:rsid w:val="66FA11D5"/>
    <w:rsid w:val="674302C7"/>
    <w:rsid w:val="67574AC0"/>
    <w:rsid w:val="680A5986"/>
    <w:rsid w:val="680D5F4B"/>
    <w:rsid w:val="68113F51"/>
    <w:rsid w:val="68E94770"/>
    <w:rsid w:val="68F949C9"/>
    <w:rsid w:val="695A4290"/>
    <w:rsid w:val="69BA30FC"/>
    <w:rsid w:val="6A334932"/>
    <w:rsid w:val="6A3353FF"/>
    <w:rsid w:val="6A5D63E6"/>
    <w:rsid w:val="6A5F24D1"/>
    <w:rsid w:val="6AE347EB"/>
    <w:rsid w:val="6B434AF0"/>
    <w:rsid w:val="6B57675A"/>
    <w:rsid w:val="6BDD7B4D"/>
    <w:rsid w:val="6C5F4A0A"/>
    <w:rsid w:val="6D950029"/>
    <w:rsid w:val="6EBC0B3A"/>
    <w:rsid w:val="6EF51C7D"/>
    <w:rsid w:val="6F8363E5"/>
    <w:rsid w:val="6FC746F5"/>
    <w:rsid w:val="70317AC6"/>
    <w:rsid w:val="70863262"/>
    <w:rsid w:val="70A76ED3"/>
    <w:rsid w:val="717033E9"/>
    <w:rsid w:val="71860B17"/>
    <w:rsid w:val="723B27CC"/>
    <w:rsid w:val="72501ADA"/>
    <w:rsid w:val="72687227"/>
    <w:rsid w:val="72A03FD9"/>
    <w:rsid w:val="73303C93"/>
    <w:rsid w:val="73406CFF"/>
    <w:rsid w:val="7383028C"/>
    <w:rsid w:val="73A25E44"/>
    <w:rsid w:val="73E65EBD"/>
    <w:rsid w:val="741F68CF"/>
    <w:rsid w:val="75252DF3"/>
    <w:rsid w:val="75621536"/>
    <w:rsid w:val="75BF3154"/>
    <w:rsid w:val="762820DA"/>
    <w:rsid w:val="764A07CF"/>
    <w:rsid w:val="764F6B3D"/>
    <w:rsid w:val="76CD2B7B"/>
    <w:rsid w:val="76D80645"/>
    <w:rsid w:val="76E03371"/>
    <w:rsid w:val="770D1E88"/>
    <w:rsid w:val="77BF342E"/>
    <w:rsid w:val="77F9499B"/>
    <w:rsid w:val="780E5898"/>
    <w:rsid w:val="782642CC"/>
    <w:rsid w:val="7894095E"/>
    <w:rsid w:val="79000679"/>
    <w:rsid w:val="79A416F0"/>
    <w:rsid w:val="79B03EB6"/>
    <w:rsid w:val="7AF37579"/>
    <w:rsid w:val="7AF87F64"/>
    <w:rsid w:val="7B1C0C84"/>
    <w:rsid w:val="7B5A62DF"/>
    <w:rsid w:val="7B7A04A8"/>
    <w:rsid w:val="7C0C3F6D"/>
    <w:rsid w:val="7C22163C"/>
    <w:rsid w:val="7C595075"/>
    <w:rsid w:val="7C6B07B2"/>
    <w:rsid w:val="7D133243"/>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0"/>
    <w:unhideWhenUsed/>
    <w:qFormat/>
    <w:uiPriority w:val="99"/>
    <w:pPr>
      <w:spacing w:after="120"/>
    </w:pPr>
    <w:rPr>
      <w:sz w:val="16"/>
      <w:szCs w:val="16"/>
    </w:rPr>
  </w:style>
  <w:style w:type="paragraph" w:styleId="9">
    <w:name w:val="Body Text"/>
    <w:basedOn w:val="1"/>
    <w:next w:val="10"/>
    <w:link w:val="46"/>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link w:val="49"/>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link w:val="48"/>
    <w:unhideWhenUsed/>
    <w:qFormat/>
    <w:uiPriority w:val="0"/>
    <w:pPr>
      <w:spacing w:after="120" w:line="480" w:lineRule="auto"/>
      <w:ind w:left="420" w:leftChars="200"/>
    </w:pPr>
    <w:rPr>
      <w:szCs w:val="24"/>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2">
    <w:name w:val="Body Text First Indent"/>
    <w:basedOn w:val="9"/>
    <w:link w:val="47"/>
    <w:semiHidden/>
    <w:unhideWhenUsed/>
    <w:qFormat/>
    <w:uiPriority w:val="99"/>
    <w:pPr>
      <w:ind w:firstLine="420" w:firstLineChars="100"/>
    </w:p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6">
    <w:name w:val="Strong"/>
    <w:qFormat/>
    <w:uiPriority w:val="22"/>
    <w:rPr>
      <w:b/>
      <w:bCs/>
      <w:kern w:val="2"/>
      <w:sz w:val="24"/>
      <w:szCs w:val="24"/>
    </w:rPr>
  </w:style>
  <w:style w:type="character" w:styleId="27">
    <w:name w:val="Hyperlink"/>
    <w:basedOn w:val="25"/>
    <w:unhideWhenUsed/>
    <w:qFormat/>
    <w:uiPriority w:val="99"/>
    <w:rPr>
      <w:color w:val="0000FF" w:themeColor="hyperlink"/>
      <w:u w:val="single"/>
    </w:rPr>
  </w:style>
  <w:style w:type="character" w:customStyle="1" w:styleId="28">
    <w:name w:val="页眉 字符"/>
    <w:basedOn w:val="25"/>
    <w:link w:val="18"/>
    <w:qFormat/>
    <w:uiPriority w:val="99"/>
    <w:rPr>
      <w:sz w:val="18"/>
      <w:szCs w:val="18"/>
    </w:rPr>
  </w:style>
  <w:style w:type="character" w:customStyle="1" w:styleId="29">
    <w:name w:val="页脚 字符"/>
    <w:basedOn w:val="25"/>
    <w:link w:val="17"/>
    <w:qFormat/>
    <w:uiPriority w:val="99"/>
    <w:rPr>
      <w:sz w:val="18"/>
      <w:szCs w:val="18"/>
    </w:rPr>
  </w:style>
  <w:style w:type="character" w:customStyle="1" w:styleId="30">
    <w:name w:val="标题 1 字符"/>
    <w:basedOn w:val="25"/>
    <w:link w:val="4"/>
    <w:qFormat/>
    <w:uiPriority w:val="9"/>
    <w:rPr>
      <w:rFonts w:eastAsia="方正小标宋简体"/>
      <w:bCs/>
      <w:kern w:val="44"/>
      <w:sz w:val="44"/>
      <w:szCs w:val="44"/>
    </w:rPr>
  </w:style>
  <w:style w:type="character" w:customStyle="1" w:styleId="31">
    <w:name w:val="标题 2 字符"/>
    <w:basedOn w:val="25"/>
    <w:link w:val="5"/>
    <w:qFormat/>
    <w:uiPriority w:val="9"/>
    <w:rPr>
      <w:rFonts w:eastAsia="方正小标宋简体" w:asciiTheme="majorHAnsi" w:hAnsiTheme="majorHAnsi" w:cstheme="majorBidi"/>
      <w:bCs/>
      <w:sz w:val="36"/>
      <w:szCs w:val="32"/>
    </w:rPr>
  </w:style>
  <w:style w:type="character" w:customStyle="1" w:styleId="32">
    <w:name w:val="标题 3 字符"/>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99"/>
    <w:pPr>
      <w:ind w:firstLine="420" w:firstLineChars="200"/>
    </w:pPr>
  </w:style>
  <w:style w:type="paragraph" w:customStyle="1" w:styleId="34">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字符"/>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qFormat/>
    <w:uiPriority w:val="99"/>
    <w:rPr>
      <w:sz w:val="16"/>
      <w:szCs w:val="16"/>
    </w:rPr>
  </w:style>
  <w:style w:type="character" w:customStyle="1" w:styleId="40">
    <w:name w:val="正文文本 3 字符"/>
    <w:basedOn w:val="25"/>
    <w:link w:val="8"/>
    <w:semiHidden/>
    <w:qFormat/>
    <w:uiPriority w:val="99"/>
    <w:rPr>
      <w:sz w:val="16"/>
      <w:szCs w:val="16"/>
    </w:rPr>
  </w:style>
  <w:style w:type="character" w:customStyle="1" w:styleId="41">
    <w:name w:val="列表段落 字符"/>
    <w:link w:val="33"/>
    <w:qFormat/>
    <w:uiPriority w:val="34"/>
  </w:style>
  <w:style w:type="paragraph" w:customStyle="1" w:styleId="42">
    <w:name w:val="1"/>
    <w:basedOn w:val="1"/>
    <w:next w:val="12"/>
    <w:qFormat/>
    <w:uiPriority w:val="99"/>
    <w:rPr>
      <w:rFonts w:ascii="宋体" w:hAnsi="Courier New"/>
    </w:rPr>
  </w:style>
  <w:style w:type="paragraph" w:customStyle="1" w:styleId="43">
    <w:name w:val="WPSOffice手动目录 1"/>
    <w:qFormat/>
    <w:uiPriority w:val="0"/>
    <w:rPr>
      <w:rFonts w:asciiTheme="minorHAnsi" w:hAnsiTheme="minorHAnsi" w:eastAsiaTheme="minorEastAsia" w:cstheme="minorBidi"/>
      <w:lang w:val="en-US" w:eastAsia="zh-CN" w:bidi="ar-SA"/>
    </w:rPr>
  </w:style>
  <w:style w:type="paragraph" w:customStyle="1" w:styleId="4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5">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6">
    <w:name w:val="正文文本 字符"/>
    <w:basedOn w:val="25"/>
    <w:link w:val="9"/>
    <w:qFormat/>
    <w:uiPriority w:val="99"/>
    <w:rPr>
      <w:kern w:val="2"/>
      <w:sz w:val="21"/>
      <w:szCs w:val="22"/>
    </w:rPr>
  </w:style>
  <w:style w:type="character" w:customStyle="1" w:styleId="47">
    <w:name w:val="正文文本首行缩进 字符"/>
    <w:basedOn w:val="46"/>
    <w:link w:val="22"/>
    <w:semiHidden/>
    <w:qFormat/>
    <w:uiPriority w:val="99"/>
    <w:rPr>
      <w:kern w:val="2"/>
      <w:sz w:val="21"/>
      <w:szCs w:val="22"/>
    </w:rPr>
  </w:style>
  <w:style w:type="character" w:customStyle="1" w:styleId="48">
    <w:name w:val="正文文本缩进 2 字符"/>
    <w:link w:val="15"/>
    <w:qFormat/>
    <w:uiPriority w:val="0"/>
    <w:rPr>
      <w:kern w:val="2"/>
      <w:sz w:val="21"/>
      <w:szCs w:val="24"/>
    </w:rPr>
  </w:style>
  <w:style w:type="character" w:customStyle="1" w:styleId="49">
    <w:name w:val="纯文本 字符"/>
    <w:link w:val="12"/>
    <w:qFormat/>
    <w:uiPriority w:val="0"/>
    <w:rPr>
      <w:rFonts w:ascii="宋体" w:hAnsi="Courier New"/>
      <w:kern w:val="2"/>
      <w:sz w:val="21"/>
      <w:szCs w:val="21"/>
    </w:rPr>
  </w:style>
  <w:style w:type="character" w:customStyle="1" w:styleId="50">
    <w:name w:val="正文文本缩进 2 字符1"/>
    <w:basedOn w:val="25"/>
    <w:semiHidden/>
    <w:qFormat/>
    <w:uiPriority w:val="99"/>
    <w:rPr>
      <w:kern w:val="2"/>
      <w:sz w:val="21"/>
      <w:szCs w:val="22"/>
    </w:rPr>
  </w:style>
  <w:style w:type="paragraph" w:customStyle="1" w:styleId="51">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5"/>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3190</Words>
  <Characters>18188</Characters>
  <Lines>151</Lines>
  <Paragraphs>42</Paragraphs>
  <TotalTime>3</TotalTime>
  <ScaleCrop>false</ScaleCrop>
  <LinksUpToDate>false</LinksUpToDate>
  <CharactersWithSpaces>21336</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2022-05-27T00:50:00Z</dcterms:created>
  <dc:creator>陈义春</dc:creator>
  <cp:lastModifiedBy>林煜韩</cp:lastModifiedBy>
  <dcterms:modified xsi:type="dcterms:W3CDTF">2022-06-08T08:44:24Z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