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w:t>
      </w:r>
      <w:r>
        <w:rPr>
          <w:rFonts w:hint="eastAsia" w:ascii="宋体" w:hAnsi="宋体" w:eastAsia="宋体" w:cs="宋体"/>
          <w:b/>
          <w:bCs/>
          <w:color w:val="auto"/>
          <w:sz w:val="52"/>
          <w:szCs w:val="52"/>
          <w:highlight w:val="none"/>
          <w:lang w:val="en-US" w:eastAsia="zh-CN"/>
        </w:rPr>
        <w:t>2010年-2021年文书档案整理</w:t>
      </w:r>
      <w:r>
        <w:rPr>
          <w:rFonts w:hint="eastAsia" w:ascii="宋体" w:hAnsi="宋体" w:eastAsia="宋体" w:cs="宋体"/>
          <w:b/>
          <w:bCs/>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60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9609"/>
      <w:bookmarkStart w:id="6" w:name="_Toc4275"/>
      <w:bookmarkStart w:id="7" w:name="_Toc11322"/>
      <w:bookmarkStart w:id="8" w:name="_Toc1669"/>
      <w:bookmarkStart w:id="9" w:name="_Toc751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color w:val="auto"/>
          <w:highlight w:val="none"/>
        </w:rPr>
      </w:pPr>
      <w:bookmarkStart w:id="11" w:name="_Toc2659"/>
      <w:bookmarkStart w:id="12" w:name="_Toc30131"/>
      <w:bookmarkStart w:id="13" w:name="_Toc15709"/>
      <w:bookmarkStart w:id="14" w:name="_Toc999"/>
      <w:bookmarkStart w:id="15" w:name="_Toc26363"/>
      <w:bookmarkStart w:id="16" w:name="_Toc30989"/>
      <w:bookmarkStart w:id="17" w:name="_Toc5230"/>
      <w:bookmarkStart w:id="18" w:name="_Toc14238"/>
      <w:bookmarkStart w:id="19" w:name="_Toc10122"/>
      <w:bookmarkStart w:id="20" w:name="_Toc88209924"/>
      <w:bookmarkStart w:id="21" w:name="_Toc8201"/>
      <w:bookmarkStart w:id="22" w:name="_Toc28995"/>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tabs>
          <w:tab w:val="left" w:pos="1397"/>
        </w:tabs>
        <w:ind w:firstLine="0"/>
        <w:rPr>
          <w:rFonts w:hint="eastAsia" w:ascii="方正小标宋简体" w:eastAsia="方正小标宋简体"/>
          <w:color w:val="auto"/>
          <w:sz w:val="44"/>
          <w:szCs w:val="44"/>
          <w:highlight w:val="none"/>
          <w:lang w:eastAsia="zh-CN"/>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ascii="宋体" w:hAnsi="宋体" w:eastAsia="宋体" w:cs="宋体"/>
          <w:b/>
          <w:bCs w:val="0"/>
          <w:color w:val="auto"/>
          <w:sz w:val="36"/>
          <w:szCs w:val="32"/>
          <w:highlight w:val="none"/>
          <w:u w:val="single"/>
          <w:lang w:val="en-US" w:eastAsia="zh-CN"/>
        </w:rPr>
      </w:pPr>
      <w:bookmarkStart w:id="23" w:name="_Toc21373"/>
      <w:bookmarkStart w:id="24" w:name="_Toc9680"/>
      <w:r>
        <w:rPr>
          <w:rFonts w:hint="eastAsia" w:ascii="宋体" w:hAnsi="宋体" w:eastAsia="宋体" w:cs="宋体"/>
          <w:b/>
          <w:bCs w:val="0"/>
          <w:color w:val="auto"/>
          <w:sz w:val="36"/>
          <w:szCs w:val="32"/>
          <w:highlight w:val="none"/>
          <w:u w:val="single"/>
        </w:rPr>
        <w:t>广州市净水有限公司</w:t>
      </w:r>
      <w:r>
        <w:rPr>
          <w:rFonts w:hint="eastAsia" w:ascii="宋体" w:hAnsi="宋体" w:eastAsia="宋体" w:cs="宋体"/>
          <w:b/>
          <w:bCs w:val="0"/>
          <w:color w:val="auto"/>
          <w:sz w:val="36"/>
          <w:szCs w:val="32"/>
          <w:highlight w:val="none"/>
          <w:u w:val="single"/>
          <w:lang w:val="en-US" w:eastAsia="zh-CN"/>
        </w:rPr>
        <w:t>2010年-2021年文书档案</w:t>
      </w:r>
    </w:p>
    <w:p>
      <w:pPr>
        <w:pStyle w:val="5"/>
        <w:spacing w:line="600" w:lineRule="exact"/>
        <w:rPr>
          <w:color w:val="auto"/>
          <w:highlight w:val="none"/>
        </w:rPr>
      </w:pPr>
      <w:r>
        <w:rPr>
          <w:rFonts w:hint="eastAsia" w:ascii="宋体" w:hAnsi="宋体" w:eastAsia="宋体" w:cs="宋体"/>
          <w:b/>
          <w:bCs w:val="0"/>
          <w:color w:val="auto"/>
          <w:sz w:val="36"/>
          <w:szCs w:val="32"/>
          <w:highlight w:val="none"/>
          <w:u w:val="single"/>
          <w:lang w:val="en-US" w:eastAsia="zh-CN"/>
        </w:rPr>
        <w:t>整理</w:t>
      </w:r>
      <w:r>
        <w:rPr>
          <w:rFonts w:hint="eastAsia" w:ascii="宋体" w:hAnsi="宋体" w:eastAsia="宋体" w:cs="宋体"/>
          <w:b/>
          <w:bCs w:val="0"/>
          <w:color w:val="auto"/>
          <w:sz w:val="36"/>
          <w:szCs w:val="32"/>
          <w:highlight w:val="none"/>
          <w:u w:val="single"/>
        </w:rPr>
        <w:t>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b/>
          <w:bCs/>
          <w:color w:val="auto"/>
          <w:sz w:val="32"/>
          <w:szCs w:val="32"/>
          <w:highlight w:val="none"/>
          <w:u w:val="single"/>
        </w:rPr>
        <w:t>广州市净水有限公司</w:t>
      </w:r>
      <w:r>
        <w:rPr>
          <w:rFonts w:hint="eastAsia" w:ascii="仿宋" w:hAnsi="仿宋" w:eastAsia="仿宋" w:cs="仿宋"/>
          <w:b/>
          <w:bCs/>
          <w:color w:val="auto"/>
          <w:sz w:val="32"/>
          <w:szCs w:val="32"/>
          <w:highlight w:val="none"/>
          <w:u w:val="single"/>
          <w:lang w:val="en-US" w:eastAsia="zh-CN"/>
        </w:rPr>
        <w:t>2010年-2021年文书档案整理</w:t>
      </w:r>
      <w:r>
        <w:rPr>
          <w:rFonts w:hint="eastAsia" w:ascii="仿宋" w:hAnsi="仿宋" w:eastAsia="仿宋" w:cs="仿宋"/>
          <w:b/>
          <w:bCs/>
          <w:color w:val="auto"/>
          <w:sz w:val="32"/>
          <w:szCs w:val="32"/>
          <w:highlight w:val="none"/>
          <w:u w:val="single"/>
        </w:rPr>
        <w:t>项目</w:t>
      </w:r>
      <w:r>
        <w:rPr>
          <w:rFonts w:hint="eastAsia" w:ascii="仿宋" w:hAnsi="仿宋" w:eastAsia="仿宋" w:cs="仿宋"/>
          <w:color w:val="auto"/>
          <w:sz w:val="28"/>
          <w:szCs w:val="28"/>
          <w:highlight w:val="none"/>
        </w:rPr>
        <w:t xml:space="preserve">已具备采购条件，现对该□施工  □货物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服务项目实施公开采购活动，采用</w:t>
      </w:r>
      <w:r>
        <w:rPr>
          <w:rFonts w:hint="eastAsia" w:ascii="仿宋" w:hAnsi="仿宋" w:eastAsia="仿宋" w:cs="仿宋"/>
          <w:color w:val="auto"/>
          <w:sz w:val="28"/>
          <w:szCs w:val="28"/>
          <w:highlight w:val="none"/>
          <w:u w:val="single"/>
        </w:rPr>
        <w:t>询比采购</w:t>
      </w:r>
      <w:r>
        <w:rPr>
          <w:rFonts w:hint="eastAsia" w:ascii="仿宋" w:hAnsi="仿宋" w:eastAsia="仿宋" w:cs="仿宋"/>
          <w:color w:val="auto"/>
          <w:sz w:val="28"/>
          <w:szCs w:val="28"/>
          <w:highlight w:val="none"/>
        </w:rPr>
        <w:t>方式公开邀请合格供应商参加本项目采购竞争。</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b/>
          <w:bCs/>
          <w:color w:val="auto"/>
          <w:sz w:val="32"/>
          <w:szCs w:val="32"/>
          <w:highlight w:val="none"/>
          <w:u w:val="single"/>
        </w:rPr>
        <w:t>广州市净水有限公司</w:t>
      </w:r>
      <w:r>
        <w:rPr>
          <w:rFonts w:hint="eastAsia" w:ascii="仿宋" w:hAnsi="仿宋" w:eastAsia="仿宋" w:cs="仿宋"/>
          <w:b/>
          <w:bCs/>
          <w:color w:val="auto"/>
          <w:sz w:val="32"/>
          <w:szCs w:val="32"/>
          <w:highlight w:val="none"/>
          <w:u w:val="single"/>
          <w:lang w:val="en-US" w:eastAsia="zh-CN"/>
        </w:rPr>
        <w:t>2010年-2021年文书档案整理</w:t>
      </w:r>
      <w:r>
        <w:rPr>
          <w:rFonts w:hint="eastAsia" w:ascii="仿宋" w:hAnsi="仿宋" w:eastAsia="仿宋" w:cs="仿宋"/>
          <w:b/>
          <w:bCs/>
          <w:color w:val="auto"/>
          <w:sz w:val="32"/>
          <w:szCs w:val="32"/>
          <w:highlight w:val="none"/>
          <w:u w:val="single"/>
        </w:rPr>
        <w:t>项目</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XJ-20220606-1</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582000.00元</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b w:val="0"/>
          <w:bCs w:val="0"/>
          <w:color w:val="auto"/>
          <w:sz w:val="28"/>
          <w:szCs w:val="28"/>
          <w:highlight w:val="none"/>
          <w:u w:val="single"/>
          <w:lang w:val="en-US" w:eastAsia="zh-CN"/>
        </w:rPr>
        <w:t>对2010年-2021年文件材料</w:t>
      </w:r>
      <w:r>
        <w:rPr>
          <w:rFonts w:hint="eastAsia" w:ascii="仿宋" w:hAnsi="仿宋" w:eastAsia="仿宋" w:cs="仿宋"/>
          <w:color w:val="auto"/>
          <w:sz w:val="28"/>
          <w:szCs w:val="28"/>
          <w:highlight w:val="none"/>
          <w:u w:val="single"/>
          <w:lang w:val="en-US" w:eastAsia="zh-CN"/>
        </w:rPr>
        <w:t>进行整理归档，</w:t>
      </w:r>
      <w:r>
        <w:rPr>
          <w:rFonts w:hint="eastAsia" w:ascii="仿宋" w:hAnsi="仿宋" w:eastAsia="仿宋" w:cs="仿宋"/>
          <w:b w:val="0"/>
          <w:bCs w:val="0"/>
          <w:color w:val="auto"/>
          <w:sz w:val="28"/>
          <w:szCs w:val="28"/>
          <w:highlight w:val="none"/>
          <w:u w:val="single"/>
          <w:lang w:val="en-US" w:eastAsia="zh-CN"/>
        </w:rPr>
        <w:t>包括</w:t>
      </w:r>
      <w:r>
        <w:rPr>
          <w:rFonts w:hint="eastAsia" w:ascii="仿宋" w:hAnsi="仿宋" w:eastAsia="仿宋" w:cs="仿宋"/>
          <w:color w:val="auto"/>
          <w:sz w:val="28"/>
          <w:szCs w:val="28"/>
          <w:highlight w:val="none"/>
          <w:u w:val="single"/>
          <w:lang w:val="en-US" w:eastAsia="zh-CN"/>
        </w:rPr>
        <w:t>装订、分类、排列、编号、编目、装盒等归档流程以便形成正规的文书档案，文件整理需符合DA/T22-2015《归档文件整理规则》要求。另外，对部分纸质档案</w:t>
      </w:r>
      <w:r>
        <w:rPr>
          <w:rFonts w:hint="eastAsia" w:ascii="仿宋" w:hAnsi="仿宋" w:eastAsia="仿宋" w:cs="仿宋"/>
          <w:color w:val="auto"/>
          <w:kern w:val="2"/>
          <w:sz w:val="28"/>
          <w:szCs w:val="28"/>
          <w:highlight w:val="none"/>
          <w:u w:val="single"/>
        </w:rPr>
        <w:t>进行数字化处理，形成电子档案，上传档案系统管理</w:t>
      </w:r>
      <w:r>
        <w:rPr>
          <w:rFonts w:hint="eastAsia" w:ascii="仿宋" w:hAnsi="仿宋" w:eastAsia="仿宋" w:cs="仿宋"/>
          <w:color w:val="auto"/>
          <w:sz w:val="28"/>
          <w:szCs w:val="28"/>
          <w:highlight w:val="none"/>
          <w:u w:val="single"/>
          <w:lang w:val="en-US" w:eastAsia="zh-CN"/>
        </w:rPr>
        <w:t>。需整理文件数量约6.5万件（包含收文和发文）。</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lang w:val="en-US" w:eastAsia="zh-CN"/>
        </w:rPr>
        <w:t>合同签订后1年</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rPr>
        <w:t>广州市净水有限公司</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404" w:rightChars="-176" w:hanging="45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lang w:val="en-US" w:eastAsia="zh-CN"/>
        </w:rPr>
        <w:t>完成本询价项目内要求，文书档案采取年度一问题一保管期限进行分类,并严格按照广州市执行《归档文件整理规则》( DA/T22-2015)的实施细则执行。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404" w:rightChars="-176" w:hanging="450" w:hangingChars="150"/>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none"/>
          <w:lang w:eastAsia="zh-CN"/>
        </w:rPr>
        <w:t>档案中介服务机构备案</w:t>
      </w:r>
      <w:r>
        <w:rPr>
          <w:rFonts w:hint="eastAsia" w:ascii="仿宋" w:hAnsi="仿宋" w:eastAsia="仿宋" w:cs="仿宋"/>
          <w:color w:val="auto"/>
          <w:sz w:val="28"/>
          <w:szCs w:val="28"/>
          <w:highlight w:val="none"/>
          <w:u w:val="none"/>
          <w:lang w:val="en-US" w:eastAsia="zh-CN"/>
        </w:rPr>
        <w:t>登记许可</w:t>
      </w:r>
      <w:r>
        <w:rPr>
          <w:rFonts w:hint="eastAsia" w:ascii="仿宋" w:hAnsi="仿宋" w:eastAsia="仿宋" w:cs="仿宋"/>
          <w:color w:val="auto"/>
          <w:sz w:val="28"/>
          <w:szCs w:val="28"/>
          <w:highlight w:val="none"/>
        </w:rPr>
        <w:t>资质。</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2019年1月1日至今，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w:t>
      </w:r>
      <w:r>
        <w:rPr>
          <w:rFonts w:hint="eastAsia" w:ascii="仿宋" w:hAnsi="仿宋" w:eastAsia="仿宋" w:cs="仿宋"/>
          <w:color w:val="auto"/>
          <w:sz w:val="28"/>
          <w:szCs w:val="28"/>
          <w:highlight w:val="none"/>
          <w:u w:val="none"/>
          <w:lang w:val="en-US" w:eastAsia="zh-CN"/>
        </w:rPr>
        <w:t>合同金额不低于35万元档案整理</w:t>
      </w:r>
      <w:r>
        <w:rPr>
          <w:rFonts w:hint="eastAsia" w:ascii="仿宋" w:hAnsi="仿宋" w:eastAsia="仿宋" w:cs="仿宋"/>
          <w:color w:val="auto"/>
          <w:sz w:val="28"/>
          <w:szCs w:val="28"/>
          <w:highlight w:val="none"/>
        </w:rPr>
        <w:t>项目的业绩（提供合同复印件证明，包括但不限于项目名称、金额及实施内容、合同签字盖章、签订日期，加盖单位公章）</w:t>
      </w:r>
      <w:r>
        <w:rPr>
          <w:rFonts w:hint="eastAsia" w:ascii="仿宋" w:hAnsi="仿宋" w:eastAsia="仿宋" w:cs="仿宋"/>
          <w:color w:val="auto"/>
          <w:sz w:val="28"/>
          <w:szCs w:val="28"/>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r>
        <w:rPr>
          <w:rFonts w:hint="eastAsia" w:ascii="仿宋" w:hAnsi="仿宋" w:eastAsia="仿宋" w:cs="仿宋"/>
          <w:color w:val="auto"/>
          <w:sz w:val="28"/>
          <w:szCs w:val="28"/>
          <w:highlight w:val="none"/>
          <w:u w:val="none"/>
          <w:lang w:val="en-US" w:eastAsia="zh-CN"/>
        </w:rPr>
        <w:t>报价</w:t>
      </w:r>
      <w:r>
        <w:rPr>
          <w:rFonts w:hint="eastAsia" w:ascii="仿宋" w:hAnsi="仿宋" w:eastAsia="仿宋" w:cs="仿宋"/>
          <w:color w:val="auto"/>
          <w:sz w:val="28"/>
          <w:szCs w:val="28"/>
          <w:highlight w:val="none"/>
          <w:u w:val="none"/>
          <w:lang w:val="en-US" w:eastAsia="zh-CN" w:bidi="ar-SA"/>
        </w:rPr>
        <w:t>单位</w:t>
      </w:r>
      <w:r>
        <w:rPr>
          <w:rFonts w:hint="eastAsia" w:ascii="仿宋" w:hAnsi="仿宋" w:eastAsia="仿宋" w:cs="仿宋"/>
          <w:color w:val="auto"/>
          <w:sz w:val="28"/>
          <w:szCs w:val="28"/>
          <w:highlight w:val="none"/>
          <w:u w:val="none"/>
        </w:rPr>
        <w:t>须</w:t>
      </w:r>
      <w:r>
        <w:rPr>
          <w:rFonts w:hint="eastAsia" w:ascii="仿宋" w:hAnsi="仿宋" w:eastAsia="仿宋" w:cs="仿宋"/>
          <w:color w:val="auto"/>
          <w:sz w:val="28"/>
          <w:szCs w:val="28"/>
          <w:highlight w:val="none"/>
          <w:u w:val="none"/>
          <w:lang w:val="en-US" w:eastAsia="zh-CN" w:bidi="ar-SA"/>
        </w:rPr>
        <w:t>具备</w:t>
      </w:r>
      <w:r>
        <w:rPr>
          <w:rFonts w:hint="eastAsia" w:ascii="仿宋" w:hAnsi="仿宋" w:eastAsia="仿宋" w:cs="仿宋"/>
          <w:color w:val="auto"/>
          <w:sz w:val="28"/>
          <w:szCs w:val="28"/>
          <w:highlight w:val="none"/>
          <w:u w:val="none"/>
        </w:rPr>
        <w:t>本项目指派</w:t>
      </w:r>
      <w:r>
        <w:rPr>
          <w:rFonts w:hint="eastAsia" w:ascii="仿宋" w:hAnsi="仿宋" w:eastAsia="仿宋" w:cs="仿宋"/>
          <w:color w:val="auto"/>
          <w:sz w:val="28"/>
          <w:szCs w:val="28"/>
          <w:highlight w:val="none"/>
          <w:u w:val="none"/>
          <w:lang w:val="en-US" w:eastAsia="zh-CN"/>
        </w:rPr>
        <w:t>至少6人</w:t>
      </w:r>
      <w:r>
        <w:rPr>
          <w:rFonts w:hint="eastAsia" w:ascii="仿宋" w:hAnsi="仿宋" w:eastAsia="仿宋" w:cs="仿宋"/>
          <w:color w:val="auto"/>
          <w:sz w:val="28"/>
          <w:szCs w:val="28"/>
          <w:highlight w:val="none"/>
          <w:u w:val="none"/>
          <w:lang w:val="en-US" w:eastAsia="zh-CN" w:bidi="ar-SA"/>
        </w:rPr>
        <w:t>专业</w:t>
      </w:r>
      <w:r>
        <w:rPr>
          <w:rFonts w:hint="eastAsia" w:ascii="仿宋" w:hAnsi="仿宋" w:eastAsia="仿宋" w:cs="仿宋"/>
          <w:color w:val="auto"/>
          <w:sz w:val="28"/>
          <w:szCs w:val="28"/>
          <w:highlight w:val="none"/>
          <w:u w:val="none"/>
        </w:rPr>
        <w:t>服务团队，</w:t>
      </w:r>
      <w:r>
        <w:rPr>
          <w:rFonts w:hint="eastAsia" w:ascii="仿宋" w:hAnsi="仿宋" w:eastAsia="仿宋" w:cs="仿宋"/>
          <w:color w:val="auto"/>
          <w:sz w:val="28"/>
          <w:szCs w:val="28"/>
          <w:highlight w:val="none"/>
          <w:u w:val="none"/>
          <w:lang w:val="en-US" w:eastAsia="zh-CN" w:bidi="ar-SA"/>
        </w:rPr>
        <w:t>专业</w:t>
      </w:r>
      <w:r>
        <w:rPr>
          <w:rFonts w:hint="eastAsia" w:ascii="仿宋" w:hAnsi="仿宋" w:eastAsia="仿宋" w:cs="仿宋"/>
          <w:color w:val="auto"/>
          <w:sz w:val="28"/>
          <w:szCs w:val="28"/>
          <w:highlight w:val="none"/>
          <w:u w:val="none"/>
        </w:rPr>
        <w:t>服务团队</w:t>
      </w:r>
      <w:r>
        <w:rPr>
          <w:rFonts w:hint="eastAsia" w:ascii="仿宋" w:hAnsi="仿宋" w:eastAsia="仿宋" w:cs="仿宋"/>
          <w:color w:val="auto"/>
          <w:sz w:val="28"/>
          <w:szCs w:val="28"/>
          <w:highlight w:val="none"/>
          <w:u w:val="none"/>
          <w:lang w:val="en-US" w:eastAsia="zh-CN"/>
        </w:rPr>
        <w:t>人员均须持有档案行政管理部门正式颁发的岗位资格证书（须提供团队人员在本单位近三个月社保记录，以加盖社会保险基金管理中心印章的《缴费历史明细表》或《社会保险参保人员证明》为准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5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5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60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single"/>
          <w:lang w:val="en-US" w:eastAsia="zh-CN"/>
        </w:rPr>
        <w:t>广州市净水有限公司6楼招标部</w:t>
      </w:r>
      <w:r>
        <w:rPr>
          <w:rFonts w:hint="eastAsia" w:ascii="仿宋" w:hAnsi="仿宋" w:eastAsia="仿宋" w:cs="仿宋"/>
          <w:color w:val="auto"/>
          <w:sz w:val="28"/>
          <w:szCs w:val="28"/>
          <w:highlight w:val="none"/>
        </w:rPr>
        <w:t>。</w:t>
      </w:r>
    </w:p>
    <w:p>
      <w:pPr>
        <w:pStyle w:val="2"/>
        <w:ind w:firstLine="60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62"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38890841/</w:t>
      </w:r>
      <w:r>
        <w:rPr>
          <w:rFonts w:hint="eastAsia" w:ascii="仿宋" w:hAnsi="仿宋" w:eastAsia="仿宋" w:cs="仿宋"/>
          <w:color w:val="auto"/>
          <w:sz w:val="28"/>
          <w:szCs w:val="28"/>
          <w:highlight w:val="none"/>
          <w:u w:val="non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60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8"/>
        <w:gridCol w:w="3192"/>
        <w:gridCol w:w="42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60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2"/>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4"/>
        <w:rPr>
          <w:rFonts w:hint="eastAsia"/>
          <w:color w:val="auto"/>
          <w:highlight w:val="none"/>
        </w:rPr>
      </w:pPr>
      <w:bookmarkStart w:id="25" w:name="_Toc10891"/>
    </w:p>
    <w:p>
      <w:pPr>
        <w:pStyle w:val="4"/>
        <w:rPr>
          <w:color w:val="auto"/>
          <w:highlight w:val="none"/>
        </w:rPr>
      </w:pPr>
      <w:bookmarkStart w:id="26" w:name="_Toc19295"/>
      <w:bookmarkStart w:id="27" w:name="_Toc7340"/>
      <w:bookmarkStart w:id="28" w:name="_Toc16705"/>
      <w:bookmarkStart w:id="29" w:name="_Toc9448"/>
      <w:bookmarkStart w:id="30" w:name="_Toc2331"/>
      <w:bookmarkStart w:id="31" w:name="_Toc2324"/>
      <w:bookmarkStart w:id="32" w:name="_Toc23749"/>
      <w:bookmarkStart w:id="33" w:name="_Toc25603"/>
      <w:bookmarkStart w:id="34" w:name="_Toc16557"/>
      <w:bookmarkStart w:id="35" w:name="_Toc3258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8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8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8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8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80"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numPr>
          <w:ilvl w:val="0"/>
          <w:numId w:val="3"/>
        </w:numPr>
        <w:adjustRightInd w:val="0"/>
        <w:snapToGrid w:val="0"/>
        <w:spacing w:beforeLines="50" w:afterLines="50" w:line="500" w:lineRule="exact"/>
        <w:ind w:left="643" w:hanging="68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52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52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52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5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560" w:lineRule="exact"/>
        <w:ind w:firstLine="743" w:firstLineChars="248"/>
        <w:jc w:val="left"/>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10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510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840"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10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85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79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0" w:firstLineChars="0"/>
        <w:jc w:val="righ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0" w:firstLineChars="0"/>
        <w:jc w:val="righ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4"/>
        <w:rPr>
          <w:color w:val="auto"/>
          <w:highlight w:val="none"/>
        </w:rPr>
      </w:pPr>
    </w:p>
    <w:p>
      <w:pPr>
        <w:pStyle w:val="5"/>
        <w:rPr>
          <w:color w:val="auto"/>
          <w:highlight w:val="none"/>
        </w:rPr>
      </w:pPr>
      <w:bookmarkStart w:id="40" w:name="_Toc7303"/>
      <w:bookmarkStart w:id="41" w:name="_Toc88209934"/>
      <w:bookmarkStart w:id="42" w:name="_Toc87616371"/>
      <w:bookmarkStart w:id="43" w:name="_Toc7040"/>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bookmarkStart w:id="44" w:name="_Toc24895"/>
      <w:bookmarkStart w:id="45" w:name="_Toc3789"/>
    </w:p>
    <w:p>
      <w:pPr>
        <w:pStyle w:val="5"/>
        <w:rPr>
          <w:color w:val="auto"/>
          <w:highlight w:val="none"/>
        </w:rPr>
      </w:pPr>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52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52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96"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96"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99"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52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9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9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600" w:firstLineChars="200"/>
        <w:jc w:val="left"/>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adjustRightInd w:val="0"/>
        <w:snapToGrid w:val="0"/>
        <w:spacing w:line="600" w:lineRule="exact"/>
        <w:ind w:firstLine="600" w:firstLineChars="200"/>
        <w:jc w:val="left"/>
        <w:rPr>
          <w:rFonts w:ascii="仿宋_GB2312" w:eastAsia="仿宋_GB2312"/>
          <w:color w:val="auto"/>
          <w:sz w:val="28"/>
          <w:szCs w:val="28"/>
          <w:highlight w:val="none"/>
        </w:rPr>
      </w:pPr>
    </w:p>
    <w:p>
      <w:pPr>
        <w:pStyle w:val="4"/>
        <w:rPr>
          <w:color w:val="auto"/>
          <w:highlight w:val="none"/>
        </w:rPr>
      </w:pPr>
      <w:bookmarkStart w:id="46" w:name="_Toc3156"/>
      <w:bookmarkStart w:id="47" w:name="_Toc19050"/>
      <w:bookmarkStart w:id="48" w:name="_Toc20594"/>
      <w:bookmarkStart w:id="49" w:name="_Toc14552"/>
      <w:bookmarkStart w:id="50" w:name="_Toc23581"/>
      <w:bookmarkStart w:id="51" w:name="_Toc10930"/>
      <w:bookmarkStart w:id="52" w:name="_Toc4952"/>
      <w:bookmarkStart w:id="53" w:name="_Toc7437"/>
      <w:bookmarkStart w:id="54" w:name="_Toc19759"/>
      <w:bookmarkStart w:id="55" w:name="_Toc14870"/>
      <w:bookmarkStart w:id="56"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4"/>
        <w:rPr>
          <w:color w:val="auto"/>
          <w:highlight w:val="none"/>
        </w:rPr>
      </w:pPr>
    </w:p>
    <w:p>
      <w:pPr>
        <w:pStyle w:val="4"/>
        <w:rPr>
          <w:color w:val="auto"/>
          <w:highlight w:val="none"/>
        </w:rPr>
      </w:pPr>
      <w:bookmarkStart w:id="57" w:name="_Toc88209941"/>
      <w:bookmarkStart w:id="58" w:name="_Toc12177"/>
      <w:bookmarkStart w:id="59" w:name="_Toc22212"/>
      <w:bookmarkStart w:id="60" w:name="_Toc29484"/>
      <w:bookmarkStart w:id="61" w:name="_Toc30530"/>
      <w:bookmarkStart w:id="62" w:name="_Toc87616378"/>
      <w:bookmarkStart w:id="63" w:name="_Toc29345"/>
      <w:bookmarkStart w:id="64" w:name="_Toc7831"/>
      <w:bookmarkStart w:id="65" w:name="_Toc21079"/>
      <w:bookmarkStart w:id="66" w:name="_Toc13898"/>
      <w:bookmarkStart w:id="67" w:name="_Toc21840"/>
      <w:bookmarkStart w:id="68" w:name="_Toc32607"/>
      <w:bookmarkStart w:id="69" w:name="_Toc630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5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5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5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5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018"/>
        <w:gridCol w:w="521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color w:val="auto"/>
          <w:szCs w:val="44"/>
          <w:highlight w:val="none"/>
        </w:rPr>
      </w:pPr>
      <w:r>
        <w:rPr>
          <w:rFonts w:hint="eastAsia"/>
          <w:color w:val="auto"/>
          <w:szCs w:val="44"/>
          <w:highlight w:val="none"/>
        </w:rPr>
        <w:t>采购需求编制说明</w:t>
      </w:r>
      <w:bookmarkEnd w:id="72"/>
    </w:p>
    <w:p>
      <w:pPr>
        <w:pStyle w:val="2"/>
        <w:ind w:firstLine="60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为进一步规范公司文书档案，确保文件有序、及时归档，</w:t>
      </w:r>
      <w:r>
        <w:rPr>
          <w:rFonts w:hint="eastAsia" w:ascii="仿宋_GB2312" w:hAnsi="仿宋_GB2312" w:eastAsia="仿宋_GB2312" w:cs="仿宋_GB2312"/>
          <w:color w:val="auto"/>
          <w:sz w:val="28"/>
          <w:szCs w:val="28"/>
          <w:highlight w:val="none"/>
          <w:u w:val="none"/>
        </w:rPr>
        <w:t>委托</w:t>
      </w:r>
      <w:r>
        <w:rPr>
          <w:rFonts w:hint="eastAsia" w:ascii="仿宋_GB2312" w:hAnsi="仿宋_GB2312" w:eastAsia="仿宋_GB2312" w:cs="仿宋_GB2312"/>
          <w:color w:val="auto"/>
          <w:sz w:val="28"/>
          <w:szCs w:val="28"/>
          <w:highlight w:val="none"/>
          <w:u w:val="none"/>
          <w:lang w:val="en-US" w:eastAsia="zh-CN"/>
        </w:rPr>
        <w:t>专业机构开展</w:t>
      </w:r>
      <w:r>
        <w:rPr>
          <w:rFonts w:hint="eastAsia" w:ascii="仿宋_GB2312" w:hAnsi="仿宋_GB2312" w:eastAsia="仿宋_GB2312" w:cs="仿宋_GB2312"/>
          <w:b w:val="0"/>
          <w:bCs w:val="0"/>
          <w:color w:val="auto"/>
          <w:sz w:val="28"/>
          <w:szCs w:val="28"/>
          <w:highlight w:val="none"/>
          <w:u w:val="none"/>
          <w:lang w:val="en-US" w:eastAsia="zh-CN"/>
        </w:rPr>
        <w:t>2010年-2021年文件材料</w:t>
      </w:r>
      <w:r>
        <w:rPr>
          <w:rFonts w:hint="eastAsia" w:ascii="仿宋_GB2312" w:hAnsi="仿宋_GB2312" w:eastAsia="仿宋_GB2312" w:cs="仿宋_GB2312"/>
          <w:color w:val="auto"/>
          <w:sz w:val="28"/>
          <w:szCs w:val="28"/>
          <w:highlight w:val="none"/>
          <w:u w:val="none"/>
          <w:lang w:val="en-US" w:eastAsia="zh-CN"/>
        </w:rPr>
        <w:t>进行整理归档，</w:t>
      </w:r>
      <w:r>
        <w:rPr>
          <w:rFonts w:hint="eastAsia" w:ascii="仿宋_GB2312" w:hAnsi="仿宋_GB2312" w:eastAsia="仿宋_GB2312" w:cs="仿宋_GB2312"/>
          <w:b w:val="0"/>
          <w:bCs w:val="0"/>
          <w:color w:val="auto"/>
          <w:sz w:val="28"/>
          <w:szCs w:val="28"/>
          <w:highlight w:val="none"/>
          <w:u w:val="none"/>
          <w:lang w:val="en-US" w:eastAsia="zh-CN"/>
        </w:rPr>
        <w:t>包括</w:t>
      </w:r>
      <w:r>
        <w:rPr>
          <w:rFonts w:hint="eastAsia" w:ascii="仿宋_GB2312" w:hAnsi="仿宋_GB2312" w:eastAsia="仿宋_GB2312" w:cs="仿宋_GB2312"/>
          <w:color w:val="auto"/>
          <w:sz w:val="28"/>
          <w:szCs w:val="28"/>
          <w:highlight w:val="none"/>
          <w:u w:val="none"/>
          <w:lang w:val="en-US" w:eastAsia="zh-CN"/>
        </w:rPr>
        <w:t>装订、分类、排列、编号、编目、装盒等归档流程。</w:t>
      </w:r>
      <w:r>
        <w:rPr>
          <w:rFonts w:hint="default" w:ascii="仿宋_GB2312" w:hAnsi="仿宋_GB2312" w:eastAsia="仿宋_GB2312" w:cs="仿宋_GB2312"/>
          <w:b w:val="0"/>
          <w:bCs w:val="0"/>
          <w:color w:val="auto"/>
          <w:sz w:val="28"/>
          <w:szCs w:val="28"/>
          <w:highlight w:val="none"/>
          <w:lang w:val="en-US" w:eastAsia="zh-CN"/>
        </w:rPr>
        <w:t>文书档案采取年度一问题—保管期限进行分类</w:t>
      </w:r>
      <w:r>
        <w:rPr>
          <w:rFonts w:hint="eastAsia" w:ascii="仿宋_GB2312" w:hAnsi="仿宋_GB2312" w:eastAsia="仿宋_GB2312" w:cs="仿宋_GB2312"/>
          <w:b w:val="0"/>
          <w:bCs w:val="0"/>
          <w:color w:val="auto"/>
          <w:sz w:val="28"/>
          <w:szCs w:val="28"/>
          <w:highlight w:val="none"/>
          <w:lang w:val="en-US" w:eastAsia="zh-CN"/>
        </w:rPr>
        <w:t>，并</w:t>
      </w:r>
      <w:r>
        <w:rPr>
          <w:rFonts w:hint="default" w:ascii="仿宋_GB2312" w:hAnsi="仿宋_GB2312" w:eastAsia="仿宋_GB2312" w:cs="仿宋_GB2312"/>
          <w:b w:val="0"/>
          <w:bCs w:val="0"/>
          <w:color w:val="auto"/>
          <w:sz w:val="28"/>
          <w:szCs w:val="28"/>
          <w:highlight w:val="none"/>
          <w:lang w:val="en-US" w:eastAsia="zh-CN"/>
        </w:rPr>
        <w:t>严格按照广州市执行《归档文件整理规则》( DA/T22-20</w:t>
      </w:r>
      <w:r>
        <w:rPr>
          <w:rFonts w:hint="eastAsia" w:ascii="仿宋_GB2312" w:hAnsi="仿宋_GB2312" w:eastAsia="仿宋_GB2312" w:cs="仿宋_GB2312"/>
          <w:b w:val="0"/>
          <w:bCs w:val="0"/>
          <w:color w:val="auto"/>
          <w:sz w:val="28"/>
          <w:szCs w:val="28"/>
          <w:highlight w:val="none"/>
          <w:lang w:val="en-US" w:eastAsia="zh-CN"/>
        </w:rPr>
        <w:t>15</w:t>
      </w:r>
      <w:r>
        <w:rPr>
          <w:rFonts w:hint="default" w:ascii="仿宋_GB2312" w:hAnsi="仿宋_GB2312" w:eastAsia="仿宋_GB2312" w:cs="仿宋_GB2312"/>
          <w:b w:val="0"/>
          <w:bCs w:val="0"/>
          <w:color w:val="auto"/>
          <w:sz w:val="28"/>
          <w:szCs w:val="28"/>
          <w:highlight w:val="none"/>
          <w:lang w:val="en-US" w:eastAsia="zh-CN"/>
        </w:rPr>
        <w:t>）的实施细则执行。</w:t>
      </w:r>
      <w:r>
        <w:rPr>
          <w:rFonts w:hint="eastAsia" w:ascii="仿宋_GB2312" w:hAnsi="仿宋_GB2312" w:eastAsia="仿宋_GB2312" w:cs="仿宋_GB2312"/>
          <w:color w:val="auto"/>
          <w:sz w:val="28"/>
          <w:szCs w:val="28"/>
          <w:highlight w:val="none"/>
          <w:u w:val="none"/>
          <w:lang w:val="en-US" w:eastAsia="zh-CN"/>
        </w:rPr>
        <w:t>需整理文件数量约6.5万件（包含收文和发文），具体包括下面项目：</w:t>
      </w:r>
    </w:p>
    <w:tbl>
      <w:tblPr>
        <w:tblStyle w:val="22"/>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5"/>
        <w:gridCol w:w="3348"/>
        <w:gridCol w:w="805"/>
        <w:gridCol w:w="993"/>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58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项目整理</w:t>
            </w:r>
          </w:p>
        </w:tc>
        <w:tc>
          <w:tcPr>
            <w:tcW w:w="3348" w:type="dxa"/>
            <w:vAlign w:val="center"/>
          </w:tcPr>
          <w:p>
            <w:pPr>
              <w:pStyle w:val="2"/>
              <w:spacing w:line="240" w:lineRule="auto"/>
              <w:ind w:firstLine="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服务内容</w:t>
            </w:r>
          </w:p>
        </w:tc>
        <w:tc>
          <w:tcPr>
            <w:tcW w:w="8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w:t>
            </w:r>
          </w:p>
        </w:tc>
        <w:tc>
          <w:tcPr>
            <w:tcW w:w="993"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Style w:val="44"/>
                <w:rFonts w:hint="eastAsia" w:ascii="仿宋_GB2312" w:hAnsi="仿宋_GB2312" w:eastAsia="仿宋_GB2312" w:cs="仿宋_GB2312"/>
                <w:color w:val="auto"/>
                <w:sz w:val="28"/>
                <w:szCs w:val="28"/>
                <w:highlight w:val="none"/>
                <w:lang w:val="en-US" w:eastAsia="zh-CN" w:bidi="ar"/>
              </w:rPr>
              <w:t>数量</w:t>
            </w:r>
          </w:p>
        </w:tc>
        <w:tc>
          <w:tcPr>
            <w:tcW w:w="1027"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585" w:type="dxa"/>
            <w:vAlign w:val="center"/>
          </w:tcPr>
          <w:p>
            <w:pPr>
              <w:widowControl/>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文书档案</w:t>
            </w:r>
          </w:p>
          <w:p>
            <w:pPr>
              <w:widowControl/>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整理</w:t>
            </w:r>
          </w:p>
        </w:tc>
        <w:tc>
          <w:tcPr>
            <w:tcW w:w="3348"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none"/>
              </w:rPr>
              <w:t>鉴定保管期限、编号、盖归档章、盖件号章、重新用不锈钢钉装订、入盒、上架等工作；（负责编写归档说明）</w:t>
            </w:r>
          </w:p>
        </w:tc>
        <w:tc>
          <w:tcPr>
            <w:tcW w:w="8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993"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50000</w:t>
            </w:r>
          </w:p>
        </w:tc>
        <w:tc>
          <w:tcPr>
            <w:tcW w:w="1027" w:type="dxa"/>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58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数据录入</w:t>
            </w:r>
          </w:p>
        </w:tc>
        <w:tc>
          <w:tcPr>
            <w:tcW w:w="3348"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宋体" w:eastAsia="仿宋_GB2312" w:cs="黑体"/>
                <w:color w:val="auto"/>
                <w:sz w:val="28"/>
                <w:szCs w:val="22"/>
                <w:highlight w:val="none"/>
              </w:rPr>
              <w:t>将文书题名、责任者、文号、文件时间、页数、备注等录入档案系统</w:t>
            </w:r>
          </w:p>
        </w:tc>
        <w:tc>
          <w:tcPr>
            <w:tcW w:w="8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条</w:t>
            </w:r>
          </w:p>
        </w:tc>
        <w:tc>
          <w:tcPr>
            <w:tcW w:w="993"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70000</w:t>
            </w:r>
          </w:p>
        </w:tc>
        <w:tc>
          <w:tcPr>
            <w:tcW w:w="1027" w:type="dxa"/>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58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发文汇编</w:t>
            </w:r>
          </w:p>
        </w:tc>
        <w:tc>
          <w:tcPr>
            <w:tcW w:w="3348"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宋体" w:eastAsia="仿宋_GB2312" w:cs="黑体"/>
                <w:color w:val="auto"/>
                <w:sz w:val="28"/>
                <w:szCs w:val="22"/>
                <w:highlight w:val="none"/>
              </w:rPr>
              <w:t>按年度发文类型进行分类、组卷、编制页码、编制目录、装订成册、制作标签等</w:t>
            </w:r>
          </w:p>
        </w:tc>
        <w:tc>
          <w:tcPr>
            <w:tcW w:w="8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993"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30000</w:t>
            </w:r>
          </w:p>
        </w:tc>
        <w:tc>
          <w:tcPr>
            <w:tcW w:w="1027" w:type="dxa"/>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158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文件扫描</w:t>
            </w:r>
          </w:p>
        </w:tc>
        <w:tc>
          <w:tcPr>
            <w:tcW w:w="3348"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宋体" w:eastAsia="仿宋_GB2312" w:cs="黑体"/>
                <w:color w:val="auto"/>
                <w:sz w:val="28"/>
                <w:szCs w:val="22"/>
                <w:highlight w:val="none"/>
              </w:rPr>
              <w:t>扫描、图像处理、图像检查、图像命名、挂接等</w:t>
            </w:r>
          </w:p>
        </w:tc>
        <w:tc>
          <w:tcPr>
            <w:tcW w:w="805"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页</w:t>
            </w:r>
          </w:p>
        </w:tc>
        <w:tc>
          <w:tcPr>
            <w:tcW w:w="993" w:type="dxa"/>
            <w:vAlign w:val="center"/>
          </w:tcPr>
          <w:p>
            <w:pPr>
              <w:pStyle w:val="2"/>
              <w:spacing w:line="240" w:lineRule="auto"/>
              <w:ind w:firstLine="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80000</w:t>
            </w:r>
          </w:p>
        </w:tc>
        <w:tc>
          <w:tcPr>
            <w:tcW w:w="1027" w:type="dxa"/>
            <w:vAlign w:val="center"/>
          </w:tcPr>
          <w:p>
            <w:pPr>
              <w:pStyle w:val="2"/>
              <w:spacing w:line="240" w:lineRule="auto"/>
              <w:ind w:firstLine="0"/>
              <w:rPr>
                <w:rFonts w:hint="eastAsia" w:ascii="仿宋_GB2312" w:hAnsi="仿宋_GB2312" w:eastAsia="仿宋_GB2312" w:cs="仿宋_GB2312"/>
                <w:color w:val="auto"/>
                <w:sz w:val="28"/>
                <w:szCs w:val="28"/>
                <w:highlight w:val="none"/>
                <w:vertAlign w:val="baseline"/>
                <w:lang w:val="en-US" w:eastAsia="zh-CN"/>
              </w:rPr>
            </w:pPr>
            <w:r>
              <w:rPr>
                <w:rFonts w:hint="eastAsia" w:eastAsia="仿宋_GB2312"/>
                <w:color w:val="auto"/>
                <w:sz w:val="28"/>
                <w:szCs w:val="28"/>
                <w:highlight w:val="none"/>
              </w:rPr>
              <w:t>幅面</w:t>
            </w:r>
            <w:r>
              <w:rPr>
                <w:rFonts w:hint="eastAsia" w:eastAsia="仿宋_GB2312"/>
                <w:color w:val="auto"/>
                <w:sz w:val="28"/>
                <w:szCs w:val="28"/>
                <w:highlight w:val="none"/>
                <w:lang w:val="en-US" w:eastAsia="zh-CN"/>
              </w:rPr>
              <w:t>按</w:t>
            </w:r>
            <w:r>
              <w:rPr>
                <w:rFonts w:hint="eastAsia" w:eastAsia="仿宋_GB2312"/>
                <w:color w:val="auto"/>
                <w:sz w:val="28"/>
                <w:szCs w:val="28"/>
                <w:highlight w:val="none"/>
              </w:rPr>
              <w:t>A4</w:t>
            </w:r>
          </w:p>
        </w:tc>
      </w:tr>
    </w:tbl>
    <w:p>
      <w:pPr>
        <w:numPr>
          <w:ilvl w:val="-1"/>
          <w:numId w:val="0"/>
        </w:numPr>
        <w:spacing w:line="360" w:lineRule="auto"/>
        <w:ind w:firstLine="600" w:firstLineChars="200"/>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备注：以项目实际整理数结算。</w:t>
      </w:r>
    </w:p>
    <w:p>
      <w:pPr>
        <w:pStyle w:val="2"/>
        <w:rPr>
          <w:rFonts w:hint="eastAsia"/>
          <w:color w:val="auto"/>
          <w:highlight w:val="none"/>
          <w:lang w:val="en-US" w:eastAsia="zh-CN"/>
        </w:rPr>
      </w:pPr>
    </w:p>
    <w:p>
      <w:pPr>
        <w:pStyle w:val="2"/>
        <w:ind w:firstLine="0"/>
        <w:rPr>
          <w:color w:val="auto"/>
          <w:highlight w:val="none"/>
        </w:rPr>
      </w:pPr>
    </w:p>
    <w:p>
      <w:pPr>
        <w:pStyle w:val="4"/>
        <w:rPr>
          <w:color w:val="auto"/>
          <w:highlight w:val="none"/>
        </w:rPr>
      </w:pPr>
      <w:bookmarkStart w:id="73" w:name="_Toc1496"/>
      <w:bookmarkStart w:id="74" w:name="_Toc25925"/>
      <w:bookmarkStart w:id="75" w:name="_Toc4680"/>
      <w:bookmarkStart w:id="76" w:name="_Toc537"/>
      <w:bookmarkStart w:id="77" w:name="_Toc23330"/>
      <w:bookmarkStart w:id="78" w:name="_Toc15570"/>
      <w:bookmarkStart w:id="79" w:name="_Toc23353"/>
      <w:bookmarkStart w:id="80" w:name="_Toc1284"/>
      <w:bookmarkStart w:id="81" w:name="_Toc12135"/>
      <w:bookmarkStart w:id="82" w:name="_Toc18538"/>
      <w:bookmarkStart w:id="83"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4"/>
        <w:rPr>
          <w:color w:val="auto"/>
          <w:highlight w:val="none"/>
        </w:rPr>
      </w:pPr>
    </w:p>
    <w:p>
      <w:pPr>
        <w:ind w:firstLine="0" w:firstLineChars="0"/>
        <w:jc w:val="center"/>
        <w:rPr>
          <w:rFonts w:hint="eastAsia" w:ascii="宋体" w:hAnsi="宋体" w:eastAsia="宋体" w:cs="宋体"/>
          <w:b/>
          <w:bCs/>
          <w:color w:val="auto"/>
          <w:sz w:val="44"/>
          <w:szCs w:val="44"/>
          <w:highlight w:val="none"/>
          <w:u w:val="none"/>
        </w:rPr>
      </w:pPr>
      <w:bookmarkStart w:id="84" w:name="_Toc87616386"/>
      <w:bookmarkStart w:id="85" w:name="_Toc13309"/>
      <w:bookmarkStart w:id="86" w:name="_Toc88209949"/>
      <w:bookmarkStart w:id="87" w:name="_Toc12980"/>
      <w:bookmarkStart w:id="88" w:name="_Toc323"/>
      <w:bookmarkStart w:id="89" w:name="_Toc22797"/>
      <w:bookmarkStart w:id="90" w:name="_Toc19686"/>
      <w:bookmarkStart w:id="91" w:name="_Toc12968"/>
      <w:bookmarkStart w:id="92" w:name="_Toc12721"/>
      <w:bookmarkStart w:id="93" w:name="_Toc19088"/>
      <w:bookmarkStart w:id="94" w:name="_Toc22501"/>
      <w:bookmarkStart w:id="95" w:name="_Toc8183"/>
      <w:bookmarkStart w:id="96" w:name="_Toc1375"/>
      <w:r>
        <w:rPr>
          <w:rFonts w:hint="eastAsia" w:ascii="宋体" w:hAnsi="宋体" w:eastAsia="宋体" w:cs="宋体"/>
          <w:b/>
          <w:bCs/>
          <w:color w:val="auto"/>
          <w:sz w:val="44"/>
          <w:szCs w:val="44"/>
          <w:highlight w:val="none"/>
          <w:u w:val="none"/>
        </w:rPr>
        <w:t>广州净水公司</w:t>
      </w:r>
    </w:p>
    <w:p>
      <w:pPr>
        <w:pStyle w:val="7"/>
        <w:rPr>
          <w:rFonts w:hint="eastAsia" w:ascii="宋体" w:hAnsi="宋体" w:eastAsia="宋体" w:cs="宋体"/>
          <w:b/>
          <w:bCs/>
          <w:color w:val="auto"/>
          <w:highlight w:val="none"/>
        </w:rPr>
      </w:pPr>
    </w:p>
    <w:p>
      <w:pPr>
        <w:ind w:firstLine="0" w:firstLineChars="0"/>
        <w:jc w:val="center"/>
        <w:rPr>
          <w:rFonts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u w:val="none"/>
          <w:lang w:val="en-US" w:eastAsia="zh-CN"/>
        </w:rPr>
        <w:t>2010年-2021年文书档案整理</w:t>
      </w:r>
      <w:r>
        <w:rPr>
          <w:rFonts w:hint="eastAsia" w:ascii="宋体" w:hAnsi="宋体" w:eastAsia="宋体" w:cs="宋体"/>
          <w:b/>
          <w:bCs/>
          <w:color w:val="auto"/>
          <w:sz w:val="44"/>
          <w:szCs w:val="44"/>
          <w:highlight w:val="none"/>
        </w:rPr>
        <w:t>项目</w:t>
      </w:r>
      <w:r>
        <w:rPr>
          <w:rFonts w:hint="eastAsia" w:ascii="宋体" w:hAnsi="宋体" w:eastAsia="宋体" w:cs="宋体"/>
          <w:b/>
          <w:bCs/>
          <w:color w:val="auto"/>
          <w:sz w:val="44"/>
          <w:szCs w:val="44"/>
          <w:highlight w:val="none"/>
        </w:rPr>
        <w:t>合同</w:t>
      </w:r>
    </w:p>
    <w:p>
      <w:pPr>
        <w:spacing w:line="360" w:lineRule="auto"/>
        <w:jc w:val="center"/>
        <w:rPr>
          <w:rFonts w:ascii="宋体" w:hAnsi="宋体" w:eastAsia="宋体" w:cs="宋体"/>
          <w:b/>
          <w:bCs/>
          <w:color w:val="auto"/>
          <w:sz w:val="28"/>
          <w:szCs w:val="28"/>
          <w:highlight w:val="none"/>
        </w:rPr>
      </w:pPr>
    </w:p>
    <w:p>
      <w:pPr>
        <w:spacing w:line="360" w:lineRule="auto"/>
        <w:rPr>
          <w:rFonts w:ascii="宋体" w:hAnsi="宋体" w:eastAsia="宋体" w:cs="宋体"/>
          <w:b/>
          <w:bCs/>
          <w:color w:val="auto"/>
          <w:sz w:val="28"/>
          <w:szCs w:val="28"/>
          <w:highlight w:val="none"/>
        </w:rPr>
      </w:pPr>
    </w:p>
    <w:p>
      <w:pPr>
        <w:spacing w:line="360" w:lineRule="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rPr>
        <w:t>甲方（委托方）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广州市净水有限公司</w:t>
      </w:r>
      <w:r>
        <w:rPr>
          <w:rFonts w:hint="eastAsia" w:ascii="仿宋_GB2312" w:hAnsi="仿宋_GB2312" w:eastAsia="仿宋_GB2312" w:cs="仿宋_GB2312"/>
          <w:color w:val="auto"/>
          <w:sz w:val="32"/>
          <w:szCs w:val="32"/>
          <w:highlight w:val="none"/>
          <w:u w:val="single"/>
          <w:lang w:val="en-US" w:eastAsia="zh-CN"/>
        </w:rPr>
        <w:t xml:space="preserve">  </w:t>
      </w:r>
    </w:p>
    <w:p>
      <w:pPr>
        <w:spacing w:line="360" w:lineRule="auto"/>
        <w:ind w:firstLine="2720" w:firstLineChars="800"/>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穗净水合[2022]   号</w:t>
      </w:r>
      <w:r>
        <w:rPr>
          <w:rFonts w:hint="eastAsia" w:ascii="仿宋_GB2312" w:hAnsi="仿宋_GB2312" w:eastAsia="仿宋_GB2312" w:cs="仿宋_GB2312"/>
          <w:color w:val="auto"/>
          <w:sz w:val="32"/>
          <w:szCs w:val="32"/>
          <w:highlight w:val="none"/>
          <w:u w:val="none"/>
          <w:lang w:eastAsia="zh-CN"/>
        </w:rPr>
        <w:t>）</w:t>
      </w:r>
    </w:p>
    <w:p>
      <w:pPr>
        <w:tabs>
          <w:tab w:val="left" w:pos="7680"/>
        </w:tabs>
        <w:spacing w:line="360" w:lineRule="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rPr>
        <w:t>乙方（受托方）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p>
    <w:p>
      <w:pPr>
        <w:pStyle w:val="7"/>
        <w:rPr>
          <w:rFonts w:hint="eastAsia" w:ascii="仿宋_GB2312" w:hAnsi="仿宋_GB2312" w:eastAsia="仿宋_GB2312" w:cs="仿宋_GB2312"/>
          <w:color w:val="auto"/>
          <w:highlight w:val="none"/>
          <w:lang w:val="en-US" w:eastAsia="zh-CN"/>
        </w:rPr>
      </w:pPr>
    </w:p>
    <w:p>
      <w:p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签  订  时  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2022年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月  </w:t>
      </w:r>
      <w:r>
        <w:rPr>
          <w:rFonts w:hint="eastAsia" w:ascii="仿宋_GB2312" w:hAnsi="仿宋_GB2312" w:eastAsia="仿宋_GB2312" w:cs="仿宋_GB2312"/>
          <w:color w:val="auto"/>
          <w:sz w:val="32"/>
          <w:szCs w:val="32"/>
          <w:highlight w:val="none"/>
          <w:u w:val="single"/>
          <w:lang w:val="en-US" w:eastAsia="zh-CN"/>
        </w:rPr>
        <w:t>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
          <w:bCs/>
          <w:color w:val="auto"/>
          <w:sz w:val="32"/>
          <w:szCs w:val="32"/>
          <w:highlight w:val="none"/>
        </w:rPr>
        <w:t>签  订  地  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广州</w:t>
      </w:r>
      <w:r>
        <w:rPr>
          <w:rFonts w:hint="eastAsia" w:ascii="仿宋_GB2312" w:hAnsi="仿宋_GB2312" w:eastAsia="仿宋_GB2312" w:cs="仿宋_GB2312"/>
          <w:color w:val="auto"/>
          <w:sz w:val="32"/>
          <w:szCs w:val="32"/>
          <w:highlight w:val="none"/>
          <w:u w:val="single"/>
          <w:lang w:val="en-US" w:eastAsia="zh-CN"/>
        </w:rPr>
        <w:t>市</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3"/>
        <w:spacing w:line="560" w:lineRule="exact"/>
        <w:ind w:left="1204" w:hanging="1040" w:hangingChars="400"/>
        <w:rPr>
          <w:rFonts w:hint="eastAsia" w:ascii="仿宋_GB2312" w:hAnsi="仿宋_GB2312" w:eastAsia="仿宋_GB2312" w:cs="仿宋_GB2312"/>
          <w:b/>
          <w:color w:val="auto"/>
          <w:szCs w:val="28"/>
          <w:highlight w:val="none"/>
        </w:rPr>
      </w:pPr>
    </w:p>
    <w:p>
      <w:pPr>
        <w:pStyle w:val="3"/>
        <w:tabs>
          <w:tab w:val="left" w:pos="7680"/>
        </w:tabs>
        <w:spacing w:line="560" w:lineRule="exact"/>
        <w:ind w:left="1204" w:hanging="1040" w:hangingChars="400"/>
        <w:rPr>
          <w:rFonts w:hint="eastAsia" w:ascii="仿宋_GB2312" w:hAnsi="仿宋_GB2312" w:eastAsia="仿宋_GB2312" w:cs="仿宋_GB2312"/>
          <w:b/>
          <w:color w:val="auto"/>
          <w:szCs w:val="28"/>
          <w:highlight w:val="none"/>
        </w:rPr>
        <w:sectPr>
          <w:headerReference r:id="rId3" w:type="default"/>
          <w:footerReference r:id="rId4" w:type="default"/>
          <w:pgSz w:w="11907" w:h="16840"/>
          <w:pgMar w:top="1440" w:right="1797" w:bottom="1418" w:left="1797" w:header="851" w:footer="992" w:gutter="0"/>
          <w:pgNumType w:start="1"/>
          <w:cols w:space="720" w:num="1"/>
          <w:docGrid w:type="linesAndChars" w:linePitch="435" w:charSpace="4096"/>
        </w:sectPr>
      </w:pP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TW" w:eastAsia="zh-TW"/>
        </w:rPr>
        <w:t>根据《中华人民共和国</w:t>
      </w:r>
      <w:r>
        <w:rPr>
          <w:rFonts w:hint="eastAsia" w:ascii="仿宋_GB2312" w:hAnsi="仿宋_GB2312" w:eastAsia="仿宋_GB2312" w:cs="仿宋_GB2312"/>
          <w:color w:val="auto"/>
          <w:sz w:val="32"/>
          <w:szCs w:val="32"/>
          <w:highlight w:val="none"/>
          <w:lang w:val="zh-TW"/>
        </w:rPr>
        <w:t>民法典</w:t>
      </w:r>
      <w:r>
        <w:rPr>
          <w:rFonts w:hint="eastAsia" w:ascii="仿宋_GB2312" w:hAnsi="仿宋_GB2312" w:eastAsia="仿宋_GB2312" w:cs="仿宋_GB2312"/>
          <w:color w:val="auto"/>
          <w:sz w:val="32"/>
          <w:szCs w:val="32"/>
          <w:highlight w:val="none"/>
          <w:lang w:val="zh-TW" w:eastAsia="zh-TW"/>
        </w:rPr>
        <w:t>》及</w:t>
      </w:r>
      <w:r>
        <w:rPr>
          <w:rFonts w:hint="eastAsia" w:ascii="仿宋_GB2312" w:hAnsi="仿宋_GB2312" w:eastAsia="仿宋_GB2312" w:cs="仿宋_GB2312"/>
          <w:color w:val="auto"/>
          <w:sz w:val="32"/>
          <w:szCs w:val="32"/>
          <w:highlight w:val="none"/>
          <w:lang w:val="zh-TW"/>
        </w:rPr>
        <w:t>有</w:t>
      </w:r>
      <w:r>
        <w:rPr>
          <w:rFonts w:hint="eastAsia" w:ascii="仿宋_GB2312" w:hAnsi="仿宋_GB2312" w:eastAsia="仿宋_GB2312" w:cs="仿宋_GB2312"/>
          <w:color w:val="auto"/>
          <w:sz w:val="32"/>
          <w:szCs w:val="32"/>
          <w:highlight w:val="none"/>
          <w:lang w:val="zh-TW" w:eastAsia="zh-TW"/>
        </w:rPr>
        <w:t>关法规的规定，</w:t>
      </w:r>
      <w:r>
        <w:rPr>
          <w:rFonts w:hint="eastAsia" w:ascii="仿宋_GB2312" w:hAnsi="仿宋_GB2312" w:eastAsia="仿宋_GB2312" w:cs="仿宋_GB2312"/>
          <w:color w:val="auto"/>
          <w:sz w:val="32"/>
          <w:szCs w:val="32"/>
          <w:highlight w:val="none"/>
          <w:lang w:val="zh-TW"/>
        </w:rPr>
        <w:t>为保护甲乙双方合法权益，</w:t>
      </w:r>
      <w:r>
        <w:rPr>
          <w:rFonts w:hint="eastAsia" w:ascii="仿宋_GB2312" w:hAnsi="仿宋_GB2312" w:eastAsia="仿宋_GB2312" w:cs="仿宋_GB2312"/>
          <w:color w:val="auto"/>
          <w:sz w:val="32"/>
          <w:szCs w:val="32"/>
          <w:highlight w:val="none"/>
          <w:lang w:val="zh-TW" w:eastAsia="zh-TW"/>
        </w:rPr>
        <w:t>双方本着</w:t>
      </w:r>
      <w:r>
        <w:rPr>
          <w:rFonts w:hint="eastAsia" w:ascii="仿宋_GB2312" w:hAnsi="仿宋_GB2312" w:eastAsia="仿宋_GB2312" w:cs="仿宋_GB2312"/>
          <w:color w:val="auto"/>
          <w:sz w:val="32"/>
          <w:szCs w:val="32"/>
          <w:highlight w:val="none"/>
          <w:lang w:val="zh-TW"/>
        </w:rPr>
        <w:t>平等互利、</w:t>
      </w:r>
      <w:r>
        <w:rPr>
          <w:rFonts w:hint="eastAsia" w:ascii="仿宋_GB2312" w:hAnsi="仿宋_GB2312" w:eastAsia="仿宋_GB2312" w:cs="仿宋_GB2312"/>
          <w:color w:val="auto"/>
          <w:sz w:val="32"/>
          <w:szCs w:val="32"/>
          <w:highlight w:val="none"/>
          <w:lang w:val="zh-TW" w:eastAsia="zh-TW"/>
        </w:rPr>
        <w:t>诚实守信、公平公正原则，</w:t>
      </w:r>
      <w:r>
        <w:rPr>
          <w:rFonts w:hint="eastAsia" w:ascii="仿宋_GB2312" w:hAnsi="仿宋_GB2312" w:eastAsia="仿宋_GB2312" w:cs="仿宋_GB2312"/>
          <w:color w:val="auto"/>
          <w:sz w:val="32"/>
          <w:szCs w:val="32"/>
          <w:highlight w:val="none"/>
          <w:lang w:val="zh-TW"/>
        </w:rPr>
        <w:t>经友好协商，订立本合同</w:t>
      </w:r>
      <w:r>
        <w:rPr>
          <w:rFonts w:hint="eastAsia" w:ascii="仿宋_GB2312" w:hAnsi="仿宋_GB2312" w:eastAsia="仿宋_GB2312" w:cs="仿宋_GB2312"/>
          <w:color w:val="auto"/>
          <w:sz w:val="32"/>
          <w:szCs w:val="32"/>
          <w:highlight w:val="none"/>
          <w:lang w:val="zh-TW" w:eastAsia="zh-TW"/>
        </w:rPr>
        <w:t>，</w:t>
      </w:r>
      <w:r>
        <w:rPr>
          <w:rFonts w:hint="eastAsia" w:ascii="仿宋_GB2312" w:hAnsi="仿宋_GB2312" w:eastAsia="仿宋_GB2312" w:cs="仿宋_GB2312"/>
          <w:color w:val="auto"/>
          <w:sz w:val="32"/>
          <w:szCs w:val="32"/>
          <w:highlight w:val="none"/>
          <w:lang w:val="zh-TW"/>
        </w:rPr>
        <w:t>以</w:t>
      </w:r>
      <w:r>
        <w:rPr>
          <w:rFonts w:hint="eastAsia" w:ascii="仿宋_GB2312" w:hAnsi="仿宋_GB2312" w:eastAsia="仿宋_GB2312" w:cs="仿宋_GB2312"/>
          <w:color w:val="auto"/>
          <w:sz w:val="32"/>
          <w:szCs w:val="32"/>
          <w:highlight w:val="none"/>
          <w:lang w:val="zh-TW" w:eastAsia="zh-TW"/>
        </w:rPr>
        <w:t>共同遵守。</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bookmarkStart w:id="97" w:name="_Toc301352978"/>
      <w:r>
        <w:rPr>
          <w:rFonts w:hint="eastAsia" w:ascii="黑体" w:hAnsi="黑体" w:eastAsia="黑体" w:cs="黑体"/>
          <w:color w:val="auto"/>
          <w:sz w:val="32"/>
          <w:szCs w:val="32"/>
          <w:highlight w:val="none"/>
        </w:rPr>
        <w:t>一、服务内容</w:t>
      </w:r>
      <w:bookmarkEnd w:id="97"/>
    </w:p>
    <w:p>
      <w:pPr>
        <w:adjustRightInd w:val="0"/>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1.纸质档案整理：对甲方文书档案提供档案整理服务，含对2010年-2021年文件材料进行整理归档，包括装订、分类、排列、编号、编目、装盒等归档流程以便形成正规的文书档案</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2.档案数字化：根据甲方档案数字化范围和要求，对已整理档案进行数字化，并在甲方档案管理系统著录和挂接电子文件。</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二、服务方式</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负责指派档案整理工作人员到甲方处进行档案整理工作，并</w:t>
      </w:r>
      <w:r>
        <w:rPr>
          <w:rFonts w:hint="eastAsia" w:ascii="仿宋_GB2312" w:hAnsi="仿宋_GB2312" w:eastAsia="仿宋_GB2312" w:cs="仿宋_GB2312"/>
          <w:color w:val="auto"/>
          <w:sz w:val="32"/>
          <w:szCs w:val="32"/>
          <w:highlight w:val="none"/>
        </w:rPr>
        <w:t>设1名项目负责人作为日常联系人</w:t>
      </w:r>
      <w:r>
        <w:rPr>
          <w:rFonts w:hint="eastAsia" w:ascii="仿宋_GB2312" w:hAnsi="仿宋_GB2312" w:eastAsia="仿宋_GB2312" w:cs="仿宋_GB2312"/>
          <w:color w:val="auto"/>
          <w:sz w:val="32"/>
          <w:szCs w:val="32"/>
          <w:highlight w:val="none"/>
          <w:lang w:val="en-US" w:eastAsia="zh-CN"/>
        </w:rPr>
        <w:t>。乙方指派的工作人员</w:t>
      </w:r>
      <w:r>
        <w:rPr>
          <w:rFonts w:hint="eastAsia" w:ascii="仿宋_GB2312" w:hAnsi="仿宋_GB2312" w:eastAsia="仿宋_GB2312" w:cs="仿宋_GB2312"/>
          <w:color w:val="auto"/>
          <w:sz w:val="32"/>
          <w:szCs w:val="32"/>
          <w:highlight w:val="none"/>
          <w:u w:val="none"/>
          <w:lang w:val="en-US" w:eastAsia="zh-CN"/>
        </w:rPr>
        <w:t>须持有</w:t>
      </w:r>
      <w:r>
        <w:rPr>
          <w:rFonts w:hint="eastAsia" w:ascii="仿宋_GB2312" w:hAnsi="仿宋_GB2312" w:eastAsia="仿宋_GB2312" w:cs="仿宋_GB2312"/>
          <w:color w:val="auto"/>
          <w:sz w:val="32"/>
          <w:szCs w:val="32"/>
          <w:highlight w:val="none"/>
          <w:lang w:val="en-US" w:eastAsia="zh-CN"/>
        </w:rPr>
        <w:t>工作人员</w:t>
      </w:r>
      <w:r>
        <w:rPr>
          <w:rFonts w:hint="eastAsia" w:ascii="仿宋_GB2312" w:hAnsi="仿宋_GB2312" w:eastAsia="仿宋_GB2312" w:cs="仿宋_GB2312"/>
          <w:color w:val="auto"/>
          <w:sz w:val="32"/>
          <w:szCs w:val="32"/>
          <w:highlight w:val="none"/>
          <w:u w:val="none"/>
          <w:lang w:val="en-US" w:eastAsia="zh-CN"/>
        </w:rPr>
        <w:t>须持有档案行政管理部门正式颁发的岗位资格证书</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、服务要求</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1.乙方严格按照甲方规定的业务操作程序和标准开展档案服务工作，主动接受并积极配合甲方的业务</w:t>
      </w:r>
      <w:r>
        <w:rPr>
          <w:rFonts w:hint="eastAsia" w:ascii="仿宋_GB2312" w:hAnsi="仿宋_GB2312" w:eastAsia="仿宋_GB2312" w:cs="仿宋_GB2312"/>
          <w:color w:val="auto"/>
          <w:sz w:val="32"/>
          <w:szCs w:val="32"/>
          <w:highlight w:val="none"/>
          <w:lang w:val="en-US" w:eastAsia="zh-CN"/>
        </w:rPr>
        <w:t>建议</w:t>
      </w:r>
      <w:r>
        <w:rPr>
          <w:rFonts w:hint="eastAsia" w:ascii="仿宋_GB2312" w:hAnsi="仿宋_GB2312" w:eastAsia="仿宋_GB2312" w:cs="仿宋_GB2312"/>
          <w:color w:val="auto"/>
          <w:sz w:val="32"/>
          <w:szCs w:val="32"/>
          <w:highlight w:val="none"/>
        </w:rPr>
        <w:t>、监督和检查。</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2.乙方需按甲方要求保质保量完成各项工作任务，确保工作质量符合甲方标准。</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w:t>
      </w:r>
      <w:r>
        <w:rPr>
          <w:rFonts w:hint="eastAsia" w:ascii="仿宋_GB2312" w:hAnsi="仿宋_GB2312" w:eastAsia="仿宋_GB2312" w:cs="仿宋_GB2312"/>
          <w:color w:val="auto"/>
          <w:sz w:val="32"/>
          <w:szCs w:val="32"/>
          <w:highlight w:val="none"/>
          <w:lang w:val="en-US" w:eastAsia="zh-CN"/>
        </w:rPr>
        <w:t>需与指派的</w:t>
      </w:r>
      <w:r>
        <w:rPr>
          <w:rFonts w:hint="eastAsia" w:ascii="仿宋_GB2312" w:hAnsi="仿宋_GB2312" w:eastAsia="仿宋_GB2312" w:cs="仿宋_GB2312"/>
          <w:color w:val="auto"/>
          <w:sz w:val="32"/>
          <w:szCs w:val="32"/>
          <w:highlight w:val="none"/>
        </w:rPr>
        <w:t>工作人员</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签订《保密协议》，做好保密工作，确保甲方实体档案安全，档案信息安全保密。</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工作人员</w:t>
      </w:r>
      <w:r>
        <w:rPr>
          <w:rFonts w:hint="eastAsia" w:ascii="仿宋_GB2312" w:hAnsi="仿宋_GB2312" w:eastAsia="仿宋_GB2312" w:cs="仿宋_GB2312"/>
          <w:color w:val="auto"/>
          <w:sz w:val="32"/>
          <w:szCs w:val="32"/>
          <w:highlight w:val="none"/>
          <w:lang w:val="en-US" w:eastAsia="zh-CN"/>
        </w:rPr>
        <w:t>现场整理档案的时间与甲方的上下班时间一致，为：</w:t>
      </w:r>
      <w:r>
        <w:rPr>
          <w:rFonts w:hint="eastAsia" w:ascii="仿宋_GB2312" w:hAnsi="仿宋_GB2312" w:eastAsia="仿宋_GB2312" w:cs="仿宋_GB2312"/>
          <w:color w:val="auto"/>
          <w:sz w:val="32"/>
          <w:szCs w:val="32"/>
          <w:highlight w:val="none"/>
          <w:u w:val="single"/>
          <w:lang w:val="en-US" w:eastAsia="zh-CN"/>
        </w:rPr>
        <w:t>上午8：30-12：00，下午14：00-17：30</w:t>
      </w:r>
      <w:r>
        <w:rPr>
          <w:rFonts w:hint="eastAsia" w:ascii="仿宋_GB2312" w:hAnsi="仿宋_GB2312" w:eastAsia="仿宋_GB2312" w:cs="仿宋_GB2312"/>
          <w:color w:val="auto"/>
          <w:sz w:val="32"/>
          <w:szCs w:val="32"/>
          <w:highlight w:val="none"/>
          <w:lang w:val="en-US" w:eastAsia="zh-CN"/>
        </w:rPr>
        <w:t>。如有变更，以甲方通知为准。乙方工作人员现场服务期间必须</w:t>
      </w:r>
      <w:r>
        <w:rPr>
          <w:rFonts w:hint="eastAsia" w:ascii="仿宋_GB2312" w:hAnsi="仿宋_GB2312" w:eastAsia="仿宋_GB2312" w:cs="仿宋_GB2312"/>
          <w:color w:val="auto"/>
          <w:sz w:val="32"/>
          <w:szCs w:val="32"/>
          <w:highlight w:val="none"/>
        </w:rPr>
        <w:t>遵守甲方管理规章制度和工作纪律。</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5.乙方应加强对派遣工作人员的管理，提升业务技能和服务质量，并对工作成果和服务质量进行检查考核。</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6.未经甲方同意，乙方不得随意更换项目工作人员，如甲方认为乙方工作人员不能胜任的，乙方应当</w:t>
      </w:r>
      <w:r>
        <w:rPr>
          <w:rFonts w:hint="eastAsia" w:ascii="仿宋_GB2312" w:hAnsi="仿宋_GB2312" w:eastAsia="仿宋_GB2312" w:cs="仿宋_GB2312"/>
          <w:color w:val="auto"/>
          <w:sz w:val="32"/>
          <w:szCs w:val="32"/>
          <w:highlight w:val="none"/>
          <w:lang w:val="en-US" w:eastAsia="zh-CN"/>
        </w:rPr>
        <w:t>在收到甲方通知后7日内</w:t>
      </w:r>
      <w:r>
        <w:rPr>
          <w:rFonts w:hint="eastAsia" w:ascii="仿宋_GB2312" w:hAnsi="仿宋_GB2312" w:eastAsia="仿宋_GB2312" w:cs="仿宋_GB2312"/>
          <w:color w:val="auto"/>
          <w:sz w:val="32"/>
          <w:szCs w:val="32"/>
          <w:highlight w:val="none"/>
        </w:rPr>
        <w:t>更换。</w:t>
      </w:r>
    </w:p>
    <w:p>
      <w:pPr>
        <w:adjustRightInd w:val="0"/>
        <w:spacing w:line="360" w:lineRule="auto"/>
        <w:ind w:firstLine="680" w:firstLineChars="200"/>
        <w:textAlignment w:val="baseline"/>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需</w:t>
      </w:r>
      <w:r>
        <w:rPr>
          <w:rFonts w:hint="eastAsia" w:ascii="仿宋_GB2312" w:hAnsi="仿宋_GB2312" w:eastAsia="仿宋_GB2312" w:cs="仿宋_GB2312"/>
          <w:color w:val="auto"/>
          <w:sz w:val="32"/>
          <w:szCs w:val="32"/>
          <w:highlight w:val="none"/>
        </w:rPr>
        <w:t>按甲方要求不定期开展阶段性总结小会，指导</w:t>
      </w:r>
      <w:r>
        <w:rPr>
          <w:rFonts w:hint="eastAsia" w:ascii="仿宋_GB2312" w:hAnsi="仿宋_GB2312" w:eastAsia="仿宋_GB2312" w:cs="仿宋_GB2312"/>
          <w:color w:val="auto"/>
          <w:sz w:val="32"/>
          <w:szCs w:val="32"/>
          <w:highlight w:val="none"/>
          <w:lang w:val="en-US" w:eastAsia="zh-CN"/>
        </w:rPr>
        <w:t>各单位文件</w:t>
      </w:r>
      <w:r>
        <w:rPr>
          <w:rFonts w:hint="eastAsia" w:ascii="仿宋_GB2312" w:hAnsi="仿宋_GB2312" w:eastAsia="仿宋_GB2312" w:cs="仿宋_GB2312"/>
          <w:color w:val="auto"/>
          <w:sz w:val="32"/>
          <w:szCs w:val="32"/>
          <w:highlight w:val="none"/>
        </w:rPr>
        <w:t>整理工作。在对</w:t>
      </w:r>
      <w:r>
        <w:rPr>
          <w:rFonts w:hint="eastAsia" w:ascii="仿宋_GB2312" w:hAnsi="仿宋_GB2312" w:eastAsia="仿宋_GB2312" w:cs="仿宋_GB2312"/>
          <w:color w:val="auto"/>
          <w:sz w:val="32"/>
          <w:szCs w:val="32"/>
          <w:highlight w:val="none"/>
          <w:lang w:val="en-US" w:eastAsia="zh-CN"/>
        </w:rPr>
        <w:t>文书档案</w:t>
      </w:r>
      <w:r>
        <w:rPr>
          <w:rFonts w:hint="eastAsia" w:ascii="仿宋_GB2312" w:hAnsi="仿宋_GB2312" w:eastAsia="仿宋_GB2312" w:cs="仿宋_GB2312"/>
          <w:color w:val="auto"/>
          <w:sz w:val="32"/>
          <w:szCs w:val="32"/>
          <w:highlight w:val="none"/>
        </w:rPr>
        <w:t>整理归档的同时，同步通过“以工代培”的方式对</w:t>
      </w:r>
      <w:r>
        <w:rPr>
          <w:rFonts w:hint="eastAsia" w:ascii="仿宋_GB2312" w:hAnsi="仿宋_GB2312" w:eastAsia="仿宋_GB2312" w:cs="仿宋_GB2312"/>
          <w:color w:val="auto"/>
          <w:sz w:val="32"/>
          <w:szCs w:val="32"/>
          <w:highlight w:val="none"/>
          <w:lang w:val="en-US" w:eastAsia="zh-CN"/>
        </w:rPr>
        <w:t>文书</w:t>
      </w:r>
      <w:r>
        <w:rPr>
          <w:rFonts w:hint="eastAsia" w:ascii="仿宋_GB2312" w:hAnsi="仿宋_GB2312" w:eastAsia="仿宋_GB2312" w:cs="仿宋_GB2312"/>
          <w:color w:val="auto"/>
          <w:sz w:val="32"/>
          <w:szCs w:val="32"/>
          <w:highlight w:val="none"/>
        </w:rPr>
        <w:t>档案管理工作小组成员进行指导、培训。</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、服务保障</w:t>
      </w:r>
      <w:bookmarkStart w:id="150" w:name="_GoBack"/>
      <w:bookmarkEnd w:id="150"/>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本项目费用含档案整理及档案整理期间需要用到的工具及用品，包括档案盒、文件汇编盒、文书档案目录纸、目录夹、打码机、打孔机、装订机、切纸刀、起钉器、不锈钢钉、归档章、档号用章、</w:t>
      </w:r>
      <w:r>
        <w:rPr>
          <w:rFonts w:hint="eastAsia" w:ascii="仿宋_GB2312" w:hAnsi="仿宋_GB2312" w:eastAsia="仿宋_GB2312" w:cs="仿宋_GB2312"/>
          <w:color w:val="auto"/>
          <w:sz w:val="32"/>
          <w:szCs w:val="32"/>
          <w:highlight w:val="none"/>
        </w:rPr>
        <w:t>不可预见费等涉及本项目各环节所发生的一切费用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乙方驻场服务的办公场所由甲方提供，电脑</w:t>
      </w:r>
      <w:r>
        <w:rPr>
          <w:rFonts w:hint="eastAsia" w:ascii="仿宋_GB2312" w:hAnsi="仿宋_GB2312" w:eastAsia="仿宋_GB2312" w:cs="仿宋_GB2312"/>
          <w:color w:val="auto"/>
          <w:sz w:val="32"/>
          <w:szCs w:val="32"/>
          <w:highlight w:val="none"/>
        </w:rPr>
        <w:t>、打印机、扫描仪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在不影响甲方正常生产工作的情况下，可以提供给乙方使用）。</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2.乙方负责对派遣工作人员进行业务技能培训，确保能胜任</w:t>
      </w:r>
      <w:r>
        <w:rPr>
          <w:rFonts w:hint="eastAsia" w:ascii="仿宋_GB2312" w:hAnsi="仿宋_GB2312" w:eastAsia="仿宋_GB2312" w:cs="仿宋_GB2312"/>
          <w:color w:val="auto"/>
          <w:sz w:val="32"/>
          <w:szCs w:val="32"/>
          <w:highlight w:val="none"/>
          <w:lang w:val="en-US" w:eastAsia="zh-CN"/>
        </w:rPr>
        <w:t>本合同的档案整理工作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w:t>
      </w:r>
      <w:r>
        <w:rPr>
          <w:rFonts w:hint="eastAsia" w:ascii="仿宋_GB2312" w:hAnsi="仿宋_GB2312" w:eastAsia="仿宋_GB2312" w:cs="仿宋_GB2312"/>
          <w:color w:val="auto"/>
          <w:sz w:val="32"/>
          <w:szCs w:val="32"/>
          <w:highlight w:val="none"/>
          <w:lang w:val="en-US" w:eastAsia="zh-CN"/>
        </w:rPr>
        <w:t>依法保障</w:t>
      </w:r>
      <w:r>
        <w:rPr>
          <w:rFonts w:hint="eastAsia" w:ascii="仿宋_GB2312" w:hAnsi="仿宋_GB2312" w:eastAsia="仿宋_GB2312" w:cs="仿宋_GB2312"/>
          <w:color w:val="auto"/>
          <w:sz w:val="32"/>
          <w:szCs w:val="32"/>
          <w:highlight w:val="none"/>
        </w:rPr>
        <w:t>派遣工作人员</w:t>
      </w:r>
      <w:r>
        <w:rPr>
          <w:rFonts w:hint="eastAsia" w:ascii="仿宋_GB2312" w:hAnsi="仿宋_GB2312" w:eastAsia="仿宋_GB2312" w:cs="仿宋_GB2312"/>
          <w:color w:val="auto"/>
          <w:sz w:val="32"/>
          <w:szCs w:val="32"/>
          <w:highlight w:val="none"/>
          <w:lang w:val="en-US" w:eastAsia="zh-CN"/>
        </w:rPr>
        <w:t>社会保险、</w:t>
      </w:r>
      <w:r>
        <w:rPr>
          <w:rFonts w:hint="eastAsia" w:ascii="仿宋_GB2312" w:hAnsi="仿宋_GB2312" w:eastAsia="仿宋_GB2312" w:cs="仿宋_GB2312"/>
          <w:color w:val="auto"/>
          <w:sz w:val="32"/>
          <w:szCs w:val="32"/>
          <w:highlight w:val="none"/>
        </w:rPr>
        <w:t>劳动保护、工资福利</w:t>
      </w:r>
      <w:r>
        <w:rPr>
          <w:rFonts w:hint="eastAsia" w:ascii="仿宋_GB2312" w:hAnsi="仿宋_GB2312" w:eastAsia="仿宋_GB2312" w:cs="仿宋_GB2312"/>
          <w:color w:val="auto"/>
          <w:sz w:val="32"/>
          <w:szCs w:val="32"/>
          <w:highlight w:val="none"/>
          <w:lang w:val="en-US" w:eastAsia="zh-CN"/>
        </w:rPr>
        <w:t>等方面的合法权益，</w:t>
      </w:r>
      <w:r>
        <w:rPr>
          <w:rFonts w:hint="eastAsia" w:ascii="仿宋_GB2312" w:hAnsi="仿宋_GB2312" w:eastAsia="仿宋_GB2312" w:cs="仿宋_GB2312"/>
          <w:color w:val="auto"/>
          <w:sz w:val="32"/>
          <w:szCs w:val="32"/>
          <w:highlight w:val="none"/>
        </w:rPr>
        <w:t>必须按照劳动合同约定、法律法规以及国家地方政策要求及时发放工资（含正常工作时间工资和加班工资）及各种福利补贴津贴，按国家和地方相关法律法规的规定为</w:t>
      </w:r>
      <w:r>
        <w:rPr>
          <w:rFonts w:hint="eastAsia" w:ascii="仿宋_GB2312" w:hAnsi="仿宋_GB2312" w:eastAsia="仿宋_GB2312" w:cs="仿宋_GB2312"/>
          <w:color w:val="auto"/>
          <w:sz w:val="32"/>
          <w:szCs w:val="32"/>
          <w:highlight w:val="none"/>
          <w:lang w:val="en-US" w:eastAsia="zh-CN"/>
        </w:rPr>
        <w:t>派遣工作</w:t>
      </w:r>
      <w:r>
        <w:rPr>
          <w:rFonts w:hint="eastAsia" w:ascii="仿宋_GB2312" w:hAnsi="仿宋_GB2312" w:eastAsia="仿宋_GB2312" w:cs="仿宋_GB2312"/>
          <w:color w:val="auto"/>
          <w:sz w:val="32"/>
          <w:szCs w:val="32"/>
          <w:highlight w:val="none"/>
        </w:rPr>
        <w:t>人员购买社会保险。</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五、服务工期</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服务期限为签订合同后1年。服务期限内，乙方须完成甲方2010年-2021年文件材料整理归档工作。</w:t>
      </w:r>
    </w:p>
    <w:p>
      <w:pPr>
        <w:autoSpaceDE w:val="0"/>
        <w:autoSpaceDN w:val="0"/>
        <w:ind w:firstLine="680" w:firstLineChars="200"/>
        <w:rPr>
          <w:rFonts w:hint="eastAsia"/>
          <w:color w:val="auto"/>
          <w:highlight w:val="none"/>
          <w:lang w:val="en-US" w:eastAsia="zh-CN"/>
        </w:rPr>
      </w:pPr>
      <w:r>
        <w:rPr>
          <w:rFonts w:hint="eastAsia" w:ascii="黑体" w:hAnsi="黑体" w:eastAsia="黑体" w:cs="黑体"/>
          <w:bCs/>
          <w:color w:val="auto"/>
          <w:kern w:val="0"/>
          <w:sz w:val="32"/>
          <w:szCs w:val="32"/>
          <w:highlight w:val="none"/>
          <w:lang w:val="en-US" w:eastAsia="zh-CN"/>
        </w:rPr>
        <w:t>六</w:t>
      </w:r>
      <w:r>
        <w:rPr>
          <w:rFonts w:hint="eastAsia" w:ascii="黑体" w:hAnsi="黑体" w:eastAsia="黑体" w:cs="黑体"/>
          <w:bCs/>
          <w:color w:val="auto"/>
          <w:kern w:val="0"/>
          <w:sz w:val="32"/>
          <w:szCs w:val="32"/>
          <w:highlight w:val="none"/>
        </w:rPr>
        <w:t>、项目质量与验收</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（一）纸质档案整理。</w:t>
      </w:r>
    </w:p>
    <w:p>
      <w:pPr>
        <w:autoSpaceDE w:val="0"/>
        <w:autoSpaceDN w:val="0"/>
        <w:adjustRightInd w:val="0"/>
        <w:spacing w:line="360" w:lineRule="auto"/>
        <w:ind w:firstLine="680" w:firstLineChars="200"/>
        <w:jc w:val="both"/>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纸质档案整理质量管理以整理进度为基准，完成每个年度</w:t>
      </w:r>
      <w:r>
        <w:rPr>
          <w:rFonts w:hint="eastAsia" w:ascii="仿宋_GB2312" w:hAnsi="仿宋_GB2312" w:eastAsia="仿宋_GB2312" w:cs="仿宋_GB2312"/>
          <w:bCs/>
          <w:color w:val="auto"/>
          <w:kern w:val="0"/>
          <w:sz w:val="32"/>
          <w:szCs w:val="32"/>
          <w:highlight w:val="none"/>
          <w:lang w:val="en-US" w:eastAsia="zh-CN"/>
        </w:rPr>
        <w:t>，则由甲方现场负责人进行抽检，检查内容包括档案类别的鉴定和保管期限划分是否准确，以及档案整理的整体质量。验收标准依据国家档案局10号令、《归档文件整理规则》（DA／T 22-2015）及广东省档案局贯彻意见的有关要求。</w:t>
      </w:r>
    </w:p>
    <w:p>
      <w:pPr>
        <w:autoSpaceDE/>
        <w:autoSpaceDN/>
        <w:adjustRightInd w:val="0"/>
        <w:spacing w:line="360" w:lineRule="auto"/>
        <w:ind w:firstLine="680" w:firstLineChars="200"/>
        <w:jc w:val="left"/>
        <w:rPr>
          <w:rFonts w:hint="default" w:ascii="仿宋_GB2312" w:hAnsi="仿宋_GB2312" w:eastAsia="仿宋_GB2312" w:cs="仿宋_GB2312"/>
          <w:bCs w:val="0"/>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（二）纸质</w:t>
      </w:r>
      <w:r>
        <w:rPr>
          <w:rFonts w:hint="eastAsia" w:ascii="仿宋_GB2312" w:hAnsi="仿宋_GB2312" w:eastAsia="仿宋_GB2312" w:cs="仿宋_GB2312"/>
          <w:bCs w:val="0"/>
          <w:color w:val="auto"/>
          <w:kern w:val="0"/>
          <w:sz w:val="32"/>
          <w:szCs w:val="32"/>
          <w:highlight w:val="none"/>
          <w:lang w:eastAsia="zh-CN"/>
        </w:rPr>
        <w:t>档案数字化。</w:t>
      </w:r>
      <w:r>
        <w:rPr>
          <w:rFonts w:hint="eastAsia" w:ascii="仿宋_GB2312" w:hAnsi="仿宋_GB2312" w:cs="仿宋_GB2312"/>
          <w:bCs w:val="0"/>
          <w:color w:val="auto"/>
          <w:kern w:val="0"/>
          <w:sz w:val="32"/>
          <w:szCs w:val="32"/>
          <w:highlight w:val="none"/>
          <w:lang w:val="en-US" w:eastAsia="zh-CN"/>
        </w:rPr>
        <w:t xml:space="preserve"> </w:t>
      </w:r>
    </w:p>
    <w:p>
      <w:pPr>
        <w:autoSpaceDE/>
        <w:autoSpaceDN/>
        <w:spacing w:line="360" w:lineRule="auto"/>
        <w:ind w:firstLine="680" w:firstLineChars="200"/>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Cs w:val="0"/>
          <w:color w:val="auto"/>
          <w:kern w:val="0"/>
          <w:sz w:val="32"/>
          <w:szCs w:val="32"/>
          <w:highlight w:val="none"/>
          <w:lang w:eastAsia="zh-CN"/>
        </w:rPr>
        <w:t>纸质管理类档案</w:t>
      </w:r>
      <w:r>
        <w:rPr>
          <w:rFonts w:hint="eastAsia" w:ascii="仿宋_GB2312" w:hAnsi="仿宋_GB2312" w:eastAsia="仿宋_GB2312" w:cs="仿宋_GB2312"/>
          <w:bCs w:val="0"/>
          <w:color w:val="auto"/>
          <w:kern w:val="0"/>
          <w:sz w:val="32"/>
          <w:szCs w:val="32"/>
          <w:highlight w:val="none"/>
        </w:rPr>
        <w:t>数字化质量管理以</w:t>
      </w:r>
      <w:r>
        <w:rPr>
          <w:rFonts w:hint="eastAsia" w:ascii="仿宋_GB2312" w:hAnsi="仿宋_GB2312" w:eastAsia="仿宋_GB2312" w:cs="仿宋_GB2312"/>
          <w:bCs w:val="0"/>
          <w:color w:val="auto"/>
          <w:kern w:val="0"/>
          <w:sz w:val="32"/>
          <w:szCs w:val="32"/>
          <w:highlight w:val="none"/>
          <w:lang w:eastAsia="zh-CN"/>
        </w:rPr>
        <w:t>甲方现场负责人</w:t>
      </w:r>
      <w:r>
        <w:rPr>
          <w:rFonts w:hint="eastAsia" w:ascii="仿宋_GB2312" w:hAnsi="仿宋_GB2312" w:eastAsia="仿宋_GB2312" w:cs="仿宋_GB2312"/>
          <w:bCs w:val="0"/>
          <w:color w:val="auto"/>
          <w:kern w:val="0"/>
          <w:sz w:val="32"/>
          <w:szCs w:val="32"/>
          <w:highlight w:val="none"/>
        </w:rPr>
        <w:t>抽检的方式检查已完成数字化转换的所有数据，包括目录数据库、图像文件的总体质量。验收标准依据纸质</w:t>
      </w:r>
      <w:r>
        <w:rPr>
          <w:rFonts w:hint="eastAsia" w:ascii="仿宋_GB2312" w:hAnsi="仿宋_GB2312" w:eastAsia="仿宋_GB2312" w:cs="仿宋_GB2312"/>
          <w:b w:val="0"/>
          <w:bCs w:val="0"/>
          <w:color w:val="auto"/>
          <w:kern w:val="0"/>
          <w:sz w:val="32"/>
          <w:szCs w:val="32"/>
          <w:highlight w:val="none"/>
        </w:rPr>
        <w:t>档案数字化技术规范</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DA／T 31-2017</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lang w:eastAsia="zh-CN"/>
        </w:rPr>
        <w:t>、服务费用与付款方式</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（一）服务费用</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lang w:eastAsia="zh-CN"/>
        </w:rPr>
        <w:t>项目暂定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bCs/>
          <w:color w:val="auto"/>
          <w:kern w:val="0"/>
          <w:sz w:val="32"/>
          <w:szCs w:val="32"/>
          <w:highlight w:val="none"/>
          <w:lang w:eastAsia="zh-CN"/>
        </w:rPr>
        <w:t>为</w:t>
      </w:r>
      <w:r>
        <w:rPr>
          <w:rFonts w:hint="eastAsia" w:ascii="仿宋_GB2312" w:hAnsi="仿宋_GB2312" w:eastAsia="仿宋_GB2312" w:cs="仿宋_GB2312"/>
          <w:color w:val="auto"/>
          <w:sz w:val="32"/>
          <w:szCs w:val="32"/>
          <w:highlight w:val="none"/>
        </w:rPr>
        <w:t>：人民币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，以实际整理和扫描数量进行结算。</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费用已包含乙方</w:t>
      </w:r>
      <w:r>
        <w:rPr>
          <w:rFonts w:hint="eastAsia" w:ascii="仿宋_GB2312" w:hAnsi="仿宋_GB2312" w:eastAsia="仿宋_GB2312" w:cs="仿宋_GB2312"/>
          <w:color w:val="auto"/>
          <w:sz w:val="32"/>
          <w:szCs w:val="32"/>
          <w:highlight w:val="none"/>
          <w:lang w:val="en-US" w:eastAsia="zh-CN"/>
        </w:rPr>
        <w:t>员工工资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文件整理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数字化</w:t>
      </w:r>
      <w:r>
        <w:rPr>
          <w:rFonts w:hint="eastAsia" w:ascii="仿宋_GB2312" w:hAnsi="仿宋_GB2312" w:eastAsia="仿宋_GB2312" w:cs="仿宋_GB2312"/>
          <w:color w:val="auto"/>
          <w:sz w:val="32"/>
          <w:szCs w:val="32"/>
          <w:highlight w:val="none"/>
        </w:rPr>
        <w:t>、技术服务、发票税费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全部费用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甲方不再额外支付其他任何费用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付款方式</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1.2010年-2021年文书档案整理一共分为12年度，原则上对每完成4个年度的文书档案归档并经甲方验收通过后</w:t>
      </w:r>
      <w:r>
        <w:rPr>
          <w:rFonts w:hint="eastAsia" w:ascii="仿宋_GB2312" w:hAnsi="仿宋_GB2312" w:eastAsia="仿宋_GB2312" w:cs="仿宋_GB2312"/>
          <w:color w:val="auto"/>
          <w:sz w:val="32"/>
          <w:szCs w:val="32"/>
          <w:highlight w:val="none"/>
        </w:rPr>
        <w:t>支付一次</w:t>
      </w:r>
      <w:r>
        <w:rPr>
          <w:rFonts w:hint="eastAsia" w:ascii="仿宋_GB2312" w:hAnsi="仿宋_GB2312" w:eastAsia="仿宋_GB2312" w:cs="仿宋_GB2312"/>
          <w:color w:val="auto"/>
          <w:sz w:val="32"/>
          <w:szCs w:val="32"/>
          <w:highlight w:val="none"/>
          <w:lang w:val="en-US" w:eastAsia="zh-CN"/>
        </w:rPr>
        <w:t>进度款</w:t>
      </w:r>
      <w:r>
        <w:rPr>
          <w:rFonts w:hint="eastAsia" w:ascii="仿宋_GB2312" w:hAnsi="仿宋_GB2312" w:eastAsia="仿宋_GB2312" w:cs="仿宋_GB2312"/>
          <w:color w:val="auto"/>
          <w:sz w:val="32"/>
          <w:szCs w:val="32"/>
          <w:highlight w:val="none"/>
        </w:rPr>
        <w:t>，每次支付比例为</w:t>
      </w:r>
      <w:r>
        <w:rPr>
          <w:rFonts w:hint="eastAsia" w:ascii="仿宋_GB2312" w:hAnsi="仿宋_GB2312" w:eastAsia="仿宋_GB2312" w:cs="仿宋_GB2312"/>
          <w:bCs/>
          <w:color w:val="auto"/>
          <w:kern w:val="0"/>
          <w:sz w:val="32"/>
          <w:szCs w:val="32"/>
          <w:highlight w:val="none"/>
          <w:lang w:eastAsia="zh-CN"/>
        </w:rPr>
        <w:t>项目暂定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乙方需提供已完成文书档案</w:t>
      </w:r>
      <w:r>
        <w:rPr>
          <w:rFonts w:hint="eastAsia" w:ascii="仿宋_GB2312" w:hAnsi="仿宋_GB2312" w:eastAsia="仿宋_GB2312" w:cs="仿宋_GB2312"/>
          <w:color w:val="auto"/>
          <w:sz w:val="32"/>
          <w:szCs w:val="32"/>
          <w:highlight w:val="none"/>
        </w:rPr>
        <w:t>的相关</w:t>
      </w:r>
      <w:r>
        <w:rPr>
          <w:rFonts w:hint="eastAsia" w:ascii="仿宋_GB2312" w:hAnsi="仿宋_GB2312" w:eastAsia="仿宋_GB2312" w:cs="仿宋_GB2312"/>
          <w:color w:val="auto"/>
          <w:sz w:val="32"/>
          <w:szCs w:val="32"/>
          <w:highlight w:val="none"/>
          <w:lang w:val="en-US" w:eastAsia="zh-CN"/>
        </w:rPr>
        <w:t>进度资料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当次应收款项等额有效增值税专用发票等资料，经甲方核实后支付。</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合同约定工作内容全部完成后，乙方提交工作报告、费用支付申请并经甲方验收合格结算后1个月内，甲方向乙方支付至</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审定价的100%。</w:t>
      </w:r>
    </w:p>
    <w:p>
      <w:pPr>
        <w:keepNext w:val="0"/>
        <w:keepLines w:val="0"/>
        <w:pageBreakBefore w:val="0"/>
        <w:widowControl w:val="0"/>
        <w:kinsoku/>
        <w:wordWrap/>
        <w:overflowPunct/>
        <w:topLinePunct w:val="0"/>
        <w:autoSpaceDE/>
        <w:autoSpaceDN/>
        <w:bidi w:val="0"/>
        <w:adjustRightInd w:val="0"/>
        <w:snapToGrid/>
        <w:spacing w:line="360" w:lineRule="auto"/>
        <w:ind w:firstLine="840" w:firstLineChars="200"/>
        <w:jc w:val="center"/>
        <w:textAlignment w:val="baseline"/>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文件整理明细表</w:t>
      </w:r>
    </w:p>
    <w:tbl>
      <w:tblPr>
        <w:tblStyle w:val="22"/>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68"/>
        <w:gridCol w:w="722"/>
        <w:gridCol w:w="1525"/>
        <w:gridCol w:w="1312"/>
        <w:gridCol w:w="131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项目整理</w:t>
            </w:r>
          </w:p>
        </w:tc>
        <w:tc>
          <w:tcPr>
            <w:tcW w:w="722"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Style w:val="45"/>
                <w:rFonts w:hint="eastAsia" w:ascii="仿宋_GB2312" w:hAnsi="仿宋_GB2312" w:eastAsia="仿宋_GB2312" w:cs="仿宋_GB2312"/>
                <w:b w:val="0"/>
                <w:bCs/>
                <w:color w:val="auto"/>
                <w:sz w:val="28"/>
                <w:szCs w:val="28"/>
                <w:highlight w:val="none"/>
                <w:lang w:val="en-US" w:eastAsia="zh-CN" w:bidi="ar"/>
              </w:rPr>
              <w:t>预计</w:t>
            </w:r>
            <w:r>
              <w:rPr>
                <w:rStyle w:val="44"/>
                <w:rFonts w:hint="eastAsia" w:ascii="仿宋_GB2312" w:hAnsi="仿宋_GB2312" w:eastAsia="仿宋_GB2312" w:cs="仿宋_GB2312"/>
                <w:color w:val="auto"/>
                <w:sz w:val="28"/>
                <w:szCs w:val="28"/>
                <w:highlight w:val="none"/>
                <w:lang w:val="en-US" w:eastAsia="zh-CN" w:bidi="ar"/>
              </w:rPr>
              <w:t>需整理数量</w:t>
            </w:r>
          </w:p>
        </w:tc>
        <w:tc>
          <w:tcPr>
            <w:tcW w:w="1312"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单价/元</w:t>
            </w:r>
          </w:p>
        </w:tc>
        <w:tc>
          <w:tcPr>
            <w:tcW w:w="1312"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金额/元</w:t>
            </w:r>
          </w:p>
        </w:tc>
        <w:tc>
          <w:tcPr>
            <w:tcW w:w="1313"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2068" w:type="dxa"/>
            <w:noWrap w:val="0"/>
            <w:vAlign w:val="center"/>
          </w:tcPr>
          <w:p>
            <w:pPr>
              <w:jc w:val="center"/>
              <w:rPr>
                <w:color w:val="auto"/>
                <w:highlight w:val="none"/>
              </w:rPr>
            </w:pPr>
            <w:r>
              <w:rPr>
                <w:rFonts w:hint="eastAsia" w:ascii="仿宋_GB2312" w:hAnsi="仿宋_GB2312" w:eastAsia="仿宋_GB2312" w:cs="仿宋_GB2312"/>
                <w:i w:val="0"/>
                <w:color w:val="auto"/>
                <w:kern w:val="0"/>
                <w:sz w:val="28"/>
                <w:szCs w:val="28"/>
                <w:highlight w:val="none"/>
                <w:u w:val="none"/>
                <w:lang w:val="en-US" w:eastAsia="zh-CN" w:bidi="ar"/>
              </w:rPr>
              <w:t>文书档案</w:t>
            </w:r>
          </w:p>
          <w:p>
            <w:pPr>
              <w:widowControl/>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整理</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50000</w:t>
            </w: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3"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数据录入</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条</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70000</w:t>
            </w: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3"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发文汇编</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30000</w:t>
            </w: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3"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文件扫描</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页</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80000</w:t>
            </w: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2"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313" w:type="dxa"/>
            <w:noWrap w:val="0"/>
            <w:vAlign w:val="center"/>
          </w:tcPr>
          <w:p>
            <w:pPr>
              <w:pStyle w:val="2"/>
              <w:spacing w:line="240" w:lineRule="auto"/>
              <w:ind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eastAsia="仿宋_GB2312"/>
                <w:color w:val="auto"/>
                <w:sz w:val="28"/>
                <w:szCs w:val="28"/>
                <w:highlight w:val="none"/>
              </w:rPr>
              <w:t>幅面</w:t>
            </w:r>
            <w:r>
              <w:rPr>
                <w:rFonts w:hint="eastAsia" w:eastAsia="仿宋_GB2312"/>
                <w:color w:val="auto"/>
                <w:sz w:val="28"/>
                <w:szCs w:val="28"/>
                <w:highlight w:val="none"/>
                <w:lang w:val="en-US" w:eastAsia="zh-CN"/>
              </w:rPr>
              <w:t>按</w:t>
            </w:r>
            <w:r>
              <w:rPr>
                <w:rFonts w:hint="eastAsia" w:eastAsia="仿宋_GB2312"/>
                <w:color w:val="auto"/>
                <w:sz w:val="28"/>
                <w:szCs w:val="28"/>
                <w:highlight w:val="none"/>
              </w:rPr>
              <w:t>A4计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2068"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722"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1525"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1312" w:type="dxa"/>
            <w:noWrap w:val="0"/>
            <w:vAlign w:val="center"/>
          </w:tcPr>
          <w:p>
            <w:pPr>
              <w:pStyle w:val="2"/>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总价：</w:t>
            </w:r>
          </w:p>
        </w:tc>
        <w:tc>
          <w:tcPr>
            <w:tcW w:w="1312"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1313"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r>
    </w:tbl>
    <w:p>
      <w:pPr>
        <w:ind w:firstLine="560"/>
        <w:rPr>
          <w:rFonts w:hint="eastAsia" w:ascii="宋体" w:hAnsi="宋体" w:eastAsia="宋体" w:cs="宋体"/>
          <w:color w:val="auto"/>
          <w:sz w:val="32"/>
          <w:szCs w:val="32"/>
          <w:highlight w:val="none"/>
          <w:lang w:val="en-US" w:eastAsia="zh-CN"/>
        </w:rPr>
      </w:pPr>
      <w:r>
        <w:rPr>
          <w:rFonts w:hint="eastAsia" w:ascii="仿宋_GB2312" w:hAnsi="仿宋_GB2312" w:eastAsia="仿宋_GB2312" w:cs="仿宋_GB2312"/>
          <w:color w:val="auto"/>
          <w:sz w:val="28"/>
          <w:szCs w:val="28"/>
          <w:highlight w:val="none"/>
          <w:u w:val="none"/>
          <w:lang w:val="en-US" w:eastAsia="zh-CN"/>
        </w:rPr>
        <w:t>备注：以项目实际整理数结算。</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3.双方银行账号信息如下：</w:t>
      </w:r>
    </w:p>
    <w:tbl>
      <w:tblPr>
        <w:tblStyle w:val="21"/>
        <w:tblW w:w="7764" w:type="dxa"/>
        <w:jc w:val="center"/>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Layout w:type="fixed"/>
        <w:tblCellMar>
          <w:top w:w="0" w:type="dxa"/>
          <w:left w:w="108" w:type="dxa"/>
          <w:bottom w:w="0" w:type="dxa"/>
          <w:right w:w="108" w:type="dxa"/>
        </w:tblCellMar>
      </w:tblPr>
      <w:tblGrid>
        <w:gridCol w:w="2787"/>
        <w:gridCol w:w="4977"/>
      </w:tblGrid>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center"/>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甲方：</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广州市净水有限公司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center"/>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广州市净水有限公司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center"/>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center"/>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帐号</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jc w:val="left"/>
              <w:rPr>
                <w:rFonts w:hint="eastAsia" w:ascii="宋体" w:hAnsi="宋体" w:cs="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center"/>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税号</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乙方：</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帐号</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税号</w:t>
            </w:r>
          </w:p>
        </w:tc>
        <w:tc>
          <w:tcPr>
            <w:tcW w:w="4977" w:type="dxa"/>
            <w:tcBorders>
              <w:top w:val="double" w:color="999999" w:sz="4" w:space="0"/>
              <w:left w:val="double" w:color="999999" w:sz="4" w:space="0"/>
              <w:bottom w:val="double" w:color="999999" w:sz="4" w:space="0"/>
              <w:right w:val="double" w:color="999999" w:sz="4" w:space="0"/>
            </w:tcBorders>
            <w:noWrap w:val="0"/>
            <w:vAlign w:val="top"/>
          </w:tcPr>
          <w:p>
            <w:pPr>
              <w:spacing w:line="360" w:lineRule="auto"/>
              <w:rPr>
                <w:rFonts w:ascii="宋体" w:hAnsi="宋体"/>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、甲方的权利和义务</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1.甲方有权对乙方开展服务工作进行监督检查。</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2.甲方协助乙方开展服务工作，及时向乙方提供档案资料，及时解决乙方提出的需要甲方配合的与本合同履行相关的事宜。</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3.甲方应按合同约定及时、足额向乙方支付服务报酬。</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4.甲方应定期对乙方的工作成果进行检查验收。</w:t>
      </w:r>
    </w:p>
    <w:p>
      <w:pPr>
        <w:pStyle w:val="2"/>
        <w:ind w:firstLine="68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甲方与乙方提供的</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人员没有劳动关系，无需签订劳动合同</w:t>
      </w:r>
      <w:r>
        <w:rPr>
          <w:rFonts w:hint="eastAsia" w:ascii="仿宋_GB2312" w:hAnsi="仿宋_GB2312" w:eastAsia="仿宋_GB2312" w:cs="仿宋_GB2312"/>
          <w:color w:val="auto"/>
          <w:sz w:val="32"/>
          <w:szCs w:val="32"/>
          <w:highlight w:val="none"/>
          <w:lang w:eastAsia="zh-CN"/>
        </w:rPr>
        <w:t>。</w:t>
      </w:r>
    </w:p>
    <w:p>
      <w:pPr>
        <w:pStyle w:val="2"/>
        <w:ind w:firstLine="68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甲方有权监督乙方为乙方人员支付劳动报酬的情况，有权监督乙方为乙方人员购买的</w:t>
      </w:r>
      <w:r>
        <w:rPr>
          <w:rFonts w:hint="eastAsia" w:ascii="仿宋_GB2312" w:hAnsi="仿宋_GB2312" w:eastAsia="仿宋_GB2312" w:cs="仿宋_GB2312"/>
          <w:color w:val="auto"/>
          <w:sz w:val="32"/>
          <w:szCs w:val="32"/>
          <w:highlight w:val="none"/>
          <w:lang w:val="en-US" w:eastAsia="zh-CN"/>
        </w:rPr>
        <w:t>社会</w:t>
      </w:r>
      <w:r>
        <w:rPr>
          <w:rFonts w:hint="eastAsia" w:ascii="仿宋_GB2312" w:hAnsi="仿宋_GB2312" w:eastAsia="仿宋_GB2312" w:cs="仿宋_GB2312"/>
          <w:color w:val="auto"/>
          <w:sz w:val="32"/>
          <w:szCs w:val="32"/>
          <w:highlight w:val="none"/>
        </w:rPr>
        <w:t>保险等福利，甲方有权对乙方的工资支付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社会保险购买等</w:t>
      </w:r>
      <w:r>
        <w:rPr>
          <w:rFonts w:hint="eastAsia" w:ascii="仿宋_GB2312" w:hAnsi="仿宋_GB2312" w:eastAsia="仿宋_GB2312" w:cs="仿宋_GB2312"/>
          <w:color w:val="auto"/>
          <w:sz w:val="32"/>
          <w:szCs w:val="32"/>
          <w:highlight w:val="none"/>
        </w:rPr>
        <w:t>进行不定期的抽查</w:t>
      </w:r>
      <w:r>
        <w:rPr>
          <w:rFonts w:hint="eastAsia" w:ascii="仿宋_GB2312" w:hAnsi="仿宋_GB2312" w:eastAsia="仿宋_GB2312" w:cs="仿宋_GB2312"/>
          <w:color w:val="auto"/>
          <w:sz w:val="32"/>
          <w:szCs w:val="32"/>
          <w:highlight w:val="none"/>
          <w:lang w:eastAsia="zh-CN"/>
        </w:rPr>
        <w:t>。</w:t>
      </w:r>
    </w:p>
    <w:p>
      <w:pPr>
        <w:pStyle w:val="2"/>
        <w:ind w:firstLine="68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甲方有权对乙方发出整改通知，乙方需在限期内完成整改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、乙方的权利和义务</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1.乙方有权要求甲方按约定支付服务报酬，甲方拒不支付时，乙方有权中止服务工作。</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2.乙方应按双方约定的工作内容完成服务工作。</w:t>
      </w:r>
      <w:r>
        <w:rPr>
          <w:rFonts w:hint="eastAsia" w:ascii="仿宋_GB2312" w:hAnsi="仿宋_GB2312" w:eastAsia="仿宋_GB2312" w:cs="仿宋_GB2312"/>
          <w:color w:val="auto"/>
          <w:sz w:val="32"/>
          <w:szCs w:val="32"/>
          <w:highlight w:val="none"/>
          <w:lang w:val="en-US" w:eastAsia="zh-CN"/>
        </w:rPr>
        <w:t>乙方应在本合同</w:t>
      </w:r>
      <w:r>
        <w:rPr>
          <w:rFonts w:hint="eastAsia" w:ascii="仿宋_GB2312" w:hAnsi="仿宋_GB2312" w:eastAsia="仿宋_GB2312" w:cs="仿宋_GB2312"/>
          <w:color w:val="auto"/>
          <w:sz w:val="32"/>
          <w:szCs w:val="32"/>
          <w:highlight w:val="none"/>
        </w:rPr>
        <w:t>签订</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个工作柜</w:t>
      </w:r>
      <w:r>
        <w:rPr>
          <w:rFonts w:hint="eastAsia" w:ascii="仿宋_GB2312" w:hAnsi="仿宋_GB2312" w:eastAsia="仿宋_GB2312" w:cs="仿宋_GB2312"/>
          <w:color w:val="auto"/>
          <w:sz w:val="32"/>
          <w:szCs w:val="32"/>
          <w:highlight w:val="none"/>
        </w:rPr>
        <w:t>日内</w:t>
      </w:r>
      <w:r>
        <w:rPr>
          <w:rFonts w:hint="eastAsia" w:ascii="仿宋_GB2312" w:hAnsi="仿宋_GB2312" w:eastAsia="仿宋_GB2312" w:cs="仿宋_GB2312"/>
          <w:color w:val="auto"/>
          <w:sz w:val="32"/>
          <w:szCs w:val="32"/>
          <w:highlight w:val="none"/>
          <w:lang w:val="en-US" w:eastAsia="zh-CN"/>
        </w:rPr>
        <w:t>制定档案整理工作计划表</w:t>
      </w:r>
      <w:r>
        <w:rPr>
          <w:rFonts w:hint="eastAsia" w:ascii="仿宋_GB2312" w:hAnsi="仿宋_GB2312" w:eastAsia="仿宋_GB2312" w:cs="仿宋_GB2312"/>
          <w:color w:val="auto"/>
          <w:sz w:val="32"/>
          <w:szCs w:val="32"/>
          <w:highlight w:val="none"/>
        </w:rPr>
        <w:t>，并报甲方备案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3.乙方对于甲方提供的档案资料、数据信息应当妥善保管，并只能用于本合同项下的服务工作，不得以复制、扫描、转发等任何方式保存或泄漏甲方的档案信息，不得将甲方信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息用于本项目以外的任何用途。</w:t>
      </w:r>
    </w:p>
    <w:p>
      <w:pPr>
        <w:pStyle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为乙方人员的用人单位，应依法对乙方人员行使和承担用人单位相关权利义务，处理与劳动关系相关的一切事宜。如甲方因乙方与相关人员之间的劳动争议遭受任何损失或被要求承担任何责任，乙方应负责足额赔偿甲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、合同的变更和解除</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bookmarkStart w:id="98" w:name="_Toc301352987"/>
      <w:r>
        <w:rPr>
          <w:rFonts w:hint="eastAsia" w:ascii="仿宋_GB2312" w:hAnsi="仿宋_GB2312" w:eastAsia="仿宋_GB2312" w:cs="仿宋_GB2312"/>
          <w:color w:val="auto"/>
          <w:sz w:val="32"/>
          <w:szCs w:val="32"/>
          <w:highlight w:val="none"/>
        </w:rPr>
        <w:t>（一）在本合同履行过程中，经甲乙双方协商一致，可以对本合同的条款进行变更，不能就变更达成一致意见的，应当按照原合同条款执行。</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（二）本合同乙方发生以下情形之一的，甲方有权解除合同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要求乙方支付</w:t>
      </w:r>
      <w:r>
        <w:rPr>
          <w:rFonts w:hint="eastAsia" w:ascii="仿宋_GB2312" w:hAnsi="仿宋_GB2312" w:eastAsia="仿宋_GB2312" w:cs="仿宋_GB2312"/>
          <w:bCs/>
          <w:color w:val="auto"/>
          <w:kern w:val="0"/>
          <w:sz w:val="32"/>
          <w:szCs w:val="32"/>
          <w:highlight w:val="none"/>
          <w:lang w:eastAsia="zh-CN"/>
        </w:rPr>
        <w:t>项目暂定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bCs/>
          <w:color w:val="auto"/>
          <w:kern w:val="0"/>
          <w:sz w:val="32"/>
          <w:szCs w:val="32"/>
          <w:highlight w:val="none"/>
          <w:u w:val="single"/>
          <w:lang w:val="en-US" w:eastAsia="zh-CN"/>
        </w:rPr>
        <w:t xml:space="preserve"> 10 </w:t>
      </w:r>
      <w:r>
        <w:rPr>
          <w:rFonts w:hint="eastAsia" w:ascii="仿宋_GB2312" w:hAnsi="仿宋_GB2312" w:eastAsia="仿宋_GB2312" w:cs="仿宋_GB2312"/>
          <w:bCs/>
          <w:color w:val="auto"/>
          <w:kern w:val="0"/>
          <w:sz w:val="32"/>
          <w:szCs w:val="32"/>
          <w:highlight w:val="none"/>
          <w:lang w:val="en-US" w:eastAsia="zh-CN"/>
        </w:rPr>
        <w:t>%的违约金，并赔偿甲方所有损失</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1.乙方丧失履约能力的或者明确表示不能完成本合同约定服务工作的。</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2.乙方的服务工作不符合本合同约定质量技术要求，经甲方通知后15日内仍不予纠正的。</w:t>
      </w:r>
    </w:p>
    <w:p>
      <w:pPr>
        <w:pStyle w:val="2"/>
        <w:ind w:firstLine="68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转包、分包的</w:t>
      </w:r>
      <w:r>
        <w:rPr>
          <w:rFonts w:hint="eastAsia" w:ascii="仿宋_GB2312" w:hAnsi="仿宋_GB2312" w:eastAsia="仿宋_GB2312" w:cs="仿宋_GB2312"/>
          <w:color w:val="auto"/>
          <w:sz w:val="32"/>
          <w:szCs w:val="32"/>
          <w:highlight w:val="none"/>
          <w:lang w:eastAsia="zh-CN"/>
        </w:rPr>
        <w:t>。</w:t>
      </w:r>
    </w:p>
    <w:p>
      <w:pPr>
        <w:pStyle w:val="2"/>
        <w:ind w:firstLine="68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因乙方原因导致甲方被卷入诉讼或者行政处罚案件的</w:t>
      </w:r>
      <w:r>
        <w:rPr>
          <w:rFonts w:hint="eastAsia" w:ascii="仿宋_GB2312" w:hAnsi="仿宋_GB2312" w:eastAsia="仿宋_GB2312" w:cs="仿宋_GB2312"/>
          <w:color w:val="auto"/>
          <w:sz w:val="32"/>
          <w:szCs w:val="32"/>
          <w:highlight w:val="none"/>
          <w:lang w:eastAsia="zh-CN"/>
        </w:rPr>
        <w:t>。</w:t>
      </w:r>
    </w:p>
    <w:p>
      <w:pPr>
        <w:pStyle w:val="2"/>
        <w:ind w:firstLine="68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5.乙方或乙方工作人员</w:t>
      </w:r>
      <w:r>
        <w:rPr>
          <w:rFonts w:hint="eastAsia" w:ascii="仿宋_GB2312" w:hAnsi="仿宋_GB2312" w:eastAsia="仿宋_GB2312" w:cs="仿宋_GB2312"/>
          <w:color w:val="auto"/>
          <w:sz w:val="32"/>
          <w:szCs w:val="32"/>
          <w:highlight w:val="none"/>
        </w:rPr>
        <w:t>泄漏甲方的档案信息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乙方未能在合同有效期内完成本合同约定的服务内容的，甲方有权要求乙方支付</w:t>
      </w:r>
      <w:r>
        <w:rPr>
          <w:rFonts w:hint="eastAsia" w:ascii="仿宋_GB2312" w:hAnsi="仿宋_GB2312" w:eastAsia="仿宋_GB2312" w:cs="仿宋_GB2312"/>
          <w:bCs/>
          <w:color w:val="auto"/>
          <w:kern w:val="0"/>
          <w:sz w:val="32"/>
          <w:szCs w:val="32"/>
          <w:highlight w:val="none"/>
          <w:lang w:eastAsia="zh-CN"/>
        </w:rPr>
        <w:t>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bCs/>
          <w:color w:val="auto"/>
          <w:kern w:val="0"/>
          <w:sz w:val="32"/>
          <w:szCs w:val="32"/>
          <w:highlight w:val="none"/>
          <w:u w:val="single"/>
          <w:lang w:val="en-US" w:eastAsia="zh-CN"/>
        </w:rPr>
        <w:t xml:space="preserve"> 10 </w:t>
      </w:r>
      <w:r>
        <w:rPr>
          <w:rFonts w:hint="eastAsia" w:ascii="仿宋_GB2312" w:hAnsi="仿宋_GB2312" w:eastAsia="仿宋_GB2312" w:cs="仿宋_GB2312"/>
          <w:bCs/>
          <w:color w:val="auto"/>
          <w:kern w:val="0"/>
          <w:sz w:val="32"/>
          <w:szCs w:val="32"/>
          <w:highlight w:val="none"/>
          <w:lang w:val="en-US" w:eastAsia="zh-CN"/>
        </w:rPr>
        <w:t>%的违约金，且有权要求乙方在限定的时间内完成剩余合同内容。乙方限期内未完成的，甲方有权要求乙方再次支付</w:t>
      </w:r>
      <w:r>
        <w:rPr>
          <w:rFonts w:hint="eastAsia" w:ascii="仿宋_GB2312" w:hAnsi="仿宋_GB2312" w:eastAsia="仿宋_GB2312" w:cs="仿宋_GB2312"/>
          <w:bCs/>
          <w:color w:val="auto"/>
          <w:kern w:val="0"/>
          <w:sz w:val="32"/>
          <w:szCs w:val="32"/>
          <w:highlight w:val="none"/>
          <w:lang w:eastAsia="zh-CN"/>
        </w:rPr>
        <w:t>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bCs/>
          <w:color w:val="auto"/>
          <w:kern w:val="0"/>
          <w:sz w:val="32"/>
          <w:szCs w:val="32"/>
          <w:highlight w:val="none"/>
          <w:u w:val="single"/>
          <w:lang w:val="en-US" w:eastAsia="zh-CN"/>
        </w:rPr>
        <w:t xml:space="preserve"> 10 </w:t>
      </w:r>
      <w:r>
        <w:rPr>
          <w:rFonts w:hint="eastAsia" w:ascii="仿宋_GB2312" w:hAnsi="仿宋_GB2312" w:eastAsia="仿宋_GB2312" w:cs="仿宋_GB2312"/>
          <w:bCs/>
          <w:color w:val="auto"/>
          <w:kern w:val="0"/>
          <w:sz w:val="32"/>
          <w:szCs w:val="32"/>
          <w:highlight w:val="none"/>
          <w:lang w:val="en-US" w:eastAsia="zh-CN"/>
        </w:rPr>
        <w:t>%的违约金</w:t>
      </w:r>
      <w:r>
        <w:rPr>
          <w:rFonts w:hint="eastAsia" w:ascii="仿宋_GB2312" w:hAnsi="仿宋_GB2312" w:eastAsia="仿宋_GB2312" w:cs="仿宋_GB2312"/>
          <w:b/>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本合同甲方发生以下情形之一的，乙方有权解除合同：</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1.甲方迟延支付技术服务报酬超过90日的。</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2.甲方不提供乙方工作所需档案资料超过30日的。</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合同解除后，违约责任按照本合同的约定或法律法规的规定执行。</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、保密条款</w:t>
      </w:r>
      <w:bookmarkEnd w:id="98"/>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甲乙双方保证对在履行本合同过程中所获悉的属于对方的</w:t>
      </w:r>
      <w:r>
        <w:rPr>
          <w:rFonts w:hint="eastAsia" w:ascii="仿宋_GB2312" w:hAnsi="仿宋_GB2312" w:eastAsia="仿宋_GB2312" w:cs="仿宋_GB2312"/>
          <w:color w:val="auto"/>
          <w:sz w:val="32"/>
          <w:szCs w:val="32"/>
          <w:highlight w:val="none"/>
          <w:lang w:val="en-US" w:eastAsia="zh-CN"/>
        </w:rPr>
        <w:t>工作秘密、</w:t>
      </w:r>
      <w:r>
        <w:rPr>
          <w:rFonts w:hint="eastAsia" w:ascii="仿宋_GB2312" w:hAnsi="仿宋_GB2312" w:eastAsia="仿宋_GB2312" w:cs="仿宋_GB2312"/>
          <w:color w:val="auto"/>
          <w:sz w:val="32"/>
          <w:szCs w:val="32"/>
          <w:highlight w:val="none"/>
        </w:rPr>
        <w:t>商业秘密、技术秘密和其他经营管理信息、技术信息、数据资料等予以保密。未经一方书面同意，另一方不得向任何第三方泄露，否则，一方有权要求披露方赔偿因此造成的一切损失。无论本合同是否生效、被撤销、变更、解除或终止，双方仍应执行本保密条款。</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1．甲方中途</w:t>
      </w:r>
      <w:r>
        <w:rPr>
          <w:rFonts w:hint="eastAsia" w:ascii="仿宋_GB2312" w:hAnsi="仿宋_GB2312" w:eastAsia="仿宋_GB2312" w:cs="仿宋_GB2312"/>
          <w:color w:val="auto"/>
          <w:sz w:val="32"/>
          <w:szCs w:val="32"/>
          <w:highlight w:val="none"/>
          <w:lang w:val="en-US" w:eastAsia="zh-CN"/>
        </w:rPr>
        <w:t>撤销</w:t>
      </w:r>
      <w:r>
        <w:rPr>
          <w:rFonts w:hint="eastAsia" w:ascii="仿宋_GB2312" w:hAnsi="仿宋_GB2312" w:eastAsia="仿宋_GB2312" w:cs="仿宋_GB2312"/>
          <w:color w:val="auto"/>
          <w:sz w:val="32"/>
          <w:szCs w:val="32"/>
          <w:highlight w:val="none"/>
        </w:rPr>
        <w:t>委托或由于非乙方的原因造成工作中止、失败，甲方应按乙方已完成工作量向乙方支付费用，若甲方未按合同约定支付费用，甲方应在如数支付合同约定费用的同时，应以余款</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方支付违约金。</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乙方无正当理由提前终止、中止本合同的，甲方有权要求乙方支付</w:t>
      </w:r>
      <w:r>
        <w:rPr>
          <w:rFonts w:hint="eastAsia" w:ascii="仿宋_GB2312" w:hAnsi="仿宋_GB2312" w:eastAsia="仿宋_GB2312" w:cs="仿宋_GB2312"/>
          <w:bCs/>
          <w:color w:val="auto"/>
          <w:kern w:val="0"/>
          <w:sz w:val="32"/>
          <w:szCs w:val="32"/>
          <w:highlight w:val="none"/>
          <w:lang w:eastAsia="zh-CN"/>
        </w:rPr>
        <w:t>暂定</w:t>
      </w:r>
      <w:r>
        <w:rPr>
          <w:rFonts w:hint="eastAsia" w:ascii="仿宋_GB2312" w:hAnsi="仿宋_GB2312" w:eastAsia="仿宋_GB2312" w:cs="仿宋_GB2312"/>
          <w:bCs/>
          <w:color w:val="auto"/>
          <w:kern w:val="0"/>
          <w:sz w:val="32"/>
          <w:szCs w:val="32"/>
          <w:highlight w:val="none"/>
          <w:lang w:val="en-US" w:eastAsia="zh-CN"/>
        </w:rPr>
        <w:t>服务</w:t>
      </w:r>
      <w:r>
        <w:rPr>
          <w:rFonts w:hint="eastAsia" w:ascii="仿宋_GB2312" w:hAnsi="仿宋_GB2312" w:eastAsia="仿宋_GB2312" w:cs="仿宋_GB2312"/>
          <w:bCs/>
          <w:color w:val="auto"/>
          <w:kern w:val="0"/>
          <w:sz w:val="32"/>
          <w:szCs w:val="32"/>
          <w:highlight w:val="none"/>
          <w:lang w:eastAsia="zh-CN"/>
        </w:rPr>
        <w:t>总</w:t>
      </w:r>
      <w:r>
        <w:rPr>
          <w:rFonts w:hint="eastAsia" w:ascii="仿宋_GB2312" w:hAnsi="仿宋_GB2312" w:eastAsia="仿宋_GB2312" w:cs="仿宋_GB2312"/>
          <w:bCs/>
          <w:color w:val="auto"/>
          <w:kern w:val="0"/>
          <w:sz w:val="32"/>
          <w:szCs w:val="32"/>
          <w:highlight w:val="none"/>
          <w:lang w:val="en-US" w:eastAsia="zh-CN"/>
        </w:rPr>
        <w:t>费用</w:t>
      </w:r>
      <w:r>
        <w:rPr>
          <w:rFonts w:hint="eastAsia" w:ascii="仿宋_GB2312" w:hAnsi="仿宋_GB2312" w:eastAsia="仿宋_GB2312" w:cs="仿宋_GB2312"/>
          <w:bCs/>
          <w:color w:val="auto"/>
          <w:kern w:val="0"/>
          <w:sz w:val="32"/>
          <w:szCs w:val="32"/>
          <w:highlight w:val="none"/>
          <w:u w:val="single"/>
          <w:lang w:val="en-US" w:eastAsia="zh-CN"/>
        </w:rPr>
        <w:t xml:space="preserve"> 10 </w:t>
      </w:r>
      <w:r>
        <w:rPr>
          <w:rFonts w:hint="eastAsia" w:ascii="仿宋_GB2312" w:hAnsi="仿宋_GB2312" w:eastAsia="仿宋_GB2312" w:cs="仿宋_GB2312"/>
          <w:bCs/>
          <w:color w:val="auto"/>
          <w:kern w:val="0"/>
          <w:sz w:val="32"/>
          <w:szCs w:val="32"/>
          <w:highlight w:val="none"/>
          <w:lang w:val="en-US" w:eastAsia="zh-CN"/>
        </w:rPr>
        <w:t>%的违约金,并有权要求乙方赔偿由此造成的所有损失。</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、不可抗力</w:t>
      </w:r>
    </w:p>
    <w:p>
      <w:pPr>
        <w:autoSpaceDE/>
        <w:autoSpaceDN/>
        <w:spacing w:line="360" w:lineRule="auto"/>
        <w:ind w:firstLine="680" w:firstLineChars="200"/>
        <w:rPr>
          <w:rFonts w:hint="eastAsia" w:ascii="仿宋_GB2312" w:hAnsi="仿宋_GB2312" w:cs="仿宋_GB2312"/>
          <w:color w:val="auto"/>
          <w:sz w:val="32"/>
          <w:szCs w:val="32"/>
          <w:highlight w:val="none"/>
        </w:rPr>
      </w:pPr>
      <w:r>
        <w:rPr>
          <w:rFonts w:hint="eastAsia" w:ascii="仿宋_GB2312" w:hAnsi="仿宋_GB2312" w:eastAsia="仿宋_GB2312" w:cs="仿宋_GB2312"/>
          <w:bCs w:val="0"/>
          <w:color w:val="auto"/>
          <w:kern w:val="0"/>
          <w:sz w:val="32"/>
          <w:szCs w:val="32"/>
          <w:highlight w:val="none"/>
        </w:rPr>
        <w:t>在本合同履行过程中，任何一方由于不可抗力原因（指不能预见，不能避免且不能克服的客观情况，如</w:t>
      </w:r>
      <w:r>
        <w:rPr>
          <w:rFonts w:hint="eastAsia" w:ascii="仿宋_GB2312" w:hAnsi="仿宋_GB2312" w:eastAsia="仿宋_GB2312" w:cs="仿宋_GB2312"/>
          <w:bCs w:val="0"/>
          <w:color w:val="auto"/>
          <w:kern w:val="0"/>
          <w:sz w:val="32"/>
          <w:szCs w:val="32"/>
          <w:highlight w:val="none"/>
          <w:lang w:eastAsia="zh-CN"/>
        </w:rPr>
        <w:t>疫情、</w:t>
      </w:r>
      <w:r>
        <w:rPr>
          <w:rFonts w:hint="eastAsia" w:ascii="仿宋_GB2312" w:hAnsi="仿宋_GB2312" w:eastAsia="仿宋_GB2312" w:cs="仿宋_GB2312"/>
          <w:bCs w:val="0"/>
          <w:color w:val="auto"/>
          <w:kern w:val="0"/>
          <w:sz w:val="32"/>
          <w:szCs w:val="32"/>
          <w:highlight w:val="none"/>
        </w:rPr>
        <w:t>地震、台风、洪水、战争、国家宏观政策发生重大变化等）不能履行合同时，</w:t>
      </w:r>
      <w:r>
        <w:rPr>
          <w:rFonts w:hint="eastAsia" w:ascii="仿宋_GB2312" w:hAnsi="仿宋_GB2312" w:eastAsia="仿宋_GB2312" w:cs="仿宋_GB2312"/>
          <w:color w:val="auto"/>
          <w:sz w:val="32"/>
          <w:szCs w:val="32"/>
          <w:highlight w:val="none"/>
        </w:rPr>
        <w:t>应当在不可抗力发生之日起</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天内以书面形式通知对方，证明不可抗力事件的存在</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bCs w:val="0"/>
          <w:color w:val="auto"/>
          <w:kern w:val="0"/>
          <w:sz w:val="32"/>
          <w:szCs w:val="32"/>
          <w:highlight w:val="none"/>
          <w:lang w:eastAsia="zh-CN"/>
        </w:rPr>
        <w:t>经双方协商，</w:t>
      </w:r>
      <w:r>
        <w:rPr>
          <w:rFonts w:hint="eastAsia" w:ascii="仿宋_GB2312" w:hAnsi="仿宋_GB2312" w:eastAsia="仿宋_GB2312" w:cs="仿宋_GB2312"/>
          <w:bCs w:val="0"/>
          <w:color w:val="auto"/>
          <w:kern w:val="0"/>
          <w:sz w:val="32"/>
          <w:szCs w:val="32"/>
          <w:highlight w:val="none"/>
        </w:rPr>
        <w:t>允许延期履行或修订合同，并根据情况可部分或全部免于承担违约责任。</w:t>
      </w:r>
      <w:r>
        <w:rPr>
          <w:rFonts w:hint="eastAsia" w:ascii="仿宋_GB2312" w:hAnsi="仿宋_GB2312" w:eastAsia="仿宋_GB2312" w:cs="仿宋_GB2312"/>
          <w:color w:val="auto"/>
          <w:sz w:val="32"/>
          <w:szCs w:val="32"/>
          <w:highlight w:val="none"/>
        </w:rPr>
        <w:t>如不可抗力无法消除，致使合同目的无法实现的，双方均有权解除合同，且均不互相索赔。</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、争议解决方式</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本合同在履行过程中发生争议，应首先通过协商的方式解决，协商不成，按以下第 1 种方式解决：</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1.向甲方所在地人民法院起诉。</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2.提交广州市仲裁委员会仲裁，按照申请仲裁时该会有效的仲裁规则进行仲裁。仲裁裁决是终局，对双方均有约束力。</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在诉讼期间，本合同不涉及争议部分条款仍须履行。</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1.本合同经双方签字并盖章之日起生效。</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2.双方如有未尽事宜或需变更、调整的事项，可另行签订补充协议。</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3.本合同的附件是合同不可分割的组成部分，与本合同具有同等法律效力。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4.本合同一式肆份，甲方执贰份，乙方执贰份，每份均具有同等法律效力。</w:t>
      </w:r>
    </w:p>
    <w:p>
      <w:pPr>
        <w:pStyle w:val="7"/>
        <w:ind w:left="0" w:leftChars="0" w:firstLine="0" w:firstLineChars="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firstLine="68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1.廉洁协议</w:t>
      </w:r>
    </w:p>
    <w:p>
      <w:pPr>
        <w:keepNext w:val="0"/>
        <w:keepLines w:val="0"/>
        <w:pageBreakBefore w:val="0"/>
        <w:widowControl w:val="0"/>
        <w:kinsoku/>
        <w:wordWrap/>
        <w:overflowPunct/>
        <w:topLinePunct w:val="0"/>
        <w:autoSpaceDE/>
        <w:autoSpaceDN/>
        <w:bidi w:val="0"/>
        <w:adjustRightInd w:val="0"/>
        <w:snapToGrid/>
        <w:spacing w:line="360" w:lineRule="auto"/>
        <w:ind w:firstLine="1700" w:firstLineChars="5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2.安全协议</w:t>
      </w:r>
    </w:p>
    <w:p>
      <w:pPr>
        <w:keepNext w:val="0"/>
        <w:keepLines w:val="0"/>
        <w:pageBreakBefore w:val="0"/>
        <w:widowControl w:val="0"/>
        <w:kinsoku/>
        <w:wordWrap/>
        <w:overflowPunct/>
        <w:topLinePunct w:val="0"/>
        <w:autoSpaceDE/>
        <w:autoSpaceDN/>
        <w:bidi w:val="0"/>
        <w:adjustRightInd w:val="0"/>
        <w:snapToGrid/>
        <w:spacing w:line="360" w:lineRule="auto"/>
        <w:ind w:firstLine="1700" w:firstLineChars="5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3.保密协议</w:t>
      </w:r>
    </w:p>
    <w:p>
      <w:pPr>
        <w:keepNext w:val="0"/>
        <w:keepLines w:val="0"/>
        <w:pageBreakBefore w:val="0"/>
        <w:widowControl w:val="0"/>
        <w:kinsoku/>
        <w:wordWrap/>
        <w:overflowPunct/>
        <w:topLinePunct w:val="0"/>
        <w:autoSpaceDE/>
        <w:autoSpaceDN/>
        <w:bidi w:val="0"/>
        <w:adjustRightInd w:val="0"/>
        <w:snapToGrid/>
        <w:spacing w:line="360" w:lineRule="auto"/>
        <w:ind w:firstLine="1700" w:firstLineChars="5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4.防疫协议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1700" w:firstLineChars="5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5.不诚信行为的情形及相应被暂停参与投标活动的处理标准</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lang w:val="zh-CN"/>
        </w:rPr>
      </w:pPr>
    </w:p>
    <w:tbl>
      <w:tblPr>
        <w:tblStyle w:val="21"/>
        <w:tblW w:w="9515" w:type="dxa"/>
        <w:tblInd w:w="-302" w:type="dxa"/>
        <w:tblLayout w:type="fixed"/>
        <w:tblCellMar>
          <w:top w:w="0" w:type="dxa"/>
          <w:left w:w="108" w:type="dxa"/>
          <w:bottom w:w="0" w:type="dxa"/>
          <w:right w:w="108" w:type="dxa"/>
        </w:tblCellMar>
      </w:tblPr>
      <w:tblGrid>
        <w:gridCol w:w="4757"/>
        <w:gridCol w:w="4758"/>
      </w:tblGrid>
      <w:tr>
        <w:tblPrEx>
          <w:tblCellMar>
            <w:top w:w="0" w:type="dxa"/>
            <w:left w:w="108" w:type="dxa"/>
            <w:bottom w:w="0" w:type="dxa"/>
            <w:right w:w="108" w:type="dxa"/>
          </w:tblCellMar>
        </w:tblPrEx>
        <w:tc>
          <w:tcPr>
            <w:tcW w:w="4757"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广州市净水</w:t>
            </w:r>
            <w:r>
              <w:rPr>
                <w:rFonts w:hint="eastAsia" w:ascii="仿宋_GB2312" w:hAnsi="仿宋_GB2312" w:eastAsia="仿宋_GB2312" w:cs="仿宋_GB2312"/>
                <w:color w:val="auto"/>
                <w:sz w:val="32"/>
                <w:szCs w:val="32"/>
                <w:highlight w:val="none"/>
              </w:rPr>
              <w:t>有限公司</w:t>
            </w:r>
          </w:p>
        </w:tc>
        <w:tc>
          <w:tcPr>
            <w:tcW w:w="4758"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tc>
      </w:tr>
      <w:tr>
        <w:tblPrEx>
          <w:tblCellMar>
            <w:top w:w="0" w:type="dxa"/>
            <w:left w:w="108" w:type="dxa"/>
            <w:bottom w:w="0" w:type="dxa"/>
            <w:right w:w="108" w:type="dxa"/>
          </w:tblCellMar>
        </w:tblPrEx>
        <w:tc>
          <w:tcPr>
            <w:tcW w:w="4757"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w:t>
            </w:r>
          </w:p>
        </w:tc>
        <w:tc>
          <w:tcPr>
            <w:tcW w:w="4758"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tc>
      </w:tr>
      <w:tr>
        <w:tblPrEx>
          <w:tblCellMar>
            <w:top w:w="0" w:type="dxa"/>
            <w:left w:w="108" w:type="dxa"/>
            <w:bottom w:w="0" w:type="dxa"/>
            <w:right w:w="108" w:type="dxa"/>
          </w:tblCellMar>
        </w:tblPrEx>
        <w:tc>
          <w:tcPr>
            <w:tcW w:w="4757"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经办人：</w:t>
            </w:r>
          </w:p>
        </w:tc>
        <w:tc>
          <w:tcPr>
            <w:tcW w:w="4758"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经办人：</w:t>
            </w:r>
          </w:p>
        </w:tc>
      </w:tr>
      <w:tr>
        <w:tblPrEx>
          <w:tblCellMar>
            <w:top w:w="0" w:type="dxa"/>
            <w:left w:w="108" w:type="dxa"/>
            <w:bottom w:w="0" w:type="dxa"/>
            <w:right w:w="108" w:type="dxa"/>
          </w:tblCellMar>
        </w:tblPrEx>
        <w:tc>
          <w:tcPr>
            <w:tcW w:w="4757"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通讯地址</w:t>
            </w:r>
            <w:r>
              <w:rPr>
                <w:rFonts w:hint="eastAsia" w:ascii="仿宋_GB2312" w:hAnsi="仿宋_GB2312" w:eastAsia="仿宋_GB2312" w:cs="仿宋_GB2312"/>
                <w:color w:val="auto"/>
                <w:sz w:val="32"/>
                <w:szCs w:val="32"/>
                <w:highlight w:val="none"/>
                <w:lang w:val="en-US"/>
              </w:rPr>
              <w:t>:</w:t>
            </w:r>
          </w:p>
        </w:tc>
        <w:tc>
          <w:tcPr>
            <w:tcW w:w="4758"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通讯地址:</w:t>
            </w:r>
          </w:p>
        </w:tc>
      </w:tr>
      <w:tr>
        <w:tblPrEx>
          <w:tblCellMar>
            <w:top w:w="0" w:type="dxa"/>
            <w:left w:w="108" w:type="dxa"/>
            <w:bottom w:w="0" w:type="dxa"/>
            <w:right w:w="108" w:type="dxa"/>
          </w:tblCellMar>
        </w:tblPrEx>
        <w:trPr>
          <w:trHeight w:val="730" w:hRule="atLeast"/>
        </w:trPr>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签订日期：</w:t>
            </w:r>
          </w:p>
        </w:tc>
        <w:tc>
          <w:tcPr>
            <w:tcW w:w="4758"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签订日期：</w:t>
            </w:r>
          </w:p>
        </w:tc>
      </w:tr>
    </w:tbl>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color w:val="auto"/>
          <w:sz w:val="28"/>
          <w:szCs w:val="28"/>
          <w:highlight w:val="none"/>
        </w:rPr>
      </w:pPr>
      <w:r>
        <w:rPr>
          <w:rFonts w:hint="eastAsia" w:ascii="仿宋" w:hAnsi="仿宋" w:eastAsia="仿宋" w:cs="仿宋"/>
          <w:color w:val="auto"/>
          <w:sz w:val="28"/>
          <w:szCs w:val="28"/>
          <w:highlight w:val="none"/>
        </w:rPr>
        <w:br w:type="page"/>
      </w:r>
      <w:r>
        <w:rPr>
          <w:rFonts w:hint="eastAsia" w:ascii="黑体" w:hAnsi="黑体" w:eastAsia="黑体" w:cs="黑体"/>
          <w:b w:val="0"/>
          <w:bCs w:val="0"/>
          <w:i w:val="0"/>
          <w:iCs w:val="0"/>
          <w:color w:val="auto"/>
          <w:sz w:val="28"/>
          <w:szCs w:val="28"/>
          <w:highlight w:val="none"/>
        </w:rPr>
        <w:t>附件</w:t>
      </w:r>
      <w:r>
        <w:rPr>
          <w:rFonts w:hint="eastAsia" w:ascii="黑体" w:hAnsi="黑体" w:eastAsia="黑体" w:cs="黑体"/>
          <w:b w:val="0"/>
          <w:bCs w:val="0"/>
          <w:i w:val="0"/>
          <w:iCs w:val="0"/>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_GB2312" w:hAnsi="仿宋_GB2312" w:eastAsia="仿宋_GB2312" w:cs="仿宋_GB2312"/>
          <w:b w:val="0"/>
          <w:bCs/>
          <w:color w:val="auto"/>
          <w:sz w:val="28"/>
          <w:szCs w:val="28"/>
          <w:highlight w:val="none"/>
        </w:rPr>
      </w:pPr>
      <w:r>
        <w:rPr>
          <w:rFonts w:hint="eastAsia" w:ascii="方正小标宋简体" w:hAnsi="方正小标宋简体" w:eastAsia="方正小标宋简体" w:cs="方正小标宋简体"/>
          <w:b w:val="0"/>
          <w:bCs/>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75" w:firstLineChars="225"/>
        <w:textAlignment w:val="baseline"/>
        <w:rPr>
          <w:rFonts w:hint="eastAsia" w:ascii="仿宋_GB2312" w:hAnsi="仿宋_GB2312" w:eastAsia="仿宋_GB2312" w:cs="仿宋_GB2312"/>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75" w:firstLineChars="225"/>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w:t>
      </w:r>
      <w:r>
        <w:rPr>
          <w:rFonts w:hint="eastAsia" w:ascii="仿宋_GB2312" w:hAnsi="仿宋_GB2312" w:eastAsia="仿宋_GB2312" w:cs="仿宋_GB2312"/>
          <w:b w:val="0"/>
          <w:bCs/>
          <w:color w:val="auto"/>
          <w:sz w:val="28"/>
          <w:szCs w:val="28"/>
          <w:highlight w:val="none"/>
          <w:lang w:eastAsia="zh-CN"/>
        </w:rPr>
        <w:t>报价</w:t>
      </w:r>
      <w:r>
        <w:rPr>
          <w:rFonts w:hint="eastAsia" w:ascii="仿宋_GB2312" w:hAnsi="仿宋_GB2312" w:eastAsia="仿宋_GB2312" w:cs="仿宋_GB2312"/>
          <w:b w:val="0"/>
          <w:bCs/>
          <w:color w:val="auto"/>
          <w:sz w:val="28"/>
          <w:szCs w:val="28"/>
          <w:highlight w:val="none"/>
        </w:rPr>
        <w:t>、市场经营活动等有关法律、法规相关政策及廉政建设的各项规定。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eastAsia" w:ascii="仿宋_GB2312" w:hAnsi="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w:t>
      </w:r>
      <w:r>
        <w:rPr>
          <w:rFonts w:hint="eastAsia" w:ascii="仿宋_GB2312" w:hAnsi="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27" w:leftChars="12"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widowControl w:val="0"/>
        <w:kinsoku/>
        <w:wordWrap/>
        <w:overflowPunct/>
        <w:topLinePunct w:val="0"/>
        <w:autoSpaceDE/>
        <w:autoSpaceDN/>
        <w:bidi w:val="0"/>
        <w:adjustRightInd w:val="0"/>
        <w:snapToGrid/>
        <w:spacing w:beforeAutospacing="0" w:line="240" w:lineRule="auto"/>
        <w:ind w:left="0" w:leftChars="0" w:firstLine="600" w:firstLineChars="200"/>
        <w:jc w:val="left"/>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w:t>
      </w:r>
      <w:r>
        <w:rPr>
          <w:rFonts w:hint="eastAsia" w:ascii="仿宋_GB2312" w:hAnsi="仿宋_GB2312" w:eastAsia="仿宋_GB2312" w:cs="仿宋_GB2312"/>
          <w:b w:val="0"/>
          <w:bCs/>
          <w:color w:val="auto"/>
          <w:sz w:val="28"/>
          <w:szCs w:val="28"/>
          <w:highlight w:val="none"/>
          <w:lang w:val="en-US" w:eastAsia="zh-CN"/>
        </w:rPr>
        <w:t>取以下处理方式：</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1、扣除主合同的全部履约保证金；</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2、解除主合同；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3、追究乙方其他违约责任；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6、根据甲方上级单位、行政主管部门的意见、决定执行；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乙方无条件接受甲方</w:t>
      </w:r>
      <w:r>
        <w:rPr>
          <w:rFonts w:hint="eastAsia" w:ascii="仿宋_GB2312" w:hAnsi="仿宋_GB2312" w:eastAsia="仿宋_GB2312" w:cs="仿宋_GB2312"/>
          <w:b w:val="0"/>
          <w:bCs/>
          <w:color w:val="auto"/>
          <w:kern w:val="0"/>
          <w:sz w:val="28"/>
          <w:szCs w:val="28"/>
          <w:highlight w:val="none"/>
          <w:lang w:val="en-US" w:eastAsia="zh-CN" w:bidi="ar-SA"/>
        </w:rPr>
        <w:t>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val="0"/>
        <w:snapToGrid/>
        <w:spacing w:beforeAutospacing="0" w:after="0" w:line="240" w:lineRule="auto"/>
        <w:ind w:firstLine="600" w:firstLineChars="200"/>
        <w:textAlignment w:val="baseline"/>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pStyle w:val="7"/>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baseline"/>
        <w:rPr>
          <w:rFonts w:hint="eastAsia"/>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val="0"/>
        <w:snapToGrid/>
        <w:spacing w:beforeAutospacing="0" w:line="240" w:lineRule="auto"/>
        <w:ind w:left="7200" w:hanging="9000" w:hangingChars="30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tabs>
          <w:tab w:val="left" w:pos="4170"/>
        </w:tabs>
        <w:kinsoku/>
        <w:wordWrap/>
        <w:overflowPunct/>
        <w:topLinePunct w:val="0"/>
        <w:autoSpaceDE/>
        <w:autoSpaceDN/>
        <w:bidi w:val="0"/>
        <w:adjustRightInd w:val="0"/>
        <w:snapToGrid/>
        <w:spacing w:line="240" w:lineRule="auto"/>
        <w:textAlignment w:val="baseline"/>
        <w:rPr>
          <w:rFonts w:ascii="宋体" w:hAnsi="宋体"/>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widowControl w:val="0"/>
        <w:kinsoku/>
        <w:wordWrap/>
        <w:overflowPunct/>
        <w:topLinePunct w:val="0"/>
        <w:autoSpaceDE/>
        <w:autoSpaceDN/>
        <w:bidi w:val="0"/>
        <w:spacing w:line="240" w:lineRule="auto"/>
        <w:jc w:val="left"/>
        <w:rPr>
          <w:rFonts w:hint="eastAsia" w:ascii="黑体" w:hAnsi="黑体" w:eastAsia="黑体" w:cs="黑体"/>
          <w:b w:val="0"/>
          <w:bCs w:val="0"/>
          <w:color w:val="auto"/>
          <w:kern w:val="2"/>
          <w:sz w:val="28"/>
          <w:szCs w:val="28"/>
          <w:highlight w:val="none"/>
          <w:lang w:val="en-US" w:eastAsia="zh-CN"/>
        </w:rPr>
      </w:pPr>
    </w:p>
    <w:p>
      <w:pPr>
        <w:keepNext w:val="0"/>
        <w:keepLines w:val="0"/>
        <w:pageBreakBefore w:val="0"/>
        <w:widowControl w:val="0"/>
        <w:kinsoku/>
        <w:wordWrap/>
        <w:overflowPunct/>
        <w:topLinePunct w:val="0"/>
        <w:autoSpaceDE/>
        <w:autoSpaceDN/>
        <w:bidi w:val="0"/>
        <w:spacing w:line="240" w:lineRule="auto"/>
        <w:jc w:val="left"/>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 xml:space="preserve">附件2 </w:t>
      </w:r>
    </w:p>
    <w:p>
      <w:pPr>
        <w:keepNext w:val="0"/>
        <w:keepLines w:val="0"/>
        <w:pageBreakBefore w:val="0"/>
        <w:widowControl w:val="0"/>
        <w:kinsoku/>
        <w:wordWrap/>
        <w:overflowPunct/>
        <w:topLinePunct w:val="0"/>
        <w:autoSpaceDE/>
        <w:autoSpaceDN/>
        <w:bidi w:val="0"/>
        <w:spacing w:line="240" w:lineRule="auto"/>
        <w:jc w:val="center"/>
        <w:rPr>
          <w:rFonts w:hint="eastAsia" w:ascii="仿宋_GB2312" w:hAnsi="仿宋_GB2312" w:eastAsia="仿宋_GB2312" w:cs="仿宋_GB2312"/>
          <w:b/>
          <w:bCs/>
          <w:color w:val="auto"/>
          <w:sz w:val="28"/>
          <w:szCs w:val="28"/>
          <w:highlight w:val="none"/>
        </w:rPr>
      </w:pPr>
    </w:p>
    <w:p>
      <w:pPr>
        <w:keepNext w:val="0"/>
        <w:keepLines w:val="0"/>
        <w:pageBreakBefore w:val="0"/>
        <w:widowControl w:val="0"/>
        <w:kinsoku/>
        <w:wordWrap/>
        <w:overflowPunct/>
        <w:topLinePunct w:val="0"/>
        <w:autoSpaceDE/>
        <w:autoSpaceDN/>
        <w:bidi w:val="0"/>
        <w:spacing w:line="240" w:lineRule="auto"/>
        <w:jc w:val="center"/>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安全管理协议书</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w:t>
      </w:r>
      <w:r>
        <w:rPr>
          <w:rFonts w:hint="eastAsia" w:ascii="仿宋_GB2312" w:hAnsi="仿宋_GB2312" w:eastAsia="仿宋_GB2312" w:cs="仿宋_GB2312"/>
          <w:color w:val="auto"/>
          <w:sz w:val="28"/>
          <w:szCs w:val="28"/>
          <w:highlight w:val="none"/>
          <w:u w:val="single"/>
        </w:rPr>
        <w:t>广州市净水有限公司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Style w:val="24"/>
          <w:rFonts w:hint="eastAsia" w:ascii="仿宋_GB2312" w:hAnsi="仿宋_GB2312" w:eastAsia="仿宋_GB2312" w:cs="仿宋_GB2312"/>
          <w:b w:val="0"/>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承包人: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240" w:lineRule="auto"/>
        <w:ind w:left="105"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本协议作为</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u w:val="single"/>
          <w:lang w:val="en-US" w:eastAsia="zh-CN"/>
        </w:rPr>
        <w:t>2010年-2021年文书档案整理</w:t>
      </w:r>
      <w:r>
        <w:rPr>
          <w:rFonts w:hint="eastAsia" w:ascii="仿宋_GB2312" w:hAnsi="仿宋_GB2312" w:eastAsia="仿宋_GB2312" w:cs="仿宋_GB2312"/>
          <w:color w:val="auto"/>
          <w:sz w:val="28"/>
          <w:szCs w:val="28"/>
          <w:highlight w:val="none"/>
          <w:u w:val="single"/>
        </w:rPr>
        <w:t>项目</w:t>
      </w:r>
      <w:r>
        <w:rPr>
          <w:rFonts w:hint="eastAsia" w:ascii="仿宋_GB2312" w:hAnsi="仿宋_GB2312" w:eastAsia="仿宋_GB2312" w:cs="仿宋_GB2312"/>
          <w:color w:val="auto"/>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黑体" w:hAnsi="黑体" w:eastAsia="黑体" w:cs="黑体"/>
          <w:b w:val="0"/>
          <w:bCs/>
          <w:color w:val="auto"/>
          <w:sz w:val="28"/>
          <w:szCs w:val="28"/>
          <w:highlight w:val="none"/>
        </w:rPr>
      </w:pPr>
      <w:r>
        <w:rPr>
          <w:rFonts w:hint="eastAsia" w:ascii="仿宋_GB2312" w:hAnsi="仿宋_GB2312" w:eastAsia="仿宋_GB2312" w:cs="仿宋_GB2312"/>
          <w:b/>
          <w:color w:val="auto"/>
          <w:sz w:val="28"/>
          <w:szCs w:val="28"/>
          <w:highlight w:val="none"/>
        </w:rPr>
        <w:t xml:space="preserve"> </w:t>
      </w:r>
      <w:r>
        <w:rPr>
          <w:rFonts w:hint="eastAsia" w:ascii="黑体" w:hAnsi="黑体" w:eastAsia="黑体" w:cs="黑体"/>
          <w:b w:val="0"/>
          <w:bCs/>
          <w:color w:val="auto"/>
          <w:sz w:val="28"/>
          <w:szCs w:val="28"/>
          <w:highlight w:val="none"/>
        </w:rPr>
        <w:t>二、发包人、承包人双方的责任、权利和义务</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（一）发包人的责任、权利和义务</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1.贯彻落实国家、地方及发包人有关安全生产、职业卫生的法律法规和规章制度，对承包人承包作业的安全管理、职业卫生管理工作进行监督管理。</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2.审查承包人安全资质以及承包内容所要求具备的资质条件。</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3.监督承包人严格落实《广州市净水有限公司工程项目安全管理标准化手册》（以下简称“标准化手册”）。</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（二）承包人的责任、权利和义务</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贯彻落实国家、地方及发包人有关职业卫生管理的法律法规和规章制度，按要求落实各项职位卫生防治工作。</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3.严格按照资质范围进行作业，不得进行超资质范围的技术服务作业，不得将所承担的承包项目再次转包。</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4.接受发包人对安全管理工作的监督检查，服从发包人管理，对发包人口头提出或书面签发提出的隐患整改通知单应按照规定要求进行处理。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5.承包人必须统一组织、严格管理，不得随意换人、加人和顶替，若需换人、加人必须事先征得发包人同意。</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b/>
          <w:color w:val="auto"/>
          <w:sz w:val="28"/>
          <w:szCs w:val="28"/>
          <w:highlight w:val="none"/>
        </w:rPr>
      </w:pPr>
      <w:r>
        <w:rPr>
          <w:rFonts w:hint="eastAsia" w:ascii="黑体" w:hAnsi="黑体" w:eastAsia="黑体" w:cs="黑体"/>
          <w:b w:val="0"/>
          <w:bCs/>
          <w:color w:val="auto"/>
          <w:sz w:val="28"/>
          <w:szCs w:val="28"/>
          <w:highlight w:val="none"/>
        </w:rPr>
        <w:t xml:space="preserve">三、协议内容   </w:t>
      </w:r>
      <w:r>
        <w:rPr>
          <w:rFonts w:hint="eastAsia" w:ascii="仿宋_GB2312" w:hAnsi="仿宋_GB2312" w:eastAsia="仿宋_GB2312" w:cs="仿宋_GB2312"/>
          <w:b/>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发包人、承包人双方均具有独立法人资格，按照责任权利对等的原则，承包人对承包的技术服务工作实行自主管理，负主体责任，发包人对承包人承包的工作实施监督管理。</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2.承包人须严格按照发包人制定的《标准化手册》的要求落实各项安全生产管理工作。</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3.发包人参照《标准化手册》等承包商考核办法对承包人进行定期考核，并有权根据考核结果对承包人采取经济处罚、诚信扣分及限制其继续承揽发包人发包的工程。</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4.承包人应严格履行本安全管理协议，遵守发包人各项管理规定，服从管理，否则视为违约，违约金缴纳标准及形式参照发包人管理制度相关标准执行。</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1.在承包人承包范围内，由于承包人责任发生生产安全事故时，造成的发包人、承包人或者第三方人身伤害事故，承包人负全部责任。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2.承包人人员在非承包区域遭受意外伤害的，承包人负全部责任。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3.承包人人员违规进入发包人或第三方承包区域，造成事故的，承包人负全部事故责任；承包人人员遭受人身伤害的，承包人负全部责任。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5.承包人在发包人生产区域内发生生产安全事故后，必须在第一时间向发包人报告，迟报或者隐瞒不报生产安全事故，承担事故的全部责任。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6.承包人各类人员在发包人生产区域内发生人身伤害事故和其他事故，由承包人负责调查、处理和统计上报，并报发包人安全监督部门备案。</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7.本协议未尽事宜，依据有关法规。规章处理，法规、规章没有明确规定的，经双方协商处理解决。</w:t>
      </w:r>
    </w:p>
    <w:p>
      <w:pPr>
        <w:pStyle w:val="34"/>
        <w:keepNext w:val="0"/>
        <w:keepLines w:val="0"/>
        <w:pageBreakBefore w:val="0"/>
        <w:widowControl w:val="0"/>
        <w:kinsoku/>
        <w:wordWrap/>
        <w:overflowPunct/>
        <w:topLinePunct w:val="0"/>
        <w:autoSpaceDE/>
        <w:autoSpaceDN/>
        <w:bidi w:val="0"/>
        <w:spacing w:line="240" w:lineRule="auto"/>
        <w:ind w:firstLine="600"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val="0"/>
          <w:bCs/>
          <w:color w:val="auto"/>
          <w:sz w:val="28"/>
          <w:szCs w:val="28"/>
          <w:highlight w:val="none"/>
        </w:rPr>
        <w:t>五、补充条款：</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本协议与主合同同时签订、同时终止、同时生效，具有相同的法律效力，自发包人、承包人双方签字、盖章生效，发包人、承包人双方各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发包人代表 （章）：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承包人代表（章）：                                                           　　              　　　　　　　</w:t>
      </w:r>
    </w:p>
    <w:p>
      <w:pPr>
        <w:keepNext w:val="0"/>
        <w:keepLines w:val="0"/>
        <w:pageBreakBefore w:val="0"/>
        <w:widowControl w:val="0"/>
        <w:kinsoku/>
        <w:wordWrap/>
        <w:overflowPunct/>
        <w:topLinePunct w:val="0"/>
        <w:autoSpaceDE/>
        <w:autoSpaceDN/>
        <w:bidi w:val="0"/>
        <w:spacing w:line="240" w:lineRule="auto"/>
        <w:ind w:firstLine="600" w:firstLineChars="20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pPr>
        <w:keepNext w:val="0"/>
        <w:keepLines w:val="0"/>
        <w:pageBreakBefore w:val="0"/>
        <w:widowControl w:val="0"/>
        <w:tabs>
          <w:tab w:val="left" w:pos="360"/>
        </w:tabs>
        <w:kinsoku/>
        <w:wordWrap/>
        <w:overflowPunct/>
        <w:topLinePunct w:val="0"/>
        <w:autoSpaceDE/>
        <w:autoSpaceDN/>
        <w:bidi w:val="0"/>
        <w:spacing w:line="240" w:lineRule="auto"/>
        <w:rPr>
          <w:rFonts w:hint="eastAsia" w:ascii="仿宋_GB2312" w:hAnsi="仿宋_GB2312" w:eastAsia="仿宋_GB2312" w:cs="仿宋_GB2312"/>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ind w:left="0" w:leftChars="0" w:firstLine="0" w:firstLineChars="0"/>
        <w:rPr>
          <w:rFonts w:hint="eastAsia" w:ascii="仿宋" w:hAnsi="仿宋" w:eastAsia="仿宋" w:cs="仿宋"/>
          <w:color w:val="auto"/>
          <w:sz w:val="28"/>
          <w:szCs w:val="28"/>
          <w:highlight w:val="none"/>
        </w:rPr>
      </w:pPr>
    </w:p>
    <w:p>
      <w:pPr>
        <w:pStyle w:val="2"/>
        <w:ind w:left="0" w:leftChars="0" w:firstLine="0" w:firstLineChars="0"/>
        <w:rPr>
          <w:rFonts w:hint="eastAsia" w:ascii="仿宋" w:hAnsi="仿宋" w:eastAsia="仿宋" w:cs="仿宋"/>
          <w:color w:val="auto"/>
          <w:sz w:val="28"/>
          <w:szCs w:val="28"/>
          <w:highlight w:val="none"/>
        </w:rPr>
      </w:pPr>
    </w:p>
    <w:p>
      <w:pPr>
        <w:pStyle w:val="2"/>
        <w:ind w:left="0" w:leftChars="0" w:firstLine="0" w:firstLineChars="0"/>
        <w:rPr>
          <w:rFonts w:hint="eastAsia" w:ascii="仿宋" w:hAnsi="仿宋" w:eastAsia="仿宋" w:cs="仿宋"/>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rPr>
        <w:t>附件</w:t>
      </w:r>
      <w:r>
        <w:rPr>
          <w:rFonts w:hint="eastAsia" w:ascii="黑体" w:hAnsi="黑体" w:eastAsia="黑体" w:cs="黑体"/>
          <w:bCs/>
          <w:color w:val="auto"/>
          <w:sz w:val="28"/>
          <w:szCs w:val="28"/>
          <w:highlight w:val="none"/>
          <w:lang w:val="en-US" w:eastAsia="zh-CN"/>
        </w:rPr>
        <w:t>3</w:t>
      </w:r>
    </w:p>
    <w:p>
      <w:pPr>
        <w:pStyle w:val="7"/>
        <w:rPr>
          <w:rFonts w:hint="eastAsia"/>
          <w:color w:val="auto"/>
          <w:highlight w:val="none"/>
          <w:lang w:val="en-US" w:eastAsia="zh-CN"/>
        </w:rPr>
      </w:pPr>
    </w:p>
    <w:p>
      <w:pPr>
        <w:keepNext w:val="0"/>
        <w:keepLines w:val="0"/>
        <w:pageBreakBefore w:val="0"/>
        <w:tabs>
          <w:tab w:val="left" w:pos="7260"/>
        </w:tabs>
        <w:kinsoku/>
        <w:wordWrap/>
        <w:overflowPunct/>
        <w:topLinePunct w:val="0"/>
        <w:autoSpaceDE/>
        <w:autoSpaceDN/>
        <w:bidi w:val="0"/>
        <w:adjustRightInd w:val="0"/>
        <w:snapToGrid/>
        <w:spacing w:line="240" w:lineRule="auto"/>
        <w:jc w:val="center"/>
        <w:textAlignment w:val="baseline"/>
        <w:rPr>
          <w:rFonts w:hint="eastAsia" w:ascii="方正小标宋简体" w:hAnsi="方正小标宋简体" w:eastAsia="方正小标宋简体" w:cs="方正小标宋简体"/>
          <w:b w:val="0"/>
          <w:bCs/>
          <w:color w:val="auto"/>
          <w:sz w:val="28"/>
          <w:szCs w:val="28"/>
          <w:highlight w:val="none"/>
        </w:rPr>
      </w:pPr>
      <w:r>
        <w:rPr>
          <w:rFonts w:hint="eastAsia" w:ascii="方正小标宋简体" w:hAnsi="方正小标宋简体" w:eastAsia="方正小标宋简体" w:cs="方正小标宋简体"/>
          <w:b w:val="0"/>
          <w:bCs/>
          <w:color w:val="auto"/>
          <w:sz w:val="28"/>
          <w:szCs w:val="28"/>
          <w:highlight w:val="none"/>
        </w:rPr>
        <w:t>保密协议</w:t>
      </w: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b w:val="0"/>
          <w:bCs/>
          <w:color w:val="auto"/>
          <w:sz w:val="28"/>
          <w:szCs w:val="28"/>
          <w:highlight w:val="none"/>
        </w:rPr>
      </w:pP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w:t>
      </w:r>
      <w:r>
        <w:rPr>
          <w:rFonts w:hint="eastAsia" w:ascii="仿宋_GB2312" w:hAnsi="仿宋_GB2312" w:eastAsia="仿宋_GB2312" w:cs="仿宋_GB2312"/>
          <w:b w:val="0"/>
          <w:bCs/>
          <w:color w:val="auto"/>
          <w:kern w:val="2"/>
          <w:sz w:val="28"/>
          <w:szCs w:val="28"/>
          <w:highlight w:val="none"/>
          <w:lang w:val="en-US" w:eastAsia="zh-CN"/>
        </w:rPr>
        <w:t>广州市净水</w:t>
      </w:r>
      <w:r>
        <w:rPr>
          <w:rFonts w:hint="eastAsia" w:ascii="仿宋_GB2312" w:hAnsi="仿宋_GB2312" w:eastAsia="仿宋_GB2312" w:cs="仿宋_GB2312"/>
          <w:b w:val="0"/>
          <w:bCs/>
          <w:color w:val="auto"/>
          <w:kern w:val="2"/>
          <w:sz w:val="28"/>
          <w:szCs w:val="28"/>
          <w:highlight w:val="none"/>
        </w:rPr>
        <w:t>有限公司</w:t>
      </w: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rPr>
        <w:t>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为确保乙方工作人员在甲方</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2010年-2021年文书档案整理</w:t>
      </w:r>
      <w:r>
        <w:rPr>
          <w:rFonts w:hint="eastAsia" w:ascii="仿宋_GB2312" w:hAnsi="仿宋_GB2312" w:eastAsia="仿宋_GB2312" w:cs="仿宋_GB2312"/>
          <w:color w:val="auto"/>
          <w:sz w:val="28"/>
          <w:szCs w:val="28"/>
          <w:highlight w:val="none"/>
          <w:u w:val="single"/>
        </w:rPr>
        <w:t>项目</w:t>
      </w:r>
      <w:r>
        <w:rPr>
          <w:rFonts w:hint="eastAsia" w:ascii="仿宋_GB2312" w:hAnsi="仿宋_GB2312" w:eastAsia="仿宋_GB2312" w:cs="仿宋_GB2312"/>
          <w:color w:val="auto"/>
          <w:sz w:val="28"/>
          <w:szCs w:val="28"/>
          <w:highlight w:val="none"/>
        </w:rPr>
        <w:t>服务过程中对甲方档案资料和数据信息的安全保密，根据《中华人民共和国档案法》、《中华人民共和国保守国家秘密法》有关保守</w:t>
      </w:r>
      <w:r>
        <w:rPr>
          <w:rFonts w:hint="eastAsia" w:ascii="仿宋_GB2312" w:hAnsi="仿宋_GB2312" w:cs="仿宋_GB2312"/>
          <w:color w:val="auto"/>
          <w:sz w:val="28"/>
          <w:szCs w:val="28"/>
          <w:highlight w:val="none"/>
          <w:lang w:val="en-US" w:eastAsia="zh-CN"/>
        </w:rPr>
        <w:t>工作</w:t>
      </w:r>
      <w:r>
        <w:rPr>
          <w:rFonts w:hint="eastAsia" w:ascii="仿宋_GB2312" w:hAnsi="仿宋_GB2312" w:eastAsia="仿宋_GB2312" w:cs="仿宋_GB2312"/>
          <w:color w:val="auto"/>
          <w:sz w:val="28"/>
          <w:szCs w:val="28"/>
          <w:highlight w:val="none"/>
        </w:rPr>
        <w:t>机密、商业秘密相关规定，甲、乙双方本着平等自愿、公平诚信的原则，签订本保密协议：</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一、甲方安排乙方从事档案整理、档案数字化服务工作期间，工作内容是甲方的重要档案资料和信息，必须确保甲方档案、数据信息的安全和保密。</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二、乙方在工作过程中，必须妥善保管原始资料，不得损坏、遗失甲方的任何原始资料，不得在原始资料上进行涂抹、划线、圈点、修改。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三、乙方不得把甲方原始资料、工作数据私自带离工作现场，不得以任何形式提供给任何公司和个人谋取私利。</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四、乙方不得通过口头、书面、拍照、复制等任何形式私自获取和泄漏甲方资料信息内容。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五、乙方不得通过U盘、手机等存储介质拷贝或网络云盘上传等私自备份，不得通过QQ、微信、微博、电子邮件等各种网络途径传播甲方任何信息，或散布、出版任何有关甲方信息言论。</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六、乙方不以任何方式泄露或发布所接触的涉密档案文件内容，包括公司秘密、商业秘密、个人隐私。</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七、甲方提供的工作电脑应设置工作权限，采用加密U盘，断开外部网络，做好安全管控措施。</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八、甲方有权不定期检查乙方的安全保密情况，如有漏洞，甲方可根据实际情况向乙方提出口头及书面警告，乙方应根据甲方的要求无条件的进行整改。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九、本协议第五、六、七条规定在本合同到期或终止后仍然有效。</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乙方要求参与本项目的工作人员均应承诺以上条款，遵守本协议的约定。</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本保密协议作为合同附件，与合同具有同等法律效力，自双方签字并盖章之日起生效。</w:t>
      </w:r>
    </w:p>
    <w:p>
      <w:pPr>
        <w:pStyle w:val="9"/>
        <w:keepNext w:val="0"/>
        <w:keepLines w:val="0"/>
        <w:pageBreakBefore w:val="0"/>
        <w:kinsoku/>
        <w:wordWrap/>
        <w:overflowPunct/>
        <w:topLinePunct w:val="0"/>
        <w:autoSpaceDE/>
        <w:autoSpaceDN/>
        <w:bidi w:val="0"/>
        <w:adjustRightInd w:val="0"/>
        <w:snapToGrid/>
        <w:spacing w:after="0" w:line="240" w:lineRule="auto"/>
        <w:textAlignment w:val="baseline"/>
        <w:rPr>
          <w:rFonts w:hint="eastAsia" w:ascii="仿宋_GB2312" w:hAnsi="仿宋_GB2312" w:eastAsia="仿宋_GB2312" w:cs="仿宋_GB2312"/>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sectPr>
          <w:headerReference r:id="rId5" w:type="default"/>
          <w:footerReference r:id="rId6" w:type="default"/>
          <w:pgSz w:w="11907" w:h="16840"/>
          <w:pgMar w:top="2098" w:right="1531" w:bottom="1984" w:left="1531" w:header="851" w:footer="992" w:gutter="0"/>
          <w:pgNumType w:start="1"/>
          <w:cols w:space="720" w:num="1"/>
          <w:docGrid w:type="linesAndChars" w:linePitch="435" w:charSpace="4096"/>
        </w:sect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kern w:val="2"/>
          <w:sz w:val="28"/>
          <w:szCs w:val="28"/>
          <w:highlight w:val="none"/>
          <w:lang w:val="en-US" w:eastAsia="zh-CN"/>
        </w:rPr>
        <w:t>广州市净水</w:t>
      </w:r>
      <w:r>
        <w:rPr>
          <w:rFonts w:hint="eastAsia" w:ascii="仿宋_GB2312" w:hAnsi="仿宋_GB2312" w:eastAsia="仿宋_GB2312" w:cs="仿宋_GB2312"/>
          <w:color w:val="auto"/>
          <w:kern w:val="2"/>
          <w:sz w:val="28"/>
          <w:szCs w:val="28"/>
          <w:highlight w:val="none"/>
        </w:rPr>
        <w:t>有限公司</w:t>
      </w:r>
    </w:p>
    <w:p>
      <w:pPr>
        <w:keepNext w:val="0"/>
        <w:keepLines w:val="0"/>
        <w:pageBreakBefore w:val="0"/>
        <w:tabs>
          <w:tab w:val="left" w:pos="360"/>
        </w:tabs>
        <w:kinsoku/>
        <w:wordWrap/>
        <w:overflowPunct/>
        <w:topLinePunct w:val="0"/>
        <w:autoSpaceDE/>
        <w:autoSpaceDN/>
        <w:bidi w:val="0"/>
        <w:adjustRightInd w:val="0"/>
        <w:snapToGrid/>
        <w:spacing w:line="240" w:lineRule="auto"/>
        <w:ind w:firstLine="900" w:firstLineChars="3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经办人：</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签订日期：</w:t>
      </w: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tabs>
          <w:tab w:val="left" w:pos="360"/>
        </w:tabs>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w:t>
      </w: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保密人：</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签订日期</w:t>
      </w:r>
    </w:p>
    <w:p>
      <w:pPr>
        <w:pStyle w:val="2"/>
        <w:rPr>
          <w:rFonts w:hint="eastAsia"/>
          <w:color w:val="auto"/>
          <w:highlight w:val="none"/>
        </w:rPr>
        <w:sectPr>
          <w:type w:val="continuous"/>
          <w:pgSz w:w="11907" w:h="16840"/>
          <w:pgMar w:top="2098" w:right="1531" w:bottom="1984" w:left="1531" w:header="851" w:footer="992" w:gutter="0"/>
          <w:pgNumType w:start="1"/>
          <w:cols w:equalWidth="0" w:num="2">
            <w:col w:w="4210" w:space="425"/>
            <w:col w:w="4210"/>
          </w:cols>
          <w:docGrid w:type="linesAndChars" w:linePitch="435" w:charSpace="4096"/>
        </w:sectPr>
      </w:pPr>
    </w:p>
    <w:p>
      <w:pPr>
        <w:spacing w:line="560" w:lineRule="exact"/>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附件4</w:t>
      </w:r>
    </w:p>
    <w:p>
      <w:pPr>
        <w:pStyle w:val="7"/>
        <w:rPr>
          <w:rFonts w:hint="eastAsia"/>
          <w:color w:val="auto"/>
          <w:highlight w:val="none"/>
        </w:rPr>
      </w:pPr>
    </w:p>
    <w:p>
      <w:pPr>
        <w:spacing w:line="440" w:lineRule="exact"/>
        <w:jc w:val="center"/>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lang w:val="en-US" w:eastAsia="zh-CN"/>
        </w:rPr>
        <w:t>防疫</w:t>
      </w:r>
      <w:r>
        <w:rPr>
          <w:rFonts w:hint="eastAsia" w:ascii="方正小标宋简体" w:hAnsi="方正小标宋简体" w:eastAsia="方正小标宋简体" w:cs="方正小标宋简体"/>
          <w:b w:val="0"/>
          <w:bCs w:val="0"/>
          <w:color w:val="auto"/>
          <w:sz w:val="32"/>
          <w:szCs w:val="32"/>
          <w:highlight w:val="none"/>
        </w:rPr>
        <w:t>管理协议书</w:t>
      </w:r>
    </w:p>
    <w:p>
      <w:pPr>
        <w:spacing w:line="440" w:lineRule="exact"/>
        <w:rPr>
          <w:rFonts w:hint="eastAsia" w:ascii="仿宋_GB2312" w:hAnsi="仿宋_GB2312" w:eastAsia="仿宋_GB2312" w:cs="仿宋_GB2312"/>
          <w:color w:val="auto"/>
          <w:sz w:val="28"/>
          <w:szCs w:val="28"/>
          <w:highlight w:val="none"/>
        </w:rPr>
      </w:pPr>
    </w:p>
    <w:p>
      <w:pPr>
        <w:adjustRightInd w:val="0"/>
        <w:snapToGrid w:val="0"/>
        <w:spacing w:line="4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广州市净水有限公司</w:t>
      </w:r>
    </w:p>
    <w:p>
      <w:pPr>
        <w:adjustRightInd w:val="0"/>
        <w:snapToGrid w:val="0"/>
        <w:spacing w:line="440" w:lineRule="exact"/>
        <w:ind w:firstLine="560" w:firstLineChars="200"/>
        <w:jc w:val="left"/>
        <w:rPr>
          <w:rStyle w:val="24"/>
          <w:rFonts w:hint="eastAsia" w:ascii="仿宋_GB2312" w:hAnsi="仿宋_GB2312" w:eastAsia="仿宋_GB2312" w:cs="仿宋_GB2312"/>
          <w:b w:val="0"/>
          <w:color w:val="auto"/>
          <w:sz w:val="28"/>
          <w:szCs w:val="28"/>
          <w:highlight w:val="none"/>
          <w:u w:val="single"/>
        </w:rPr>
      </w:pPr>
      <w:bookmarkStart w:id="99" w:name="_Toc21391"/>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Style w:val="24"/>
          <w:rFonts w:hint="eastAsia" w:ascii="仿宋_GB2312" w:hAnsi="仿宋_GB2312" w:eastAsia="仿宋_GB2312" w:cs="仿宋_GB2312"/>
          <w:color w:val="auto"/>
          <w:sz w:val="28"/>
          <w:szCs w:val="28"/>
          <w:highlight w:val="none"/>
          <w:u w:val="single"/>
        </w:rPr>
        <w:t xml:space="preserve">                  </w:t>
      </w:r>
    </w:p>
    <w:bookmarkEnd w:id="99"/>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一、</w:t>
      </w:r>
      <w:r>
        <w:rPr>
          <w:rFonts w:hint="eastAsia" w:ascii="黑体" w:hAnsi="黑体" w:eastAsia="黑体" w:cs="黑体"/>
          <w:color w:val="auto"/>
          <w:sz w:val="28"/>
          <w:szCs w:val="28"/>
          <w:highlight w:val="none"/>
        </w:rPr>
        <w:t>本协议与主协议的关系</w:t>
      </w:r>
    </w:p>
    <w:p>
      <w:pPr>
        <w:adjustRightInd w:val="0"/>
        <w:snapToGrid w:val="0"/>
        <w:spacing w:line="440" w:lineRule="exact"/>
        <w:ind w:left="105"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本协议作为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u w:val="single"/>
          <w:lang w:val="en-US" w:eastAsia="zh-CN"/>
        </w:rPr>
        <w:t>2010年-2021年文书档案整理</w:t>
      </w:r>
      <w:r>
        <w:rPr>
          <w:rFonts w:hint="eastAsia" w:ascii="仿宋_GB2312" w:hAnsi="仿宋_GB2312" w:eastAsia="仿宋_GB2312" w:cs="仿宋_GB2312"/>
          <w:color w:val="auto"/>
          <w:sz w:val="28"/>
          <w:szCs w:val="28"/>
          <w:highlight w:val="none"/>
          <w:u w:val="single"/>
        </w:rPr>
        <w:t>项目</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w:t>
      </w:r>
      <w:r>
        <w:rPr>
          <w:rFonts w:hint="eastAsia" w:ascii="仿宋_GB2312" w:hAnsi="仿宋_GB2312" w:eastAsia="仿宋_GB2312" w:cs="仿宋_GB2312"/>
          <w:color w:val="auto"/>
          <w:sz w:val="28"/>
          <w:szCs w:val="28"/>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（一）开展疫情防控宣传教育，提高</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kern w:val="2"/>
          <w:sz w:val="28"/>
          <w:szCs w:val="28"/>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（二）</w:t>
      </w:r>
      <w:r>
        <w:rPr>
          <w:rFonts w:hint="eastAsia" w:ascii="仿宋_GB2312" w:hAnsi="仿宋_GB2312" w:eastAsia="仿宋_GB2312" w:cs="仿宋_GB2312"/>
          <w:color w:val="auto"/>
          <w:sz w:val="28"/>
          <w:szCs w:val="28"/>
          <w:highlight w:val="none"/>
          <w:lang w:val="en-US" w:eastAsia="zh-CN"/>
        </w:rPr>
        <w:t>做好乙方人员防控工作管理，及时提交防疫资料，落实疫情防控备案，必要时需</w:t>
      </w:r>
      <w:r>
        <w:rPr>
          <w:rFonts w:hint="eastAsia" w:ascii="仿宋_GB2312" w:hAnsi="仿宋_GB2312" w:eastAsia="仿宋_GB2312" w:cs="仿宋_GB2312"/>
          <w:color w:val="auto"/>
          <w:kern w:val="2"/>
          <w:sz w:val="28"/>
          <w:szCs w:val="28"/>
          <w:highlight w:val="none"/>
          <w:lang w:val="en-US" w:eastAsia="zh-CN" w:bidi="ar-SA"/>
        </w:rPr>
        <w:t>编制防控管理工作方案</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（三）乙方人员须按</w:t>
      </w:r>
      <w:r>
        <w:rPr>
          <w:rFonts w:hint="eastAsia" w:ascii="仿宋_GB2312" w:hAnsi="仿宋_GB2312" w:eastAsia="仿宋_GB2312" w:cs="仿宋_GB2312"/>
          <w:color w:val="auto"/>
          <w:sz w:val="28"/>
          <w:szCs w:val="28"/>
          <w:highlight w:val="none"/>
          <w:lang w:val="en-US" w:eastAsia="zh-CN"/>
        </w:rPr>
        <w:t>照</w:t>
      </w:r>
      <w:r>
        <w:rPr>
          <w:rFonts w:hint="eastAsia" w:ascii="仿宋_GB2312" w:hAnsi="仿宋_GB2312" w:eastAsia="仿宋_GB2312" w:cs="仿宋_GB2312"/>
          <w:color w:val="auto"/>
          <w:kern w:val="2"/>
          <w:sz w:val="28"/>
          <w:szCs w:val="28"/>
          <w:highlight w:val="none"/>
          <w:lang w:val="en-US" w:eastAsia="zh-CN" w:bidi="ar-SA"/>
        </w:rPr>
        <w:t>甲方各厂区进厂门岗防控要求</w:t>
      </w:r>
      <w:r>
        <w:rPr>
          <w:rFonts w:hint="eastAsia" w:ascii="仿宋_GB2312" w:hAnsi="仿宋_GB2312" w:eastAsia="仿宋_GB2312" w:cs="仿宋_GB2312"/>
          <w:color w:val="auto"/>
          <w:sz w:val="28"/>
          <w:szCs w:val="28"/>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（五）各级政府、有关部门及甲方的其他</w:t>
      </w:r>
      <w:r>
        <w:rPr>
          <w:rFonts w:hint="eastAsia" w:ascii="仿宋_GB2312" w:hAnsi="仿宋_GB2312" w:eastAsia="仿宋_GB2312" w:cs="仿宋_GB2312"/>
          <w:color w:val="auto"/>
          <w:sz w:val="28"/>
          <w:szCs w:val="28"/>
          <w:highlight w:val="none"/>
          <w:lang w:val="en-US" w:eastAsia="zh-CN"/>
        </w:rPr>
        <w:t>防控要求</w:t>
      </w:r>
      <w:r>
        <w:rPr>
          <w:rFonts w:hint="eastAsia" w:ascii="仿宋_GB2312" w:hAnsi="仿宋_GB2312" w:eastAsia="仿宋_GB2312" w:cs="仿宋_GB2312"/>
          <w:color w:val="auto"/>
          <w:kern w:val="2"/>
          <w:sz w:val="28"/>
          <w:szCs w:val="28"/>
          <w:highlight w:val="none"/>
          <w:lang w:val="en-US" w:eastAsia="zh-CN" w:bidi="ar-SA"/>
        </w:rPr>
        <w:t>。</w:t>
      </w:r>
    </w:p>
    <w:p>
      <w:pPr>
        <w:numPr>
          <w:ilvl w:val="0"/>
          <w:numId w:val="0"/>
        </w:numPr>
        <w:adjustRightInd w:val="0"/>
        <w:snapToGrid w:val="0"/>
        <w:spacing w:line="440" w:lineRule="exact"/>
        <w:ind w:firstLine="560" w:firstLineChars="200"/>
        <w:jc w:val="left"/>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（一）乙方人员及其</w:t>
      </w:r>
      <w:r>
        <w:rPr>
          <w:rFonts w:hint="eastAsia" w:ascii="仿宋_GB2312" w:hAnsi="仿宋_GB2312" w:eastAsia="仿宋_GB2312" w:cs="仿宋_GB2312"/>
          <w:color w:val="auto"/>
          <w:sz w:val="28"/>
          <w:szCs w:val="28"/>
          <w:highlight w:val="none"/>
          <w:lang w:val="en-US" w:eastAsia="zh-CN"/>
        </w:rPr>
        <w:t>密接</w:t>
      </w:r>
      <w:r>
        <w:rPr>
          <w:rFonts w:hint="eastAsia" w:ascii="仿宋_GB2312" w:hAnsi="仿宋_GB2312" w:eastAsia="仿宋_GB2312" w:cs="仿宋_GB2312"/>
          <w:color w:val="auto"/>
          <w:sz w:val="28"/>
          <w:szCs w:val="28"/>
          <w:highlight w:val="none"/>
          <w:lang w:val="en-US" w:eastAsia="zh-CN"/>
        </w:rPr>
        <w:t>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（三）乙方项目维修施工人员拒不配合甲方疫情防控要求或不满足甲方防疫工作要求的，甲方有权要求乙方3天内更换服务人员。</w:t>
      </w:r>
    </w:p>
    <w:p>
      <w:pPr>
        <w:pStyle w:val="34"/>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、补充条款：</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w:t>
      </w:r>
    </w:p>
    <w:p>
      <w:pPr>
        <w:adjustRightInd w:val="0"/>
        <w:snapToGrid w:val="0"/>
        <w:spacing w:line="4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、附则</w:t>
      </w:r>
    </w:p>
    <w:p>
      <w:pPr>
        <w:adjustRightInd w:val="0"/>
        <w:snapToGrid w:val="0"/>
        <w:spacing w:line="4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本协议与合同同时签订、同时终止、同时生效，具有相同的法律效力。合同由甲乙双方签字、盖章生效，甲乙双方各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份。</w:t>
      </w:r>
    </w:p>
    <w:p>
      <w:pPr>
        <w:adjustRightInd w:val="0"/>
        <w:snapToGrid w:val="0"/>
        <w:spacing w:line="440" w:lineRule="exact"/>
        <w:rPr>
          <w:rFonts w:hint="eastAsia" w:ascii="仿宋_GB2312" w:hAnsi="仿宋_GB2312" w:eastAsia="仿宋_GB2312" w:cs="仿宋_GB2312"/>
          <w:color w:val="auto"/>
          <w:sz w:val="28"/>
          <w:szCs w:val="28"/>
          <w:highlight w:val="none"/>
        </w:rPr>
      </w:pPr>
    </w:p>
    <w:p>
      <w:pPr>
        <w:adjustRightInd w:val="0"/>
        <w:snapToGrid w:val="0"/>
        <w:spacing w:line="440" w:lineRule="exact"/>
        <w:ind w:left="1550" w:leftChars="5" w:hanging="1540" w:hangingChars="5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 xml:space="preserve">代表 （章）：               </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代表（章）：                                                           　　              　　　　　　　</w:t>
      </w:r>
    </w:p>
    <w:p>
      <w:pPr>
        <w:adjustRightInd w:val="0"/>
        <w:snapToGrid w:val="0"/>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ind w:firstLine="0"/>
        <w:rPr>
          <w:color w:val="auto"/>
          <w:highlight w:val="none"/>
        </w:rPr>
      </w:pPr>
    </w:p>
    <w:p>
      <w:pPr>
        <w:pStyle w:val="46"/>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5</w:t>
      </w:r>
    </w:p>
    <w:p>
      <w:pPr>
        <w:pStyle w:val="46"/>
        <w:rPr>
          <w:rFonts w:hint="eastAsia" w:ascii="黑体" w:hAnsi="黑体" w:eastAsia="黑体" w:cs="黑体"/>
          <w:color w:val="auto"/>
          <w:sz w:val="28"/>
          <w:szCs w:val="28"/>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44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（一）建设生产现场发生人员</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val="en-US" w:eastAsia="zh-CN"/>
              </w:rPr>
              <w:t>重伤10人以上（含）、或</w:t>
            </w:r>
            <w:r>
              <w:rPr>
                <w:rFonts w:hint="eastAsia" w:ascii="仿宋_GB2312" w:hAnsi="仿宋_GB2312" w:eastAsia="仿宋_GB2312" w:cs="仿宋_GB2312"/>
                <w:color w:val="auto"/>
                <w:sz w:val="21"/>
                <w:szCs w:val="21"/>
                <w:highlight w:val="none"/>
              </w:rPr>
              <w:t>重大及以上事故的，暂停投标4年或以上</w:t>
            </w:r>
            <w:r>
              <w:rPr>
                <w:rFonts w:hint="eastAsia" w:ascii="仿宋_GB2312" w:hAnsi="仿宋_GB2312" w:eastAsia="仿宋_GB2312" w:cs="仿宋_GB2312"/>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 w:val="21"/>
                <w:szCs w:val="21"/>
                <w:highlight w:val="none"/>
                <w:lang w:eastAsia="zh-CN"/>
              </w:rPr>
              <w:t>大面积运营晚点，</w:t>
            </w:r>
            <w:r>
              <w:rPr>
                <w:rFonts w:hint="eastAsia" w:ascii="仿宋_GB2312" w:hAnsi="仿宋_GB2312" w:eastAsia="仿宋_GB2312" w:cs="仿宋_GB2312"/>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w:t>
            </w:r>
            <w:r>
              <w:rPr>
                <w:rFonts w:hint="eastAsia" w:ascii="仿宋_GB2312" w:hAnsi="仿宋_GB2312" w:eastAsia="仿宋_GB2312" w:cs="仿宋_GB2312"/>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二</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rPr>
              <w:t>。若至下一个自然年度项目尚未完结，仍出现该款情形的，继续暂停投标</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w:t>
            </w:r>
            <w:r>
              <w:rPr>
                <w:rFonts w:hint="eastAsia" w:ascii="仿宋_GB2312" w:hAnsi="仿宋_GB2312" w:eastAsia="仿宋_GB2312" w:cs="仿宋_GB2312"/>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（十二）</w:t>
            </w:r>
            <w:r>
              <w:rPr>
                <w:rFonts w:hint="eastAsia" w:ascii="仿宋_GB2312" w:hAnsi="仿宋_GB2312" w:eastAsia="仿宋_GB2312" w:cs="仿宋_GB2312"/>
                <w:color w:val="auto"/>
                <w:sz w:val="21"/>
                <w:szCs w:val="21"/>
                <w:highlight w:val="none"/>
                <w:lang w:val="en-US" w:eastAsia="zh-CN"/>
              </w:rPr>
              <w:t>经发包人认定的其他不诚信行为</w:t>
            </w:r>
            <w:r>
              <w:rPr>
                <w:rFonts w:hint="eastAsia" w:ascii="仿宋_GB2312" w:hAnsi="仿宋_GB2312" w:eastAsia="仿宋_GB2312" w:cs="仿宋_GB2312"/>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pacing w:line="240" w:lineRule="auto"/>
        <w:ind w:firstLine="0" w:firstLineChars="0"/>
        <w:contextualSpacing/>
        <w:jc w:val="left"/>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1"/>
          <w:szCs w:val="21"/>
          <w:highlight w:val="none"/>
          <w:lang w:val="en-US" w:eastAsia="zh-CN"/>
        </w:rPr>
        <w:t>备注：本处罚标准出自</w:t>
      </w:r>
      <w:r>
        <w:rPr>
          <w:rFonts w:hint="eastAsia" w:ascii="仿宋_GB2312" w:hAnsi="仿宋_GB2312" w:eastAsia="仿宋_GB2312" w:cs="仿宋_GB2312"/>
          <w:color w:val="auto"/>
          <w:sz w:val="21"/>
          <w:szCs w:val="21"/>
          <w:highlight w:val="none"/>
        </w:rPr>
        <w:t>《广州市净水有限公司经营建设项目参建企业不诚信行为管理办法》</w:t>
      </w:r>
      <w:r>
        <w:rPr>
          <w:rFonts w:hint="eastAsia" w:ascii="仿宋_GB2312" w:hAnsi="仿宋_GB2312" w:eastAsia="仿宋_GB2312" w:cs="仿宋_GB2312"/>
          <w:color w:val="auto"/>
          <w:sz w:val="21"/>
          <w:szCs w:val="21"/>
          <w:highlight w:val="none"/>
          <w:lang w:eastAsia="zh-CN"/>
        </w:rPr>
        <w:t>。</w:t>
      </w:r>
    </w:p>
    <w:bookmarkEnd w:id="84"/>
    <w:bookmarkEnd w:id="85"/>
    <w:bookmarkEnd w:id="86"/>
    <w:bookmarkEnd w:id="87"/>
    <w:bookmarkEnd w:id="88"/>
    <w:bookmarkEnd w:id="89"/>
    <w:bookmarkEnd w:id="90"/>
    <w:bookmarkEnd w:id="91"/>
    <w:bookmarkEnd w:id="92"/>
    <w:bookmarkEnd w:id="93"/>
    <w:bookmarkEnd w:id="94"/>
    <w:bookmarkEnd w:id="95"/>
    <w:bookmarkEnd w:id="96"/>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00" w:name="_Toc6230"/>
      <w:bookmarkStart w:id="101" w:name="_Toc12169"/>
      <w:bookmarkStart w:id="102" w:name="_Toc8147"/>
      <w:bookmarkStart w:id="103" w:name="_Toc3723"/>
      <w:bookmarkStart w:id="104" w:name="_Toc21847"/>
      <w:bookmarkStart w:id="105" w:name="_Toc1563"/>
      <w:bookmarkStart w:id="106" w:name="_Toc23515"/>
      <w:bookmarkStart w:id="107" w:name="_Toc30824"/>
      <w:bookmarkStart w:id="108" w:name="_Toc5129"/>
      <w:bookmarkStart w:id="109" w:name="_Toc28358"/>
      <w:bookmarkStart w:id="110"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34"/>
        <w:rPr>
          <w:color w:val="auto"/>
          <w:highlight w:val="none"/>
        </w:rPr>
      </w:pPr>
    </w:p>
    <w:p>
      <w:pPr>
        <w:pStyle w:val="4"/>
        <w:rPr>
          <w:color w:val="auto"/>
          <w:highlight w:val="none"/>
        </w:rPr>
      </w:pPr>
      <w:bookmarkStart w:id="111" w:name="_Toc10840"/>
      <w:bookmarkStart w:id="112" w:name="_Toc12769"/>
      <w:bookmarkStart w:id="113" w:name="_Toc24815"/>
      <w:bookmarkStart w:id="114" w:name="_Toc24490"/>
      <w:bookmarkStart w:id="115" w:name="_Toc88209951"/>
      <w:bookmarkStart w:id="116" w:name="_Toc30157"/>
      <w:bookmarkStart w:id="117" w:name="_Toc87616388"/>
      <w:bookmarkStart w:id="118" w:name="_Toc5342"/>
      <w:bookmarkStart w:id="119" w:name="_Toc12610"/>
      <w:bookmarkStart w:id="120" w:name="_Toc31564"/>
      <w:bookmarkStart w:id="121" w:name="_Toc22764"/>
      <w:bookmarkStart w:id="122" w:name="_Toc17119"/>
      <w:bookmarkStart w:id="123" w:name="_Toc21675"/>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7616389"/>
      <w:bookmarkStart w:id="125" w:name="_Toc88209952"/>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8209953"/>
      <w:bookmarkStart w:id="127" w:name="_Toc87616390"/>
      <w:r>
        <w:rPr>
          <w:rFonts w:hint="eastAsia" w:ascii="仿宋_GB2312" w:eastAsia="仿宋_GB2312"/>
          <w:color w:val="auto"/>
          <w:sz w:val="28"/>
          <w:szCs w:val="28"/>
          <w:highlight w:val="none"/>
        </w:rPr>
        <w:t>2.法定代表人证明或授权委托书</w:t>
      </w:r>
      <w:bookmarkEnd w:id="126"/>
      <w:bookmarkEnd w:id="127"/>
      <w:bookmarkStart w:id="128" w:name="_Toc87616393"/>
      <w:bookmarkStart w:id="12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0" w:name="_Toc28619645"/>
      <w:bookmarkStart w:id="131" w:name="_Toc12665"/>
      <w:bookmarkStart w:id="132" w:name="_Toc88209957"/>
      <w:bookmarkStart w:id="133" w:name="_Toc6313"/>
      <w:bookmarkStart w:id="134" w:name="_Toc87616394"/>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w:t>
      </w:r>
      <w:r>
        <w:rPr>
          <w:rFonts w:hint="eastAsia" w:ascii="仿宋_GB2312" w:hAnsi="黑体" w:eastAsia="仿宋_GB2312"/>
          <w:color w:val="auto"/>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5" w:name="_Toc29833"/>
      <w:bookmarkStart w:id="136" w:name="_Toc22527"/>
      <w:bookmarkStart w:id="137" w:name="_Toc87616395"/>
      <w:bookmarkStart w:id="138"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19830"/>
      <w:bookmarkStart w:id="140" w:name="_Toc88209963"/>
      <w:bookmarkStart w:id="141" w:name="_Toc8086"/>
      <w:bookmarkStart w:id="142"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43"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bookmarkStart w:id="144" w:name="_Toc32430"/>
      <w:bookmarkStart w:id="145" w:name="_Toc19423"/>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服务类</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p>
      <w:pPr>
        <w:keepNext w:val="0"/>
        <w:keepLines w:val="0"/>
        <w:pageBreakBefore w:val="0"/>
        <w:widowControl w:val="0"/>
        <w:kinsoku/>
        <w:wordWrap/>
        <w:overflowPunct/>
        <w:topLinePunct w:val="0"/>
        <w:autoSpaceDE/>
        <w:autoSpaceDN/>
        <w:bidi w:val="0"/>
        <w:adjustRightInd w:val="0"/>
        <w:snapToGrid/>
        <w:spacing w:line="360" w:lineRule="auto"/>
        <w:ind w:firstLine="800" w:firstLineChars="200"/>
        <w:jc w:val="center"/>
        <w:textAlignment w:val="baseline"/>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文件整理报价表</w:t>
      </w:r>
    </w:p>
    <w:tbl>
      <w:tblPr>
        <w:tblStyle w:val="22"/>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68"/>
        <w:gridCol w:w="722"/>
        <w:gridCol w:w="1525"/>
        <w:gridCol w:w="1525"/>
        <w:gridCol w:w="156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项目整理</w:t>
            </w:r>
          </w:p>
        </w:tc>
        <w:tc>
          <w:tcPr>
            <w:tcW w:w="722"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Style w:val="45"/>
                <w:rFonts w:hint="eastAsia" w:ascii="仿宋_GB2312" w:hAnsi="仿宋_GB2312" w:eastAsia="仿宋_GB2312" w:cs="仿宋_GB2312"/>
                <w:b w:val="0"/>
                <w:bCs/>
                <w:color w:val="auto"/>
                <w:sz w:val="28"/>
                <w:szCs w:val="28"/>
                <w:highlight w:val="none"/>
                <w:lang w:val="en-US" w:eastAsia="zh-CN" w:bidi="ar"/>
              </w:rPr>
              <w:t>预计</w:t>
            </w:r>
            <w:r>
              <w:rPr>
                <w:rStyle w:val="44"/>
                <w:rFonts w:hint="eastAsia" w:ascii="仿宋_GB2312" w:hAnsi="仿宋_GB2312" w:eastAsia="仿宋_GB2312" w:cs="仿宋_GB2312"/>
                <w:color w:val="auto"/>
                <w:sz w:val="28"/>
                <w:szCs w:val="28"/>
                <w:highlight w:val="none"/>
                <w:lang w:val="en-US" w:eastAsia="zh-CN" w:bidi="ar"/>
              </w:rPr>
              <w:t>需整理数量</w:t>
            </w:r>
          </w:p>
        </w:tc>
        <w:tc>
          <w:tcPr>
            <w:tcW w:w="1525"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单价/元</w:t>
            </w:r>
          </w:p>
        </w:tc>
        <w:tc>
          <w:tcPr>
            <w:tcW w:w="1568"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金额/元</w:t>
            </w:r>
          </w:p>
        </w:tc>
        <w:tc>
          <w:tcPr>
            <w:tcW w:w="844" w:type="dxa"/>
            <w:noWrap w:val="0"/>
            <w:vAlign w:val="center"/>
          </w:tcPr>
          <w:p>
            <w:pPr>
              <w:pStyle w:val="2"/>
              <w:spacing w:line="240" w:lineRule="auto"/>
              <w:ind w:left="0" w:leftChars="0"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2068" w:type="dxa"/>
            <w:noWrap w:val="0"/>
            <w:vAlign w:val="center"/>
          </w:tcPr>
          <w:p>
            <w:pPr>
              <w:jc w:val="center"/>
              <w:rPr>
                <w:color w:val="auto"/>
                <w:highlight w:val="none"/>
              </w:rPr>
            </w:pPr>
            <w:r>
              <w:rPr>
                <w:rFonts w:hint="eastAsia" w:ascii="仿宋_GB2312" w:hAnsi="仿宋_GB2312" w:eastAsia="仿宋_GB2312" w:cs="仿宋_GB2312"/>
                <w:i w:val="0"/>
                <w:color w:val="auto"/>
                <w:kern w:val="0"/>
                <w:sz w:val="28"/>
                <w:szCs w:val="28"/>
                <w:highlight w:val="none"/>
                <w:u w:val="none"/>
                <w:lang w:val="en-US" w:eastAsia="zh-CN" w:bidi="ar"/>
              </w:rPr>
              <w:t>文书档案</w:t>
            </w:r>
          </w:p>
          <w:p>
            <w:pPr>
              <w:widowControl/>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整理</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50000</w:t>
            </w:r>
          </w:p>
        </w:tc>
        <w:tc>
          <w:tcPr>
            <w:tcW w:w="1525"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568"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844"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数据录入</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条</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70000</w:t>
            </w:r>
          </w:p>
        </w:tc>
        <w:tc>
          <w:tcPr>
            <w:tcW w:w="1525"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568"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844"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发文汇编</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件</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30000</w:t>
            </w:r>
          </w:p>
        </w:tc>
        <w:tc>
          <w:tcPr>
            <w:tcW w:w="1525"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568"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844"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3"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2068"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文件扫描</w:t>
            </w:r>
          </w:p>
        </w:tc>
        <w:tc>
          <w:tcPr>
            <w:tcW w:w="722"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页</w:t>
            </w:r>
          </w:p>
        </w:tc>
        <w:tc>
          <w:tcPr>
            <w:tcW w:w="1525" w:type="dxa"/>
            <w:noWrap w:val="0"/>
            <w:vAlign w:val="center"/>
          </w:tcPr>
          <w:p>
            <w:pPr>
              <w:pStyle w:val="2"/>
              <w:spacing w:line="240" w:lineRule="auto"/>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80000</w:t>
            </w:r>
          </w:p>
        </w:tc>
        <w:tc>
          <w:tcPr>
            <w:tcW w:w="1525"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1568" w:type="dxa"/>
            <w:noWrap w:val="0"/>
            <w:vAlign w:val="center"/>
          </w:tcPr>
          <w:p>
            <w:pPr>
              <w:pStyle w:val="2"/>
              <w:spacing w:line="240" w:lineRule="auto"/>
              <w:jc w:val="center"/>
              <w:rPr>
                <w:rFonts w:hint="eastAsia" w:ascii="仿宋_GB2312" w:hAnsi="仿宋_GB2312" w:eastAsia="仿宋_GB2312" w:cs="仿宋_GB2312"/>
                <w:color w:val="auto"/>
                <w:sz w:val="28"/>
                <w:szCs w:val="28"/>
                <w:highlight w:val="none"/>
                <w:vertAlign w:val="baseline"/>
                <w:lang w:val="en-US" w:eastAsia="zh-CN"/>
              </w:rPr>
            </w:pPr>
          </w:p>
        </w:tc>
        <w:tc>
          <w:tcPr>
            <w:tcW w:w="844" w:type="dxa"/>
            <w:noWrap w:val="0"/>
            <w:vAlign w:val="center"/>
          </w:tcPr>
          <w:p>
            <w:pPr>
              <w:pStyle w:val="2"/>
              <w:spacing w:line="240" w:lineRule="auto"/>
              <w:ind w:firstLine="0" w:firstLineChars="0"/>
              <w:jc w:val="both"/>
              <w:rPr>
                <w:rFonts w:hint="eastAsia" w:ascii="仿宋_GB2312" w:hAnsi="仿宋_GB2312" w:eastAsia="仿宋_GB2312" w:cs="仿宋_GB2312"/>
                <w:color w:val="auto"/>
                <w:sz w:val="28"/>
                <w:szCs w:val="28"/>
                <w:highlight w:val="none"/>
                <w:vertAlign w:val="baseline"/>
                <w:lang w:val="en-US" w:eastAsia="zh-CN"/>
              </w:rPr>
            </w:pPr>
            <w:r>
              <w:rPr>
                <w:rFonts w:hint="eastAsia" w:eastAsia="仿宋_GB2312"/>
                <w:color w:val="auto"/>
                <w:sz w:val="28"/>
                <w:szCs w:val="28"/>
                <w:highlight w:val="none"/>
              </w:rPr>
              <w:t>幅面</w:t>
            </w:r>
            <w:r>
              <w:rPr>
                <w:rFonts w:hint="eastAsia" w:eastAsia="仿宋_GB2312"/>
                <w:color w:val="auto"/>
                <w:sz w:val="28"/>
                <w:szCs w:val="28"/>
                <w:highlight w:val="none"/>
                <w:lang w:val="en-US" w:eastAsia="zh-CN"/>
              </w:rPr>
              <w:t>按</w:t>
            </w:r>
            <w:r>
              <w:rPr>
                <w:rFonts w:hint="eastAsia" w:eastAsia="仿宋_GB2312"/>
                <w:color w:val="auto"/>
                <w:sz w:val="28"/>
                <w:szCs w:val="28"/>
                <w:highlight w:val="none"/>
              </w:rPr>
              <w:t>A4计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2068"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722"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1525"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1525" w:type="dxa"/>
            <w:noWrap w:val="0"/>
            <w:vAlign w:val="center"/>
          </w:tcPr>
          <w:p>
            <w:pPr>
              <w:pStyle w:val="2"/>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总价</w:t>
            </w:r>
          </w:p>
          <w:p>
            <w:pPr>
              <w:pStyle w:val="2"/>
              <w:ind w:left="0" w:leftChars="0" w:firstLine="0" w:firstLine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（含税）：</w:t>
            </w:r>
          </w:p>
        </w:tc>
        <w:tc>
          <w:tcPr>
            <w:tcW w:w="1568"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c>
          <w:tcPr>
            <w:tcW w:w="844" w:type="dxa"/>
            <w:noWrap w:val="0"/>
            <w:vAlign w:val="center"/>
          </w:tcPr>
          <w:p>
            <w:pPr>
              <w:pStyle w:val="2"/>
              <w:jc w:val="center"/>
              <w:rPr>
                <w:rFonts w:hint="eastAsia" w:ascii="仿宋_GB2312" w:hAnsi="仿宋_GB2312" w:eastAsia="仿宋_GB2312" w:cs="仿宋_GB2312"/>
                <w:color w:val="auto"/>
                <w:sz w:val="28"/>
                <w:szCs w:val="28"/>
                <w:highlight w:val="none"/>
                <w:vertAlign w:val="baseline"/>
                <w:lang w:val="en-US" w:eastAsia="zh-CN"/>
              </w:rPr>
            </w:pPr>
          </w:p>
        </w:tc>
      </w:tr>
    </w:tbl>
    <w:p>
      <w:pPr>
        <w:ind w:firstLine="560"/>
        <w:rPr>
          <w:rFonts w:hint="eastAsia" w:ascii="宋体" w:hAnsi="宋体" w:eastAsia="宋体" w:cs="宋体"/>
          <w:color w:val="auto"/>
          <w:sz w:val="32"/>
          <w:szCs w:val="32"/>
          <w:highlight w:val="none"/>
          <w:lang w:val="en-US" w:eastAsia="zh-CN"/>
        </w:rPr>
      </w:pPr>
      <w:r>
        <w:rPr>
          <w:rFonts w:hint="eastAsia" w:ascii="仿宋_GB2312" w:hAnsi="仿宋_GB2312" w:eastAsia="仿宋_GB2312" w:cs="仿宋_GB2312"/>
          <w:color w:val="auto"/>
          <w:sz w:val="28"/>
          <w:szCs w:val="28"/>
          <w:highlight w:val="none"/>
          <w:u w:val="none"/>
          <w:lang w:val="en-US" w:eastAsia="zh-CN"/>
        </w:rPr>
        <w:t>备注：以项目实际整理数结算。</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6" w:name="_Toc16386"/>
      <w:bookmarkStart w:id="147" w:name="_Toc87616402"/>
      <w:bookmarkStart w:id="148" w:name="_Toc88209965"/>
      <w:bookmarkStart w:id="149"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2090C75"/>
    <w:rsid w:val="02A23A3C"/>
    <w:rsid w:val="02FC1B75"/>
    <w:rsid w:val="034623F4"/>
    <w:rsid w:val="03AC246A"/>
    <w:rsid w:val="03B23056"/>
    <w:rsid w:val="03CB16C5"/>
    <w:rsid w:val="03DC3EBA"/>
    <w:rsid w:val="03F9794D"/>
    <w:rsid w:val="046A2461"/>
    <w:rsid w:val="05BB1E9F"/>
    <w:rsid w:val="06074DB3"/>
    <w:rsid w:val="06C64829"/>
    <w:rsid w:val="0739540B"/>
    <w:rsid w:val="077D16D2"/>
    <w:rsid w:val="08675FC8"/>
    <w:rsid w:val="08802322"/>
    <w:rsid w:val="09B713FD"/>
    <w:rsid w:val="09EF6ACC"/>
    <w:rsid w:val="0A315056"/>
    <w:rsid w:val="0A5F1C3B"/>
    <w:rsid w:val="0AFB45AD"/>
    <w:rsid w:val="0B351E9B"/>
    <w:rsid w:val="0B4C50D3"/>
    <w:rsid w:val="0B806B92"/>
    <w:rsid w:val="0B827E94"/>
    <w:rsid w:val="0C247926"/>
    <w:rsid w:val="0D794204"/>
    <w:rsid w:val="0E2125D1"/>
    <w:rsid w:val="0E214211"/>
    <w:rsid w:val="0E5F2769"/>
    <w:rsid w:val="0F427081"/>
    <w:rsid w:val="0F4D75A3"/>
    <w:rsid w:val="0F5B2DCA"/>
    <w:rsid w:val="0FED051E"/>
    <w:rsid w:val="0FEE4C29"/>
    <w:rsid w:val="10046082"/>
    <w:rsid w:val="105E7494"/>
    <w:rsid w:val="10967A1D"/>
    <w:rsid w:val="112B101A"/>
    <w:rsid w:val="119B53FC"/>
    <w:rsid w:val="123A6418"/>
    <w:rsid w:val="12424CDC"/>
    <w:rsid w:val="129A2738"/>
    <w:rsid w:val="12B56BF1"/>
    <w:rsid w:val="12CB1A89"/>
    <w:rsid w:val="131840FB"/>
    <w:rsid w:val="13467417"/>
    <w:rsid w:val="136E76CF"/>
    <w:rsid w:val="13A0633A"/>
    <w:rsid w:val="14780070"/>
    <w:rsid w:val="150E6855"/>
    <w:rsid w:val="15856E7B"/>
    <w:rsid w:val="15BC6B3C"/>
    <w:rsid w:val="1694429A"/>
    <w:rsid w:val="17245465"/>
    <w:rsid w:val="17635326"/>
    <w:rsid w:val="176640E3"/>
    <w:rsid w:val="18236EFD"/>
    <w:rsid w:val="189D5B1F"/>
    <w:rsid w:val="18A34CD0"/>
    <w:rsid w:val="19B64DBC"/>
    <w:rsid w:val="1A373ACF"/>
    <w:rsid w:val="1A895341"/>
    <w:rsid w:val="1AB927FC"/>
    <w:rsid w:val="1AE46BFD"/>
    <w:rsid w:val="1B0D071F"/>
    <w:rsid w:val="1B4568CE"/>
    <w:rsid w:val="1B9015B7"/>
    <w:rsid w:val="1CE2010F"/>
    <w:rsid w:val="1CE77416"/>
    <w:rsid w:val="1D5A79EE"/>
    <w:rsid w:val="1E042E57"/>
    <w:rsid w:val="1E0E2CD0"/>
    <w:rsid w:val="1E831280"/>
    <w:rsid w:val="1E8B347C"/>
    <w:rsid w:val="1EBC4704"/>
    <w:rsid w:val="1F172EB5"/>
    <w:rsid w:val="1F94592D"/>
    <w:rsid w:val="1FB860DE"/>
    <w:rsid w:val="203C5A02"/>
    <w:rsid w:val="20813F75"/>
    <w:rsid w:val="209D4C94"/>
    <w:rsid w:val="214A38A7"/>
    <w:rsid w:val="218400BA"/>
    <w:rsid w:val="21AB1E2F"/>
    <w:rsid w:val="21D40498"/>
    <w:rsid w:val="22767047"/>
    <w:rsid w:val="22A52455"/>
    <w:rsid w:val="238D13D6"/>
    <w:rsid w:val="23A05588"/>
    <w:rsid w:val="24013393"/>
    <w:rsid w:val="242C1A68"/>
    <w:rsid w:val="246D1702"/>
    <w:rsid w:val="25431AEB"/>
    <w:rsid w:val="25BF43FD"/>
    <w:rsid w:val="25F86BCD"/>
    <w:rsid w:val="269E416A"/>
    <w:rsid w:val="26E42111"/>
    <w:rsid w:val="272100D3"/>
    <w:rsid w:val="272C72FC"/>
    <w:rsid w:val="27504257"/>
    <w:rsid w:val="27AE377E"/>
    <w:rsid w:val="27EB149D"/>
    <w:rsid w:val="28E11370"/>
    <w:rsid w:val="294A756A"/>
    <w:rsid w:val="29D5322D"/>
    <w:rsid w:val="2A025DD9"/>
    <w:rsid w:val="2A7C2231"/>
    <w:rsid w:val="2A854BC4"/>
    <w:rsid w:val="2ABB753D"/>
    <w:rsid w:val="2B7A49FA"/>
    <w:rsid w:val="2C615D26"/>
    <w:rsid w:val="2CB679ED"/>
    <w:rsid w:val="2D173C07"/>
    <w:rsid w:val="2D1B5457"/>
    <w:rsid w:val="2D424A86"/>
    <w:rsid w:val="2E4B266D"/>
    <w:rsid w:val="2E7B52DB"/>
    <w:rsid w:val="2F324CFE"/>
    <w:rsid w:val="2F5D3F2D"/>
    <w:rsid w:val="2F6F470A"/>
    <w:rsid w:val="2FBA09F1"/>
    <w:rsid w:val="2FEF2ACF"/>
    <w:rsid w:val="303F2D0D"/>
    <w:rsid w:val="30540211"/>
    <w:rsid w:val="30AD7BE7"/>
    <w:rsid w:val="312D7741"/>
    <w:rsid w:val="316F137F"/>
    <w:rsid w:val="31DF525F"/>
    <w:rsid w:val="327171DF"/>
    <w:rsid w:val="341E3434"/>
    <w:rsid w:val="360B7EBA"/>
    <w:rsid w:val="369C32FD"/>
    <w:rsid w:val="37666E72"/>
    <w:rsid w:val="37D2283E"/>
    <w:rsid w:val="38167A04"/>
    <w:rsid w:val="394B167A"/>
    <w:rsid w:val="3A4E4336"/>
    <w:rsid w:val="3A6007FE"/>
    <w:rsid w:val="3B3A46AB"/>
    <w:rsid w:val="3B7C2CE4"/>
    <w:rsid w:val="3C08175D"/>
    <w:rsid w:val="3C0B5355"/>
    <w:rsid w:val="3CD4176B"/>
    <w:rsid w:val="3D1F44D9"/>
    <w:rsid w:val="3D5C38CD"/>
    <w:rsid w:val="3DA50960"/>
    <w:rsid w:val="3DA74074"/>
    <w:rsid w:val="3E5070F1"/>
    <w:rsid w:val="3F6C3589"/>
    <w:rsid w:val="3F850180"/>
    <w:rsid w:val="3F9004D6"/>
    <w:rsid w:val="400E4D5E"/>
    <w:rsid w:val="403B48A8"/>
    <w:rsid w:val="40E1138C"/>
    <w:rsid w:val="413814BA"/>
    <w:rsid w:val="41872511"/>
    <w:rsid w:val="42466655"/>
    <w:rsid w:val="42A47CE4"/>
    <w:rsid w:val="42C82F57"/>
    <w:rsid w:val="42CE1DE2"/>
    <w:rsid w:val="4301429F"/>
    <w:rsid w:val="43C76AF7"/>
    <w:rsid w:val="440F7591"/>
    <w:rsid w:val="44222384"/>
    <w:rsid w:val="443659F0"/>
    <w:rsid w:val="446828F0"/>
    <w:rsid w:val="45BC056C"/>
    <w:rsid w:val="45C13B4D"/>
    <w:rsid w:val="46054BCA"/>
    <w:rsid w:val="464C6AFC"/>
    <w:rsid w:val="46A107C3"/>
    <w:rsid w:val="46B15CE2"/>
    <w:rsid w:val="46BE113D"/>
    <w:rsid w:val="46E44B13"/>
    <w:rsid w:val="4703508A"/>
    <w:rsid w:val="47127F61"/>
    <w:rsid w:val="47362655"/>
    <w:rsid w:val="475023F8"/>
    <w:rsid w:val="479D361E"/>
    <w:rsid w:val="47B74789"/>
    <w:rsid w:val="47CF5D74"/>
    <w:rsid w:val="480F2B9D"/>
    <w:rsid w:val="48282920"/>
    <w:rsid w:val="485321E0"/>
    <w:rsid w:val="48546AD3"/>
    <w:rsid w:val="48AD61F0"/>
    <w:rsid w:val="48CA4868"/>
    <w:rsid w:val="48F005D3"/>
    <w:rsid w:val="49C05787"/>
    <w:rsid w:val="49CF518D"/>
    <w:rsid w:val="49FE62CB"/>
    <w:rsid w:val="4A282AF2"/>
    <w:rsid w:val="4ADA1F63"/>
    <w:rsid w:val="4AE23D89"/>
    <w:rsid w:val="4B2038D0"/>
    <w:rsid w:val="4B296E7D"/>
    <w:rsid w:val="4B877F28"/>
    <w:rsid w:val="4B96706F"/>
    <w:rsid w:val="4BAA35E9"/>
    <w:rsid w:val="4BC20CCA"/>
    <w:rsid w:val="4D02614A"/>
    <w:rsid w:val="4D916BA6"/>
    <w:rsid w:val="4DC44169"/>
    <w:rsid w:val="4DD925D7"/>
    <w:rsid w:val="4EF0709E"/>
    <w:rsid w:val="4F291292"/>
    <w:rsid w:val="513C6A7B"/>
    <w:rsid w:val="51DF61F2"/>
    <w:rsid w:val="52D17DB6"/>
    <w:rsid w:val="530B2BF0"/>
    <w:rsid w:val="5333545B"/>
    <w:rsid w:val="53EA5465"/>
    <w:rsid w:val="5450213C"/>
    <w:rsid w:val="54D24048"/>
    <w:rsid w:val="54D64CD5"/>
    <w:rsid w:val="55252A05"/>
    <w:rsid w:val="555E1182"/>
    <w:rsid w:val="55887D69"/>
    <w:rsid w:val="561A0928"/>
    <w:rsid w:val="56423872"/>
    <w:rsid w:val="56B279F0"/>
    <w:rsid w:val="56FB0186"/>
    <w:rsid w:val="581F22F6"/>
    <w:rsid w:val="586E1E17"/>
    <w:rsid w:val="58862C35"/>
    <w:rsid w:val="58C14957"/>
    <w:rsid w:val="5AE83A50"/>
    <w:rsid w:val="5BAB2917"/>
    <w:rsid w:val="5BFC33FA"/>
    <w:rsid w:val="5C3107A4"/>
    <w:rsid w:val="5C3B1B93"/>
    <w:rsid w:val="5C9220DF"/>
    <w:rsid w:val="5D4A15F3"/>
    <w:rsid w:val="5D69542A"/>
    <w:rsid w:val="5E0930EF"/>
    <w:rsid w:val="5E3D4D53"/>
    <w:rsid w:val="5E4717E6"/>
    <w:rsid w:val="5E55774C"/>
    <w:rsid w:val="5EA133A4"/>
    <w:rsid w:val="5ED53C39"/>
    <w:rsid w:val="5F9E0C92"/>
    <w:rsid w:val="60104DDC"/>
    <w:rsid w:val="605C0804"/>
    <w:rsid w:val="61865E5B"/>
    <w:rsid w:val="6189617B"/>
    <w:rsid w:val="61B52BB6"/>
    <w:rsid w:val="61B749C2"/>
    <w:rsid w:val="62280D20"/>
    <w:rsid w:val="62CA2457"/>
    <w:rsid w:val="6328015D"/>
    <w:rsid w:val="638240A1"/>
    <w:rsid w:val="63A5257B"/>
    <w:rsid w:val="63BD3DCC"/>
    <w:rsid w:val="63C61741"/>
    <w:rsid w:val="641451DE"/>
    <w:rsid w:val="64560967"/>
    <w:rsid w:val="64D56B04"/>
    <w:rsid w:val="65117796"/>
    <w:rsid w:val="6539574A"/>
    <w:rsid w:val="65442F2B"/>
    <w:rsid w:val="656B1D10"/>
    <w:rsid w:val="66022B28"/>
    <w:rsid w:val="66581E87"/>
    <w:rsid w:val="66FA11D5"/>
    <w:rsid w:val="674302C7"/>
    <w:rsid w:val="680A5986"/>
    <w:rsid w:val="680D5F4B"/>
    <w:rsid w:val="68113F51"/>
    <w:rsid w:val="686421B1"/>
    <w:rsid w:val="68E94770"/>
    <w:rsid w:val="68F949C9"/>
    <w:rsid w:val="69070C66"/>
    <w:rsid w:val="695A4290"/>
    <w:rsid w:val="69A673F6"/>
    <w:rsid w:val="6A334932"/>
    <w:rsid w:val="6A3353FF"/>
    <w:rsid w:val="6A5D63E6"/>
    <w:rsid w:val="6A5F24D1"/>
    <w:rsid w:val="6AE347EB"/>
    <w:rsid w:val="6B434AF0"/>
    <w:rsid w:val="6B57675A"/>
    <w:rsid w:val="6B8E3BD7"/>
    <w:rsid w:val="6BDD7B4D"/>
    <w:rsid w:val="6C1B2D70"/>
    <w:rsid w:val="6CED41C9"/>
    <w:rsid w:val="6D440CD7"/>
    <w:rsid w:val="6E902C28"/>
    <w:rsid w:val="6EBC0B3A"/>
    <w:rsid w:val="6EF51C7D"/>
    <w:rsid w:val="6F8363E5"/>
    <w:rsid w:val="6FC746F5"/>
    <w:rsid w:val="6FFB0687"/>
    <w:rsid w:val="702622D5"/>
    <w:rsid w:val="70317AC6"/>
    <w:rsid w:val="70863262"/>
    <w:rsid w:val="70A76ED3"/>
    <w:rsid w:val="71027BF5"/>
    <w:rsid w:val="711C1EDB"/>
    <w:rsid w:val="71860B17"/>
    <w:rsid w:val="723B27CC"/>
    <w:rsid w:val="72687227"/>
    <w:rsid w:val="72A03FD9"/>
    <w:rsid w:val="73406CFF"/>
    <w:rsid w:val="7383028C"/>
    <w:rsid w:val="73A25E44"/>
    <w:rsid w:val="741F68CF"/>
    <w:rsid w:val="75252DF3"/>
    <w:rsid w:val="75621536"/>
    <w:rsid w:val="7566327D"/>
    <w:rsid w:val="75BF3154"/>
    <w:rsid w:val="764A07CF"/>
    <w:rsid w:val="764F6B3D"/>
    <w:rsid w:val="76CD2B7B"/>
    <w:rsid w:val="76D80645"/>
    <w:rsid w:val="76E03371"/>
    <w:rsid w:val="77114263"/>
    <w:rsid w:val="77D83776"/>
    <w:rsid w:val="780E5898"/>
    <w:rsid w:val="782642CC"/>
    <w:rsid w:val="78803F0C"/>
    <w:rsid w:val="7894095E"/>
    <w:rsid w:val="79000679"/>
    <w:rsid w:val="79A416F0"/>
    <w:rsid w:val="79B03EB6"/>
    <w:rsid w:val="7A2B2A27"/>
    <w:rsid w:val="7AF37579"/>
    <w:rsid w:val="7AF87F64"/>
    <w:rsid w:val="7B1C0C84"/>
    <w:rsid w:val="7B5A62DF"/>
    <w:rsid w:val="7B7A04A8"/>
    <w:rsid w:val="7B9D0E12"/>
    <w:rsid w:val="7C22163C"/>
    <w:rsid w:val="7C595075"/>
    <w:rsid w:val="7C6B07B2"/>
    <w:rsid w:val="7D133243"/>
    <w:rsid w:val="7D89377F"/>
    <w:rsid w:val="7E394207"/>
    <w:rsid w:val="7E4007A2"/>
    <w:rsid w:val="7E791CAD"/>
    <w:rsid w:val="7EA50DFB"/>
    <w:rsid w:val="7EC86878"/>
    <w:rsid w:val="7ED03740"/>
    <w:rsid w:val="7F16390D"/>
    <w:rsid w:val="7F547E3F"/>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页眉 Char"/>
    <w:basedOn w:val="23"/>
    <w:link w:val="18"/>
    <w:semiHidden/>
    <w:qFormat/>
    <w:uiPriority w:val="99"/>
    <w:rPr>
      <w:sz w:val="18"/>
      <w:szCs w:val="18"/>
    </w:rPr>
  </w:style>
  <w:style w:type="character" w:customStyle="1" w:styleId="27">
    <w:name w:val="页脚 Char"/>
    <w:basedOn w:val="23"/>
    <w:link w:val="17"/>
    <w:qFormat/>
    <w:uiPriority w:val="99"/>
    <w:rPr>
      <w:sz w:val="18"/>
      <w:szCs w:val="18"/>
    </w:rPr>
  </w:style>
  <w:style w:type="character" w:customStyle="1" w:styleId="28">
    <w:name w:val="标题 1 Char"/>
    <w:basedOn w:val="23"/>
    <w:link w:val="4"/>
    <w:qFormat/>
    <w:uiPriority w:val="9"/>
    <w:rPr>
      <w:rFonts w:eastAsia="方正小标宋简体"/>
      <w:bCs/>
      <w:kern w:val="44"/>
      <w:sz w:val="44"/>
      <w:szCs w:val="44"/>
    </w:rPr>
  </w:style>
  <w:style w:type="character" w:customStyle="1" w:styleId="29">
    <w:name w:val="标题 2 Char"/>
    <w:basedOn w:val="23"/>
    <w:link w:val="5"/>
    <w:qFormat/>
    <w:uiPriority w:val="9"/>
    <w:rPr>
      <w:rFonts w:eastAsia="方正小标宋简体" w:asciiTheme="majorHAnsi" w:hAnsiTheme="majorHAnsi" w:cstheme="majorBidi"/>
      <w:bCs/>
      <w:sz w:val="36"/>
      <w:szCs w:val="32"/>
    </w:rPr>
  </w:style>
  <w:style w:type="character" w:customStyle="1" w:styleId="30">
    <w:name w:val="标题 3 Char"/>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3"/>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3"/>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2"/>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character" w:customStyle="1" w:styleId="44">
    <w:name w:val="font31"/>
    <w:basedOn w:val="23"/>
    <w:qFormat/>
    <w:uiPriority w:val="0"/>
    <w:rPr>
      <w:rFonts w:hint="eastAsia" w:ascii="仿宋_GB2312" w:eastAsia="仿宋_GB2312" w:cs="仿宋_GB2312"/>
      <w:color w:val="000000"/>
      <w:sz w:val="22"/>
      <w:szCs w:val="22"/>
      <w:u w:val="none"/>
    </w:rPr>
  </w:style>
  <w:style w:type="character" w:customStyle="1" w:styleId="45">
    <w:name w:val="font41"/>
    <w:basedOn w:val="23"/>
    <w:qFormat/>
    <w:uiPriority w:val="0"/>
    <w:rPr>
      <w:rFonts w:hint="eastAsia" w:ascii="宋体" w:hAnsi="宋体" w:eastAsia="宋体" w:cs="宋体"/>
      <w:b/>
      <w:color w:val="FF0000"/>
      <w:sz w:val="24"/>
      <w:szCs w:val="24"/>
      <w:u w:val="none"/>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7</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黄大大</cp:lastModifiedBy>
  <cp:lastPrinted>2022-05-26T06:49:00Z</cp:lastPrinted>
  <dcterms:modified xsi:type="dcterms:W3CDTF">2022-06-07T01:54:50Z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