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auto"/>
          <w:sz w:val="72"/>
          <w:highlight w:val="none"/>
        </w:rPr>
      </w:pPr>
      <w:r>
        <w:rPr>
          <w:rFonts w:hint="eastAsia" w:ascii="仿宋_GB2312" w:hAnsi="仿宋_GB2312" w:eastAsia="仿宋_GB2312" w:cs="仿宋_GB2312"/>
          <w:b/>
          <w:bCs/>
          <w:color w:val="auto"/>
          <w:sz w:val="72"/>
          <w:highlight w:val="none"/>
        </w:rPr>
        <w:t>询价文件</w:t>
      </w:r>
    </w:p>
    <w:p>
      <w:pPr>
        <w:spacing w:line="500" w:lineRule="exact"/>
        <w:jc w:val="center"/>
        <w:rPr>
          <w:rFonts w:ascii="仿宋_GB2312" w:hAnsi="仿宋_GB2312" w:eastAsia="仿宋_GB2312" w:cs="仿宋_GB2312"/>
          <w:bCs/>
          <w:color w:val="auto"/>
          <w:sz w:val="24"/>
          <w:szCs w:val="28"/>
          <w:highlight w:val="none"/>
        </w:rPr>
      </w:pPr>
    </w:p>
    <w:p>
      <w:pPr>
        <w:spacing w:line="500" w:lineRule="exact"/>
        <w:jc w:val="left"/>
        <w:rPr>
          <w:rFonts w:ascii="仿宋_GB2312" w:hAnsi="仿宋_GB2312" w:eastAsia="仿宋_GB2312" w:cs="仿宋_GB2312"/>
          <w:b/>
          <w:bCs/>
          <w:color w:val="auto"/>
          <w:sz w:val="24"/>
          <w:szCs w:val="28"/>
          <w:highlight w:val="none"/>
        </w:rPr>
      </w:pPr>
    </w:p>
    <w:p>
      <w:pPr>
        <w:spacing w:line="500" w:lineRule="exact"/>
        <w:ind w:firstLine="320" w:firstLineChars="100"/>
        <w:jc w:val="left"/>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val="en-US" w:eastAsia="zh-CN"/>
        </w:rPr>
        <w:t>XJ-20220505-3</w:t>
      </w:r>
    </w:p>
    <w:p>
      <w:pPr>
        <w:spacing w:line="500" w:lineRule="exact"/>
        <w:ind w:left="0" w:leftChars="0" w:firstLine="320" w:firstLineChars="1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项目名称：广州市净水有限公司</w:t>
      </w:r>
      <w:r>
        <w:rPr>
          <w:rFonts w:hint="eastAsia" w:ascii="仿宋" w:hAnsi="仿宋" w:eastAsia="仿宋" w:cs="仿宋"/>
          <w:b/>
          <w:bCs/>
          <w:color w:val="auto"/>
          <w:sz w:val="32"/>
          <w:szCs w:val="32"/>
          <w:highlight w:val="none"/>
          <w:lang w:val="en-US" w:eastAsia="zh-CN"/>
        </w:rPr>
        <w:t>大沙地</w:t>
      </w:r>
      <w:r>
        <w:rPr>
          <w:rFonts w:hint="eastAsia" w:ascii="仿宋" w:hAnsi="仿宋" w:eastAsia="仿宋" w:cs="仿宋"/>
          <w:b/>
          <w:bCs/>
          <w:color w:val="auto"/>
          <w:sz w:val="32"/>
          <w:szCs w:val="32"/>
          <w:highlight w:val="none"/>
        </w:rPr>
        <w:t>净水厂地块控制性详细</w:t>
      </w:r>
    </w:p>
    <w:p>
      <w:pPr>
        <w:spacing w:line="500" w:lineRule="exact"/>
        <w:ind w:left="0" w:leftChars="0" w:firstLine="1920" w:firstLineChars="6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规划阶段海绵城市（含防洪排涝风险评估）专篇</w:t>
      </w:r>
    </w:p>
    <w:p>
      <w:pPr>
        <w:spacing w:line="500" w:lineRule="exact"/>
        <w:ind w:left="0" w:leftChars="0" w:firstLine="1920" w:firstLineChars="600"/>
        <w:jc w:val="left"/>
        <w:rPr>
          <w:rFonts w:hint="eastAsia" w:ascii="仿宋_GB2312" w:hAnsi="仿宋_GB2312" w:eastAsia="仿宋_GB2312" w:cs="仿宋_GB2312"/>
          <w:b/>
          <w:bCs/>
          <w:color w:val="auto"/>
          <w:sz w:val="32"/>
          <w:szCs w:val="32"/>
          <w:highlight w:val="none"/>
          <w:lang w:eastAsia="zh-CN"/>
        </w:rPr>
      </w:pPr>
      <w:r>
        <w:rPr>
          <w:rFonts w:hint="eastAsia" w:ascii="仿宋" w:hAnsi="仿宋" w:eastAsia="仿宋" w:cs="仿宋"/>
          <w:b/>
          <w:bCs/>
          <w:color w:val="auto"/>
          <w:sz w:val="32"/>
          <w:szCs w:val="32"/>
          <w:highlight w:val="none"/>
        </w:rPr>
        <w:t>编制</w:t>
      </w:r>
    </w:p>
    <w:p>
      <w:pPr>
        <w:spacing w:line="500" w:lineRule="exact"/>
        <w:jc w:val="center"/>
        <w:rPr>
          <w:rFonts w:ascii="仿宋_GB2312" w:hAnsi="仿宋_GB2312" w:eastAsia="仿宋_GB2312" w:cs="仿宋_GB2312"/>
          <w:b/>
          <w:bCs/>
          <w:color w:val="auto"/>
          <w:highlight w:val="none"/>
        </w:rPr>
      </w:pPr>
    </w:p>
    <w:p>
      <w:pPr>
        <w:spacing w:line="500" w:lineRule="exact"/>
        <w:jc w:val="center"/>
        <w:rPr>
          <w:rFonts w:ascii="仿宋_GB2312" w:hAnsi="仿宋_GB2312" w:eastAsia="仿宋_GB2312" w:cs="仿宋_GB2312"/>
          <w:b/>
          <w:bCs/>
          <w:color w:val="auto"/>
          <w:sz w:val="72"/>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color w:val="auto"/>
          <w:sz w:val="28"/>
          <w:highlight w:val="none"/>
        </w:rPr>
      </w:pPr>
    </w:p>
    <w:p>
      <w:pPr>
        <w:spacing w:line="360" w:lineRule="auto"/>
        <w:jc w:val="center"/>
        <w:rPr>
          <w:rFonts w:ascii="仿宋_GB2312" w:hAnsi="仿宋_GB2312" w:eastAsia="仿宋_GB2312" w:cs="仿宋_GB2312"/>
          <w:b/>
          <w:bCs/>
          <w:color w:val="auto"/>
          <w:sz w:val="28"/>
          <w:highlight w:val="none"/>
        </w:rPr>
      </w:pPr>
    </w:p>
    <w:p>
      <w:pPr>
        <w:spacing w:line="360" w:lineRule="auto"/>
        <w:jc w:val="center"/>
        <w:rPr>
          <w:rFonts w:ascii="仿宋_GB2312" w:hAnsi="仿宋_GB2312" w:eastAsia="仿宋_GB2312" w:cs="仿宋_GB2312"/>
          <w:b/>
          <w:bCs/>
          <w:color w:val="auto"/>
          <w:sz w:val="36"/>
          <w:highlight w:val="none"/>
        </w:rPr>
      </w:pPr>
      <w:r>
        <w:rPr>
          <w:rFonts w:ascii="仿宋_GB2312" w:hAnsi="仿宋_GB2312" w:eastAsia="仿宋_GB2312" w:cs="仿宋_GB2312"/>
          <w:b/>
          <w:bCs/>
          <w:color w:val="auto"/>
          <w:sz w:val="36"/>
          <w:highlight w:val="none"/>
        </w:rPr>
        <w:t xml:space="preserve"> 广州市净水有限公司</w:t>
      </w:r>
      <w:r>
        <w:rPr>
          <w:rFonts w:hint="eastAsia" w:ascii="仿宋_GB2312" w:hAnsi="仿宋_GB2312" w:eastAsia="仿宋_GB2312" w:cs="仿宋_GB2312"/>
          <w:b/>
          <w:bCs/>
          <w:color w:val="auto"/>
          <w:sz w:val="36"/>
          <w:highlight w:val="none"/>
          <w:lang w:val="en-US" w:eastAsia="zh-CN"/>
        </w:rPr>
        <w:t xml:space="preserve"> </w:t>
      </w:r>
      <w:r>
        <w:rPr>
          <w:rFonts w:ascii="仿宋_GB2312" w:hAnsi="仿宋_GB2312" w:eastAsia="仿宋_GB2312" w:cs="仿宋_GB2312"/>
          <w:b/>
          <w:bCs/>
          <w:color w:val="auto"/>
          <w:sz w:val="36"/>
          <w:highlight w:val="none"/>
        </w:rPr>
        <w:t>编制</w:t>
      </w:r>
    </w:p>
    <w:p>
      <w:pPr>
        <w:spacing w:line="360" w:lineRule="auto"/>
        <w:jc w:val="center"/>
        <w:rPr>
          <w:rFonts w:ascii="仿宋_GB2312" w:hAnsi="仿宋_GB2312" w:eastAsia="仿宋_GB2312" w:cs="仿宋_GB2312"/>
          <w:color w:val="auto"/>
          <w:sz w:val="28"/>
          <w:szCs w:val="28"/>
          <w:highlight w:val="none"/>
        </w:rPr>
      </w:pPr>
    </w:p>
    <w:p>
      <w:pPr>
        <w:spacing w:line="360" w:lineRule="auto"/>
        <w:jc w:val="center"/>
        <w:rPr>
          <w:rFonts w:ascii="仿宋_GB2312" w:hAnsi="仿宋_GB2312" w:eastAsia="仿宋_GB2312" w:cs="仿宋_GB2312"/>
          <w:b/>
          <w:bCs/>
          <w:color w:val="auto"/>
          <w:sz w:val="28"/>
          <w:highlight w:val="none"/>
        </w:rPr>
      </w:pPr>
      <w:r>
        <w:rPr>
          <w:rFonts w:hint="eastAsia" w:ascii="仿宋_GB2312" w:hAnsi="仿宋_GB2312" w:eastAsia="仿宋_GB2312" w:cs="仿宋_GB2312"/>
          <w:b/>
          <w:bCs/>
          <w:color w:val="auto"/>
          <w:sz w:val="28"/>
          <w:highlight w:val="none"/>
        </w:rPr>
        <w:t>发布日期：</w:t>
      </w:r>
      <w:r>
        <w:rPr>
          <w:rFonts w:ascii="仿宋_GB2312" w:hAnsi="仿宋_GB2312" w:eastAsia="仿宋_GB2312" w:cs="仿宋_GB2312"/>
          <w:b/>
          <w:bCs/>
          <w:color w:val="auto"/>
          <w:sz w:val="28"/>
          <w:highlight w:val="none"/>
        </w:rPr>
        <w:t>202</w:t>
      </w:r>
      <w:r>
        <w:rPr>
          <w:rFonts w:hint="eastAsia" w:ascii="仿宋_GB2312" w:hAnsi="仿宋_GB2312" w:eastAsia="仿宋_GB2312" w:cs="仿宋_GB2312"/>
          <w:b/>
          <w:bCs/>
          <w:color w:val="auto"/>
          <w:sz w:val="28"/>
          <w:highlight w:val="none"/>
          <w:lang w:val="en-US" w:eastAsia="zh-CN"/>
        </w:rPr>
        <w:t>2</w:t>
      </w:r>
      <w:r>
        <w:rPr>
          <w:rFonts w:ascii="仿宋_GB2312" w:hAnsi="仿宋_GB2312" w:eastAsia="仿宋_GB2312" w:cs="仿宋_GB2312"/>
          <w:b/>
          <w:bCs/>
          <w:color w:val="auto"/>
          <w:sz w:val="28"/>
          <w:highlight w:val="none"/>
        </w:rPr>
        <w:t>年</w:t>
      </w:r>
      <w:r>
        <w:rPr>
          <w:rFonts w:hint="eastAsia" w:ascii="仿宋_GB2312" w:hAnsi="仿宋_GB2312" w:eastAsia="仿宋_GB2312" w:cs="仿宋_GB2312"/>
          <w:b/>
          <w:bCs/>
          <w:color w:val="auto"/>
          <w:sz w:val="28"/>
          <w:highlight w:val="none"/>
          <w:lang w:val="en-US" w:eastAsia="zh-CN"/>
        </w:rPr>
        <w:t>5</w:t>
      </w:r>
      <w:r>
        <w:rPr>
          <w:rFonts w:ascii="仿宋_GB2312" w:hAnsi="仿宋_GB2312" w:eastAsia="仿宋_GB2312" w:cs="仿宋_GB2312"/>
          <w:b/>
          <w:bCs/>
          <w:color w:val="auto"/>
          <w:sz w:val="28"/>
          <w:highlight w:val="none"/>
        </w:rPr>
        <w:t>月</w:t>
      </w:r>
      <w:r>
        <w:rPr>
          <w:rFonts w:hint="eastAsia" w:ascii="仿宋_GB2312" w:hAnsi="仿宋_GB2312" w:eastAsia="仿宋_GB2312" w:cs="仿宋_GB2312"/>
          <w:b/>
          <w:bCs/>
          <w:color w:val="auto"/>
          <w:sz w:val="28"/>
          <w:highlight w:val="none"/>
          <w:lang w:val="en-US" w:eastAsia="zh-CN"/>
        </w:rPr>
        <w:t>5</w:t>
      </w:r>
      <w:r>
        <w:rPr>
          <w:rFonts w:ascii="仿宋_GB2312" w:hAnsi="仿宋_GB2312" w:eastAsia="仿宋_GB2312" w:cs="仿宋_GB2312"/>
          <w:b/>
          <w:bCs/>
          <w:color w:val="auto"/>
          <w:sz w:val="28"/>
          <w:highlight w:val="none"/>
        </w:rPr>
        <w:t>日</w:t>
      </w:r>
    </w:p>
    <w:p>
      <w:pPr>
        <w:rPr>
          <w:rFonts w:ascii="仿宋_GB2312" w:hAnsi="仿宋_GB2312" w:eastAsia="仿宋_GB2312" w:cs="仿宋_GB2312"/>
          <w:color w:val="auto"/>
          <w:highlight w:val="none"/>
        </w:rPr>
      </w:pPr>
    </w:p>
    <w:p>
      <w:pPr>
        <w:rPr>
          <w:rFonts w:ascii="仿宋_GB2312" w:hAnsi="仿宋_GB2312" w:eastAsia="仿宋_GB2312" w:cs="仿宋_GB2312"/>
          <w:b/>
          <w:color w:val="auto"/>
          <w:sz w:val="28"/>
          <w:szCs w:val="28"/>
          <w:highlight w:val="none"/>
        </w:rPr>
      </w:pPr>
    </w:p>
    <w:p>
      <w:pPr>
        <w:pageBreakBefore/>
        <w:jc w:val="center"/>
        <w:rPr>
          <w:rFonts w:ascii="仿宋_GB2312" w:hAnsi="仿宋_GB2312" w:eastAsia="仿宋_GB2312" w:cs="仿宋_GB2312"/>
          <w:b/>
          <w:bCs/>
          <w:caps/>
          <w:color w:val="auto"/>
          <w:sz w:val="28"/>
          <w:szCs w:val="28"/>
          <w:highlight w:val="none"/>
        </w:rPr>
      </w:pPr>
      <w:r>
        <w:rPr>
          <w:rFonts w:hint="eastAsia" w:ascii="仿宋_GB2312" w:hAnsi="仿宋_GB2312" w:eastAsia="仿宋_GB2312" w:cs="仿宋_GB2312"/>
          <w:b/>
          <w:bCs/>
          <w:color w:val="auto"/>
          <w:sz w:val="28"/>
          <w:szCs w:val="28"/>
          <w:highlight w:val="none"/>
        </w:rPr>
        <w:t>目录</w:t>
      </w:r>
      <w:r>
        <w:rPr>
          <w:rFonts w:ascii="仿宋_GB2312" w:hAnsi="仿宋_GB2312" w:eastAsia="仿宋_GB2312" w:cs="仿宋_GB2312"/>
          <w:b/>
          <w:bCs/>
          <w:caps/>
          <w:color w:val="auto"/>
          <w:sz w:val="28"/>
          <w:szCs w:val="28"/>
          <w:highlight w:val="none"/>
        </w:rPr>
        <w:br w:type="textWrapping"/>
      </w:r>
    </w:p>
    <w:p>
      <w:pPr>
        <w:pStyle w:val="15"/>
        <w:tabs>
          <w:tab w:val="right" w:leader="dot" w:pos="9174"/>
        </w:tabs>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第一部分报价邀请函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第二部分项目内容</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第三部分报价须知</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第四部分合同书格式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第五部分响应文件格式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第六部分附件</w:t>
      </w: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color w:val="auto"/>
          <w:sz w:val="28"/>
          <w:szCs w:val="28"/>
          <w:highlight w:val="none"/>
        </w:rPr>
      </w:pPr>
    </w:p>
    <w:p>
      <w:pPr>
        <w:ind w:firstLine="548" w:firstLineChars="196"/>
        <w:rPr>
          <w:rFonts w:ascii="仿宋_GB2312" w:hAnsi="仿宋_GB2312" w:eastAsia="仿宋_GB2312" w:cs="仿宋_GB2312"/>
          <w:b/>
          <w:color w:val="auto"/>
          <w:sz w:val="28"/>
          <w:szCs w:val="28"/>
          <w:highlight w:val="none"/>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rPr>
          <w:rFonts w:ascii="仿宋_GB2312" w:hAnsi="仿宋_GB2312" w:eastAsia="仿宋_GB2312" w:cs="仿宋_GB2312"/>
          <w:b/>
          <w:color w:val="auto"/>
          <w:sz w:val="28"/>
          <w:szCs w:val="28"/>
          <w:highlight w:val="none"/>
        </w:rPr>
      </w:pPr>
    </w:p>
    <w:p>
      <w:pPr>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第一部分报价邀请函</w:t>
      </w:r>
    </w:p>
    <w:p>
      <w:pPr>
        <w:ind w:firstLine="478" w:firstLineChars="171"/>
        <w:rPr>
          <w:rFonts w:ascii="仿宋_GB2312" w:hAnsi="仿宋_GB2312" w:eastAsia="仿宋_GB2312" w:cs="仿宋_GB2312"/>
          <w:color w:val="auto"/>
          <w:kern w:val="0"/>
          <w:sz w:val="28"/>
          <w:szCs w:val="28"/>
          <w:highlight w:val="none"/>
        </w:rPr>
      </w:pPr>
    </w:p>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各报价单位:</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现我公司对</w:t>
      </w:r>
      <w:r>
        <w:rPr>
          <w:rFonts w:hint="eastAsia" w:ascii="仿宋" w:hAnsi="仿宋" w:eastAsia="仿宋" w:cs="仿宋"/>
          <w:color w:val="auto"/>
          <w:sz w:val="28"/>
          <w:szCs w:val="28"/>
          <w:highlight w:val="none"/>
          <w:u w:val="single"/>
          <w:lang w:val="en-US" w:eastAsia="zh-CN"/>
        </w:rPr>
        <w:t>大沙地</w:t>
      </w:r>
      <w:r>
        <w:rPr>
          <w:rFonts w:hint="eastAsia" w:ascii="仿宋" w:hAnsi="仿宋" w:eastAsia="仿宋" w:cs="仿宋"/>
          <w:color w:val="auto"/>
          <w:sz w:val="28"/>
          <w:szCs w:val="28"/>
          <w:highlight w:val="none"/>
          <w:u w:val="single"/>
        </w:rPr>
        <w:t>净水厂地块控制性详细规划阶段海绵城市（含防洪排涝风险评估）专篇编制</w:t>
      </w:r>
      <w:r>
        <w:rPr>
          <w:rFonts w:hint="eastAsia" w:ascii="仿宋" w:hAnsi="仿宋" w:eastAsia="仿宋" w:cs="仿宋"/>
          <w:color w:val="auto"/>
          <w:sz w:val="28"/>
          <w:szCs w:val="28"/>
          <w:highlight w:val="none"/>
        </w:rPr>
        <w:t>进行询价，欢迎符合资格条件的报价单位参加。</w:t>
      </w:r>
    </w:p>
    <w:p>
      <w:pPr>
        <w:autoSpaceDE w:val="0"/>
        <w:autoSpaceDN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一、资金计划：</w:t>
      </w:r>
      <w:r>
        <w:rPr>
          <w:rFonts w:hint="eastAsia" w:ascii="仿宋" w:hAnsi="仿宋" w:eastAsia="仿宋" w:cs="仿宋"/>
          <w:color w:val="auto"/>
          <w:sz w:val="28"/>
          <w:szCs w:val="28"/>
          <w:highlight w:val="none"/>
        </w:rPr>
        <w:t>自筹资金</w:t>
      </w:r>
    </w:p>
    <w:p>
      <w:pPr>
        <w:autoSpaceDE w:val="0"/>
        <w:autoSpaceDN w:val="0"/>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zh-CN"/>
        </w:rPr>
        <w:t>、项目编号：</w:t>
      </w:r>
      <w:r>
        <w:rPr>
          <w:rFonts w:hint="eastAsia" w:ascii="仿宋" w:hAnsi="仿宋" w:eastAsia="仿宋" w:cs="仿宋"/>
          <w:color w:val="auto"/>
          <w:sz w:val="28"/>
          <w:szCs w:val="28"/>
          <w:highlight w:val="none"/>
          <w:lang w:val="en-US" w:eastAsia="zh-CN"/>
        </w:rPr>
        <w:t>XJ-20220505-3</w:t>
      </w:r>
    </w:p>
    <w:p>
      <w:pPr>
        <w:autoSpaceDE w:val="0"/>
        <w:autoSpaceDN w:val="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三、项目名称：</w:t>
      </w:r>
      <w:r>
        <w:rPr>
          <w:rFonts w:hint="eastAsia" w:ascii="仿宋" w:hAnsi="仿宋" w:eastAsia="仿宋" w:cs="仿宋"/>
          <w:color w:val="auto"/>
          <w:sz w:val="28"/>
          <w:szCs w:val="28"/>
          <w:highlight w:val="none"/>
          <w:u w:val="single"/>
        </w:rPr>
        <w:t>广州市净水有限公司</w:t>
      </w:r>
      <w:r>
        <w:rPr>
          <w:rFonts w:hint="eastAsia" w:ascii="仿宋" w:hAnsi="仿宋" w:eastAsia="仿宋" w:cs="仿宋"/>
          <w:color w:val="auto"/>
          <w:sz w:val="28"/>
          <w:szCs w:val="28"/>
          <w:highlight w:val="none"/>
          <w:u w:val="single"/>
          <w:lang w:val="en-US" w:eastAsia="zh-CN"/>
        </w:rPr>
        <w:t>大沙地</w:t>
      </w:r>
      <w:r>
        <w:rPr>
          <w:rFonts w:hint="eastAsia" w:ascii="仿宋" w:hAnsi="仿宋" w:eastAsia="仿宋" w:cs="仿宋"/>
          <w:color w:val="auto"/>
          <w:sz w:val="28"/>
          <w:szCs w:val="28"/>
          <w:highlight w:val="none"/>
          <w:u w:val="single"/>
        </w:rPr>
        <w:t>净水厂地块控制性详细规划阶段海绵城市（含防洪排涝风险评估）专篇编制</w:t>
      </w:r>
    </w:p>
    <w:p>
      <w:pPr>
        <w:autoSpaceDE w:val="0"/>
        <w:autoSpaceDN w:val="0"/>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zh-CN"/>
        </w:rPr>
        <w:t>四、最高限价</w:t>
      </w:r>
      <w:r>
        <w:rPr>
          <w:rFonts w:hint="eastAsia" w:ascii="仿宋" w:hAnsi="仿宋" w:eastAsia="仿宋" w:cs="仿宋"/>
          <w:color w:val="auto"/>
          <w:sz w:val="28"/>
          <w:szCs w:val="28"/>
          <w:highlight w:val="none"/>
        </w:rPr>
        <w:t>：</w:t>
      </w:r>
      <w:bookmarkStart w:id="15" w:name="_GoBack"/>
      <w:r>
        <w:rPr>
          <w:rFonts w:hint="eastAsia" w:ascii="仿宋" w:hAnsi="仿宋" w:eastAsia="仿宋" w:cs="仿宋"/>
          <w:color w:val="auto"/>
          <w:sz w:val="28"/>
          <w:szCs w:val="28"/>
          <w:highlight w:val="none"/>
          <w:u w:val="single"/>
          <w:lang w:val="en-US" w:eastAsia="zh-CN"/>
        </w:rPr>
        <w:t>32.4</w:t>
      </w:r>
      <w:bookmarkEnd w:id="15"/>
      <w:r>
        <w:rPr>
          <w:rFonts w:hint="eastAsia" w:ascii="仿宋" w:hAnsi="仿宋" w:eastAsia="仿宋" w:cs="仿宋"/>
          <w:color w:val="auto"/>
          <w:sz w:val="28"/>
          <w:szCs w:val="28"/>
          <w:highlight w:val="none"/>
          <w:u w:val="single"/>
        </w:rPr>
        <w:t>万元</w:t>
      </w:r>
    </w:p>
    <w:p>
      <w:pPr>
        <w:ind w:firstLine="602" w:firstLineChars="2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项目内容及需求：为盘</w:t>
      </w:r>
      <w:r>
        <w:rPr>
          <w:rFonts w:hint="eastAsia" w:ascii="仿宋" w:hAnsi="仿宋" w:eastAsia="仿宋" w:cs="仿宋"/>
          <w:color w:val="auto"/>
          <w:sz w:val="28"/>
          <w:szCs w:val="28"/>
          <w:highlight w:val="none"/>
        </w:rPr>
        <w:t>活现有土地资源，拓宽产业领域盈利渠道，按</w:t>
      </w:r>
      <w:r>
        <w:rPr>
          <w:rFonts w:hint="eastAsia" w:ascii="仿宋" w:hAnsi="仿宋" w:eastAsia="仿宋" w:cs="仿宋"/>
          <w:color w:val="auto"/>
          <w:sz w:val="28"/>
          <w:szCs w:val="28"/>
          <w:highlight w:val="none"/>
          <w:lang w:eastAsia="zh-CN"/>
        </w:rPr>
        <w:t>大沙地</w:t>
      </w:r>
      <w:r>
        <w:rPr>
          <w:rFonts w:hint="eastAsia" w:ascii="仿宋" w:hAnsi="仿宋" w:eastAsia="仿宋" w:cs="仿宋"/>
          <w:color w:val="auto"/>
          <w:sz w:val="28"/>
          <w:szCs w:val="28"/>
          <w:highlight w:val="none"/>
        </w:rPr>
        <w:t>净水厂地块综合开发方案，目前正开展</w:t>
      </w:r>
      <w:r>
        <w:rPr>
          <w:rFonts w:hint="eastAsia" w:ascii="仿宋" w:hAnsi="仿宋" w:eastAsia="仿宋" w:cs="仿宋"/>
          <w:color w:val="auto"/>
          <w:sz w:val="28"/>
          <w:szCs w:val="28"/>
          <w:highlight w:val="none"/>
          <w:lang w:eastAsia="zh-CN"/>
        </w:rPr>
        <w:t>大沙地</w:t>
      </w:r>
      <w:r>
        <w:rPr>
          <w:rFonts w:hint="eastAsia" w:ascii="仿宋" w:hAnsi="仿宋" w:eastAsia="仿宋" w:cs="仿宋"/>
          <w:color w:val="auto"/>
          <w:sz w:val="28"/>
          <w:szCs w:val="28"/>
          <w:highlight w:val="none"/>
        </w:rPr>
        <w:t>净水厂地块控规调整工作。根据《广州市城市开发建设项目海绵城市建设-洪涝安全评估技术指引（试行）》、《广州市水务局关于进一步加强控制性详细规划阶段涉水管控要求的函》、《广州市水务局关于印发海绵城市建设——控制性详细规划阶段洪涝安全评估审查要点的通知》、《广州市海绵城市建设领导小组办公室关于印发广州市海绵城市建设专篇编制要点的通知》等要求，现拟在控制性详细规划中增加海绵城市(含防洪排涝风险评估)专篇，作为控规批复及后续规划条件发放的依据。</w:t>
      </w: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六、报价单位资格要求：</w:t>
      </w:r>
    </w:p>
    <w:p>
      <w:pPr>
        <w:pStyle w:val="29"/>
        <w:autoSpaceDE w:val="0"/>
        <w:autoSpaceDN w:val="0"/>
        <w:ind w:firstLine="56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报价单位须是中华人民共和国境内的法人或者其他组织，具有独立法人资格，能开具增值税专用发票，持有工商行政管理部门核发的法人营业执照或各级登记管理机关颁发的事业单位法定代表人证</w:t>
      </w:r>
      <w:r>
        <w:rPr>
          <w:rFonts w:hint="eastAsia" w:ascii="仿宋" w:hAnsi="仿宋" w:eastAsia="仿宋" w:cs="仿宋"/>
          <w:color w:val="auto"/>
          <w:sz w:val="28"/>
          <w:szCs w:val="28"/>
          <w:highlight w:val="none"/>
          <w:u w:val="single"/>
        </w:rPr>
        <w:t>（如：提供一般纳税人证明或近一年2-3张已开据的增值税专用发票）</w:t>
      </w:r>
      <w:r>
        <w:rPr>
          <w:rFonts w:hint="eastAsia" w:ascii="仿宋" w:hAnsi="仿宋" w:eastAsia="仿宋" w:cs="仿宋"/>
          <w:color w:val="auto"/>
          <w:sz w:val="28"/>
          <w:szCs w:val="28"/>
          <w:highlight w:val="none"/>
          <w:u w:val="single"/>
        </w:rPr>
        <w:t>。</w:t>
      </w:r>
    </w:p>
    <w:p>
      <w:pPr>
        <w:pStyle w:val="29"/>
        <w:autoSpaceDE w:val="0"/>
        <w:autoSpaceDN w:val="0"/>
        <w:ind w:firstLine="56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拟派项目负责人</w:t>
      </w:r>
      <w:r>
        <w:rPr>
          <w:rFonts w:hint="eastAsia" w:ascii="仿宋" w:hAnsi="仿宋" w:eastAsia="仿宋" w:cs="仿宋"/>
          <w:color w:val="auto"/>
          <w:sz w:val="28"/>
          <w:szCs w:val="28"/>
          <w:highlight w:val="none"/>
          <w:u w:val="single"/>
          <w:lang w:val="en-US" w:eastAsia="zh-CN"/>
        </w:rPr>
        <w:t>须</w:t>
      </w:r>
      <w:r>
        <w:rPr>
          <w:rFonts w:hint="eastAsia" w:ascii="仿宋" w:hAnsi="仿宋" w:eastAsia="仿宋" w:cs="仿宋"/>
          <w:color w:val="auto"/>
          <w:sz w:val="28"/>
          <w:szCs w:val="28"/>
          <w:highlight w:val="none"/>
          <w:u w:val="single"/>
        </w:rPr>
        <w:t>具备</w:t>
      </w:r>
      <w:r>
        <w:rPr>
          <w:rFonts w:hint="eastAsia" w:ascii="仿宋" w:hAnsi="仿宋" w:eastAsia="仿宋" w:cs="仿宋"/>
          <w:color w:val="auto"/>
          <w:sz w:val="28"/>
          <w:szCs w:val="28"/>
          <w:highlight w:val="none"/>
          <w:u w:val="single"/>
          <w:lang w:val="en-US" w:eastAsia="zh-CN"/>
        </w:rPr>
        <w:t>给排水</w:t>
      </w:r>
      <w:r>
        <w:rPr>
          <w:rFonts w:hint="eastAsia" w:ascii="仿宋" w:hAnsi="仿宋" w:eastAsia="仿宋" w:cs="仿宋"/>
          <w:color w:val="auto"/>
          <w:sz w:val="28"/>
          <w:szCs w:val="28"/>
          <w:highlight w:val="none"/>
          <w:u w:val="single"/>
        </w:rPr>
        <w:t>专业资质工程师</w:t>
      </w:r>
      <w:r>
        <w:rPr>
          <w:rFonts w:hint="eastAsia" w:ascii="仿宋" w:hAnsi="仿宋" w:eastAsia="仿宋" w:cs="仿宋"/>
          <w:color w:val="auto"/>
          <w:sz w:val="28"/>
          <w:szCs w:val="28"/>
          <w:highlight w:val="none"/>
          <w:u w:val="single"/>
          <w:lang w:val="en-US" w:eastAsia="zh-CN"/>
        </w:rPr>
        <w:t>中级</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或</w:t>
      </w:r>
      <w:r>
        <w:rPr>
          <w:rFonts w:hint="eastAsia" w:ascii="仿宋" w:hAnsi="仿宋" w:eastAsia="仿宋" w:cs="仿宋"/>
          <w:color w:val="auto"/>
          <w:sz w:val="28"/>
          <w:szCs w:val="28"/>
          <w:highlight w:val="none"/>
          <w:u w:val="single"/>
        </w:rPr>
        <w:t>以上</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职称</w:t>
      </w:r>
      <w:r>
        <w:rPr>
          <w:rFonts w:hint="eastAsia" w:ascii="仿宋" w:hAnsi="仿宋" w:eastAsia="仿宋" w:cs="仿宋"/>
          <w:color w:val="auto"/>
          <w:sz w:val="28"/>
          <w:szCs w:val="28"/>
          <w:highlight w:val="none"/>
          <w:u w:val="single"/>
        </w:rPr>
        <w:t>。</w:t>
      </w:r>
    </w:p>
    <w:p>
      <w:pPr>
        <w:pStyle w:val="29"/>
        <w:autoSpaceDE w:val="0"/>
        <w:autoSpaceDN w:val="0"/>
        <w:ind w:firstLine="56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3.</w:t>
      </w:r>
      <w:bookmarkStart w:id="0" w:name="OLE_LINK3"/>
      <w:r>
        <w:rPr>
          <w:rFonts w:hint="eastAsia" w:ascii="仿宋" w:hAnsi="仿宋" w:eastAsia="仿宋" w:cs="仿宋"/>
          <w:color w:val="auto"/>
          <w:sz w:val="28"/>
          <w:szCs w:val="28"/>
          <w:highlight w:val="none"/>
          <w:u w:val="single"/>
        </w:rPr>
        <w:t>201</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年1月1日至今，</w:t>
      </w:r>
      <w:bookmarkEnd w:id="0"/>
      <w:r>
        <w:rPr>
          <w:rFonts w:hint="eastAsia" w:ascii="仿宋" w:hAnsi="仿宋" w:eastAsia="仿宋" w:cs="仿宋"/>
          <w:color w:val="auto"/>
          <w:sz w:val="28"/>
          <w:szCs w:val="28"/>
          <w:highlight w:val="none"/>
          <w:u w:val="single"/>
        </w:rPr>
        <w:t>最少完成一项海绵城市专项规划或实施评估业绩（提供合同复印件证明，包括但不限于项目名称、实施内容、合同签字盖章、签订日期，并加盖单位公章）。</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 w:hAnsi="仿宋" w:eastAsia="仿宋" w:cs="仿宋"/>
          <w:color w:val="auto"/>
          <w:sz w:val="28"/>
          <w:szCs w:val="28"/>
          <w:highlight w:val="none"/>
          <w:u w:val="single"/>
          <w:lang w:val="en-US" w:eastAsia="zh-CN"/>
        </w:rPr>
        <w:t>4.报价</w:t>
      </w:r>
      <w:r>
        <w:rPr>
          <w:rFonts w:hint="eastAsia" w:ascii="仿宋" w:hAnsi="仿宋" w:eastAsia="仿宋" w:cs="仿宋"/>
          <w:color w:val="auto"/>
          <w:sz w:val="28"/>
          <w:szCs w:val="28"/>
          <w:highlight w:val="none"/>
          <w:u w:val="single"/>
        </w:rPr>
        <w:t>人没有被纳入本项目</w:t>
      </w:r>
      <w:r>
        <w:rPr>
          <w:rFonts w:hint="eastAsia" w:ascii="仿宋" w:hAnsi="仿宋" w:eastAsia="仿宋" w:cs="仿宋"/>
          <w:color w:val="auto"/>
          <w:sz w:val="28"/>
          <w:szCs w:val="28"/>
          <w:highlight w:val="none"/>
          <w:u w:val="single"/>
          <w:lang w:val="en-US" w:eastAsia="zh-CN"/>
        </w:rPr>
        <w:t>询价</w:t>
      </w:r>
      <w:r>
        <w:rPr>
          <w:rFonts w:hint="eastAsia" w:ascii="仿宋" w:hAnsi="仿宋" w:eastAsia="仿宋" w:cs="仿宋"/>
          <w:color w:val="auto"/>
          <w:sz w:val="28"/>
          <w:szCs w:val="28"/>
          <w:highlight w:val="none"/>
          <w:u w:val="single"/>
        </w:rPr>
        <w:t>人（包括市水投集团及其属下子公司）书面限制投标的企业名单。（名单详见附件）</w:t>
      </w:r>
    </w:p>
    <w:p>
      <w:pPr>
        <w:pStyle w:val="19"/>
        <w:ind w:firstLine="0"/>
        <w:rPr>
          <w:rFonts w:hint="eastAsia" w:ascii="宋体" w:hAnsi="宋体" w:eastAsia="宋体" w:cs="宋体"/>
          <w:b/>
          <w:color w:val="auto"/>
          <w:kern w:val="2"/>
          <w:sz w:val="24"/>
          <w:highlight w:val="none"/>
          <w:lang w:val="en-US" w:eastAsia="zh-CN" w:bidi="ar-SA"/>
        </w:rPr>
      </w:pPr>
    </w:p>
    <w:p>
      <w:pPr>
        <w:pStyle w:val="19"/>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20"/>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utoSpaceDE w:val="0"/>
        <w:autoSpaceDN w:val="0"/>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zh-CN"/>
        </w:rPr>
        <w:t>、现场踏勘(答疑会)时间、地点（也可由</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zh-CN"/>
        </w:rPr>
        <w:t>人自行踏勘现场）：</w:t>
      </w: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 现场踏勘(答疑会)集合时间：</w:t>
      </w:r>
      <w:r>
        <w:rPr>
          <w:rFonts w:hint="eastAsia" w:ascii="仿宋" w:hAnsi="仿宋" w:eastAsia="仿宋" w:cs="仿宋"/>
          <w:color w:val="auto"/>
          <w:sz w:val="28"/>
          <w:szCs w:val="28"/>
          <w:highlight w:val="none"/>
        </w:rPr>
        <w:t>/</w:t>
      </w:r>
    </w:p>
    <w:p>
      <w:pPr>
        <w:autoSpaceDE w:val="0"/>
        <w:autoSpaceDN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2. 现场踏勘(答疑会)集合地点：</w:t>
      </w:r>
      <w:r>
        <w:rPr>
          <w:rFonts w:hint="eastAsia" w:ascii="仿宋" w:hAnsi="仿宋" w:eastAsia="仿宋" w:cs="仿宋"/>
          <w:color w:val="auto"/>
          <w:sz w:val="28"/>
          <w:szCs w:val="28"/>
          <w:highlight w:val="none"/>
        </w:rPr>
        <w:t>/</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八、询价文件的获取：在202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分前，在广州市净水有限公司门户网站免费下载。</w:t>
      </w:r>
    </w:p>
    <w:p>
      <w:pPr>
        <w:ind w:firstLine="588" w:firstLineChars="210"/>
        <w:rPr>
          <w:rFonts w:hint="eastAsia" w:ascii="仿宋" w:hAnsi="仿宋" w:eastAsia="仿宋" w:cs="仿宋"/>
          <w:color w:val="auto"/>
          <w:highlight w:val="none"/>
        </w:rPr>
      </w:pPr>
      <w:r>
        <w:rPr>
          <w:rFonts w:hint="eastAsia" w:ascii="仿宋" w:hAnsi="仿宋" w:eastAsia="仿宋" w:cs="仿宋"/>
          <w:color w:val="auto"/>
          <w:sz w:val="28"/>
          <w:szCs w:val="28"/>
          <w:highlight w:val="none"/>
        </w:rPr>
        <w:t>九、询价响应文件递交时间：202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分至</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分；询价响应文件截止时间：202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分。递交响应文件时须提供授权委托人身份证原件备查。</w:t>
      </w:r>
    </w:p>
    <w:p>
      <w:pPr>
        <w:ind w:firstLine="588" w:firstLineChars="21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十、询价响应文件送达地点：广州市天河区临江大道501号广州市净水有限公司招标办</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zh-CN"/>
        </w:rPr>
        <w:t>注：基于疫情防控形势，授权委托人须通过“广州净水公司”微信公众号（提前）预约，填写访客预约信息（</w:t>
      </w:r>
      <w:r>
        <w:rPr>
          <w:rFonts w:hint="eastAsia" w:ascii="仿宋" w:hAnsi="仿宋" w:eastAsia="仿宋" w:cs="仿宋"/>
          <w:color w:val="auto"/>
          <w:kern w:val="2"/>
          <w:sz w:val="28"/>
          <w:szCs w:val="28"/>
          <w:highlight w:val="none"/>
          <w:lang w:val="zh-CN"/>
        </w:rPr>
        <w:t>包括：1.近14天</w:t>
      </w:r>
      <w:r>
        <w:rPr>
          <w:rFonts w:hint="eastAsia" w:ascii="仿宋" w:hAnsi="仿宋" w:eastAsia="仿宋" w:cs="仿宋"/>
          <w:color w:val="auto"/>
          <w:kern w:val="2"/>
          <w:sz w:val="28"/>
          <w:szCs w:val="28"/>
          <w:highlight w:val="none"/>
          <w:lang w:val="en-US" w:eastAsia="zh-CN"/>
        </w:rPr>
        <w:t>内</w:t>
      </w:r>
      <w:r>
        <w:rPr>
          <w:rFonts w:hint="eastAsia" w:ascii="仿宋" w:hAnsi="仿宋" w:eastAsia="仿宋" w:cs="仿宋"/>
          <w:color w:val="auto"/>
          <w:kern w:val="2"/>
          <w:sz w:val="28"/>
          <w:szCs w:val="28"/>
          <w:highlight w:val="none"/>
          <w:lang w:val="zh-CN"/>
        </w:rPr>
        <w:t>行程有异地中高风险地区及所在的地级市、盟、州、直辖市的区旅居史的来（返）穗人员拒绝来访；</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val="zh-CN"/>
        </w:rPr>
        <w:t>近14天行程内有异地</w:t>
      </w:r>
      <w:r>
        <w:rPr>
          <w:rFonts w:hint="eastAsia" w:ascii="仿宋" w:hAnsi="仿宋" w:eastAsia="仿宋" w:cs="仿宋"/>
          <w:color w:val="auto"/>
          <w:kern w:val="2"/>
          <w:sz w:val="28"/>
          <w:szCs w:val="28"/>
          <w:highlight w:val="none"/>
          <w:lang w:val="en-US" w:eastAsia="zh-CN"/>
        </w:rPr>
        <w:t>本土疫情报告</w:t>
      </w:r>
      <w:r>
        <w:rPr>
          <w:rFonts w:hint="eastAsia" w:ascii="仿宋" w:hAnsi="仿宋" w:eastAsia="仿宋" w:cs="仿宋"/>
          <w:color w:val="auto"/>
          <w:kern w:val="2"/>
          <w:sz w:val="28"/>
          <w:szCs w:val="28"/>
          <w:highlight w:val="none"/>
          <w:lang w:val="zh-CN"/>
        </w:rPr>
        <w:t>的地级市、盟、州、直辖市的区旅居史的来（返）穗人员拒绝来访</w:t>
      </w:r>
      <w:r>
        <w:rPr>
          <w:rFonts w:hint="eastAsia" w:ascii="仿宋" w:hAnsi="仿宋" w:eastAsia="仿宋" w:cs="仿宋"/>
          <w:color w:val="auto"/>
          <w:kern w:val="2"/>
          <w:sz w:val="28"/>
          <w:szCs w:val="28"/>
          <w:highlight w:val="none"/>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auto"/>
          <w:kern w:val="2"/>
          <w:sz w:val="28"/>
          <w:szCs w:val="28"/>
          <w:highlight w:val="none"/>
          <w:lang w:val="zh-CN"/>
        </w:rPr>
        <w:t>.如确需工作需要来访，应持有来访前24小时内的核酸证明）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w:t>
      </w:r>
      <w:r>
        <w:rPr>
          <w:rFonts w:hint="eastAsia" w:ascii="仿宋" w:hAnsi="仿宋" w:eastAsia="仿宋" w:cs="仿宋"/>
          <w:color w:val="auto"/>
          <w:sz w:val="28"/>
          <w:szCs w:val="28"/>
          <w:highlight w:val="none"/>
        </w:rPr>
        <w:t>）</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十一、评审时间：202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十二、评审地点：广州市净水有限公司六楼招标办                   </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十三、联系方式</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询价人：广州市净水有限公司</w:t>
      </w:r>
    </w:p>
    <w:p>
      <w:pPr>
        <w:ind w:firstLine="588" w:firstLineChars="21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联系地址：广州市天河区临江大道501号            </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联系人：</w:t>
      </w:r>
      <w:r>
        <w:rPr>
          <w:rFonts w:hint="eastAsia" w:ascii="仿宋" w:hAnsi="仿宋" w:eastAsia="仿宋" w:cs="仿宋"/>
          <w:color w:val="auto"/>
          <w:sz w:val="28"/>
          <w:szCs w:val="28"/>
          <w:highlight w:val="none"/>
          <w:lang w:val="en-US" w:eastAsia="zh-CN"/>
        </w:rPr>
        <w:t>林</w:t>
      </w:r>
      <w:r>
        <w:rPr>
          <w:rFonts w:hint="eastAsia" w:ascii="仿宋" w:hAnsi="仿宋" w:eastAsia="仿宋" w:cs="仿宋"/>
          <w:color w:val="auto"/>
          <w:sz w:val="28"/>
          <w:szCs w:val="28"/>
          <w:highlight w:val="none"/>
        </w:rPr>
        <w:t>工             联系方式：020-</w:t>
      </w:r>
      <w:r>
        <w:rPr>
          <w:rFonts w:hint="eastAsia" w:ascii="仿宋" w:hAnsi="仿宋" w:eastAsia="仿宋" w:cs="仿宋"/>
          <w:color w:val="auto"/>
          <w:sz w:val="28"/>
          <w:szCs w:val="28"/>
          <w:highlight w:val="none"/>
          <w:lang w:val="en-US" w:eastAsia="zh-CN"/>
        </w:rPr>
        <w:t>38890841</w:t>
      </w:r>
      <w:r>
        <w:rPr>
          <w:rFonts w:hint="eastAsia" w:ascii="仿宋" w:hAnsi="仿宋" w:eastAsia="仿宋" w:cs="仿宋"/>
          <w:color w:val="auto"/>
          <w:sz w:val="28"/>
          <w:szCs w:val="28"/>
          <w:highlight w:val="none"/>
        </w:rPr>
        <w:t xml:space="preserve">   </w:t>
      </w:r>
    </w:p>
    <w:p>
      <w:pPr>
        <w:rPr>
          <w:rFonts w:hint="eastAsia" w:ascii="仿宋" w:hAnsi="仿宋" w:eastAsia="仿宋" w:cs="仿宋"/>
          <w:color w:val="auto"/>
          <w:sz w:val="28"/>
          <w:szCs w:val="28"/>
          <w:highlight w:val="none"/>
        </w:rPr>
      </w:pPr>
    </w:p>
    <w:p>
      <w:pPr>
        <w:ind w:firstLine="6020" w:firstLineChars="2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广州市净水有限公司</w:t>
      </w:r>
    </w:p>
    <w:p>
      <w:pPr>
        <w:wordWrap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日</w:t>
      </w:r>
    </w:p>
    <w:p>
      <w:pPr>
        <w:rPr>
          <w:rFonts w:hint="eastAsia" w:ascii="仿宋" w:hAnsi="仿宋" w:eastAsia="仿宋" w:cs="仿宋"/>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第二部分 项目内容</w:t>
      </w:r>
    </w:p>
    <w:p>
      <w:pPr>
        <w:pStyle w:val="19"/>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报价单位须对本项目为单位的服务进行整体响应，任何只对其中一部分内容进行的响应都被视为无效响应。 </w:t>
      </w:r>
    </w:p>
    <w:p>
      <w:pPr>
        <w:spacing w:line="360" w:lineRule="auto"/>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询价文件中所有要求均为实质性响应条款，供应商如有任何一条负偏离则导致响应文件无效。</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一、项目概况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大沙地</w:t>
      </w:r>
      <w:r>
        <w:rPr>
          <w:rFonts w:hint="eastAsia" w:ascii="仿宋" w:hAnsi="仿宋" w:eastAsia="仿宋" w:cs="仿宋"/>
          <w:color w:val="auto"/>
          <w:sz w:val="28"/>
          <w:szCs w:val="28"/>
          <w:highlight w:val="none"/>
        </w:rPr>
        <w:t>净水厂地块位于广州市</w:t>
      </w:r>
      <w:r>
        <w:rPr>
          <w:rFonts w:hint="eastAsia" w:ascii="仿宋" w:hAnsi="仿宋" w:eastAsia="仿宋" w:cs="仿宋"/>
          <w:color w:val="auto"/>
          <w:sz w:val="28"/>
          <w:szCs w:val="28"/>
          <w:highlight w:val="none"/>
          <w:lang w:val="en-US" w:eastAsia="zh-CN"/>
        </w:rPr>
        <w:t>黄埔区南部</w:t>
      </w:r>
      <w:r>
        <w:rPr>
          <w:rFonts w:hint="eastAsia" w:ascii="仿宋" w:hAnsi="仿宋" w:eastAsia="仿宋" w:cs="仿宋"/>
          <w:color w:val="auto"/>
          <w:sz w:val="28"/>
          <w:szCs w:val="28"/>
          <w:highlight w:val="none"/>
        </w:rPr>
        <w:t>。为盘活现有土地资源，拓宽产业领域盈利渠道，变“邻避”为“邻利”，目前正按该地块综合开发方案，开展</w:t>
      </w:r>
      <w:r>
        <w:rPr>
          <w:rFonts w:hint="eastAsia" w:ascii="仿宋" w:hAnsi="仿宋" w:eastAsia="仿宋" w:cs="仿宋"/>
          <w:color w:val="auto"/>
          <w:sz w:val="28"/>
          <w:szCs w:val="28"/>
          <w:highlight w:val="none"/>
          <w:lang w:eastAsia="zh-CN"/>
        </w:rPr>
        <w:t>大沙地</w:t>
      </w:r>
      <w:r>
        <w:rPr>
          <w:rFonts w:hint="eastAsia" w:ascii="仿宋" w:hAnsi="仿宋" w:eastAsia="仿宋" w:cs="仿宋"/>
          <w:color w:val="auto"/>
          <w:sz w:val="28"/>
          <w:szCs w:val="28"/>
          <w:highlight w:val="none"/>
        </w:rPr>
        <w:t>净水厂地块控规调整工作，控规调整工作包含控规论证报告，以及对应控制性详细规划所需的专题评估（交通影响评估、环境影响篇章、市政设施影响评估报告）内容。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2021年5月6日市水务局文件《广州市水务局关于进一步加强控制性详细规划阶段涉水管控要求的函》等相关文件要求，现拟在控制性详细规划中增加海绵城市(含防洪排涝风险评估)专篇，作为控规批复及后续规划条件发放的依据。</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二、项目技术要求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大沙地</w:t>
      </w:r>
      <w:r>
        <w:rPr>
          <w:rFonts w:hint="eastAsia" w:ascii="仿宋" w:hAnsi="仿宋" w:eastAsia="仿宋" w:cs="仿宋"/>
          <w:color w:val="auto"/>
          <w:sz w:val="28"/>
          <w:szCs w:val="28"/>
          <w:highlight w:val="none"/>
        </w:rPr>
        <w:t>净水厂地块控制性详细规划阶段海绵城市(含防洪排涝风险评估)专篇的编制必须符合《中华人民共和国城乡规划法》、《城市规划编制办法》、《广州市城市规划管理标准与准则》、《广州市城乡规划技术规定（试行）》、《广州市城市开发建设项目海绵城市建设-洪涝安全评估技术指引（试行）》、《广州市水务局关于进一步加强控制性详细规划阶段涉水管控要求的函》、《广州市水务局关于印发海绵城市建设——控制性详细规划阶段洪涝安全评估审查要点的通知》、《广州市海绵城市建设领导小组办公室关于印发广州市海绵城市建设专篇编制要点的通知》等有关国家和地方的法律、法规、规章、标准和技术要求。</w:t>
      </w:r>
    </w:p>
    <w:p>
      <w:pPr>
        <w:pStyle w:val="10"/>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海绵城市(含防洪排涝风险评估)专篇内容、深度必须符合并满足规划、水务等主管部门的有关要求，对水务工程进行技术指标控制，落实所需配套项目等。</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三、项目商务要求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1.工期：见合同书格式。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2.质量要求：海绵城市(含防洪排涝风险评估)专篇作为控制性详细规划论证报告的一部分，需配合</w:t>
      </w:r>
      <w:r>
        <w:rPr>
          <w:rFonts w:hint="eastAsia" w:ascii="仿宋" w:hAnsi="仿宋" w:eastAsia="仿宋" w:cs="仿宋"/>
          <w:color w:val="auto"/>
          <w:sz w:val="28"/>
          <w:szCs w:val="28"/>
          <w:highlight w:val="none"/>
          <w:lang w:eastAsia="zh-CN"/>
        </w:rPr>
        <w:t>大沙地</w:t>
      </w:r>
      <w:r>
        <w:rPr>
          <w:rFonts w:hint="eastAsia" w:ascii="仿宋" w:hAnsi="仿宋" w:eastAsia="仿宋" w:cs="仿宋"/>
          <w:color w:val="auto"/>
          <w:sz w:val="28"/>
          <w:szCs w:val="28"/>
          <w:highlight w:val="none"/>
        </w:rPr>
        <w:t>净水厂地块控制性详细规划的不同阶段需要，完成控规成果中的海绵城市(含防洪排涝风险评估)专篇内容，并按照相关部门意见完善修改至满足要求。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3.付款方式：见合同书格式。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4.承包方式：总价包干。</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本合同采用总价包干，工作内容包括完成本合同项下的所有工作（包含但不限于报告编制和报审、修改完善及公示期间相关工作的配合）。整个项目主要工作内容包括：</w:t>
      </w:r>
    </w:p>
    <w:p>
      <w:pPr>
        <w:spacing w:line="360" w:lineRule="auto"/>
        <w:ind w:firstLine="560" w:firstLineChars="200"/>
        <w:rPr>
          <w:rFonts w:hint="eastAsia" w:ascii="仿宋" w:hAnsi="仿宋" w:eastAsia="仿宋" w:cs="仿宋"/>
          <w:color w:val="auto"/>
          <w:sz w:val="28"/>
          <w:szCs w:val="28"/>
          <w:highlight w:val="none"/>
        </w:rPr>
      </w:pPr>
      <w:bookmarkStart w:id="1" w:name="_Toc62667714"/>
      <w:r>
        <w:rPr>
          <w:rFonts w:hint="eastAsia" w:ascii="仿宋" w:hAnsi="仿宋" w:eastAsia="仿宋" w:cs="仿宋"/>
          <w:color w:val="auto"/>
          <w:sz w:val="28"/>
          <w:szCs w:val="28"/>
          <w:highlight w:val="none"/>
        </w:rPr>
        <w:t>（1）海绵城市专项规划工作内容主要包括：</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依据《广州市建设项目雨水径流控制办法》（广州市人民政府令第107号）、《广州市建设项目海绵城市建设管控指标分类指引（试行）的通知》(穗水河湖﹝2020﹞7号)、《广州市海绵城市建设领导小组办公室关于印发广州市海绵城市建设专篇编制要点的通知》（穗海绵办﹝2021﹞12号）和各区海绵城市专项规划的有关要求，细化落实各地块的海绵城市相关管控指标和建设方案。</w:t>
      </w:r>
    </w:p>
    <w:bookmarkEnd w:id="1"/>
    <w:p>
      <w:pPr>
        <w:spacing w:line="360" w:lineRule="auto"/>
        <w:ind w:firstLine="560" w:firstLineChars="200"/>
        <w:rPr>
          <w:rFonts w:hint="eastAsia" w:ascii="仿宋" w:hAnsi="仿宋" w:eastAsia="仿宋" w:cs="仿宋"/>
          <w:color w:val="auto"/>
          <w:sz w:val="28"/>
          <w:szCs w:val="28"/>
          <w:highlight w:val="none"/>
        </w:rPr>
      </w:pPr>
      <w:bookmarkStart w:id="2" w:name="_Toc62667715"/>
      <w:bookmarkStart w:id="3" w:name="OLE_LINK2"/>
      <w:bookmarkStart w:id="4" w:name="OLE_LINK1"/>
      <w:r>
        <w:rPr>
          <w:rFonts w:hint="eastAsia" w:ascii="仿宋" w:hAnsi="仿宋" w:eastAsia="仿宋" w:cs="仿宋"/>
          <w:color w:val="auto"/>
          <w:sz w:val="28"/>
          <w:szCs w:val="28"/>
          <w:highlight w:val="none"/>
        </w:rPr>
        <w:t>（2）</w:t>
      </w:r>
      <w:bookmarkEnd w:id="2"/>
      <w:r>
        <w:rPr>
          <w:rFonts w:hint="eastAsia" w:ascii="仿宋" w:hAnsi="仿宋" w:eastAsia="仿宋" w:cs="仿宋"/>
          <w:color w:val="auto"/>
          <w:sz w:val="28"/>
          <w:szCs w:val="28"/>
          <w:highlight w:val="none"/>
        </w:rPr>
        <w:t>防洪排涝风险评估工作内容主要包括：</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1）基本情况：包括①建设项目概况；②工程区域及流域基本情况；③防洪排涝及排水现状；④排水防涝设施规划及控制指标；⑤工程区域下垫面变化情况；⑥流域历史洪涝灾害情况。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2）项目所处区域洪涝风险等级评定：包括①洪涝风险等级评定方法；②洪涝风险等级评定结果。</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3）防洪排涝风险评估：包括①外江防洪（潮）标准；②河涌整治防洪标准；③内涝防治标准。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4）排水工程评估：包括①雨水径流控制标准；②雨水管渠、泵站及附属设施设计标准；③规划排水布局复核；④规划排水体制复核。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5）海绵城市评估：评估径流削减要求和地块配建调蓄容积需求。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6）地块竖向评估：评估地块高程是否满足防涝要求，若不满足，给出合理化建议。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7）供水、污水承载力评估：定量评估地块内规划用水量和污水量，周边市政供水水压、水量及污水管网是否满足承载要求。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8）结论及建议：按照洪涝安全评估审查要点，提出总结和建议。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9）附件“三图一表”：提交蓝绿设施布局图、水务设施布局图、地块竖向优化图和洪涝评估特征表。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（3）海绵城市(含防洪排涝风险评估)专篇内容需满足最新国家和地方的法律、法规、规章、标准和技术要求，以及地方规划、水务等主管部门的对控规阶段海绵城市(含防洪排涝风险评估)专篇的其它相关要求。</w:t>
      </w:r>
    </w:p>
    <w:bookmarkEnd w:id="3"/>
    <w:bookmarkEnd w:id="4"/>
    <w:p>
      <w:pPr>
        <w:pStyle w:val="26"/>
        <w:rPr>
          <w:color w:val="auto"/>
          <w:highlight w:val="none"/>
        </w:rPr>
      </w:pPr>
    </w:p>
    <w:p>
      <w:pPr>
        <w:widowControl/>
        <w:spacing w:line="560" w:lineRule="exact"/>
        <w:ind w:firstLine="560" w:firstLineChars="200"/>
        <w:jc w:val="left"/>
        <w:rPr>
          <w:rFonts w:ascii="仿宋_GB2312" w:hAnsi="宋体" w:eastAsia="仿宋_GB2312"/>
          <w:color w:val="auto"/>
          <w:sz w:val="28"/>
          <w:szCs w:val="28"/>
          <w:highlight w:val="none"/>
        </w:rPr>
      </w:pPr>
    </w:p>
    <w:p>
      <w:pPr>
        <w:widowControl/>
        <w:spacing w:line="560" w:lineRule="exact"/>
        <w:ind w:firstLine="560" w:firstLineChars="200"/>
        <w:jc w:val="left"/>
        <w:rPr>
          <w:rFonts w:ascii="仿宋_GB2312" w:hAnsi="仿宋_GB2312" w:eastAsia="仿宋_GB2312" w:cs="仿宋_GB2312"/>
          <w:color w:val="auto"/>
          <w:sz w:val="28"/>
          <w:szCs w:val="28"/>
          <w:highlight w:val="none"/>
          <w:u w:val="single"/>
        </w:rPr>
      </w:pPr>
    </w:p>
    <w:p>
      <w:pPr>
        <w:widowControl/>
        <w:jc w:val="left"/>
        <w:rPr>
          <w:rFonts w:ascii="仿宋_GB2312" w:hAnsi="宋体" w:eastAsia="仿宋_GB2312"/>
          <w:color w:val="auto"/>
          <w:sz w:val="28"/>
          <w:szCs w:val="28"/>
          <w:highlight w:val="none"/>
        </w:rPr>
      </w:pPr>
      <w:r>
        <w:rPr>
          <w:rFonts w:ascii="仿宋_GB2312" w:hAnsi="宋体" w:eastAsia="仿宋_GB2312"/>
          <w:color w:val="auto"/>
          <w:sz w:val="28"/>
          <w:szCs w:val="28"/>
          <w:highlight w:val="none"/>
        </w:rPr>
        <w:br w:type="page"/>
      </w:r>
    </w:p>
    <w:p>
      <w:pPr>
        <w:pStyle w:val="10"/>
        <w:adjustRightInd w:val="0"/>
        <w:snapToGrid w:val="0"/>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0"/>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一、概念释义</w:t>
      </w:r>
    </w:p>
    <w:p>
      <w:pPr>
        <w:pStyle w:val="10"/>
        <w:adjustRightInd w:val="0"/>
        <w:snapToGrid w:val="0"/>
        <w:spacing w:line="300" w:lineRule="auto"/>
        <w:ind w:left="54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1.“询价人”是指：广州市净水有限公司。</w:t>
      </w:r>
    </w:p>
    <w:p>
      <w:pPr>
        <w:pStyle w:val="10"/>
        <w:tabs>
          <w:tab w:val="left" w:pos="360"/>
        </w:tabs>
        <w:adjustRightInd w:val="0"/>
        <w:snapToGrid w:val="0"/>
        <w:spacing w:line="300" w:lineRule="auto"/>
        <w:ind w:left="54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2.合格的报价单位:</w:t>
      </w:r>
      <w:r>
        <w:rPr>
          <w:rFonts w:hint="eastAsia" w:ascii="仿宋" w:hAnsi="仿宋" w:eastAsia="仿宋" w:cs="仿宋_GB2312"/>
          <w:color w:val="auto"/>
          <w:kern w:val="0"/>
          <w:sz w:val="28"/>
          <w:szCs w:val="28"/>
          <w:highlight w:val="none"/>
        </w:rPr>
        <w:t>符合询价文件规定资格</w:t>
      </w:r>
      <w:r>
        <w:rPr>
          <w:rFonts w:hint="eastAsia" w:ascii="仿宋" w:hAnsi="仿宋" w:eastAsia="仿宋" w:cs="仿宋_GB2312"/>
          <w:color w:val="auto"/>
          <w:sz w:val="28"/>
          <w:szCs w:val="28"/>
          <w:highlight w:val="none"/>
          <w:lang w:val="zh-CN"/>
        </w:rPr>
        <w:t>要求</w:t>
      </w:r>
      <w:r>
        <w:rPr>
          <w:rFonts w:hint="eastAsia" w:ascii="仿宋" w:hAnsi="仿宋" w:eastAsia="仿宋" w:cs="仿宋_GB2312"/>
          <w:color w:val="auto"/>
          <w:kern w:val="0"/>
          <w:sz w:val="28"/>
          <w:szCs w:val="28"/>
          <w:highlight w:val="none"/>
        </w:rPr>
        <w:t>的报价单位。</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3.“承包人”是指经法定程序确认并授以合同的报价单位。</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二、询价文件</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询价文件的构成</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6.1询价文件包括但不限于下列文件:</w:t>
      </w:r>
    </w:p>
    <w:p>
      <w:pPr>
        <w:pStyle w:val="10"/>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1）报价邀请函</w:t>
      </w:r>
    </w:p>
    <w:p>
      <w:pPr>
        <w:pStyle w:val="10"/>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 项目内容</w:t>
      </w:r>
    </w:p>
    <w:p>
      <w:pPr>
        <w:pStyle w:val="10"/>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 报价单位须知</w:t>
      </w:r>
    </w:p>
    <w:p>
      <w:pPr>
        <w:pStyle w:val="10"/>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 合同书格式</w:t>
      </w:r>
    </w:p>
    <w:p>
      <w:pPr>
        <w:pStyle w:val="10"/>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 询价响应文件格式</w:t>
      </w:r>
    </w:p>
    <w:p>
      <w:pPr>
        <w:pStyle w:val="10"/>
        <w:adjustRightInd w:val="0"/>
        <w:snapToGrid w:val="0"/>
        <w:spacing w:line="300" w:lineRule="auto"/>
        <w:ind w:firstLine="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 在询价过程中由询价人发出的修正和补充文件等</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 询价文件的澄清或修改</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lang w:eastAsia="zh-CN"/>
        </w:rPr>
        <w:t>7.2任何要求对询价文件进行澄清的报价单位，均应以</w:t>
      </w:r>
      <w:r>
        <w:rPr>
          <w:rFonts w:hint="eastAsia" w:ascii="仿宋" w:hAnsi="仿宋" w:eastAsia="仿宋" w:cs="仿宋_GB2312"/>
          <w:color w:val="auto"/>
          <w:sz w:val="28"/>
          <w:szCs w:val="28"/>
          <w:highlight w:val="none"/>
          <w:lang w:val="en-US" w:eastAsia="zh-CN"/>
        </w:rPr>
        <w:t>纸质</w:t>
      </w:r>
      <w:r>
        <w:rPr>
          <w:rFonts w:hint="eastAsia" w:ascii="仿宋" w:hAnsi="仿宋" w:eastAsia="仿宋" w:cs="仿宋_GB2312"/>
          <w:color w:val="auto"/>
          <w:sz w:val="28"/>
          <w:szCs w:val="28"/>
          <w:highlight w:val="none"/>
          <w:lang w:eastAsia="zh-CN"/>
        </w:rPr>
        <w:t>形式通知询价人。询价人对其收到的</w:t>
      </w:r>
      <w:r>
        <w:rPr>
          <w:rFonts w:hint="eastAsia" w:ascii="仿宋" w:hAnsi="仿宋" w:eastAsia="仿宋" w:cs="仿宋_GB2312"/>
          <w:color w:val="auto"/>
          <w:sz w:val="28"/>
          <w:szCs w:val="28"/>
          <w:highlight w:val="none"/>
          <w:lang w:val="en-US" w:eastAsia="zh-CN"/>
        </w:rPr>
        <w:t>纸质</w:t>
      </w:r>
      <w:r>
        <w:rPr>
          <w:rFonts w:hint="eastAsia" w:ascii="仿宋" w:hAnsi="仿宋" w:eastAsia="仿宋" w:cs="仿宋_GB2312"/>
          <w:color w:val="auto"/>
          <w:sz w:val="28"/>
          <w:szCs w:val="28"/>
          <w:highlight w:val="none"/>
          <w:lang w:eastAsia="zh-CN"/>
        </w:rPr>
        <w:t>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lang w:eastAsia="zh-CN"/>
        </w:rPr>
        <w:t>７.3询价文件的修改或澄清将以书面形式通知所有</w:t>
      </w:r>
      <w:r>
        <w:rPr>
          <w:rFonts w:hint="eastAsia" w:ascii="仿宋" w:hAnsi="仿宋" w:eastAsia="仿宋" w:cs="仿宋_GB2312"/>
          <w:color w:val="auto"/>
          <w:sz w:val="28"/>
          <w:szCs w:val="28"/>
          <w:highlight w:val="none"/>
          <w:lang w:val="en-US" w:eastAsia="zh-CN"/>
        </w:rPr>
        <w:t>获取</w:t>
      </w:r>
      <w:r>
        <w:rPr>
          <w:rFonts w:hint="eastAsia" w:ascii="仿宋" w:hAnsi="仿宋" w:eastAsia="仿宋" w:cs="仿宋_GB2312"/>
          <w:color w:val="auto"/>
          <w:sz w:val="28"/>
          <w:szCs w:val="28"/>
          <w:highlight w:val="none"/>
          <w:lang w:eastAsia="zh-CN"/>
        </w:rPr>
        <w:t>询价文件的报价单位，并对其具有约束力。</w:t>
      </w:r>
    </w:p>
    <w:p>
      <w:pPr>
        <w:pStyle w:val="10"/>
        <w:adjustRightInd w:val="0"/>
        <w:snapToGrid w:val="0"/>
        <w:spacing w:line="300" w:lineRule="auto"/>
        <w:ind w:left="420" w:hanging="420"/>
        <w:rPr>
          <w:rFonts w:hint="eastAsia" w:ascii="仿宋" w:hAnsi="仿宋" w:eastAsia="仿宋" w:cs="仿宋_GB2312"/>
          <w:color w:val="auto"/>
          <w:sz w:val="28"/>
          <w:szCs w:val="28"/>
          <w:highlight w:val="none"/>
          <w:lang w:eastAsia="zh-CN"/>
        </w:rPr>
      </w:pPr>
      <w:r>
        <w:rPr>
          <w:rFonts w:hint="eastAsia" w:ascii="仿宋" w:hAnsi="仿宋" w:eastAsia="仿宋" w:cs="仿宋_GB2312"/>
          <w:color w:val="auto"/>
          <w:sz w:val="28"/>
          <w:szCs w:val="28"/>
          <w:highlight w:val="none"/>
          <w:lang w:eastAsia="zh-CN"/>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hint="eastAsia" w:ascii="仿宋" w:hAnsi="仿宋" w:eastAsia="仿宋" w:cs="仿宋_GB2312"/>
          <w:b w:val="0"/>
          <w:bCs w:val="0"/>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三、询价响应文件的编制和数量</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8．询价响应费用</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9．报价的语言及计量</w:t>
      </w:r>
    </w:p>
    <w:p>
      <w:pPr>
        <w:pStyle w:val="10"/>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10．询价响应文件的构成</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 询价响应文件编制</w:t>
      </w:r>
    </w:p>
    <w:p>
      <w:pPr>
        <w:spacing w:line="300" w:lineRule="auto"/>
        <w:ind w:left="610" w:hanging="630" w:hangingChars="225"/>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11.1报价单位应按响应文件格式编制询价响应文件。</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r>
        <w:rPr>
          <w:rFonts w:hint="eastAsia" w:ascii="仿宋_GB2312" w:hAnsi="仿宋_GB2312" w:eastAsia="仿宋_GB2312" w:cs="仿宋_GB2312"/>
          <w:color w:val="auto"/>
          <w:sz w:val="28"/>
          <w:szCs w:val="28"/>
          <w:highlight w:val="none"/>
        </w:rPr>
        <w:t>报价若低于本项目最高限价的60%，必须在响应文件中说明报价理由。</w:t>
      </w:r>
    </w:p>
    <w:p>
      <w:pPr>
        <w:pStyle w:val="10"/>
        <w:adjustRightInd w:val="0"/>
        <w:snapToGrid w:val="0"/>
        <w:spacing w:line="300" w:lineRule="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12.3任何有选择性报价的报价，将被视为无效报价。</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（1）与询价人存在利害关系且可能影响询价公正性；</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（2）法定代表人或单位负责人为同一个人或者存在控股、管理关系的不同单位,同时参加同一项目或同一子项目；</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（3）为本询价项目提供过设计、编制技术规范和其他文件的咨询服务；</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（4）被依法取消投标资格；</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（5）被责令停产停业、暂扣或者吊销许可证、暂扣或者吊销执照；</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（6）进入清算程序，或被宣告破产，或其他丧失履约能力的情形；</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（7）在参加本项目前3年内在存在重大违法记录；</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（8）被“全国企业信用信息公示系统”（网址：http://www.gsxt.gov.cn/）列入经营异常名录和严重违法失信企业名单；</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（9）被《信用中国》网站（www.creditchina.gov.cn）公示存在失信惩戒记录；</w:t>
      </w:r>
    </w:p>
    <w:p>
      <w:pPr>
        <w:pStyle w:val="10"/>
        <w:adjustRightInd w:val="0"/>
        <w:snapToGrid w:val="0"/>
        <w:spacing w:line="300" w:lineRule="auto"/>
        <w:ind w:left="562" w:leftChars="1" w:hanging="560" w:hangingChars="200"/>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 xml:space="preserve">（10）本项目截止时间前的半年中，在询价人组织的招标、询价活动中被查实弄虚作假、相互串通投标的。 </w:t>
      </w:r>
    </w:p>
    <w:p>
      <w:pPr>
        <w:pStyle w:val="10"/>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 联合体报价</w:t>
      </w:r>
    </w:p>
    <w:p>
      <w:pPr>
        <w:pStyle w:val="10"/>
        <w:adjustRightInd w:val="0"/>
        <w:snapToGrid w:val="0"/>
        <w:spacing w:line="300" w:lineRule="auto"/>
        <w:ind w:left="562" w:leftChars="1"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13.1本项目</w:t>
      </w:r>
      <w:r>
        <w:rPr>
          <w:rFonts w:hint="eastAsia" w:ascii="仿宋" w:hAnsi="仿宋" w:eastAsia="仿宋" w:cs="仿宋_GB2312"/>
          <w:color w:val="auto"/>
          <w:kern w:val="0"/>
          <w:sz w:val="28"/>
          <w:szCs w:val="28"/>
          <w:highlight w:val="none"/>
          <w:u w:val="single"/>
        </w:rPr>
        <w:t>不接受</w:t>
      </w:r>
      <w:r>
        <w:rPr>
          <w:rFonts w:hint="eastAsia" w:ascii="仿宋" w:hAnsi="仿宋" w:eastAsia="仿宋" w:cs="仿宋_GB2312"/>
          <w:color w:val="auto"/>
          <w:kern w:val="0"/>
          <w:sz w:val="28"/>
          <w:szCs w:val="28"/>
          <w:highlight w:val="none"/>
        </w:rPr>
        <w:t>联合体参加报价。</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 报价单位资格证明文件</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14.2资格证明文件必须真实有效，复印件必须加盖单位印章。</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 报价有效期</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15.1询价响应文件应在</w:t>
      </w:r>
      <w:r>
        <w:rPr>
          <w:rFonts w:hint="eastAsia" w:ascii="仿宋" w:hAnsi="仿宋" w:eastAsia="仿宋" w:cs="仿宋_GB2312"/>
          <w:color w:val="auto"/>
          <w:sz w:val="28"/>
          <w:szCs w:val="28"/>
          <w:highlight w:val="none"/>
          <w:lang w:val="en-US" w:eastAsia="zh-CN"/>
        </w:rPr>
        <w:t>询价会</w:t>
      </w:r>
      <w:r>
        <w:rPr>
          <w:rFonts w:hint="eastAsia" w:ascii="仿宋" w:hAnsi="仿宋" w:eastAsia="仿宋" w:cs="仿宋_GB2312"/>
          <w:color w:val="auto"/>
          <w:sz w:val="28"/>
          <w:szCs w:val="28"/>
          <w:highlight w:val="none"/>
        </w:rPr>
        <w:t>之日起</w:t>
      </w:r>
      <w:r>
        <w:rPr>
          <w:rFonts w:hint="eastAsia" w:ascii="仿宋" w:hAnsi="仿宋" w:eastAsia="仿宋" w:cs="仿宋_GB2312"/>
          <w:color w:val="auto"/>
          <w:sz w:val="28"/>
          <w:szCs w:val="28"/>
          <w:highlight w:val="none"/>
          <w:u w:val="single"/>
        </w:rPr>
        <w:t>90</w:t>
      </w:r>
      <w:r>
        <w:rPr>
          <w:rFonts w:hint="eastAsia" w:ascii="仿宋" w:hAnsi="仿宋" w:eastAsia="仿宋"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16.1 报价单位应编制询价响应文件一式</w:t>
      </w:r>
      <w:r>
        <w:rPr>
          <w:rFonts w:hint="eastAsia" w:ascii="仿宋" w:hAnsi="仿宋" w:eastAsia="仿宋" w:cs="仿宋_GB2312"/>
          <w:color w:val="auto"/>
          <w:kern w:val="0"/>
          <w:sz w:val="28"/>
          <w:szCs w:val="28"/>
          <w:highlight w:val="none"/>
          <w:u w:val="none"/>
          <w:lang w:val="en-US" w:eastAsia="zh-CN"/>
        </w:rPr>
        <w:t>二</w:t>
      </w:r>
      <w:r>
        <w:rPr>
          <w:rFonts w:hint="eastAsia" w:ascii="仿宋" w:hAnsi="仿宋" w:eastAsia="仿宋" w:cs="仿宋_GB2312"/>
          <w:color w:val="auto"/>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 询价响应文件的密封和标记</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17.1报价单位应将询价响应文件正本和副本用单独的信封密封，注明“正本”或“副本”字样。</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17.2每一密封信封均应：</w:t>
      </w:r>
    </w:p>
    <w:p>
      <w:pPr>
        <w:pStyle w:val="10"/>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（2）注明“于（递交询价响应文件截止时间）之前不准启封”的字样。</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17.3如果信封未按本须知第17.1条和第17.2条要求密封的，询价人对误投或过早启封概不负责。</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18. 询价响应文件递交截止时间</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 询价响应文件的修改和撤回</w:t>
      </w:r>
    </w:p>
    <w:p>
      <w:pPr>
        <w:pStyle w:val="1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highlight w:val="none"/>
          <w:u w:val="none"/>
        </w:rPr>
        <w:t>（询价人）</w:t>
      </w:r>
      <w:r>
        <w:rPr>
          <w:rFonts w:hint="eastAsia" w:ascii="仿宋" w:hAnsi="仿宋" w:eastAsia="仿宋" w:cs="仿宋_GB2312"/>
          <w:color w:val="auto"/>
          <w:kern w:val="0"/>
          <w:sz w:val="28"/>
          <w:szCs w:val="28"/>
          <w:highlight w:val="none"/>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五、评审</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 xml:space="preserve">20.1 </w:t>
      </w:r>
      <w:r>
        <w:rPr>
          <w:rFonts w:hint="eastAsia" w:ascii="仿宋" w:hAnsi="仿宋" w:eastAsia="仿宋" w:cs="仿宋_GB2312"/>
          <w:color w:val="auto"/>
          <w:kern w:val="0"/>
          <w:sz w:val="28"/>
          <w:szCs w:val="28"/>
          <w:highlight w:val="none"/>
        </w:rPr>
        <w:t>评审由</w:t>
      </w:r>
      <w:r>
        <w:rPr>
          <w:rFonts w:hint="eastAsia" w:ascii="仿宋" w:hAnsi="仿宋" w:eastAsia="仿宋" w:cs="仿宋_GB2312"/>
          <w:color w:val="auto"/>
          <w:sz w:val="28"/>
          <w:szCs w:val="28"/>
          <w:highlight w:val="none"/>
          <w:u w:val="none"/>
        </w:rPr>
        <w:t>询价人</w:t>
      </w:r>
      <w:r>
        <w:rPr>
          <w:rFonts w:hint="eastAsia" w:ascii="仿宋" w:hAnsi="仿宋" w:eastAsia="仿宋" w:cs="仿宋_GB2312"/>
          <w:color w:val="auto"/>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20.3询价小组依法根据询价文件的规定对询价响应文件进行评审,并据此推荐成交候选人。</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6"/>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21.1参加询价的报价单位</w:t>
      </w:r>
      <w:r>
        <w:rPr>
          <w:rFonts w:hint="eastAsia" w:ascii="仿宋" w:hAnsi="仿宋" w:eastAsia="仿宋" w:cs="仿宋_GB2312"/>
          <w:color w:val="auto"/>
          <w:kern w:val="0"/>
          <w:sz w:val="28"/>
          <w:szCs w:val="28"/>
          <w:highlight w:val="none"/>
          <w:lang w:val="en-US" w:eastAsia="zh-CN"/>
        </w:rPr>
        <w:t>经自行报名</w:t>
      </w:r>
      <w:r>
        <w:rPr>
          <w:rFonts w:hint="eastAsia" w:ascii="仿宋" w:hAnsi="仿宋" w:eastAsia="仿宋" w:cs="仿宋_GB2312"/>
          <w:color w:val="auto"/>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color w:val="auto"/>
          <w:kern w:val="0"/>
          <w:sz w:val="28"/>
          <w:szCs w:val="28"/>
          <w:highlight w:val="none"/>
        </w:rPr>
      </w:pPr>
      <w:r>
        <w:rPr>
          <w:rFonts w:hint="eastAsia" w:ascii="仿宋" w:hAnsi="仿宋" w:eastAsia="仿宋" w:cs="仿宋_GB2312"/>
          <w:color w:val="auto"/>
          <w:kern w:val="0"/>
          <w:sz w:val="28"/>
          <w:szCs w:val="28"/>
          <w:highlight w:val="none"/>
        </w:rPr>
        <w:t xml:space="preserve">21.4 </w:t>
      </w:r>
      <w:r>
        <w:rPr>
          <w:rFonts w:hint="eastAsia" w:ascii="仿宋" w:hAnsi="仿宋" w:eastAsia="仿宋" w:cs="仿宋_GB2312"/>
          <w:b w:val="0"/>
          <w:bCs w:val="0"/>
          <w:color w:val="auto"/>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大写金额与小写金额不一致的，以大写金额为准；</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22.3超过最高限价的报价将被拒绝。</w:t>
      </w:r>
    </w:p>
    <w:p>
      <w:pPr>
        <w:spacing w:line="25" w:lineRule="atLeast"/>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color w:val="auto"/>
          <w:kern w:val="0"/>
          <w:sz w:val="28"/>
          <w:szCs w:val="28"/>
          <w:highlight w:val="none"/>
        </w:rPr>
      </w:pPr>
      <w:r>
        <w:rPr>
          <w:rFonts w:hint="eastAsia" w:ascii="仿宋" w:hAnsi="仿宋" w:eastAsia="仿宋" w:cs="仿宋_GB2312"/>
          <w:color w:val="auto"/>
          <w:sz w:val="28"/>
          <w:szCs w:val="28"/>
          <w:highlight w:val="none"/>
        </w:rPr>
        <w:t>23.2承包人确定后，询价人</w:t>
      </w:r>
      <w:r>
        <w:rPr>
          <w:rFonts w:hint="eastAsia" w:ascii="仿宋" w:hAnsi="仿宋" w:eastAsia="仿宋" w:cs="仿宋_GB2312"/>
          <w:color w:val="auto"/>
          <w:kern w:val="0"/>
          <w:sz w:val="28"/>
          <w:szCs w:val="28"/>
          <w:highlight w:val="none"/>
        </w:rPr>
        <w:t>向承包人发出《发包通知书》，</w:t>
      </w:r>
      <w:r>
        <w:rPr>
          <w:rFonts w:hint="eastAsia" w:ascii="仿宋" w:hAnsi="仿宋" w:eastAsia="仿宋" w:cs="仿宋_GB2312"/>
          <w:color w:val="auto"/>
          <w:sz w:val="28"/>
          <w:szCs w:val="28"/>
          <w:highlight w:val="none"/>
        </w:rPr>
        <w:t>对承包人和询价人具有同等法律效力</w:t>
      </w:r>
      <w:r>
        <w:rPr>
          <w:rFonts w:hint="eastAsia" w:ascii="仿宋" w:hAnsi="仿宋" w:eastAsia="仿宋" w:cs="仿宋_GB2312"/>
          <w:color w:val="auto"/>
          <w:kern w:val="0"/>
          <w:sz w:val="28"/>
          <w:szCs w:val="28"/>
          <w:highlight w:val="none"/>
        </w:rPr>
        <w:t>。</w:t>
      </w:r>
    </w:p>
    <w:p>
      <w:pPr>
        <w:pStyle w:val="10"/>
        <w:adjustRightInd w:val="0"/>
        <w:snapToGrid w:val="0"/>
        <w:spacing w:line="300" w:lineRule="auto"/>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color w:val="auto"/>
          <w:sz w:val="28"/>
          <w:szCs w:val="28"/>
          <w:highlight w:val="none"/>
        </w:rPr>
      </w:pPr>
      <w:r>
        <w:rPr>
          <w:rFonts w:hint="eastAsia" w:ascii="仿宋" w:hAnsi="仿宋" w:eastAsia="仿宋" w:cs="仿宋_GB2312"/>
          <w:color w:val="auto"/>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auto"/>
          <w:sz w:val="28"/>
          <w:szCs w:val="28"/>
          <w:highlight w:val="none"/>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highlight w:val="none"/>
          <w:lang w:val="en-US" w:eastAsia="zh-CN"/>
        </w:rPr>
        <w:t>招标</w:t>
      </w:r>
      <w:r>
        <w:rPr>
          <w:rFonts w:hint="eastAsia" w:ascii="仿宋" w:hAnsi="仿宋" w:eastAsia="仿宋" w:cs="仿宋_GB2312"/>
          <w:color w:val="auto"/>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25.2 承包人因不可抗力或者自身原因不能履行承包合同的，询价人</w:t>
      </w:r>
      <w:r>
        <w:rPr>
          <w:rFonts w:hint="eastAsia" w:ascii="仿宋" w:hAnsi="仿宋" w:eastAsia="仿宋" w:cs="仿宋_GB2312"/>
          <w:color w:val="auto"/>
          <w:sz w:val="28"/>
          <w:szCs w:val="28"/>
          <w:highlight w:val="none"/>
        </w:rPr>
        <w:t>可以与排位在承包人之后第一位的成交候选报价单位签订承包</w:t>
      </w:r>
      <w:r>
        <w:rPr>
          <w:rFonts w:hint="eastAsia" w:ascii="仿宋" w:hAnsi="仿宋" w:eastAsia="仿宋"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八、质疑</w:t>
      </w:r>
    </w:p>
    <w:p>
      <w:pPr>
        <w:snapToGrid w:val="0"/>
        <w:spacing w:line="300" w:lineRule="auto"/>
        <w:ind w:left="420" w:right="32" w:hanging="420"/>
        <w:rPr>
          <w:rFonts w:hint="eastAsia"/>
          <w:color w:val="auto"/>
          <w:highlight w:val="none"/>
        </w:rPr>
      </w:pPr>
      <w:r>
        <w:rPr>
          <w:rFonts w:hint="eastAsia" w:ascii="仿宋" w:hAnsi="仿宋" w:eastAsia="仿宋" w:cs="仿宋_GB2312"/>
          <w:color w:val="auto"/>
          <w:sz w:val="28"/>
          <w:szCs w:val="28"/>
          <w:highlight w:val="none"/>
        </w:rPr>
        <w:t>26. 如果报价人认为询价文件或询价过程或询价结果使其权益受到损害的，可向询价人提出书面质疑。询价人应在规定时间内给予答复。</w:t>
      </w:r>
    </w:p>
    <w:p>
      <w:pPr>
        <w:pStyle w:val="10"/>
        <w:adjustRightInd w:val="0"/>
        <w:snapToGrid w:val="0"/>
        <w:spacing w:line="300" w:lineRule="auto"/>
        <w:jc w:val="center"/>
        <w:rPr>
          <w:rFonts w:hint="eastAsia" w:ascii="仿宋" w:hAnsi="仿宋" w:eastAsia="仿宋" w:cs="仿宋_GB2312"/>
          <w:b/>
          <w:color w:val="auto"/>
          <w:sz w:val="28"/>
          <w:szCs w:val="28"/>
          <w:highlight w:val="none"/>
          <w:lang w:val="zh-CN"/>
        </w:rPr>
      </w:pPr>
    </w:p>
    <w:p>
      <w:pPr>
        <w:widowControl/>
        <w:jc w:val="left"/>
        <w:rPr>
          <w:color w:val="auto"/>
          <w:sz w:val="28"/>
          <w:szCs w:val="28"/>
          <w:highlight w:val="none"/>
        </w:rPr>
      </w:pPr>
      <w:r>
        <w:rPr>
          <w:color w:val="auto"/>
          <w:sz w:val="28"/>
          <w:szCs w:val="28"/>
          <w:highlight w:val="none"/>
        </w:rPr>
        <w:br w:type="page"/>
      </w:r>
    </w:p>
    <w:p>
      <w:pPr>
        <w:pStyle w:val="4"/>
        <w:rPr>
          <w:color w:val="auto"/>
          <w:highlight w:val="none"/>
        </w:rPr>
      </w:pPr>
      <w:bookmarkStart w:id="5" w:name="_Toc152045581"/>
      <w:bookmarkStart w:id="6" w:name="_Toc144974548"/>
      <w:bookmarkStart w:id="7" w:name="_Toc247085739"/>
      <w:bookmarkStart w:id="8" w:name="_Toc152042358"/>
      <w:bookmarkStart w:id="9" w:name="_Toc179632599"/>
      <w:bookmarkStart w:id="10" w:name="_Toc371433002"/>
      <w:r>
        <w:rPr>
          <w:rFonts w:hint="eastAsia"/>
          <w:color w:val="auto"/>
          <w:highlight w:val="none"/>
        </w:rPr>
        <w:t>附件一报价记录表</w:t>
      </w:r>
      <w:bookmarkEnd w:id="5"/>
      <w:bookmarkEnd w:id="6"/>
      <w:bookmarkEnd w:id="7"/>
      <w:bookmarkEnd w:id="8"/>
      <w:bookmarkEnd w:id="9"/>
      <w:bookmarkEnd w:id="10"/>
    </w:p>
    <w:p>
      <w:pPr>
        <w:spacing w:line="400" w:lineRule="exact"/>
        <w:jc w:val="center"/>
        <w:rPr>
          <w:rFonts w:ascii="仿宋" w:hAnsi="仿宋" w:eastAsia="仿宋" w:cs="仿宋_GB2312"/>
          <w:bCs/>
          <w:color w:val="auto"/>
          <w:sz w:val="28"/>
          <w:szCs w:val="28"/>
          <w:highlight w:val="none"/>
          <w:u w:val="single"/>
        </w:rPr>
      </w:pPr>
      <w:r>
        <w:rPr>
          <w:rFonts w:hint="eastAsia" w:ascii="仿宋" w:hAnsi="仿宋" w:eastAsia="仿宋" w:cs="仿宋_GB2312"/>
          <w:bCs/>
          <w:color w:val="auto"/>
          <w:sz w:val="28"/>
          <w:szCs w:val="28"/>
          <w:highlight w:val="none"/>
          <w:u w:val="single"/>
        </w:rPr>
        <w:t>广州市净水有限公司</w:t>
      </w:r>
      <w:r>
        <w:rPr>
          <w:rFonts w:hint="eastAsia" w:ascii="仿宋" w:hAnsi="仿宋" w:eastAsia="仿宋" w:cs="仿宋_GB2312"/>
          <w:bCs/>
          <w:color w:val="auto"/>
          <w:sz w:val="28"/>
          <w:szCs w:val="28"/>
          <w:highlight w:val="none"/>
          <w:u w:val="single"/>
          <w:lang w:eastAsia="zh-CN"/>
        </w:rPr>
        <w:t>大沙地</w:t>
      </w:r>
      <w:r>
        <w:rPr>
          <w:rFonts w:hint="eastAsia" w:ascii="仿宋" w:hAnsi="仿宋" w:eastAsia="仿宋" w:cs="仿宋_GB2312"/>
          <w:bCs/>
          <w:color w:val="auto"/>
          <w:sz w:val="28"/>
          <w:szCs w:val="28"/>
          <w:highlight w:val="none"/>
          <w:u w:val="single"/>
        </w:rPr>
        <w:t>净水厂地块控制性详细规划阶段海绵城市</w:t>
      </w:r>
    </w:p>
    <w:p>
      <w:pPr>
        <w:spacing w:line="400" w:lineRule="exact"/>
        <w:jc w:val="center"/>
        <w:rPr>
          <w:rFonts w:ascii="仿宋" w:hAnsi="仿宋" w:eastAsia="仿宋" w:cs="仿宋_GB2312"/>
          <w:color w:val="auto"/>
          <w:sz w:val="28"/>
          <w:szCs w:val="28"/>
          <w:highlight w:val="none"/>
        </w:rPr>
      </w:pPr>
      <w:r>
        <w:rPr>
          <w:rFonts w:hint="eastAsia" w:ascii="仿宋" w:hAnsi="仿宋" w:eastAsia="仿宋" w:cs="仿宋_GB2312"/>
          <w:bCs/>
          <w:color w:val="auto"/>
          <w:sz w:val="28"/>
          <w:szCs w:val="28"/>
          <w:highlight w:val="none"/>
          <w:u w:val="single"/>
        </w:rPr>
        <w:t>（含防洪排涝风险评估）专篇编制</w:t>
      </w:r>
      <w:r>
        <w:rPr>
          <w:rFonts w:hint="eastAsia" w:ascii="仿宋" w:hAnsi="仿宋" w:eastAsia="仿宋" w:cs="仿宋_GB2312"/>
          <w:color w:val="auto"/>
          <w:sz w:val="28"/>
          <w:szCs w:val="28"/>
          <w:highlight w:val="none"/>
        </w:rPr>
        <w:t>报价记录表</w:t>
      </w:r>
    </w:p>
    <w:p>
      <w:pPr>
        <w:spacing w:line="500" w:lineRule="exact"/>
        <w:jc w:val="center"/>
        <w:rPr>
          <w:rFonts w:ascii="仿宋" w:hAnsi="仿宋" w:eastAsia="仿宋" w:cs="仿宋_GB2312"/>
          <w:color w:val="auto"/>
          <w:highlight w:val="none"/>
        </w:rPr>
      </w:pPr>
      <w:r>
        <w:rPr>
          <w:rFonts w:hint="eastAsia" w:ascii="仿宋" w:hAnsi="仿宋" w:eastAsia="仿宋" w:cs="仿宋_GB2312"/>
          <w:color w:val="auto"/>
          <w:szCs w:val="21"/>
          <w:highlight w:val="none"/>
        </w:rPr>
        <w:t>报价文件开启时间：年月日时分</w:t>
      </w:r>
    </w:p>
    <w:tbl>
      <w:tblPr>
        <w:tblStyle w:val="20"/>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highlight w:val="none"/>
              </w:rPr>
            </w:pPr>
          </w:p>
        </w:tc>
      </w:tr>
    </w:tbl>
    <w:p>
      <w:pPr>
        <w:spacing w:line="440" w:lineRule="exact"/>
        <w:rPr>
          <w:rFonts w:ascii="仿宋" w:hAnsi="仿宋" w:eastAsia="仿宋" w:cs="仿宋_GB2312"/>
          <w:color w:val="auto"/>
          <w:highlight w:val="none"/>
        </w:rPr>
      </w:pPr>
    </w:p>
    <w:p>
      <w:pPr>
        <w:spacing w:line="440" w:lineRule="exact"/>
        <w:rPr>
          <w:rFonts w:ascii="仿宋" w:hAnsi="仿宋" w:eastAsia="仿宋" w:cs="仿宋_GB2312"/>
          <w:color w:val="auto"/>
          <w:highlight w:val="none"/>
          <w:u w:val="single"/>
        </w:rPr>
      </w:pPr>
      <w:r>
        <w:rPr>
          <w:rFonts w:hint="eastAsia" w:ascii="仿宋" w:hAnsi="仿宋" w:eastAsia="仿宋" w:cs="仿宋_GB2312"/>
          <w:color w:val="auto"/>
          <w:highlight w:val="none"/>
        </w:rPr>
        <w:t xml:space="preserve">经办人：               记录人：          </w:t>
      </w:r>
    </w:p>
    <w:p>
      <w:pPr>
        <w:widowControl/>
        <w:jc w:val="left"/>
        <w:rPr>
          <w:color w:val="auto"/>
          <w:sz w:val="28"/>
          <w:szCs w:val="28"/>
          <w:highlight w:val="none"/>
        </w:rPr>
      </w:pPr>
      <w:r>
        <w:rPr>
          <w:color w:val="auto"/>
          <w:sz w:val="28"/>
          <w:szCs w:val="28"/>
          <w:highlight w:val="none"/>
        </w:rPr>
        <w:br w:type="page"/>
      </w:r>
    </w:p>
    <w:p>
      <w:pPr>
        <w:spacing w:line="440" w:lineRule="exact"/>
        <w:rPr>
          <w:rFonts w:ascii="仿宋" w:hAnsi="仿宋" w:eastAsia="仿宋" w:cs="仿宋_GB2312"/>
          <w:color w:val="auto"/>
          <w:sz w:val="28"/>
          <w:szCs w:val="28"/>
          <w:highlight w:val="none"/>
        </w:rPr>
      </w:pPr>
      <w:r>
        <w:rPr>
          <w:rFonts w:hint="eastAsia" w:ascii="仿宋" w:hAnsi="仿宋" w:eastAsia="仿宋" w:cs="仿宋_GB2312"/>
          <w:b/>
          <w:bCs/>
          <w:color w:val="auto"/>
          <w:sz w:val="32"/>
          <w:szCs w:val="32"/>
          <w:highlight w:val="none"/>
        </w:rPr>
        <w:t>附件二</w:t>
      </w:r>
    </w:p>
    <w:p>
      <w:pPr>
        <w:spacing w:line="360" w:lineRule="auto"/>
        <w:jc w:val="center"/>
        <w:rPr>
          <w:rFonts w:ascii="仿宋" w:hAnsi="仿宋" w:eastAsia="仿宋"/>
          <w:b/>
          <w:color w:val="auto"/>
          <w:sz w:val="36"/>
          <w:szCs w:val="36"/>
          <w:highlight w:val="none"/>
        </w:rPr>
      </w:pPr>
      <w:r>
        <w:rPr>
          <w:rFonts w:hint="eastAsia" w:ascii="仿宋" w:hAnsi="仿宋" w:eastAsia="仿宋"/>
          <w:b/>
          <w:bCs/>
          <w:color w:val="auto"/>
          <w:sz w:val="36"/>
          <w:szCs w:val="36"/>
          <w:highlight w:val="none"/>
        </w:rPr>
        <w:t>广州市净水有限公司</w:t>
      </w:r>
      <w:r>
        <w:rPr>
          <w:rFonts w:hint="eastAsia" w:ascii="仿宋" w:hAnsi="仿宋" w:eastAsia="仿宋"/>
          <w:b/>
          <w:color w:val="auto"/>
          <w:sz w:val="36"/>
          <w:szCs w:val="36"/>
          <w:highlight w:val="none"/>
        </w:rPr>
        <w:t>非公开招标项目</w:t>
      </w:r>
    </w:p>
    <w:p>
      <w:pPr>
        <w:spacing w:line="360" w:lineRule="auto"/>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询价评审记录表</w:t>
      </w:r>
    </w:p>
    <w:p>
      <w:pPr>
        <w:spacing w:line="360" w:lineRule="auto"/>
        <w:ind w:left="1200" w:leftChars="0" w:hanging="1200" w:hangingChars="5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项目名称:广州市净水有限公司</w:t>
      </w:r>
      <w:r>
        <w:rPr>
          <w:rFonts w:hint="eastAsia" w:ascii="仿宋" w:hAnsi="仿宋" w:eastAsia="仿宋"/>
          <w:color w:val="auto"/>
          <w:sz w:val="24"/>
          <w:highlight w:val="none"/>
          <w:lang w:eastAsia="zh-CN"/>
        </w:rPr>
        <w:t>大沙地</w:t>
      </w:r>
      <w:r>
        <w:rPr>
          <w:rFonts w:hint="eastAsia" w:ascii="仿宋" w:hAnsi="仿宋" w:eastAsia="仿宋"/>
          <w:color w:val="auto"/>
          <w:sz w:val="24"/>
          <w:highlight w:val="none"/>
        </w:rPr>
        <w:t>净水厂地块控制性详细规划阶段海绵城市（含防洪排涝风险评估）专篇编制</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lang w:val="en-US" w:eastAsia="zh-CN"/>
              </w:rPr>
              <w:t>企业</w:t>
            </w:r>
            <w:r>
              <w:rPr>
                <w:rFonts w:hint="eastAsia" w:ascii="宋体" w:hAnsi="宋体"/>
                <w:color w:val="auto"/>
                <w:sz w:val="24"/>
                <w:highlight w:val="none"/>
              </w:rPr>
              <w:t>法定代表人</w:t>
            </w:r>
            <w:r>
              <w:rPr>
                <w:rFonts w:hint="eastAsia" w:ascii="宋体" w:hAnsi="宋体"/>
                <w:color w:val="auto"/>
                <w:sz w:val="24"/>
                <w:highlight w:val="none"/>
                <w:lang w:val="en-US" w:eastAsia="zh-CN"/>
              </w:rPr>
              <w:t>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highlight w:val="none"/>
              </w:rPr>
            </w:pPr>
          </w:p>
          <w:p>
            <w:pPr>
              <w:tabs>
                <w:tab w:val="left" w:pos="0"/>
              </w:tabs>
              <w:rPr>
                <w:rFonts w:ascii="宋体" w:hAnsi="宋体"/>
                <w:color w:val="auto"/>
                <w:sz w:val="24"/>
                <w:highlight w:val="none"/>
              </w:rPr>
            </w:pPr>
          </w:p>
          <w:p>
            <w:pPr>
              <w:tabs>
                <w:tab w:val="left" w:pos="0"/>
              </w:tabs>
              <w:rPr>
                <w:rFonts w:ascii="仿宋" w:hAnsi="仿宋" w:eastAsia="仿宋"/>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auto"/>
                <w:sz w:val="24"/>
                <w:highlight w:val="none"/>
              </w:rPr>
            </w:pPr>
            <w:r>
              <w:rPr>
                <w:rFonts w:hint="eastAsia" w:ascii="宋体" w:hAnsi="宋体"/>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r>
              <w:rPr>
                <w:rFonts w:hint="eastAsia" w:ascii="宋体" w:hAnsi="宋体"/>
                <w:color w:val="auto"/>
                <w:sz w:val="24"/>
                <w:highlight w:val="none"/>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highlight w:val="none"/>
              </w:rPr>
            </w:pPr>
            <w:r>
              <w:rPr>
                <w:rFonts w:hint="eastAsia" w:ascii="宋体" w:hAnsi="宋体"/>
                <w:color w:val="auto"/>
                <w:sz w:val="24"/>
                <w:highlight w:val="none"/>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highlight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p>
        </w:tc>
      </w:tr>
    </w:tbl>
    <w:p>
      <w:pPr>
        <w:ind w:left="840" w:hanging="840" w:hangingChars="400"/>
        <w:rPr>
          <w:rFonts w:ascii="仿宋" w:hAnsi="仿宋" w:eastAsia="仿宋"/>
          <w:color w:val="auto"/>
          <w:highlight w:val="none"/>
        </w:rPr>
      </w:pPr>
      <w:r>
        <w:rPr>
          <w:rFonts w:hint="eastAsia" w:ascii="仿宋" w:hAnsi="仿宋" w:eastAsia="仿宋"/>
          <w:color w:val="auto"/>
          <w:highlight w:val="none"/>
        </w:rPr>
        <w:t>备注：1、审核情况填写“符合”或“不符合；或者打“√”或“×”。</w:t>
      </w:r>
    </w:p>
    <w:p>
      <w:pPr>
        <w:numPr>
          <w:ilvl w:val="0"/>
          <w:numId w:val="2"/>
        </w:numPr>
        <w:ind w:firstLine="630" w:firstLineChars="300"/>
        <w:rPr>
          <w:rFonts w:ascii="仿宋" w:hAnsi="仿宋" w:eastAsia="仿宋"/>
          <w:color w:val="auto"/>
          <w:highlight w:val="none"/>
        </w:rPr>
      </w:pPr>
      <w:r>
        <w:rPr>
          <w:rFonts w:hint="eastAsia" w:ascii="仿宋" w:hAnsi="仿宋" w:eastAsia="仿宋"/>
          <w:color w:val="auto"/>
          <w:highlight w:val="none"/>
        </w:rPr>
        <w:t>本表所有审核情况均为符合的，结论为报名成功。若有一项或以上审核情况为不符合的，结论为报名不成功。</w:t>
      </w:r>
    </w:p>
    <w:p>
      <w:pPr>
        <w:widowControl/>
        <w:jc w:val="left"/>
        <w:rPr>
          <w:color w:val="auto"/>
          <w:sz w:val="28"/>
          <w:szCs w:val="28"/>
          <w:highlight w:val="none"/>
        </w:rPr>
      </w:pPr>
      <w:r>
        <w:rPr>
          <w:color w:val="auto"/>
          <w:sz w:val="28"/>
          <w:szCs w:val="28"/>
          <w:highlight w:val="none"/>
        </w:rPr>
        <w:br w:type="page"/>
      </w:r>
    </w:p>
    <w:p>
      <w:pPr>
        <w:rPr>
          <w:rFonts w:ascii="仿宋" w:hAnsi="仿宋" w:eastAsia="仿宋" w:cs="仿宋_GB2312"/>
          <w:color w:val="auto"/>
          <w:sz w:val="28"/>
          <w:szCs w:val="28"/>
          <w:highlight w:val="none"/>
        </w:rPr>
      </w:pPr>
      <w:r>
        <w:rPr>
          <w:rFonts w:hint="eastAsia" w:ascii="仿宋" w:hAnsi="仿宋" w:eastAsia="仿宋" w:cs="仿宋_GB2312"/>
          <w:b/>
          <w:bCs/>
          <w:color w:val="auto"/>
          <w:sz w:val="32"/>
          <w:szCs w:val="32"/>
          <w:highlight w:val="none"/>
        </w:rPr>
        <w:t>附件三</w:t>
      </w:r>
    </w:p>
    <w:p>
      <w:pPr>
        <w:tabs>
          <w:tab w:val="left" w:pos="5740"/>
        </w:tabs>
        <w:autoSpaceDE w:val="0"/>
        <w:autoSpaceDN w:val="0"/>
        <w:adjustRightInd w:val="0"/>
        <w:jc w:val="center"/>
        <w:rPr>
          <w:rFonts w:ascii="仿宋" w:hAnsi="仿宋" w:eastAsia="仿宋"/>
          <w:b/>
          <w:color w:val="auto"/>
          <w:sz w:val="44"/>
          <w:szCs w:val="44"/>
          <w:highlight w:val="none"/>
        </w:rPr>
      </w:pPr>
      <w:r>
        <w:rPr>
          <w:rFonts w:hint="eastAsia" w:ascii="仿宋" w:hAnsi="仿宋" w:eastAsia="仿宋" w:cs="宋体"/>
          <w:b/>
          <w:bCs/>
          <w:color w:val="auto"/>
          <w:kern w:val="0"/>
          <w:sz w:val="44"/>
          <w:szCs w:val="44"/>
          <w:highlight w:val="none"/>
        </w:rPr>
        <w:t>广州市净水有限公司非公开招标</w:t>
      </w:r>
      <w:r>
        <w:rPr>
          <w:rFonts w:hint="eastAsia" w:ascii="仿宋" w:hAnsi="仿宋" w:eastAsia="仿宋"/>
          <w:b/>
          <w:color w:val="auto"/>
          <w:sz w:val="44"/>
          <w:szCs w:val="44"/>
          <w:highlight w:val="none"/>
        </w:rPr>
        <w:t>项目</w:t>
      </w:r>
    </w:p>
    <w:p>
      <w:pPr>
        <w:tabs>
          <w:tab w:val="left" w:pos="5740"/>
        </w:tabs>
        <w:autoSpaceDE w:val="0"/>
        <w:autoSpaceDN w:val="0"/>
        <w:adjustRightInd w:val="0"/>
        <w:jc w:val="center"/>
        <w:rPr>
          <w:rFonts w:ascii="仿宋" w:hAnsi="仿宋" w:eastAsia="仿宋" w:cs="宋体"/>
          <w:b/>
          <w:bCs/>
          <w:color w:val="auto"/>
          <w:kern w:val="0"/>
          <w:sz w:val="44"/>
          <w:szCs w:val="44"/>
          <w:highlight w:val="none"/>
        </w:rPr>
      </w:pPr>
      <w:r>
        <w:rPr>
          <w:rFonts w:hint="eastAsia" w:ascii="仿宋" w:hAnsi="仿宋" w:eastAsia="仿宋" w:cs="宋体"/>
          <w:b/>
          <w:bCs/>
          <w:color w:val="auto"/>
          <w:kern w:val="0"/>
          <w:sz w:val="44"/>
          <w:szCs w:val="44"/>
          <w:highlight w:val="none"/>
        </w:rPr>
        <w:t>发包通知书</w:t>
      </w:r>
    </w:p>
    <w:p>
      <w:pPr>
        <w:autoSpaceDE w:val="0"/>
        <w:autoSpaceDN w:val="0"/>
        <w:adjustRightInd w:val="0"/>
        <w:spacing w:after="400"/>
        <w:jc w:val="center"/>
        <w:rPr>
          <w:rFonts w:ascii="仿宋" w:hAnsi="仿宋" w:eastAsia="仿宋" w:cs="STSong-Light"/>
          <w:color w:val="auto"/>
          <w:kern w:val="0"/>
          <w:sz w:val="32"/>
          <w:szCs w:val="32"/>
          <w:highlight w:val="none"/>
        </w:rPr>
      </w:pPr>
    </w:p>
    <w:p>
      <w:pPr>
        <w:autoSpaceDE w:val="0"/>
        <w:autoSpaceDN w:val="0"/>
        <w:adjustRightInd w:val="0"/>
        <w:spacing w:after="300"/>
        <w:jc w:val="center"/>
        <w:rPr>
          <w:rFonts w:ascii="仿宋" w:hAnsi="仿宋" w:eastAsia="仿宋" w:cs="STSong-Light"/>
          <w:b/>
          <w:color w:val="auto"/>
          <w:kern w:val="0"/>
          <w:sz w:val="32"/>
          <w:szCs w:val="32"/>
          <w:highlight w:val="none"/>
        </w:rPr>
      </w:pPr>
      <w:r>
        <w:rPr>
          <w:rFonts w:hint="eastAsia" w:ascii="仿宋_GB2312" w:hAnsi="STSong-Light" w:eastAsia="仿宋_GB2312" w:cs="STSong-Light"/>
          <w:color w:val="auto"/>
          <w:kern w:val="0"/>
          <w:sz w:val="32"/>
          <w:szCs w:val="32"/>
          <w:highlight w:val="none"/>
        </w:rPr>
        <w:t>广净（非公招）字</w:t>
      </w:r>
      <w:r>
        <w:rPr>
          <w:rFonts w:ascii="仿宋_GB2312" w:hAnsi="STSong-Light" w:eastAsia="仿宋_GB2312" w:cs="STSong-Light"/>
          <w:color w:val="auto"/>
          <w:kern w:val="0"/>
          <w:sz w:val="32"/>
          <w:szCs w:val="32"/>
          <w:highlight w:val="none"/>
        </w:rPr>
        <w:t xml:space="preserve"> [20</w:t>
      </w:r>
      <w:r>
        <w:rPr>
          <w:rFonts w:hint="eastAsia" w:ascii="仿宋_GB2312" w:hAnsi="宋体" w:eastAsia="仿宋_GB2312" w:cs="STSong-Light"/>
          <w:color w:val="auto"/>
          <w:kern w:val="0"/>
          <w:sz w:val="32"/>
          <w:szCs w:val="32"/>
          <w:highlight w:val="none"/>
        </w:rPr>
        <w:t>××</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第</w:t>
      </w:r>
      <w:r>
        <w:rPr>
          <w:rFonts w:ascii="仿宋_GB2312" w:hAnsi="STSong-Light" w:eastAsia="仿宋_GB2312" w:cs="STSong-Light"/>
          <w:color w:val="auto"/>
          <w:kern w:val="0"/>
          <w:sz w:val="32"/>
          <w:szCs w:val="32"/>
          <w:highlight w:val="none"/>
        </w:rPr>
        <w:t xml:space="preserve"> [</w:t>
      </w:r>
      <w:r>
        <w:rPr>
          <w:rFonts w:hint="eastAsia" w:ascii="仿宋_GB2312" w:hAnsi="宋体" w:eastAsia="仿宋_GB2312" w:cs="STSong-Light"/>
          <w:color w:val="auto"/>
          <w:kern w:val="0"/>
          <w:sz w:val="32"/>
          <w:szCs w:val="32"/>
          <w:highlight w:val="none"/>
        </w:rPr>
        <w:t>×××</w:t>
      </w:r>
      <w:r>
        <w:rPr>
          <w:rFonts w:ascii="仿宋_GB2312" w:hAnsi="STSong-Light" w:eastAsia="仿宋_GB2312" w:cs="STSong-Light"/>
          <w:color w:val="auto"/>
          <w:kern w:val="0"/>
          <w:sz w:val="32"/>
          <w:szCs w:val="32"/>
          <w:highlight w:val="none"/>
        </w:rPr>
        <w:t xml:space="preserve">] </w:t>
      </w:r>
      <w:r>
        <w:rPr>
          <w:rFonts w:hint="eastAsia" w:ascii="仿宋_GB2312" w:hAnsi="STSong-Light" w:eastAsia="仿宋_GB2312" w:cs="STSong-Light"/>
          <w:color w:val="auto"/>
          <w:kern w:val="0"/>
          <w:sz w:val="32"/>
          <w:szCs w:val="32"/>
          <w:highlight w:val="none"/>
        </w:rPr>
        <w:t>号</w:t>
      </w:r>
    </w:p>
    <w:p>
      <w:pPr>
        <w:autoSpaceDE w:val="0"/>
        <w:autoSpaceDN w:val="0"/>
        <w:adjustRightInd w:val="0"/>
        <w:spacing w:after="300"/>
        <w:jc w:val="left"/>
        <w:rPr>
          <w:rFonts w:ascii="仿宋" w:hAnsi="仿宋" w:eastAsia="仿宋" w:cs="STSong-Light"/>
          <w:color w:val="auto"/>
          <w:kern w:val="0"/>
          <w:sz w:val="32"/>
          <w:szCs w:val="32"/>
          <w:highlight w:val="none"/>
        </w:rPr>
      </w:pPr>
      <w:r>
        <w:rPr>
          <w:rFonts w:hint="eastAsia" w:ascii="仿宋" w:hAnsi="仿宋" w:eastAsia="仿宋" w:cs="STSong-Light"/>
          <w:color w:val="auto"/>
          <w:kern w:val="0"/>
          <w:sz w:val="32"/>
          <w:szCs w:val="32"/>
          <w:highlight w:val="none"/>
        </w:rPr>
        <w:t>承包单位</w:t>
      </w:r>
      <w:r>
        <w:rPr>
          <w:rFonts w:ascii="仿宋" w:hAnsi="仿宋" w:eastAsia="仿宋" w:cs="STSong-Light"/>
          <w:color w:val="auto"/>
          <w:kern w:val="0"/>
          <w:sz w:val="32"/>
          <w:szCs w:val="32"/>
          <w:highlight w:val="none"/>
        </w:rPr>
        <w:t>(全称):</w:t>
      </w:r>
    </w:p>
    <w:p>
      <w:pPr>
        <w:autoSpaceDE w:val="0"/>
        <w:autoSpaceDN w:val="0"/>
        <w:adjustRightInd w:val="0"/>
        <w:spacing w:after="300" w:line="500" w:lineRule="atLeast"/>
        <w:jc w:val="left"/>
        <w:rPr>
          <w:rFonts w:ascii="仿宋" w:hAnsi="仿宋" w:eastAsia="仿宋" w:cs="STSong-Light"/>
          <w:color w:val="auto"/>
          <w:kern w:val="0"/>
          <w:sz w:val="32"/>
          <w:szCs w:val="32"/>
          <w:highlight w:val="none"/>
        </w:rPr>
      </w:pPr>
      <w:r>
        <w:rPr>
          <w:rFonts w:ascii="仿宋" w:hAnsi="仿宋" w:eastAsia="仿宋" w:cs="STSong-Light"/>
          <w:color w:val="auto"/>
          <w:kern w:val="0"/>
          <w:sz w:val="32"/>
          <w:szCs w:val="32"/>
          <w:highlight w:val="none"/>
        </w:rPr>
        <w:t xml:space="preserve">    经询价小组评审推荐，确定你单位为</w:t>
      </w:r>
      <w:r>
        <w:rPr>
          <w:rFonts w:hint="eastAsia" w:ascii="仿宋" w:hAnsi="仿宋" w:eastAsia="仿宋" w:cs="STSong-Light"/>
          <w:color w:val="auto"/>
          <w:kern w:val="0"/>
          <w:sz w:val="32"/>
          <w:szCs w:val="32"/>
          <w:highlight w:val="none"/>
        </w:rPr>
        <w:t>广州市净水有限公司</w:t>
      </w:r>
      <w:r>
        <w:rPr>
          <w:rFonts w:hint="eastAsia" w:ascii="仿宋" w:hAnsi="仿宋" w:eastAsia="仿宋" w:cs="STSong-Light"/>
          <w:color w:val="auto"/>
          <w:kern w:val="0"/>
          <w:sz w:val="32"/>
          <w:szCs w:val="32"/>
          <w:highlight w:val="none"/>
          <w:lang w:eastAsia="zh-CN"/>
        </w:rPr>
        <w:t>大沙地</w:t>
      </w:r>
      <w:r>
        <w:rPr>
          <w:rFonts w:hint="eastAsia" w:ascii="仿宋" w:hAnsi="仿宋" w:eastAsia="仿宋" w:cs="STSong-Light"/>
          <w:color w:val="auto"/>
          <w:kern w:val="0"/>
          <w:sz w:val="32"/>
          <w:szCs w:val="32"/>
          <w:highlight w:val="none"/>
        </w:rPr>
        <w:t>净水厂地块控制性详细规划阶段海绵城市（含防洪排涝风险评估）专篇编制的承包单位，承包内容为询价文件所规定的发包内容，报价为人民币×拾×万×仟×佰元（￥元）。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auto"/>
          <w:kern w:val="0"/>
          <w:sz w:val="32"/>
          <w:szCs w:val="32"/>
          <w:highlight w:val="none"/>
        </w:rPr>
      </w:pPr>
      <w:r>
        <w:rPr>
          <w:rFonts w:hint="eastAsia" w:ascii="仿宋" w:hAnsi="仿宋" w:eastAsia="仿宋" w:cs="STSong-Light"/>
          <w:color w:val="auto"/>
          <w:kern w:val="0"/>
          <w:sz w:val="32"/>
          <w:szCs w:val="32"/>
          <w:highlight w:val="none"/>
        </w:rPr>
        <w:t>其中：</w:t>
      </w:r>
    </w:p>
    <w:p>
      <w:pPr>
        <w:autoSpaceDE w:val="0"/>
        <w:autoSpaceDN w:val="0"/>
        <w:adjustRightInd w:val="0"/>
        <w:spacing w:after="500"/>
        <w:jc w:val="left"/>
        <w:rPr>
          <w:rFonts w:ascii="仿宋" w:hAnsi="仿宋" w:eastAsia="仿宋" w:cs="STSong-Light"/>
          <w:color w:val="auto"/>
          <w:kern w:val="0"/>
          <w:sz w:val="32"/>
          <w:szCs w:val="32"/>
          <w:highlight w:val="none"/>
        </w:rPr>
      </w:pPr>
      <w:r>
        <w:rPr>
          <w:rFonts w:ascii="仿宋" w:hAnsi="仿宋" w:eastAsia="仿宋"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 w:hAnsi="仿宋" w:eastAsia="仿宋" w:cs="STSong-Light"/>
          <w:color w:val="auto"/>
          <w:kern w:val="0"/>
          <w:sz w:val="32"/>
          <w:szCs w:val="32"/>
          <w:highlight w:val="none"/>
        </w:rPr>
      </w:pPr>
      <w:r>
        <w:rPr>
          <w:rFonts w:hint="eastAsia" w:ascii="仿宋" w:hAnsi="仿宋" w:eastAsia="仿宋" w:cs="STSong-Light"/>
          <w:color w:val="auto"/>
          <w:kern w:val="0"/>
          <w:sz w:val="32"/>
          <w:szCs w:val="32"/>
          <w:highlight w:val="none"/>
        </w:rPr>
        <w:t>发包单位（盖章）：</w:t>
      </w:r>
    </w:p>
    <w:p>
      <w:pPr>
        <w:autoSpaceDE w:val="0"/>
        <w:autoSpaceDN w:val="0"/>
        <w:adjustRightInd w:val="0"/>
        <w:spacing w:after="200"/>
        <w:jc w:val="left"/>
        <w:rPr>
          <w:rFonts w:ascii="仿宋" w:hAnsi="仿宋" w:eastAsia="仿宋" w:cs="STSong-Light"/>
          <w:color w:val="auto"/>
          <w:kern w:val="0"/>
          <w:sz w:val="32"/>
          <w:szCs w:val="32"/>
          <w:highlight w:val="none"/>
        </w:rPr>
      </w:pPr>
      <w:r>
        <w:rPr>
          <w:rFonts w:ascii="仿宋" w:hAnsi="仿宋" w:eastAsia="仿宋" w:cs="STSong-Light"/>
          <w:color w:val="auto"/>
          <w:kern w:val="0"/>
          <w:sz w:val="32"/>
          <w:szCs w:val="32"/>
          <w:highlight w:val="none"/>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auto"/>
          <w:sz w:val="28"/>
          <w:szCs w:val="28"/>
          <w:highlight w:val="none"/>
        </w:rPr>
      </w:pPr>
    </w:p>
    <w:p>
      <w:pPr>
        <w:widowControl/>
        <w:jc w:val="left"/>
        <w:rPr>
          <w:color w:val="auto"/>
          <w:sz w:val="28"/>
          <w:szCs w:val="28"/>
          <w:highlight w:val="none"/>
        </w:rPr>
      </w:pPr>
      <w:r>
        <w:rPr>
          <w:color w:val="auto"/>
          <w:sz w:val="28"/>
          <w:szCs w:val="28"/>
          <w:highlight w:val="none"/>
        </w:rPr>
        <w:br w:type="page"/>
      </w:r>
    </w:p>
    <w:p>
      <w:pPr>
        <w:pStyle w:val="18"/>
        <w:numPr>
          <w:ilvl w:val="0"/>
          <w:numId w:val="3"/>
        </w:numPr>
        <w:rPr>
          <w:color w:val="auto"/>
          <w:highlight w:val="none"/>
        </w:rPr>
      </w:pPr>
      <w:r>
        <w:rPr>
          <w:rFonts w:hint="eastAsia"/>
          <w:color w:val="auto"/>
          <w:highlight w:val="none"/>
        </w:rPr>
        <w:t>合同书格式</w:t>
      </w:r>
    </w:p>
    <w:p>
      <w:pPr>
        <w:rPr>
          <w:color w:val="auto"/>
          <w:highlight w:val="none"/>
        </w:rPr>
      </w:pPr>
    </w:p>
    <w:p>
      <w:pPr>
        <w:rPr>
          <w:color w:val="auto"/>
          <w:highlight w:val="none"/>
        </w:rPr>
      </w:pPr>
    </w:p>
    <w:p>
      <w:pPr>
        <w:jc w:val="center"/>
        <w:rPr>
          <w:rFonts w:hint="default" w:eastAsiaTheme="minorEastAsia"/>
          <w:color w:val="auto"/>
          <w:sz w:val="32"/>
          <w:szCs w:val="32"/>
          <w:highlight w:val="none"/>
          <w:lang w:val="en-US" w:eastAsia="zh-CN"/>
        </w:rPr>
      </w:pPr>
      <w:r>
        <w:rPr>
          <w:rFonts w:hint="eastAsia"/>
          <w:color w:val="auto"/>
          <w:sz w:val="32"/>
          <w:szCs w:val="32"/>
          <w:highlight w:val="none"/>
          <w:lang w:val="en-US" w:eastAsia="zh-CN"/>
        </w:rPr>
        <w:t>委托服务合同</w:t>
      </w:r>
    </w:p>
    <w:p>
      <w:pPr>
        <w:rPr>
          <w:color w:val="auto"/>
          <w:highlight w:val="none"/>
        </w:rPr>
      </w:pPr>
    </w:p>
    <w:p>
      <w:pPr>
        <w:rPr>
          <w:rFonts w:ascii="仿宋_GB2312" w:hAnsi="仿宋_GB2312" w:eastAsia="仿宋_GB2312" w:cs="仿宋_GB2312"/>
          <w:color w:val="auto"/>
          <w:sz w:val="28"/>
          <w:szCs w:val="28"/>
          <w:highlight w:val="none"/>
        </w:rPr>
      </w:pPr>
    </w:p>
    <w:p>
      <w:pPr>
        <w:ind w:firstLine="228" w:firstLineChars="95"/>
        <w:rPr>
          <w:rFonts w:ascii="宋体" w:hAnsi="宋体"/>
          <w:color w:val="auto"/>
          <w:sz w:val="24"/>
          <w:highlight w:val="none"/>
        </w:rPr>
      </w:pPr>
    </w:p>
    <w:p>
      <w:pPr>
        <w:adjustRightInd w:val="0"/>
        <w:spacing w:line="360" w:lineRule="auto"/>
        <w:ind w:firstLine="480" w:firstLineChars="200"/>
        <w:jc w:val="left"/>
        <w:textAlignment w:val="baseline"/>
        <w:rPr>
          <w:rFonts w:ascii="宋体" w:hAnsi="宋体" w:cs="宋体"/>
          <w:color w:val="auto"/>
          <w:sz w:val="24"/>
          <w:szCs w:val="24"/>
          <w:highlight w:val="none"/>
          <w:u w:val="single"/>
        </w:rPr>
      </w:pPr>
      <w:r>
        <w:rPr>
          <w:rFonts w:hint="eastAsia" w:ascii="宋体" w:hAnsi="宋体" w:cs="宋体"/>
          <w:color w:val="auto"/>
          <w:sz w:val="24"/>
          <w:szCs w:val="24"/>
          <w:highlight w:val="none"/>
        </w:rPr>
        <w:t>甲方（发包人） ：</w:t>
      </w:r>
      <w:r>
        <w:rPr>
          <w:rFonts w:hint="eastAsia" w:ascii="宋体" w:hAnsi="宋体" w:cs="宋体"/>
          <w:color w:val="auto"/>
          <w:sz w:val="24"/>
          <w:szCs w:val="24"/>
          <w:highlight w:val="none"/>
          <w:u w:val="single"/>
        </w:rPr>
        <w:t>广州市</w:t>
      </w:r>
      <w:r>
        <w:rPr>
          <w:rFonts w:hint="eastAsia" w:ascii="宋体" w:hAnsi="宋体" w:cs="宋体"/>
          <w:bCs/>
          <w:color w:val="auto"/>
          <w:sz w:val="24"/>
          <w:szCs w:val="24"/>
          <w:highlight w:val="none"/>
          <w:u w:val="single"/>
        </w:rPr>
        <w:t>净水有限公司</w:t>
      </w:r>
    </w:p>
    <w:p>
      <w:pPr>
        <w:adjustRightInd w:val="0"/>
        <w:spacing w:line="360" w:lineRule="auto"/>
        <w:ind w:firstLine="480" w:firstLineChars="200"/>
        <w:jc w:val="left"/>
        <w:textAlignment w:val="baseline"/>
        <w:rPr>
          <w:rFonts w:ascii="宋体" w:hAnsi="宋体" w:cs="宋体"/>
          <w:color w:val="auto"/>
          <w:sz w:val="24"/>
          <w:szCs w:val="24"/>
          <w:highlight w:val="none"/>
          <w:u w:val="single"/>
        </w:rPr>
      </w:pPr>
      <w:r>
        <w:rPr>
          <w:rFonts w:hint="eastAsia" w:ascii="宋体" w:hAnsi="宋体" w:cs="宋体"/>
          <w:color w:val="auto"/>
          <w:sz w:val="24"/>
          <w:szCs w:val="24"/>
          <w:highlight w:val="none"/>
        </w:rPr>
        <w:t>乙方（承包人） ：</w:t>
      </w:r>
    </w:p>
    <w:p>
      <w:pPr>
        <w:adjustRightInd w:val="0"/>
        <w:spacing w:line="360" w:lineRule="auto"/>
        <w:ind w:firstLine="228" w:firstLineChars="95"/>
        <w:jc w:val="left"/>
        <w:textAlignment w:val="baseline"/>
        <w:rPr>
          <w:rFonts w:ascii="宋体" w:hAnsi="宋体" w:eastAsia="宋体" w:cs="宋体"/>
          <w:color w:val="auto"/>
          <w:sz w:val="24"/>
          <w:szCs w:val="24"/>
          <w:highlight w:val="none"/>
        </w:rPr>
      </w:pPr>
    </w:p>
    <w:p>
      <w:pPr>
        <w:pStyle w:val="1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甲方就</w:t>
      </w:r>
      <w:r>
        <w:rPr>
          <w:rFonts w:hint="eastAsia" w:hAnsi="宋体" w:cs="宋体"/>
          <w:color w:val="auto"/>
          <w:sz w:val="24"/>
          <w:szCs w:val="24"/>
          <w:highlight w:val="none"/>
          <w:u w:val="single"/>
          <w:lang w:eastAsia="zh-CN"/>
        </w:rPr>
        <w:t>大沙地</w:t>
      </w:r>
      <w:r>
        <w:rPr>
          <w:rFonts w:hAnsi="宋体" w:cs="宋体"/>
          <w:color w:val="auto"/>
          <w:sz w:val="24"/>
          <w:szCs w:val="24"/>
          <w:highlight w:val="none"/>
          <w:u w:val="single"/>
        </w:rPr>
        <w:t>净水厂地块控制性详细规划阶段海绵城市（含防洪排涝风险评估）专篇编制</w:t>
      </w:r>
      <w:r>
        <w:rPr>
          <w:rFonts w:hint="eastAsia" w:hAnsi="宋体" w:cs="宋体"/>
          <w:color w:val="auto"/>
          <w:sz w:val="24"/>
          <w:szCs w:val="24"/>
          <w:highlight w:val="none"/>
        </w:rPr>
        <w:t>委托乙方提供相应工作成果。经双方协商一致，签订本合同。</w:t>
      </w:r>
    </w:p>
    <w:p>
      <w:pPr>
        <w:adjustRightInd w:val="0"/>
        <w:spacing w:line="360" w:lineRule="auto"/>
        <w:jc w:val="left"/>
        <w:textAlignment w:val="baseline"/>
        <w:rPr>
          <w:rFonts w:ascii="宋体" w:hAnsi="宋体" w:cs="宋体"/>
          <w:b/>
          <w:color w:val="auto"/>
          <w:sz w:val="24"/>
          <w:szCs w:val="24"/>
          <w:highlight w:val="none"/>
        </w:rPr>
      </w:pPr>
      <w:r>
        <w:rPr>
          <w:rFonts w:hint="eastAsia" w:ascii="宋体" w:hAnsi="宋体" w:cs="宋体"/>
          <w:b/>
          <w:bCs/>
          <w:color w:val="auto"/>
          <w:sz w:val="24"/>
          <w:szCs w:val="24"/>
          <w:highlight w:val="none"/>
        </w:rPr>
        <w:t>第一条</w:t>
      </w:r>
      <w:r>
        <w:rPr>
          <w:rFonts w:hint="eastAsia" w:ascii="宋体" w:hAnsi="宋体" w:cs="宋体"/>
          <w:b/>
          <w:color w:val="auto"/>
          <w:sz w:val="24"/>
          <w:szCs w:val="24"/>
          <w:highlight w:val="none"/>
        </w:rPr>
        <w:t xml:space="preserve">  签订依据 </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1.1《中华人民共和国民法典》、《中华人民共和国城乡规划法》、《中华人民共和国建筑法》、《建设工程勘察设计管理条例》、《广州市城乡规划条例》</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1.2 国家及地方有关规划、建设工程勘察设计管理法规和规章。</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1.3 建设工程批准文件。</w:t>
      </w:r>
    </w:p>
    <w:p>
      <w:pPr>
        <w:pStyle w:val="26"/>
        <w:rPr>
          <w:rFonts w:hAnsi="宋体"/>
          <w:color w:val="auto"/>
          <w:highlight w:val="none"/>
        </w:rPr>
      </w:pP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第二条  编制依据</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2.1甲方给乙方的发包通知书</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2.2甲方提交的基础资料</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《中华人民共和国城乡规划法》</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《城市规划编制办法》</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《广州市城市规划管理标准与准则》</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《广州市城乡规划技术规定（试行）》</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《广州市城市开发建设项目海绵城市建设-洪涝安全评估技术指引（试行）》</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《广州市水务局关于进一步加强控制性详细规划阶段涉水管控要求的函》</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eastAsiaTheme="minorEastAsia"/>
          <w:color w:val="auto"/>
          <w:sz w:val="24"/>
          <w:szCs w:val="24"/>
          <w:highlight w:val="none"/>
        </w:rPr>
        <w:t>《广州市水务局关于印发海绵城市建设——控制性详细规划阶段洪涝安全评估审查要点的通知》</w:t>
      </w:r>
    </w:p>
    <w:p>
      <w:pPr>
        <w:adjustRightInd w:val="0"/>
        <w:spacing w:line="360" w:lineRule="auto"/>
        <w:ind w:firstLine="480" w:firstLineChars="200"/>
        <w:jc w:val="left"/>
        <w:textAlignment w:val="baseline"/>
        <w:rPr>
          <w:rFonts w:ascii="宋体" w:hAnsi="宋体" w:eastAsia="仿宋_GB2312" w:cs="宋体"/>
          <w:color w:val="auto"/>
          <w:sz w:val="24"/>
          <w:szCs w:val="24"/>
          <w:highlight w:val="none"/>
        </w:rPr>
      </w:pPr>
      <w:r>
        <w:rPr>
          <w:rFonts w:hint="eastAsia" w:ascii="宋体" w:hAnsi="宋体" w:cs="宋体" w:eastAsiaTheme="minorEastAsia"/>
          <w:color w:val="auto"/>
          <w:sz w:val="24"/>
          <w:szCs w:val="24"/>
          <w:highlight w:val="none"/>
        </w:rPr>
        <w:t>《广州市海绵城市建设领导小组办公室关于印发广州市海绵城市建设专篇编制要点的通知》</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上述规范如有更新的，以最新版本为准。</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第三条  合同文件的优先次序</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3.1合同书</w:t>
      </w:r>
    </w:p>
    <w:p>
      <w:pPr>
        <w:adjustRightInd w:val="0"/>
        <w:spacing w:line="360" w:lineRule="auto"/>
        <w:ind w:firstLine="480" w:firstLineChars="200"/>
        <w:jc w:val="left"/>
        <w:textAlignment w:val="baseline"/>
        <w:rPr>
          <w:rFonts w:ascii="宋体" w:hAnsi="宋体" w:cs="宋体"/>
          <w:color w:val="auto"/>
          <w:sz w:val="24"/>
          <w:szCs w:val="24"/>
          <w:highlight w:val="none"/>
          <w:shd w:val="pct10" w:color="auto" w:fill="FFFFFF"/>
        </w:rPr>
      </w:pPr>
      <w:r>
        <w:rPr>
          <w:rFonts w:hint="eastAsia" w:ascii="宋体" w:hAnsi="宋体" w:cs="宋体"/>
          <w:color w:val="auto"/>
          <w:sz w:val="24"/>
          <w:szCs w:val="24"/>
          <w:highlight w:val="none"/>
        </w:rPr>
        <w:t>3.2发包通知书</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3.3 甲方的要求 </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3.4技术规范</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第四条  项目概况</w:t>
      </w:r>
    </w:p>
    <w:p>
      <w:pPr>
        <w:adjustRightInd w:val="0"/>
        <w:spacing w:line="360" w:lineRule="auto"/>
        <w:ind w:left="1"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Theme="minorEastAsia" w:hAnsiTheme="minorEastAsia" w:cstheme="minorEastAsia"/>
          <w:color w:val="auto"/>
          <w:sz w:val="24"/>
          <w:szCs w:val="24"/>
          <w:highlight w:val="none"/>
          <w:u w:val="single"/>
          <w:lang w:eastAsia="zh-CN"/>
        </w:rPr>
        <w:t>大沙地</w:t>
      </w:r>
      <w:r>
        <w:rPr>
          <w:rFonts w:asciiTheme="minorEastAsia" w:hAnsiTheme="minorEastAsia" w:cstheme="minorEastAsia"/>
          <w:color w:val="auto"/>
          <w:sz w:val="24"/>
          <w:szCs w:val="24"/>
          <w:highlight w:val="none"/>
          <w:u w:val="single"/>
        </w:rPr>
        <w:t>净水厂地块控制性详细规划阶段海绵城市（含防洪排涝风险评估）专篇编制</w:t>
      </w:r>
      <w:r>
        <w:rPr>
          <w:rFonts w:hint="eastAsia" w:ascii="宋体" w:hAnsi="宋体" w:cs="宋体"/>
          <w:color w:val="auto"/>
          <w:sz w:val="24"/>
          <w:szCs w:val="24"/>
          <w:highlight w:val="none"/>
        </w:rPr>
        <w:t>。</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项目地点：</w:t>
      </w:r>
      <w:r>
        <w:rPr>
          <w:rFonts w:hint="eastAsia" w:asciiTheme="minorEastAsia" w:hAnsiTheme="minorEastAsia" w:cstheme="minorEastAsia"/>
          <w:color w:val="auto"/>
          <w:sz w:val="24"/>
          <w:szCs w:val="24"/>
          <w:highlight w:val="none"/>
          <w:u w:val="single"/>
        </w:rPr>
        <w:t xml:space="preserve">  本项目地块位于</w:t>
      </w:r>
      <w:r>
        <w:rPr>
          <w:rFonts w:hint="eastAsia" w:asciiTheme="minorEastAsia" w:hAnsiTheme="minorEastAsia" w:cstheme="minorEastAsia"/>
          <w:color w:val="auto"/>
          <w:sz w:val="24"/>
          <w:szCs w:val="24"/>
          <w:highlight w:val="none"/>
          <w:u w:val="single"/>
          <w:lang w:val="en-US" w:eastAsia="zh-CN"/>
        </w:rPr>
        <w:t>黄埔区港前路以北、石化南路以东</w:t>
      </w:r>
      <w:r>
        <w:rPr>
          <w:rFonts w:hint="eastAsia" w:asciiTheme="minorEastAsia" w:hAnsiTheme="minorEastAsia" w:cstheme="minorEastAsia"/>
          <w:color w:val="auto"/>
          <w:sz w:val="24"/>
          <w:szCs w:val="24"/>
          <w:highlight w:val="none"/>
          <w:u w:val="single"/>
        </w:rPr>
        <w:t>。</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highlight w:val="none"/>
          <w:u w:val="single"/>
        </w:rPr>
      </w:pPr>
      <w:r>
        <w:rPr>
          <w:rFonts w:hint="eastAsia" w:asciiTheme="minorEastAsia" w:hAnsiTheme="minorEastAsia" w:cstheme="minorEastAsia"/>
          <w:color w:val="auto"/>
          <w:sz w:val="24"/>
          <w:szCs w:val="24"/>
          <w:highlight w:val="none"/>
        </w:rPr>
        <w:t>用地面积：</w:t>
      </w:r>
      <w:r>
        <w:rPr>
          <w:rFonts w:hint="eastAsia" w:asciiTheme="minorEastAsia" w:hAnsiTheme="minorEastAsia" w:cstheme="minorEastAsia"/>
          <w:color w:val="auto"/>
          <w:sz w:val="24"/>
          <w:szCs w:val="24"/>
          <w:highlight w:val="none"/>
          <w:u w:val="single"/>
        </w:rPr>
        <w:t xml:space="preserve">  本项目地块用地面积</w:t>
      </w:r>
      <w:r>
        <w:rPr>
          <w:rFonts w:hint="eastAsia" w:asciiTheme="minorEastAsia" w:hAnsiTheme="minorEastAsia" w:cstheme="minorEastAsia"/>
          <w:color w:val="auto"/>
          <w:sz w:val="24"/>
          <w:szCs w:val="24"/>
          <w:highlight w:val="none"/>
          <w:u w:val="single"/>
          <w:lang w:val="en-US" w:eastAsia="zh-CN"/>
        </w:rPr>
        <w:t>34</w:t>
      </w:r>
      <w:r>
        <w:rPr>
          <w:rFonts w:hint="eastAsia" w:asciiTheme="minorEastAsia" w:hAnsiTheme="minorEastAsia" w:cstheme="minorEastAsia"/>
          <w:color w:val="auto"/>
          <w:sz w:val="24"/>
          <w:szCs w:val="24"/>
          <w:highlight w:val="none"/>
          <w:u w:val="single"/>
        </w:rPr>
        <w:t>公顷。 </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建筑面积：</w:t>
      </w:r>
      <w:r>
        <w:rPr>
          <w:rFonts w:hint="eastAsia" w:asciiTheme="minorEastAsia" w:hAnsiTheme="minorEastAsia" w:cstheme="minorEastAsia"/>
          <w:color w:val="auto"/>
          <w:sz w:val="24"/>
          <w:szCs w:val="24"/>
          <w:highlight w:val="none"/>
          <w:u w:val="single"/>
        </w:rPr>
        <w:t xml:space="preserve">  以相关职能部门审批文件为准</w:t>
      </w:r>
      <w:r>
        <w:rPr>
          <w:rFonts w:hint="eastAsia" w:asciiTheme="minorEastAsia" w:hAnsiTheme="minorEastAsia" w:cstheme="minorEastAsia"/>
          <w:color w:val="auto"/>
          <w:sz w:val="24"/>
          <w:szCs w:val="24"/>
          <w:highlight w:val="none"/>
        </w:rPr>
        <w:t>。</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为盘活现有土地资源，拓宽产业领域盈利渠道，目前正开展</w:t>
      </w:r>
      <w:r>
        <w:rPr>
          <w:rFonts w:hint="eastAsia" w:asciiTheme="minorEastAsia" w:hAnsiTheme="minorEastAsia" w:cstheme="minorEastAsia"/>
          <w:color w:val="auto"/>
          <w:sz w:val="24"/>
          <w:szCs w:val="24"/>
          <w:highlight w:val="none"/>
          <w:lang w:eastAsia="zh-CN"/>
        </w:rPr>
        <w:t>大沙地</w:t>
      </w:r>
      <w:r>
        <w:rPr>
          <w:rFonts w:hint="eastAsia" w:asciiTheme="minorEastAsia" w:hAnsiTheme="minorEastAsia" w:cstheme="minorEastAsia"/>
          <w:color w:val="auto"/>
          <w:sz w:val="24"/>
          <w:szCs w:val="24"/>
          <w:highlight w:val="none"/>
        </w:rPr>
        <w:t>净水厂地块控规调整工作。本次</w:t>
      </w:r>
      <w:r>
        <w:rPr>
          <w:rFonts w:asciiTheme="minorEastAsia" w:hAnsiTheme="minorEastAsia" w:cstheme="minorEastAsia"/>
          <w:color w:val="auto"/>
          <w:sz w:val="24"/>
          <w:szCs w:val="24"/>
          <w:highlight w:val="none"/>
        </w:rPr>
        <w:t>海绵城市(含防洪排涝风险评估)专篇编制</w:t>
      </w:r>
      <w:r>
        <w:rPr>
          <w:rFonts w:hint="eastAsia" w:asciiTheme="minorEastAsia" w:hAnsiTheme="minorEastAsia" w:cstheme="minorEastAsia"/>
          <w:color w:val="auto"/>
          <w:sz w:val="24"/>
          <w:szCs w:val="24"/>
          <w:highlight w:val="none"/>
        </w:rPr>
        <w:t>工作依据市水务局文件《广州市水务局关于进一步加强控制性详细规划阶段涉水管控要求的函》及相关文件</w:t>
      </w:r>
      <w:r>
        <w:rPr>
          <w:rFonts w:asciiTheme="minorEastAsia" w:hAnsiTheme="minorEastAsia" w:cstheme="minorEastAsia"/>
          <w:color w:val="auto"/>
          <w:sz w:val="24"/>
          <w:szCs w:val="24"/>
          <w:highlight w:val="none"/>
        </w:rPr>
        <w:t>要求</w:t>
      </w:r>
      <w:r>
        <w:rPr>
          <w:rFonts w:hint="eastAsia" w:asciiTheme="minorEastAsia" w:hAnsiTheme="minorEastAsia" w:cstheme="minorEastAsia"/>
          <w:color w:val="auto"/>
          <w:sz w:val="24"/>
          <w:szCs w:val="24"/>
          <w:highlight w:val="none"/>
        </w:rPr>
        <w:t>，拟</w:t>
      </w:r>
      <w:r>
        <w:rPr>
          <w:rFonts w:asciiTheme="minorEastAsia" w:hAnsiTheme="minorEastAsia" w:cstheme="minorEastAsia"/>
          <w:color w:val="auto"/>
          <w:sz w:val="24"/>
          <w:szCs w:val="24"/>
          <w:highlight w:val="none"/>
        </w:rPr>
        <w:t>在控制性详细规划中</w:t>
      </w:r>
      <w:r>
        <w:rPr>
          <w:rFonts w:hint="eastAsia" w:asciiTheme="minorEastAsia" w:hAnsiTheme="minorEastAsia" w:cstheme="minorEastAsia"/>
          <w:color w:val="auto"/>
          <w:sz w:val="24"/>
          <w:szCs w:val="24"/>
          <w:highlight w:val="none"/>
        </w:rPr>
        <w:t>增加</w:t>
      </w:r>
      <w:r>
        <w:rPr>
          <w:rFonts w:asciiTheme="minorEastAsia" w:hAnsiTheme="minorEastAsia" w:cstheme="minorEastAsia"/>
          <w:color w:val="auto"/>
          <w:sz w:val="24"/>
          <w:szCs w:val="24"/>
          <w:highlight w:val="none"/>
        </w:rPr>
        <w:t>海绵城市(含防洪排涝风险评估)专篇，作为控规批复及后续规划条件发放的依据</w:t>
      </w:r>
      <w:r>
        <w:rPr>
          <w:rFonts w:hint="eastAsia" w:asciiTheme="minorEastAsia" w:hAnsiTheme="minorEastAsia" w:cstheme="minorEastAsia"/>
          <w:color w:val="auto"/>
          <w:sz w:val="24"/>
          <w:szCs w:val="24"/>
          <w:highlight w:val="none"/>
        </w:rPr>
        <w:t>。主要工作内容如下：</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4.1  </w:t>
      </w:r>
      <w:r>
        <w:rPr>
          <w:rFonts w:hint="eastAsia" w:asciiTheme="minorEastAsia" w:hAnsiTheme="minorEastAsia" w:cstheme="minorEastAsia"/>
          <w:color w:val="auto"/>
          <w:sz w:val="24"/>
          <w:szCs w:val="24"/>
          <w:highlight w:val="none"/>
        </w:rPr>
        <w:t>海绵城市专项规划工作内容主要包括：</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依据《广州市建设项目雨水径流控制办法》（广州市人民政府令第</w:t>
      </w:r>
      <w:r>
        <w:rPr>
          <w:rFonts w:asciiTheme="minorEastAsia" w:hAnsiTheme="minorEastAsia" w:cstheme="minorEastAsia"/>
          <w:color w:val="auto"/>
          <w:sz w:val="24"/>
          <w:szCs w:val="24"/>
          <w:highlight w:val="none"/>
        </w:rPr>
        <w:t>107号）、《广州市建设项目海绵城市建设管控指标分类指引（试行）的通知》(穗水河湖﹝2020﹞7号)、《广州市海绵城市建设领导小组办公室关于印发广州市海绵城市建设专篇编制要点的通知》（穗海绵办﹝2021﹞12号）和各区海绵城市专项规划的有关要求，细化落实各地块的海绵城市相关管控指标和建设方案。</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4.2  </w:t>
      </w:r>
      <w:r>
        <w:rPr>
          <w:rFonts w:hint="eastAsia" w:asciiTheme="minorEastAsia" w:hAnsiTheme="minorEastAsia" w:cstheme="minorEastAsia"/>
          <w:color w:val="auto"/>
          <w:sz w:val="24"/>
          <w:szCs w:val="24"/>
          <w:highlight w:val="none"/>
        </w:rPr>
        <w:t>防洪排涝风险评估工作内容主要包括：</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建设项目、工程区域基本情况</w:t>
      </w:r>
      <w:r>
        <w:rPr>
          <w:rFonts w:hint="eastAsia" w:asciiTheme="minorEastAsia" w:hAnsiTheme="minorEastAsia" w:cstheme="minorEastAsia"/>
          <w:color w:val="auto"/>
          <w:sz w:val="24"/>
          <w:szCs w:val="24"/>
          <w:highlight w:val="none"/>
          <w:lang w:eastAsia="zh-CN"/>
        </w:rPr>
        <w:t>描述</w:t>
      </w:r>
      <w:r>
        <w:rPr>
          <w:rFonts w:hint="eastAsia" w:asciiTheme="minorEastAsia" w:hAnsiTheme="minorEastAsia" w:cstheme="minorEastAsia"/>
          <w:color w:val="auto"/>
          <w:sz w:val="24"/>
          <w:szCs w:val="24"/>
          <w:highlight w:val="none"/>
        </w:rPr>
        <w:t>；项目所处区域洪涝风险等级评定；防洪排涝风险评估；排水工程评估；海绵城市评估；地块竖向评估；供水、污水承载力评估等，按照洪涝安全评估审查要点，提出总结和建议。</w:t>
      </w:r>
      <w:r>
        <w:rPr>
          <w:rFonts w:hint="eastAsia" w:asciiTheme="minorEastAsia" w:hAnsiTheme="minorEastAsia" w:cstheme="minorEastAsia"/>
          <w:color w:val="auto"/>
          <w:sz w:val="24"/>
          <w:szCs w:val="24"/>
          <w:highlight w:val="none"/>
          <w:lang w:eastAsia="zh-CN"/>
        </w:rPr>
        <w:t>并提供</w:t>
      </w:r>
      <w:r>
        <w:rPr>
          <w:rFonts w:hint="eastAsia" w:asciiTheme="minorEastAsia" w:hAnsiTheme="minorEastAsia" w:cstheme="minorEastAsia"/>
          <w:color w:val="auto"/>
          <w:sz w:val="24"/>
          <w:szCs w:val="24"/>
          <w:highlight w:val="none"/>
        </w:rPr>
        <w:t>“三图一表”：蓝绿设施布局图、水务设施布局图、地块竖向优化图和洪涝评估特征表。</w:t>
      </w:r>
    </w:p>
    <w:p>
      <w:pPr>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4.3海绵城市(含防洪排涝风险评估)专篇内容需</w:t>
      </w:r>
      <w:r>
        <w:rPr>
          <w:rFonts w:hint="eastAsia" w:asciiTheme="minorEastAsia" w:hAnsiTheme="minorEastAsia" w:cstheme="minorEastAsia"/>
          <w:color w:val="auto"/>
          <w:sz w:val="24"/>
          <w:szCs w:val="24"/>
          <w:highlight w:val="none"/>
        </w:rPr>
        <w:t>满足最新国家和地方的法律、法规、规章、标准和技术要求，以及地方规划、水务等主管部门的对控规阶段</w:t>
      </w:r>
      <w:r>
        <w:rPr>
          <w:rFonts w:asciiTheme="minorEastAsia" w:hAnsiTheme="minorEastAsia" w:cstheme="minorEastAsia"/>
          <w:color w:val="auto"/>
          <w:sz w:val="24"/>
          <w:szCs w:val="24"/>
          <w:highlight w:val="none"/>
        </w:rPr>
        <w:t>海绵城市(含防洪排涝风险评估)专篇的</w:t>
      </w:r>
      <w:r>
        <w:rPr>
          <w:rFonts w:hint="eastAsia" w:asciiTheme="minorEastAsia" w:hAnsiTheme="minorEastAsia" w:cstheme="minorEastAsia"/>
          <w:color w:val="auto"/>
          <w:sz w:val="24"/>
          <w:szCs w:val="24"/>
          <w:highlight w:val="none"/>
        </w:rPr>
        <w:t>其它相关要求。</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5.1本合同签订后，乙方应在3</w:t>
      </w:r>
      <w:r>
        <w:rPr>
          <w:rFonts w:hint="eastAsia" w:ascii="宋体" w:hAnsi="宋体" w:cs="宋体"/>
          <w:color w:val="auto"/>
          <w:sz w:val="24"/>
          <w:szCs w:val="24"/>
          <w:highlight w:val="none"/>
          <w:lang w:val="en-US" w:eastAsia="zh-CN"/>
        </w:rPr>
        <w:t>个</w:t>
      </w:r>
      <w:r>
        <w:rPr>
          <w:rFonts w:hint="eastAsia" w:ascii="宋体" w:hAnsi="宋体" w:cs="宋体"/>
          <w:color w:val="auto"/>
          <w:sz w:val="24"/>
          <w:szCs w:val="24"/>
          <w:highlight w:val="none"/>
        </w:rPr>
        <w:t>工作日内提交编制计划及参编人员名单并征得甲方同意。合同执行中，乙方如需更换设计人员的，需征得甲方书面同意。</w:t>
      </w:r>
      <w:r>
        <w:rPr>
          <w:rFonts w:hint="eastAsia" w:asciiTheme="minorEastAsia" w:hAnsiTheme="minorEastAsia" w:cstheme="minorEastAsia"/>
          <w:color w:val="auto"/>
          <w:sz w:val="24"/>
          <w:szCs w:val="24"/>
          <w:highlight w:val="none"/>
        </w:rPr>
        <w:t>乙方应在合同签订后40个工作日内完成</w:t>
      </w:r>
      <w:r>
        <w:rPr>
          <w:rFonts w:hint="eastAsia" w:asciiTheme="minorEastAsia" w:hAnsiTheme="minorEastAsia" w:cstheme="minorEastAsia"/>
          <w:color w:val="auto"/>
          <w:sz w:val="24"/>
          <w:szCs w:val="24"/>
          <w:highlight w:val="none"/>
          <w:lang w:eastAsia="zh-CN"/>
        </w:rPr>
        <w:t>大沙地</w:t>
      </w:r>
      <w:r>
        <w:rPr>
          <w:rFonts w:hint="eastAsia" w:asciiTheme="minorEastAsia" w:hAnsiTheme="minorEastAsia" w:cstheme="minorEastAsia"/>
          <w:color w:val="auto"/>
          <w:sz w:val="24"/>
          <w:szCs w:val="24"/>
          <w:highlight w:val="none"/>
        </w:rPr>
        <w:t>净水厂地块</w:t>
      </w:r>
      <w:r>
        <w:rPr>
          <w:rFonts w:asciiTheme="minorEastAsia" w:hAnsiTheme="minorEastAsia" w:cstheme="minorEastAsia"/>
          <w:color w:val="auto"/>
          <w:sz w:val="24"/>
          <w:szCs w:val="24"/>
          <w:highlight w:val="none"/>
        </w:rPr>
        <w:t>海绵城市(含防洪排涝风险评估)</w:t>
      </w:r>
      <w:r>
        <w:rPr>
          <w:rFonts w:hint="eastAsia" w:asciiTheme="minorEastAsia" w:hAnsiTheme="minorEastAsia" w:cstheme="minorEastAsia"/>
          <w:color w:val="auto"/>
          <w:sz w:val="24"/>
          <w:szCs w:val="24"/>
          <w:highlight w:val="none"/>
        </w:rPr>
        <w:t>专篇编制工作。该</w:t>
      </w:r>
      <w:r>
        <w:rPr>
          <w:rFonts w:asciiTheme="minorEastAsia" w:hAnsiTheme="minorEastAsia" w:cstheme="minorEastAsia"/>
          <w:color w:val="auto"/>
          <w:sz w:val="24"/>
          <w:szCs w:val="24"/>
          <w:highlight w:val="none"/>
        </w:rPr>
        <w:t>工作应配合</w:t>
      </w:r>
      <w:r>
        <w:rPr>
          <w:rFonts w:hint="eastAsia" w:asciiTheme="minorEastAsia" w:hAnsiTheme="minorEastAsia" w:cstheme="minorEastAsia"/>
          <w:color w:val="auto"/>
          <w:sz w:val="24"/>
          <w:szCs w:val="24"/>
          <w:highlight w:val="none"/>
          <w:lang w:eastAsia="zh-CN"/>
        </w:rPr>
        <w:t>大沙地</w:t>
      </w:r>
      <w:r>
        <w:rPr>
          <w:rFonts w:hint="eastAsia" w:asciiTheme="minorEastAsia" w:hAnsiTheme="minorEastAsia" w:cstheme="minorEastAsia"/>
          <w:color w:val="auto"/>
          <w:sz w:val="24"/>
          <w:szCs w:val="24"/>
          <w:highlight w:val="none"/>
        </w:rPr>
        <w:t>净水厂</w:t>
      </w:r>
      <w:r>
        <w:rPr>
          <w:rFonts w:asciiTheme="minorEastAsia" w:hAnsiTheme="minorEastAsia" w:cstheme="minorEastAsia"/>
          <w:color w:val="auto"/>
          <w:sz w:val="24"/>
          <w:szCs w:val="24"/>
          <w:highlight w:val="none"/>
        </w:rPr>
        <w:t>地块</w:t>
      </w:r>
      <w:r>
        <w:rPr>
          <w:rFonts w:hint="eastAsia" w:ascii="宋体" w:hAnsi="宋体" w:cs="宋体"/>
          <w:color w:val="auto"/>
          <w:sz w:val="24"/>
          <w:szCs w:val="24"/>
          <w:highlight w:val="none"/>
        </w:rPr>
        <w:t>控规调整工作进度时间进行评估、提交成果及作相应修改完善，以用于甲方申请控规调整。</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5.1.1 在</w:t>
      </w:r>
      <w:r>
        <w:rPr>
          <w:rFonts w:asciiTheme="minorEastAsia" w:hAnsiTheme="minorEastAsia" w:cstheme="minorEastAsia"/>
          <w:color w:val="auto"/>
          <w:sz w:val="24"/>
          <w:szCs w:val="24"/>
          <w:highlight w:val="none"/>
        </w:rPr>
        <w:t>控规调整项目报相关规划主管部门初步审查</w:t>
      </w:r>
      <w:r>
        <w:rPr>
          <w:rFonts w:hint="eastAsia" w:asciiTheme="minorEastAsia" w:hAnsiTheme="minorEastAsia" w:cstheme="minorEastAsia"/>
          <w:color w:val="auto"/>
          <w:sz w:val="24"/>
          <w:szCs w:val="24"/>
          <w:highlight w:val="none"/>
        </w:rPr>
        <w:t>时</w:t>
      </w:r>
      <w:r>
        <w:rPr>
          <w:rFonts w:asciiTheme="minorEastAsia" w:hAnsiTheme="minorEastAsia" w:cstheme="minorEastAsia"/>
          <w:color w:val="auto"/>
          <w:sz w:val="24"/>
          <w:szCs w:val="24"/>
          <w:highlight w:val="none"/>
        </w:rPr>
        <w:t>，提前与控调方案编制单位完成协调工作，并完成控规调整成果中初步评估结论部分内容。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5.1.2 在</w:t>
      </w:r>
      <w:r>
        <w:rPr>
          <w:rFonts w:asciiTheme="minorEastAsia" w:hAnsiTheme="minorEastAsia" w:cstheme="minorEastAsia"/>
          <w:color w:val="auto"/>
          <w:sz w:val="24"/>
          <w:szCs w:val="24"/>
          <w:highlight w:val="none"/>
        </w:rPr>
        <w:t>控规调整项目提交相关规划主管部门业务会审议或征询规委会成员部门及相关单位意见</w:t>
      </w:r>
      <w:r>
        <w:rPr>
          <w:rFonts w:hint="eastAsia" w:asciiTheme="minorEastAsia" w:hAnsiTheme="minorEastAsia" w:cstheme="minorEastAsia"/>
          <w:color w:val="auto"/>
          <w:sz w:val="24"/>
          <w:szCs w:val="24"/>
          <w:highlight w:val="none"/>
        </w:rPr>
        <w:t>时</w:t>
      </w:r>
      <w:r>
        <w:rPr>
          <w:rFonts w:asciiTheme="minorEastAsia" w:hAnsiTheme="minorEastAsia" w:cstheme="minorEastAsia"/>
          <w:color w:val="auto"/>
          <w:sz w:val="24"/>
          <w:szCs w:val="24"/>
          <w:highlight w:val="none"/>
        </w:rPr>
        <w:t>，提前与控调方案编制单位完成协调工作，按照相关部门意见完善修改，并完成评估初步成果和控规调整成果相关内容。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5.1.3 在</w:t>
      </w:r>
      <w:r>
        <w:rPr>
          <w:rFonts w:asciiTheme="minorEastAsia" w:hAnsiTheme="minorEastAsia" w:cstheme="minorEastAsia"/>
          <w:color w:val="auto"/>
          <w:sz w:val="24"/>
          <w:szCs w:val="24"/>
          <w:highlight w:val="none"/>
        </w:rPr>
        <w:t>控规调整项目提交规委会审议时，提前与控调方案编制单位完成协调工作，按照相关部门意见完善修改，并完成评估中期成果和控规调整成果相关内容。</w:t>
      </w:r>
    </w:p>
    <w:p>
      <w:pPr>
        <w:adjustRightInd w:val="0"/>
        <w:spacing w:line="360" w:lineRule="auto"/>
        <w:ind w:firstLine="566" w:firstLineChars="236"/>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5.1.4 </w:t>
      </w:r>
      <w:r>
        <w:rPr>
          <w:rFonts w:asciiTheme="minorEastAsia" w:hAnsiTheme="minorEastAsia" w:cstheme="minorEastAsia"/>
          <w:color w:val="auto"/>
          <w:sz w:val="24"/>
          <w:szCs w:val="24"/>
          <w:highlight w:val="none"/>
        </w:rPr>
        <w:t>当控规调整项目提交市政府批复时，提前与控调方案编制单位完成协调工作，按照相关部门意见完善修改，并完成评估终期成果和控规调整成果相关内容。</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5.2 </w:t>
      </w:r>
      <w:r>
        <w:rPr>
          <w:rFonts w:hint="eastAsia" w:asciiTheme="minorEastAsia" w:hAnsiTheme="minorEastAsia" w:cstheme="minorEastAsia"/>
          <w:color w:val="auto"/>
          <w:sz w:val="24"/>
          <w:szCs w:val="24"/>
          <w:highlight w:val="none"/>
        </w:rPr>
        <w:t>乙方应在合同签订后40个工作日内完成</w:t>
      </w:r>
      <w:r>
        <w:rPr>
          <w:rFonts w:hint="eastAsia" w:asciiTheme="minorEastAsia" w:hAnsiTheme="minorEastAsia" w:cstheme="minorEastAsia"/>
          <w:color w:val="auto"/>
          <w:sz w:val="24"/>
          <w:szCs w:val="24"/>
          <w:highlight w:val="none"/>
          <w:lang w:eastAsia="zh-CN"/>
        </w:rPr>
        <w:t>大沙地</w:t>
      </w:r>
      <w:r>
        <w:rPr>
          <w:rFonts w:hint="eastAsia" w:asciiTheme="minorEastAsia" w:hAnsiTheme="minorEastAsia" w:cstheme="minorEastAsia"/>
          <w:color w:val="auto"/>
          <w:sz w:val="24"/>
          <w:szCs w:val="24"/>
          <w:highlight w:val="none"/>
        </w:rPr>
        <w:t>净水厂地块</w:t>
      </w:r>
      <w:r>
        <w:rPr>
          <w:rFonts w:asciiTheme="minorEastAsia" w:hAnsiTheme="minorEastAsia" w:cstheme="minorEastAsia"/>
          <w:color w:val="auto"/>
          <w:sz w:val="24"/>
          <w:szCs w:val="24"/>
          <w:highlight w:val="none"/>
        </w:rPr>
        <w:t>海绵城市(含防洪排涝风险评估)</w:t>
      </w:r>
      <w:r>
        <w:rPr>
          <w:rFonts w:hint="eastAsia" w:asciiTheme="minorEastAsia" w:hAnsiTheme="minorEastAsia" w:cstheme="minorEastAsia"/>
          <w:color w:val="auto"/>
          <w:sz w:val="24"/>
          <w:szCs w:val="24"/>
          <w:highlight w:val="none"/>
        </w:rPr>
        <w:t>专篇编制工作并提交成果。</w:t>
      </w:r>
      <w:r>
        <w:rPr>
          <w:rFonts w:hint="eastAsia" w:ascii="宋体" w:hAnsi="宋体" w:cs="宋体"/>
          <w:color w:val="auto"/>
          <w:sz w:val="24"/>
          <w:szCs w:val="24"/>
          <w:highlight w:val="none"/>
        </w:rPr>
        <w:t>乙方向甲方交付成果报告书并按需要进行修改完善，该成果用于甲方在不同阶段申请控规调整。成果书暂定一式十份，电子光盘2份（未加密且可编辑格式），具体以甲方通知为准。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5.3乙方应配合甲方开展结算工作并提交结算的相关资料,若乙方在接到甲方通知后逾期超过30天未提交完整的结算资料和结算报告等，甲方有权单方自行结算，由此产生的一切责任由乙方承担。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第六条 费用 </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6.1本合同总价包干暂定为人民币XX万元（大写：人民币XXX），含税率。甲、乙双方同意，对属于《广州市财政投资评审管理办法》评审范围的财政性资</w:t>
      </w:r>
      <w:r>
        <w:rPr>
          <w:rFonts w:hint="eastAsia" w:ascii="宋体" w:hAnsi="宋体" w:cs="宋体"/>
          <w:color w:val="auto"/>
          <w:sz w:val="24"/>
          <w:szCs w:val="24"/>
          <w:highlight w:val="none"/>
        </w:rPr>
        <w:t>金投资项目，财政投资评审结果作为该项目价款结算的依据。</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6.2本合同采用总价包干，工作内容包括完成本合同项下的所有工作（包含但不限于报告编制和报审、</w:t>
      </w:r>
      <w:r>
        <w:rPr>
          <w:rFonts w:hint="eastAsia" w:ascii="宋体" w:hAnsi="宋体" w:cs="宋体"/>
          <w:color w:val="auto"/>
          <w:sz w:val="24"/>
          <w:szCs w:val="24"/>
          <w:highlight w:val="none"/>
        </w:rPr>
        <w:t>修改完善及公示期间</w:t>
      </w:r>
      <w:r>
        <w:rPr>
          <w:rFonts w:hint="eastAsia" w:ascii="宋体" w:hAnsi="宋体" w:cs="宋体"/>
          <w:color w:val="auto"/>
          <w:sz w:val="24"/>
          <w:szCs w:val="24"/>
          <w:highlight w:val="none"/>
        </w:rPr>
        <w:t>相关工作的配合）。</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第七条 支付方式</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7.1.1 支付办法：本合同生效后，甲方按照</w:t>
      </w:r>
      <w:r>
        <w:rPr>
          <w:rFonts w:hint="eastAsia" w:ascii="宋体" w:hAnsi="宋体" w:cs="宋体"/>
          <w:color w:val="auto"/>
          <w:sz w:val="24"/>
          <w:szCs w:val="24"/>
          <w:highlight w:val="none"/>
          <w:u w:val="single"/>
        </w:rPr>
        <w:t>《广州市净水有限公司资金集中支付管理办法》</w:t>
      </w:r>
      <w:r>
        <w:rPr>
          <w:rFonts w:hint="eastAsia" w:ascii="宋体" w:hAnsi="宋体" w:cs="宋体"/>
          <w:color w:val="auto"/>
          <w:sz w:val="24"/>
          <w:szCs w:val="24"/>
          <w:highlight w:val="none"/>
        </w:rPr>
        <w:t>，向乙方支付合同费用。</w:t>
      </w:r>
    </w:p>
    <w:p>
      <w:pPr>
        <w:pStyle w:val="26"/>
        <w:ind w:firstLine="480" w:firstLineChars="200"/>
        <w:rPr>
          <w:rFonts w:asciiTheme="minorEastAsia" w:hAnsiTheme="minorEastAsia" w:eastAsiaTheme="minorEastAsia" w:cstheme="minorEastAsia"/>
          <w:color w:val="auto"/>
          <w:highlight w:val="none"/>
        </w:rPr>
      </w:pPr>
      <w:r>
        <w:rPr>
          <w:rFonts w:hint="eastAsia" w:hAnsi="宋体"/>
          <w:color w:val="auto"/>
          <w:highlight w:val="none"/>
        </w:rPr>
        <w:t xml:space="preserve">7.1.2 </w:t>
      </w:r>
      <w:r>
        <w:rPr>
          <w:rFonts w:hint="eastAsia" w:asciiTheme="minorEastAsia" w:hAnsiTheme="minorEastAsia" w:eastAsiaTheme="minorEastAsia" w:cstheme="minorEastAsia"/>
          <w:color w:val="auto"/>
          <w:highlight w:val="none"/>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税号：</w:t>
      </w:r>
    </w:p>
    <w:p>
      <w:pPr>
        <w:pStyle w:val="26"/>
        <w:ind w:firstLine="960" w:firstLineChars="4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地址：</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7.2 本合同生效后，乙方向甲方提出定金支付申请，甲方向乙方支付合同包干价的20％作为定金，计</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万元。</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7.3 乙方应于当月20日前将工程支付申请书一式四份报送给甲方，规划设计费按照以</w:t>
      </w:r>
      <w:r>
        <w:rPr>
          <w:rFonts w:hint="eastAsia" w:ascii="宋体" w:hAnsi="宋体" w:cs="宋体"/>
          <w:color w:val="auto"/>
          <w:sz w:val="24"/>
          <w:szCs w:val="24"/>
          <w:highlight w:val="none"/>
        </w:rPr>
        <w:t>下方式予以支付：</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7.3.</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乙方提交本合同</w:t>
      </w:r>
      <w:r>
        <w:rPr>
          <w:rFonts w:ascii="宋体" w:hAnsi="宋体" w:cs="宋体"/>
          <w:color w:val="auto"/>
          <w:sz w:val="24"/>
          <w:szCs w:val="24"/>
          <w:highlight w:val="none"/>
        </w:rPr>
        <w:t>所述最终成果报告书</w:t>
      </w:r>
      <w:r>
        <w:rPr>
          <w:rFonts w:hint="eastAsia" w:ascii="宋体" w:hAnsi="宋体" w:cs="宋体"/>
          <w:color w:val="auto"/>
          <w:sz w:val="24"/>
          <w:szCs w:val="24"/>
          <w:highlight w:val="none"/>
        </w:rPr>
        <w:t>并取得市规委会书面同意意见后，甲方向乙方支付至合同包干价的</w:t>
      </w:r>
      <w:r>
        <w:rPr>
          <w:rFonts w:ascii="宋体" w:hAnsi="宋体" w:cs="宋体"/>
          <w:color w:val="auto"/>
          <w:sz w:val="24"/>
          <w:szCs w:val="24"/>
          <w:highlight w:val="none"/>
        </w:rPr>
        <w:t>80%（含定金）。</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7.3.</w:t>
      </w:r>
      <w:r>
        <w:rPr>
          <w:rFonts w:hint="eastAsia" w:ascii="宋体" w:hAnsi="宋体" w:cs="宋体"/>
          <w:color w:val="auto"/>
          <w:sz w:val="24"/>
          <w:szCs w:val="24"/>
          <w:highlight w:val="none"/>
          <w:lang w:val="en-US" w:eastAsia="zh-CN"/>
        </w:rPr>
        <w:t>3</w:t>
      </w:r>
      <w:r>
        <w:rPr>
          <w:rFonts w:hint="eastAsia" w:ascii="宋体" w:hAnsi="宋体"/>
          <w:color w:val="auto"/>
          <w:sz w:val="24"/>
          <w:szCs w:val="24"/>
          <w:highlight w:val="none"/>
        </w:rPr>
        <w:t>如合同项目非财政性资金投资项目，待相关部门终审结算后，甲方支付至合同结算价的100% 。</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7.4双方委托银行代付代收有关费用。</w:t>
      </w:r>
    </w:p>
    <w:p>
      <w:pPr>
        <w:adjustRightInd w:val="0"/>
        <w:spacing w:line="360" w:lineRule="auto"/>
        <w:ind w:firstLine="480" w:firstLineChars="200"/>
        <w:jc w:val="left"/>
        <w:textAlignment w:val="baseline"/>
        <w:rPr>
          <w:color w:val="auto"/>
          <w:highlight w:val="none"/>
        </w:rPr>
      </w:pPr>
      <w:r>
        <w:rPr>
          <w:rFonts w:hint="eastAsia" w:ascii="宋体" w:hAnsi="宋体" w:cs="宋体"/>
          <w:color w:val="auto"/>
          <w:sz w:val="24"/>
          <w:szCs w:val="24"/>
          <w:highlight w:val="none"/>
        </w:rPr>
        <w:t>7.5乙方</w:t>
      </w:r>
      <w:r>
        <w:rPr>
          <w:rFonts w:hint="eastAsia" w:ascii="宋体" w:hAnsi="宋体"/>
          <w:color w:val="auto"/>
          <w:sz w:val="24"/>
          <w:szCs w:val="24"/>
          <w:highlight w:val="none"/>
        </w:rPr>
        <w:t>在收取每一笔合同费用前，需向甲方提供等额有效的增值税专用发票。</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第八条 双方责任</w:t>
      </w:r>
    </w:p>
    <w:p>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8.1甲方责任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8.1.1在合同履行期间，已开始编制工作，非乙方原因甲方要求终止或解除合同的，甲方根据乙方已进行的实际工作量按实进行结算，最高支付至合同包干价的六成。</w:t>
      </w:r>
    </w:p>
    <w:p>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8.1.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甲方要求乙方比合同规定时间提前交付编制文件时，需提前通知乙方，且征得乙方同意，不得严重背离合理编制周期。</w:t>
      </w:r>
    </w:p>
    <w:p>
      <w:pPr>
        <w:pStyle w:val="5"/>
        <w:keepNext w:val="0"/>
        <w:keepLines w:val="0"/>
        <w:spacing w:before="0" w:after="0" w:line="360" w:lineRule="auto"/>
        <w:ind w:firstLine="482" w:firstLineChars="200"/>
        <w:rPr>
          <w:rFonts w:hint="eastAsia" w:ascii="宋体" w:hAnsi="宋体" w:cs="宋体"/>
          <w:bCs w:val="0"/>
          <w:color w:val="auto"/>
          <w:sz w:val="24"/>
          <w:szCs w:val="24"/>
          <w:highlight w:val="none"/>
        </w:rPr>
      </w:pPr>
    </w:p>
    <w:p>
      <w:pPr>
        <w:pStyle w:val="5"/>
        <w:keepNext w:val="0"/>
        <w:keepLines w:val="0"/>
        <w:spacing w:before="0" w:after="0" w:line="360" w:lineRule="auto"/>
        <w:ind w:firstLine="482" w:firstLineChars="200"/>
        <w:rPr>
          <w:rFonts w:ascii="宋体" w:hAnsi="宋体" w:cs="宋体"/>
          <w:bCs w:val="0"/>
          <w:color w:val="auto"/>
          <w:sz w:val="24"/>
          <w:szCs w:val="24"/>
          <w:highlight w:val="none"/>
        </w:rPr>
      </w:pPr>
      <w:r>
        <w:rPr>
          <w:rFonts w:hint="eastAsia" w:ascii="宋体" w:hAnsi="宋体" w:cs="宋体"/>
          <w:bCs w:val="0"/>
          <w:color w:val="auto"/>
          <w:sz w:val="24"/>
          <w:szCs w:val="24"/>
          <w:highlight w:val="none"/>
        </w:rPr>
        <w:t>8.2乙方责任</w:t>
      </w:r>
    </w:p>
    <w:p>
      <w:pPr>
        <w:spacing w:line="360" w:lineRule="auto"/>
        <w:ind w:firstLine="480" w:firstLineChars="20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8.2.1乙方按合同约定时间向甲方提交有关工作成果，乙方保证具备相应的资质并对提交的文件、报告及所出的结论负责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该成果应按照地方规划、水务等主管部门对控规阶段海绵城市（含防洪排涝风险评估）的相关规定组织专家评审，并承担相关费用。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8.2.2因文件质量问题引起返工，除由乙方继续完善外，并视造成损失大小，减收直至免收编制费。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8.2.4由于乙方自身原因，延误了按本合同第五条规定的规划设计成果交付时间，每延误一天应减收该项目合同价的2‰，逾期超过30天，甲方有权解除合同。由此给甲方造成损失的，乙方应承担赔偿责任。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8.2.6若标准或计划变更，经甲方同意，乙方可顺延期限。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8.2.7合同生效后，非甲方原因乙方要求解除合同的，应赔偿甲方的损失，并双倍退还定金。</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8.2.8如甲方选择适用定金罚则，定金不足以弥补乙方违约造成的损失的，甲方可以</w:t>
      </w:r>
      <w:r>
        <w:rPr>
          <w:rFonts w:hint="eastAsia" w:ascii="宋体" w:hAnsi="宋体" w:cs="宋体"/>
          <w:color w:val="auto"/>
          <w:sz w:val="24"/>
          <w:szCs w:val="24"/>
          <w:highlight w:val="none"/>
        </w:rPr>
        <w:t>请求赔偿超过定金数额的损失。</w:t>
      </w:r>
    </w:p>
    <w:p>
      <w:pPr>
        <w:pStyle w:val="2"/>
        <w:ind w:firstLine="0"/>
        <w:rPr>
          <w:rFonts w:hint="default" w:eastAsia="等线"/>
          <w:color w:val="auto"/>
          <w:highlight w:val="none"/>
          <w:lang w:val="en-US" w:eastAsia="zh-CN"/>
        </w:rPr>
      </w:pPr>
      <w:r>
        <w:rPr>
          <w:rFonts w:hint="eastAsia" w:ascii="宋体" w:hAnsi="宋体" w:cs="宋体"/>
          <w:color w:val="auto"/>
          <w:sz w:val="24"/>
          <w:szCs w:val="24"/>
          <w:highlight w:val="none"/>
          <w:lang w:val="en-US" w:eastAsia="zh-CN"/>
        </w:rPr>
        <w:t>8.2.9</w:t>
      </w:r>
      <w:r>
        <w:rPr>
          <w:rFonts w:hint="eastAsia" w:ascii="宋体" w:hAnsi="宋体" w:cs="宋体" w:eastAsiaTheme="minorEastAsia"/>
          <w:color w:val="auto"/>
          <w:sz w:val="24"/>
          <w:szCs w:val="24"/>
          <w:highlight w:val="none"/>
          <w:lang w:val="en-US" w:eastAsia="zh-CN"/>
        </w:rPr>
        <w:t>在合同有效期内，若乙方发生不诚信行为情形的，乙方自愿接受甲方按《广州市净水有限公司经营建设项目参建企业不诚信行为管理办法》处理，具体处理标准详见附件4。</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第九条  知识产权</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第十条  争议解决</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（一）提交广州仲裁委员会仲裁；</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（二）依法向甲方所在地的人民法院起诉。</w:t>
      </w:r>
    </w:p>
    <w:p>
      <w:pPr>
        <w:adjustRightInd w:val="0"/>
        <w:spacing w:line="360" w:lineRule="auto"/>
        <w:jc w:val="left"/>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第十一条  合同生效及其他</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11.1合同生效的条件：合同签订盖章。</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11.5本合同正本一式</w:t>
      </w:r>
      <w:r>
        <w:rPr>
          <w:rFonts w:hint="eastAsia" w:ascii="宋体" w:hAnsi="宋体" w:cs="宋体"/>
          <w:color w:val="auto"/>
          <w:sz w:val="24"/>
          <w:szCs w:val="24"/>
          <w:highlight w:val="none"/>
          <w:u w:val="single"/>
        </w:rPr>
        <w:t xml:space="preserve"> 贰 </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 xml:space="preserve"> 壹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壹</w:t>
      </w:r>
      <w:r>
        <w:rPr>
          <w:rFonts w:hint="eastAsia" w:ascii="宋体" w:hAnsi="宋体" w:cs="宋体"/>
          <w:color w:val="auto"/>
          <w:sz w:val="24"/>
          <w:szCs w:val="24"/>
          <w:highlight w:val="none"/>
        </w:rPr>
        <w:t>份；副本一式</w:t>
      </w:r>
      <w:r>
        <w:rPr>
          <w:rFonts w:hint="eastAsia" w:ascii="宋体" w:hAnsi="宋体" w:cs="宋体"/>
          <w:color w:val="auto"/>
          <w:sz w:val="24"/>
          <w:szCs w:val="24"/>
          <w:highlight w:val="none"/>
          <w:u w:val="single"/>
        </w:rPr>
        <w:t>捌</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伍</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叁</w:t>
      </w:r>
      <w:r>
        <w:rPr>
          <w:rFonts w:hint="eastAsia" w:ascii="宋体" w:hAnsi="宋体" w:cs="宋体"/>
          <w:color w:val="auto"/>
          <w:sz w:val="24"/>
          <w:szCs w:val="24"/>
          <w:highlight w:val="none"/>
        </w:rPr>
        <w:t>份，双方所执合同具同等法律效力。</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11.6双方履行完合同规定的义务后，本合同即行终止。</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11.8未尽事宜，双方协商一致，可签订补充协议，补充协议与本合同具有同等效力。</w:t>
      </w:r>
    </w:p>
    <w:p>
      <w:pPr>
        <w:pStyle w:val="11"/>
        <w:spacing w:line="360" w:lineRule="auto"/>
        <w:ind w:left="465" w:leftChars="50" w:hanging="360" w:hangingChars="150"/>
        <w:jc w:val="center"/>
        <w:rPr>
          <w:rFonts w:ascii="宋体" w:hAnsi="宋体" w:cs="宋体"/>
          <w:color w:val="auto"/>
          <w:sz w:val="24"/>
          <w:szCs w:val="24"/>
          <w:highlight w:val="none"/>
        </w:rPr>
      </w:pPr>
      <w:r>
        <w:rPr>
          <w:rFonts w:hint="eastAsia" w:ascii="宋体" w:hAnsi="宋体" w:cs="宋体"/>
          <w:color w:val="auto"/>
          <w:sz w:val="24"/>
          <w:szCs w:val="24"/>
          <w:highlight w:val="none"/>
        </w:rPr>
        <w:t>11.9本合同附件是合同不可分割的一部分，具有相同的法律效力，具体附件如下：</w:t>
      </w:r>
    </w:p>
    <w:p>
      <w:pPr>
        <w:pStyle w:val="11"/>
        <w:spacing w:line="360" w:lineRule="auto"/>
        <w:ind w:left="584" w:leftChars="278"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b w:val="0"/>
          <w:bCs w:val="0"/>
          <w:color w:val="auto"/>
          <w:sz w:val="24"/>
          <w:szCs w:val="24"/>
          <w:highlight w:val="none"/>
        </w:rPr>
        <w:t>发包通知书</w:t>
      </w:r>
    </w:p>
    <w:p>
      <w:pPr>
        <w:pStyle w:val="11"/>
        <w:spacing w:line="360" w:lineRule="auto"/>
        <w:ind w:left="584" w:leftChars="278"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2：</w:t>
      </w:r>
      <w:r>
        <w:rPr>
          <w:rFonts w:hint="eastAsia" w:ascii="宋体" w:hAnsi="宋体" w:cs="宋体"/>
          <w:b w:val="0"/>
          <w:bCs w:val="0"/>
          <w:color w:val="auto"/>
          <w:sz w:val="24"/>
          <w:szCs w:val="24"/>
          <w:highlight w:val="none"/>
        </w:rPr>
        <w:t>廉洁协议</w:t>
      </w:r>
    </w:p>
    <w:p>
      <w:pPr>
        <w:pStyle w:val="11"/>
        <w:spacing w:line="360" w:lineRule="auto"/>
        <w:ind w:left="584" w:leftChars="278"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附件3：安全协议书</w:t>
      </w:r>
    </w:p>
    <w:p>
      <w:pPr>
        <w:pStyle w:val="11"/>
        <w:spacing w:line="360" w:lineRule="auto"/>
        <w:ind w:left="584" w:leftChars="278" w:firstLine="120" w:firstLineChars="5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附件4：不诚信行为的情形及相应被暂停参与投标活动的处理标准</w:t>
      </w:r>
    </w:p>
    <w:p>
      <w:pPr>
        <w:pStyle w:val="11"/>
        <w:spacing w:line="360" w:lineRule="auto"/>
        <w:ind w:left="584" w:leftChars="278" w:firstLine="120" w:firstLineChars="50"/>
        <w:rPr>
          <w:rFonts w:hint="default" w:ascii="宋体" w:hAnsi="宋体" w:cs="宋体" w:eastAsiaTheme="minorEastAsia"/>
          <w:color w:val="auto"/>
          <w:sz w:val="24"/>
          <w:szCs w:val="24"/>
          <w:highlight w:val="none"/>
          <w:lang w:val="en-US" w:eastAsia="zh-CN"/>
        </w:rPr>
      </w:pPr>
    </w:p>
    <w:p>
      <w:pPr>
        <w:pStyle w:val="11"/>
        <w:spacing w:line="360" w:lineRule="auto"/>
        <w:ind w:left="465" w:leftChars="50" w:hanging="360" w:hangingChars="150"/>
        <w:rPr>
          <w:rFonts w:ascii="宋体" w:hAnsi="宋体" w:cs="宋体"/>
          <w:color w:val="auto"/>
          <w:sz w:val="24"/>
          <w:szCs w:val="24"/>
          <w:highlight w:val="none"/>
        </w:rPr>
      </w:pPr>
      <w:r>
        <w:rPr>
          <w:rFonts w:hint="eastAsia" w:ascii="宋体" w:hAnsi="宋体" w:cs="宋体"/>
          <w:color w:val="auto"/>
          <w:sz w:val="24"/>
          <w:szCs w:val="24"/>
          <w:highlight w:val="none"/>
        </w:rPr>
        <w:t>（以下无正文）</w:t>
      </w:r>
    </w:p>
    <w:tbl>
      <w:tblPr>
        <w:tblStyle w:val="20"/>
        <w:tblpPr w:leftFromText="180" w:rightFromText="180" w:vertAnchor="text" w:horzAnchor="page" w:tblpX="1656" w:tblpY="461"/>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甲方：广州市净水有限公司</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p>
            <w:pPr>
              <w:spacing w:line="360" w:lineRule="auto"/>
              <w:rPr>
                <w:rFonts w:ascii="宋体" w:hAnsi="宋体" w:cs="宋体"/>
                <w:color w:val="auto"/>
                <w:sz w:val="24"/>
                <w:szCs w:val="24"/>
                <w:highlight w:val="none"/>
              </w:rPr>
            </w:pP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p>
            <w:pPr>
              <w:spacing w:line="360" w:lineRule="auto"/>
              <w:rPr>
                <w:rFonts w:ascii="宋体" w:hAnsi="宋体" w:cs="宋体"/>
                <w:color w:val="auto"/>
                <w:sz w:val="24"/>
                <w:szCs w:val="24"/>
                <w:highlight w:val="none"/>
              </w:rPr>
            </w:pP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ind w:right="-19" w:rightChars="-9"/>
              <w:rPr>
                <w:rFonts w:ascii="宋体" w:hAnsi="宋体" w:cs="宋体"/>
                <w:color w:val="auto"/>
                <w:sz w:val="24"/>
                <w:szCs w:val="24"/>
                <w:highlight w:val="none"/>
              </w:rPr>
            </w:pPr>
            <w:r>
              <w:rPr>
                <w:rFonts w:hint="eastAsia" w:ascii="宋体" w:hAnsi="宋体" w:cs="宋体"/>
                <w:color w:val="auto"/>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地址：广州市天河区临江大道501号</w:t>
            </w: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邮政编码：510655</w:t>
            </w:r>
            <w:r>
              <w:rPr>
                <w:rFonts w:hint="eastAsia" w:ascii="宋体" w:hAnsi="宋体" w:cs="宋体"/>
                <w:color w:val="auto"/>
                <w:sz w:val="24"/>
                <w:szCs w:val="24"/>
                <w:highlight w:val="none"/>
              </w:rPr>
              <w:tab/>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签约日期：2021年月日</w:t>
            </w:r>
          </w:p>
        </w:tc>
        <w:tc>
          <w:tcPr>
            <w:tcW w:w="562" w:type="dxa"/>
            <w:vAlign w:val="center"/>
          </w:tcPr>
          <w:p>
            <w:pPr>
              <w:rPr>
                <w:rFonts w:ascii="宋体" w:hAnsi="宋体" w:cs="宋体"/>
                <w:color w:val="auto"/>
                <w:sz w:val="24"/>
                <w:szCs w:val="24"/>
                <w:highlight w:val="none"/>
              </w:rPr>
            </w:pPr>
          </w:p>
        </w:tc>
        <w:tc>
          <w:tcPr>
            <w:tcW w:w="400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签约日期：2021年月日</w:t>
            </w:r>
          </w:p>
        </w:tc>
      </w:tr>
    </w:tbl>
    <w:p>
      <w:pPr>
        <w:pStyle w:val="11"/>
        <w:spacing w:line="360" w:lineRule="auto"/>
        <w:ind w:left="465" w:leftChars="50" w:hanging="360" w:hangingChars="150"/>
        <w:rPr>
          <w:rFonts w:ascii="宋体" w:hAnsi="宋体" w:cs="宋体"/>
          <w:color w:val="auto"/>
          <w:sz w:val="24"/>
          <w:szCs w:val="24"/>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发包通知书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pStyle w:val="26"/>
        <w:rPr>
          <w:color w:val="auto"/>
          <w:highlight w:val="none"/>
        </w:rPr>
      </w:pPr>
    </w:p>
    <w:p>
      <w:pPr>
        <w:keepNext w:val="0"/>
        <w:keepLines w:val="0"/>
        <w:pageBreakBefore w:val="0"/>
        <w:kinsoku/>
        <w:wordWrap/>
        <w:overflowPunct/>
        <w:topLinePunct w:val="0"/>
        <w:autoSpaceDE/>
        <w:autoSpaceDN/>
        <w:bidi w:val="0"/>
        <w:adjustRightInd/>
        <w:snapToGrid/>
        <w:spacing w:line="560" w:lineRule="exact"/>
        <w:ind w:firstLine="4337" w:firstLineChars="1800"/>
        <w:jc w:val="left"/>
        <w:textAlignment w:val="auto"/>
        <w:rPr>
          <w:rFonts w:hint="eastAsia" w:asciiTheme="minorEastAsia" w:hAnsiTheme="minorEastAsia" w:eastAsiaTheme="minorEastAsia" w:cstheme="minorEastAsia"/>
          <w:b w:val="0"/>
          <w:bCs/>
          <w:color w:val="auto"/>
          <w:sz w:val="24"/>
          <w:szCs w:val="24"/>
          <w:highlight w:val="none"/>
        </w:rPr>
      </w:pPr>
      <w:bookmarkStart w:id="11" w:name="_Toc387080836"/>
      <w:bookmarkStart w:id="12" w:name="_Toc389815339"/>
      <w:bookmarkStart w:id="13" w:name="_Toc389815031"/>
      <w:r>
        <w:rPr>
          <w:rFonts w:hint="eastAsia" w:asciiTheme="minorEastAsia" w:hAnsiTheme="minorEastAsia" w:eastAsiaTheme="minorEastAsia" w:cstheme="minorEastAsia"/>
          <w:b/>
          <w:bCs w:val="0"/>
          <w:color w:val="auto"/>
          <w:sz w:val="24"/>
          <w:szCs w:val="24"/>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540" w:firstLineChars="225"/>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Theme="minorEastAsia" w:hAnsiTheme="minorEastAsia" w:eastAsiaTheme="minorEastAsia" w:cstheme="minorEastAsia"/>
          <w:b w:val="0"/>
          <w:bCs/>
          <w:color w:val="auto"/>
          <w:sz w:val="24"/>
          <w:szCs w:val="24"/>
          <w:highlight w:val="none"/>
          <w:u w:val="single"/>
        </w:rPr>
        <w:t>广州市净水有限公司</w:t>
      </w:r>
      <w:r>
        <w:rPr>
          <w:rFonts w:hint="eastAsia" w:asciiTheme="minorEastAsia" w:hAnsiTheme="minorEastAsia" w:eastAsiaTheme="minorEastAsia" w:cstheme="minorEastAsia"/>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（二）严格执行</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360" w:firstLineChars="15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（五）发现对方在业务活动中有不廉洁行为，应及时提醒对方纠正。情节严重的，应向其有关监督部门</w:t>
      </w:r>
      <w:r>
        <w:rPr>
          <w:rFonts w:hint="eastAsia" w:asciiTheme="minorEastAsia" w:hAnsiTheme="minorEastAsia" w:eastAsiaTheme="minorEastAsia" w:cstheme="minorEastAsia"/>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（五）乙方不得擅自与甲方工作人员就</w:t>
      </w:r>
      <w:r>
        <w:rPr>
          <w:rFonts w:hint="eastAsia" w:asciiTheme="minorEastAsia" w:hAnsiTheme="minorEastAsia" w:eastAsiaTheme="minorEastAsia" w:cstheme="minorEastAsia"/>
          <w:b w:val="0"/>
          <w:bCs/>
          <w:color w:val="auto"/>
          <w:sz w:val="24"/>
          <w:szCs w:val="24"/>
          <w:highlight w:val="none"/>
          <w:lang w:val="en-US" w:eastAsia="zh-CN"/>
        </w:rPr>
        <w:t>主</w:t>
      </w:r>
      <w:r>
        <w:rPr>
          <w:rFonts w:hint="eastAsia" w:asciiTheme="minorEastAsia" w:hAnsiTheme="minorEastAsia" w:eastAsiaTheme="minorEastAsia" w:cstheme="minorEastAsia"/>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甲方举报投诉联系部门：广州市净水有限公司</w:t>
      </w:r>
      <w:r>
        <w:rPr>
          <w:rFonts w:hint="eastAsia" w:asciiTheme="minorEastAsia" w:hAnsiTheme="minorEastAsia" w:eastAsiaTheme="minorEastAsia" w:cstheme="minorEastAsia"/>
          <w:b w:val="0"/>
          <w:bCs/>
          <w:color w:val="auto"/>
          <w:sz w:val="24"/>
          <w:szCs w:val="24"/>
          <w:highlight w:val="none"/>
          <w:u w:val="single"/>
        </w:rPr>
        <w:t>纪检室</w:t>
      </w:r>
      <w:r>
        <w:rPr>
          <w:rFonts w:hint="eastAsia" w:asciiTheme="minorEastAsia" w:hAnsiTheme="minorEastAsia" w:eastAsiaTheme="minorEastAsia" w:cstheme="minorEastAsia"/>
          <w:b w:val="0"/>
          <w:bCs/>
          <w:color w:val="auto"/>
          <w:sz w:val="24"/>
          <w:szCs w:val="24"/>
          <w:highlight w:val="none"/>
        </w:rPr>
        <w:t>，联系电话：</w:t>
      </w:r>
      <w:r>
        <w:rPr>
          <w:rFonts w:hint="eastAsia" w:asciiTheme="minorEastAsia" w:hAnsiTheme="minorEastAsia" w:eastAsiaTheme="minorEastAsia" w:cstheme="minorEastAsia"/>
          <w:b w:val="0"/>
          <w:bCs/>
          <w:color w:val="auto"/>
          <w:sz w:val="24"/>
          <w:szCs w:val="24"/>
          <w:highlight w:val="none"/>
          <w:u w:val="single"/>
        </w:rPr>
        <w:t xml:space="preserve"> 020-38890265 </w:t>
      </w:r>
      <w:r>
        <w:rPr>
          <w:rFonts w:hint="eastAsia" w:asciiTheme="minorEastAsia" w:hAnsiTheme="minorEastAsia" w:eastAsiaTheme="minorEastAsia" w:cstheme="minorEastAsia"/>
          <w:b w:val="0"/>
          <w:bCs/>
          <w:color w:val="auto"/>
          <w:sz w:val="24"/>
          <w:szCs w:val="24"/>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（二）乙方及其工作人员</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存在</w:t>
      </w:r>
      <w:r>
        <w:rPr>
          <w:rFonts w:hint="eastAsia" w:asciiTheme="minorEastAsia" w:hAnsiTheme="minorEastAsia" w:eastAsiaTheme="minorEastAsia" w:cstheme="minorEastAsia"/>
          <w:b w:val="0"/>
          <w:bCs/>
          <w:i w:val="0"/>
          <w:iCs w:val="0"/>
          <w:caps w:val="0"/>
          <w:color w:val="auto"/>
          <w:spacing w:val="0"/>
          <w:sz w:val="24"/>
          <w:szCs w:val="24"/>
          <w:highlight w:val="none"/>
        </w:rPr>
        <w:t>违反本协议第一、三条规定、或在甲方招标、询价等过程中违反法律法规中的廉洁规定</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的行为</w:t>
      </w:r>
      <w:r>
        <w:rPr>
          <w:rFonts w:hint="eastAsia" w:asciiTheme="minorEastAsia" w:hAnsiTheme="minorEastAsia" w:eastAsiaTheme="minorEastAsia" w:cstheme="minorEastAsia"/>
          <w:b w:val="0"/>
          <w:bCs/>
          <w:i w:val="0"/>
          <w:iCs w:val="0"/>
          <w:caps w:val="0"/>
          <w:color w:val="auto"/>
          <w:spacing w:val="0"/>
          <w:sz w:val="24"/>
          <w:szCs w:val="24"/>
          <w:highlight w:val="none"/>
        </w:rPr>
        <w:t>，</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无论该行为是否与主合同有关，</w:t>
      </w:r>
      <w:r>
        <w:rPr>
          <w:rFonts w:hint="eastAsia" w:asciiTheme="minorEastAsia" w:hAnsiTheme="minorEastAsia" w:eastAsiaTheme="minorEastAsia" w:cstheme="minorEastAsia"/>
          <w:b w:val="0"/>
          <w:bCs/>
          <w:i w:val="0"/>
          <w:iCs w:val="0"/>
          <w:caps w:val="0"/>
          <w:color w:val="auto"/>
          <w:spacing w:val="0"/>
          <w:sz w:val="24"/>
          <w:szCs w:val="24"/>
          <w:highlight w:val="none"/>
        </w:rPr>
        <w:t>甲方</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均</w:t>
      </w:r>
      <w:r>
        <w:rPr>
          <w:rFonts w:hint="eastAsia" w:asciiTheme="minorEastAsia" w:hAnsiTheme="minorEastAsia" w:eastAsiaTheme="minorEastAsia" w:cstheme="minorEastAsia"/>
          <w:b w:val="0"/>
          <w:bCs/>
          <w:i w:val="0"/>
          <w:iCs w:val="0"/>
          <w:caps w:val="0"/>
          <w:color w:val="auto"/>
          <w:spacing w:val="0"/>
          <w:sz w:val="24"/>
          <w:szCs w:val="24"/>
          <w:highlight w:val="none"/>
        </w:rPr>
        <w:t>有权根据具体情节和造成的后果，对乙方采取以下处理</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方式</w:t>
      </w:r>
      <w:r>
        <w:rPr>
          <w:rFonts w:hint="eastAsia" w:asciiTheme="minorEastAsia" w:hAnsiTheme="minorEastAsia" w:eastAsiaTheme="minorEastAsia" w:cstheme="minorEastAsia"/>
          <w:b w:val="0"/>
          <w:bCs/>
          <w:i w:val="0"/>
          <w:iCs w:val="0"/>
          <w:caps w:val="0"/>
          <w:color w:val="auto"/>
          <w:spacing w:val="0"/>
          <w:sz w:val="24"/>
          <w:szCs w:val="24"/>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2、解除</w:t>
      </w:r>
      <w:r>
        <w:rPr>
          <w:rFonts w:hint="eastAsia" w:asciiTheme="minorEastAsia" w:hAnsiTheme="minorEastAsia" w:eastAsiaTheme="minorEastAsia" w:cstheme="minorEastAsia"/>
          <w:b w:val="0"/>
          <w:bCs/>
          <w:i w:val="0"/>
          <w:iCs w:val="0"/>
          <w:caps w:val="0"/>
          <w:color w:val="auto"/>
          <w:spacing w:val="0"/>
          <w:sz w:val="24"/>
          <w:szCs w:val="24"/>
          <w:highlight w:val="none"/>
          <w:lang w:val="en-US" w:eastAsia="zh-CN"/>
        </w:rPr>
        <w:t>主合同</w:t>
      </w:r>
      <w:r>
        <w:rPr>
          <w:rFonts w:hint="eastAsia" w:asciiTheme="minorEastAsia" w:hAnsiTheme="minorEastAsia" w:eastAsiaTheme="minorEastAsia" w:cstheme="minorEastAsia"/>
          <w:b w:val="0"/>
          <w:bCs/>
          <w:i w:val="0"/>
          <w:iCs w:val="0"/>
          <w:caps w:val="0"/>
          <w:color w:val="auto"/>
          <w:spacing w:val="0"/>
          <w:sz w:val="24"/>
          <w:szCs w:val="24"/>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Theme="minorEastAsia" w:hAnsiTheme="minorEastAsia" w:eastAsiaTheme="minorEastAsia" w:cstheme="minorEastAsia"/>
          <w:b w:val="0"/>
          <w:bCs/>
          <w:i w:val="0"/>
          <w:iCs w:val="0"/>
          <w:caps w:val="0"/>
          <w:color w:val="auto"/>
          <w:spacing w:val="0"/>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第五条 </w:t>
      </w:r>
      <w:r>
        <w:rPr>
          <w:rFonts w:hint="eastAsia" w:asciiTheme="minorEastAsia" w:hAnsiTheme="minorEastAsia" w:eastAsiaTheme="minorEastAsia" w:cstheme="minorEastAsia"/>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第六条本协议作为</w:t>
      </w:r>
      <w:r>
        <w:rPr>
          <w:rFonts w:hint="eastAsia" w:asciiTheme="minorEastAsia" w:hAnsiTheme="minorEastAsia" w:eastAsiaTheme="minorEastAsia" w:cstheme="minorEastAsia"/>
          <w:b w:val="0"/>
          <w:bCs/>
          <w:color w:val="auto"/>
          <w:sz w:val="24"/>
          <w:szCs w:val="24"/>
          <w:highlight w:val="none"/>
          <w:u w:val="single"/>
        </w:rPr>
        <w:t>（合同名称）+（合同编号）</w:t>
      </w:r>
      <w:r>
        <w:rPr>
          <w:rFonts w:hint="eastAsia" w:asciiTheme="minorEastAsia" w:hAnsiTheme="minorEastAsia" w:eastAsiaTheme="minorEastAsia" w:cstheme="minorEastAsia"/>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第七条本协议一式</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rPr>
        <w:t>份，甲方</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rPr>
        <w:t>份，乙方</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bCs/>
          <w:color w:val="auto"/>
          <w:sz w:val="24"/>
          <w:szCs w:val="24"/>
          <w:highlight w:val="none"/>
        </w:rPr>
        <w:t>份。</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Theme="minorEastAsia" w:hAnsiTheme="minorEastAsia" w:eastAsiaTheme="minorEastAsia" w:cstheme="minorEastAsia"/>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7200" w:hangingChars="30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签约代表：                         签约代表：</w:t>
      </w:r>
    </w:p>
    <w:p>
      <w:pPr>
        <w:spacing w:line="360" w:lineRule="auto"/>
        <w:jc w:val="center"/>
        <w:rPr>
          <w:rFonts w:ascii="宋体" w:hAnsi="宋体"/>
          <w:color w:val="auto"/>
          <w:sz w:val="24"/>
          <w:highlight w:val="none"/>
        </w:rPr>
      </w:pPr>
      <w:r>
        <w:rPr>
          <w:rFonts w:hint="eastAsia" w:asciiTheme="minorEastAsia" w:hAnsiTheme="minorEastAsia" w:eastAsiaTheme="minorEastAsia" w:cstheme="minorEastAsia"/>
          <w:b w:val="0"/>
          <w:bCs/>
          <w:color w:val="auto"/>
          <w:sz w:val="24"/>
          <w:szCs w:val="24"/>
          <w:highlight w:val="none"/>
        </w:rPr>
        <w:t>日期:    年  月  日</w:t>
      </w:r>
      <w:r>
        <w:rPr>
          <w:rFonts w:hint="eastAsia" w:asciiTheme="minorEastAsia" w:hAnsiTheme="minorEastAsia" w:eastAsiaTheme="minorEastAsia" w:cstheme="minorEastAsia"/>
          <w:b w:val="0"/>
          <w:bCs/>
          <w:color w:val="auto"/>
          <w:sz w:val="24"/>
          <w:szCs w:val="24"/>
          <w:highlight w:val="none"/>
        </w:rPr>
        <w:tab/>
      </w:r>
      <w:r>
        <w:rPr>
          <w:rFonts w:hint="eastAsia" w:asciiTheme="minorEastAsia" w:hAnsiTheme="minorEastAsia" w:eastAsiaTheme="minorEastAsia" w:cstheme="minorEastAsia"/>
          <w:b w:val="0"/>
          <w:bCs/>
          <w:color w:val="auto"/>
          <w:sz w:val="24"/>
          <w:szCs w:val="24"/>
          <w:highlight w:val="none"/>
        </w:rPr>
        <w:t>日期：  年  月  日</w:t>
      </w:r>
    </w:p>
    <w:p>
      <w:pPr>
        <w:spacing w:line="560" w:lineRule="exact"/>
        <w:jc w:val="center"/>
        <w:rPr>
          <w:rFonts w:ascii="黑体" w:hAnsi="Batang" w:eastAsia="黑体" w:cs="Batang"/>
          <w:bCs/>
          <w:color w:val="auto"/>
          <w:kern w:val="0"/>
          <w:sz w:val="44"/>
          <w:szCs w:val="44"/>
          <w:highlight w:val="none"/>
        </w:rPr>
      </w:pPr>
    </w:p>
    <w:p>
      <w:pPr>
        <w:spacing w:line="560" w:lineRule="exact"/>
        <w:jc w:val="center"/>
        <w:rPr>
          <w:rFonts w:ascii="黑体" w:hAnsi="Batang" w:eastAsia="黑体" w:cs="Batang"/>
          <w:bCs/>
          <w:color w:val="auto"/>
          <w:kern w:val="0"/>
          <w:sz w:val="44"/>
          <w:szCs w:val="44"/>
          <w:highlight w:val="none"/>
        </w:rPr>
      </w:pPr>
    </w:p>
    <w:p>
      <w:pPr>
        <w:spacing w:line="560" w:lineRule="exact"/>
        <w:jc w:val="center"/>
        <w:rPr>
          <w:rFonts w:ascii="黑体" w:hAnsi="Batang" w:eastAsia="黑体" w:cs="Batang"/>
          <w:bCs/>
          <w:color w:val="auto"/>
          <w:kern w:val="0"/>
          <w:sz w:val="44"/>
          <w:szCs w:val="44"/>
          <w:highlight w:val="none"/>
        </w:rPr>
      </w:pPr>
    </w:p>
    <w:p>
      <w:pPr>
        <w:spacing w:line="560" w:lineRule="exact"/>
        <w:jc w:val="center"/>
        <w:rPr>
          <w:rFonts w:ascii="黑体" w:hAnsi="Batang" w:eastAsia="黑体" w:cs="Batang"/>
          <w:bCs/>
          <w:color w:val="auto"/>
          <w:kern w:val="0"/>
          <w:sz w:val="44"/>
          <w:szCs w:val="44"/>
          <w:highlight w:val="none"/>
        </w:rPr>
      </w:pPr>
    </w:p>
    <w:p>
      <w:pPr>
        <w:spacing w:line="560" w:lineRule="exact"/>
        <w:jc w:val="center"/>
        <w:rPr>
          <w:rFonts w:ascii="黑体" w:hAnsi="Batang" w:eastAsia="黑体" w:cs="Batang"/>
          <w:bCs/>
          <w:color w:val="auto"/>
          <w:kern w:val="0"/>
          <w:sz w:val="44"/>
          <w:szCs w:val="44"/>
          <w:highlight w:val="none"/>
        </w:rPr>
      </w:pPr>
    </w:p>
    <w:p>
      <w:pPr>
        <w:spacing w:line="560" w:lineRule="exact"/>
        <w:jc w:val="center"/>
        <w:rPr>
          <w:rFonts w:ascii="黑体" w:hAnsi="Batang" w:eastAsia="黑体" w:cs="Batang"/>
          <w:bCs/>
          <w:color w:val="auto"/>
          <w:kern w:val="0"/>
          <w:sz w:val="44"/>
          <w:szCs w:val="44"/>
          <w:highlight w:val="none"/>
        </w:rPr>
      </w:pPr>
    </w:p>
    <w:p>
      <w:pPr>
        <w:spacing w:line="560" w:lineRule="exact"/>
        <w:jc w:val="center"/>
        <w:rPr>
          <w:rFonts w:ascii="黑体" w:hAnsi="Batang" w:eastAsia="黑体" w:cs="Batang"/>
          <w:bCs/>
          <w:color w:val="auto"/>
          <w:kern w:val="0"/>
          <w:sz w:val="44"/>
          <w:szCs w:val="44"/>
          <w:highlight w:val="none"/>
        </w:rPr>
      </w:pPr>
    </w:p>
    <w:p>
      <w:pPr>
        <w:spacing w:line="560" w:lineRule="exact"/>
        <w:jc w:val="center"/>
        <w:rPr>
          <w:rFonts w:ascii="黑体" w:hAnsi="Batang" w:eastAsia="黑体" w:cs="Batang"/>
          <w:bCs/>
          <w:color w:val="auto"/>
          <w:kern w:val="0"/>
          <w:sz w:val="44"/>
          <w:szCs w:val="44"/>
          <w:highlight w:val="none"/>
        </w:rPr>
      </w:pPr>
    </w:p>
    <w:p>
      <w:pPr>
        <w:spacing w:line="560" w:lineRule="exact"/>
        <w:jc w:val="center"/>
        <w:rPr>
          <w:rFonts w:ascii="黑体" w:hAnsi="Batang" w:eastAsia="黑体" w:cs="Batang"/>
          <w:bCs/>
          <w:color w:val="auto"/>
          <w:kern w:val="0"/>
          <w:sz w:val="44"/>
          <w:szCs w:val="44"/>
          <w:highlight w:val="none"/>
        </w:rPr>
      </w:pPr>
    </w:p>
    <w:p>
      <w:pPr>
        <w:spacing w:line="560" w:lineRule="exact"/>
        <w:jc w:val="both"/>
        <w:rPr>
          <w:rFonts w:ascii="黑体" w:hAnsi="Batang" w:eastAsia="黑体" w:cs="Batang"/>
          <w:bCs/>
          <w:color w:val="auto"/>
          <w:kern w:val="0"/>
          <w:sz w:val="44"/>
          <w:szCs w:val="44"/>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hint="eastAsia" w:ascii="宋体" w:hAnsi="宋体" w:cs="宋体"/>
          <w:b/>
          <w:bCs/>
          <w:color w:val="auto"/>
          <w:szCs w:val="21"/>
          <w:highlight w:val="none"/>
        </w:rPr>
      </w:pPr>
    </w:p>
    <w:p>
      <w:pPr>
        <w:spacing w:line="560" w:lineRule="exact"/>
        <w:jc w:val="left"/>
        <w:rPr>
          <w:rFonts w:ascii="黑体" w:hAnsi="Batang" w:eastAsia="黑体" w:cs="Batang"/>
          <w:bCs/>
          <w:color w:val="auto"/>
          <w:kern w:val="0"/>
          <w:sz w:val="28"/>
          <w:szCs w:val="28"/>
          <w:highlight w:val="none"/>
        </w:rPr>
      </w:pPr>
      <w:r>
        <w:rPr>
          <w:rFonts w:hint="eastAsia" w:ascii="宋体" w:hAnsi="宋体" w:cs="宋体"/>
          <w:b/>
          <w:bCs/>
          <w:color w:val="auto"/>
          <w:szCs w:val="21"/>
          <w:highlight w:val="none"/>
        </w:rPr>
        <w:t>附件3 安全协议书</w:t>
      </w: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4"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val="0"/>
        <w:snapToGrid w:val="0"/>
        <w:spacing w:line="560" w:lineRule="exact"/>
        <w:jc w:val="left"/>
        <w:rPr>
          <w:rStyle w:val="23"/>
          <w:rFonts w:asciiTheme="minorEastAsia" w:hAnsiTheme="minorEastAsia" w:eastAsiaTheme="minorEastAsia"/>
          <w:b w:val="0"/>
          <w:color w:val="auto"/>
          <w:highlight w:val="none"/>
          <w:u w:val="single"/>
        </w:rPr>
      </w:pPr>
    </w:p>
    <w:bookmarkEnd w:id="14"/>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本协议作为的组成部分，与主合同具有同等法律。</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二、甲方权责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（四）遵守甲方制定的安全管理要求。</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（七）委托的第三方运输单位或个人，违反本协议的，全部责任均由乙方承担。</w:t>
      </w:r>
    </w:p>
    <w:p>
      <w:pPr>
        <w:pStyle w:val="45"/>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color w:val="auto"/>
          <w:sz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color w:val="auto"/>
                <w:sz w:val="24"/>
                <w:highlight w:val="none"/>
              </w:rPr>
            </w:pPr>
            <w:r>
              <w:rPr>
                <w:rFonts w:hint="eastAsia" w:asciiTheme="minorEastAsia" w:hAnsiTheme="minorEastAsia"/>
                <w:color w:val="auto"/>
                <w:sz w:val="24"/>
                <w:highlight w:val="none"/>
              </w:rPr>
              <w:t>年月日</w:t>
            </w:r>
          </w:p>
        </w:tc>
        <w:tc>
          <w:tcPr>
            <w:tcW w:w="4474" w:type="dxa"/>
          </w:tcPr>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60" w:lineRule="exact"/>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60" w:lineRule="exact"/>
              <w:jc w:val="right"/>
              <w:rPr>
                <w:rFonts w:asciiTheme="minorEastAsia" w:hAnsiTheme="minorEastAsia"/>
                <w:color w:val="auto"/>
                <w:sz w:val="24"/>
                <w:highlight w:val="none"/>
              </w:rPr>
            </w:pPr>
            <w:r>
              <w:rPr>
                <w:rFonts w:hint="eastAsia" w:asciiTheme="minorEastAsia" w:hAnsiTheme="minorEastAsia"/>
                <w:color w:val="auto"/>
                <w:sz w:val="24"/>
                <w:highlight w:val="none"/>
              </w:rPr>
              <w:t>年月日</w:t>
            </w:r>
          </w:p>
        </w:tc>
      </w:tr>
    </w:tbl>
    <w:p>
      <w:pPr>
        <w:pStyle w:val="26"/>
        <w:rPr>
          <w:color w:val="auto"/>
          <w:highlight w:val="none"/>
        </w:rPr>
      </w:pPr>
    </w:p>
    <w:p>
      <w:pPr>
        <w:spacing w:line="360" w:lineRule="auto"/>
        <w:jc w:val="center"/>
        <w:rPr>
          <w:rFonts w:ascii="宋体" w:hAnsi="宋体"/>
          <w:b/>
          <w:color w:val="auto"/>
          <w:sz w:val="32"/>
          <w:szCs w:val="32"/>
          <w:highlight w:val="none"/>
        </w:rPr>
      </w:pPr>
    </w:p>
    <w:p>
      <w:pPr>
        <w:spacing w:line="360" w:lineRule="auto"/>
        <w:jc w:val="center"/>
        <w:rPr>
          <w:rFonts w:ascii="宋体" w:hAnsi="宋体"/>
          <w:b/>
          <w:color w:val="auto"/>
          <w:sz w:val="32"/>
          <w:szCs w:val="32"/>
          <w:highlight w:val="none"/>
        </w:rPr>
      </w:pPr>
    </w:p>
    <w:p>
      <w:pPr>
        <w:tabs>
          <w:tab w:val="left" w:pos="4170"/>
        </w:tabs>
        <w:spacing w:line="360" w:lineRule="auto"/>
        <w:rPr>
          <w:rFonts w:ascii="宋体" w:hAnsi="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cs="宋体"/>
          <w:color w:val="auto"/>
          <w:szCs w:val="21"/>
          <w:highlight w:val="none"/>
        </w:rPr>
      </w:pPr>
    </w:p>
    <w:p>
      <w:pPr>
        <w:pStyle w:val="2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p>
    <w:p>
      <w:pPr>
        <w:pStyle w:val="26"/>
        <w:rPr>
          <w:rFonts w:hint="eastAsia" w:ascii="宋体" w:hAnsi="宋体" w:eastAsia="宋体" w:cs="宋体"/>
          <w:b/>
          <w:bCs/>
          <w:color w:val="auto"/>
          <w:szCs w:val="21"/>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宋体" w:hAnsi="宋体" w:eastAsia="宋体" w:cs="宋体"/>
          <w:b/>
          <w:bCs/>
          <w:color w:val="auto"/>
          <w:sz w:val="32"/>
          <w:szCs w:val="32"/>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bookmarkEnd w:id="11"/>
    <w:bookmarkEnd w:id="12"/>
    <w:bookmarkEnd w:id="13"/>
    <w:p>
      <w:pPr>
        <w:pStyle w:val="5"/>
        <w:spacing w:line="360" w:lineRule="auto"/>
        <w:jc w:val="both"/>
        <w:rPr>
          <w:rFonts w:hint="eastAsia" w:ascii="仿宋" w:hAnsi="仿宋" w:eastAsia="仿宋" w:cs="仿宋_GB2312"/>
          <w:color w:val="auto"/>
          <w:highlight w:val="none"/>
        </w:rPr>
      </w:pPr>
    </w:p>
    <w:p>
      <w:pPr>
        <w:pStyle w:val="5"/>
        <w:spacing w:line="360" w:lineRule="auto"/>
        <w:jc w:val="center"/>
        <w:rPr>
          <w:rFonts w:hint="eastAsia" w:ascii="仿宋" w:hAnsi="仿宋" w:eastAsia="仿宋" w:cs="仿宋_GB2312"/>
          <w:color w:val="auto"/>
          <w:highlight w:val="none"/>
        </w:rPr>
      </w:pPr>
    </w:p>
    <w:p>
      <w:pPr>
        <w:rPr>
          <w:rFonts w:hint="eastAsia" w:ascii="仿宋" w:hAnsi="仿宋" w:eastAsia="仿宋" w:cs="仿宋_GB2312"/>
          <w:color w:val="auto"/>
          <w:highlight w:val="none"/>
        </w:rPr>
      </w:pPr>
    </w:p>
    <w:p>
      <w:pPr>
        <w:pStyle w:val="2"/>
        <w:rPr>
          <w:rFonts w:hint="eastAsia" w:ascii="仿宋" w:hAnsi="仿宋" w:eastAsia="仿宋" w:cs="仿宋_GB2312"/>
          <w:color w:val="auto"/>
          <w:highlight w:val="none"/>
        </w:rPr>
      </w:pPr>
    </w:p>
    <w:p>
      <w:pPr>
        <w:pStyle w:val="2"/>
        <w:rPr>
          <w:rFonts w:hint="eastAsia" w:ascii="仿宋" w:hAnsi="仿宋" w:eastAsia="仿宋" w:cs="仿宋_GB2312"/>
          <w:color w:val="auto"/>
          <w:highlight w:val="none"/>
        </w:rPr>
      </w:pPr>
    </w:p>
    <w:p>
      <w:pPr>
        <w:pStyle w:val="2"/>
        <w:rPr>
          <w:rFonts w:hint="eastAsia" w:ascii="仿宋" w:hAnsi="仿宋" w:eastAsia="仿宋" w:cs="仿宋_GB2312"/>
          <w:color w:val="auto"/>
          <w:highlight w:val="none"/>
        </w:rPr>
      </w:pPr>
    </w:p>
    <w:p>
      <w:pPr>
        <w:pStyle w:val="2"/>
        <w:rPr>
          <w:rFonts w:hint="eastAsia" w:ascii="仿宋" w:hAnsi="仿宋" w:eastAsia="仿宋" w:cs="仿宋_GB2312"/>
          <w:color w:val="auto"/>
          <w:highlight w:val="none"/>
        </w:rPr>
      </w:pPr>
    </w:p>
    <w:p>
      <w:pPr>
        <w:pStyle w:val="5"/>
        <w:spacing w:line="360" w:lineRule="auto"/>
        <w:jc w:val="center"/>
        <w:rPr>
          <w:rFonts w:hint="eastAsia" w:ascii="仿宋" w:hAnsi="仿宋" w:eastAsia="仿宋" w:cs="仿宋_GB2312"/>
          <w:color w:val="auto"/>
          <w:highlight w:val="none"/>
        </w:rPr>
      </w:pPr>
    </w:p>
    <w:p>
      <w:pPr>
        <w:pStyle w:val="5"/>
        <w:spacing w:line="360" w:lineRule="auto"/>
        <w:jc w:val="center"/>
        <w:rPr>
          <w:rFonts w:hint="eastAsia" w:ascii="仿宋" w:hAnsi="仿宋" w:eastAsia="仿宋" w:cs="仿宋_GB2312"/>
          <w:color w:val="auto"/>
          <w:highlight w:val="none"/>
        </w:rPr>
      </w:pPr>
    </w:p>
    <w:p>
      <w:pPr>
        <w:pStyle w:val="5"/>
        <w:spacing w:line="360" w:lineRule="auto"/>
        <w:jc w:val="center"/>
        <w:rPr>
          <w:rFonts w:ascii="仿宋" w:hAnsi="仿宋" w:eastAsia="仿宋" w:cs="仿宋_GB2312"/>
          <w:color w:val="auto"/>
          <w:highlight w:val="none"/>
        </w:rPr>
      </w:pPr>
      <w:r>
        <w:rPr>
          <w:rFonts w:hint="eastAsia" w:ascii="仿宋" w:hAnsi="仿宋" w:eastAsia="仿宋" w:cs="仿宋_GB2312"/>
          <w:color w:val="auto"/>
          <w:highlight w:val="none"/>
        </w:rPr>
        <w:t>第五部分　响应文件格式</w:t>
      </w:r>
    </w:p>
    <w:p>
      <w:pPr>
        <w:pStyle w:val="10"/>
        <w:tabs>
          <w:tab w:val="left" w:pos="1260"/>
        </w:tabs>
        <w:jc w:val="center"/>
        <w:rPr>
          <w:rFonts w:ascii="仿宋" w:hAnsi="仿宋" w:eastAsia="仿宋" w:cs="仿宋_GB2312"/>
          <w:b/>
          <w:color w:val="auto"/>
          <w:kern w:val="0"/>
          <w:sz w:val="24"/>
          <w:szCs w:val="24"/>
          <w:highlight w:val="none"/>
        </w:rPr>
      </w:pPr>
    </w:p>
    <w:p>
      <w:pPr>
        <w:pStyle w:val="10"/>
        <w:tabs>
          <w:tab w:val="left" w:pos="1260"/>
        </w:tabs>
        <w:jc w:val="center"/>
        <w:rPr>
          <w:rFonts w:ascii="仿宋" w:hAnsi="仿宋" w:eastAsia="仿宋" w:cs="仿宋_GB2312"/>
          <w:b/>
          <w:color w:val="auto"/>
          <w:kern w:val="0"/>
          <w:sz w:val="24"/>
          <w:szCs w:val="24"/>
          <w:highlight w:val="none"/>
        </w:rPr>
      </w:pPr>
    </w:p>
    <w:p>
      <w:pPr>
        <w:pStyle w:val="10"/>
        <w:tabs>
          <w:tab w:val="left" w:pos="1260"/>
        </w:tabs>
        <w:jc w:val="center"/>
        <w:rPr>
          <w:rFonts w:ascii="仿宋" w:hAnsi="仿宋" w:eastAsia="仿宋" w:cs="仿宋_GB2312"/>
          <w:b/>
          <w:color w:val="auto"/>
          <w:kern w:val="0"/>
          <w:sz w:val="24"/>
          <w:szCs w:val="24"/>
          <w:highlight w:val="none"/>
        </w:rPr>
      </w:pPr>
    </w:p>
    <w:p>
      <w:pPr>
        <w:pStyle w:val="10"/>
        <w:tabs>
          <w:tab w:val="left" w:pos="1260"/>
        </w:tabs>
        <w:jc w:val="center"/>
        <w:rPr>
          <w:rFonts w:ascii="仿宋" w:hAnsi="仿宋" w:eastAsia="仿宋" w:cs="仿宋_GB2312"/>
          <w:b/>
          <w:color w:val="auto"/>
          <w:kern w:val="0"/>
          <w:sz w:val="24"/>
          <w:szCs w:val="24"/>
          <w:highlight w:val="none"/>
        </w:rPr>
      </w:pPr>
    </w:p>
    <w:p>
      <w:pPr>
        <w:pStyle w:val="10"/>
        <w:tabs>
          <w:tab w:val="left" w:pos="1260"/>
        </w:tabs>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广州市净水有限公司</w:t>
      </w:r>
    </w:p>
    <w:p>
      <w:pPr>
        <w:pStyle w:val="10"/>
        <w:tabs>
          <w:tab w:val="left" w:pos="1260"/>
        </w:tabs>
        <w:jc w:val="center"/>
        <w:rPr>
          <w:rFonts w:ascii="仿宋" w:hAnsi="仿宋" w:eastAsia="仿宋" w:cs="仿宋_GB2312"/>
          <w:b/>
          <w:bCs/>
          <w:color w:val="auto"/>
          <w:sz w:val="28"/>
          <w:szCs w:val="28"/>
          <w:highlight w:val="none"/>
        </w:rPr>
      </w:pPr>
      <w:r>
        <w:rPr>
          <w:rFonts w:ascii="仿宋" w:hAnsi="仿宋" w:eastAsia="仿宋" w:cs="仿宋_GB2312"/>
          <w:b/>
          <w:bCs/>
          <w:color w:val="auto"/>
          <w:sz w:val="28"/>
          <w:szCs w:val="28"/>
          <w:highlight w:val="none"/>
        </w:rPr>
        <w:t>（项目名称）</w:t>
      </w:r>
    </w:p>
    <w:p>
      <w:pPr>
        <w:pStyle w:val="10"/>
        <w:jc w:val="center"/>
        <w:rPr>
          <w:rFonts w:ascii="仿宋" w:hAnsi="仿宋" w:eastAsia="仿宋" w:cs="仿宋_GB2312"/>
          <w:b/>
          <w:color w:val="auto"/>
          <w:sz w:val="24"/>
          <w:szCs w:val="24"/>
          <w:highlight w:val="none"/>
        </w:rPr>
      </w:pPr>
    </w:p>
    <w:p>
      <w:pPr>
        <w:pStyle w:val="10"/>
        <w:jc w:val="center"/>
        <w:rPr>
          <w:rFonts w:ascii="仿宋" w:hAnsi="仿宋" w:eastAsia="仿宋" w:cs="仿宋_GB2312"/>
          <w:b/>
          <w:color w:val="auto"/>
          <w:sz w:val="24"/>
          <w:szCs w:val="24"/>
          <w:highlight w:val="none"/>
        </w:rPr>
      </w:pPr>
    </w:p>
    <w:p>
      <w:pPr>
        <w:pStyle w:val="10"/>
        <w:jc w:val="center"/>
        <w:rPr>
          <w:rFonts w:ascii="仿宋" w:hAnsi="仿宋" w:eastAsia="仿宋" w:cs="仿宋_GB2312"/>
          <w:b/>
          <w:color w:val="auto"/>
          <w:sz w:val="24"/>
          <w:szCs w:val="24"/>
          <w:highlight w:val="none"/>
        </w:rPr>
      </w:pPr>
    </w:p>
    <w:p>
      <w:pPr>
        <w:pStyle w:val="10"/>
        <w:jc w:val="center"/>
        <w:rPr>
          <w:rFonts w:ascii="仿宋" w:hAnsi="仿宋" w:eastAsia="仿宋" w:cs="仿宋_GB2312"/>
          <w:b/>
          <w:color w:val="auto"/>
          <w:sz w:val="24"/>
          <w:szCs w:val="24"/>
          <w:highlight w:val="none"/>
        </w:rPr>
      </w:pPr>
    </w:p>
    <w:p>
      <w:pPr>
        <w:pStyle w:val="10"/>
        <w:tabs>
          <w:tab w:val="left" w:pos="1260"/>
        </w:tabs>
        <w:jc w:val="center"/>
        <w:rPr>
          <w:rFonts w:ascii="仿宋" w:hAnsi="仿宋" w:eastAsia="仿宋" w:cs="仿宋_GB2312"/>
          <w:b/>
          <w:color w:val="auto"/>
          <w:spacing w:val="100"/>
          <w:w w:val="110"/>
          <w:sz w:val="28"/>
          <w:szCs w:val="28"/>
          <w:highlight w:val="none"/>
        </w:rPr>
      </w:pPr>
      <w:r>
        <w:rPr>
          <w:rFonts w:hint="eastAsia" w:ascii="仿宋" w:hAnsi="仿宋" w:eastAsia="仿宋" w:cs="仿宋_GB2312"/>
          <w:b/>
          <w:color w:val="auto"/>
          <w:spacing w:val="100"/>
          <w:w w:val="110"/>
          <w:kern w:val="0"/>
          <w:sz w:val="28"/>
          <w:szCs w:val="28"/>
          <w:highlight w:val="none"/>
        </w:rPr>
        <w:t>询价响应文件</w:t>
      </w:r>
    </w:p>
    <w:p>
      <w:pPr>
        <w:pStyle w:val="10"/>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（正本</w:t>
      </w:r>
      <w:r>
        <w:rPr>
          <w:rFonts w:ascii="仿宋" w:hAnsi="仿宋" w:eastAsia="仿宋" w:cs="仿宋_GB2312"/>
          <w:b/>
          <w:color w:val="auto"/>
          <w:sz w:val="28"/>
          <w:szCs w:val="28"/>
          <w:highlight w:val="none"/>
        </w:rPr>
        <w:t>/副本）</w:t>
      </w:r>
    </w:p>
    <w:p>
      <w:pPr>
        <w:pStyle w:val="10"/>
        <w:jc w:val="center"/>
        <w:rPr>
          <w:rFonts w:ascii="仿宋" w:hAnsi="仿宋" w:eastAsia="仿宋" w:cs="仿宋_GB2312"/>
          <w:b/>
          <w:color w:val="auto"/>
          <w:highlight w:val="none"/>
        </w:rPr>
      </w:pPr>
    </w:p>
    <w:p>
      <w:pPr>
        <w:pStyle w:val="10"/>
        <w:jc w:val="center"/>
        <w:rPr>
          <w:rFonts w:ascii="仿宋" w:hAnsi="仿宋" w:eastAsia="仿宋" w:cs="仿宋_GB2312"/>
          <w:b/>
          <w:color w:val="auto"/>
          <w:highlight w:val="none"/>
        </w:rPr>
      </w:pPr>
    </w:p>
    <w:p>
      <w:pPr>
        <w:pStyle w:val="10"/>
        <w:jc w:val="center"/>
        <w:rPr>
          <w:rFonts w:ascii="仿宋" w:hAnsi="仿宋" w:eastAsia="仿宋" w:cs="仿宋_GB2312"/>
          <w:b/>
          <w:color w:val="auto"/>
          <w:highlight w:val="none"/>
        </w:rPr>
      </w:pPr>
    </w:p>
    <w:p>
      <w:pPr>
        <w:pStyle w:val="10"/>
        <w:jc w:val="center"/>
        <w:rPr>
          <w:rFonts w:ascii="仿宋" w:hAnsi="仿宋" w:eastAsia="仿宋" w:cs="仿宋_GB2312"/>
          <w:b/>
          <w:color w:val="auto"/>
          <w:highlight w:val="none"/>
        </w:rPr>
      </w:pPr>
    </w:p>
    <w:p>
      <w:pPr>
        <w:pStyle w:val="10"/>
        <w:jc w:val="center"/>
        <w:rPr>
          <w:rFonts w:ascii="仿宋" w:hAnsi="仿宋" w:eastAsia="仿宋" w:cs="仿宋_GB2312"/>
          <w:b/>
          <w:color w:val="auto"/>
          <w:highlight w:val="none"/>
        </w:rPr>
      </w:pPr>
    </w:p>
    <w:p>
      <w:pPr>
        <w:pStyle w:val="10"/>
        <w:jc w:val="center"/>
        <w:rPr>
          <w:rFonts w:ascii="仿宋" w:hAnsi="仿宋" w:eastAsia="仿宋" w:cs="仿宋_GB2312"/>
          <w:b/>
          <w:color w:val="auto"/>
          <w:sz w:val="28"/>
          <w:szCs w:val="28"/>
          <w:highlight w:val="none"/>
        </w:rPr>
      </w:pPr>
    </w:p>
    <w:p>
      <w:pPr>
        <w:pStyle w:val="10"/>
        <w:spacing w:line="360" w:lineRule="auto"/>
        <w:ind w:firstLine="980" w:firstLineChars="350"/>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项目编号（包、组号）：</w:t>
      </w:r>
    </w:p>
    <w:p>
      <w:pPr>
        <w:pStyle w:val="3"/>
        <w:spacing w:line="360" w:lineRule="auto"/>
        <w:ind w:firstLine="560" w:firstLineChars="200"/>
        <w:rPr>
          <w:rFonts w:hint="eastAsia" w:ascii="仿宋" w:hAnsi="仿宋" w:eastAsia="仿宋" w:cs="仿宋_GB2312"/>
          <w:color w:val="auto"/>
          <w:sz w:val="28"/>
          <w:szCs w:val="28"/>
          <w:highlight w:val="none"/>
          <w:u w:val="single"/>
          <w:lang w:eastAsia="zh-CN"/>
        </w:rPr>
      </w:pPr>
      <w:r>
        <w:rPr>
          <w:rFonts w:hint="eastAsia" w:ascii="仿宋" w:hAnsi="仿宋" w:eastAsia="仿宋" w:cs="仿宋_GB2312"/>
          <w:color w:val="auto"/>
          <w:sz w:val="28"/>
          <w:szCs w:val="28"/>
          <w:highlight w:val="none"/>
        </w:rPr>
        <w:t>项目名称：广州市净水有限公司</w:t>
      </w:r>
      <w:r>
        <w:rPr>
          <w:rFonts w:hint="eastAsia" w:ascii="仿宋" w:hAnsi="仿宋" w:eastAsia="仿宋" w:cs="仿宋_GB2312"/>
          <w:color w:val="auto"/>
          <w:sz w:val="28"/>
          <w:szCs w:val="28"/>
          <w:highlight w:val="none"/>
          <w:lang w:eastAsia="zh-CN"/>
        </w:rPr>
        <w:t>大沙地</w:t>
      </w:r>
      <w:r>
        <w:rPr>
          <w:rFonts w:hint="eastAsia" w:ascii="仿宋" w:hAnsi="仿宋" w:eastAsia="仿宋" w:cs="仿宋_GB2312"/>
          <w:color w:val="auto"/>
          <w:sz w:val="28"/>
          <w:szCs w:val="28"/>
          <w:highlight w:val="none"/>
        </w:rPr>
        <w:t>净水厂地块控制性详细规划阶段海绵城市（含防洪排涝风险评估）专篇编制</w:t>
      </w:r>
    </w:p>
    <w:p>
      <w:pPr>
        <w:pStyle w:val="10"/>
        <w:ind w:firstLine="632" w:firstLineChars="300"/>
        <w:rPr>
          <w:rFonts w:ascii="仿宋" w:hAnsi="仿宋" w:eastAsia="仿宋" w:cs="仿宋_GB2312"/>
          <w:b/>
          <w:color w:val="auto"/>
          <w:highlight w:val="none"/>
        </w:rPr>
      </w:pPr>
    </w:p>
    <w:p>
      <w:pPr>
        <w:pStyle w:val="10"/>
        <w:ind w:firstLine="632" w:firstLineChars="300"/>
        <w:rPr>
          <w:rFonts w:ascii="仿宋" w:hAnsi="仿宋" w:eastAsia="仿宋" w:cs="仿宋_GB2312"/>
          <w:b/>
          <w:color w:val="auto"/>
          <w:highlight w:val="none"/>
        </w:rPr>
      </w:pPr>
    </w:p>
    <w:p>
      <w:pPr>
        <w:pStyle w:val="10"/>
        <w:ind w:firstLine="632" w:firstLineChars="300"/>
        <w:rPr>
          <w:rFonts w:ascii="仿宋" w:hAnsi="仿宋" w:eastAsia="仿宋" w:cs="仿宋_GB2312"/>
          <w:b/>
          <w:color w:val="auto"/>
          <w:highlight w:val="none"/>
        </w:rPr>
      </w:pPr>
    </w:p>
    <w:p>
      <w:pPr>
        <w:pStyle w:val="10"/>
        <w:ind w:firstLine="632" w:firstLineChars="300"/>
        <w:rPr>
          <w:rFonts w:ascii="仿宋" w:hAnsi="仿宋" w:eastAsia="仿宋" w:cs="仿宋_GB2312"/>
          <w:b/>
          <w:color w:val="auto"/>
          <w:highlight w:val="none"/>
        </w:rPr>
      </w:pPr>
    </w:p>
    <w:p>
      <w:pPr>
        <w:pStyle w:val="10"/>
        <w:ind w:firstLine="632" w:firstLineChars="300"/>
        <w:rPr>
          <w:rFonts w:ascii="仿宋" w:hAnsi="仿宋" w:eastAsia="仿宋" w:cs="仿宋_GB2312"/>
          <w:b/>
          <w:color w:val="auto"/>
          <w:highlight w:val="none"/>
        </w:rPr>
      </w:pPr>
    </w:p>
    <w:p>
      <w:pPr>
        <w:pStyle w:val="10"/>
        <w:ind w:firstLine="632" w:firstLineChars="300"/>
        <w:rPr>
          <w:rFonts w:ascii="仿宋" w:hAnsi="仿宋" w:eastAsia="仿宋" w:cs="仿宋_GB2312"/>
          <w:b/>
          <w:color w:val="auto"/>
          <w:highlight w:val="none"/>
        </w:rPr>
      </w:pPr>
    </w:p>
    <w:p>
      <w:pPr>
        <w:pStyle w:val="10"/>
        <w:ind w:firstLine="632" w:firstLineChars="300"/>
        <w:rPr>
          <w:rFonts w:ascii="仿宋" w:hAnsi="仿宋" w:eastAsia="仿宋" w:cs="仿宋_GB2312"/>
          <w:b/>
          <w:color w:val="auto"/>
          <w:highlight w:val="none"/>
        </w:rPr>
      </w:pPr>
    </w:p>
    <w:p>
      <w:pPr>
        <w:pStyle w:val="10"/>
        <w:ind w:firstLine="632" w:firstLineChars="300"/>
        <w:rPr>
          <w:rFonts w:ascii="仿宋" w:hAnsi="仿宋" w:eastAsia="仿宋" w:cs="仿宋_GB2312"/>
          <w:b/>
          <w:color w:val="auto"/>
          <w:highlight w:val="none"/>
        </w:rPr>
      </w:pPr>
    </w:p>
    <w:p>
      <w:pPr>
        <w:pStyle w:val="10"/>
        <w:spacing w:line="360" w:lineRule="auto"/>
        <w:ind w:firstLine="3117" w:firstLineChars="1109"/>
        <w:rPr>
          <w:rFonts w:ascii="仿宋" w:hAnsi="仿宋" w:eastAsia="仿宋" w:cs="仿宋_GB2312"/>
          <w:b/>
          <w:color w:val="auto"/>
          <w:sz w:val="28"/>
          <w:szCs w:val="28"/>
          <w:highlight w:val="none"/>
          <w:u w:val="single"/>
        </w:rPr>
      </w:pPr>
      <w:r>
        <w:rPr>
          <w:rFonts w:hint="eastAsia" w:ascii="仿宋" w:hAnsi="仿宋" w:eastAsia="仿宋" w:cs="仿宋_GB2312"/>
          <w:b/>
          <w:color w:val="auto"/>
          <w:sz w:val="28"/>
          <w:szCs w:val="28"/>
          <w:highlight w:val="none"/>
        </w:rPr>
        <w:t>报价单位名称：</w:t>
      </w:r>
    </w:p>
    <w:p>
      <w:pPr>
        <w:autoSpaceDE w:val="0"/>
        <w:autoSpaceDN w:val="0"/>
        <w:spacing w:line="240" w:lineRule="atLeast"/>
        <w:ind w:firstLine="3117" w:firstLineChars="1109"/>
        <w:rPr>
          <w:rFonts w:ascii="仿宋" w:hAnsi="仿宋" w:eastAsia="仿宋" w:cs="仿宋_GB2312"/>
          <w:b/>
          <w:color w:val="auto"/>
          <w:sz w:val="28"/>
          <w:szCs w:val="28"/>
          <w:highlight w:val="none"/>
          <w:u w:val="single"/>
        </w:rPr>
      </w:pPr>
      <w:r>
        <w:rPr>
          <w:rFonts w:hint="eastAsia" w:ascii="仿宋" w:hAnsi="仿宋" w:eastAsia="仿宋" w:cs="仿宋_GB2312"/>
          <w:b/>
          <w:color w:val="auto"/>
          <w:sz w:val="28"/>
          <w:szCs w:val="28"/>
          <w:highlight w:val="none"/>
        </w:rPr>
        <w:t>日期：   年      月      日</w:t>
      </w:r>
    </w:p>
    <w:p>
      <w:pPr>
        <w:widowControl/>
        <w:jc w:val="left"/>
        <w:rPr>
          <w:rFonts w:ascii="宋体" w:hAnsi="宋体" w:cs="宋体"/>
          <w:bCs/>
          <w:color w:val="auto"/>
          <w:sz w:val="24"/>
          <w:highlight w:val="none"/>
        </w:rPr>
      </w:pPr>
      <w:r>
        <w:rPr>
          <w:rFonts w:ascii="宋体" w:hAnsi="宋体" w:cs="宋体"/>
          <w:bCs/>
          <w:color w:val="auto"/>
          <w:sz w:val="24"/>
          <w:highlight w:val="none"/>
        </w:rPr>
        <w:br w:type="page"/>
      </w:r>
    </w:p>
    <w:p>
      <w:pPr>
        <w:pStyle w:val="5"/>
        <w:jc w:val="left"/>
        <w:rPr>
          <w:color w:val="auto"/>
          <w:highlight w:val="none"/>
        </w:rPr>
      </w:pPr>
      <w:r>
        <w:rPr>
          <w:rFonts w:hint="eastAsia"/>
          <w:color w:val="auto"/>
          <w:highlight w:val="none"/>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w:t>
      </w:r>
      <w:r>
        <w:rPr>
          <w:rFonts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w:t>
      </w:r>
      <w:r>
        <w:rPr>
          <w:rFonts w:hint="eastAsia" w:ascii="仿宋" w:hAnsi="仿宋" w:eastAsia="仿宋" w:cs="仿宋_GB2312"/>
          <w:color w:val="auto"/>
          <w:sz w:val="28"/>
          <w:szCs w:val="28"/>
          <w:highlight w:val="none"/>
          <w:lang w:val="en-US" w:eastAsia="zh-CN"/>
        </w:rPr>
        <w:t>加</w:t>
      </w:r>
      <w:r>
        <w:rPr>
          <w:rFonts w:hint="eastAsia" w:ascii="仿宋" w:hAnsi="仿宋" w:eastAsia="仿宋" w:cs="仿宋_GB2312"/>
          <w:color w:val="auto"/>
          <w:sz w:val="28"/>
          <w:szCs w:val="28"/>
          <w:highlight w:val="none"/>
        </w:rPr>
        <w:t>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highlight w:val="none"/>
        </w:rPr>
        <w:t>身份证复印件</w:t>
      </w:r>
      <w:r>
        <w:rPr>
          <w:rFonts w:hint="eastAsia" w:ascii="宋体" w:hAnsi="宋体"/>
          <w:color w:val="auto"/>
          <w:sz w:val="24"/>
          <w:szCs w:val="24"/>
          <w:highlight w:val="none"/>
          <w:lang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加盖单位公章</w:t>
      </w:r>
      <w:r>
        <w:rPr>
          <w:rFonts w:hint="eastAsia" w:ascii="宋体" w:hAnsi="宋体"/>
          <w:color w:val="auto"/>
          <w:sz w:val="24"/>
          <w:szCs w:val="24"/>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default"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c>
          <w:tcPr>
            <w:tcW w:w="4814" w:type="dxa"/>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pStyle w:val="26"/>
              <w:rPr>
                <w:rFonts w:hint="eastAsia"/>
                <w:color w:val="auto"/>
                <w:highlight w:val="none"/>
              </w:rPr>
            </w:pPr>
          </w:p>
          <w:p>
            <w:pPr>
              <w:spacing w:line="360" w:lineRule="auto"/>
              <w:jc w:val="left"/>
              <w:rPr>
                <w:rFonts w:ascii="宋体" w:hAnsi="宋体"/>
                <w:color w:val="auto"/>
                <w:sz w:val="24"/>
                <w:szCs w:val="24"/>
                <w:highlight w:val="none"/>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_GB2312" w:hAnsi="仿宋_GB2312" w:eastAsia="仿宋_GB2312" w:cs="仿宋_GB2312"/>
          <w:color w:val="auto"/>
          <w:sz w:val="28"/>
          <w:szCs w:val="28"/>
          <w:highlight w:val="none"/>
        </w:rPr>
      </w:pPr>
    </w:p>
    <w:p>
      <w:pPr>
        <w:spacing w:line="480" w:lineRule="exact"/>
        <w:jc w:val="both"/>
        <w:rPr>
          <w:rFonts w:ascii="仿宋" w:hAnsi="仿宋" w:eastAsia="仿宋" w:cs="仿宋_GB2312"/>
          <w:b/>
          <w:color w:val="auto"/>
          <w:sz w:val="28"/>
          <w:szCs w:val="28"/>
          <w:highlight w:val="none"/>
        </w:rPr>
      </w:pPr>
      <w:r>
        <w:rPr>
          <w:rFonts w:ascii="仿宋_GB2312" w:hAnsi="仿宋_GB2312" w:eastAsia="仿宋_GB2312" w:cs="仿宋_GB2312"/>
          <w:b/>
          <w:color w:val="auto"/>
          <w:sz w:val="28"/>
          <w:szCs w:val="28"/>
          <w:highlight w:val="none"/>
        </w:rPr>
        <w:br w:type="page"/>
      </w:r>
      <w:r>
        <w:rPr>
          <w:rFonts w:hint="eastAsia" w:ascii="仿宋" w:hAnsi="仿宋" w:eastAsia="仿宋" w:cs="仿宋_GB2312"/>
          <w:b/>
          <w:color w:val="auto"/>
          <w:sz w:val="28"/>
          <w:szCs w:val="28"/>
          <w:highlight w:val="none"/>
        </w:rPr>
        <w:t>（</w:t>
      </w:r>
      <w:r>
        <w:rPr>
          <w:rFonts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2" w:firstLineChars="200"/>
        <w:rPr>
          <w:rFonts w:ascii="仿宋" w:hAnsi="仿宋" w:eastAsia="仿宋"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w:t>
      </w:r>
      <w:r>
        <w:rPr>
          <w:rFonts w:hint="eastAsia" w:ascii="仿宋" w:hAnsi="仿宋" w:eastAsia="仿宋" w:cs="仿宋_GB2312"/>
          <w:color w:val="auto"/>
          <w:sz w:val="28"/>
          <w:szCs w:val="28"/>
          <w:highlight w:val="none"/>
          <w:u w:val="single"/>
          <w:lang w:val="en-US" w:eastAsia="zh-CN"/>
        </w:rPr>
        <w:t>法人</w:t>
      </w:r>
      <w:r>
        <w:rPr>
          <w:rFonts w:hint="eastAsia" w:ascii="仿宋" w:hAnsi="仿宋" w:eastAsia="仿宋" w:cs="仿宋_GB2312"/>
          <w:color w:val="auto"/>
          <w:sz w:val="28"/>
          <w:szCs w:val="28"/>
          <w:highlight w:val="none"/>
          <w:u w:val="single"/>
        </w:rPr>
        <w:t>姓名）</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法人签字或盖私章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w:t>
      </w:r>
      <w:r>
        <w:rPr>
          <w:rFonts w:hint="eastAsia" w:ascii="仿宋" w:hAnsi="仿宋" w:eastAsia="仿宋" w:cs="仿宋_GB2312"/>
          <w:color w:val="auto"/>
          <w:sz w:val="28"/>
          <w:szCs w:val="28"/>
          <w:highlight w:val="none"/>
          <w:u w:val="single"/>
          <w:lang w:eastAsia="zh-CN"/>
        </w:rPr>
        <w:t>（盖</w:t>
      </w:r>
      <w:r>
        <w:rPr>
          <w:rFonts w:hint="eastAsia" w:ascii="仿宋" w:hAnsi="仿宋" w:eastAsia="仿宋" w:cs="仿宋_GB2312"/>
          <w:color w:val="auto"/>
          <w:sz w:val="28"/>
          <w:szCs w:val="28"/>
          <w:highlight w:val="none"/>
          <w:u w:val="single"/>
          <w:lang w:val="en-US" w:eastAsia="zh-CN"/>
        </w:rPr>
        <w:t>单位公章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附：签发日期：</w:t>
      </w:r>
      <w:r>
        <w:rPr>
          <w:rFonts w:hint="eastAsia" w:ascii="仿宋" w:hAnsi="仿宋" w:eastAsia="仿宋" w:cs="仿宋_GB2312"/>
          <w:color w:val="auto"/>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ascii="仿宋_GB2312" w:hAnsi="仿宋_GB2312" w:eastAsia="仿宋_GB2312" w:cs="仿宋_GB2312"/>
          <w:color w:val="auto"/>
          <w:sz w:val="28"/>
          <w:szCs w:val="28"/>
          <w:highlight w:val="none"/>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w:t>
      </w:r>
      <w:r>
        <w:rPr>
          <w:rFonts w:hint="eastAsia" w:ascii="仿宋" w:hAnsi="仿宋" w:eastAsia="仿宋" w:cs="仿宋_GB2312"/>
          <w:color w:val="auto"/>
          <w:sz w:val="28"/>
          <w:szCs w:val="28"/>
          <w:highlight w:val="none"/>
        </w:rPr>
        <w:t>：</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ascii="仿宋" w:hAnsi="仿宋" w:eastAsia="仿宋" w:cs="仿宋_GB2312"/>
          <w:color w:val="auto"/>
          <w:sz w:val="24"/>
          <w:szCs w:val="24"/>
          <w:highlight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spacing w:line="480" w:lineRule="exact"/>
        <w:ind w:firstLine="720" w:firstLineChars="30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color w:val="auto"/>
          <w:sz w:val="28"/>
          <w:szCs w:val="28"/>
          <w:highlight w:val="none"/>
        </w:rPr>
      </w:pPr>
      <w:r>
        <w:rPr>
          <w:rFonts w:hint="default" w:ascii="仿宋" w:hAnsi="仿宋" w:eastAsia="仿宋" w:cs="仿宋_GB2312"/>
          <w:b w:val="0"/>
          <w:color w:val="auto"/>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Theme="minorEastAsia"/>
          <w:color w:val="auto"/>
          <w:sz w:val="24"/>
          <w:szCs w:val="24"/>
          <w:highlight w:val="none"/>
          <w:lang w:eastAsia="zh-CN"/>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highlight w:val="none"/>
        </w:rPr>
        <w:t>身份证复印件：</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加盖单位公章</w:t>
      </w:r>
      <w:r>
        <w:rPr>
          <w:rFonts w:hint="eastAsia" w:ascii="宋体" w:hAnsi="宋体"/>
          <w:color w:val="auto"/>
          <w:sz w:val="24"/>
          <w:szCs w:val="24"/>
          <w:highlight w:val="none"/>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8" w:hRule="atLeast"/>
        </w:trPr>
        <w:tc>
          <w:tcPr>
            <w:tcW w:w="4814"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jc w:val="center"/>
        <w:rPr>
          <w:rFonts w:ascii="仿宋" w:hAnsi="仿宋" w:eastAsia="仿宋" w:cs="仿宋_GB2312"/>
          <w:color w:val="auto"/>
          <w:sz w:val="28"/>
          <w:szCs w:val="28"/>
          <w:highlight w:val="none"/>
        </w:rPr>
      </w:pPr>
    </w:p>
    <w:p>
      <w:pPr>
        <w:jc w:val="center"/>
        <w:rPr>
          <w:rFonts w:ascii="仿宋" w:hAnsi="仿宋" w:eastAsia="仿宋" w:cs="仿宋_GB2312"/>
          <w:color w:val="auto"/>
          <w:sz w:val="28"/>
          <w:szCs w:val="28"/>
          <w:highlight w:val="none"/>
        </w:rPr>
      </w:pPr>
    </w:p>
    <w:p>
      <w:pPr>
        <w:widowControl/>
        <w:jc w:val="left"/>
        <w:rPr>
          <w:rFonts w:ascii="仿宋_GB2312" w:hAnsi="仿宋_GB2312" w:eastAsia="仿宋_GB2312" w:cs="仿宋_GB2312"/>
          <w:color w:val="auto"/>
          <w:sz w:val="28"/>
          <w:szCs w:val="28"/>
          <w:highlight w:val="none"/>
          <w:u w:val="single"/>
        </w:rPr>
      </w:pPr>
    </w:p>
    <w:p>
      <w:pPr>
        <w:spacing w:line="300" w:lineRule="auto"/>
        <w:rPr>
          <w:rFonts w:ascii="仿宋_GB2312" w:hAnsi="仿宋_GB2312" w:eastAsia="仿宋_GB2312" w:cs="仿宋_GB2312"/>
          <w:b/>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widowControl/>
        <w:jc w:val="left"/>
        <w:rPr>
          <w:rFonts w:ascii="仿宋_GB2312" w:hAnsi="仿宋_GB2312" w:eastAsia="仿宋_GB2312" w:cs="仿宋_GB2312"/>
          <w:b/>
          <w:color w:val="auto"/>
          <w:sz w:val="28"/>
          <w:szCs w:val="28"/>
          <w:highlight w:val="none"/>
        </w:rPr>
      </w:pPr>
    </w:p>
    <w:p>
      <w:pPr>
        <w:pStyle w:val="5"/>
        <w:ind w:firstLine="562"/>
        <w:jc w:val="center"/>
        <w:rPr>
          <w:rFonts w:hint="eastAsia" w:ascii="仿宋_GB2312" w:hAnsi="仿宋_GB2312" w:cs="仿宋_GB2312"/>
          <w:bCs w:val="0"/>
          <w:color w:val="auto"/>
          <w:highlight w:val="none"/>
        </w:rPr>
      </w:pPr>
    </w:p>
    <w:p>
      <w:pPr>
        <w:pStyle w:val="5"/>
        <w:ind w:firstLine="562"/>
        <w:jc w:val="center"/>
        <w:rPr>
          <w:rFonts w:hint="eastAsia" w:ascii="仿宋" w:hAnsi="仿宋" w:eastAsia="仿宋" w:cs="仿宋"/>
          <w:b w:val="0"/>
          <w:bCs w:val="0"/>
          <w:color w:val="auto"/>
          <w:highlight w:val="none"/>
        </w:rPr>
      </w:pPr>
      <w:r>
        <w:rPr>
          <w:rFonts w:hint="eastAsia" w:ascii="仿宋" w:hAnsi="仿宋" w:eastAsia="仿宋" w:cs="仿宋"/>
          <w:bCs w:val="0"/>
          <w:color w:val="auto"/>
          <w:highlight w:val="none"/>
        </w:rPr>
        <w:t>2资格证明文件</w:t>
      </w:r>
    </w:p>
    <w:p>
      <w:pPr>
        <w:rPr>
          <w:rFonts w:hint="eastAsia" w:ascii="仿宋" w:hAnsi="仿宋" w:eastAsia="仿宋" w:cs="仿宋"/>
          <w:color w:val="auto"/>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关于资格的声明函</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致：（项目实施单位）</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 </w:t>
      </w:r>
    </w:p>
    <w:p>
      <w:pPr>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（相关证明文件附后）</w:t>
      </w:r>
    </w:p>
    <w:p>
      <w:pPr>
        <w:adjustRightInd w:val="0"/>
        <w:snapToGrid w:val="0"/>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pPr>
        <w:adjustRightInd w:val="0"/>
        <w:snapToGrid w:val="0"/>
        <w:spacing w:line="300" w:lineRule="auto"/>
        <w:ind w:firstLine="560" w:firstLineChars="200"/>
        <w:rPr>
          <w:rFonts w:hint="eastAsia" w:ascii="仿宋" w:hAnsi="仿宋" w:eastAsia="仿宋" w:cs="仿宋"/>
          <w:color w:val="auto"/>
          <w:sz w:val="28"/>
          <w:szCs w:val="28"/>
          <w:highlight w:val="none"/>
        </w:rPr>
      </w:pPr>
    </w:p>
    <w:p>
      <w:pPr>
        <w:adjustRightInd w:val="0"/>
        <w:snapToGrid w:val="0"/>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color w:val="auto"/>
          <w:sz w:val="28"/>
          <w:szCs w:val="28"/>
          <w:highlight w:val="none"/>
        </w:rPr>
      </w:pPr>
    </w:p>
    <w:p>
      <w:pPr>
        <w:adjustRightInd w:val="0"/>
        <w:snapToGrid w:val="0"/>
        <w:spacing w:line="300" w:lineRule="auto"/>
        <w:rPr>
          <w:rFonts w:hint="eastAsia" w:ascii="仿宋" w:hAnsi="仿宋" w:eastAsia="仿宋" w:cs="仿宋"/>
          <w:color w:val="auto"/>
          <w:sz w:val="28"/>
          <w:szCs w:val="28"/>
          <w:highlight w:val="none"/>
        </w:rPr>
      </w:pPr>
    </w:p>
    <w:p>
      <w:pPr>
        <w:adjustRightInd w:val="0"/>
        <w:snapToGrid w:val="0"/>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报价单位代表（签名或盖私章）：</w:t>
      </w:r>
    </w:p>
    <w:p>
      <w:pPr>
        <w:adjustRightInd w:val="0"/>
        <w:snapToGrid w:val="0"/>
        <w:spacing w:line="30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报价单位名称（盖单位公章）：</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469" w:bottom="1089" w:left="1077" w:header="851" w:footer="992" w:gutter="0"/>
          <w:cols w:space="720" w:num="1"/>
          <w:docGrid w:linePitch="312" w:charSpace="0"/>
        </w:sectPr>
      </w:pPr>
      <w:r>
        <w:rPr>
          <w:rFonts w:hint="eastAsia" w:ascii="仿宋" w:hAnsi="仿宋" w:eastAsia="仿宋" w:cs="仿宋"/>
          <w:color w:val="auto"/>
          <w:sz w:val="28"/>
          <w:szCs w:val="28"/>
          <w:highlight w:val="none"/>
        </w:rPr>
        <w:t>日期：年 月 日</w:t>
      </w:r>
    </w:p>
    <w:p>
      <w:pPr>
        <w:jc w:val="center"/>
        <w:rPr>
          <w:rFonts w:ascii="仿宋" w:hAnsi="仿宋" w:eastAsia="仿宋" w:cs="仿宋_GB2312"/>
          <w:b/>
          <w:color w:val="auto"/>
          <w:sz w:val="28"/>
          <w:szCs w:val="28"/>
          <w:highlight w:val="none"/>
        </w:rPr>
      </w:pPr>
      <w:r>
        <w:rPr>
          <w:rFonts w:ascii="仿宋" w:hAnsi="仿宋" w:eastAsia="仿宋" w:cs="仿宋_GB2312"/>
          <w:b/>
          <w:color w:val="auto"/>
          <w:sz w:val="28"/>
          <w:szCs w:val="28"/>
          <w:highlight w:val="none"/>
        </w:rPr>
        <w:t xml:space="preserve">3 </w:t>
      </w:r>
      <w:r>
        <w:rPr>
          <w:rFonts w:hint="eastAsia" w:ascii="仿宋" w:hAnsi="仿宋" w:eastAsia="仿宋" w:cs="仿宋_GB2312"/>
          <w:b/>
          <w:color w:val="auto"/>
          <w:sz w:val="28"/>
          <w:szCs w:val="28"/>
          <w:highlight w:val="none"/>
        </w:rPr>
        <w:t>报价意向承诺及声明函</w:t>
      </w:r>
    </w:p>
    <w:p>
      <w:pPr>
        <w:jc w:val="center"/>
        <w:rPr>
          <w:rFonts w:hint="eastAsia" w:ascii="仿宋" w:hAnsi="仿宋" w:eastAsia="仿宋" w:cs="仿宋"/>
          <w:b/>
          <w:color w:val="auto"/>
          <w:sz w:val="28"/>
          <w:szCs w:val="28"/>
          <w:highlight w:val="none"/>
        </w:rPr>
      </w:pPr>
    </w:p>
    <w:p>
      <w:pPr>
        <w:pStyle w:val="42"/>
        <w:adjustRightInd w:val="0"/>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（项目实施单位）</w:t>
      </w:r>
    </w:p>
    <w:p>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2.现我方承诺：</w:t>
      </w:r>
      <w:r>
        <w:rPr>
          <w:rFonts w:hint="eastAsia" w:ascii="仿宋" w:hAnsi="仿宋" w:eastAsia="仿宋" w:cs="仿宋"/>
          <w:color w:val="auto"/>
          <w:kern w:val="0"/>
          <w:sz w:val="24"/>
          <w:highlight w:val="none"/>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rPr>
        <w:t>我方完全理解询价文件中所有要求均为实质性响应条款，如有任何一条负偏离或者不满足将导致询价无效。由于我方提供资料不实或与需求书中所有条款不符而造成的责任和后果由我方承担。 我方保证将按照本项目询价文件要求完成本项目。</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5.如果我方获得承包资格，我方保证将</w:t>
      </w:r>
      <w:r>
        <w:rPr>
          <w:rFonts w:hint="eastAsia" w:ascii="仿宋" w:hAnsi="仿宋" w:eastAsia="仿宋" w:cs="仿宋"/>
          <w:color w:val="auto"/>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7.我方就参加本项目交易工作，作出以下郑重声明：</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⑴本公司保证报价资料及其后提供的一切材料都是真实的。</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⑵本公司保证在本项目交易中不给其他单位挂靠，不出让交易资格，不向询价人行贿。</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⑷本公司及其有隶属关系的机构没有参加本项目的前期工作编写工作。</w:t>
      </w:r>
    </w:p>
    <w:p>
      <w:pPr>
        <w:pStyle w:val="41"/>
        <w:ind w:firstLine="496"/>
        <w:rPr>
          <w:rFonts w:hint="eastAsia" w:ascii="仿宋" w:hAnsi="仿宋" w:eastAsia="仿宋" w:cs="仿宋"/>
          <w:color w:val="auto"/>
          <w:highlight w:val="none"/>
        </w:rPr>
      </w:pPr>
      <w:r>
        <w:rPr>
          <w:rFonts w:hint="eastAsia" w:ascii="仿宋" w:hAnsi="仿宋" w:eastAsia="仿宋" w:cs="仿宋"/>
          <w:color w:val="auto"/>
          <w:highlight w:val="none"/>
        </w:rPr>
        <w:t>本公司违反上述承诺，或本声明陈述与事实不符，经查实，本公司愿意接受公开通报，承担由此带来的法律后果。</w:t>
      </w:r>
    </w:p>
    <w:p>
      <w:pPr>
        <w:pStyle w:val="41"/>
        <w:ind w:firstLine="496"/>
        <w:rPr>
          <w:rFonts w:hint="eastAsia" w:ascii="仿宋" w:hAnsi="仿宋" w:eastAsia="仿宋" w:cs="仿宋"/>
          <w:color w:val="auto"/>
          <w:highlight w:val="none"/>
          <w:u w:val="single"/>
        </w:rPr>
      </w:pPr>
      <w:r>
        <w:rPr>
          <w:rFonts w:hint="eastAsia" w:ascii="仿宋" w:hAnsi="仿宋" w:eastAsia="仿宋" w:cs="仿宋"/>
          <w:color w:val="auto"/>
          <w:highlight w:val="none"/>
        </w:rPr>
        <w:t>承包意向人：(盖公章)</w:t>
      </w:r>
    </w:p>
    <w:p>
      <w:pPr>
        <w:pStyle w:val="41"/>
        <w:ind w:firstLine="496"/>
        <w:rPr>
          <w:rFonts w:hint="eastAsia" w:ascii="仿宋" w:hAnsi="仿宋" w:eastAsia="仿宋" w:cs="仿宋"/>
          <w:color w:val="auto"/>
          <w:highlight w:val="none"/>
        </w:rPr>
      </w:pPr>
      <w:r>
        <w:rPr>
          <w:rFonts w:hint="eastAsia" w:ascii="仿宋" w:hAnsi="仿宋" w:eastAsia="仿宋" w:cs="仿宋"/>
          <w:color w:val="auto"/>
          <w:highlight w:val="none"/>
        </w:rPr>
        <w:t>法定代表人（签名或盖</w:t>
      </w:r>
      <w:r>
        <w:rPr>
          <w:rFonts w:hint="eastAsia" w:ascii="仿宋" w:hAnsi="仿宋" w:eastAsia="仿宋" w:cs="仿宋"/>
          <w:color w:val="auto"/>
          <w:highlight w:val="none"/>
          <w:lang w:val="en-US" w:eastAsia="zh-CN"/>
        </w:rPr>
        <w:t>私</w:t>
      </w:r>
      <w:r>
        <w:rPr>
          <w:rFonts w:hint="eastAsia" w:ascii="仿宋" w:hAnsi="仿宋" w:eastAsia="仿宋" w:cs="仿宋"/>
          <w:color w:val="auto"/>
          <w:highlight w:val="none"/>
        </w:rPr>
        <w:t>章）：</w:t>
      </w:r>
    </w:p>
    <w:p>
      <w:pPr>
        <w:pStyle w:val="41"/>
        <w:ind w:firstLine="496"/>
        <w:rPr>
          <w:rFonts w:ascii="仿宋_GB2312" w:hAnsi="仿宋_GB2312" w:eastAsia="仿宋_GB2312" w:cs="仿宋_GB2312"/>
          <w:color w:val="auto"/>
          <w:highlight w:val="none"/>
        </w:rPr>
      </w:pPr>
      <w:r>
        <w:rPr>
          <w:rFonts w:hint="eastAsia" w:ascii="仿宋" w:hAnsi="仿宋" w:eastAsia="仿宋" w:cs="仿宋"/>
          <w:color w:val="auto"/>
          <w:highlight w:val="none"/>
        </w:rPr>
        <w:t>日    期：  年 月 日</w:t>
      </w:r>
      <w:r>
        <w:rPr>
          <w:rFonts w:hint="eastAsia" w:ascii="仿宋_GB2312" w:hAnsi="仿宋" w:eastAsia="仿宋_GB2312" w:cs="仿宋_GB2312"/>
          <w:color w:val="auto"/>
          <w:highlight w:val="none"/>
        </w:rPr>
        <w:t xml:space="preserve">  </w:t>
      </w:r>
    </w:p>
    <w:p>
      <w:pPr>
        <w:pStyle w:val="41"/>
        <w:ind w:firstLine="496"/>
        <w:rPr>
          <w:rFonts w:ascii="仿宋_GB2312" w:hAnsi="仿宋_GB2312" w:eastAsia="仿宋_GB2312" w:cs="仿宋_GB2312"/>
          <w:color w:val="auto"/>
          <w:highlight w:val="none"/>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auto"/>
          <w:sz w:val="28"/>
          <w:szCs w:val="28"/>
          <w:highlight w:val="none"/>
        </w:rPr>
      </w:pPr>
      <w:r>
        <w:rPr>
          <w:rFonts w:ascii="仿宋" w:hAnsi="仿宋" w:eastAsia="仿宋" w:cs="仿宋_GB2312"/>
          <w:b/>
          <w:color w:val="auto"/>
          <w:sz w:val="28"/>
          <w:szCs w:val="28"/>
          <w:highlight w:val="none"/>
        </w:rPr>
        <w:t xml:space="preserve">4 </w:t>
      </w:r>
      <w:r>
        <w:rPr>
          <w:rFonts w:hint="eastAsia" w:ascii="仿宋" w:hAnsi="仿宋" w:eastAsia="仿宋" w:cs="仿宋_GB2312"/>
          <w:b/>
          <w:color w:val="auto"/>
          <w:sz w:val="28"/>
          <w:szCs w:val="28"/>
          <w:highlight w:val="none"/>
        </w:rPr>
        <w:t>拟投入本项目的项目负责人情况表</w:t>
      </w:r>
    </w:p>
    <w:p>
      <w:pPr>
        <w:jc w:val="center"/>
        <w:rPr>
          <w:rFonts w:ascii="仿宋" w:hAnsi="仿宋" w:eastAsia="仿宋" w:cs="仿宋_GB2312"/>
          <w:b/>
          <w:color w:val="auto"/>
          <w:sz w:val="28"/>
          <w:szCs w:val="28"/>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661" w:type="dxa"/>
            <w:gridSpan w:val="2"/>
            <w:vAlign w:val="center"/>
          </w:tcPr>
          <w:p>
            <w:pPr>
              <w:jc w:val="center"/>
              <w:rPr>
                <w:rFonts w:ascii="仿宋" w:hAnsi="仿宋" w:eastAsia="仿宋" w:cs="仿宋_GB2312"/>
                <w:b/>
                <w:color w:val="auto"/>
                <w:sz w:val="28"/>
                <w:szCs w:val="28"/>
                <w:highlight w:val="none"/>
              </w:rPr>
            </w:pPr>
          </w:p>
        </w:tc>
        <w:tc>
          <w:tcPr>
            <w:tcW w:w="1661"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661" w:type="dxa"/>
            <w:gridSpan w:val="2"/>
            <w:vAlign w:val="center"/>
          </w:tcPr>
          <w:p>
            <w:pPr>
              <w:jc w:val="center"/>
              <w:rPr>
                <w:rFonts w:ascii="仿宋" w:hAnsi="仿宋" w:eastAsia="仿宋" w:cs="仿宋_GB2312"/>
                <w:b/>
                <w:color w:val="auto"/>
                <w:sz w:val="28"/>
                <w:szCs w:val="28"/>
                <w:highlight w:val="none"/>
              </w:rPr>
            </w:pPr>
          </w:p>
        </w:tc>
        <w:tc>
          <w:tcPr>
            <w:tcW w:w="1662"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662" w:type="dxa"/>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661" w:type="dxa"/>
            <w:gridSpan w:val="2"/>
            <w:vAlign w:val="center"/>
          </w:tcPr>
          <w:p>
            <w:pPr>
              <w:spacing w:line="360" w:lineRule="exact"/>
              <w:jc w:val="center"/>
              <w:rPr>
                <w:rFonts w:ascii="仿宋" w:hAnsi="仿宋" w:eastAsia="仿宋" w:cs="仿宋_GB2312"/>
                <w:b/>
                <w:color w:val="auto"/>
                <w:sz w:val="28"/>
                <w:szCs w:val="28"/>
                <w:highlight w:val="none"/>
              </w:rPr>
            </w:pPr>
          </w:p>
        </w:tc>
        <w:tc>
          <w:tcPr>
            <w:tcW w:w="1661"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661" w:type="dxa"/>
            <w:gridSpan w:val="2"/>
            <w:vAlign w:val="center"/>
          </w:tcPr>
          <w:p>
            <w:pPr>
              <w:spacing w:line="360" w:lineRule="exact"/>
              <w:jc w:val="center"/>
              <w:rPr>
                <w:rFonts w:ascii="仿宋" w:hAnsi="仿宋" w:eastAsia="仿宋" w:cs="仿宋_GB2312"/>
                <w:b/>
                <w:color w:val="auto"/>
                <w:sz w:val="28"/>
                <w:szCs w:val="28"/>
                <w:highlight w:val="none"/>
              </w:rPr>
            </w:pPr>
          </w:p>
        </w:tc>
        <w:tc>
          <w:tcPr>
            <w:tcW w:w="1662"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662"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661" w:type="dxa"/>
            <w:gridSpan w:val="2"/>
            <w:vAlign w:val="center"/>
          </w:tcPr>
          <w:p>
            <w:pPr>
              <w:spacing w:line="360" w:lineRule="exact"/>
              <w:jc w:val="center"/>
              <w:rPr>
                <w:rFonts w:ascii="仿宋" w:hAnsi="仿宋" w:eastAsia="仿宋" w:cs="仿宋_GB2312"/>
                <w:b/>
                <w:color w:val="auto"/>
                <w:sz w:val="28"/>
                <w:szCs w:val="28"/>
                <w:highlight w:val="none"/>
              </w:rPr>
            </w:pPr>
          </w:p>
        </w:tc>
        <w:tc>
          <w:tcPr>
            <w:tcW w:w="1661"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661" w:type="dxa"/>
            <w:gridSpan w:val="2"/>
            <w:vAlign w:val="center"/>
          </w:tcPr>
          <w:p>
            <w:pPr>
              <w:spacing w:line="360" w:lineRule="exact"/>
              <w:jc w:val="center"/>
              <w:rPr>
                <w:rFonts w:ascii="仿宋" w:hAnsi="仿宋" w:eastAsia="仿宋" w:cs="仿宋_GB2312"/>
                <w:b/>
                <w:color w:val="auto"/>
                <w:sz w:val="28"/>
                <w:szCs w:val="28"/>
                <w:highlight w:val="none"/>
              </w:rPr>
            </w:pPr>
          </w:p>
        </w:tc>
        <w:tc>
          <w:tcPr>
            <w:tcW w:w="1662"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662"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3322" w:type="dxa"/>
            <w:gridSpan w:val="4"/>
            <w:vAlign w:val="center"/>
          </w:tcPr>
          <w:p>
            <w:pPr>
              <w:spacing w:line="360" w:lineRule="exact"/>
              <w:jc w:val="center"/>
              <w:rPr>
                <w:rFonts w:ascii="仿宋" w:hAnsi="仿宋" w:eastAsia="仿宋" w:cs="仿宋_GB2312"/>
                <w:b/>
                <w:color w:val="auto"/>
                <w:sz w:val="28"/>
                <w:szCs w:val="28"/>
                <w:highlight w:val="none"/>
              </w:rPr>
            </w:pPr>
          </w:p>
        </w:tc>
        <w:tc>
          <w:tcPr>
            <w:tcW w:w="1662" w:type="dxa"/>
            <w:gridSpan w:val="2"/>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662" w:type="dxa"/>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3322" w:type="dxa"/>
            <w:gridSpan w:val="4"/>
            <w:vAlign w:val="center"/>
          </w:tcPr>
          <w:p>
            <w:pPr>
              <w:jc w:val="center"/>
              <w:rPr>
                <w:rFonts w:ascii="仿宋" w:hAnsi="仿宋" w:eastAsia="仿宋" w:cs="仿宋_GB2312"/>
                <w:b/>
                <w:color w:val="auto"/>
                <w:sz w:val="28"/>
                <w:szCs w:val="28"/>
                <w:highlight w:val="none"/>
              </w:rPr>
            </w:pPr>
          </w:p>
        </w:tc>
        <w:tc>
          <w:tcPr>
            <w:tcW w:w="1662"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662" w:type="dxa"/>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996" w:type="dxa"/>
            <w:gridSpan w:val="2"/>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6" w:type="dxa"/>
            <w:gridSpan w:val="2"/>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6" w:type="dxa"/>
            <w:gridSpan w:val="2"/>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3" w:type="dxa"/>
            <w:gridSpan w:val="2"/>
            <w:vAlign w:val="center"/>
          </w:tcPr>
          <w:p>
            <w:pPr>
              <w:jc w:val="center"/>
              <w:rPr>
                <w:rFonts w:ascii="仿宋" w:hAnsi="仿宋" w:eastAsia="仿宋" w:cs="仿宋_GB2312"/>
                <w:b/>
                <w:color w:val="auto"/>
                <w:sz w:val="28"/>
                <w:szCs w:val="28"/>
                <w:highlight w:val="none"/>
              </w:rPr>
            </w:pPr>
          </w:p>
        </w:tc>
        <w:tc>
          <w:tcPr>
            <w:tcW w:w="1996" w:type="dxa"/>
            <w:gridSpan w:val="2"/>
            <w:vAlign w:val="center"/>
          </w:tcPr>
          <w:p>
            <w:pPr>
              <w:jc w:val="center"/>
              <w:rPr>
                <w:rFonts w:ascii="仿宋" w:hAnsi="仿宋" w:eastAsia="仿宋" w:cs="仿宋_GB2312"/>
                <w:b/>
                <w:color w:val="auto"/>
                <w:sz w:val="28"/>
                <w:szCs w:val="28"/>
                <w:highlight w:val="none"/>
              </w:rPr>
            </w:pPr>
          </w:p>
        </w:tc>
      </w:tr>
    </w:tbl>
    <w:p>
      <w:pPr>
        <w:jc w:val="both"/>
        <w:rPr>
          <w:rFonts w:ascii="仿宋" w:hAnsi="仿宋" w:eastAsia="仿宋" w:cs="仿宋_GB2312"/>
          <w:b/>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p>
    <w:p>
      <w:pPr>
        <w:pStyle w:val="26"/>
        <w:jc w:val="both"/>
        <w:rPr>
          <w:rFonts w:hint="eastAsia" w:ascii="仿宋" w:hAnsi="仿宋" w:eastAsia="仿宋" w:cs="仿宋_GB2312"/>
          <w:b/>
          <w:bCs/>
          <w:color w:val="auto"/>
          <w:sz w:val="28"/>
          <w:szCs w:val="28"/>
          <w:highlight w:val="none"/>
        </w:rPr>
      </w:pPr>
      <w:r>
        <w:rPr>
          <w:rFonts w:hint="eastAsia" w:ascii="仿宋" w:hAnsi="仿宋" w:eastAsia="仿宋" w:cs="仿宋_GB2312"/>
          <w:color w:val="auto"/>
          <w:sz w:val="28"/>
          <w:szCs w:val="28"/>
          <w:highlight w:val="none"/>
        </w:rPr>
        <w:t>日期：</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年</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月</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日</w:t>
      </w:r>
    </w:p>
    <w:p>
      <w:pPr>
        <w:pStyle w:val="26"/>
        <w:jc w:val="center"/>
        <w:rPr>
          <w:rFonts w:hint="eastAsia" w:ascii="仿宋" w:hAnsi="仿宋" w:eastAsia="仿宋" w:cs="仿宋_GB2312"/>
          <w:b/>
          <w:bCs/>
          <w:color w:val="auto"/>
          <w:sz w:val="28"/>
          <w:szCs w:val="28"/>
          <w:highlight w:val="none"/>
        </w:rPr>
      </w:pPr>
    </w:p>
    <w:p>
      <w:pPr>
        <w:jc w:val="cente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widowControl/>
        <w:tabs>
          <w:tab w:val="left" w:pos="851"/>
        </w:tabs>
        <w:adjustRightInd w:val="0"/>
        <w:snapToGrid w:val="0"/>
        <w:spacing w:line="384" w:lineRule="auto"/>
        <w:jc w:val="left"/>
        <w:rPr>
          <w:rFonts w:ascii="仿宋" w:hAnsi="仿宋" w:eastAsia="仿宋" w:cs="仿宋_GB2312"/>
          <w:b/>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revisionView w:markup="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17E3B"/>
    <w:rsid w:val="00026748"/>
    <w:rsid w:val="0002731E"/>
    <w:rsid w:val="00042526"/>
    <w:rsid w:val="00044267"/>
    <w:rsid w:val="00045679"/>
    <w:rsid w:val="000644E6"/>
    <w:rsid w:val="000657B9"/>
    <w:rsid w:val="00067A1B"/>
    <w:rsid w:val="0008071C"/>
    <w:rsid w:val="000A46D5"/>
    <w:rsid w:val="000A513D"/>
    <w:rsid w:val="000B2E59"/>
    <w:rsid w:val="000B5150"/>
    <w:rsid w:val="000B56D5"/>
    <w:rsid w:val="000B6E2A"/>
    <w:rsid w:val="000C269F"/>
    <w:rsid w:val="000E45BC"/>
    <w:rsid w:val="000F0E33"/>
    <w:rsid w:val="00112127"/>
    <w:rsid w:val="00113A79"/>
    <w:rsid w:val="001166BB"/>
    <w:rsid w:val="001467CA"/>
    <w:rsid w:val="0015464B"/>
    <w:rsid w:val="00163A61"/>
    <w:rsid w:val="00190153"/>
    <w:rsid w:val="00194425"/>
    <w:rsid w:val="00196351"/>
    <w:rsid w:val="001B229F"/>
    <w:rsid w:val="001C2A08"/>
    <w:rsid w:val="001C2A41"/>
    <w:rsid w:val="001F46A9"/>
    <w:rsid w:val="001F4B7D"/>
    <w:rsid w:val="001F5CC8"/>
    <w:rsid w:val="00203513"/>
    <w:rsid w:val="00204AB7"/>
    <w:rsid w:val="002144D7"/>
    <w:rsid w:val="00235700"/>
    <w:rsid w:val="00243240"/>
    <w:rsid w:val="00246613"/>
    <w:rsid w:val="00250256"/>
    <w:rsid w:val="002A21F8"/>
    <w:rsid w:val="002E23B2"/>
    <w:rsid w:val="002E2EA5"/>
    <w:rsid w:val="002F588A"/>
    <w:rsid w:val="00320FA9"/>
    <w:rsid w:val="00335D77"/>
    <w:rsid w:val="00352134"/>
    <w:rsid w:val="00356EFB"/>
    <w:rsid w:val="0035701B"/>
    <w:rsid w:val="00383CF0"/>
    <w:rsid w:val="003A0C70"/>
    <w:rsid w:val="003A30A6"/>
    <w:rsid w:val="003A6177"/>
    <w:rsid w:val="003C43FE"/>
    <w:rsid w:val="003D205C"/>
    <w:rsid w:val="003D3EB3"/>
    <w:rsid w:val="003D6308"/>
    <w:rsid w:val="003D66E3"/>
    <w:rsid w:val="003E1CBF"/>
    <w:rsid w:val="003E3A96"/>
    <w:rsid w:val="003F7185"/>
    <w:rsid w:val="00400CFA"/>
    <w:rsid w:val="00413436"/>
    <w:rsid w:val="00414334"/>
    <w:rsid w:val="004273C1"/>
    <w:rsid w:val="0046764A"/>
    <w:rsid w:val="00477301"/>
    <w:rsid w:val="00481194"/>
    <w:rsid w:val="004814F2"/>
    <w:rsid w:val="0048211B"/>
    <w:rsid w:val="00491F67"/>
    <w:rsid w:val="004B707F"/>
    <w:rsid w:val="004C5DB3"/>
    <w:rsid w:val="004E1354"/>
    <w:rsid w:val="004F3212"/>
    <w:rsid w:val="0050227A"/>
    <w:rsid w:val="00504917"/>
    <w:rsid w:val="00523FFA"/>
    <w:rsid w:val="00525D06"/>
    <w:rsid w:val="00527A1E"/>
    <w:rsid w:val="00532787"/>
    <w:rsid w:val="005328FE"/>
    <w:rsid w:val="00536854"/>
    <w:rsid w:val="00570096"/>
    <w:rsid w:val="00570D85"/>
    <w:rsid w:val="005840C1"/>
    <w:rsid w:val="0058445E"/>
    <w:rsid w:val="00592032"/>
    <w:rsid w:val="005A4EA8"/>
    <w:rsid w:val="005A6632"/>
    <w:rsid w:val="005F336B"/>
    <w:rsid w:val="006077E7"/>
    <w:rsid w:val="00613B10"/>
    <w:rsid w:val="00653163"/>
    <w:rsid w:val="00666D6D"/>
    <w:rsid w:val="0067290B"/>
    <w:rsid w:val="006840DB"/>
    <w:rsid w:val="0069107D"/>
    <w:rsid w:val="006C581B"/>
    <w:rsid w:val="006D78B3"/>
    <w:rsid w:val="006E0C83"/>
    <w:rsid w:val="006E59CC"/>
    <w:rsid w:val="00703691"/>
    <w:rsid w:val="00724C42"/>
    <w:rsid w:val="007263F2"/>
    <w:rsid w:val="007331F2"/>
    <w:rsid w:val="00747A49"/>
    <w:rsid w:val="007550D7"/>
    <w:rsid w:val="00786097"/>
    <w:rsid w:val="007957B4"/>
    <w:rsid w:val="0079655F"/>
    <w:rsid w:val="007A3FFF"/>
    <w:rsid w:val="007A6F35"/>
    <w:rsid w:val="007B6895"/>
    <w:rsid w:val="007C7208"/>
    <w:rsid w:val="007D172A"/>
    <w:rsid w:val="007F6D48"/>
    <w:rsid w:val="007F7F8F"/>
    <w:rsid w:val="008077D6"/>
    <w:rsid w:val="00817C82"/>
    <w:rsid w:val="008328A8"/>
    <w:rsid w:val="0083305F"/>
    <w:rsid w:val="00833F4E"/>
    <w:rsid w:val="00834211"/>
    <w:rsid w:val="008410FC"/>
    <w:rsid w:val="00850945"/>
    <w:rsid w:val="00854ED4"/>
    <w:rsid w:val="00862C6C"/>
    <w:rsid w:val="0086709D"/>
    <w:rsid w:val="00876F4F"/>
    <w:rsid w:val="008A3A31"/>
    <w:rsid w:val="008B03F8"/>
    <w:rsid w:val="008B0FD9"/>
    <w:rsid w:val="008E4F0E"/>
    <w:rsid w:val="00933EEF"/>
    <w:rsid w:val="00940686"/>
    <w:rsid w:val="00950382"/>
    <w:rsid w:val="009513CD"/>
    <w:rsid w:val="0095329C"/>
    <w:rsid w:val="00974494"/>
    <w:rsid w:val="0098076A"/>
    <w:rsid w:val="009B1F7B"/>
    <w:rsid w:val="009C7F95"/>
    <w:rsid w:val="00A042A5"/>
    <w:rsid w:val="00A07297"/>
    <w:rsid w:val="00A10754"/>
    <w:rsid w:val="00A10F87"/>
    <w:rsid w:val="00A26B96"/>
    <w:rsid w:val="00A3022D"/>
    <w:rsid w:val="00A37654"/>
    <w:rsid w:val="00A470EB"/>
    <w:rsid w:val="00A55510"/>
    <w:rsid w:val="00A66265"/>
    <w:rsid w:val="00A9730C"/>
    <w:rsid w:val="00AC68CE"/>
    <w:rsid w:val="00AC7CE3"/>
    <w:rsid w:val="00AD5870"/>
    <w:rsid w:val="00AE2741"/>
    <w:rsid w:val="00AF5C08"/>
    <w:rsid w:val="00B057D6"/>
    <w:rsid w:val="00B322B9"/>
    <w:rsid w:val="00B76342"/>
    <w:rsid w:val="00B842DF"/>
    <w:rsid w:val="00B908B9"/>
    <w:rsid w:val="00B936D7"/>
    <w:rsid w:val="00BA63CA"/>
    <w:rsid w:val="00BC5308"/>
    <w:rsid w:val="00BC63F4"/>
    <w:rsid w:val="00BD0A61"/>
    <w:rsid w:val="00BD2540"/>
    <w:rsid w:val="00BD6CB0"/>
    <w:rsid w:val="00BF29CD"/>
    <w:rsid w:val="00BF79FA"/>
    <w:rsid w:val="00C00DEE"/>
    <w:rsid w:val="00C2525F"/>
    <w:rsid w:val="00C351CD"/>
    <w:rsid w:val="00C40D7A"/>
    <w:rsid w:val="00C669FA"/>
    <w:rsid w:val="00C67000"/>
    <w:rsid w:val="00C95977"/>
    <w:rsid w:val="00CA316B"/>
    <w:rsid w:val="00CA61FE"/>
    <w:rsid w:val="00CC428A"/>
    <w:rsid w:val="00CC688F"/>
    <w:rsid w:val="00CF6BB9"/>
    <w:rsid w:val="00D0201F"/>
    <w:rsid w:val="00D141CE"/>
    <w:rsid w:val="00D23D4A"/>
    <w:rsid w:val="00D30450"/>
    <w:rsid w:val="00D32BCA"/>
    <w:rsid w:val="00D57EC1"/>
    <w:rsid w:val="00D61CC7"/>
    <w:rsid w:val="00D61E8F"/>
    <w:rsid w:val="00D64BDD"/>
    <w:rsid w:val="00D70B32"/>
    <w:rsid w:val="00DB0C60"/>
    <w:rsid w:val="00DC06EB"/>
    <w:rsid w:val="00E135A3"/>
    <w:rsid w:val="00ED2CAD"/>
    <w:rsid w:val="00EE09EB"/>
    <w:rsid w:val="00EE5DF6"/>
    <w:rsid w:val="00F056F1"/>
    <w:rsid w:val="00F222B0"/>
    <w:rsid w:val="00F35C04"/>
    <w:rsid w:val="00F44C25"/>
    <w:rsid w:val="00F81A4F"/>
    <w:rsid w:val="00FC38AC"/>
    <w:rsid w:val="00FC4531"/>
    <w:rsid w:val="00FD2A30"/>
    <w:rsid w:val="00FD67EF"/>
    <w:rsid w:val="011F03E0"/>
    <w:rsid w:val="01213C08"/>
    <w:rsid w:val="013A1DAA"/>
    <w:rsid w:val="01825CB1"/>
    <w:rsid w:val="0215573E"/>
    <w:rsid w:val="024822B0"/>
    <w:rsid w:val="027951E6"/>
    <w:rsid w:val="02C45024"/>
    <w:rsid w:val="02CB58CB"/>
    <w:rsid w:val="03087985"/>
    <w:rsid w:val="03475D9E"/>
    <w:rsid w:val="035D56B7"/>
    <w:rsid w:val="03832948"/>
    <w:rsid w:val="03D06DBA"/>
    <w:rsid w:val="04965E27"/>
    <w:rsid w:val="055C1B6B"/>
    <w:rsid w:val="05F767B7"/>
    <w:rsid w:val="06DB216C"/>
    <w:rsid w:val="070D21A9"/>
    <w:rsid w:val="0738668D"/>
    <w:rsid w:val="074005C3"/>
    <w:rsid w:val="07945DCD"/>
    <w:rsid w:val="07966214"/>
    <w:rsid w:val="079E1868"/>
    <w:rsid w:val="07BF48E5"/>
    <w:rsid w:val="08251C73"/>
    <w:rsid w:val="08AF64BB"/>
    <w:rsid w:val="08DD6F50"/>
    <w:rsid w:val="09B97D1D"/>
    <w:rsid w:val="09F0321F"/>
    <w:rsid w:val="0A2E1592"/>
    <w:rsid w:val="0A4A2DA1"/>
    <w:rsid w:val="0A810BB7"/>
    <w:rsid w:val="0A851038"/>
    <w:rsid w:val="0BEE4AD8"/>
    <w:rsid w:val="0BF7794B"/>
    <w:rsid w:val="0C056B63"/>
    <w:rsid w:val="0C165C1F"/>
    <w:rsid w:val="0CA010C8"/>
    <w:rsid w:val="0CD71487"/>
    <w:rsid w:val="0D4A2254"/>
    <w:rsid w:val="0D917F28"/>
    <w:rsid w:val="0DD442A4"/>
    <w:rsid w:val="0E0F34CE"/>
    <w:rsid w:val="0E105F13"/>
    <w:rsid w:val="0E8B1A39"/>
    <w:rsid w:val="0EE50C24"/>
    <w:rsid w:val="0F157AE7"/>
    <w:rsid w:val="0F390B28"/>
    <w:rsid w:val="0F437716"/>
    <w:rsid w:val="0F5027BF"/>
    <w:rsid w:val="0F595CE1"/>
    <w:rsid w:val="0F5D2C98"/>
    <w:rsid w:val="0FB15B6E"/>
    <w:rsid w:val="0FE9290F"/>
    <w:rsid w:val="100551E5"/>
    <w:rsid w:val="101B6A2A"/>
    <w:rsid w:val="103743C6"/>
    <w:rsid w:val="10930A51"/>
    <w:rsid w:val="10A21193"/>
    <w:rsid w:val="10B43B38"/>
    <w:rsid w:val="10CC2CED"/>
    <w:rsid w:val="10E16FE9"/>
    <w:rsid w:val="117C356D"/>
    <w:rsid w:val="117D701A"/>
    <w:rsid w:val="118C396D"/>
    <w:rsid w:val="11C1373F"/>
    <w:rsid w:val="11DD09DC"/>
    <w:rsid w:val="120339C7"/>
    <w:rsid w:val="122261D1"/>
    <w:rsid w:val="136214B4"/>
    <w:rsid w:val="166677CD"/>
    <w:rsid w:val="166B72D3"/>
    <w:rsid w:val="16774A77"/>
    <w:rsid w:val="16AD7949"/>
    <w:rsid w:val="16CB57E7"/>
    <w:rsid w:val="16CE05E6"/>
    <w:rsid w:val="16EE30E7"/>
    <w:rsid w:val="171B257B"/>
    <w:rsid w:val="17374AFE"/>
    <w:rsid w:val="175975CB"/>
    <w:rsid w:val="17614C76"/>
    <w:rsid w:val="18341647"/>
    <w:rsid w:val="18576EA5"/>
    <w:rsid w:val="185E6891"/>
    <w:rsid w:val="18832F1A"/>
    <w:rsid w:val="192D3736"/>
    <w:rsid w:val="195E787B"/>
    <w:rsid w:val="198533A4"/>
    <w:rsid w:val="19EE3322"/>
    <w:rsid w:val="1A3C59EA"/>
    <w:rsid w:val="1A5A050B"/>
    <w:rsid w:val="1B43354C"/>
    <w:rsid w:val="1B6C3A06"/>
    <w:rsid w:val="1BC51A48"/>
    <w:rsid w:val="1BE72C9D"/>
    <w:rsid w:val="1C440C1D"/>
    <w:rsid w:val="1CC63289"/>
    <w:rsid w:val="1D8D6C0F"/>
    <w:rsid w:val="1DAB05FA"/>
    <w:rsid w:val="1DDA48B4"/>
    <w:rsid w:val="1DDD2F7D"/>
    <w:rsid w:val="1DE87568"/>
    <w:rsid w:val="1DFA5B50"/>
    <w:rsid w:val="1DFD3E11"/>
    <w:rsid w:val="1E172573"/>
    <w:rsid w:val="1E662C28"/>
    <w:rsid w:val="1E75317E"/>
    <w:rsid w:val="1E8651E3"/>
    <w:rsid w:val="1EED6483"/>
    <w:rsid w:val="1F093DAE"/>
    <w:rsid w:val="1F2F4F22"/>
    <w:rsid w:val="1F626CBE"/>
    <w:rsid w:val="1FCB7AAE"/>
    <w:rsid w:val="1FDA5354"/>
    <w:rsid w:val="201607F8"/>
    <w:rsid w:val="201C0EBB"/>
    <w:rsid w:val="2094043D"/>
    <w:rsid w:val="209A5630"/>
    <w:rsid w:val="20E1358A"/>
    <w:rsid w:val="21197576"/>
    <w:rsid w:val="214B6BF0"/>
    <w:rsid w:val="21734A3E"/>
    <w:rsid w:val="21EB2C83"/>
    <w:rsid w:val="221F635B"/>
    <w:rsid w:val="229B7230"/>
    <w:rsid w:val="22B424EA"/>
    <w:rsid w:val="23285357"/>
    <w:rsid w:val="2344568D"/>
    <w:rsid w:val="235C0419"/>
    <w:rsid w:val="23CB38A6"/>
    <w:rsid w:val="23E76396"/>
    <w:rsid w:val="2411337A"/>
    <w:rsid w:val="24254283"/>
    <w:rsid w:val="24412768"/>
    <w:rsid w:val="24844CE0"/>
    <w:rsid w:val="24AF79E0"/>
    <w:rsid w:val="24C66CE7"/>
    <w:rsid w:val="24E6604E"/>
    <w:rsid w:val="251A021B"/>
    <w:rsid w:val="25351C96"/>
    <w:rsid w:val="25C507A2"/>
    <w:rsid w:val="26F56AC0"/>
    <w:rsid w:val="27B26870"/>
    <w:rsid w:val="27C55289"/>
    <w:rsid w:val="27D50AB7"/>
    <w:rsid w:val="27EF76F4"/>
    <w:rsid w:val="281F7A50"/>
    <w:rsid w:val="28651E57"/>
    <w:rsid w:val="28B67AA9"/>
    <w:rsid w:val="28F033EC"/>
    <w:rsid w:val="291E1603"/>
    <w:rsid w:val="29221318"/>
    <w:rsid w:val="298F6B3E"/>
    <w:rsid w:val="29A441D3"/>
    <w:rsid w:val="29B26E64"/>
    <w:rsid w:val="29E47B0A"/>
    <w:rsid w:val="2A940D1D"/>
    <w:rsid w:val="2AFA2A43"/>
    <w:rsid w:val="2B8F2CA4"/>
    <w:rsid w:val="2BF2732D"/>
    <w:rsid w:val="2BF53AAA"/>
    <w:rsid w:val="2C0F5B60"/>
    <w:rsid w:val="2C2E6EB5"/>
    <w:rsid w:val="2CD61190"/>
    <w:rsid w:val="2D19638F"/>
    <w:rsid w:val="2DAB1D7F"/>
    <w:rsid w:val="2DF2210B"/>
    <w:rsid w:val="2DF2482E"/>
    <w:rsid w:val="2E234B22"/>
    <w:rsid w:val="2E9A7907"/>
    <w:rsid w:val="2EBA18AD"/>
    <w:rsid w:val="2F0B2C00"/>
    <w:rsid w:val="2F4247C6"/>
    <w:rsid w:val="2FC067FF"/>
    <w:rsid w:val="2FCA12C3"/>
    <w:rsid w:val="2FCD45E5"/>
    <w:rsid w:val="31343EAE"/>
    <w:rsid w:val="31533AE9"/>
    <w:rsid w:val="31D806F6"/>
    <w:rsid w:val="31FE415B"/>
    <w:rsid w:val="32207E65"/>
    <w:rsid w:val="32D03ED3"/>
    <w:rsid w:val="33804F89"/>
    <w:rsid w:val="338D3FB9"/>
    <w:rsid w:val="33B204B9"/>
    <w:rsid w:val="3427114C"/>
    <w:rsid w:val="349E71E6"/>
    <w:rsid w:val="34E92F2E"/>
    <w:rsid w:val="35233527"/>
    <w:rsid w:val="357836E7"/>
    <w:rsid w:val="358B4E40"/>
    <w:rsid w:val="35971342"/>
    <w:rsid w:val="35C75BE6"/>
    <w:rsid w:val="35F97C29"/>
    <w:rsid w:val="368842E7"/>
    <w:rsid w:val="368D244D"/>
    <w:rsid w:val="377E7997"/>
    <w:rsid w:val="378654B5"/>
    <w:rsid w:val="37942F37"/>
    <w:rsid w:val="37CE07EF"/>
    <w:rsid w:val="381E2730"/>
    <w:rsid w:val="38541BE2"/>
    <w:rsid w:val="38F70FAB"/>
    <w:rsid w:val="38FA72D3"/>
    <w:rsid w:val="394D21E7"/>
    <w:rsid w:val="395A5702"/>
    <w:rsid w:val="39C851DB"/>
    <w:rsid w:val="3A042CB3"/>
    <w:rsid w:val="3AB900A5"/>
    <w:rsid w:val="3B5E7FDD"/>
    <w:rsid w:val="3B6B6DD0"/>
    <w:rsid w:val="3BA305CB"/>
    <w:rsid w:val="3BD46811"/>
    <w:rsid w:val="3C370838"/>
    <w:rsid w:val="3C595F7D"/>
    <w:rsid w:val="3C7C7217"/>
    <w:rsid w:val="3CE74F29"/>
    <w:rsid w:val="3D1F511B"/>
    <w:rsid w:val="3D5B310B"/>
    <w:rsid w:val="3E095BCA"/>
    <w:rsid w:val="3E0F351A"/>
    <w:rsid w:val="3EA65850"/>
    <w:rsid w:val="3EC8123A"/>
    <w:rsid w:val="3EEB1ACE"/>
    <w:rsid w:val="3F055128"/>
    <w:rsid w:val="3F466C6C"/>
    <w:rsid w:val="3F54054D"/>
    <w:rsid w:val="3F7A5E74"/>
    <w:rsid w:val="3FBB7391"/>
    <w:rsid w:val="401310ED"/>
    <w:rsid w:val="40722471"/>
    <w:rsid w:val="4131300C"/>
    <w:rsid w:val="41AC5A97"/>
    <w:rsid w:val="41D14A55"/>
    <w:rsid w:val="41DF27B1"/>
    <w:rsid w:val="42093E84"/>
    <w:rsid w:val="42BF01C5"/>
    <w:rsid w:val="42C17449"/>
    <w:rsid w:val="4310494B"/>
    <w:rsid w:val="43415061"/>
    <w:rsid w:val="43A4461F"/>
    <w:rsid w:val="43BE13BF"/>
    <w:rsid w:val="441066A3"/>
    <w:rsid w:val="441A32F1"/>
    <w:rsid w:val="44600DBD"/>
    <w:rsid w:val="44FD12C2"/>
    <w:rsid w:val="454618D9"/>
    <w:rsid w:val="45D04201"/>
    <w:rsid w:val="45D12721"/>
    <w:rsid w:val="4611043A"/>
    <w:rsid w:val="46194FAB"/>
    <w:rsid w:val="461C0EF1"/>
    <w:rsid w:val="464B1280"/>
    <w:rsid w:val="4661697B"/>
    <w:rsid w:val="46B34996"/>
    <w:rsid w:val="46E866BE"/>
    <w:rsid w:val="475A2186"/>
    <w:rsid w:val="477F4975"/>
    <w:rsid w:val="478B465D"/>
    <w:rsid w:val="47977170"/>
    <w:rsid w:val="47C65815"/>
    <w:rsid w:val="47F3277A"/>
    <w:rsid w:val="480139C4"/>
    <w:rsid w:val="481F5DE7"/>
    <w:rsid w:val="48D75621"/>
    <w:rsid w:val="48DB21ED"/>
    <w:rsid w:val="49F60C37"/>
    <w:rsid w:val="4A2851B5"/>
    <w:rsid w:val="4A2F4E2F"/>
    <w:rsid w:val="4A492564"/>
    <w:rsid w:val="4AD262D7"/>
    <w:rsid w:val="4AD9788D"/>
    <w:rsid w:val="4BC82AC7"/>
    <w:rsid w:val="4C043AFD"/>
    <w:rsid w:val="4C1E7E8C"/>
    <w:rsid w:val="4C310D10"/>
    <w:rsid w:val="4CE82F0D"/>
    <w:rsid w:val="4D1F07CC"/>
    <w:rsid w:val="4D284C9B"/>
    <w:rsid w:val="4D3840BE"/>
    <w:rsid w:val="4D551989"/>
    <w:rsid w:val="4D8305D8"/>
    <w:rsid w:val="4DF46039"/>
    <w:rsid w:val="4E162F94"/>
    <w:rsid w:val="4E35139B"/>
    <w:rsid w:val="4E7118D8"/>
    <w:rsid w:val="4E725989"/>
    <w:rsid w:val="4E762343"/>
    <w:rsid w:val="4F2F4D0F"/>
    <w:rsid w:val="4FCB1D63"/>
    <w:rsid w:val="500D4543"/>
    <w:rsid w:val="502B2642"/>
    <w:rsid w:val="502E55DD"/>
    <w:rsid w:val="50BE176E"/>
    <w:rsid w:val="512939C7"/>
    <w:rsid w:val="513E3034"/>
    <w:rsid w:val="515220C2"/>
    <w:rsid w:val="515A6194"/>
    <w:rsid w:val="51722D1F"/>
    <w:rsid w:val="5172393A"/>
    <w:rsid w:val="51734708"/>
    <w:rsid w:val="51A926EA"/>
    <w:rsid w:val="51B65006"/>
    <w:rsid w:val="51F43B78"/>
    <w:rsid w:val="52090955"/>
    <w:rsid w:val="5210640D"/>
    <w:rsid w:val="52160B7C"/>
    <w:rsid w:val="52253E41"/>
    <w:rsid w:val="522971FC"/>
    <w:rsid w:val="523A3295"/>
    <w:rsid w:val="52755A5B"/>
    <w:rsid w:val="52A50864"/>
    <w:rsid w:val="52E37125"/>
    <w:rsid w:val="52FC3E3A"/>
    <w:rsid w:val="5375002C"/>
    <w:rsid w:val="537F7BFD"/>
    <w:rsid w:val="54256235"/>
    <w:rsid w:val="5428437A"/>
    <w:rsid w:val="54606D16"/>
    <w:rsid w:val="5489728D"/>
    <w:rsid w:val="54B057B0"/>
    <w:rsid w:val="54B91869"/>
    <w:rsid w:val="54BF3C9C"/>
    <w:rsid w:val="54FB7AE0"/>
    <w:rsid w:val="55461FCB"/>
    <w:rsid w:val="55921860"/>
    <w:rsid w:val="562E6E42"/>
    <w:rsid w:val="56447F87"/>
    <w:rsid w:val="567A2FF2"/>
    <w:rsid w:val="568508B6"/>
    <w:rsid w:val="56A0149E"/>
    <w:rsid w:val="56E25835"/>
    <w:rsid w:val="57435AA6"/>
    <w:rsid w:val="57E2260A"/>
    <w:rsid w:val="57FC0614"/>
    <w:rsid w:val="582E1436"/>
    <w:rsid w:val="584222D3"/>
    <w:rsid w:val="58C8034C"/>
    <w:rsid w:val="595A6DAA"/>
    <w:rsid w:val="5A36592C"/>
    <w:rsid w:val="5A6155C2"/>
    <w:rsid w:val="5A9D2DFB"/>
    <w:rsid w:val="5AFC4773"/>
    <w:rsid w:val="5B1E4FDA"/>
    <w:rsid w:val="5B3C1EDE"/>
    <w:rsid w:val="5B43063E"/>
    <w:rsid w:val="5B7758D0"/>
    <w:rsid w:val="5BBB1BFC"/>
    <w:rsid w:val="5C2346C9"/>
    <w:rsid w:val="5C955D81"/>
    <w:rsid w:val="5CBF7366"/>
    <w:rsid w:val="5CEA6842"/>
    <w:rsid w:val="5CF93944"/>
    <w:rsid w:val="5D0C2841"/>
    <w:rsid w:val="5DD0123C"/>
    <w:rsid w:val="5E52450A"/>
    <w:rsid w:val="5E6C1EE2"/>
    <w:rsid w:val="5E784C84"/>
    <w:rsid w:val="5EF24BD1"/>
    <w:rsid w:val="5F2B4751"/>
    <w:rsid w:val="5F3975A3"/>
    <w:rsid w:val="5F516386"/>
    <w:rsid w:val="5F6F647E"/>
    <w:rsid w:val="5F7B439F"/>
    <w:rsid w:val="600D03A1"/>
    <w:rsid w:val="612F265F"/>
    <w:rsid w:val="61317F51"/>
    <w:rsid w:val="616A4354"/>
    <w:rsid w:val="618C1BE2"/>
    <w:rsid w:val="61932D7D"/>
    <w:rsid w:val="628208BB"/>
    <w:rsid w:val="62CD5B89"/>
    <w:rsid w:val="6331176E"/>
    <w:rsid w:val="634D18EF"/>
    <w:rsid w:val="63526B3A"/>
    <w:rsid w:val="635D716A"/>
    <w:rsid w:val="63BE341B"/>
    <w:rsid w:val="63E74611"/>
    <w:rsid w:val="64C272AD"/>
    <w:rsid w:val="64D4152E"/>
    <w:rsid w:val="65284570"/>
    <w:rsid w:val="655C3140"/>
    <w:rsid w:val="656D64FA"/>
    <w:rsid w:val="658052DD"/>
    <w:rsid w:val="65846389"/>
    <w:rsid w:val="659C18B1"/>
    <w:rsid w:val="65A25D59"/>
    <w:rsid w:val="65C47416"/>
    <w:rsid w:val="665C3C76"/>
    <w:rsid w:val="669D7E10"/>
    <w:rsid w:val="67057CC2"/>
    <w:rsid w:val="670D7173"/>
    <w:rsid w:val="673B2037"/>
    <w:rsid w:val="6785569E"/>
    <w:rsid w:val="67C72854"/>
    <w:rsid w:val="681869FD"/>
    <w:rsid w:val="685C62EF"/>
    <w:rsid w:val="68B32721"/>
    <w:rsid w:val="690B6D7C"/>
    <w:rsid w:val="693E2350"/>
    <w:rsid w:val="699C0231"/>
    <w:rsid w:val="69F6405B"/>
    <w:rsid w:val="6A091B6D"/>
    <w:rsid w:val="6A3320AF"/>
    <w:rsid w:val="6ABB5727"/>
    <w:rsid w:val="6B1A6F57"/>
    <w:rsid w:val="6B4026C8"/>
    <w:rsid w:val="6CD41863"/>
    <w:rsid w:val="6D5238E4"/>
    <w:rsid w:val="6D5E7D64"/>
    <w:rsid w:val="6DA93AF7"/>
    <w:rsid w:val="6DE50039"/>
    <w:rsid w:val="6DFD1267"/>
    <w:rsid w:val="6E540B7D"/>
    <w:rsid w:val="6F0A4BA7"/>
    <w:rsid w:val="6F1A7372"/>
    <w:rsid w:val="6F2155D1"/>
    <w:rsid w:val="6F2D4C56"/>
    <w:rsid w:val="6F387F41"/>
    <w:rsid w:val="6F3B08A0"/>
    <w:rsid w:val="6F4D1D02"/>
    <w:rsid w:val="6F93363A"/>
    <w:rsid w:val="702E3856"/>
    <w:rsid w:val="70624653"/>
    <w:rsid w:val="706F6C78"/>
    <w:rsid w:val="710B10C2"/>
    <w:rsid w:val="71950079"/>
    <w:rsid w:val="71EA5114"/>
    <w:rsid w:val="71F37EA0"/>
    <w:rsid w:val="72411309"/>
    <w:rsid w:val="726957A9"/>
    <w:rsid w:val="72903204"/>
    <w:rsid w:val="72962E22"/>
    <w:rsid w:val="72A30DB4"/>
    <w:rsid w:val="72AD7B2C"/>
    <w:rsid w:val="736F6AC6"/>
    <w:rsid w:val="73AD6D3B"/>
    <w:rsid w:val="73B5332C"/>
    <w:rsid w:val="73DE2B3F"/>
    <w:rsid w:val="73F64AD6"/>
    <w:rsid w:val="745B0474"/>
    <w:rsid w:val="75664885"/>
    <w:rsid w:val="75FC5708"/>
    <w:rsid w:val="764515DD"/>
    <w:rsid w:val="76B414A3"/>
    <w:rsid w:val="76C057F2"/>
    <w:rsid w:val="77104A5B"/>
    <w:rsid w:val="774A16C1"/>
    <w:rsid w:val="78033B32"/>
    <w:rsid w:val="78624B9D"/>
    <w:rsid w:val="790351F1"/>
    <w:rsid w:val="793E76A6"/>
    <w:rsid w:val="79816561"/>
    <w:rsid w:val="79BE5874"/>
    <w:rsid w:val="79FE6F5F"/>
    <w:rsid w:val="7A052862"/>
    <w:rsid w:val="7A0F7843"/>
    <w:rsid w:val="7AA856BE"/>
    <w:rsid w:val="7ADA653A"/>
    <w:rsid w:val="7C57001E"/>
    <w:rsid w:val="7C6914D9"/>
    <w:rsid w:val="7C8912DD"/>
    <w:rsid w:val="7C8F63C8"/>
    <w:rsid w:val="7DCB439A"/>
    <w:rsid w:val="7E4F2891"/>
    <w:rsid w:val="7E862C85"/>
    <w:rsid w:val="7EC07050"/>
    <w:rsid w:val="7ECE0477"/>
    <w:rsid w:val="7F0B2A41"/>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3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semiHidden/>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1"/>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link w:val="40"/>
    <w:semiHidden/>
    <w:unhideWhenUsed/>
    <w:qFormat/>
    <w:uiPriority w:val="99"/>
    <w:pPr>
      <w:spacing w:after="120"/>
      <w:ind w:left="420" w:leftChars="200"/>
    </w:pPr>
  </w:style>
  <w:style w:type="paragraph" w:styleId="7">
    <w:name w:val="annotation text"/>
    <w:basedOn w:val="1"/>
    <w:link w:val="38"/>
    <w:qFormat/>
    <w:uiPriority w:val="0"/>
    <w:pPr>
      <w:jc w:val="left"/>
    </w:pPr>
    <w:rPr>
      <w:rFonts w:ascii="Times New Roman" w:hAnsi="Times New Roman" w:eastAsia="宋体" w:cs="Times New Roman"/>
      <w:szCs w:val="24"/>
    </w:rPr>
  </w:style>
  <w:style w:type="paragraph" w:styleId="8">
    <w:name w:val="Body Text"/>
    <w:basedOn w:val="1"/>
    <w:next w:val="9"/>
    <w:unhideWhenUsed/>
    <w:qFormat/>
    <w:uiPriority w:val="99"/>
    <w:rPr>
      <w:sz w:val="28"/>
    </w:rPr>
  </w:style>
  <w:style w:type="paragraph" w:styleId="9">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0">
    <w:name w:val="Plain Text"/>
    <w:basedOn w:val="1"/>
    <w:link w:val="35"/>
    <w:qFormat/>
    <w:uiPriority w:val="0"/>
    <w:rPr>
      <w:rFonts w:ascii="宋体" w:hAnsi="Courier New" w:eastAsia="宋体" w:cs="Courier New"/>
      <w:szCs w:val="21"/>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4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cs="Times New Roman"/>
      <w:szCs w:val="24"/>
    </w:rPr>
  </w:style>
  <w:style w:type="paragraph" w:styleId="16">
    <w:name w:val="Body Text Indent 3"/>
    <w:basedOn w:val="1"/>
    <w:link w:val="33"/>
    <w:qFormat/>
    <w:uiPriority w:val="99"/>
    <w:pPr>
      <w:widowControl/>
      <w:spacing w:after="120" w:line="259" w:lineRule="auto"/>
      <w:ind w:left="420" w:leftChars="200"/>
      <w:jc w:val="left"/>
    </w:pPr>
    <w:rPr>
      <w:kern w:val="0"/>
      <w:sz w:val="16"/>
      <w:szCs w:val="16"/>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link w:val="37"/>
    <w:qFormat/>
    <w:uiPriority w:val="0"/>
    <w:pPr>
      <w:spacing w:before="240" w:after="60"/>
      <w:jc w:val="center"/>
      <w:outlineLvl w:val="0"/>
    </w:pPr>
    <w:rPr>
      <w:rFonts w:ascii="Cambria" w:hAnsi="Cambria" w:eastAsia="宋体" w:cs="Times New Roman"/>
      <w:b/>
      <w:bCs/>
      <w:sz w:val="32"/>
      <w:szCs w:val="32"/>
    </w:rPr>
  </w:style>
  <w:style w:type="paragraph" w:styleId="19">
    <w:name w:val="Body Text First Indent"/>
    <w:basedOn w:val="8"/>
    <w:unhideWhenUsed/>
    <w:qFormat/>
    <w:uiPriority w:val="99"/>
    <w:pPr>
      <w:spacing w:after="120"/>
      <w:ind w:firstLine="42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rFonts w:eastAsia="宋体"/>
      <w:b/>
      <w:bCs/>
      <w:kern w:val="2"/>
      <w:sz w:val="24"/>
      <w:szCs w:val="24"/>
      <w:lang w:val="en-US" w:eastAsia="zh-CN" w:bidi="ar-SA"/>
    </w:rPr>
  </w:style>
  <w:style w:type="character" w:styleId="24">
    <w:name w:val="page number"/>
    <w:basedOn w:val="22"/>
    <w:qFormat/>
    <w:uiPriority w:val="0"/>
  </w:style>
  <w:style w:type="character" w:styleId="25">
    <w:name w:val="annotation reference"/>
    <w:basedOn w:val="22"/>
    <w:qFormat/>
    <w:uiPriority w:val="0"/>
    <w:rPr>
      <w:sz w:val="21"/>
      <w:szCs w:val="21"/>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7">
    <w:name w:val="页眉 Char"/>
    <w:basedOn w:val="22"/>
    <w:link w:val="14"/>
    <w:qFormat/>
    <w:uiPriority w:val="99"/>
    <w:rPr>
      <w:sz w:val="18"/>
      <w:szCs w:val="18"/>
    </w:rPr>
  </w:style>
  <w:style w:type="character" w:customStyle="1" w:styleId="28">
    <w:name w:val="页脚 Char"/>
    <w:basedOn w:val="22"/>
    <w:link w:val="13"/>
    <w:qFormat/>
    <w:uiPriority w:val="99"/>
    <w:rPr>
      <w:sz w:val="18"/>
      <w:szCs w:val="18"/>
    </w:rPr>
  </w:style>
  <w:style w:type="paragraph" w:customStyle="1" w:styleId="29">
    <w:name w:val="列出段落1"/>
    <w:basedOn w:val="1"/>
    <w:qFormat/>
    <w:uiPriority w:val="34"/>
    <w:pPr>
      <w:ind w:firstLine="420" w:firstLineChars="200"/>
    </w:pPr>
    <w:rPr>
      <w:rFonts w:ascii="Calibri" w:hAnsi="Calibri" w:eastAsia="宋体" w:cs="Times New Roman"/>
    </w:rPr>
  </w:style>
  <w:style w:type="character" w:customStyle="1" w:styleId="30">
    <w:name w:val="标题 5 Char"/>
    <w:basedOn w:val="22"/>
    <w:link w:val="6"/>
    <w:semiHidden/>
    <w:qFormat/>
    <w:uiPriority w:val="9"/>
    <w:rPr>
      <w:b/>
      <w:bCs/>
      <w:sz w:val="28"/>
      <w:szCs w:val="28"/>
    </w:rPr>
  </w:style>
  <w:style w:type="character" w:customStyle="1" w:styleId="31">
    <w:name w:val="标题 5 Char1"/>
    <w:basedOn w:val="22"/>
    <w:link w:val="6"/>
    <w:qFormat/>
    <w:uiPriority w:val="9"/>
    <w:rPr>
      <w:rFonts w:asciiTheme="majorHAnsi" w:hAnsiTheme="majorHAnsi" w:eastAsiaTheme="majorEastAsia" w:cstheme="majorBidi"/>
      <w:color w:val="376092" w:themeColor="accent1" w:themeShade="BF"/>
      <w:kern w:val="0"/>
      <w:sz w:val="22"/>
    </w:rPr>
  </w:style>
  <w:style w:type="character" w:customStyle="1" w:styleId="32">
    <w:name w:val="正文文本缩进 3 Char"/>
    <w:basedOn w:val="22"/>
    <w:link w:val="16"/>
    <w:semiHidden/>
    <w:qFormat/>
    <w:uiPriority w:val="99"/>
    <w:rPr>
      <w:sz w:val="16"/>
      <w:szCs w:val="16"/>
    </w:rPr>
  </w:style>
  <w:style w:type="character" w:customStyle="1" w:styleId="33">
    <w:name w:val="正文文本缩进 3 Char1"/>
    <w:basedOn w:val="22"/>
    <w:link w:val="16"/>
    <w:qFormat/>
    <w:uiPriority w:val="99"/>
    <w:rPr>
      <w:kern w:val="0"/>
      <w:sz w:val="16"/>
      <w:szCs w:val="16"/>
    </w:rPr>
  </w:style>
  <w:style w:type="paragraph" w:styleId="34">
    <w:name w:val="List Paragraph"/>
    <w:basedOn w:val="1"/>
    <w:qFormat/>
    <w:uiPriority w:val="34"/>
    <w:pPr>
      <w:ind w:firstLine="420" w:firstLineChars="200"/>
    </w:pPr>
  </w:style>
  <w:style w:type="character" w:customStyle="1" w:styleId="35">
    <w:name w:val="纯文本 Char"/>
    <w:basedOn w:val="22"/>
    <w:link w:val="10"/>
    <w:qFormat/>
    <w:uiPriority w:val="0"/>
    <w:rPr>
      <w:rFonts w:ascii="宋体" w:hAnsi="Courier New" w:eastAsia="宋体" w:cs="Courier New"/>
      <w:szCs w:val="21"/>
    </w:rPr>
  </w:style>
  <w:style w:type="character" w:customStyle="1" w:styleId="36">
    <w:name w:val="标题 2 Char"/>
    <w:basedOn w:val="22"/>
    <w:link w:val="4"/>
    <w:semiHidden/>
    <w:qFormat/>
    <w:uiPriority w:val="9"/>
    <w:rPr>
      <w:rFonts w:asciiTheme="majorHAnsi" w:hAnsiTheme="majorHAnsi" w:eastAsiaTheme="majorEastAsia" w:cstheme="majorBidi"/>
      <w:b/>
      <w:bCs/>
      <w:sz w:val="32"/>
      <w:szCs w:val="32"/>
    </w:rPr>
  </w:style>
  <w:style w:type="character" w:customStyle="1" w:styleId="37">
    <w:name w:val="标题 Char"/>
    <w:basedOn w:val="22"/>
    <w:link w:val="18"/>
    <w:qFormat/>
    <w:uiPriority w:val="0"/>
    <w:rPr>
      <w:rFonts w:ascii="Cambria" w:hAnsi="Cambria" w:eastAsia="宋体" w:cs="Times New Roman"/>
      <w:b/>
      <w:bCs/>
      <w:sz w:val="32"/>
      <w:szCs w:val="32"/>
    </w:rPr>
  </w:style>
  <w:style w:type="character" w:customStyle="1" w:styleId="38">
    <w:name w:val="批注文字 Char"/>
    <w:basedOn w:val="22"/>
    <w:link w:val="7"/>
    <w:qFormat/>
    <w:uiPriority w:val="0"/>
    <w:rPr>
      <w:rFonts w:ascii="Times New Roman" w:hAnsi="Times New Roman" w:eastAsia="宋体" w:cs="Times New Roman"/>
      <w:szCs w:val="24"/>
    </w:rPr>
  </w:style>
  <w:style w:type="character" w:customStyle="1" w:styleId="39">
    <w:name w:val="标题 3 Char"/>
    <w:basedOn w:val="22"/>
    <w:link w:val="5"/>
    <w:semiHidden/>
    <w:qFormat/>
    <w:uiPriority w:val="9"/>
    <w:rPr>
      <w:b/>
      <w:bCs/>
      <w:sz w:val="32"/>
      <w:szCs w:val="32"/>
    </w:rPr>
  </w:style>
  <w:style w:type="character" w:customStyle="1" w:styleId="40">
    <w:name w:val="正文文本缩进 Char"/>
    <w:basedOn w:val="22"/>
    <w:link w:val="3"/>
    <w:semiHidden/>
    <w:qFormat/>
    <w:uiPriority w:val="99"/>
  </w:style>
  <w:style w:type="paragraph" w:customStyle="1" w:styleId="41">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3">
    <w:name w:val="apple-converted-space"/>
    <w:basedOn w:val="22"/>
    <w:qFormat/>
    <w:uiPriority w:val="0"/>
  </w:style>
  <w:style w:type="character" w:customStyle="1" w:styleId="44">
    <w:name w:val="批注框文本 Char"/>
    <w:basedOn w:val="22"/>
    <w:link w:val="12"/>
    <w:semiHidden/>
    <w:qFormat/>
    <w:uiPriority w:val="99"/>
    <w:rPr>
      <w:kern w:val="2"/>
      <w:sz w:val="18"/>
      <w:szCs w:val="18"/>
    </w:rPr>
  </w:style>
  <w:style w:type="paragraph" w:styleId="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 Char Char Char"/>
    <w:basedOn w:val="1"/>
    <w:next w:val="1"/>
    <w:qFormat/>
    <w:uiPriority w:val="0"/>
    <w:pPr>
      <w:spacing w:line="360" w:lineRule="auto"/>
      <w:ind w:firstLine="20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2714</Words>
  <Characters>15472</Characters>
  <Lines>128</Lines>
  <Paragraphs>36</Paragraphs>
  <TotalTime>10</TotalTime>
  <ScaleCrop>false</ScaleCrop>
  <LinksUpToDate>false</LinksUpToDate>
  <CharactersWithSpaces>18150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2021-08-02T01:30:00Z</dcterms:created>
  <dc:creator>李嘉雯</dc:creator>
  <cp:lastModifiedBy>林煜韩</cp:lastModifiedBy>
  <cp:lastPrinted>2022-04-20T00:48:00Z</cp:lastPrinted>
  <dcterms:modified xsi:type="dcterms:W3CDTF">2022-05-05T09:32:39Z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7C244FD32A1D4197B3AE461C1BE44218</vt:lpwstr>
  </property>
</Properties>
</file>