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themeColor="text1"/>
          <w:kern w:val="0"/>
          <w14:textFill>
            <w14:solidFill>
              <w14:schemeClr w14:val="tx1"/>
            </w14:solidFill>
          </w14:textFill>
        </w:rPr>
      </w:pPr>
    </w:p>
    <w:p>
      <w:pPr>
        <w:rPr>
          <w:rFonts w:ascii="仿宋_GB2312" w:hAnsi="仿宋_GB2312" w:eastAsia="仿宋_GB2312" w:cs="仿宋_GB2312"/>
          <w:b/>
          <w:color w:val="000000" w:themeColor="text1"/>
          <w:kern w:val="0"/>
          <w14:textFill>
            <w14:solidFill>
              <w14:schemeClr w14:val="tx1"/>
            </w14:solidFill>
          </w14:textFill>
        </w:rPr>
      </w:pPr>
    </w:p>
    <w:p>
      <w:pPr>
        <w:tabs>
          <w:tab w:val="left" w:pos="420"/>
          <w:tab w:val="left" w:pos="6660"/>
        </w:tabs>
        <w:spacing w:line="1600" w:lineRule="atLeast"/>
        <w:jc w:val="center"/>
        <w:outlineLvl w:val="0"/>
        <w:rPr>
          <w:rFonts w:ascii="仿宋_GB2312" w:hAnsi="仿宋_GB2312" w:eastAsia="仿宋_GB2312" w:cs="仿宋_GB2312"/>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14:textFill>
            <w14:solidFill>
              <w14:schemeClr w14:val="tx1"/>
            </w14:solidFill>
          </w14:textFill>
        </w:rPr>
      </w:pPr>
    </w:p>
    <w:p>
      <w:pPr>
        <w:spacing w:line="500" w:lineRule="exact"/>
        <w:jc w:val="left"/>
        <w:rPr>
          <w:rFonts w:hint="eastAsia" w:ascii="仿宋" w:hAnsi="仿宋" w:eastAsia="仿宋" w:cs="仿宋_GB2312"/>
          <w:b/>
          <w:bCs w:val="0"/>
          <w:color w:val="000000" w:themeColor="text1"/>
          <w:sz w:val="32"/>
          <w:szCs w:val="32"/>
          <w14:textFill>
            <w14:solidFill>
              <w14:schemeClr w14:val="tx1"/>
            </w14:solidFill>
          </w14:textFill>
        </w:rPr>
      </w:pPr>
    </w:p>
    <w:p>
      <w:pPr>
        <w:spacing w:line="500" w:lineRule="exact"/>
        <w:jc w:val="left"/>
        <w:rPr>
          <w:rFonts w:ascii="仿宋" w:hAnsi="仿宋" w:eastAsia="仿宋" w:cs="仿宋_GB2312"/>
          <w:b/>
          <w:bCs w:val="0"/>
          <w:color w:val="000000" w:themeColor="text1"/>
          <w:sz w:val="32"/>
          <w:szCs w:val="32"/>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项目编号：</w:t>
      </w:r>
      <w:r>
        <w:rPr>
          <w:rFonts w:hint="eastAsia" w:ascii="仿宋" w:hAnsi="仿宋" w:eastAsia="仿宋" w:cs="仿宋_GB2312"/>
          <w:b/>
          <w:bCs w:val="0"/>
          <w:color w:val="000000" w:themeColor="text1"/>
          <w:sz w:val="32"/>
          <w:szCs w:val="32"/>
          <w:lang w:val="en-US" w:eastAsia="zh-CN"/>
          <w14:textFill>
            <w14:solidFill>
              <w14:schemeClr w14:val="tx1"/>
            </w14:solidFill>
          </w14:textFill>
        </w:rPr>
        <w:t>XJ-20220422-3</w:t>
      </w:r>
      <w:r>
        <w:rPr>
          <w:rFonts w:ascii="仿宋" w:hAnsi="仿宋" w:eastAsia="仿宋" w:cs="仿宋_GB2312"/>
          <w:b/>
          <w:bCs w:val="0"/>
          <w:color w:val="000000" w:themeColor="text1"/>
          <w:sz w:val="32"/>
          <w:szCs w:val="32"/>
          <w14:textFill>
            <w14:solidFill>
              <w14:schemeClr w14:val="tx1"/>
            </w14:solidFill>
          </w14:textFill>
        </w:rPr>
        <w:t xml:space="preserve"> </w:t>
      </w:r>
      <w:r>
        <w:rPr>
          <w:rFonts w:hint="eastAsia" w:ascii="仿宋" w:hAnsi="仿宋" w:eastAsia="仿宋" w:cs="仿宋_GB2312"/>
          <w:b/>
          <w:bCs w:val="0"/>
          <w:color w:val="000000" w:themeColor="text1"/>
          <w:sz w:val="32"/>
          <w:szCs w:val="32"/>
          <w14:textFill>
            <w14:solidFill>
              <w14:schemeClr w14:val="tx1"/>
            </w14:solidFill>
          </w14:textFill>
        </w:rPr>
        <w:t xml:space="preserve"> </w:t>
      </w:r>
      <w:r>
        <w:rPr>
          <w:b/>
          <w:color w:val="000000" w:themeColor="text1"/>
          <w:sz w:val="32"/>
          <w:szCs w:val="32"/>
          <w14:textFill>
            <w14:solidFill>
              <w14:schemeClr w14:val="tx1"/>
            </w14:solidFill>
          </w14:textFill>
        </w:rPr>
        <w:fldChar w:fldCharType="begin"/>
      </w:r>
      <w:r>
        <w:rPr>
          <w:b/>
          <w:color w:val="000000" w:themeColor="text1"/>
          <w:sz w:val="32"/>
          <w:szCs w:val="32"/>
          <w14:textFill>
            <w14:solidFill>
              <w14:schemeClr w14:val="tx1"/>
            </w14:solidFill>
          </w14:textFill>
        </w:rPr>
        <w:instrText xml:space="preserve"> DOCVARIABLE  采购编号  \* MERGEFORMAT </w:instrText>
      </w:r>
      <w:r>
        <w:rPr>
          <w:b/>
          <w:color w:val="000000" w:themeColor="text1"/>
          <w:sz w:val="32"/>
          <w:szCs w:val="32"/>
          <w14:textFill>
            <w14:solidFill>
              <w14:schemeClr w14:val="tx1"/>
            </w14:solidFill>
          </w14:textFill>
        </w:rPr>
        <w:fldChar w:fldCharType="end"/>
      </w:r>
    </w:p>
    <w:p>
      <w:pPr>
        <w:spacing w:line="500" w:lineRule="exact"/>
        <w:jc w:val="left"/>
        <w:rPr>
          <w:rFonts w:hint="eastAsia" w:ascii="仿宋" w:hAnsi="仿宋" w:eastAsia="仿宋" w:cs="仿宋_GB2312"/>
          <w:b w:val="0"/>
          <w:bCs/>
          <w:color w:val="000000" w:themeColor="text1"/>
          <w:sz w:val="28"/>
          <w:szCs w:val="28"/>
          <w:lang w:val="en-US" w:eastAsia="zh-CN"/>
          <w14:textFill>
            <w14:solidFill>
              <w14:schemeClr w14:val="tx1"/>
            </w14:solidFill>
          </w14:textFill>
        </w:rPr>
      </w:pPr>
      <w:r>
        <w:rPr>
          <w:rFonts w:hint="eastAsia" w:ascii="仿宋" w:hAnsi="仿宋" w:eastAsia="仿宋" w:cs="仿宋_GB2312"/>
          <w:b/>
          <w:bCs w:val="0"/>
          <w:color w:val="000000" w:themeColor="text1"/>
          <w:sz w:val="32"/>
          <w:szCs w:val="32"/>
          <w14:textFill>
            <w14:solidFill>
              <w14:schemeClr w14:val="tx1"/>
            </w14:solidFill>
          </w14:textFill>
        </w:rPr>
        <w:t>项目名称：</w:t>
      </w:r>
      <w:r>
        <w:rPr>
          <w:rFonts w:hint="eastAsia" w:ascii="仿宋" w:hAnsi="仿宋" w:eastAsia="仿宋" w:cs="仿宋_GB2312"/>
          <w:b/>
          <w:bCs w:val="0"/>
          <w:color w:val="000000" w:themeColor="text1"/>
          <w:sz w:val="32"/>
          <w:szCs w:val="32"/>
          <w:lang w:val="en-US" w:eastAsia="zh-CN"/>
          <w14:textFill>
            <w14:solidFill>
              <w14:schemeClr w14:val="tx1"/>
            </w14:solidFill>
          </w14:textFill>
        </w:rPr>
        <w:t>广州市净水有限公司专利申请项目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bookmarkStart w:id="8" w:name="_GoBack"/>
      <w:bookmarkEnd w:id="8"/>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outlineLvl w:val="0"/>
        <w:rPr>
          <w:rFonts w:ascii="仿宋_GB2312" w:hAnsi="仿宋_GB2312" w:eastAsia="仿宋_GB2312" w:cs="仿宋_GB2312"/>
          <w:b/>
          <w:bCs/>
          <w:color w:val="000000" w:themeColor="text1"/>
          <w:sz w:val="36"/>
          <w14:textFill>
            <w14:solidFill>
              <w14:schemeClr w14:val="tx1"/>
            </w14:solidFill>
          </w14:textFill>
        </w:rPr>
      </w:pPr>
      <w:r>
        <w:rPr>
          <w:rFonts w:hint="eastAsia" w:ascii="仿宋_GB2312" w:hAnsi="仿宋_GB2312" w:eastAsia="仿宋_GB2312" w:cs="仿宋_GB2312"/>
          <w:b/>
          <w:bCs/>
          <w:color w:val="000000" w:themeColor="text1"/>
          <w:sz w:val="36"/>
          <w14:textFill>
            <w14:solidFill>
              <w14:schemeClr w14:val="tx1"/>
            </w14:solidFill>
          </w14:textFill>
        </w:rPr>
        <w:t>广州市净水有限公司  编制</w:t>
      </w:r>
    </w:p>
    <w:p>
      <w:pPr>
        <w:spacing w:line="360" w:lineRule="auto"/>
        <w:jc w:val="center"/>
        <w:rPr>
          <w:rFonts w:ascii="仿宋_GB2312" w:hAnsi="仿宋_GB2312" w:eastAsia="仿宋_GB2312" w:cs="仿宋_GB2312"/>
          <w:b/>
          <w:bCs/>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发布日期：20</w:t>
      </w:r>
      <w:r>
        <w:rPr>
          <w:rFonts w:ascii="仿宋_GB2312" w:hAnsi="仿宋_GB2312" w:eastAsia="仿宋_GB2312" w:cs="仿宋_GB2312"/>
          <w:b/>
          <w:bCs/>
          <w:color w:val="000000" w:themeColor="text1"/>
          <w:sz w:val="28"/>
          <w14:textFill>
            <w14:solidFill>
              <w14:schemeClr w14:val="tx1"/>
            </w14:solidFill>
          </w14:textFill>
        </w:rPr>
        <w:t>2</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14:textFill>
            <w14:solidFill>
              <w14:schemeClr w14:val="tx1"/>
            </w14:solidFill>
          </w14:textFill>
        </w:rPr>
        <w:t>年</w:t>
      </w:r>
      <w:r>
        <w:rPr>
          <w:rFonts w:hint="eastAsia" w:ascii="仿宋_GB2312" w:hAnsi="仿宋_GB2312" w:eastAsia="仿宋_GB2312" w:cs="仿宋_GB2312"/>
          <w:b/>
          <w:bCs/>
          <w:color w:val="000000" w:themeColor="text1"/>
          <w:sz w:val="28"/>
          <w:lang w:val="en-US" w:eastAsia="zh-CN"/>
          <w14:textFill>
            <w14:solidFill>
              <w14:schemeClr w14:val="tx1"/>
            </w14:solidFill>
          </w14:textFill>
        </w:rPr>
        <w:t>4</w:t>
      </w:r>
      <w:r>
        <w:rPr>
          <w:rFonts w:hint="eastAsia" w:ascii="仿宋_GB2312" w:hAnsi="仿宋_GB2312" w:eastAsia="仿宋_GB2312" w:cs="仿宋_GB2312"/>
          <w:b/>
          <w:bCs/>
          <w:color w:val="000000" w:themeColor="text1"/>
          <w:sz w:val="28"/>
          <w14:textFill>
            <w14:solidFill>
              <w14:schemeClr w14:val="tx1"/>
            </w14:solidFill>
          </w14:textFill>
        </w:rPr>
        <w:t>月</w:t>
      </w:r>
      <w:r>
        <w:rPr>
          <w:rFonts w:hint="eastAsia" w:ascii="仿宋_GB2312" w:hAnsi="仿宋_GB2312" w:eastAsia="仿宋_GB2312" w:cs="仿宋_GB2312"/>
          <w:b/>
          <w:bCs/>
          <w:color w:val="000000" w:themeColor="text1"/>
          <w:sz w:val="28"/>
          <w:lang w:val="en-US" w:eastAsia="zh-CN"/>
          <w14:textFill>
            <w14:solidFill>
              <w14:schemeClr w14:val="tx1"/>
            </w14:solidFill>
          </w14:textFill>
        </w:rPr>
        <w:t>22</w:t>
      </w:r>
      <w:r>
        <w:rPr>
          <w:rFonts w:hint="eastAsia" w:ascii="仿宋_GB2312" w:hAnsi="仿宋_GB2312" w:eastAsia="仿宋_GB2312" w:cs="仿宋_GB2312"/>
          <w:b/>
          <w:bCs/>
          <w:color w:val="000000" w:themeColor="text1"/>
          <w:sz w:val="28"/>
          <w14:textFill>
            <w14:solidFill>
              <w14:schemeClr w14:val="tx1"/>
            </w14:solidFill>
          </w14:textFill>
        </w:rPr>
        <w:t>日</w:t>
      </w:r>
    </w:p>
    <w:p>
      <w:pPr>
        <w:pageBreakBefore/>
        <w:jc w:val="center"/>
        <w:rPr>
          <w:rFonts w:hint="eastAsia" w:ascii="仿宋_GB2312" w:hAnsi="仿宋_GB2312" w:eastAsia="仿宋_GB2312" w:cs="仿宋_GB2312"/>
          <w:b/>
          <w:bCs/>
          <w:cap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目      录</w:t>
      </w:r>
      <w:r>
        <w:rPr>
          <w:rFonts w:hint="eastAsia" w:ascii="仿宋_GB2312" w:hAnsi="仿宋_GB2312" w:eastAsia="仿宋_GB2312" w:cs="仿宋_GB2312"/>
          <w:b/>
          <w:bCs/>
          <w:caps/>
          <w:color w:val="000000" w:themeColor="text1"/>
          <w:sz w:val="28"/>
          <w:szCs w:val="28"/>
          <w14:textFill>
            <w14:solidFill>
              <w14:schemeClr w14:val="tx1"/>
            </w14:solidFill>
          </w14:textFill>
        </w:rPr>
        <w:br w:type="textWrapping"/>
      </w:r>
    </w:p>
    <w:p>
      <w:pPr>
        <w:pStyle w:val="19"/>
        <w:tabs>
          <w:tab w:val="right" w:leader="dot" w:pos="9174"/>
        </w:tabs>
        <w:spacing w:line="36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第一部分  报价邀请函</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第二部分  项目内容</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第三部分  报价须知</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第四部分  合同书格式</w:t>
      </w:r>
    </w:p>
    <w:p>
      <w:pP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第五部分  响应文件格式</w:t>
      </w:r>
    </w:p>
    <w:p>
      <w:pPr>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hint="eastAsia"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rPr>
          <w:rFonts w:hint="eastAsia" w:ascii="仿宋_GB2312" w:hAnsi="仿宋_GB2312" w:eastAsia="仿宋_GB2312" w:cs="仿宋_GB2312"/>
          <w:b/>
          <w:color w:val="000000" w:themeColor="text1"/>
          <w:sz w:val="28"/>
          <w:szCs w:val="28"/>
          <w14:textFill>
            <w14:solidFill>
              <w14:schemeClr w14:val="tx1"/>
            </w14:solidFill>
          </w14:textFill>
        </w:rPr>
      </w:pPr>
    </w:p>
    <w:p>
      <w:pPr>
        <w:pStyle w:val="23"/>
        <w:rPr>
          <w:rFonts w:hint="eastAsia" w:ascii="仿宋_GB2312" w:hAnsi="仿宋_GB2312" w:eastAsia="仿宋_GB2312" w:cs="仿宋_GB2312"/>
          <w:color w:val="000000" w:themeColor="text1"/>
          <w:kern w:val="0"/>
          <w14:textFill>
            <w14:solidFill>
              <w14:schemeClr w14:val="tx1"/>
            </w14:solidFill>
          </w14:textFill>
        </w:rPr>
      </w:pPr>
      <w:r>
        <w:rPr>
          <w:rFonts w:hint="eastAsia" w:ascii="仿宋_GB2312" w:hAnsi="仿宋_GB2312" w:eastAsia="仿宋_GB2312" w:cs="仿宋_GB2312"/>
          <w:color w:val="000000" w:themeColor="text1"/>
          <w:kern w:val="0"/>
          <w14:textFill>
            <w14:solidFill>
              <w14:schemeClr w14:val="tx1"/>
            </w14:solidFill>
          </w14:textFill>
        </w:rPr>
        <w:t>第一部分报价邀请函</w:t>
      </w:r>
    </w:p>
    <w:p>
      <w:pPr>
        <w:ind w:firstLine="478" w:firstLineChars="171"/>
        <w:rPr>
          <w:rFonts w:hint="eastAsia" w:ascii="仿宋_GB2312" w:hAnsi="仿宋_GB2312" w:eastAsia="仿宋_GB2312" w:cs="仿宋_GB2312"/>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bCs/>
          <w:sz w:val="28"/>
          <w:szCs w:val="28"/>
          <w:u w:val="single"/>
          <w:lang w:eastAsia="zh-CN"/>
        </w:rPr>
        <w:t>专利申请项目</w:t>
      </w:r>
      <w:r>
        <w:rPr>
          <w:rFonts w:hint="eastAsia" w:ascii="仿宋" w:hAnsi="仿宋" w:eastAsia="仿宋" w:cs="仿宋"/>
          <w:color w:val="000000" w:themeColor="text1"/>
          <w:sz w:val="28"/>
          <w:szCs w:val="28"/>
          <w14:textFill>
            <w14:solidFill>
              <w14:schemeClr w14:val="tx1"/>
            </w14:solidFill>
          </w14:textFill>
        </w:rPr>
        <w:t>进行询价，</w:t>
      </w:r>
      <w:r>
        <w:rPr>
          <w:rFonts w:hint="eastAsia" w:ascii="仿宋" w:hAnsi="仿宋" w:eastAsia="仿宋" w:cs="仿宋"/>
          <w:color w:val="000000" w:themeColor="text1"/>
          <w:sz w:val="28"/>
          <w:szCs w:val="28"/>
          <w:lang w:val="zh-CN"/>
          <w14:textFill>
            <w14:solidFill>
              <w14:schemeClr w14:val="tx1"/>
            </w14:solidFill>
          </w14:textFill>
        </w:rPr>
        <w:t>欢迎符合资格条件</w:t>
      </w:r>
      <w:r>
        <w:rPr>
          <w:rFonts w:hint="eastAsia" w:ascii="仿宋" w:hAnsi="仿宋" w:eastAsia="仿宋" w:cs="仿宋"/>
          <w:color w:val="000000" w:themeColor="text1"/>
          <w:sz w:val="28"/>
          <w:szCs w:val="28"/>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lang w:val="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w:t>
      </w:r>
      <w:r>
        <w:rPr>
          <w:rFonts w:hint="eastAsia" w:ascii="仿宋" w:hAnsi="仿宋" w:eastAsia="仿宋" w:cs="仿宋"/>
          <w:color w:val="000000" w:themeColor="text1"/>
          <w:sz w:val="28"/>
          <w:szCs w:val="28"/>
          <w:lang w:val="zh-CN"/>
          <w14:textFill>
            <w14:solidFill>
              <w14:schemeClr w14:val="tx1"/>
            </w14:solidFill>
          </w14:textFill>
        </w:rPr>
        <w:t>、项目编号：</w:t>
      </w:r>
      <w:r>
        <w:rPr>
          <w:rFonts w:hint="eastAsia" w:ascii="仿宋" w:hAnsi="仿宋" w:eastAsia="仿宋" w:cs="仿宋"/>
          <w:color w:val="000000" w:themeColor="text1"/>
          <w:sz w:val="28"/>
          <w:szCs w:val="28"/>
          <w:lang w:val="zh-CN"/>
          <w14:textFill>
            <w14:solidFill>
              <w14:schemeClr w14:val="tx1"/>
            </w14:solidFill>
          </w14:textFill>
        </w:rPr>
        <w:t xml:space="preserve">XJ-20220422-3  </w:t>
      </w:r>
      <w:r>
        <w:rPr>
          <w:rFonts w:hint="eastAsia" w:ascii="仿宋" w:hAnsi="仿宋" w:eastAsia="仿宋" w:cs="仿宋"/>
          <w:color w:val="000000" w:themeColor="text1"/>
          <w:sz w:val="28"/>
          <w:szCs w:val="28"/>
          <w:lang w:val="zh-CN"/>
          <w14:textFill>
            <w14:solidFill>
              <w14:schemeClr w14:val="tx1"/>
            </w14:solidFill>
          </w14:textFill>
        </w:rPr>
        <w:t xml:space="preserve"> </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、项目名称：</w:t>
      </w:r>
      <w:r>
        <w:rPr>
          <w:rFonts w:hint="eastAsia" w:ascii="仿宋" w:hAnsi="仿宋" w:eastAsia="仿宋" w:cs="仿宋"/>
          <w:bCs/>
          <w:sz w:val="28"/>
          <w:szCs w:val="28"/>
          <w:u w:val="single"/>
          <w:lang w:eastAsia="zh-CN"/>
        </w:rPr>
        <w:t>广州市净水有限公司专利申请项目</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zh-CN"/>
          <w14:textFill>
            <w14:solidFill>
              <w14:schemeClr w14:val="tx1"/>
            </w14:solidFill>
          </w14:textFill>
        </w:rPr>
        <w:t>四、最高限价：</w:t>
      </w:r>
      <w:r>
        <w:rPr>
          <w:rFonts w:hint="eastAsia" w:ascii="仿宋" w:hAnsi="仿宋" w:eastAsia="仿宋" w:cs="仿宋"/>
          <w:color w:val="000000" w:themeColor="text1"/>
          <w:sz w:val="28"/>
          <w:szCs w:val="28"/>
          <w:lang w:val="en-US" w:eastAsia="zh-CN"/>
          <w14:textFill>
            <w14:solidFill>
              <w14:schemeClr w14:val="tx1"/>
            </w14:solidFill>
          </w14:textFill>
        </w:rPr>
        <w:t>4.75</w:t>
      </w:r>
      <w:r>
        <w:rPr>
          <w:rFonts w:hint="eastAsia" w:ascii="仿宋" w:hAnsi="仿宋" w:eastAsia="仿宋" w:cs="仿宋"/>
          <w:color w:val="000000" w:themeColor="text1"/>
          <w:sz w:val="28"/>
          <w:szCs w:val="28"/>
          <w:lang w:val="zh-CN"/>
          <w14:textFill>
            <w14:solidFill>
              <w14:schemeClr w14:val="tx1"/>
            </w14:solidFill>
          </w14:textFill>
        </w:rPr>
        <w:t>万元</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sz w:val="28"/>
          <w:szCs w:val="28"/>
          <w:u w:val="single"/>
        </w:rPr>
        <w:t>其中发明专利代理费+官费最高0.</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万元/个，实用新型专利代理费+官费最高0.</w:t>
      </w:r>
      <w:r>
        <w:rPr>
          <w:rFonts w:hint="eastAsia" w:ascii="仿宋" w:hAnsi="仿宋" w:eastAsia="仿宋" w:cs="仿宋"/>
          <w:sz w:val="28"/>
          <w:szCs w:val="28"/>
          <w:u w:val="single"/>
          <w:lang w:val="en-US" w:eastAsia="zh-CN"/>
        </w:rPr>
        <w:t>35</w:t>
      </w:r>
      <w:r>
        <w:rPr>
          <w:rFonts w:hint="eastAsia" w:ascii="仿宋" w:hAnsi="仿宋" w:eastAsia="仿宋" w:cs="仿宋"/>
          <w:sz w:val="28"/>
          <w:szCs w:val="28"/>
          <w:u w:val="single"/>
        </w:rPr>
        <w:t>万元/个</w:t>
      </w:r>
      <w:r>
        <w:rPr>
          <w:rFonts w:hint="eastAsia" w:ascii="仿宋" w:hAnsi="仿宋" w:eastAsia="仿宋" w:cs="仿宋"/>
          <w:sz w:val="28"/>
          <w:szCs w:val="28"/>
          <w:u w:val="single"/>
          <w:lang w:eastAsia="zh-CN"/>
        </w:rPr>
        <w:t>）</w:t>
      </w:r>
      <w:r>
        <w:rPr>
          <w:rFonts w:hint="eastAsia" w:ascii="仿宋" w:hAnsi="仿宋" w:eastAsia="仿宋" w:cs="仿宋"/>
          <w:color w:val="000000" w:themeColor="text1"/>
          <w:sz w:val="28"/>
          <w:szCs w:val="28"/>
          <w:lang w:val="zh-CN"/>
          <w14:textFill>
            <w14:solidFill>
              <w14:schemeClr w14:val="tx1"/>
            </w14:solidFill>
          </w14:textFill>
        </w:rPr>
        <w:tab/>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w:t>
      </w:r>
    </w:p>
    <w:p>
      <w:pPr>
        <w:ind w:firstLine="602" w:firstLineChars="215"/>
        <w:rPr>
          <w:rFonts w:hint="eastAsia" w:ascii="仿宋" w:hAnsi="仿宋" w:eastAsia="仿宋" w:cs="仿宋"/>
          <w:sz w:val="28"/>
          <w:szCs w:val="28"/>
        </w:rPr>
      </w:pPr>
      <w:r>
        <w:rPr>
          <w:rFonts w:hint="eastAsia" w:ascii="仿宋" w:hAnsi="仿宋" w:eastAsia="仿宋" w:cs="仿宋"/>
          <w:color w:val="auto"/>
          <w:sz w:val="28"/>
          <w:szCs w:val="28"/>
        </w:rPr>
        <w:t>为规范智慧净水、污泥资源利用创新成果管理，强化公司知识产权保护意识，</w:t>
      </w:r>
      <w:r>
        <w:rPr>
          <w:rFonts w:hint="eastAsia" w:ascii="仿宋" w:hAnsi="仿宋" w:eastAsia="仿宋" w:cs="仿宋"/>
          <w:color w:val="auto"/>
          <w:sz w:val="28"/>
          <w:szCs w:val="28"/>
          <w:lang w:val="en-US" w:eastAsia="zh-CN"/>
        </w:rPr>
        <w:t>以及</w:t>
      </w:r>
      <w:r>
        <w:rPr>
          <w:rFonts w:hint="eastAsia" w:ascii="仿宋" w:hAnsi="仿宋" w:eastAsia="仿宋" w:cs="仿宋"/>
          <w:color w:val="auto"/>
          <w:sz w:val="28"/>
          <w:szCs w:val="28"/>
        </w:rPr>
        <w:t>我公司对知识产权代理的需求，委托具有知识产权代理资质</w:t>
      </w:r>
      <w:r>
        <w:rPr>
          <w:rFonts w:hint="eastAsia" w:ascii="仿宋" w:hAnsi="仿宋" w:eastAsia="仿宋" w:cs="仿宋"/>
          <w:sz w:val="28"/>
          <w:szCs w:val="28"/>
        </w:rPr>
        <w:t>的公司负责智慧净水、污泥资源利用类专利代理工作进行代理申请工作，其中发明专利</w:t>
      </w:r>
      <w:r>
        <w:rPr>
          <w:rFonts w:hint="eastAsia" w:ascii="仿宋" w:hAnsi="仿宋" w:eastAsia="仿宋" w:cs="仿宋"/>
          <w:sz w:val="28"/>
          <w:szCs w:val="28"/>
          <w:lang w:val="en-US" w:eastAsia="zh-CN"/>
        </w:rPr>
        <w:t>2</w:t>
      </w:r>
      <w:r>
        <w:rPr>
          <w:rFonts w:hint="eastAsia" w:ascii="仿宋" w:hAnsi="仿宋" w:eastAsia="仿宋" w:cs="仿宋"/>
          <w:sz w:val="28"/>
          <w:szCs w:val="28"/>
        </w:rPr>
        <w:t>项，实用新型专利</w:t>
      </w:r>
      <w:r>
        <w:rPr>
          <w:rFonts w:hint="eastAsia" w:ascii="仿宋" w:hAnsi="仿宋" w:eastAsia="仿宋" w:cs="仿宋"/>
          <w:sz w:val="28"/>
          <w:szCs w:val="28"/>
          <w:lang w:val="en-US" w:eastAsia="zh-CN"/>
        </w:rPr>
        <w:t>9</w:t>
      </w:r>
      <w:r>
        <w:rPr>
          <w:rFonts w:hint="eastAsia" w:ascii="仿宋" w:hAnsi="仿宋" w:eastAsia="仿宋" w:cs="仿宋"/>
          <w:sz w:val="28"/>
          <w:szCs w:val="28"/>
        </w:rPr>
        <w:t>项。</w:t>
      </w:r>
    </w:p>
    <w:p>
      <w:pPr>
        <w:ind w:firstLine="602" w:firstLineChars="215"/>
        <w:rPr>
          <w:rFonts w:hint="eastAsia" w:ascii="仿宋" w:hAnsi="仿宋" w:eastAsia="仿宋" w:cs="仿宋"/>
          <w:sz w:val="28"/>
          <w:szCs w:val="28"/>
        </w:rPr>
      </w:pPr>
      <w:r>
        <w:rPr>
          <w:rFonts w:hint="eastAsia" w:ascii="仿宋" w:hAnsi="仿宋" w:eastAsia="仿宋" w:cs="仿宋"/>
          <w:sz w:val="28"/>
          <w:szCs w:val="28"/>
        </w:rPr>
        <w:t>专利代理工作需包含专利信息挖掘、专利申请文件撰写、审查意见答复、后期专利维护等全流程工作内容。</w:t>
      </w:r>
    </w:p>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六、报价单位资格要求：</w:t>
      </w:r>
    </w:p>
    <w:p>
      <w:pPr>
        <w:pStyle w:val="68"/>
        <w:autoSpaceDE w:val="0"/>
        <w:autoSpaceDN w:val="0"/>
        <w:ind w:firstLine="560"/>
        <w:jc w:val="left"/>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报价单位须是</w:t>
      </w:r>
      <w:r>
        <w:rPr>
          <w:rFonts w:hint="eastAsia" w:ascii="仿宋" w:hAnsi="仿宋" w:eastAsia="仿宋" w:cs="仿宋"/>
          <w:sz w:val="28"/>
          <w:szCs w:val="28"/>
          <w:u w:val="single"/>
          <w:lang w:val="en-US" w:eastAsia="zh-CN"/>
        </w:rPr>
        <w:t>在</w:t>
      </w:r>
      <w:r>
        <w:rPr>
          <w:rFonts w:hint="eastAsia" w:ascii="仿宋" w:hAnsi="仿宋" w:eastAsia="仿宋" w:cs="仿宋"/>
          <w:sz w:val="28"/>
          <w:szCs w:val="28"/>
          <w:u w:val="single"/>
        </w:rPr>
        <w:t>中华人民共和国境内</w:t>
      </w:r>
      <w:r>
        <w:rPr>
          <w:rFonts w:hint="eastAsia" w:ascii="仿宋" w:hAnsi="仿宋" w:eastAsia="仿宋" w:cs="仿宋"/>
          <w:sz w:val="28"/>
          <w:szCs w:val="28"/>
          <w:u w:val="single"/>
          <w:lang w:val="en-US" w:eastAsia="zh-CN"/>
        </w:rPr>
        <w:t>注册</w:t>
      </w:r>
      <w:r>
        <w:rPr>
          <w:rFonts w:hint="eastAsia" w:ascii="仿宋" w:hAnsi="仿宋" w:eastAsia="仿宋" w:cs="仿宋"/>
          <w:sz w:val="28"/>
          <w:szCs w:val="28"/>
          <w:u w:val="single"/>
        </w:rPr>
        <w:t>的法人或者其他组织，具有独立法人资格</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持有工商行政管理部门核发的法人营业执照或各级登记管理机关颁发的事业单位法定代表人证</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且</w:t>
      </w:r>
      <w:r>
        <w:rPr>
          <w:rFonts w:hint="eastAsia" w:ascii="仿宋" w:hAnsi="仿宋" w:eastAsia="仿宋" w:cs="仿宋"/>
          <w:sz w:val="28"/>
          <w:szCs w:val="28"/>
          <w:u w:val="single"/>
        </w:rPr>
        <w:t>能开具增值税专用发票</w:t>
      </w:r>
      <w:r>
        <w:rPr>
          <w:rFonts w:hint="eastAsia" w:ascii="仿宋" w:hAnsi="仿宋" w:eastAsia="仿宋" w:cs="仿宋"/>
          <w:color w:val="auto"/>
          <w:sz w:val="28"/>
          <w:szCs w:val="28"/>
          <w:highlight w:val="none"/>
          <w:u w:val="single"/>
          <w:lang w:val="en-US" w:eastAsia="zh-CN"/>
        </w:rPr>
        <w:t>（提供一般纳税人证明或近一年2-3张已开据的增值税专用发票）。</w:t>
      </w:r>
    </w:p>
    <w:p>
      <w:pPr>
        <w:pStyle w:val="68"/>
        <w:autoSpaceDE w:val="0"/>
        <w:autoSpaceDN w:val="0"/>
        <w:ind w:firstLine="56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u w:val="single"/>
        </w:rPr>
        <w:t>持有国家专利局颁发的《专利代理机构执业许可证》。</w:t>
      </w:r>
    </w:p>
    <w:p>
      <w:pPr>
        <w:pStyle w:val="68"/>
        <w:autoSpaceDE w:val="0"/>
        <w:autoSpaceDN w:val="0"/>
        <w:ind w:firstLine="560"/>
        <w:jc w:val="left"/>
        <w:rPr>
          <w:rFonts w:hint="eastAsia" w:ascii="仿宋" w:hAnsi="仿宋" w:eastAsia="仿宋" w:cs="仿宋"/>
          <w:sz w:val="28"/>
          <w:szCs w:val="28"/>
          <w:u w:val="single"/>
        </w:rPr>
      </w:pPr>
      <w:r>
        <w:rPr>
          <w:rFonts w:hint="eastAsia" w:ascii="仿宋" w:hAnsi="仿宋" w:eastAsia="仿宋" w:cs="仿宋"/>
          <w:sz w:val="28"/>
          <w:szCs w:val="28"/>
        </w:rPr>
        <w:t>3.</w:t>
      </w:r>
      <w:r>
        <w:rPr>
          <w:rFonts w:hint="eastAsia" w:ascii="仿宋" w:hAnsi="仿宋" w:eastAsia="仿宋" w:cs="仿宋"/>
          <w:sz w:val="28"/>
          <w:szCs w:val="28"/>
          <w:u w:val="single"/>
        </w:rPr>
        <w:t>拟派项目负责人须具备专利代理师资格证。</w:t>
      </w:r>
    </w:p>
    <w:p>
      <w:pPr>
        <w:pStyle w:val="68"/>
        <w:autoSpaceDE w:val="0"/>
        <w:autoSpaceDN w:val="0"/>
        <w:ind w:firstLine="560"/>
        <w:jc w:val="left"/>
        <w:rPr>
          <w:rFonts w:hint="eastAsia" w:ascii="仿宋" w:hAnsi="仿宋" w:eastAsia="仿宋" w:cs="仿宋"/>
          <w:sz w:val="28"/>
          <w:szCs w:val="28"/>
          <w:u w:val="none"/>
        </w:rPr>
      </w:pPr>
      <w:r>
        <w:rPr>
          <w:rFonts w:hint="eastAsia" w:ascii="仿宋" w:hAnsi="仿宋" w:eastAsia="仿宋" w:cs="仿宋"/>
          <w:sz w:val="28"/>
          <w:szCs w:val="28"/>
        </w:rPr>
        <w:t>4</w:t>
      </w:r>
      <w:bookmarkStart w:id="0" w:name="OLE_LINK3"/>
      <w:r>
        <w:rPr>
          <w:rFonts w:hint="eastAsia" w:ascii="仿宋" w:hAnsi="仿宋" w:eastAsia="仿宋" w:cs="仿宋"/>
          <w:sz w:val="28"/>
          <w:szCs w:val="28"/>
        </w:rPr>
        <w:t>.</w:t>
      </w:r>
      <w:r>
        <w:rPr>
          <w:rFonts w:hint="eastAsia" w:ascii="仿宋" w:hAnsi="仿宋" w:eastAsia="仿宋" w:cs="仿宋"/>
          <w:sz w:val="28"/>
          <w:szCs w:val="28"/>
          <w:u w:val="single"/>
        </w:rPr>
        <w:t>20</w:t>
      </w:r>
      <w:r>
        <w:rPr>
          <w:rFonts w:hint="eastAsia" w:ascii="仿宋" w:hAnsi="仿宋" w:eastAsia="仿宋" w:cs="仿宋"/>
          <w:sz w:val="28"/>
          <w:szCs w:val="28"/>
          <w:u w:val="single"/>
          <w:lang w:val="en-US" w:eastAsia="zh-CN"/>
        </w:rPr>
        <w:t>19</w:t>
      </w:r>
      <w:r>
        <w:rPr>
          <w:rFonts w:hint="eastAsia" w:ascii="仿宋" w:hAnsi="仿宋" w:eastAsia="仿宋" w:cs="仿宋"/>
          <w:sz w:val="28"/>
          <w:szCs w:val="28"/>
          <w:u w:val="single"/>
        </w:rPr>
        <w:t>年1月1日至今，</w:t>
      </w:r>
      <w:bookmarkEnd w:id="0"/>
      <w:r>
        <w:rPr>
          <w:rFonts w:hint="eastAsia" w:ascii="仿宋" w:hAnsi="仿宋" w:eastAsia="仿宋" w:cs="仿宋"/>
          <w:sz w:val="28"/>
          <w:szCs w:val="28"/>
          <w:u w:val="single"/>
          <w:lang w:val="en-US" w:eastAsia="zh-CN"/>
        </w:rPr>
        <w:t>至少</w:t>
      </w:r>
      <w:r>
        <w:rPr>
          <w:rFonts w:hint="eastAsia" w:ascii="仿宋" w:hAnsi="仿宋" w:eastAsia="仿宋" w:cs="仿宋"/>
          <w:sz w:val="28"/>
          <w:szCs w:val="28"/>
          <w:u w:val="single"/>
        </w:rPr>
        <w:t>承接过一项知识产权代理类似项目业绩（应附中标通知书或合同协议书复印件）。</w:t>
      </w: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rPr>
        <w:t>七</w:t>
      </w:r>
      <w:r>
        <w:rPr>
          <w:rFonts w:hint="eastAsia" w:ascii="仿宋" w:hAnsi="仿宋" w:eastAsia="仿宋" w:cs="仿宋"/>
          <w:color w:val="000000"/>
          <w:sz w:val="28"/>
          <w:szCs w:val="28"/>
          <w:lang w:val="zh-CN"/>
        </w:rPr>
        <w:t>、现场踏勘(答疑会)时间、地点（也可由报价单位自行踏勘现场）：</w:t>
      </w: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1. 现场踏勘(答疑会)集合时间：/</w:t>
      </w:r>
    </w:p>
    <w:p>
      <w:pPr>
        <w:autoSpaceDE w:val="0"/>
        <w:autoSpaceDN w:val="0"/>
        <w:ind w:firstLine="560" w:firstLineChars="200"/>
        <w:rPr>
          <w:rFonts w:hint="eastAsia" w:ascii="仿宋" w:hAnsi="仿宋" w:eastAsia="仿宋" w:cs="仿宋"/>
          <w:color w:val="000000"/>
          <w:sz w:val="28"/>
          <w:szCs w:val="28"/>
          <w:lang w:val="zh-CN"/>
        </w:rPr>
      </w:pPr>
      <w:r>
        <w:rPr>
          <w:rFonts w:hint="eastAsia" w:ascii="仿宋" w:hAnsi="仿宋" w:eastAsia="仿宋" w:cs="仿宋"/>
          <w:color w:val="000000"/>
          <w:sz w:val="28"/>
          <w:szCs w:val="28"/>
          <w:lang w:val="zh-CN"/>
        </w:rPr>
        <w:t>2. 现场踏勘(答疑会)集合地点：/</w:t>
      </w:r>
    </w:p>
    <w:p>
      <w:pPr>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八、询价文件的获取：在202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eastAsia="zh-CN"/>
          <w14:textFill>
            <w14:solidFill>
              <w14:schemeClr w14:val="tx1"/>
            </w14:solidFill>
          </w14:textFill>
        </w:rPr>
        <w:t>0</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分前，在广州市净水有限公司门户网站免费下载。</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九、询价响应文件递交时间：202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eastAsia="zh-CN"/>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分至</w:t>
      </w: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eastAsia="zh-CN"/>
          <w14:textFill>
            <w14:solidFill>
              <w14:schemeClr w14:val="tx1"/>
            </w14:solidFill>
          </w14:textFill>
        </w:rPr>
        <w:t>0</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分；询价响应文件递交截止时间：202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eastAsia="zh-CN"/>
          <w14:textFill>
            <w14:solidFill>
              <w14:schemeClr w14:val="tx1"/>
            </w14:solidFill>
          </w14:textFill>
        </w:rPr>
        <w:t>0</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sz w:val="28"/>
          <w:szCs w:val="28"/>
        </w:rPr>
        <w:t>递交响应文件时须提供授权委托人身份证原件备查。</w:t>
      </w:r>
    </w:p>
    <w:p>
      <w:pPr>
        <w:ind w:firstLine="588" w:firstLineChars="21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十、询价响应文件送达地点：广州市天河区临江大道501号广州市净水有限公司</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注：基于疫情防控形势，授权委托人须通过“广州净水公司”微信公众号（提前）预约，填写访客预约信息（</w:t>
      </w:r>
      <w:r>
        <w:rPr>
          <w:rFonts w:hint="eastAsia" w:ascii="仿宋" w:hAnsi="仿宋" w:eastAsia="仿宋" w:cs="仿宋"/>
          <w:color w:val="000000"/>
          <w:kern w:val="2"/>
          <w:sz w:val="28"/>
          <w:szCs w:val="28"/>
          <w:lang w:val="zh-CN"/>
        </w:rPr>
        <w:t>包括：1.近14天</w:t>
      </w:r>
      <w:r>
        <w:rPr>
          <w:rFonts w:hint="eastAsia" w:ascii="仿宋" w:hAnsi="仿宋" w:eastAsia="仿宋" w:cs="仿宋"/>
          <w:color w:val="000000"/>
          <w:kern w:val="2"/>
          <w:sz w:val="28"/>
          <w:szCs w:val="28"/>
          <w:lang w:val="en-US" w:eastAsia="zh-CN"/>
        </w:rPr>
        <w:t>内</w:t>
      </w:r>
      <w:r>
        <w:rPr>
          <w:rFonts w:hint="eastAsia" w:ascii="仿宋" w:hAnsi="仿宋" w:eastAsia="仿宋" w:cs="仿宋"/>
          <w:color w:val="000000"/>
          <w:kern w:val="2"/>
          <w:sz w:val="28"/>
          <w:szCs w:val="28"/>
          <w:lang w:val="zh-CN"/>
        </w:rPr>
        <w:t>行程有异地中高风险地区及所在的地级市、盟、州、直辖市的区旅居史的来（返）穗人员拒绝来访；</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lang w:val="zh-CN"/>
        </w:rPr>
        <w:t>近14天行程内有异地</w:t>
      </w:r>
      <w:r>
        <w:rPr>
          <w:rFonts w:hint="eastAsia" w:ascii="仿宋" w:hAnsi="仿宋" w:eastAsia="仿宋" w:cs="仿宋"/>
          <w:color w:val="000000"/>
          <w:kern w:val="2"/>
          <w:sz w:val="28"/>
          <w:szCs w:val="28"/>
          <w:lang w:val="en-US" w:eastAsia="zh-CN"/>
        </w:rPr>
        <w:t>本土疫情报告</w:t>
      </w:r>
      <w:r>
        <w:rPr>
          <w:rFonts w:hint="eastAsia" w:ascii="仿宋" w:hAnsi="仿宋" w:eastAsia="仿宋" w:cs="仿宋"/>
          <w:color w:val="000000"/>
          <w:kern w:val="2"/>
          <w:sz w:val="28"/>
          <w:szCs w:val="28"/>
          <w:lang w:val="zh-CN"/>
        </w:rPr>
        <w:t>的地级市、盟、州、直辖市的区旅居史的来（返）穗人员拒绝来访</w:t>
      </w:r>
      <w:r>
        <w:rPr>
          <w:rFonts w:hint="eastAsia" w:ascii="仿宋" w:hAnsi="仿宋" w:eastAsia="仿宋" w:cs="仿宋"/>
          <w:color w:val="000000"/>
          <w:kern w:val="2"/>
          <w:sz w:val="28"/>
          <w:szCs w:val="28"/>
          <w:lang w:val="en-US" w:eastAsia="zh-CN"/>
        </w:rPr>
        <w:t>3.近14天行程内有省外来（返）穗人员应持有地穗后来访前三天的两次核酸检测证明，即“三天两检”（每次至少间隔24小时）4</w:t>
      </w:r>
      <w:r>
        <w:rPr>
          <w:rFonts w:hint="eastAsia" w:ascii="仿宋" w:hAnsi="仿宋" w:eastAsia="仿宋" w:cs="仿宋"/>
          <w:color w:val="000000"/>
          <w:kern w:val="2"/>
          <w:sz w:val="28"/>
          <w:szCs w:val="28"/>
          <w:lang w:val="zh-CN"/>
        </w:rPr>
        <w:t>.如确需工作需要来访，应持有来访前24小时内的核酸证明）</w:t>
      </w:r>
      <w:r>
        <w:rPr>
          <w:rFonts w:hint="eastAsia" w:ascii="仿宋" w:hAnsi="仿宋" w:eastAsia="仿宋" w:cs="仿宋"/>
          <w:color w:val="auto"/>
          <w:sz w:val="28"/>
          <w:szCs w:val="28"/>
          <w:highlight w:val="none"/>
          <w:lang w:val="zh-CN"/>
        </w:rPr>
        <w:t>。待被访部室审核员审批通过后，凭访客手机生成的“通行访客码”通行。于门岗处测温并扫码填写调查问卷，手机显示问卷“提交成功”后方可进入厂区</w:t>
      </w:r>
      <w:r>
        <w:rPr>
          <w:rFonts w:hint="eastAsia" w:ascii="仿宋" w:hAnsi="仿宋" w:eastAsia="仿宋" w:cs="仿宋"/>
          <w:color w:val="auto"/>
          <w:sz w:val="28"/>
          <w:szCs w:val="28"/>
          <w:highlight w:val="none"/>
        </w:rPr>
        <w:t>）</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十一、评审时间：202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1</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时</w:t>
      </w:r>
      <w:r>
        <w:rPr>
          <w:rFonts w:hint="eastAsia" w:ascii="仿宋" w:hAnsi="仿宋" w:eastAsia="仿宋" w:cs="仿宋"/>
          <w:color w:val="000000" w:themeColor="text1"/>
          <w:sz w:val="28"/>
          <w:szCs w:val="28"/>
          <w:lang w:eastAsia="zh-CN"/>
          <w14:textFill>
            <w14:solidFill>
              <w14:schemeClr w14:val="tx1"/>
            </w14:solidFill>
          </w14:textFill>
        </w:rPr>
        <w:t>0</w:t>
      </w:r>
      <w:r>
        <w:rPr>
          <w:rFonts w:hint="eastAsia" w:ascii="仿宋" w:hAnsi="仿宋" w:eastAsia="仿宋" w:cs="仿宋"/>
          <w:color w:val="000000" w:themeColor="text1"/>
          <w:sz w:val="28"/>
          <w:szCs w:val="28"/>
          <w:lang w:val="en-US" w:eastAsia="zh-CN"/>
          <w14:textFill>
            <w14:solidFill>
              <w14:schemeClr w14:val="tx1"/>
            </w14:solidFill>
          </w14:textFill>
        </w:rPr>
        <w:t>0</w:t>
      </w:r>
      <w:r>
        <w:rPr>
          <w:rFonts w:hint="eastAsia" w:ascii="仿宋" w:hAnsi="仿宋" w:eastAsia="仿宋" w:cs="仿宋"/>
          <w:color w:val="000000" w:themeColor="text1"/>
          <w:sz w:val="28"/>
          <w:szCs w:val="28"/>
          <w14:textFill>
            <w14:solidFill>
              <w14:schemeClr w14:val="tx1"/>
            </w14:solidFill>
          </w14:textFill>
        </w:rPr>
        <w:t>分。</w:t>
      </w:r>
    </w:p>
    <w:p>
      <w:pPr>
        <w:ind w:firstLine="588" w:firstLineChars="21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十二、评审地点：广州市净水有限公司招标办                    </w:t>
      </w:r>
    </w:p>
    <w:p>
      <w:pPr>
        <w:snapToGrid/>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highlight w:val="none"/>
        </w:rPr>
        <w:t>十三、联系方式</w:t>
      </w:r>
    </w:p>
    <w:p>
      <w:pPr>
        <w:snapToGrid/>
        <w:spacing w:line="360"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询价人：广州市净水有限公司</w:t>
      </w:r>
    </w:p>
    <w:p>
      <w:pPr>
        <w:snapToGrid w:val="0"/>
        <w:spacing w:line="360" w:lineRule="auto"/>
        <w:ind w:firstLine="630" w:firstLineChars="225"/>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联系地址：广州市天河区临江大道501号            </w:t>
      </w:r>
    </w:p>
    <w:p>
      <w:pPr>
        <w:snapToGrid w:val="0"/>
        <w:spacing w:line="360" w:lineRule="auto"/>
        <w:ind w:firstLine="630" w:firstLineChars="22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林</w:t>
      </w:r>
      <w:r>
        <w:rPr>
          <w:rFonts w:hint="eastAsia" w:ascii="仿宋" w:hAnsi="仿宋" w:eastAsia="仿宋" w:cs="仿宋"/>
          <w:color w:val="000000" w:themeColor="text1"/>
          <w:sz w:val="28"/>
          <w:szCs w:val="28"/>
          <w14:textFill>
            <w14:solidFill>
              <w14:schemeClr w14:val="tx1"/>
            </w14:solidFill>
          </w14:textFill>
        </w:rPr>
        <w:t>工             联系方式：020-</w:t>
      </w:r>
      <w:r>
        <w:rPr>
          <w:rFonts w:hint="eastAsia" w:ascii="仿宋" w:hAnsi="仿宋" w:eastAsia="仿宋" w:cs="仿宋"/>
          <w:color w:val="000000" w:themeColor="text1"/>
          <w:sz w:val="28"/>
          <w:szCs w:val="28"/>
          <w:lang w:val="en-US" w:eastAsia="zh-CN"/>
          <w14:textFill>
            <w14:solidFill>
              <w14:schemeClr w14:val="tx1"/>
            </w14:solidFill>
          </w14:textFill>
        </w:rPr>
        <w:t>38890841</w:t>
      </w:r>
    </w:p>
    <w:p>
      <w:pPr>
        <w:spacing w:line="360" w:lineRule="auto"/>
        <w:ind w:firstLine="4340" w:firstLineChars="155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广州市净水有限公司</w:t>
      </w:r>
    </w:p>
    <w:p>
      <w:pPr>
        <w:spacing w:line="360" w:lineRule="auto"/>
        <w:ind w:firstLine="3920" w:firstLineChars="14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202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eastAsia="zh-CN"/>
          <w14:textFill>
            <w14:solidFill>
              <w14:schemeClr w14:val="tx1"/>
            </w14:solidFill>
          </w14:textFill>
        </w:rPr>
        <w:t>2</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日</w:t>
      </w:r>
    </w:p>
    <w:p>
      <w:pPr>
        <w:ind w:firstLine="5600" w:firstLineChars="2000"/>
        <w:rPr>
          <w:rFonts w:hint="eastAsia" w:ascii="仿宋_GB2312" w:hAnsi="仿宋_GB2312" w:eastAsia="仿宋_GB2312" w:cs="仿宋_GB2312"/>
          <w:color w:val="000000" w:themeColor="text1"/>
          <w:sz w:val="28"/>
          <w:szCs w:val="28"/>
          <w14:textFill>
            <w14:solidFill>
              <w14:schemeClr w14:val="tx1"/>
            </w14:solidFill>
          </w14:textFill>
        </w:rPr>
      </w:pPr>
    </w:p>
    <w:p>
      <w:pPr>
        <w:rPr>
          <w:rFonts w:hint="eastAsia" w:ascii="仿宋_GB2312" w:hAnsi="仿宋_GB2312" w:eastAsia="仿宋_GB2312"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23"/>
        <w:rPr>
          <w:rFonts w:hint="eastAsia" w:ascii="仿宋_GB2312" w:hAnsi="仿宋_GB2312" w:eastAsia="仿宋_GB2312" w:cs="仿宋_GB2312"/>
          <w:b/>
          <w:color w:val="auto"/>
          <w:sz w:val="28"/>
          <w:szCs w:val="28"/>
          <w:lang w:val="zh-CN"/>
        </w:rPr>
      </w:pPr>
      <w:r>
        <w:rPr>
          <w:rFonts w:hint="eastAsia" w:ascii="仿宋_GB2312" w:hAnsi="仿宋_GB2312" w:eastAsia="仿宋_GB2312" w:cs="仿宋_GB2312"/>
          <w:color w:val="auto"/>
          <w:lang w:val="zh-CN"/>
        </w:rPr>
        <w:t>第二部分项目内容</w:t>
      </w:r>
    </w:p>
    <w:p>
      <w:pPr>
        <w:spacing w:line="360" w:lineRule="auto"/>
        <w:ind w:firstLine="562" w:firstLineChars="200"/>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根据我公司对知识产权代理的需求，</w:t>
      </w:r>
      <w:r>
        <w:rPr>
          <w:rFonts w:hint="eastAsia" w:ascii="仿宋_GB2312" w:hAnsi="仿宋_GB2312" w:eastAsia="仿宋_GB2312" w:cs="仿宋_GB2312"/>
          <w:color w:val="auto"/>
          <w:sz w:val="28"/>
          <w:szCs w:val="28"/>
        </w:rPr>
        <w:t>委托具有知识产权代理资质</w:t>
      </w:r>
      <w:r>
        <w:rPr>
          <w:rFonts w:hint="eastAsia" w:ascii="仿宋_GB2312" w:hAnsi="仿宋_GB2312" w:eastAsia="仿宋_GB2312" w:cs="仿宋_GB2312"/>
          <w:sz w:val="28"/>
          <w:szCs w:val="28"/>
        </w:rPr>
        <w:t>的公司负责智慧净水、污泥资源利用类专利代理工作进行代理申请工作，其中发明专利</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项，实用新型专利</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项。专利代理工作需包含专利信息挖掘、专利申请文件撰写、审查意见答复、后期专利维护等全流程工作内容。</w:t>
      </w:r>
    </w:p>
    <w:p>
      <w:pPr>
        <w:spacing w:line="360" w:lineRule="auto"/>
        <w:ind w:firstLine="562" w:firstLineChars="200"/>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二、项目技术要求</w:t>
      </w:r>
    </w:p>
    <w:p>
      <w:pPr>
        <w:spacing w:line="360" w:lineRule="auto"/>
        <w:ind w:firstLine="560" w:firstLineChars="200"/>
        <w:rPr>
          <w:rFonts w:ascii="仿宋" w:hAnsi="仿宋" w:eastAsia="仿宋" w:cs="仿宋_GB2312"/>
          <w:sz w:val="28"/>
          <w:szCs w:val="28"/>
        </w:rPr>
      </w:pPr>
      <w:r>
        <w:rPr>
          <w:rFonts w:hint="eastAsia" w:ascii="仿宋_GB2312" w:hAnsi="仿宋_GB2312" w:eastAsia="仿宋_GB2312" w:cs="仿宋_GB2312"/>
          <w:sz w:val="28"/>
          <w:szCs w:val="28"/>
        </w:rPr>
        <w:t>1.专利代理工作</w:t>
      </w:r>
      <w:r>
        <w:rPr>
          <w:rFonts w:hint="eastAsia" w:ascii="仿宋" w:hAnsi="仿宋" w:eastAsia="仿宋" w:cs="仿宋_GB2312"/>
          <w:sz w:val="28"/>
          <w:szCs w:val="28"/>
        </w:rPr>
        <w:t>必须符合《中华人民共和国专利法》等有关国家和地方的法律、法规、规章、标准和技术要求。</w:t>
      </w:r>
    </w:p>
    <w:p>
      <w:pPr>
        <w:pStyle w:val="14"/>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_GB2312"/>
          <w:sz w:val="28"/>
          <w:szCs w:val="28"/>
        </w:rPr>
        <w:t>2.技术材料申报内容必须参照国家知识产权局的有关要求，进行技术指导，落实所需配套材料等。</w:t>
      </w:r>
    </w:p>
    <w:p>
      <w:pPr>
        <w:pStyle w:val="14"/>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3.按照合同约定的期限和内容，提交专利申请文件至国家知识产权局，约定期限不超过60个工作日。</w:t>
      </w:r>
    </w:p>
    <w:p>
      <w:pPr>
        <w:pStyle w:val="14"/>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4.按照询价人要求，报价单位有义务在合理时间内提供上门服务，并提供知识产权相关的服务。</w:t>
      </w:r>
    </w:p>
    <w:p>
      <w:pPr>
        <w:pStyle w:val="14"/>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5.报价单位对了解到的发明创造的内容（除专利申请已经公布或公告的外）负有保守秘密的责任。</w:t>
      </w:r>
    </w:p>
    <w:p>
      <w:pPr>
        <w:pStyle w:val="14"/>
        <w:adjustRightInd w:val="0"/>
        <w:snapToGrid w:val="0"/>
        <w:spacing w:line="360" w:lineRule="auto"/>
        <w:ind w:firstLine="560" w:firstLineChars="200"/>
        <w:jc w:val="left"/>
        <w:rPr>
          <w:rFonts w:ascii="仿宋" w:hAnsi="仿宋" w:eastAsia="仿宋" w:cs="仿宋_GB2312"/>
          <w:sz w:val="28"/>
          <w:szCs w:val="28"/>
        </w:rPr>
      </w:pPr>
      <w:r>
        <w:rPr>
          <w:rFonts w:hint="eastAsia" w:ascii="仿宋" w:hAnsi="仿宋" w:eastAsia="仿宋" w:cs="仿宋"/>
          <w:sz w:val="28"/>
          <w:szCs w:val="28"/>
        </w:rPr>
        <w:t>6.报价单位负有为</w:t>
      </w:r>
      <w:r>
        <w:rPr>
          <w:rFonts w:hint="eastAsia" w:ascii="仿宋" w:hAnsi="仿宋" w:eastAsia="仿宋" w:cs="仿宋"/>
          <w:sz w:val="28"/>
          <w:szCs w:val="28"/>
          <w:lang w:val="en-US" w:eastAsia="zh-CN"/>
        </w:rPr>
        <w:t>询价人</w:t>
      </w:r>
      <w:r>
        <w:rPr>
          <w:rFonts w:hint="eastAsia" w:ascii="仿宋" w:hAnsi="仿宋" w:eastAsia="仿宋" w:cs="仿宋"/>
          <w:sz w:val="28"/>
          <w:szCs w:val="28"/>
        </w:rPr>
        <w:t>保守商业秘密的义</w:t>
      </w:r>
      <w:r>
        <w:rPr>
          <w:rFonts w:hint="eastAsia" w:ascii="仿宋" w:hAnsi="仿宋" w:eastAsia="仿宋" w:cs="仿宋_GB2312"/>
          <w:sz w:val="28"/>
          <w:szCs w:val="28"/>
        </w:rPr>
        <w:t>务（具体包括产品生产和制造有关的技术诀窍、生产方案、工艺流程、设计图纸、技术情报等技术秘密和与生产经营销售活动有关的经营方法、管理方法、产销策略、货源情报、客户名单等经营秘密），并且不因本委托的解除而失效。</w:t>
      </w:r>
    </w:p>
    <w:p>
      <w:pPr>
        <w:spacing w:line="360" w:lineRule="auto"/>
        <w:ind w:firstLine="562" w:firstLineChars="200"/>
        <w:outlineLvl w:val="1"/>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三、项目商务要求</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1.工期：见合同书格式。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2.质量要求：通过相关行政主管部门或单位的评审和审批。</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3.付款方式：见合同书格式。</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4.承包方式：单价包干。</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询价响应文件包含总价及综合单价时，综合单价为合同单价。合同单价在询价文件及施工合同约定的风险范围之内不可调整。</w:t>
      </w: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整个项目主要工作内容包括：</w:t>
      </w:r>
    </w:p>
    <w:p>
      <w:pPr>
        <w:pStyle w:val="14"/>
        <w:adjustRightInd w:val="0"/>
        <w:snapToGrid w:val="0"/>
        <w:spacing w:line="360" w:lineRule="auto"/>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（1）派遣专业技术人员与询价人相关人员进行技术讨论，商定可提取优化申请的技术点。</w:t>
      </w:r>
    </w:p>
    <w:p>
      <w:pPr>
        <w:pStyle w:val="14"/>
        <w:adjustRightInd w:val="0"/>
        <w:snapToGrid w:val="0"/>
        <w:spacing w:line="360" w:lineRule="auto"/>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（2）在特别的情况下，需派遣专业技术人员去到询价人各分、子公司开展技术讨论与实地勘察。</w:t>
      </w:r>
    </w:p>
    <w:p>
      <w:pPr>
        <w:pStyle w:val="14"/>
        <w:adjustRightInd w:val="0"/>
        <w:snapToGrid w:val="0"/>
        <w:spacing w:line="360" w:lineRule="auto"/>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（3）针对询价人提出的技术方法和路线，进行检索、查新。</w:t>
      </w:r>
    </w:p>
    <w:p>
      <w:pPr>
        <w:pStyle w:val="14"/>
        <w:adjustRightInd w:val="0"/>
        <w:snapToGrid w:val="0"/>
        <w:spacing w:line="360" w:lineRule="auto"/>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（4）与各专利技术负责人商定并撰写方案，大部分案件需代理机构根据技术点编写专利材料。</w:t>
      </w:r>
    </w:p>
    <w:p>
      <w:pPr>
        <w:pStyle w:val="14"/>
        <w:adjustRightInd w:val="0"/>
        <w:snapToGrid w:val="0"/>
        <w:spacing w:line="360" w:lineRule="auto"/>
        <w:ind w:firstLine="560" w:firstLineChars="200"/>
        <w:rPr>
          <w:rFonts w:hint="eastAsia" w:ascii="仿宋" w:hAnsi="仿宋" w:eastAsia="仿宋" w:cs="仿宋_GB2312"/>
          <w:sz w:val="28"/>
          <w:szCs w:val="28"/>
          <w:lang w:val="zh-CN"/>
        </w:rPr>
      </w:pPr>
      <w:r>
        <w:rPr>
          <w:rFonts w:hint="eastAsia" w:ascii="仿宋" w:hAnsi="仿宋" w:eastAsia="仿宋" w:cs="仿宋_GB2312"/>
          <w:sz w:val="28"/>
          <w:szCs w:val="28"/>
          <w:lang w:val="zh-CN"/>
        </w:rPr>
        <w:t>（5）形成的专利文件与、申请文件、答辩文件等都必须经技术人员确认后方可提交。</w:t>
      </w:r>
    </w:p>
    <w:p>
      <w:pPr>
        <w:pStyle w:val="14"/>
        <w:adjustRightInd w:val="0"/>
        <w:snapToGrid w:val="0"/>
        <w:spacing w:line="360"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（6）保</w:t>
      </w:r>
      <w:r>
        <w:rPr>
          <w:rFonts w:hint="eastAsia" w:ascii="仿宋" w:hAnsi="仿宋" w:eastAsia="仿宋" w:cs="仿宋_GB2312"/>
          <w:sz w:val="28"/>
          <w:szCs w:val="28"/>
          <w:highlight w:val="none"/>
          <w:lang w:val="zh-CN"/>
        </w:rPr>
        <w:t>证总体</w:t>
      </w:r>
      <w:r>
        <w:rPr>
          <w:rFonts w:hint="eastAsia" w:ascii="仿宋" w:hAnsi="仿宋" w:eastAsia="仿宋" w:cs="仿宋_GB2312"/>
          <w:sz w:val="28"/>
          <w:szCs w:val="28"/>
          <w:highlight w:val="none"/>
          <w:lang w:val="en-US" w:eastAsia="zh-CN"/>
        </w:rPr>
        <w:t>(11项专利)</w:t>
      </w:r>
      <w:r>
        <w:rPr>
          <w:rFonts w:hint="eastAsia" w:ascii="仿宋" w:hAnsi="仿宋" w:eastAsia="仿宋" w:cs="仿宋_GB2312"/>
          <w:sz w:val="28"/>
          <w:szCs w:val="28"/>
          <w:highlight w:val="none"/>
          <w:lang w:val="zh-CN"/>
        </w:rPr>
        <w:t>授权率达到80%（</w:t>
      </w:r>
      <w:r>
        <w:rPr>
          <w:rFonts w:hint="eastAsia" w:ascii="仿宋" w:hAnsi="仿宋" w:eastAsia="仿宋" w:cs="仿宋_GB2312"/>
          <w:sz w:val="28"/>
          <w:szCs w:val="28"/>
          <w:highlight w:val="none"/>
          <w:lang w:val="en-US" w:eastAsia="zh-CN"/>
        </w:rPr>
        <w:t>9个</w:t>
      </w:r>
      <w:r>
        <w:rPr>
          <w:rFonts w:hint="eastAsia" w:ascii="仿宋" w:hAnsi="仿宋" w:eastAsia="仿宋" w:cs="仿宋_GB2312"/>
          <w:sz w:val="28"/>
          <w:szCs w:val="28"/>
          <w:highlight w:val="none"/>
          <w:lang w:val="zh-CN"/>
        </w:rPr>
        <w:t>）以上，</w:t>
      </w:r>
      <w:r>
        <w:rPr>
          <w:rFonts w:hint="eastAsia" w:ascii="仿宋" w:hAnsi="仿宋" w:eastAsia="仿宋" w:cs="仿宋_GB2312"/>
          <w:sz w:val="28"/>
          <w:szCs w:val="28"/>
          <w:lang w:val="en-US" w:eastAsia="zh-CN"/>
        </w:rPr>
        <w:t>并分阶段进行结算工作，甲方应在收到国家知识产权局发布的专利申请受理通知书及乙方开具的全额增值税专用发票后，及时支付全额官费及95%代理费给乙方。待收到知识产权局发布的授权通知书及乙方开具的全额增值税专用发票后，按照双方约定支付剩余5%专利代理费给乙方。</w:t>
      </w:r>
    </w:p>
    <w:p>
      <w:pPr>
        <w:widowControl/>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pPr>
        <w:pStyle w:val="14"/>
        <w:adjustRightInd w:val="0"/>
        <w:snapToGrid w:val="0"/>
        <w:spacing w:line="300" w:lineRule="auto"/>
        <w:jc w:val="center"/>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14"/>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14"/>
        <w:adjustRightInd w:val="0"/>
        <w:snapToGrid w:val="0"/>
        <w:spacing w:line="300" w:lineRule="auto"/>
        <w:ind w:left="54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1.“询价人”是指：</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sz w:val="28"/>
          <w:szCs w:val="28"/>
        </w:rPr>
        <w:t>。</w:t>
      </w:r>
    </w:p>
    <w:p>
      <w:pPr>
        <w:pStyle w:val="14"/>
        <w:tabs>
          <w:tab w:val="left" w:pos="360"/>
        </w:tabs>
        <w:adjustRightInd w:val="0"/>
        <w:snapToGrid w:val="0"/>
        <w:spacing w:line="300" w:lineRule="auto"/>
        <w:ind w:left="542"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14"/>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14"/>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14"/>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报价单位须知</w:t>
      </w:r>
    </w:p>
    <w:p>
      <w:pPr>
        <w:pStyle w:val="14"/>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14"/>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14"/>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在询价过程中由询价人发出的修正和补充文件等</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7.2</w:t>
      </w:r>
      <w:r>
        <w:rPr>
          <w:rFonts w:hint="eastAsia" w:ascii="仿宋_GB2312" w:hAnsi="Courier New" w:eastAsia="仿宋_GB2312" w:cs="仿宋_GB2312"/>
          <w:b w:val="0"/>
          <w:color w:val="000000"/>
          <w:sz w:val="28"/>
          <w:szCs w:val="28"/>
          <w:lang w:bidi="ar-SA"/>
        </w:rPr>
        <w:t>任何要求对询价文件进行澄清的报价单位，均应以纸质形式通知询价人。询价人对其收到的纸质的对询价文件的澄清要求均以书面形式予以答复。报价单位在收到上述答复后，应立即向询价人回函确认，该答复作为询价文件的一部分，对报价单位有约束力。</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７.3</w:t>
      </w:r>
      <w:r>
        <w:rPr>
          <w:rFonts w:hint="eastAsia" w:ascii="仿宋_GB2312" w:hAnsi="Courier New" w:eastAsia="仿宋_GB2312" w:cs="仿宋_GB2312"/>
          <w:b w:val="0"/>
          <w:color w:val="000000"/>
          <w:sz w:val="28"/>
          <w:szCs w:val="28"/>
          <w:lang w:bidi="ar-SA"/>
        </w:rPr>
        <w:t>询价文件的修改或澄清将以书面形式通知所有购买询价文件的报价单位，并对其具有约束力。报价单位在收到上述通知后，应立即向询价人回函确认。</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7.4</w:t>
      </w:r>
      <w:r>
        <w:rPr>
          <w:rFonts w:hint="eastAsia" w:ascii="仿宋_GB2312" w:hAnsi="Courier New" w:eastAsia="仿宋_GB2312" w:cs="仿宋_GB2312"/>
          <w:b w:val="0"/>
          <w:color w:val="000000"/>
          <w:sz w:val="28"/>
          <w:szCs w:val="28"/>
          <w:lang w:bidi="ar-SA"/>
        </w:rPr>
        <w:t>询价人可以视询价具体情况，延长递交询价响应文件截止时间，并将变更时间以书面形式通知所有询价文件收受人。</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7.5 书面形式包括但不限于以纸质、电子邮件、门户网站信息公告等形式。</w:t>
      </w:r>
    </w:p>
    <w:p>
      <w:pPr>
        <w:pStyle w:val="14"/>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三、询价响应文件的编制和数量</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14"/>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10.1报价单位编制的询价响应文件应包括但不少于本询价文件第四章《询价响应文件格式》的所有内容。</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10" w:hanging="63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42"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r>
        <w:rPr>
          <w:rFonts w:hint="eastAsia" w:ascii="仿宋_GB2312" w:eastAsia="仿宋_GB2312" w:cs="仿宋_GB2312"/>
          <w:color w:val="000000"/>
          <w:sz w:val="28"/>
          <w:szCs w:val="28"/>
          <w:lang w:bidi="ar-SA"/>
        </w:rPr>
        <w:t>报价若低于本项目最高限价的60%，必须在响应文件中说明报价理由。</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 报价人不得存在以下情形之一：</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（2）法定代表人或单位负责人为同一个人或者存在控股、管理关系的不同单位,同时参加同一项目或同一子项目；</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（3）为本询价项目提供过设计、编制技术规范和其他文件的咨询服务；</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（4）被依法暂停或者取消投标资格；</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（5）被责令停产停业、暂扣或者吊销许可证、暂扣或者吊销执照；</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（6）进入清算程序，或被宣告破产，或其他丧失履约能力的情形；</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w:t>
      </w:r>
      <w:r>
        <w:rPr>
          <w:rFonts w:ascii="仿宋" w:hAnsi="仿宋" w:eastAsia="仿宋" w:cs="仿宋_GB2312"/>
          <w:sz w:val="28"/>
          <w:szCs w:val="28"/>
        </w:rPr>
        <w:t>在参加本项目前3年内在</w:t>
      </w:r>
      <w:r>
        <w:rPr>
          <w:rFonts w:hint="eastAsia" w:ascii="仿宋" w:hAnsi="仿宋" w:eastAsia="仿宋" w:cs="仿宋_GB2312"/>
          <w:sz w:val="28"/>
          <w:szCs w:val="28"/>
        </w:rPr>
        <w:t>存在</w:t>
      </w:r>
      <w:r>
        <w:rPr>
          <w:rFonts w:ascii="仿宋" w:hAnsi="仿宋" w:eastAsia="仿宋" w:cs="仿宋_GB2312"/>
          <w:sz w:val="28"/>
          <w:szCs w:val="28"/>
        </w:rPr>
        <w:t>重大违法记录</w:t>
      </w:r>
      <w:r>
        <w:rPr>
          <w:rFonts w:hint="eastAsia" w:ascii="仿宋" w:hAnsi="仿宋" w:eastAsia="仿宋" w:cs="仿宋_GB2312"/>
          <w:sz w:val="28"/>
          <w:szCs w:val="28"/>
        </w:rPr>
        <w:t>；</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（8）被“全国企业信用信息公示系统”（网址：http://www.gsxt.gov.cn/）列入经营异常名录和严重违法企业名单；</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w:t>
      </w:r>
      <w:r>
        <w:rPr>
          <w:rFonts w:ascii="仿宋" w:hAnsi="仿宋" w:eastAsia="仿宋" w:cs="仿宋_GB2312"/>
          <w:sz w:val="28"/>
          <w:szCs w:val="28"/>
        </w:rPr>
        <w:t>被《信用中国》网站（www.creditchina.gov.cn）公示存在不良信用记录；</w:t>
      </w:r>
    </w:p>
    <w:p>
      <w:pPr>
        <w:pStyle w:val="14"/>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（10）本项目截止时间前的半年中，在询价人组织的招标、询价活动中有被查实提供虚假材料的。</w:t>
      </w:r>
      <w:r>
        <w:rPr>
          <w:rFonts w:hint="eastAsia" w:ascii="仿宋" w:hAnsi="仿宋" w:eastAsia="仿宋" w:cs="仿宋_GB2312"/>
          <w:b/>
          <w:bCs/>
          <w:sz w:val="28"/>
          <w:szCs w:val="28"/>
        </w:rPr>
        <w:t xml:space="preserve"> </w:t>
      </w:r>
    </w:p>
    <w:p>
      <w:pPr>
        <w:pStyle w:val="14"/>
        <w:adjustRightInd w:val="0"/>
        <w:snapToGrid w:val="0"/>
        <w:spacing w:line="300" w:lineRule="auto"/>
        <w:ind w:left="562" w:leftChars="1"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 不接受联合体报价。</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4"/>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pStyle w:val="14"/>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15.1询价响应文件应在询价之日起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报价单位应编制询价响应文件一式</w:t>
      </w:r>
      <w:r>
        <w:rPr>
          <w:rFonts w:hint="eastAsia"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rPr>
        <w:t>份，其中正本一份和副本</w:t>
      </w:r>
      <w:r>
        <w:rPr>
          <w:rFonts w:hint="eastAsia" w:ascii="仿宋_GB2312" w:hAnsi="仿宋_GB2312" w:eastAsia="仿宋_GB2312" w:cs="仿宋_GB2312"/>
          <w:kern w:val="0"/>
          <w:sz w:val="28"/>
          <w:szCs w:val="28"/>
          <w:u w:val="single"/>
        </w:rPr>
        <w:t>各一</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6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42" w:right="32" w:hanging="560"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14"/>
        <w:adjustRightInd w:val="0"/>
        <w:snapToGrid w:val="0"/>
        <w:spacing w:line="300"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17.1报价单位应将询价响应文件正本和副本用单独的信封密封，注明“正本”或“副本”字样。</w:t>
      </w:r>
    </w:p>
    <w:p>
      <w:pPr>
        <w:pStyle w:val="14"/>
        <w:adjustRightInd w:val="0"/>
        <w:snapToGrid w:val="0"/>
        <w:spacing w:line="300"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17.2每一密封信封均应：</w:t>
      </w:r>
    </w:p>
    <w:p>
      <w:pPr>
        <w:pStyle w:val="14"/>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14"/>
        <w:adjustRightInd w:val="0"/>
        <w:snapToGrid w:val="0"/>
        <w:spacing w:line="300"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17.3如果信封未按本须知第17.1条和第17.2条要求密封的，询价人对误投或过早启封概不负责。</w:t>
      </w:r>
    </w:p>
    <w:p>
      <w:pPr>
        <w:pStyle w:val="14"/>
        <w:adjustRightInd w:val="0"/>
        <w:snapToGrid w:val="0"/>
        <w:spacing w:line="300"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60"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14"/>
        <w:adjustRightInd w:val="0"/>
        <w:snapToGrid w:val="0"/>
        <w:spacing w:line="264"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264"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264"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14"/>
        <w:adjustRightInd w:val="0"/>
        <w:snapToGrid w:val="0"/>
        <w:spacing w:line="264" w:lineRule="auto"/>
        <w:ind w:left="610"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677"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14"/>
        <w:adjustRightInd w:val="0"/>
        <w:snapToGrid w:val="0"/>
        <w:spacing w:line="264"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报价单位所提交的询价响应文件在询价结束后，无论成交与否都不退还。</w:t>
      </w:r>
    </w:p>
    <w:p>
      <w:pPr>
        <w:pStyle w:val="14"/>
        <w:adjustRightInd w:val="0"/>
        <w:snapToGrid w:val="0"/>
        <w:spacing w:line="264"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14"/>
        <w:adjustRightInd w:val="0"/>
        <w:snapToGrid w:val="0"/>
        <w:spacing w:line="264"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36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36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pStyle w:val="33"/>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33"/>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33"/>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33"/>
        <w:spacing w:line="360" w:lineRule="auto"/>
        <w:rPr>
          <w:rFonts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30" w:hangingChars="225"/>
        <w:rPr>
          <w:rFonts w:ascii="仿宋_GB2312" w:hAnsi="仿宋_GB2312" w:eastAsia="仿宋_GB2312" w:cs="仿宋_GB2312"/>
          <w:b/>
          <w:bCs/>
          <w:kern w:val="0"/>
          <w:sz w:val="28"/>
          <w:szCs w:val="28"/>
        </w:rPr>
      </w:pPr>
      <w:r>
        <w:rPr>
          <w:rFonts w:hint="eastAsia" w:ascii="仿宋_GB2312" w:hAnsi="仿宋_GB2312" w:eastAsia="仿宋_GB2312" w:cs="仿宋_GB2312"/>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备选单位，若注册资金相同则以上一年资产盈利高的作为备选单位。</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pacing w:before="120"/>
        <w:ind w:left="721" w:right="-61" w:rightChars="-29"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36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30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3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23.2承包人确定后，询价人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对承包人和询价人具有同等法律效力</w:t>
      </w:r>
      <w:r>
        <w:rPr>
          <w:rFonts w:hint="eastAsia" w:ascii="仿宋_GB2312" w:hAnsi="仿宋_GB2312" w:eastAsia="仿宋_GB2312" w:cs="仿宋_GB2312"/>
          <w:kern w:val="0"/>
          <w:sz w:val="28"/>
          <w:szCs w:val="28"/>
        </w:rPr>
        <w:t>。</w:t>
      </w:r>
    </w:p>
    <w:p>
      <w:pPr>
        <w:pStyle w:val="14"/>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677" w:right="32" w:hanging="700"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w:t>
      </w:r>
      <w:r>
        <w:rPr>
          <w:rFonts w:hint="eastAsia" w:ascii="仿宋" w:hAnsi="仿宋" w:eastAsia="仿宋" w:cs="仿宋_GB2312"/>
          <w:sz w:val="28"/>
          <w:szCs w:val="28"/>
        </w:rPr>
        <w:t>因承包人原因导致未按规定时限签订合同的，发包人有权视为其自动放弃该项目承包资格。</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677"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700"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承包人因不可抗力或者自身原因不能履行承包合同的，询价人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26. 如果报价人认为询价文件或询价过程或询价结果使其权益受到损害的，可向询价人提出书面质疑。询价人应在规定时间内给与答复。</w:t>
      </w:r>
    </w:p>
    <w:p>
      <w:pPr>
        <w:pStyle w:val="2"/>
        <w:rPr>
          <w:rFonts w:hint="eastAsia" w:ascii="仿宋_GB2312" w:hAnsi="仿宋_GB2312" w:eastAsia="仿宋_GB2312" w:cs="仿宋_GB2312"/>
          <w:color w:val="000000"/>
        </w:rPr>
      </w:pPr>
      <w:bookmarkStart w:id="1" w:name="_Toc371433002"/>
      <w:bookmarkStart w:id="2" w:name="_Toc144974548"/>
      <w:bookmarkStart w:id="3" w:name="_Toc152042358"/>
      <w:bookmarkStart w:id="4" w:name="_Toc179632599"/>
      <w:bookmarkStart w:id="5" w:name="_Toc247085739"/>
      <w:bookmarkStart w:id="6" w:name="_Toc152045581"/>
    </w:p>
    <w:p>
      <w:pPr>
        <w:rPr>
          <w:rFonts w:hint="eastAsia"/>
        </w:rPr>
      </w:pPr>
    </w:p>
    <w:p>
      <w:pPr>
        <w:pStyle w:val="2"/>
        <w:rPr>
          <w:rFonts w:hint="eastAsia" w:ascii="仿宋_GB2312" w:hAnsi="仿宋_GB2312" w:eastAsia="仿宋_GB2312" w:cs="仿宋_GB2312"/>
          <w:color w:val="000000"/>
        </w:rPr>
      </w:pPr>
    </w:p>
    <w:p>
      <w:pPr>
        <w:pStyle w:val="2"/>
        <w:rPr>
          <w:rFonts w:hint="eastAsia" w:ascii="仿宋_GB2312" w:hAnsi="仿宋_GB2312" w:eastAsia="仿宋_GB2312" w:cs="仿宋_GB2312"/>
          <w:color w:val="000000"/>
        </w:rPr>
      </w:pPr>
      <w:r>
        <w:rPr>
          <w:rFonts w:hint="eastAsia" w:ascii="仿宋_GB2312" w:hAnsi="仿宋_GB2312" w:eastAsia="仿宋_GB2312" w:cs="仿宋_GB2312"/>
          <w:color w:val="000000"/>
        </w:rPr>
        <w:t>附件一 报价记录表</w:t>
      </w:r>
      <w:bookmarkEnd w:id="1"/>
      <w:bookmarkEnd w:id="2"/>
      <w:bookmarkEnd w:id="3"/>
      <w:bookmarkEnd w:id="4"/>
      <w:bookmarkEnd w:id="5"/>
      <w:bookmarkEnd w:id="6"/>
    </w:p>
    <w:p>
      <w:pPr>
        <w:spacing w:line="40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（项目名称）报价记录表</w:t>
      </w:r>
    </w:p>
    <w:p>
      <w:pPr>
        <w:spacing w:line="500" w:lineRule="exact"/>
        <w:ind w:firstLine="3465" w:firstLineChars="1650"/>
        <w:rPr>
          <w:rFonts w:hint="eastAsia" w:ascii="仿宋_GB2312" w:hAnsi="仿宋_GB2312" w:eastAsia="仿宋_GB2312" w:cs="仿宋_GB2312"/>
          <w:color w:val="000000"/>
        </w:rPr>
      </w:pPr>
      <w:r>
        <w:rPr>
          <w:rFonts w:hint="eastAsia" w:ascii="仿宋_GB2312" w:hAnsi="仿宋_GB2312" w:eastAsia="仿宋_GB2312" w:cs="仿宋_GB2312"/>
          <w:color w:val="000000"/>
          <w:szCs w:val="21"/>
        </w:rPr>
        <w:t>报价文件开启时间：年月日时分</w:t>
      </w:r>
    </w:p>
    <w:tbl>
      <w:tblPr>
        <w:tblStyle w:val="27"/>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hint="eastAsia" w:ascii="仿宋_GB2312" w:hAnsi="仿宋_GB2312" w:eastAsia="仿宋_GB2312" w:cs="仿宋_GB2312"/>
                <w:color w:val="000000"/>
                <w:szCs w:val="21"/>
              </w:rPr>
            </w:pPr>
          </w:p>
        </w:tc>
      </w:tr>
    </w:tbl>
    <w:p>
      <w:pPr>
        <w:spacing w:line="440" w:lineRule="exact"/>
        <w:rPr>
          <w:rFonts w:hint="eastAsia" w:ascii="仿宋_GB2312" w:hAnsi="仿宋_GB2312" w:eastAsia="仿宋_GB2312" w:cs="仿宋_GB2312"/>
          <w:color w:val="000000"/>
        </w:rPr>
      </w:pP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经办人： 记录人： 监察：</w:t>
      </w:r>
    </w:p>
    <w:p>
      <w:pPr>
        <w:spacing w:line="440" w:lineRule="exact"/>
        <w:rPr>
          <w:rFonts w:hint="eastAsia" w:ascii="仿宋_GB2312" w:hAnsi="仿宋_GB2312" w:eastAsia="仿宋_GB2312" w:cs="仿宋_GB2312"/>
          <w:color w:val="000000"/>
          <w:u w:val="single"/>
        </w:rPr>
      </w:pPr>
      <w:r>
        <w:rPr>
          <w:rFonts w:hint="eastAsia" w:ascii="仿宋_GB2312" w:hAnsi="仿宋_GB2312" w:eastAsia="仿宋_GB2312" w:cs="仿宋_GB2312"/>
          <w:color w:val="000000"/>
        </w:rPr>
        <w:t>年月 日</w:t>
      </w:r>
    </w:p>
    <w:p>
      <w:pPr>
        <w:ind w:firstLine="720" w:firstLineChars="300"/>
        <w:rPr>
          <w:rFonts w:hint="eastAsia" w:ascii="仿宋_GB2312" w:hAnsi="仿宋_GB2312" w:eastAsia="仿宋_GB2312" w:cs="仿宋_GB2312"/>
          <w:color w:val="000000" w:themeColor="text1"/>
          <w:sz w:val="24"/>
          <w14:textFill>
            <w14:solidFill>
              <w14:schemeClr w14:val="tx1"/>
            </w14:solidFill>
          </w14:textFill>
        </w:rPr>
        <w:sectPr>
          <w:pgSz w:w="11906" w:h="16838"/>
          <w:pgMar w:top="1089" w:right="1466" w:bottom="1089" w:left="1077" w:header="851" w:footer="992" w:gutter="0"/>
          <w:cols w:space="720" w:num="1"/>
          <w:docGrid w:type="lines" w:linePitch="312" w:charSpace="0"/>
        </w:sectPr>
      </w:pPr>
    </w:p>
    <w:p>
      <w:pPr>
        <w:pStyle w:val="2"/>
        <w:rPr>
          <w:rFonts w:hint="eastAsia" w:ascii="仿宋_GB2312" w:hAnsi="仿宋_GB2312" w:eastAsia="仿宋_GB2312" w:cs="仿宋_GB2312"/>
          <w:color w:val="000000"/>
        </w:rPr>
      </w:pPr>
      <w:r>
        <w:rPr>
          <w:rFonts w:hint="eastAsia" w:ascii="仿宋_GB2312" w:hAnsi="仿宋_GB2312" w:eastAsia="仿宋_GB2312" w:cs="仿宋_GB2312"/>
          <w:color w:val="000000"/>
        </w:rPr>
        <w:t>附件二</w:t>
      </w:r>
    </w:p>
    <w:p>
      <w:pPr>
        <w:jc w:val="center"/>
        <w:rPr>
          <w:rFonts w:hint="eastAsia" w:ascii="仿宋_GB2312" w:hAnsi="仿宋_GB2312" w:eastAsia="仿宋_GB2312" w:cs="仿宋_GB2312"/>
          <w:b/>
          <w:bCs/>
          <w:color w:val="000000"/>
          <w:sz w:val="32"/>
          <w:szCs w:val="40"/>
        </w:rPr>
      </w:pPr>
      <w:r>
        <w:rPr>
          <w:rFonts w:hint="eastAsia" w:ascii="仿宋_GB2312" w:hAnsi="仿宋_GB2312" w:eastAsia="仿宋_GB2312" w:cs="仿宋_GB2312"/>
          <w:b/>
          <w:bCs/>
          <w:color w:val="000000"/>
          <w:sz w:val="32"/>
          <w:szCs w:val="40"/>
        </w:rPr>
        <w:t>广州市净水有限公司非公开招标项目评审记录表</w:t>
      </w:r>
    </w:p>
    <w:p>
      <w:pPr>
        <w:spacing w:line="360" w:lineRule="auto"/>
        <w:ind w:left="1200" w:hanging="1200" w:hangingChars="500"/>
        <w:rPr>
          <w:rFonts w:hint="eastAsia" w:ascii="仿宋_GB2312" w:hAnsi="仿宋_GB2312" w:eastAsia="仿宋_GB2312" w:cs="仿宋_GB2312"/>
          <w:color w:val="000000" w:themeColor="text1"/>
          <w:sz w:val="24"/>
          <w:highlight w:val="cyan"/>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项目名称：</w:t>
      </w:r>
    </w:p>
    <w:tbl>
      <w:tblPr>
        <w:tblStyle w:val="27"/>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b/>
                <w:color w:val="000000" w:themeColor="text1"/>
                <w:sz w:val="24"/>
                <w:highlight w:val="none"/>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18"/>
                <w:szCs w:val="18"/>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宋体" w:hAnsi="宋体"/>
                <w:color w:val="000000"/>
                <w:sz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宋体" w:hAnsi="宋体"/>
                <w:color w:val="000000"/>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宋体" w:hAnsi="宋体"/>
                <w:color w:val="000000"/>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宋体" w:hAnsi="宋体"/>
                <w:color w:val="000000"/>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原</w:t>
            </w:r>
            <w:r>
              <w:rPr>
                <w:rFonts w:hint="eastAsia" w:ascii="宋体" w:hAnsi="宋体" w:eastAsia="宋体" w:cs="宋体"/>
                <w:color w:val="000000" w:themeColor="text1"/>
                <w:sz w:val="24"/>
                <w:highlight w:val="none"/>
                <w14:textFill>
                  <w14:solidFill>
                    <w14:schemeClr w14:val="tx1"/>
                  </w14:solidFill>
                </w14:textFill>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hint="eastAsia" w:ascii="仿宋_GB2312" w:hAnsi="仿宋_GB2312" w:eastAsia="仿宋_GB2312" w:cs="仿宋_GB2312"/>
                <w:color w:val="000000" w:themeColor="text1"/>
                <w:sz w:val="24"/>
                <w:highlight w:val="none"/>
                <w14:textFill>
                  <w14:solidFill>
                    <w14:schemeClr w14:val="tx1"/>
                  </w14:solidFill>
                </w14:textFill>
              </w:rPr>
            </w:pPr>
          </w:p>
        </w:tc>
      </w:tr>
    </w:tbl>
    <w:p>
      <w:pPr>
        <w:ind w:left="840" w:hanging="840" w:hangingChars="4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备注：1、审核情况填写“符合”或“不符合；或者打“√”或“×”。</w:t>
      </w:r>
    </w:p>
    <w:p>
      <w:pPr>
        <w:numPr>
          <w:ilvl w:val="0"/>
          <w:numId w:val="2"/>
        </w:numPr>
        <w:ind w:firstLine="630" w:firstLineChars="3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本表所有审核情况均为符合的，结论为报名成功。若有一项或以上审核情况为不符合的，结论为报名不成功。</w:t>
      </w:r>
    </w:p>
    <w:p>
      <w:pPr>
        <w:ind w:left="630"/>
        <w:rPr>
          <w:rFonts w:hint="eastAsia" w:ascii="仿宋_GB2312" w:hAnsi="仿宋_GB2312" w:eastAsia="仿宋_GB2312" w:cs="仿宋_GB2312"/>
          <w:color w:val="000000" w:themeColor="text1"/>
          <w14:textFill>
            <w14:solidFill>
              <w14:schemeClr w14:val="tx1"/>
            </w14:solidFill>
          </w14:textFill>
        </w:rPr>
      </w:pPr>
    </w:p>
    <w:p>
      <w:pPr>
        <w:rPr>
          <w:rFonts w:hint="eastAsia" w:ascii="仿宋_GB2312" w:hAnsi="仿宋_GB2312" w:eastAsia="仿宋_GB2312" w:cs="仿宋_GB2312"/>
          <w:b/>
          <w:bCs/>
          <w:color w:val="000000"/>
          <w:sz w:val="32"/>
          <w:szCs w:val="32"/>
        </w:rPr>
      </w:pPr>
    </w:p>
    <w:p>
      <w:pPr>
        <w:rPr>
          <w:rFonts w:hint="eastAsia" w:ascii="仿宋_GB2312" w:hAnsi="仿宋_GB2312" w:eastAsia="仿宋_GB2312" w:cs="仿宋_GB2312"/>
          <w:b/>
          <w:bCs/>
          <w:color w:val="000000"/>
          <w:sz w:val="32"/>
          <w:szCs w:val="32"/>
        </w:rPr>
      </w:pPr>
    </w:p>
    <w:p>
      <w:pPr>
        <w:pStyle w:val="2"/>
        <w:rPr>
          <w:rFonts w:hint="eastAsia" w:ascii="仿宋_GB2312" w:hAnsi="仿宋_GB2312" w:eastAsia="仿宋_GB2312" w:cs="仿宋_GB2312"/>
        </w:rPr>
      </w:pPr>
      <w:r>
        <w:rPr>
          <w:rFonts w:hint="eastAsia" w:ascii="仿宋_GB2312" w:hAnsi="仿宋_GB2312" w:eastAsia="仿宋_GB2312" w:cs="仿宋_GB2312"/>
        </w:rPr>
        <w:t>附件三</w:t>
      </w:r>
    </w:p>
    <w:p>
      <w:pPr>
        <w:autoSpaceDE w:val="0"/>
        <w:autoSpaceDN w:val="0"/>
        <w:adjustRightInd w:val="0"/>
        <w:rPr>
          <w:rFonts w:hint="eastAsia" w:ascii="仿宋_GB2312" w:hAnsi="仿宋_GB2312" w:eastAsia="仿宋_GB2312" w:cs="仿宋_GB2312"/>
          <w:kern w:val="0"/>
          <w:sz w:val="28"/>
          <w:szCs w:val="28"/>
        </w:rPr>
      </w:pPr>
    </w:p>
    <w:p>
      <w:pPr>
        <w:tabs>
          <w:tab w:val="left" w:pos="5740"/>
        </w:tabs>
        <w:autoSpaceDE w:val="0"/>
        <w:autoSpaceDN w:val="0"/>
        <w:adjustRightInd w:val="0"/>
        <w:jc w:val="center"/>
        <w:rPr>
          <w:rFonts w:hint="eastAsia" w:ascii="仿宋_GB2312" w:hAnsi="仿宋_GB2312" w:eastAsia="仿宋_GB2312" w:cs="仿宋_GB2312"/>
          <w:sz w:val="44"/>
          <w:szCs w:val="44"/>
        </w:rPr>
      </w:pPr>
      <w:r>
        <w:rPr>
          <w:rFonts w:hint="eastAsia" w:ascii="仿宋_GB2312" w:hAnsi="仿宋_GB2312" w:eastAsia="仿宋_GB2312" w:cs="仿宋_GB2312"/>
          <w:bCs/>
          <w:kern w:val="0"/>
          <w:sz w:val="44"/>
          <w:szCs w:val="44"/>
        </w:rPr>
        <w:t>广州市净水有限公司</w:t>
      </w:r>
      <w:r>
        <w:rPr>
          <w:rFonts w:hint="eastAsia" w:ascii="仿宋_GB2312" w:hAnsi="仿宋_GB2312" w:eastAsia="仿宋_GB2312" w:cs="仿宋_GB2312"/>
          <w:sz w:val="44"/>
          <w:szCs w:val="44"/>
        </w:rPr>
        <w:t>非公开招标项目</w:t>
      </w:r>
    </w:p>
    <w:p>
      <w:pPr>
        <w:tabs>
          <w:tab w:val="left" w:pos="5740"/>
        </w:tabs>
        <w:autoSpaceDE w:val="0"/>
        <w:autoSpaceDN w:val="0"/>
        <w:adjustRightInd w:val="0"/>
        <w:jc w:val="center"/>
        <w:rPr>
          <w:rFonts w:hint="eastAsia" w:ascii="仿宋_GB2312" w:hAnsi="仿宋_GB2312" w:eastAsia="仿宋_GB2312" w:cs="仿宋_GB2312"/>
          <w:bCs/>
          <w:kern w:val="0"/>
          <w:sz w:val="44"/>
          <w:szCs w:val="44"/>
        </w:rPr>
      </w:pPr>
      <w:r>
        <w:rPr>
          <w:rFonts w:hint="eastAsia" w:ascii="仿宋_GB2312" w:hAnsi="仿宋_GB2312" w:eastAsia="仿宋_GB2312" w:cs="仿宋_GB2312"/>
          <w:bCs/>
          <w:kern w:val="0"/>
          <w:sz w:val="44"/>
          <w:szCs w:val="44"/>
        </w:rPr>
        <w:t>发包通知书</w:t>
      </w:r>
    </w:p>
    <w:p>
      <w:pPr>
        <w:autoSpaceDE w:val="0"/>
        <w:autoSpaceDN w:val="0"/>
        <w:adjustRightInd w:val="0"/>
        <w:spacing w:after="400"/>
        <w:jc w:val="center"/>
        <w:rPr>
          <w:rFonts w:hint="eastAsia" w:ascii="仿宋_GB2312" w:hAnsi="仿宋_GB2312" w:eastAsia="仿宋_GB2312" w:cs="仿宋_GB2312"/>
          <w:kern w:val="0"/>
          <w:sz w:val="32"/>
          <w:szCs w:val="32"/>
        </w:rPr>
      </w:pPr>
    </w:p>
    <w:p>
      <w:pPr>
        <w:tabs>
          <w:tab w:val="left" w:pos="709"/>
        </w:tabs>
        <w:autoSpaceDE w:val="0"/>
        <w:autoSpaceDN w:val="0"/>
        <w:adjustRightInd w:val="0"/>
        <w:spacing w:after="40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广净（非公招）字 [20××] 第 [×××] 号</w:t>
      </w:r>
    </w:p>
    <w:p>
      <w:pPr>
        <w:autoSpaceDE w:val="0"/>
        <w:autoSpaceDN w:val="0"/>
        <w:adjustRightInd w:val="0"/>
        <w:spacing w:after="3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承包单位(全称):</w:t>
      </w:r>
    </w:p>
    <w:p>
      <w:pPr>
        <w:autoSpaceDE w:val="0"/>
        <w:autoSpaceDN w:val="0"/>
        <w:adjustRightInd w:val="0"/>
        <w:spacing w:after="300" w:line="500" w:lineRule="atLeas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经询价小组评审推荐，确定你单位为××××项目的承包单位，承包内容为询价文件所规定的发包内容，报价为 人民币×拾×万×仟×佰元（￥元）。</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其中：</w:t>
      </w:r>
    </w:p>
    <w:p>
      <w:pPr>
        <w:autoSpaceDE w:val="0"/>
        <w:autoSpaceDN w:val="0"/>
        <w:adjustRightInd w:val="0"/>
        <w:spacing w:after="5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项目负责人姓名： </w:t>
      </w:r>
    </w:p>
    <w:p>
      <w:pPr>
        <w:autoSpaceDE w:val="0"/>
        <w:autoSpaceDN w:val="0"/>
        <w:adjustRightInd w:val="0"/>
        <w:spacing w:before="600" w:after="200"/>
        <w:ind w:left="576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发包单位（盖章）：</w:t>
      </w:r>
    </w:p>
    <w:p>
      <w:pPr>
        <w:autoSpaceDE w:val="0"/>
        <w:autoSpaceDN w:val="0"/>
        <w:adjustRightInd w:val="0"/>
        <w:spacing w:after="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pPr>
        <w:rPr>
          <w:rFonts w:hint="eastAsia" w:ascii="仿宋_GB2312" w:hAnsi="仿宋_GB2312" w:eastAsia="仿宋_GB2312" w:cs="仿宋_GB2312"/>
          <w:b/>
          <w:sz w:val="28"/>
          <w:szCs w:val="28"/>
        </w:rPr>
        <w:sectPr>
          <w:pgSz w:w="11906" w:h="16838"/>
          <w:pgMar w:top="1089" w:right="1466" w:bottom="1089" w:left="1077" w:header="851" w:footer="992" w:gutter="0"/>
          <w:cols w:space="720" w:num="1"/>
          <w:docGrid w:type="lines" w:linePitch="312" w:charSpace="0"/>
        </w:sectPr>
      </w:pPr>
    </w:p>
    <w:p>
      <w:pPr>
        <w:pStyle w:val="23"/>
        <w:rPr>
          <w:rFonts w:hint="eastAsia" w:ascii="仿宋_GB2312" w:hAnsi="仿宋_GB2312" w:eastAsia="仿宋_GB2312" w:cs="仿宋_GB2312"/>
          <w:lang w:val="zh-CN"/>
        </w:rPr>
      </w:pPr>
      <w:r>
        <w:rPr>
          <w:rFonts w:hint="eastAsia" w:ascii="仿宋_GB2312" w:hAnsi="仿宋_GB2312" w:eastAsia="仿宋_GB2312" w:cs="仿宋_GB2312"/>
          <w:lang w:val="zh-CN"/>
        </w:rPr>
        <w:t>第四部分  合同书格式</w:t>
      </w:r>
    </w:p>
    <w:p>
      <w:pPr>
        <w:rPr>
          <w:rFonts w:hint="eastAsia" w:ascii="仿宋_GB2312" w:hAnsi="仿宋_GB2312" w:eastAsia="仿宋_GB2312" w:cs="仿宋_GB2312"/>
          <w:b/>
          <w:kern w:val="0"/>
        </w:rPr>
      </w:pPr>
    </w:p>
    <w:p>
      <w:pPr>
        <w:rPr>
          <w:rFonts w:hint="eastAsia" w:ascii="仿宋_GB2312" w:hAnsi="仿宋_GB2312" w:eastAsia="仿宋_GB2312" w:cs="仿宋_GB2312"/>
          <w:b/>
          <w:kern w:val="0"/>
        </w:rPr>
      </w:pPr>
    </w:p>
    <w:p>
      <w:pPr>
        <w:pStyle w:val="4"/>
        <w:jc w:val="center"/>
        <w:rPr>
          <w:color w:val="auto"/>
          <w:sz w:val="32"/>
          <w:szCs w:val="40"/>
          <w:highlight w:val="none"/>
        </w:rPr>
      </w:pPr>
      <w:r>
        <w:rPr>
          <w:rFonts w:hint="eastAsia"/>
          <w:color w:val="auto"/>
          <w:sz w:val="32"/>
          <w:szCs w:val="40"/>
          <w:highlight w:val="none"/>
        </w:rPr>
        <w:t>广州市净水有限公司专利申请项目合同</w:t>
      </w:r>
    </w:p>
    <w:p>
      <w:pPr>
        <w:ind w:firstLine="220" w:firstLineChars="95"/>
        <w:rPr>
          <w:rFonts w:ascii="宋体" w:hAnsi="宋体"/>
          <w:color w:val="auto"/>
          <w:sz w:val="24"/>
          <w:highlight w:val="none"/>
        </w:rPr>
      </w:pPr>
    </w:p>
    <w:p>
      <w:pPr>
        <w:adjustRightInd w:val="0"/>
        <w:spacing w:line="360" w:lineRule="auto"/>
        <w:ind w:firstLine="462" w:firstLineChars="200"/>
        <w:jc w:val="left"/>
        <w:textAlignment w:val="baseline"/>
        <w:rPr>
          <w:rFonts w:ascii="宋体" w:hAnsi="宋体" w:cs="宋体"/>
          <w:color w:val="auto"/>
          <w:sz w:val="24"/>
          <w:szCs w:val="24"/>
          <w:highlight w:val="none"/>
          <w:u w:val="single"/>
        </w:rPr>
      </w:pPr>
      <w:r>
        <w:rPr>
          <w:rFonts w:hint="eastAsia" w:ascii="宋体" w:hAnsi="宋体" w:cs="宋体"/>
          <w:color w:val="auto"/>
          <w:sz w:val="24"/>
          <w:szCs w:val="24"/>
          <w:highlight w:val="none"/>
        </w:rPr>
        <w:t>甲方（发包人） ：</w:t>
      </w:r>
      <w:r>
        <w:rPr>
          <w:rFonts w:hint="eastAsia" w:ascii="宋体" w:hAnsi="宋体" w:cs="宋体"/>
          <w:color w:val="auto"/>
          <w:sz w:val="24"/>
          <w:szCs w:val="24"/>
          <w:highlight w:val="none"/>
          <w:u w:val="single"/>
        </w:rPr>
        <w:t>广州市</w:t>
      </w:r>
      <w:r>
        <w:rPr>
          <w:rFonts w:hint="eastAsia" w:ascii="宋体" w:hAnsi="宋体" w:cs="宋体"/>
          <w:bCs/>
          <w:color w:val="auto"/>
          <w:sz w:val="24"/>
          <w:szCs w:val="24"/>
          <w:highlight w:val="none"/>
          <w:u w:val="single"/>
        </w:rPr>
        <w:t>净水有限公司</w:t>
      </w:r>
    </w:p>
    <w:p>
      <w:pPr>
        <w:adjustRightInd w:val="0"/>
        <w:spacing w:line="360" w:lineRule="auto"/>
        <w:ind w:firstLine="462" w:firstLineChars="200"/>
        <w:jc w:val="left"/>
        <w:textAlignment w:val="baseline"/>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乙方（承包人） ：</w:t>
      </w:r>
      <w:r>
        <w:rPr>
          <w:rFonts w:hint="eastAsia" w:ascii="宋体" w:hAnsi="宋体" w:eastAsia="宋体" w:cs="宋体"/>
          <w:color w:val="auto"/>
          <w:sz w:val="24"/>
          <w:szCs w:val="24"/>
          <w:highlight w:val="none"/>
          <w:u w:val="single"/>
          <w:lang w:val="en-US" w:eastAsia="zh-CN"/>
        </w:rPr>
        <w:t xml:space="preserve">                    </w:t>
      </w:r>
    </w:p>
    <w:p>
      <w:pPr>
        <w:adjustRightInd w:val="0"/>
        <w:spacing w:line="360" w:lineRule="auto"/>
        <w:ind w:firstLine="220" w:firstLineChars="95"/>
        <w:jc w:val="left"/>
        <w:textAlignment w:val="baseline"/>
        <w:rPr>
          <w:rFonts w:ascii="宋体" w:hAnsi="宋体" w:cs="宋体"/>
          <w:color w:val="auto"/>
          <w:sz w:val="24"/>
          <w:szCs w:val="24"/>
          <w:highlight w:val="none"/>
          <w:u w:val="single"/>
        </w:rPr>
      </w:pPr>
    </w:p>
    <w:p>
      <w:pPr>
        <w:pStyle w:val="14"/>
        <w:spacing w:line="360" w:lineRule="auto"/>
        <w:ind w:firstLine="462" w:firstLineChars="200"/>
        <w:rPr>
          <w:rFonts w:hAnsi="宋体" w:cs="宋体"/>
          <w:color w:val="auto"/>
          <w:sz w:val="24"/>
          <w:szCs w:val="24"/>
          <w:highlight w:val="none"/>
        </w:rPr>
      </w:pPr>
      <w:r>
        <w:rPr>
          <w:rFonts w:hint="eastAsia" w:hAnsi="宋体" w:cs="宋体"/>
          <w:color w:val="auto"/>
          <w:sz w:val="24"/>
          <w:szCs w:val="24"/>
          <w:highlight w:val="none"/>
        </w:rPr>
        <w:t>甲方就</w:t>
      </w:r>
      <w:r>
        <w:rPr>
          <w:rFonts w:hint="eastAsia" w:hAnsi="宋体" w:cs="宋体"/>
          <w:color w:val="auto"/>
          <w:sz w:val="24"/>
          <w:szCs w:val="24"/>
          <w:highlight w:val="none"/>
          <w:u w:val="single"/>
          <w:lang w:eastAsia="zh-CN"/>
        </w:rPr>
        <w:t>广州市净水有限公司专利申请项目</w:t>
      </w:r>
      <w:r>
        <w:rPr>
          <w:rFonts w:hint="eastAsia" w:hAnsi="宋体" w:cs="宋体"/>
          <w:color w:val="auto"/>
          <w:sz w:val="24"/>
          <w:szCs w:val="24"/>
          <w:highlight w:val="none"/>
        </w:rPr>
        <w:t>委托乙方提供相应工作成果。经双方协商一致，签订本合同。</w:t>
      </w:r>
    </w:p>
    <w:p>
      <w:pPr>
        <w:adjustRightInd w:val="0"/>
        <w:spacing w:line="360" w:lineRule="auto"/>
        <w:jc w:val="left"/>
        <w:textAlignment w:val="baseline"/>
        <w:outlineLvl w:val="1"/>
        <w:rPr>
          <w:rFonts w:ascii="宋体" w:hAnsi="宋体" w:cs="宋体"/>
          <w:b/>
          <w:color w:val="auto"/>
          <w:sz w:val="24"/>
          <w:szCs w:val="24"/>
          <w:highlight w:val="none"/>
        </w:rPr>
      </w:pPr>
      <w:r>
        <w:rPr>
          <w:rFonts w:hint="eastAsia" w:ascii="宋体" w:hAnsi="宋体" w:cs="宋体"/>
          <w:b/>
          <w:bCs/>
          <w:color w:val="auto"/>
          <w:sz w:val="24"/>
          <w:szCs w:val="24"/>
          <w:highlight w:val="none"/>
        </w:rPr>
        <w:t>第一条</w:t>
      </w:r>
      <w:r>
        <w:rPr>
          <w:rFonts w:hint="eastAsia" w:ascii="宋体" w:hAnsi="宋体" w:cs="宋体"/>
          <w:b/>
          <w:color w:val="auto"/>
          <w:sz w:val="24"/>
          <w:szCs w:val="24"/>
          <w:highlight w:val="none"/>
        </w:rPr>
        <w:t xml:space="preserve">  签订依据 </w:t>
      </w:r>
    </w:p>
    <w:p>
      <w:pPr>
        <w:overflowPunct w:val="0"/>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1.1《中华人民共和国民法典》</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第二条  合同编制依据</w:t>
      </w:r>
    </w:p>
    <w:p>
      <w:pPr>
        <w:overflowPunct w:val="0"/>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2.1《中华人民共和国专利法》</w:t>
      </w:r>
    </w:p>
    <w:p>
      <w:pPr>
        <w:overflowPunct w:val="0"/>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2.2《专利审查指南》</w:t>
      </w:r>
    </w:p>
    <w:p>
      <w:pPr>
        <w:overflowPunct w:val="0"/>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2.3《中华人民共和国专利法实施细则》</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上述规范如有更新的，以最新版本为准。</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第三条  合同文件的优先次序</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构成本合同的文件可视为是能互相说明的，如果合同文件存在歧义或不一致，则根据如下优先次序来判断其效力：</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3.1合同书</w:t>
      </w:r>
    </w:p>
    <w:p>
      <w:pPr>
        <w:adjustRightInd w:val="0"/>
        <w:spacing w:line="360" w:lineRule="auto"/>
        <w:ind w:firstLine="462" w:firstLineChars="200"/>
        <w:jc w:val="left"/>
        <w:textAlignment w:val="baseline"/>
        <w:rPr>
          <w:rFonts w:ascii="宋体" w:hAnsi="宋体" w:cs="宋体"/>
          <w:color w:val="auto"/>
          <w:sz w:val="24"/>
          <w:szCs w:val="24"/>
          <w:highlight w:val="none"/>
          <w:shd w:val="pct10" w:color="auto" w:fill="FFFFFF"/>
        </w:rPr>
      </w:pPr>
      <w:r>
        <w:rPr>
          <w:rFonts w:hint="eastAsia" w:ascii="宋体" w:hAnsi="宋体" w:cs="宋体"/>
          <w:color w:val="auto"/>
          <w:sz w:val="24"/>
          <w:szCs w:val="24"/>
          <w:highlight w:val="none"/>
        </w:rPr>
        <w:t>3.2发包通知书</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3.3 甲方的要求 </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3.4技术规范</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第四条  项目概况</w:t>
      </w:r>
    </w:p>
    <w:p>
      <w:pPr>
        <w:adjustRightInd w:val="0"/>
        <w:spacing w:line="360" w:lineRule="auto"/>
        <w:ind w:left="1"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广州市净水有限公司专利申请项目</w:t>
      </w:r>
      <w:r>
        <w:rPr>
          <w:rFonts w:hint="eastAsia" w:ascii="宋体" w:hAnsi="宋体" w:cs="宋体"/>
          <w:color w:val="auto"/>
          <w:sz w:val="24"/>
          <w:szCs w:val="24"/>
          <w:highlight w:val="none"/>
        </w:rPr>
        <w:t>。</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根据我公司对知识产权代理的需求，委托乙方负责智慧净水、污泥资源利用</w:t>
      </w:r>
      <w:r>
        <w:rPr>
          <w:rFonts w:hint="eastAsia" w:asciiTheme="minorEastAsia" w:hAnsiTheme="minorEastAsia" w:cstheme="minorEastAsia"/>
          <w:color w:val="auto"/>
          <w:sz w:val="24"/>
          <w:szCs w:val="24"/>
          <w:highlight w:val="none"/>
          <w:lang w:val="en-US" w:eastAsia="zh-CN"/>
        </w:rPr>
        <w:t>类</w:t>
      </w:r>
      <w:r>
        <w:rPr>
          <w:rFonts w:hint="eastAsia" w:asciiTheme="minorEastAsia" w:hAnsiTheme="minorEastAsia" w:cstheme="minorEastAsia"/>
          <w:color w:val="auto"/>
          <w:sz w:val="24"/>
          <w:szCs w:val="24"/>
          <w:highlight w:val="none"/>
        </w:rPr>
        <w:t>专利代理工作进行代理申请工作。</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工作内容如下：</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双方签订《专利代理申请合同》，乙方负责甲方智慧净水、污泥资源利用类专利申请代理工作，其中发明专利</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项，实用新型专利</w:t>
      </w:r>
      <w:r>
        <w:rPr>
          <w:rFonts w:hint="eastAsia" w:asciiTheme="minorEastAsia" w:hAnsiTheme="minorEastAsia" w:cstheme="minorEastAsia"/>
          <w:color w:val="auto"/>
          <w:sz w:val="24"/>
          <w:szCs w:val="24"/>
          <w:highlight w:val="none"/>
          <w:lang w:val="en-US" w:eastAsia="zh-CN"/>
        </w:rPr>
        <w:t>9</w:t>
      </w:r>
      <w:r>
        <w:rPr>
          <w:rFonts w:hint="eastAsia" w:asciiTheme="minorEastAsia" w:hAnsiTheme="minorEastAsia" w:cstheme="minorEastAsia"/>
          <w:color w:val="auto"/>
          <w:sz w:val="24"/>
          <w:szCs w:val="24"/>
          <w:highlight w:val="none"/>
        </w:rPr>
        <w:t>项。</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专利代理工作需包含专利信息挖掘、专利申请文件撰写、审查意见答复、后期专利维护等全流程工作内容。</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项目技术要求：</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1.专利代理工作必须符合《中华人民共和国专利法》等有关国家和地方的法律、法规、规章、标准和技术要求。</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2.技术材料申报内容必须参照国家知识产权局的有关要求，进行技术指导，落实所需配套材料等。</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3.乙方按照合同约定的期限和内容，</w:t>
      </w:r>
      <w:r>
        <w:rPr>
          <w:rFonts w:hint="eastAsia" w:asciiTheme="minorEastAsia" w:hAnsiTheme="minorEastAsia" w:cstheme="minorEastAsia"/>
          <w:color w:val="auto"/>
          <w:sz w:val="24"/>
          <w:szCs w:val="24"/>
          <w:highlight w:val="none"/>
          <w:lang w:val="en-US" w:eastAsia="zh-CN"/>
        </w:rPr>
        <w:t>提交</w:t>
      </w:r>
      <w:r>
        <w:rPr>
          <w:rFonts w:hint="eastAsia" w:asciiTheme="minorEastAsia" w:hAnsiTheme="minorEastAsia" w:cstheme="minorEastAsia"/>
          <w:color w:val="auto"/>
          <w:sz w:val="24"/>
          <w:szCs w:val="24"/>
          <w:highlight w:val="none"/>
        </w:rPr>
        <w:t>专利申请文件</w:t>
      </w:r>
      <w:r>
        <w:rPr>
          <w:rFonts w:hint="eastAsia" w:asciiTheme="minorEastAsia" w:hAnsiTheme="minorEastAsia" w:cstheme="minorEastAsia"/>
          <w:color w:val="auto"/>
          <w:sz w:val="24"/>
          <w:szCs w:val="24"/>
          <w:highlight w:val="none"/>
          <w:lang w:val="en-US" w:eastAsia="zh-CN"/>
        </w:rPr>
        <w:t>至</w:t>
      </w:r>
      <w:r>
        <w:rPr>
          <w:rFonts w:hint="eastAsia" w:asciiTheme="minorEastAsia" w:hAnsiTheme="minorEastAsia" w:cstheme="minorEastAsia"/>
          <w:color w:val="auto"/>
          <w:sz w:val="24"/>
          <w:szCs w:val="24"/>
          <w:highlight w:val="none"/>
        </w:rPr>
        <w:t>国家知识产权局，约定期限不</w:t>
      </w:r>
      <w:r>
        <w:rPr>
          <w:rFonts w:hint="eastAsia" w:asciiTheme="minorEastAsia" w:hAnsiTheme="minorEastAsia" w:cstheme="minorEastAsia"/>
          <w:color w:val="auto"/>
          <w:sz w:val="24"/>
          <w:szCs w:val="24"/>
          <w:highlight w:val="none"/>
          <w:lang w:val="en-US" w:eastAsia="zh-CN"/>
        </w:rPr>
        <w:t>超过</w:t>
      </w:r>
      <w:r>
        <w:rPr>
          <w:rFonts w:hint="eastAsia" w:asciiTheme="minorEastAsia" w:hAnsiTheme="minorEastAsia" w:cstheme="minorEastAsia"/>
          <w:color w:val="auto"/>
          <w:sz w:val="24"/>
          <w:szCs w:val="24"/>
          <w:highlight w:val="none"/>
          <w:lang w:eastAsia="zh-CN"/>
        </w:rPr>
        <w:t>6</w:t>
      </w:r>
      <w:r>
        <w:rPr>
          <w:rFonts w:hint="eastAsia" w:asciiTheme="minorEastAsia" w:hAnsiTheme="minorEastAsia" w:cstheme="minorEastAsia"/>
          <w:color w:val="auto"/>
          <w:sz w:val="24"/>
          <w:szCs w:val="24"/>
          <w:highlight w:val="none"/>
          <w:lang w:val="en-US" w:eastAsia="zh-CN"/>
        </w:rPr>
        <w:t>0</w:t>
      </w:r>
      <w:r>
        <w:rPr>
          <w:rFonts w:hint="eastAsia" w:asciiTheme="minorEastAsia" w:hAnsiTheme="minorEastAsia" w:cstheme="minorEastAsia"/>
          <w:color w:val="auto"/>
          <w:sz w:val="24"/>
          <w:szCs w:val="24"/>
          <w:highlight w:val="none"/>
        </w:rPr>
        <w:t>个工作日。</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4.按照甲方要求，乙方有义务在合理时间内提供上门服务，并提供与本委托所述知识产权相关的服务。</w:t>
      </w:r>
    </w:p>
    <w:p>
      <w:pPr>
        <w:adjustRightInd w:val="0"/>
        <w:spacing w:line="360" w:lineRule="auto"/>
        <w:ind w:left="1" w:firstLine="462" w:firstLineChars="200"/>
        <w:jc w:val="left"/>
        <w:textAlignment w:val="baseline"/>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5.乙方对了解到的发明创造的内容（除专利申请已经公布或者公告的外）负有保守秘密的责任。</w:t>
      </w:r>
    </w:p>
    <w:p>
      <w:pPr>
        <w:adjustRightInd w:val="0"/>
        <w:spacing w:line="360" w:lineRule="auto"/>
        <w:ind w:left="1" w:firstLine="462" w:firstLineChars="200"/>
        <w:jc w:val="left"/>
        <w:textAlignment w:val="baseline"/>
        <w:rPr>
          <w:rFonts w:hint="default" w:eastAsia="宋体" w:asciiTheme="minorEastAsia" w:hAnsiTheme="minorEastAsia" w:cstheme="minorEastAsia"/>
          <w:color w:val="auto"/>
          <w:sz w:val="24"/>
          <w:highlight w:val="none"/>
          <w:lang w:val="en-US" w:eastAsia="zh-CN"/>
        </w:rPr>
      </w:pPr>
      <w:r>
        <w:rPr>
          <w:rFonts w:hint="eastAsia" w:asciiTheme="minorEastAsia" w:hAnsiTheme="minorEastAsia" w:cstheme="minorEastAsia"/>
          <w:color w:val="auto"/>
          <w:sz w:val="24"/>
          <w:szCs w:val="24"/>
          <w:highlight w:val="none"/>
          <w:lang w:val="en-US" w:eastAsia="zh-CN"/>
        </w:rPr>
        <w:t>6.乙方应按照甲方要求，与各专利技术负责人商定并代理撰写专利材料及方案，形成的专利文件与、申请文件、答辩文件等须经技术人员确认后方可提交，并保证总体授权率达到80%以上。</w:t>
      </w:r>
    </w:p>
    <w:p>
      <w:pPr>
        <w:adjustRightInd w:val="0"/>
        <w:spacing w:line="360" w:lineRule="auto"/>
        <w:ind w:left="1" w:firstLine="462" w:firstLineChars="200"/>
        <w:jc w:val="left"/>
        <w:textAlignment w:val="baseline"/>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cstheme="minorEastAsia"/>
          <w:color w:val="auto"/>
          <w:sz w:val="24"/>
          <w:szCs w:val="24"/>
          <w:highlight w:val="none"/>
        </w:rPr>
        <w:t>.乙方负有替甲方保守商业秘密的义务（具体包括产品生产和制造有关的技术诀窍、生产方案、工艺流程、设计图纸、技术情报等技术秘密和与生产经营销售活动有关的经营方法、管理方法、产销策略、货源情报、客户名单等经营秘密），并且不因本委托的解除而失效。</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第五条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乙方向甲方交付资料及文件</w:t>
      </w:r>
    </w:p>
    <w:p>
      <w:pPr>
        <w:adjustRightInd w:val="0"/>
        <w:spacing w:line="360" w:lineRule="auto"/>
        <w:ind w:firstLine="462" w:firstLineChars="200"/>
        <w:jc w:val="left"/>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rPr>
        <w:t>5.1本合同签订后，</w:t>
      </w:r>
      <w:r>
        <w:rPr>
          <w:rFonts w:hint="eastAsia" w:ascii="宋体" w:hAnsi="宋体" w:cs="宋体"/>
          <w:color w:val="auto"/>
          <w:sz w:val="24"/>
          <w:szCs w:val="24"/>
          <w:highlight w:val="none"/>
          <w:lang w:val="en-US" w:eastAsia="zh-CN"/>
        </w:rPr>
        <w:t>乙方应在60个工作日内，经与甲方技术人员进行充分交流后完成申报材料编制，提交至国家专利局。</w:t>
      </w:r>
    </w:p>
    <w:p>
      <w:pPr>
        <w:adjustRightInd w:val="0"/>
        <w:spacing w:line="360" w:lineRule="auto"/>
        <w:ind w:firstLine="462" w:firstLineChars="200"/>
        <w:jc w:val="left"/>
        <w:textAlignment w:val="baseline"/>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5.2在合同签订后</w:t>
      </w:r>
      <w:r>
        <w:rPr>
          <w:rFonts w:hint="eastAsia" w:ascii="宋体" w:hAnsi="宋体" w:cs="宋体"/>
          <w:color w:val="auto"/>
          <w:sz w:val="24"/>
          <w:szCs w:val="24"/>
          <w:highlight w:val="none"/>
        </w:rPr>
        <w:t>5个工作日内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乙方应提交代理计划及参与人员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应具备专利代理师执业资格</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名单。合同执行中，乙方如需更换设计人员的，需征得甲方书面同意。</w:t>
      </w:r>
      <w:r>
        <w:rPr>
          <w:rFonts w:hint="eastAsia" w:ascii="宋体" w:hAnsi="宋体" w:cs="宋体"/>
          <w:color w:val="auto"/>
          <w:sz w:val="24"/>
          <w:szCs w:val="24"/>
          <w:highlight w:val="none"/>
          <w:lang w:val="en-US" w:eastAsia="zh-CN"/>
        </w:rPr>
        <w:t>乙方与</w:t>
      </w:r>
      <w:r>
        <w:rPr>
          <w:rFonts w:hint="eastAsia" w:ascii="宋体" w:hAnsi="宋体" w:cs="宋体"/>
          <w:color w:val="auto"/>
          <w:sz w:val="24"/>
          <w:szCs w:val="24"/>
          <w:highlight w:val="none"/>
        </w:rPr>
        <w:t>甲方</w:t>
      </w:r>
      <w:r>
        <w:rPr>
          <w:rFonts w:hint="eastAsia" w:ascii="宋体" w:hAnsi="宋体" w:cs="宋体"/>
          <w:color w:val="auto"/>
          <w:sz w:val="24"/>
          <w:szCs w:val="24"/>
          <w:highlight w:val="none"/>
          <w:lang w:val="en-US" w:eastAsia="zh-CN"/>
        </w:rPr>
        <w:t>进行充分的技术交流及书面交底</w:t>
      </w:r>
      <w:r>
        <w:rPr>
          <w:rFonts w:hint="eastAsia" w:ascii="宋体" w:hAnsi="宋体" w:cs="宋体"/>
          <w:color w:val="auto"/>
          <w:sz w:val="24"/>
          <w:szCs w:val="24"/>
          <w:highlight w:val="none"/>
        </w:rPr>
        <w:t>后，需不超过10个工作日交付初稿至甲方</w:t>
      </w:r>
      <w:r>
        <w:rPr>
          <w:rFonts w:hint="eastAsia" w:ascii="宋体" w:hAnsi="宋体" w:cs="宋体"/>
          <w:color w:val="auto"/>
          <w:sz w:val="24"/>
          <w:szCs w:val="24"/>
          <w:highlight w:val="none"/>
          <w:lang w:eastAsia="zh-CN"/>
        </w:rPr>
        <w:t>。</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自收到甲方反馈的书面意见后</w:t>
      </w:r>
      <w:r>
        <w:rPr>
          <w:rFonts w:hint="eastAsia" w:ascii="宋体" w:hAnsi="宋体" w:cs="宋体"/>
          <w:color w:val="auto"/>
          <w:sz w:val="24"/>
          <w:szCs w:val="24"/>
          <w:highlight w:val="none"/>
          <w:lang w:eastAsia="zh-CN"/>
        </w:rPr>
        <w:t>7</w:t>
      </w:r>
      <w:r>
        <w:rPr>
          <w:rFonts w:hint="eastAsia" w:ascii="宋体" w:hAnsi="宋体" w:cs="宋体"/>
          <w:color w:val="auto"/>
          <w:sz w:val="24"/>
          <w:szCs w:val="24"/>
          <w:highlight w:val="none"/>
        </w:rPr>
        <w:t>日内，乙方向甲方交付修改方案。</w:t>
      </w:r>
    </w:p>
    <w:p>
      <w:pPr>
        <w:adjustRightInd w:val="0"/>
        <w:spacing w:line="360" w:lineRule="auto"/>
        <w:ind w:firstLine="462"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通过甲方具体技术对接人确定并定稿后，立即向国家专利局提交申请并获得专利受理通知书。</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5.5</w:t>
      </w:r>
      <w:r>
        <w:rPr>
          <w:rFonts w:hint="eastAsia" w:ascii="宋体" w:hAnsi="宋体" w:cs="宋体"/>
          <w:color w:val="auto"/>
          <w:sz w:val="24"/>
          <w:szCs w:val="24"/>
          <w:highlight w:val="none"/>
        </w:rPr>
        <w:t>完成申报后向甲方交付正式的最后全套申报文件电子档一份，具体以甲方要求为准。</w:t>
      </w:r>
    </w:p>
    <w:p>
      <w:pPr>
        <w:pStyle w:val="25"/>
        <w:rPr>
          <w:color w:val="auto"/>
          <w:highlight w:val="none"/>
        </w:rPr>
      </w:pP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第六条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 xml:space="preserve">费用 </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6.1本合同总价暂定为人民币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元（大写：人民币</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sz w:val="24"/>
          <w:szCs w:val="24"/>
          <w:highlight w:val="none"/>
        </w:rPr>
        <w:t>），含全额增值税（税率</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6.2本合同采用单价包干，工作内容包括完成本合同的所有工作。</w:t>
      </w:r>
    </w:p>
    <w:p>
      <w:pPr>
        <w:pStyle w:val="25"/>
        <w:rPr>
          <w:color w:val="auto"/>
          <w:highlight w:val="none"/>
        </w:rPr>
      </w:pP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第七条 </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支付方式</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7.1</w:t>
      </w:r>
      <w:r>
        <w:rPr>
          <w:rFonts w:hint="eastAsia" w:ascii="宋体" w:hAnsi="宋体" w:cs="宋体"/>
          <w:color w:val="auto"/>
          <w:sz w:val="24"/>
          <w:szCs w:val="24"/>
          <w:highlight w:val="none"/>
        </w:rPr>
        <w:t>本合同总费用为￥</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元（大写：</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sz w:val="24"/>
          <w:szCs w:val="24"/>
          <w:highlight w:val="none"/>
        </w:rPr>
        <w:t>元整）.</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其中：</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发明专利代理费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元/件，专利局官费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元，共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件。</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实用新型专利代理费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元/件，专利局官费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元，共</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件。</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合计：专利申请代理费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相关行政部门收取的费用</w:t>
      </w:r>
      <w:r>
        <w:rPr>
          <w:rFonts w:hint="eastAsia" w:ascii="宋体" w:hAnsi="宋体" w:cs="宋体"/>
          <w:color w:val="auto"/>
          <w:sz w:val="24"/>
          <w:szCs w:val="24"/>
          <w:highlight w:val="none"/>
          <w:u w:val="single"/>
        </w:rPr>
        <w:t>申请阶段官费</w:t>
      </w:r>
      <w:r>
        <w:rPr>
          <w:rFonts w:hint="eastAsia" w:ascii="宋体" w:hAnsi="宋体" w:cs="宋体"/>
          <w:color w:val="auto"/>
          <w:sz w:val="24"/>
          <w:szCs w:val="24"/>
          <w:highlight w:val="none"/>
        </w:rPr>
        <w:t>共</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w:t>
      </w:r>
    </w:p>
    <w:p>
      <w:pPr>
        <w:adjustRightInd w:val="0"/>
        <w:spacing w:line="360" w:lineRule="auto"/>
        <w:ind w:left="920" w:leftChars="228" w:hanging="462" w:hanging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注：该申请阶段官费的明细包括：发明专利申请费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rPr>
        <w:t>、发明专利实质审查费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元</w:t>
      </w:r>
      <w:r>
        <w:rPr>
          <w:rFonts w:hint="eastAsia" w:ascii="宋体" w:hAnsi="宋体" w:cs="宋体"/>
          <w:color w:val="auto"/>
          <w:sz w:val="24"/>
          <w:szCs w:val="24"/>
          <w:highlight w:val="none"/>
        </w:rPr>
        <w:t>、发明专利公布印刷费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rPr>
        <w:t>及实用新型专利申请费</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cs="宋体"/>
          <w:color w:val="auto"/>
          <w:sz w:val="24"/>
          <w:szCs w:val="24"/>
          <w:highlight w:val="none"/>
        </w:rPr>
        <w:t>。</w:t>
      </w:r>
    </w:p>
    <w:p>
      <w:pPr>
        <w:adjustRightInd w:val="0"/>
        <w:spacing w:line="360" w:lineRule="auto"/>
        <w:ind w:firstLine="462" w:firstLineChars="200"/>
        <w:jc w:val="left"/>
        <w:textAlignment w:val="baseline"/>
        <w:rPr>
          <w:rFonts w:hint="eastAsia" w:ascii="宋体" w:hAnsi="宋体" w:cs="宋体"/>
          <w:color w:val="auto"/>
          <w:sz w:val="24"/>
          <w:szCs w:val="24"/>
          <w:highlight w:val="none"/>
          <w:lang w:eastAsia="zh-CN"/>
        </w:rPr>
      </w:pPr>
      <w:r>
        <w:rPr>
          <w:rFonts w:ascii="宋体" w:hAnsi="宋体" w:cs="宋体"/>
          <w:color w:val="auto"/>
          <w:sz w:val="24"/>
          <w:szCs w:val="24"/>
          <w:highlight w:val="none"/>
        </w:rPr>
        <w:t>7.2</w:t>
      </w:r>
      <w:r>
        <w:rPr>
          <w:rFonts w:hint="eastAsia" w:ascii="宋体" w:hAnsi="宋体" w:cs="宋体"/>
          <w:color w:val="auto"/>
          <w:sz w:val="24"/>
          <w:szCs w:val="24"/>
          <w:highlight w:val="none"/>
        </w:rPr>
        <w:t>甲方在收到国家知识产权局发布的专利申请受理通知书及乙方开具的全额增值税专用发票后，</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auto"/>
          <w:sz w:val="24"/>
          <w:szCs w:val="24"/>
          <w:highlight w:val="none"/>
        </w:rPr>
        <w:t>支付全额官费</w:t>
      </w:r>
      <w:r>
        <w:rPr>
          <w:rFonts w:hint="eastAsia" w:ascii="宋体" w:hAnsi="宋体" w:cs="宋体"/>
          <w:color w:val="auto"/>
          <w:sz w:val="24"/>
          <w:szCs w:val="24"/>
          <w:highlight w:val="none"/>
          <w:lang w:val="en-US" w:eastAsia="zh-CN"/>
        </w:rPr>
        <w:t>及95%代理费</w:t>
      </w:r>
      <w:r>
        <w:rPr>
          <w:rFonts w:hint="eastAsia" w:ascii="宋体" w:hAnsi="宋体" w:cs="宋体"/>
          <w:color w:val="auto"/>
          <w:sz w:val="24"/>
          <w:szCs w:val="24"/>
          <w:highlight w:val="none"/>
        </w:rPr>
        <w:t>给乙方</w:t>
      </w:r>
      <w:r>
        <w:rPr>
          <w:rFonts w:hint="eastAsia" w:ascii="宋体" w:hAnsi="宋体" w:cs="宋体"/>
          <w:color w:val="auto"/>
          <w:sz w:val="24"/>
          <w:szCs w:val="24"/>
          <w:highlight w:val="none"/>
          <w:lang w:eastAsia="zh-CN"/>
        </w:rPr>
        <w:t>；</w:t>
      </w:r>
    </w:p>
    <w:p>
      <w:pPr>
        <w:adjustRightInd w:val="0"/>
        <w:spacing w:line="360" w:lineRule="auto"/>
        <w:ind w:firstLine="462" w:firstLineChars="200"/>
        <w:jc w:val="left"/>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甲方在收到知识产权局发布的授权通知书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且经核实授权通过率达到80%以上，通知</w:t>
      </w:r>
      <w:r>
        <w:rPr>
          <w:rFonts w:hint="eastAsia" w:ascii="宋体" w:hAnsi="宋体" w:cs="宋体"/>
          <w:color w:val="auto"/>
          <w:sz w:val="24"/>
          <w:szCs w:val="24"/>
          <w:highlight w:val="none"/>
        </w:rPr>
        <w:t>乙方开具的全额增值税专用发票，</w:t>
      </w:r>
      <w:r>
        <w:rPr>
          <w:rFonts w:hint="eastAsia" w:ascii="宋体" w:hAnsi="宋体" w:cs="宋体"/>
          <w:color w:val="auto"/>
          <w:sz w:val="24"/>
          <w:szCs w:val="24"/>
          <w:highlight w:val="none"/>
          <w:lang w:val="en-US" w:eastAsia="zh-CN"/>
        </w:rPr>
        <w:t>在收到</w:t>
      </w:r>
      <w:r>
        <w:rPr>
          <w:rFonts w:hint="eastAsia" w:ascii="宋体" w:hAnsi="宋体" w:cs="宋体"/>
          <w:color w:val="auto"/>
          <w:sz w:val="24"/>
          <w:szCs w:val="24"/>
          <w:highlight w:val="none"/>
        </w:rPr>
        <w:t>乙方开具的全额增值税专用发票</w:t>
      </w:r>
      <w:r>
        <w:rPr>
          <w:rFonts w:hint="eastAsia" w:ascii="宋体" w:hAnsi="宋体" w:cs="宋体"/>
          <w:color w:val="000000" w:themeColor="text1"/>
          <w:sz w:val="24"/>
          <w:szCs w:val="24"/>
          <w:highlight w:val="none"/>
          <w:u w:val="single"/>
          <w14:textFill>
            <w14:solidFill>
              <w14:schemeClr w14:val="tx1"/>
            </w14:solidFill>
          </w14:textFill>
        </w:rPr>
        <w:t xml:space="preserve"> 15 </w:t>
      </w:r>
      <w:r>
        <w:rPr>
          <w:rFonts w:hint="eastAsia" w:ascii="宋体" w:hAnsi="宋体" w:cs="宋体"/>
          <w:color w:val="000000" w:themeColor="text1"/>
          <w:sz w:val="24"/>
          <w:szCs w:val="24"/>
          <w:highlight w:val="none"/>
          <w14:textFill>
            <w14:solidFill>
              <w14:schemeClr w14:val="tx1"/>
            </w14:solidFill>
          </w14:textFill>
        </w:rPr>
        <w:t>个工作日内</w:t>
      </w:r>
      <w:r>
        <w:rPr>
          <w:rFonts w:hint="eastAsia" w:ascii="宋体" w:hAnsi="宋体" w:cs="宋体"/>
          <w:color w:val="auto"/>
          <w:sz w:val="24"/>
          <w:szCs w:val="24"/>
          <w:highlight w:val="none"/>
          <w:lang w:val="en-US" w:eastAsia="zh-CN"/>
        </w:rPr>
        <w:t>支付剩余5%</w:t>
      </w:r>
      <w:r>
        <w:rPr>
          <w:rFonts w:hint="eastAsia" w:ascii="宋体" w:hAnsi="宋体" w:cs="宋体"/>
          <w:color w:val="auto"/>
          <w:sz w:val="24"/>
          <w:szCs w:val="24"/>
          <w:highlight w:val="none"/>
        </w:rPr>
        <w:t>专利代理费给乙方</w:t>
      </w:r>
      <w:r>
        <w:rPr>
          <w:rFonts w:hint="eastAsia" w:ascii="宋体" w:hAnsi="宋体" w:cs="宋体"/>
          <w:color w:val="000000" w:themeColor="text1"/>
          <w:sz w:val="24"/>
          <w:szCs w:val="24"/>
          <w:highlight w:val="none"/>
          <w14:textFill>
            <w14:solidFill>
              <w14:schemeClr w14:val="tx1"/>
            </w14:solidFill>
          </w14:textFill>
        </w:rPr>
        <w:t>（无息）</w:t>
      </w:r>
      <w:r>
        <w:rPr>
          <w:rFonts w:hint="eastAsia" w:ascii="宋体" w:hAnsi="宋体" w:cs="宋体"/>
          <w:color w:val="auto"/>
          <w:sz w:val="24"/>
          <w:szCs w:val="24"/>
          <w:highlight w:val="none"/>
        </w:rPr>
        <w:t>。</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甲方增值税专用发票信息：</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名称：广州市净水有限公司</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税号：9144 0101 7555 8472 9Q；</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地址：广州市天河区临江大道 501 号；</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电话：020-38890283；</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开户行:民生银行广州分行；</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账号:0301 0141 4000 6932。</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付款方式：</w:t>
      </w:r>
      <w:r>
        <w:rPr>
          <w:rFonts w:hint="eastAsia" w:ascii="宋体" w:hAnsi="宋体" w:cs="宋体"/>
          <w:color w:val="auto"/>
          <w:sz w:val="24"/>
          <w:szCs w:val="24"/>
          <w:highlight w:val="none"/>
        </w:rPr>
        <w:sym w:font="Wingdings 2" w:char="0052"/>
      </w:r>
      <w:r>
        <w:rPr>
          <w:rFonts w:hint="eastAsia" w:ascii="宋体" w:hAnsi="宋体" w:cs="宋体"/>
          <w:color w:val="auto"/>
          <w:sz w:val="24"/>
          <w:szCs w:val="24"/>
          <w:highlight w:val="none"/>
        </w:rPr>
        <w:t>网银支付；</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支票；</w:t>
      </w:r>
      <w:r>
        <w:rPr>
          <w:rFonts w:hint="eastAsia" w:ascii="宋体" w:hAnsi="宋体" w:cs="宋体"/>
          <w:color w:val="auto"/>
          <w:sz w:val="24"/>
          <w:szCs w:val="24"/>
          <w:highlight w:val="none"/>
        </w:rPr>
        <w:sym w:font="Wingdings 2" w:char="00A3"/>
      </w:r>
      <w:r>
        <w:rPr>
          <w:rFonts w:hint="eastAsia" w:ascii="宋体" w:hAnsi="宋体" w:cs="宋体"/>
          <w:color w:val="auto"/>
          <w:sz w:val="24"/>
          <w:szCs w:val="24"/>
          <w:highlight w:val="none"/>
        </w:rPr>
        <w:t xml:space="preserve">其他： / </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ascii="宋体" w:hAnsi="宋体" w:cs="宋体"/>
          <w:color w:val="auto"/>
          <w:sz w:val="24"/>
          <w:szCs w:val="24"/>
          <w:highlight w:val="none"/>
        </w:rPr>
        <w:t>7.</w:t>
      </w:r>
      <w:r>
        <w:rPr>
          <w:rFonts w:hint="eastAsia" w:ascii="宋体" w:hAnsi="宋体" w:cs="宋体"/>
          <w:color w:val="auto"/>
          <w:sz w:val="24"/>
          <w:szCs w:val="24"/>
          <w:highlight w:val="none"/>
        </w:rPr>
        <w:t>3</w:t>
      </w:r>
      <w:r>
        <w:rPr>
          <w:rFonts w:hint="eastAsia" w:ascii="宋体" w:hAnsi="宋体" w:cs="宋体"/>
          <w:color w:val="auto"/>
          <w:sz w:val="24"/>
          <w:szCs w:val="24"/>
          <w:highlight w:val="none"/>
        </w:rPr>
        <w:tab/>
      </w:r>
      <w:r>
        <w:rPr>
          <w:rFonts w:hint="eastAsia" w:ascii="宋体" w:hAnsi="宋体" w:cs="宋体"/>
          <w:color w:val="auto"/>
          <w:sz w:val="24"/>
          <w:szCs w:val="24"/>
          <w:highlight w:val="none"/>
        </w:rPr>
        <w:t>乙方银行账户信息</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收款账户： </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 xml:space="preserve">开户行： </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账  号：</w:t>
      </w:r>
    </w:p>
    <w:p>
      <w:pPr>
        <w:adjustRightInd w:val="0"/>
        <w:spacing w:line="360" w:lineRule="auto"/>
        <w:ind w:firstLine="462" w:firstLineChars="200"/>
        <w:jc w:val="left"/>
        <w:textAlignment w:val="baseline"/>
        <w:rPr>
          <w:color w:val="auto"/>
          <w:highlight w:val="none"/>
        </w:rPr>
      </w:pPr>
      <w:r>
        <w:rPr>
          <w:rFonts w:hint="eastAsia" w:ascii="宋体" w:hAnsi="宋体" w:cs="宋体"/>
          <w:color w:val="auto"/>
          <w:sz w:val="24"/>
          <w:szCs w:val="24"/>
          <w:highlight w:val="none"/>
        </w:rPr>
        <w:t>7.4乙方</w:t>
      </w:r>
      <w:r>
        <w:rPr>
          <w:rFonts w:hint="eastAsia" w:ascii="宋体" w:hAnsi="宋体"/>
          <w:color w:val="auto"/>
          <w:sz w:val="24"/>
          <w:szCs w:val="24"/>
          <w:highlight w:val="none"/>
        </w:rPr>
        <w:t>在收取每一笔合同费用前，需向甲方提供等额有效的增值税专用发票。</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第八条</w:t>
      </w: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rPr>
        <w:t xml:space="preserve"> 双方责任</w:t>
      </w:r>
    </w:p>
    <w:p>
      <w:pPr>
        <w:spacing w:line="360" w:lineRule="auto"/>
        <w:ind w:firstLine="462" w:firstLineChars="200"/>
        <w:outlineLvl w:val="2"/>
        <w:rPr>
          <w:rFonts w:ascii="宋体" w:hAnsi="宋体" w:cs="宋体"/>
          <w:color w:val="auto"/>
          <w:sz w:val="24"/>
          <w:szCs w:val="24"/>
          <w:highlight w:val="none"/>
        </w:rPr>
      </w:pPr>
      <w:r>
        <w:rPr>
          <w:rFonts w:hint="eastAsia" w:ascii="宋体" w:hAnsi="宋体" w:cs="宋体"/>
          <w:b/>
          <w:bCs/>
          <w:color w:val="auto"/>
          <w:sz w:val="24"/>
          <w:szCs w:val="24"/>
          <w:highlight w:val="none"/>
        </w:rPr>
        <w:t>8.1甲方责任</w:t>
      </w:r>
      <w:r>
        <w:rPr>
          <w:rFonts w:hint="eastAsia" w:ascii="宋体" w:hAnsi="宋体" w:cs="宋体"/>
          <w:color w:val="auto"/>
          <w:sz w:val="24"/>
          <w:szCs w:val="24"/>
          <w:highlight w:val="none"/>
        </w:rPr>
        <w:t xml:space="preserve"> </w:t>
      </w:r>
    </w:p>
    <w:p>
      <w:pPr>
        <w:spacing w:line="360" w:lineRule="auto"/>
        <w:ind w:firstLine="462"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8.1.1甲方应当如实提供与委托事项有关的资料并对该资料的真实性、合法性、有效性负责。如甲方提供给乙方的专利服务事务有弄虚作假或侵犯他人的合法权益等不正当行为，经发现和证实后，乙方有权利终止合同，所收费用均不予退还。</w:t>
      </w:r>
    </w:p>
    <w:p>
      <w:pPr>
        <w:spacing w:line="360" w:lineRule="auto"/>
        <w:ind w:firstLine="347"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8.1.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甲方要求乙方比合同规定时间提前交付撰写文件时，需提前通知乙方，且征得乙方同意，不得严重背离合理撰写周期。</w:t>
      </w:r>
    </w:p>
    <w:p>
      <w:pPr>
        <w:pStyle w:val="4"/>
        <w:keepNext w:val="0"/>
        <w:keepLines w:val="0"/>
        <w:spacing w:before="0" w:after="0" w:line="360" w:lineRule="auto"/>
        <w:ind w:firstLine="462" w:firstLineChars="200"/>
        <w:rPr>
          <w:rFonts w:ascii="宋体" w:hAnsi="宋体" w:cs="宋体"/>
          <w:bCs w:val="0"/>
          <w:color w:val="auto"/>
          <w:sz w:val="24"/>
          <w:szCs w:val="24"/>
          <w:highlight w:val="none"/>
        </w:rPr>
      </w:pPr>
      <w:r>
        <w:rPr>
          <w:rFonts w:hint="eastAsia" w:ascii="宋体" w:hAnsi="宋体" w:cs="宋体"/>
          <w:bCs w:val="0"/>
          <w:color w:val="auto"/>
          <w:sz w:val="24"/>
          <w:szCs w:val="24"/>
          <w:highlight w:val="none"/>
        </w:rPr>
        <w:t>8.2乙方责任</w:t>
      </w:r>
    </w:p>
    <w:p>
      <w:pPr>
        <w:spacing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8.2.1乙方按合同约定时间向甲方提交有关工作成果，乙方保证具备相应的资质并对提交的文件、报告及所出的结论负责。</w:t>
      </w:r>
    </w:p>
    <w:p>
      <w:pPr>
        <w:spacing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8.2.</w:t>
      </w:r>
      <w:r>
        <w:rPr>
          <w:rFonts w:ascii="宋体" w:hAnsi="宋体" w:cs="宋体"/>
          <w:color w:val="auto"/>
          <w:sz w:val="24"/>
          <w:szCs w:val="24"/>
          <w:highlight w:val="none"/>
        </w:rPr>
        <w:t>2</w:t>
      </w:r>
      <w:r>
        <w:rPr>
          <w:rFonts w:hint="eastAsia" w:ascii="宋体" w:hAnsi="宋体" w:cs="宋体"/>
          <w:color w:val="auto"/>
          <w:sz w:val="24"/>
          <w:szCs w:val="24"/>
          <w:highlight w:val="none"/>
        </w:rPr>
        <w:t>由于乙方自身原因，延误了按本合同第五条规定的成果交付时间，每延误一天应减收该项目合同价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包括代理费和官费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的2‰，</w:t>
      </w:r>
      <w:r>
        <w:rPr>
          <w:rFonts w:hint="eastAsia"/>
          <w:color w:val="auto"/>
          <w:sz w:val="24"/>
          <w:szCs w:val="24"/>
          <w:highlight w:val="none"/>
        </w:rPr>
        <w:t>逾期超过30天，甲方有权解除合同，</w:t>
      </w:r>
      <w:r>
        <w:rPr>
          <w:rFonts w:hint="eastAsia"/>
          <w:color w:val="auto"/>
          <w:sz w:val="24"/>
          <w:szCs w:val="24"/>
          <w:highlight w:val="none"/>
          <w:lang w:val="en-US" w:eastAsia="zh-CN"/>
        </w:rPr>
        <w:t>并</w:t>
      </w:r>
      <w:r>
        <w:rPr>
          <w:rFonts w:hint="eastAsia"/>
          <w:color w:val="auto"/>
          <w:sz w:val="24"/>
          <w:szCs w:val="24"/>
          <w:highlight w:val="none"/>
        </w:rPr>
        <w:t>要求乙方</w:t>
      </w:r>
      <w:r>
        <w:rPr>
          <w:rFonts w:hint="eastAsia"/>
          <w:color w:val="auto"/>
          <w:sz w:val="24"/>
          <w:szCs w:val="24"/>
          <w:highlight w:val="none"/>
          <w:lang w:val="en-US" w:eastAsia="zh-CN"/>
        </w:rPr>
        <w:t>支付合同价</w:t>
      </w:r>
      <w:r>
        <w:rPr>
          <w:rFonts w:hint="eastAsia"/>
          <w:color w:val="auto"/>
          <w:sz w:val="24"/>
          <w:szCs w:val="24"/>
          <w:highlight w:val="none"/>
        </w:rPr>
        <w:t>20%</w:t>
      </w:r>
      <w:r>
        <w:rPr>
          <w:rFonts w:hint="eastAsia"/>
          <w:color w:val="auto"/>
          <w:sz w:val="24"/>
          <w:szCs w:val="24"/>
          <w:highlight w:val="none"/>
          <w:lang w:val="en-US" w:eastAsia="zh-CN"/>
        </w:rPr>
        <w:t>的违约金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由此给甲方造成损失的，乙方应承担赔偿责任。</w:t>
      </w:r>
    </w:p>
    <w:p>
      <w:pPr>
        <w:spacing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8.2.</w:t>
      </w:r>
      <w:r>
        <w:rPr>
          <w:rFonts w:ascii="宋体" w:hAnsi="宋体" w:cs="宋体"/>
          <w:color w:val="auto"/>
          <w:sz w:val="24"/>
          <w:szCs w:val="24"/>
          <w:highlight w:val="none"/>
        </w:rPr>
        <w:t>3</w:t>
      </w:r>
      <w:r>
        <w:rPr>
          <w:rFonts w:hint="eastAsia" w:ascii="宋体" w:hAnsi="宋体" w:cs="宋体"/>
          <w:color w:val="auto"/>
          <w:sz w:val="24"/>
          <w:szCs w:val="24"/>
          <w:highlight w:val="none"/>
        </w:rPr>
        <w:t>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8.2.</w:t>
      </w:r>
      <w:r>
        <w:rPr>
          <w:rFonts w:ascii="宋体" w:hAnsi="宋体" w:cs="宋体"/>
          <w:color w:val="auto"/>
          <w:sz w:val="24"/>
          <w:szCs w:val="24"/>
          <w:highlight w:val="none"/>
        </w:rPr>
        <w:t>4</w:t>
      </w:r>
      <w:r>
        <w:rPr>
          <w:rFonts w:hint="eastAsia" w:ascii="宋体" w:hAnsi="宋体" w:cs="宋体"/>
          <w:color w:val="auto"/>
          <w:sz w:val="24"/>
          <w:szCs w:val="24"/>
          <w:highlight w:val="none"/>
        </w:rPr>
        <w:t>若标准或计划变更，经甲方同意，乙方可顺延期限。</w:t>
      </w:r>
    </w:p>
    <w:p>
      <w:pPr>
        <w:spacing w:line="360" w:lineRule="auto"/>
        <w:ind w:firstLine="462" w:firstLineChars="200"/>
        <w:rPr>
          <w:color w:val="auto"/>
          <w:sz w:val="24"/>
          <w:szCs w:val="24"/>
          <w:highlight w:val="none"/>
        </w:rPr>
      </w:pPr>
      <w:r>
        <w:rPr>
          <w:rFonts w:hint="eastAsia" w:ascii="宋体" w:hAnsi="宋体" w:cs="宋体"/>
          <w:color w:val="auto"/>
          <w:sz w:val="24"/>
          <w:szCs w:val="24"/>
          <w:highlight w:val="none"/>
        </w:rPr>
        <w:t>8.2.</w:t>
      </w:r>
      <w:r>
        <w:rPr>
          <w:rFonts w:ascii="宋体" w:hAnsi="宋体" w:cs="宋体"/>
          <w:color w:val="auto"/>
          <w:sz w:val="24"/>
          <w:szCs w:val="24"/>
          <w:highlight w:val="none"/>
        </w:rPr>
        <w:t>5</w:t>
      </w:r>
      <w:r>
        <w:rPr>
          <w:rFonts w:hint="eastAsia" w:ascii="宋体" w:hAnsi="宋体" w:cs="宋体"/>
          <w:color w:val="auto"/>
          <w:sz w:val="24"/>
          <w:szCs w:val="24"/>
          <w:highlight w:val="none"/>
        </w:rPr>
        <w:t>合同生效后，非甲方原因乙方要求解除合同的，</w:t>
      </w:r>
      <w:r>
        <w:rPr>
          <w:rFonts w:hint="eastAsia"/>
          <w:color w:val="auto"/>
          <w:sz w:val="24"/>
          <w:szCs w:val="24"/>
          <w:highlight w:val="none"/>
        </w:rPr>
        <w:t>应向甲方返还已收取的费用，支付合同包干价20%的违约金，如给甲方造成损失的，应承担赔偿责任。</w:t>
      </w:r>
    </w:p>
    <w:p>
      <w:pPr>
        <w:spacing w:line="360" w:lineRule="auto"/>
        <w:ind w:firstLine="462" w:firstLineChars="200"/>
        <w:rPr>
          <w:rFonts w:ascii="宋体" w:hAnsi="宋体" w:cs="宋体"/>
          <w:color w:val="auto"/>
          <w:sz w:val="24"/>
          <w:szCs w:val="24"/>
          <w:highlight w:val="none"/>
        </w:rPr>
      </w:pPr>
      <w:r>
        <w:rPr>
          <w:rFonts w:hint="eastAsia" w:ascii="宋体" w:hAnsi="宋体" w:cs="宋体"/>
          <w:color w:val="auto"/>
          <w:sz w:val="24"/>
          <w:szCs w:val="24"/>
          <w:highlight w:val="none"/>
        </w:rPr>
        <w:t>8.2.6 乙方交付的成果不符合合同约定的，甲方有权要求乙方在指定的时间内重新提交，交付时间不顺延。乙方未能在指定时间内重新提交或重新提交的成果仍不符合合同约定的，甲方有权解除合同，</w:t>
      </w:r>
      <w:r>
        <w:rPr>
          <w:rFonts w:hint="eastAsia" w:ascii="宋体" w:hAnsi="宋体" w:cs="宋体"/>
          <w:color w:val="auto"/>
          <w:sz w:val="24"/>
          <w:szCs w:val="24"/>
          <w:highlight w:val="none"/>
          <w:lang w:val="en-US" w:eastAsia="zh-CN"/>
        </w:rPr>
        <w:t>并</w:t>
      </w:r>
      <w:r>
        <w:rPr>
          <w:rFonts w:hint="eastAsia" w:ascii="宋体" w:hAnsi="宋体" w:cs="宋体"/>
          <w:color w:val="auto"/>
          <w:sz w:val="24"/>
          <w:szCs w:val="24"/>
          <w:highlight w:val="none"/>
        </w:rPr>
        <w:t>要求乙方</w:t>
      </w:r>
      <w:r>
        <w:rPr>
          <w:rFonts w:hint="eastAsia" w:ascii="宋体" w:hAnsi="宋体" w:cs="宋体"/>
          <w:color w:val="auto"/>
          <w:sz w:val="24"/>
          <w:szCs w:val="24"/>
          <w:highlight w:val="none"/>
          <w:lang w:val="en-US" w:eastAsia="zh-CN"/>
        </w:rPr>
        <w:t>支付合同价</w:t>
      </w:r>
      <w:r>
        <w:rPr>
          <w:rFonts w:hint="eastAsia"/>
          <w:color w:val="auto"/>
          <w:sz w:val="24"/>
          <w:szCs w:val="24"/>
          <w:highlight w:val="none"/>
        </w:rPr>
        <w:t>20%</w:t>
      </w:r>
      <w:r>
        <w:rPr>
          <w:rFonts w:hint="eastAsia" w:ascii="宋体" w:hAnsi="宋体" w:cs="宋体"/>
          <w:color w:val="auto"/>
          <w:sz w:val="24"/>
          <w:szCs w:val="24"/>
          <w:highlight w:val="none"/>
          <w:lang w:val="en-US" w:eastAsia="zh-CN"/>
        </w:rPr>
        <w:t>的违约金，</w:t>
      </w:r>
      <w:r>
        <w:rPr>
          <w:rFonts w:hint="eastAsia"/>
          <w:color w:val="auto"/>
          <w:sz w:val="24"/>
          <w:szCs w:val="24"/>
          <w:highlight w:val="none"/>
        </w:rPr>
        <w:t>如给甲方造成损失的，应承担赔偿责任。</w:t>
      </w:r>
    </w:p>
    <w:p>
      <w:pPr>
        <w:pStyle w:val="33"/>
        <w:spacing w:line="360" w:lineRule="auto"/>
        <w:rPr>
          <w:rFonts w:hAnsi="宋体" w:eastAsiaTheme="minorEastAsia"/>
          <w:color w:val="auto"/>
          <w:kern w:val="2"/>
          <w:highlight w:val="none"/>
        </w:rPr>
      </w:pPr>
      <w:r>
        <w:rPr>
          <w:rFonts w:hint="eastAsia" w:hAnsi="宋体"/>
          <w:color w:val="auto"/>
          <w:highlight w:val="none"/>
        </w:rPr>
        <w:t xml:space="preserve">    </w:t>
      </w:r>
      <w:r>
        <w:rPr>
          <w:rFonts w:hint="eastAsia" w:hAnsi="宋体" w:eastAsiaTheme="minorEastAsia"/>
          <w:color w:val="auto"/>
          <w:kern w:val="2"/>
          <w:highlight w:val="none"/>
        </w:rPr>
        <w:t>8.2.7在合同有效期内，若乙方发生不诚信行为情形的，乙方自愿接受甲方按《广州市净水有限公司经营建设项目参建企业不诚信行为管理办法》处理，具体处理标准详见附件3。</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第九条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知识产权</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第十条  争议解决</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本合同履行过程中发生争议，由双方当事人协商解决。协商不成的按下列第（二）种方式解决。</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（一）提交广州仲裁委员会仲裁；</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（二）依法向甲方所在地的人民法院起诉。</w:t>
      </w:r>
    </w:p>
    <w:p>
      <w:pPr>
        <w:adjustRightInd w:val="0"/>
        <w:spacing w:line="360" w:lineRule="auto"/>
        <w:jc w:val="left"/>
        <w:textAlignment w:val="baseline"/>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第十一条  合同生效及其他</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11.1合同生效的条件：</w:t>
      </w:r>
      <w:r>
        <w:rPr>
          <w:rFonts w:hint="eastAsia" w:ascii="宋体" w:hAnsi="宋体" w:cs="宋体"/>
          <w:color w:val="auto"/>
          <w:sz w:val="24"/>
          <w:szCs w:val="24"/>
          <w:highlight w:val="none"/>
          <w:lang w:val="en-US" w:eastAsia="zh-CN"/>
        </w:rPr>
        <w:t>双方签字</w:t>
      </w:r>
      <w:r>
        <w:rPr>
          <w:rFonts w:hint="eastAsia" w:ascii="宋体" w:hAnsi="宋体" w:cs="宋体"/>
          <w:color w:val="auto"/>
          <w:sz w:val="24"/>
          <w:szCs w:val="24"/>
          <w:highlight w:val="none"/>
        </w:rPr>
        <w:t>盖章。</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11.2甲方委托乙方承担本合同内容以外的工作服务，需另行签订协议并支付费用。</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由于不可抗力因素致使合同无法履行时，双方应及时协商解决。</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本合同正本一式</w:t>
      </w:r>
      <w:r>
        <w:rPr>
          <w:rFonts w:hint="eastAsia" w:ascii="宋体" w:hAnsi="宋体" w:cs="宋体"/>
          <w:color w:val="auto"/>
          <w:sz w:val="24"/>
          <w:szCs w:val="24"/>
          <w:highlight w:val="none"/>
          <w:u w:val="single"/>
        </w:rPr>
        <w:t xml:space="preserve"> 陆 </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 xml:space="preserve"> 肆 </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贰</w:t>
      </w:r>
      <w:r>
        <w:rPr>
          <w:rFonts w:hint="eastAsia" w:ascii="宋体" w:hAnsi="宋体" w:cs="宋体"/>
          <w:color w:val="auto"/>
          <w:sz w:val="24"/>
          <w:szCs w:val="24"/>
          <w:highlight w:val="none"/>
        </w:rPr>
        <w:t>份；副本一式</w:t>
      </w:r>
      <w:r>
        <w:rPr>
          <w:rFonts w:hint="eastAsia" w:ascii="宋体" w:hAnsi="宋体" w:cs="宋体"/>
          <w:color w:val="auto"/>
          <w:sz w:val="24"/>
          <w:szCs w:val="24"/>
          <w:highlight w:val="none"/>
          <w:u w:val="single"/>
        </w:rPr>
        <w:t>零</w:t>
      </w:r>
      <w:r>
        <w:rPr>
          <w:rFonts w:hint="eastAsia" w:ascii="宋体" w:hAnsi="宋体" w:cs="宋体"/>
          <w:color w:val="auto"/>
          <w:sz w:val="24"/>
          <w:szCs w:val="24"/>
          <w:highlight w:val="none"/>
        </w:rPr>
        <w:t>份，甲方执</w:t>
      </w:r>
      <w:r>
        <w:rPr>
          <w:rFonts w:hint="eastAsia" w:ascii="宋体" w:hAnsi="宋体" w:cs="宋体"/>
          <w:color w:val="auto"/>
          <w:sz w:val="24"/>
          <w:szCs w:val="24"/>
          <w:highlight w:val="none"/>
          <w:u w:val="single"/>
        </w:rPr>
        <w:t>零</w:t>
      </w:r>
      <w:r>
        <w:rPr>
          <w:rFonts w:hint="eastAsia" w:ascii="宋体" w:hAnsi="宋体" w:cs="宋体"/>
          <w:color w:val="auto"/>
          <w:sz w:val="24"/>
          <w:szCs w:val="24"/>
          <w:highlight w:val="none"/>
        </w:rPr>
        <w:t>份，乙方执</w:t>
      </w:r>
      <w:r>
        <w:rPr>
          <w:rFonts w:hint="eastAsia" w:ascii="宋体" w:hAnsi="宋体" w:cs="宋体"/>
          <w:color w:val="auto"/>
          <w:sz w:val="24"/>
          <w:szCs w:val="24"/>
          <w:highlight w:val="none"/>
          <w:u w:val="single"/>
        </w:rPr>
        <w:t>零</w:t>
      </w:r>
      <w:r>
        <w:rPr>
          <w:rFonts w:hint="eastAsia" w:ascii="宋体" w:hAnsi="宋体" w:cs="宋体"/>
          <w:color w:val="auto"/>
          <w:sz w:val="24"/>
          <w:szCs w:val="24"/>
          <w:highlight w:val="none"/>
        </w:rPr>
        <w:t>份，双方所执合同具同等法律效力。</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双方履行完合同规定的义务后，本合同即行终止。</w:t>
      </w:r>
    </w:p>
    <w:p>
      <w:pPr>
        <w:adjustRightInd w:val="0"/>
        <w:spacing w:line="360" w:lineRule="auto"/>
        <w:ind w:firstLine="462" w:firstLineChars="200"/>
        <w:jc w:val="left"/>
        <w:textAlignment w:val="baseline"/>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双方认可的来往传真、会议纪要等，均为合同的组成部分，与本合同具有同等法律效力。</w:t>
      </w:r>
    </w:p>
    <w:p>
      <w:pPr>
        <w:spacing w:line="360" w:lineRule="auto"/>
        <w:ind w:firstLine="462"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未尽事宜，双方协商一致，可签订补充协议，补充协议与本合同具有同等效力。</w:t>
      </w:r>
    </w:p>
    <w:p>
      <w:pPr>
        <w:spacing w:line="360" w:lineRule="auto"/>
        <w:ind w:firstLine="462"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11.</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本合同附件是合同不可分割的一部分，具有相同的法律效力，具体附件如下：</w:t>
      </w:r>
    </w:p>
    <w:p>
      <w:pPr>
        <w:spacing w:line="360" w:lineRule="auto"/>
        <w:ind w:firstLine="462"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附件1：发包通知书</w:t>
      </w:r>
    </w:p>
    <w:p>
      <w:pPr>
        <w:spacing w:line="360" w:lineRule="auto"/>
        <w:ind w:firstLine="462"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附件2：廉洁协议</w:t>
      </w:r>
    </w:p>
    <w:p>
      <w:pPr>
        <w:spacing w:line="360" w:lineRule="auto"/>
        <w:ind w:firstLine="462"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附件3：不诚信行为的情形及相应被暂停参与投标活动的处理标准</w:t>
      </w:r>
    </w:p>
    <w:p>
      <w:pPr>
        <w:spacing w:line="360" w:lineRule="auto"/>
        <w:ind w:firstLine="462" w:firstLineChars="200"/>
        <w:outlineLvl w:val="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4</w:t>
      </w:r>
      <w:r>
        <w:rPr>
          <w:rFonts w:hint="eastAsia" w:ascii="宋体" w:hAnsi="宋体" w:cs="宋体"/>
          <w:color w:val="auto"/>
          <w:sz w:val="24"/>
          <w:szCs w:val="24"/>
          <w:highlight w:val="none"/>
        </w:rPr>
        <w:t>：报价清单</w:t>
      </w:r>
    </w:p>
    <w:p>
      <w:pPr>
        <w:pStyle w:val="15"/>
        <w:spacing w:line="360" w:lineRule="auto"/>
        <w:ind w:left="558" w:leftChars="278" w:firstLine="116" w:firstLineChars="50"/>
        <w:rPr>
          <w:rFonts w:ascii="宋体" w:hAnsi="宋体" w:cs="宋体"/>
          <w:color w:val="auto"/>
          <w:sz w:val="24"/>
          <w:szCs w:val="24"/>
          <w:highlight w:val="none"/>
        </w:rPr>
      </w:pPr>
    </w:p>
    <w:tbl>
      <w:tblPr>
        <w:tblStyle w:val="27"/>
        <w:tblpPr w:leftFromText="180" w:rightFromText="180" w:vertAnchor="text" w:horzAnchor="page" w:tblpX="1545" w:tblpY="260"/>
        <w:tblOverlap w:val="never"/>
        <w:tblW w:w="8426" w:type="dxa"/>
        <w:jc w:val="center"/>
        <w:tblLayout w:type="fixed"/>
        <w:tblCellMar>
          <w:top w:w="0" w:type="dxa"/>
          <w:left w:w="28" w:type="dxa"/>
          <w:bottom w:w="0" w:type="dxa"/>
          <w:right w:w="28" w:type="dxa"/>
        </w:tblCellMar>
      </w:tblPr>
      <w:tblGrid>
        <w:gridCol w:w="3857"/>
        <w:gridCol w:w="450"/>
        <w:gridCol w:w="4119"/>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甲方：广州市净水有限公司</w:t>
            </w:r>
          </w:p>
        </w:tc>
        <w:tc>
          <w:tcPr>
            <w:tcW w:w="450" w:type="dxa"/>
            <w:vAlign w:val="center"/>
          </w:tcPr>
          <w:p>
            <w:pPr>
              <w:spacing w:line="360" w:lineRule="auto"/>
              <w:rPr>
                <w:rFonts w:ascii="宋体" w:hAnsi="宋体" w:cs="宋体"/>
                <w:color w:val="auto"/>
                <w:sz w:val="24"/>
                <w:szCs w:val="24"/>
                <w:highlight w:val="none"/>
              </w:rPr>
            </w:pPr>
          </w:p>
        </w:tc>
        <w:tc>
          <w:tcPr>
            <w:tcW w:w="41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p>
            <w:pPr>
              <w:spacing w:line="360" w:lineRule="auto"/>
              <w:rPr>
                <w:rFonts w:ascii="宋体" w:hAnsi="宋体" w:cs="宋体"/>
                <w:color w:val="auto"/>
                <w:sz w:val="24"/>
                <w:szCs w:val="24"/>
                <w:highlight w:val="none"/>
              </w:rPr>
            </w:pPr>
          </w:p>
        </w:tc>
        <w:tc>
          <w:tcPr>
            <w:tcW w:w="450" w:type="dxa"/>
          </w:tcPr>
          <w:p>
            <w:pPr>
              <w:spacing w:line="360" w:lineRule="auto"/>
              <w:rPr>
                <w:rFonts w:ascii="宋体" w:hAnsi="宋体" w:cs="宋体"/>
                <w:color w:val="auto"/>
                <w:sz w:val="24"/>
                <w:szCs w:val="24"/>
                <w:highlight w:val="none"/>
              </w:rPr>
            </w:pPr>
          </w:p>
        </w:tc>
        <w:tc>
          <w:tcPr>
            <w:tcW w:w="4119"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p>
            <w:pPr>
              <w:spacing w:line="360" w:lineRule="auto"/>
              <w:rPr>
                <w:rFonts w:ascii="宋体" w:hAnsi="宋体" w:cs="宋体"/>
                <w:color w:val="auto"/>
                <w:sz w:val="24"/>
                <w:szCs w:val="24"/>
                <w:highlight w:val="none"/>
              </w:rPr>
            </w:pPr>
          </w:p>
        </w:tc>
        <w:tc>
          <w:tcPr>
            <w:tcW w:w="450" w:type="dxa"/>
          </w:tcPr>
          <w:p>
            <w:pPr>
              <w:spacing w:line="360" w:lineRule="auto"/>
              <w:rPr>
                <w:rFonts w:ascii="宋体" w:hAnsi="宋体" w:cs="宋体"/>
                <w:color w:val="auto"/>
                <w:sz w:val="24"/>
                <w:szCs w:val="24"/>
                <w:highlight w:val="none"/>
              </w:rPr>
            </w:pPr>
          </w:p>
        </w:tc>
        <w:tc>
          <w:tcPr>
            <w:tcW w:w="4119"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450" w:type="dxa"/>
            <w:vAlign w:val="center"/>
          </w:tcPr>
          <w:p>
            <w:pPr>
              <w:spacing w:line="360" w:lineRule="auto"/>
              <w:rPr>
                <w:rFonts w:ascii="宋体" w:hAnsi="宋体" w:cs="宋体"/>
                <w:color w:val="auto"/>
                <w:sz w:val="24"/>
                <w:szCs w:val="24"/>
                <w:highlight w:val="none"/>
              </w:rPr>
            </w:pPr>
          </w:p>
        </w:tc>
        <w:tc>
          <w:tcPr>
            <w:tcW w:w="4119" w:type="dxa"/>
            <w:vAlign w:val="center"/>
          </w:tcPr>
          <w:p>
            <w:pPr>
              <w:spacing w:line="360" w:lineRule="auto"/>
              <w:ind w:right="-18" w:rightChars="-9"/>
              <w:rPr>
                <w:rFonts w:ascii="宋体" w:hAnsi="宋体" w:cs="宋体"/>
                <w:color w:val="auto"/>
                <w:sz w:val="24"/>
                <w:szCs w:val="24"/>
                <w:highlight w:val="none"/>
              </w:rPr>
            </w:pPr>
            <w:r>
              <w:rPr>
                <w:rFonts w:hint="eastAsia" w:ascii="宋体" w:hAnsi="宋体" w:cs="宋体"/>
                <w:color w:val="auto"/>
                <w:sz w:val="24"/>
                <w:szCs w:val="24"/>
                <w:highlight w:val="none"/>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地址：广州市天河区临江大道501号</w:t>
            </w:r>
          </w:p>
        </w:tc>
        <w:tc>
          <w:tcPr>
            <w:tcW w:w="450" w:type="dxa"/>
          </w:tcPr>
          <w:p>
            <w:pPr>
              <w:spacing w:line="360" w:lineRule="auto"/>
              <w:rPr>
                <w:rFonts w:ascii="宋体" w:hAnsi="宋体" w:cs="宋体"/>
                <w:color w:val="auto"/>
                <w:sz w:val="24"/>
                <w:szCs w:val="24"/>
                <w:highlight w:val="none"/>
              </w:rPr>
            </w:pPr>
          </w:p>
        </w:tc>
        <w:tc>
          <w:tcPr>
            <w:tcW w:w="4119" w:type="dxa"/>
          </w:tcPr>
          <w:p>
            <w:pPr>
              <w:rPr>
                <w:rFonts w:ascii="宋体" w:hAnsi="宋体" w:cs="宋体"/>
                <w:color w:val="auto"/>
                <w:sz w:val="24"/>
                <w:szCs w:val="24"/>
                <w:highlight w:val="none"/>
              </w:rPr>
            </w:pPr>
            <w:r>
              <w:rPr>
                <w:rFonts w:hint="eastAsia" w:ascii="宋体" w:hAnsi="宋体" w:cs="宋体"/>
                <w:color w:val="auto"/>
                <w:sz w:val="24"/>
                <w:szCs w:val="24"/>
                <w:highlight w:val="none"/>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邮政编码：510655</w:t>
            </w:r>
            <w:r>
              <w:rPr>
                <w:rFonts w:hint="eastAsia" w:ascii="宋体" w:hAnsi="宋体" w:cs="宋体"/>
                <w:color w:val="auto"/>
                <w:sz w:val="24"/>
                <w:szCs w:val="24"/>
                <w:highlight w:val="none"/>
              </w:rPr>
              <w:tab/>
            </w:r>
          </w:p>
        </w:tc>
        <w:tc>
          <w:tcPr>
            <w:tcW w:w="450" w:type="dxa"/>
            <w:vAlign w:val="center"/>
          </w:tcPr>
          <w:p>
            <w:pPr>
              <w:spacing w:line="360" w:lineRule="auto"/>
              <w:rPr>
                <w:rFonts w:ascii="宋体" w:hAnsi="宋体" w:cs="宋体"/>
                <w:color w:val="auto"/>
                <w:sz w:val="24"/>
                <w:szCs w:val="24"/>
                <w:highlight w:val="none"/>
              </w:rPr>
            </w:pPr>
          </w:p>
        </w:tc>
        <w:tc>
          <w:tcPr>
            <w:tcW w:w="41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50" w:type="dxa"/>
            <w:vAlign w:val="center"/>
          </w:tcPr>
          <w:p>
            <w:pPr>
              <w:spacing w:line="360" w:lineRule="auto"/>
              <w:rPr>
                <w:rFonts w:ascii="宋体" w:hAnsi="宋体" w:cs="宋体"/>
                <w:color w:val="auto"/>
                <w:sz w:val="24"/>
                <w:szCs w:val="24"/>
                <w:highlight w:val="none"/>
              </w:rPr>
            </w:pPr>
          </w:p>
        </w:tc>
        <w:tc>
          <w:tcPr>
            <w:tcW w:w="41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50" w:type="dxa"/>
            <w:vAlign w:val="center"/>
          </w:tcPr>
          <w:p>
            <w:pPr>
              <w:spacing w:line="360" w:lineRule="auto"/>
              <w:rPr>
                <w:rFonts w:ascii="宋体" w:hAnsi="宋体" w:cs="宋体"/>
                <w:color w:val="auto"/>
                <w:sz w:val="24"/>
                <w:szCs w:val="24"/>
                <w:highlight w:val="none"/>
              </w:rPr>
            </w:pPr>
          </w:p>
        </w:tc>
        <w:tc>
          <w:tcPr>
            <w:tcW w:w="4119" w:type="dxa"/>
            <w:vAlign w:val="center"/>
          </w:tcPr>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年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月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c>
          <w:tcPr>
            <w:tcW w:w="450" w:type="dxa"/>
            <w:vAlign w:val="center"/>
          </w:tcPr>
          <w:p>
            <w:pPr>
              <w:rPr>
                <w:rFonts w:ascii="宋体" w:hAnsi="宋体" w:cs="宋体"/>
                <w:color w:val="auto"/>
                <w:sz w:val="24"/>
                <w:szCs w:val="24"/>
                <w:highlight w:val="none"/>
              </w:rPr>
            </w:pPr>
          </w:p>
        </w:tc>
        <w:tc>
          <w:tcPr>
            <w:tcW w:w="4119"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签约日期：20</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 xml:space="preserve">年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月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日</w:t>
            </w:r>
          </w:p>
        </w:tc>
      </w:tr>
    </w:tbl>
    <w:p>
      <w:pPr>
        <w:widowControl/>
        <w:jc w:val="left"/>
        <w:rPr>
          <w:rFonts w:hint="eastAsia" w:ascii="宋体" w:hAnsi="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br w:type="page"/>
      </w:r>
    </w:p>
    <w:p>
      <w:pPr>
        <w:widowControl/>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附件</w:t>
      </w: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w:t>
      </w:r>
    </w:p>
    <w:p>
      <w:pPr>
        <w:widowControl/>
        <w:jc w:val="left"/>
        <w:rPr>
          <w:rFonts w:hint="eastAsia" w:ascii="宋体" w:hAnsi="宋体" w:cs="宋体"/>
          <w:color w:val="000000" w:themeColor="text1"/>
          <w:szCs w:val="21"/>
          <w:highlight w:val="none"/>
          <w14:textFill>
            <w14:solidFill>
              <w14:schemeClr w14:val="tx1"/>
            </w14:solidFill>
          </w14:textFill>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广净（非公招）字 [20</w:t>
      </w:r>
      <w:r>
        <w:rPr>
          <w:rFonts w:hint="eastAsia" w:ascii="仿宋_GB2312" w:hAnsi="宋体" w:eastAsia="仿宋_GB2312" w:cs="STSong-Light"/>
          <w:color w:val="000000"/>
          <w:kern w:val="0"/>
          <w:sz w:val="32"/>
          <w:szCs w:val="32"/>
        </w:rPr>
        <w:t>21</w:t>
      </w:r>
      <w:r>
        <w:rPr>
          <w:rFonts w:hint="eastAsia" w:ascii="仿宋_GB2312" w:hAnsi="STSong-Light" w:eastAsia="仿宋_GB2312" w:cs="STSong-Light"/>
          <w:color w:val="000000"/>
          <w:kern w:val="0"/>
          <w:sz w:val="32"/>
          <w:szCs w:val="32"/>
        </w:rPr>
        <w:t>] 第 [</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 号</w:t>
      </w:r>
    </w:p>
    <w:p>
      <w:pPr>
        <w:pStyle w:val="33"/>
      </w:pP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经我公司询价小组评审推荐，确定你单位为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承包单位，承包内容为询价文件所规定的发包内容，发包价为人民币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STSong-Light" w:hAnsi="STSong-Light" w:cs="STSong-Light"/>
          <w:color w:val="000000"/>
          <w:kern w:val="0"/>
          <w:sz w:val="24"/>
        </w:rPr>
        <w:sectPr>
          <w:headerReference r:id="rId6" w:type="default"/>
          <w:footerReference r:id="rId8" w:type="default"/>
          <w:headerReference r:id="rId7" w:type="even"/>
          <w:pgSz w:w="11906" w:h="16838"/>
          <w:pgMar w:top="1417" w:right="1531" w:bottom="1417" w:left="1531" w:header="851" w:footer="1417" w:gutter="0"/>
          <w:pgNumType w:fmt="numberInDash"/>
          <w:cols w:space="0" w:num="1"/>
          <w:rtlGutter w:val="0"/>
          <w:docGrid w:type="linesAndChars" w:linePitch="289" w:charSpace="-1844"/>
        </w:sectPr>
      </w:pPr>
      <w:r>
        <w:rPr>
          <w:rFonts w:hint="eastAsia" w:ascii="仿宋_GB2312" w:hAnsi="STSong-Light" w:eastAsia="仿宋_GB2312" w:cs="STSong-Light"/>
          <w:color w:val="000000"/>
          <w:kern w:val="0"/>
          <w:sz w:val="32"/>
          <w:szCs w:val="32"/>
        </w:rPr>
        <w:t xml:space="preserve">                                        年  月  日</w:t>
      </w:r>
    </w:p>
    <w:p>
      <w:pPr>
        <w:widowControl/>
        <w:jc w:val="left"/>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附件2</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4</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widowControl/>
        <w:jc w:val="left"/>
        <w:rPr>
          <w:rFonts w:ascii="宋体" w:hAnsi="宋体" w:cs="宋体"/>
          <w:sz w:val="28"/>
          <w:szCs w:val="28"/>
        </w:rPr>
      </w:pPr>
      <w:r>
        <w:rPr>
          <w:rFonts w:hint="eastAsia" w:ascii="宋体" w:hAnsi="宋体" w:cs="宋体"/>
          <w:sz w:val="28"/>
          <w:szCs w:val="28"/>
        </w:rPr>
        <w:t>附件</w:t>
      </w:r>
      <w:r>
        <w:rPr>
          <w:rFonts w:hint="eastAsia" w:ascii="宋体" w:hAnsi="宋体" w:cs="宋体"/>
          <w:sz w:val="28"/>
          <w:szCs w:val="28"/>
          <w:lang w:val="en-US" w:eastAsia="zh-CN"/>
        </w:rPr>
        <w:t>3</w:t>
      </w:r>
    </w:p>
    <w:p>
      <w:pPr>
        <w:adjustRightInd w:val="0"/>
        <w:snapToGrid w:val="0"/>
        <w:jc w:val="center"/>
        <w:rPr>
          <w:rFonts w:ascii="宋体" w:hAnsi="宋体" w:cs="宋体"/>
          <w:b/>
          <w:bCs/>
          <w:sz w:val="28"/>
          <w:szCs w:val="28"/>
        </w:rPr>
      </w:pPr>
      <w:r>
        <w:rPr>
          <w:rFonts w:hint="eastAsia" w:ascii="宋体" w:hAnsi="宋体" w:cs="宋体"/>
          <w:b/>
          <w:bCs/>
          <w:sz w:val="28"/>
          <w:szCs w:val="28"/>
        </w:rPr>
        <w:t>不诚信行为的情形及相应被暂停参与投标活动的处理标准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4"/>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0" w:type="dxa"/>
            <w:gridSpan w:val="2"/>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vAlign w:val="center"/>
          </w:tcPr>
          <w:p>
            <w:pPr>
              <w:adjustRightInd w:val="0"/>
              <w:snapToGrid w:val="0"/>
              <w:rPr>
                <w:rFonts w:ascii="宋体" w:hAnsi="宋体" w:cs="宋体"/>
                <w:szCs w:val="21"/>
              </w:rPr>
            </w:pPr>
            <w:r>
              <w:rPr>
                <w:rFonts w:hint="eastAsia" w:ascii="宋体" w:hAnsi="宋体" w:cs="宋体"/>
                <w:szCs w:val="21"/>
              </w:rPr>
              <w:t>处理期限</w:t>
            </w:r>
          </w:p>
        </w:tc>
        <w:tc>
          <w:tcPr>
            <w:tcW w:w="1985" w:type="dxa"/>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vAlign w:val="center"/>
          </w:tcPr>
          <w:p>
            <w:pPr>
              <w:adjustRightInd w:val="0"/>
              <w:snapToGrid w:val="0"/>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（一）建设生产现场发生人员死亡的。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发生死亡1～2人的，暂停投标1年至2年（含）。</w:t>
            </w:r>
          </w:p>
          <w:p>
            <w:pPr>
              <w:adjustRightInd w:val="0"/>
              <w:snapToGrid w:val="0"/>
              <w:rPr>
                <w:rFonts w:ascii="宋体" w:hAnsi="宋体" w:cs="宋体"/>
                <w:szCs w:val="21"/>
              </w:rPr>
            </w:pPr>
            <w:r>
              <w:rPr>
                <w:rFonts w:hint="eastAsia" w:ascii="宋体" w:hAnsi="宋体" w:cs="宋体"/>
                <w:szCs w:val="21"/>
              </w:rPr>
              <w:t>发生死亡3～9人的，暂停投标2年以上至4年。</w:t>
            </w:r>
          </w:p>
          <w:p>
            <w:pPr>
              <w:adjustRightInd w:val="0"/>
              <w:snapToGrid w:val="0"/>
              <w:rPr>
                <w:rFonts w:ascii="宋体" w:hAnsi="宋体" w:cs="宋体"/>
                <w:szCs w:val="21"/>
              </w:rPr>
            </w:pPr>
            <w:r>
              <w:rPr>
                <w:rFonts w:hint="eastAsia" w:ascii="宋体" w:hAnsi="宋体" w:cs="宋体"/>
                <w:szCs w:val="21"/>
              </w:rPr>
              <w:t>发生重大及以上事故的，暂停投标4年或以上。</w:t>
            </w:r>
          </w:p>
        </w:tc>
        <w:tc>
          <w:tcPr>
            <w:tcW w:w="850" w:type="dxa"/>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或群体性事件等。</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（三）安全文明施工差，一个自然年度（1月1日至12月31日，下同）内同一参建企业多次被上级主管部门、市水务质监站、市水投集团相关部门及甲方要求整改，经评分评定为不及格企业的。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注：1.上级主管部门、市水务质监站要求整改的，扣5分；市水投集团相关部门要求整改的，扣4分；甲方要求整改的，扣3分。扣分满60分则认定不及格。</w:t>
            </w:r>
          </w:p>
          <w:p>
            <w:pPr>
              <w:adjustRightInd w:val="0"/>
              <w:snapToGrid w:val="0"/>
              <w:rPr>
                <w:rFonts w:ascii="宋体" w:hAnsi="宋体" w:cs="宋体"/>
                <w:szCs w:val="21"/>
              </w:rPr>
            </w:pPr>
            <w:r>
              <w:rPr>
                <w:rFonts w:hint="eastAsia" w:ascii="宋体" w:hAnsi="宋体" w:cs="宋体"/>
                <w:szCs w:val="21"/>
              </w:rPr>
              <w:t>2.同一安全文明施工问题被要求整改的，如在整改期出现不同单位（部门）要求整改的，按照最高分值扣分；整改期存在不同安全文明施工问题被要求整改的，扣分值叠加。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（二）凡同一个工程建设项目因为质量问题在一个自然年度内</w:t>
            </w:r>
            <w:bookmarkStart w:id="7" w:name="OLE_LINK4"/>
            <w:r>
              <w:rPr>
                <w:rFonts w:hint="eastAsia" w:ascii="宋体" w:hAnsi="宋体" w:cs="宋体"/>
                <w:szCs w:val="21"/>
              </w:rPr>
              <w:t>多次被上级主管部门、市水务质监站、</w:t>
            </w:r>
            <w:bookmarkEnd w:id="7"/>
            <w:r>
              <w:rPr>
                <w:rFonts w:hint="eastAsia" w:ascii="宋体" w:hAnsi="宋体" w:cs="宋体"/>
                <w:szCs w:val="21"/>
              </w:rPr>
              <w:t>市水投集团相关部门及甲方要求整改，经评分评定为不及格企业的。</w:t>
            </w:r>
          </w:p>
          <w:p>
            <w:pPr>
              <w:adjustRightInd w:val="0"/>
              <w:snapToGrid w:val="0"/>
              <w:rPr>
                <w:rFonts w:ascii="宋体" w:hAnsi="宋体" w:cs="宋体"/>
                <w:szCs w:val="21"/>
              </w:rPr>
            </w:pPr>
            <w:r>
              <w:rPr>
                <w:rFonts w:hint="eastAsia" w:ascii="宋体" w:hAnsi="宋体" w:cs="宋体"/>
                <w:szCs w:val="21"/>
              </w:rPr>
              <w:t>注：1.上级主管部门、市水务质监站要求整改的，扣10分；市水投集团相关部门要求整改的，扣8分；甲方要求整改的，扣5分。扣分满60分则认定不及格。</w:t>
            </w:r>
          </w:p>
          <w:p>
            <w:pPr>
              <w:adjustRightInd w:val="0"/>
              <w:snapToGrid w:val="0"/>
              <w:rPr>
                <w:rFonts w:ascii="宋体" w:hAnsi="宋体" w:cs="宋体"/>
                <w:szCs w:val="21"/>
              </w:rPr>
            </w:pPr>
            <w:r>
              <w:rPr>
                <w:rFonts w:hint="eastAsia" w:ascii="宋体" w:hAnsi="宋体" w:cs="宋体"/>
                <w:szCs w:val="21"/>
              </w:rPr>
              <w:t>2.同一质量问题被要求整改的，如在整改期出现不同单位（部门）要求整改的，按照最高分值扣分；整改期存在不同质量问题被要求整改的，扣分值叠加。</w:t>
            </w:r>
          </w:p>
          <w:p>
            <w:pPr>
              <w:adjustRightInd w:val="0"/>
              <w:snapToGrid w:val="0"/>
              <w:rPr>
                <w:rFonts w:ascii="宋体" w:hAnsi="宋体" w:cs="宋体"/>
                <w:szCs w:val="21"/>
              </w:rPr>
            </w:pPr>
            <w:r>
              <w:rPr>
                <w:rFonts w:hint="eastAsia" w:ascii="宋体" w:hAnsi="宋体" w:cs="宋体"/>
                <w:szCs w:val="21"/>
              </w:rPr>
              <w:t>3.对于至整改期结束，不及时整改或拒绝整改的，重新明确整改期限，扣分值叠加。</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暂停投标6个月。若至下一个自然年度项目尚未完结，仍出现该款情形的，继续暂停投标6个月；同理执行至工程建设项目完工验收完成。</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rPr>
                <w:rFonts w:ascii="宋体" w:hAnsi="宋体" w:cs="宋体"/>
                <w:szCs w:val="21"/>
              </w:rPr>
            </w:pPr>
            <w:r>
              <w:rPr>
                <w:rFonts w:hint="eastAsia" w:ascii="宋体" w:hAnsi="宋体" w:cs="宋体"/>
                <w:szCs w:val="21"/>
              </w:rPr>
              <w:t>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4" w:type="dxa"/>
            <w:vAlign w:val="center"/>
          </w:tcPr>
          <w:p>
            <w:pPr>
              <w:adjustRightInd w:val="0"/>
              <w:snapToGrid w:val="0"/>
              <w:rPr>
                <w:rFonts w:ascii="宋体" w:hAnsi="宋体" w:cs="宋体"/>
                <w:szCs w:val="21"/>
              </w:rPr>
            </w:pPr>
            <w:r>
              <w:rPr>
                <w:rFonts w:hint="eastAsia" w:ascii="宋体" w:hAnsi="宋体" w:cs="宋体"/>
                <w:szCs w:val="21"/>
              </w:rPr>
              <w:t>（一）投标中串通投标、任意弃标、提供虚假资料。</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（五）因人员、机械投入及配套服务投入不足，主要管理人员未按照投标文件响应到位，导致严重影响工期，被市水投集团相关部门及甲方督办、警告和约谈3次的。</w:t>
            </w:r>
          </w:p>
        </w:tc>
        <w:tc>
          <w:tcPr>
            <w:tcW w:w="850" w:type="dxa"/>
            <w:vAlign w:val="center"/>
          </w:tcPr>
          <w:p>
            <w:pPr>
              <w:jc w:val="center"/>
              <w:rPr>
                <w:rFonts w:ascii="宋体" w:hAnsi="宋体" w:cs="宋体"/>
                <w:szCs w:val="21"/>
              </w:rPr>
            </w:pPr>
            <w:r>
              <w:rPr>
                <w:rFonts w:hint="eastAsia" w:ascii="宋体" w:hAnsi="宋体" w:cs="宋体"/>
                <w:szCs w:val="21"/>
              </w:rPr>
              <w:t>1年</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13</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14</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15</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16</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vAlign w:val="center"/>
          </w:tcPr>
          <w:p>
            <w:pPr>
              <w:jc w:val="center"/>
              <w:rPr>
                <w:rFonts w:ascii="宋体" w:hAnsi="宋体" w:cs="宋体"/>
                <w:szCs w:val="21"/>
              </w:rPr>
            </w:pPr>
            <w:r>
              <w:rPr>
                <w:rFonts w:hint="eastAsia" w:ascii="宋体" w:hAnsi="宋体" w:cs="宋体"/>
                <w:szCs w:val="21"/>
              </w:rPr>
              <w:t>6个月</w:t>
            </w:r>
          </w:p>
        </w:tc>
        <w:tc>
          <w:tcPr>
            <w:tcW w:w="1985" w:type="dxa"/>
            <w:vAlign w:val="center"/>
          </w:tcPr>
          <w:p>
            <w:pPr>
              <w:jc w:val="center"/>
              <w:rPr>
                <w:rFonts w:ascii="宋体" w:hAnsi="宋体" w:cs="宋体"/>
                <w:szCs w:val="21"/>
              </w:rPr>
            </w:pPr>
            <w:r>
              <w:rPr>
                <w:rFonts w:hint="eastAsia" w:ascii="宋体" w:hAnsi="宋体" w:cs="宋体"/>
                <w:szCs w:val="21"/>
              </w:rPr>
              <w:t>1年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17</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18</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19</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20</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（十）为谋取非法利益，给市水投集团或甲方造成损失的。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21</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vAlign w:val="center"/>
          </w:tcPr>
          <w:p>
            <w:pPr>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6" w:type="dxa"/>
            <w:vAlign w:val="center"/>
          </w:tcPr>
          <w:p>
            <w:pPr>
              <w:adjustRightInd w:val="0"/>
              <w:snapToGrid w:val="0"/>
              <w:jc w:val="center"/>
              <w:rPr>
                <w:rFonts w:ascii="宋体" w:hAnsi="宋体" w:cs="宋体"/>
                <w:szCs w:val="21"/>
              </w:rPr>
            </w:pPr>
            <w:r>
              <w:rPr>
                <w:rFonts w:hint="eastAsia" w:ascii="宋体" w:hAnsi="宋体" w:cs="宋体"/>
                <w:szCs w:val="21"/>
              </w:rPr>
              <w:t>22</w:t>
            </w:r>
          </w:p>
        </w:tc>
        <w:tc>
          <w:tcPr>
            <w:tcW w:w="426" w:type="dxa"/>
            <w:vMerge w:val="continue"/>
            <w:vAlign w:val="center"/>
          </w:tcPr>
          <w:p>
            <w:pPr>
              <w:adjustRightInd w:val="0"/>
              <w:snapToGrid w:val="0"/>
              <w:rPr>
                <w:rFonts w:ascii="宋体" w:hAnsi="宋体" w:cs="宋体"/>
                <w:szCs w:val="21"/>
              </w:rPr>
            </w:pPr>
          </w:p>
        </w:tc>
        <w:tc>
          <w:tcPr>
            <w:tcW w:w="5244" w:type="dxa"/>
            <w:vAlign w:val="center"/>
          </w:tcPr>
          <w:p>
            <w:pPr>
              <w:adjustRightInd w:val="0"/>
              <w:snapToGrid w:val="0"/>
              <w:rPr>
                <w:rFonts w:ascii="宋体" w:hAnsi="宋体" w:cs="宋体"/>
                <w:szCs w:val="21"/>
              </w:rPr>
            </w:pPr>
            <w:r>
              <w:rPr>
                <w:rFonts w:hint="eastAsia" w:ascii="宋体" w:hAnsi="宋体" w:cs="宋体"/>
                <w:szCs w:val="21"/>
              </w:rPr>
              <w:t>（十二）经市水投集团或甲方认定的其他不诚信行为。</w:t>
            </w:r>
          </w:p>
        </w:tc>
        <w:tc>
          <w:tcPr>
            <w:tcW w:w="2835" w:type="dxa"/>
            <w:gridSpan w:val="2"/>
            <w:vAlign w:val="center"/>
          </w:tcPr>
          <w:p>
            <w:pPr>
              <w:adjustRightInd w:val="0"/>
              <w:snapToGrid w:val="0"/>
              <w:jc w:val="left"/>
              <w:rPr>
                <w:rFonts w:ascii="宋体" w:hAnsi="宋体" w:cs="宋体"/>
                <w:szCs w:val="21"/>
              </w:rPr>
            </w:pPr>
            <w:r>
              <w:rPr>
                <w:rFonts w:hint="eastAsia" w:ascii="宋体" w:hAnsi="宋体" w:cs="宋体"/>
                <w:szCs w:val="21"/>
              </w:rPr>
              <w:t>视情况暂停投标6个月至2年。</w:t>
            </w:r>
          </w:p>
        </w:tc>
        <w:tc>
          <w:tcPr>
            <w:tcW w:w="850" w:type="dxa"/>
            <w:vAlign w:val="center"/>
          </w:tcPr>
          <w:p>
            <w:pPr>
              <w:adjustRightInd w:val="0"/>
              <w:snapToGrid w:val="0"/>
              <w:rPr>
                <w:rFonts w:ascii="宋体" w:hAnsi="宋体" w:cs="宋体"/>
                <w:szCs w:val="21"/>
              </w:rPr>
            </w:pPr>
          </w:p>
        </w:tc>
      </w:tr>
    </w:tbl>
    <w:p>
      <w:pPr>
        <w:pStyle w:val="66"/>
        <w:spacing w:beforeLines="0" w:after="156"/>
        <w:jc w:val="left"/>
        <w:rPr>
          <w:rFonts w:ascii="宋体" w:hAnsi="宋体" w:eastAsia="宋体" w:cs="宋体"/>
          <w:b w:val="0"/>
          <w:spacing w:val="0"/>
          <w:kern w:val="2"/>
          <w:sz w:val="21"/>
          <w:szCs w:val="21"/>
        </w:rPr>
      </w:pPr>
      <w:r>
        <w:rPr>
          <w:rFonts w:hint="eastAsia" w:ascii="宋体" w:hAnsi="宋体" w:eastAsia="宋体" w:cs="宋体"/>
          <w:b w:val="0"/>
          <w:spacing w:val="0"/>
          <w:kern w:val="2"/>
          <w:sz w:val="21"/>
          <w:szCs w:val="21"/>
        </w:rPr>
        <w:t>注：相应被暂停参与投标活动的范围为市水投集团所辖项目。</w:t>
      </w:r>
    </w:p>
    <w:p>
      <w:pPr>
        <w:rPr>
          <w:rFonts w:ascii="宋体" w:hAnsi="宋体" w:cs="宋体"/>
          <w:color w:val="FF0000"/>
          <w:szCs w:val="21"/>
        </w:rPr>
      </w:pPr>
    </w:p>
    <w:p>
      <w:pPr>
        <w:rPr>
          <w:rFonts w:ascii="宋体" w:hAnsi="宋体" w:cs="宋体"/>
          <w:color w:val="FF0000"/>
          <w:szCs w:val="21"/>
        </w:rPr>
      </w:pPr>
    </w:p>
    <w:p>
      <w:pPr>
        <w:rPr>
          <w:rFonts w:ascii="宋体" w:hAnsi="宋体" w:cs="宋体"/>
          <w:szCs w:val="21"/>
        </w:rPr>
      </w:pPr>
    </w:p>
    <w:p>
      <w:pPr>
        <w:rPr>
          <w:rFonts w:ascii="宋体" w:hAnsi="宋体" w:cs="宋体"/>
          <w:szCs w:val="21"/>
        </w:rPr>
      </w:pPr>
      <w:r>
        <w:rPr>
          <w:rFonts w:ascii="宋体" w:hAnsi="宋体" w:cs="宋体"/>
          <w:szCs w:val="21"/>
        </w:rPr>
        <w:br w:type="page"/>
      </w:r>
    </w:p>
    <w:p>
      <w:pPr>
        <w:widowControl/>
        <w:jc w:val="left"/>
        <w:rPr>
          <w:rFonts w:hint="eastAsia" w:ascii="宋体" w:hAnsi="宋体" w:eastAsia="宋体" w:cs="宋体"/>
          <w:sz w:val="28"/>
          <w:szCs w:val="28"/>
          <w:lang w:val="en-US" w:eastAsia="zh-CN"/>
        </w:rPr>
      </w:pPr>
      <w:r>
        <w:rPr>
          <w:rFonts w:hint="eastAsia" w:ascii="宋体" w:hAnsi="宋体" w:cs="宋体"/>
          <w:sz w:val="28"/>
          <w:szCs w:val="28"/>
        </w:rPr>
        <w:t>附件</w:t>
      </w:r>
      <w:r>
        <w:rPr>
          <w:rFonts w:hint="eastAsia" w:ascii="宋体" w:hAnsi="宋体" w:cs="宋体"/>
          <w:sz w:val="28"/>
          <w:szCs w:val="28"/>
          <w:lang w:val="en-US" w:eastAsia="zh-CN"/>
        </w:rPr>
        <w:t>4</w:t>
      </w:r>
    </w:p>
    <w:p>
      <w:pPr>
        <w:pStyle w:val="33"/>
      </w:pPr>
    </w:p>
    <w:p>
      <w:pPr>
        <w:jc w:val="center"/>
        <w:rPr>
          <w:rFonts w:cs="仿宋_GB2312" w:asciiTheme="majorEastAsia" w:hAnsiTheme="majorEastAsia" w:eastAsiaTheme="majorEastAsia"/>
          <w:b/>
          <w:color w:val="auto"/>
          <w:sz w:val="28"/>
          <w:szCs w:val="28"/>
          <w:highlight w:val="none"/>
        </w:rPr>
      </w:pPr>
      <w:r>
        <w:rPr>
          <w:rFonts w:hint="eastAsia" w:ascii="仿宋" w:hAnsi="仿宋" w:eastAsia="仿宋" w:cs="仿宋_GB2312"/>
          <w:b/>
          <w:color w:val="auto"/>
          <w:sz w:val="28"/>
          <w:szCs w:val="28"/>
          <w:highlight w:val="none"/>
        </w:rPr>
        <w:t>报价清单</w:t>
      </w:r>
    </w:p>
    <w:p>
      <w:pPr>
        <w:pStyle w:val="33"/>
        <w:jc w:val="center"/>
        <w:rPr>
          <w:rFonts w:ascii="仿宋" w:hAnsi="仿宋" w:eastAsia="仿宋" w:cs="仿宋_GB2312"/>
          <w:color w:val="auto"/>
          <w:sz w:val="28"/>
          <w:szCs w:val="28"/>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672"/>
        <w:gridCol w:w="1559"/>
        <w:gridCol w:w="1730"/>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项目</w:t>
            </w:r>
          </w:p>
        </w:tc>
        <w:tc>
          <w:tcPr>
            <w:tcW w:w="16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内容</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费用</w:t>
            </w:r>
          </w:p>
          <w:p>
            <w:pPr>
              <w:widowControl/>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（元/件）</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数量</w:t>
            </w:r>
          </w:p>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（件）</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合计</w:t>
            </w:r>
          </w:p>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发明专利</w:t>
            </w:r>
          </w:p>
        </w:tc>
        <w:tc>
          <w:tcPr>
            <w:tcW w:w="16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专利申请文件撰写、审查意见答复</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eastAsia" w:ascii="宋体" w:hAnsi="宋体" w:eastAsia="宋体" w:cs="宋体"/>
                <w:color w:val="auto"/>
                <w:kern w:val="0"/>
                <w:sz w:val="32"/>
                <w:szCs w:val="21"/>
                <w:highlight w:val="none"/>
                <w:lang w:val="en-US" w:eastAsia="zh-CN"/>
              </w:rPr>
            </w:pPr>
            <w:r>
              <w:rPr>
                <w:rFonts w:hint="eastAsia" w:ascii="宋体" w:hAnsi="宋体" w:cs="宋体"/>
                <w:color w:val="auto"/>
                <w:kern w:val="0"/>
                <w:sz w:val="32"/>
                <w:szCs w:val="21"/>
                <w:highlight w:val="none"/>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实用新型专利</w:t>
            </w:r>
          </w:p>
        </w:tc>
        <w:tc>
          <w:tcPr>
            <w:tcW w:w="16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专利申请文件撰写、审查意见答复</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hint="default" w:ascii="宋体" w:hAnsi="宋体" w:eastAsia="宋体" w:cs="宋体"/>
                <w:color w:val="auto"/>
                <w:kern w:val="0"/>
                <w:sz w:val="32"/>
                <w:szCs w:val="21"/>
                <w:highlight w:val="none"/>
                <w:lang w:val="en-US" w:eastAsia="zh-CN"/>
              </w:rPr>
            </w:pPr>
            <w:r>
              <w:rPr>
                <w:rFonts w:hint="eastAsia" w:ascii="宋体" w:hAnsi="宋体" w:cs="宋体"/>
                <w:color w:val="auto"/>
                <w:kern w:val="0"/>
                <w:sz w:val="32"/>
                <w:szCs w:val="21"/>
                <w:highlight w:val="none"/>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52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036" w:type="dxa"/>
            <w:gridSpan w:val="6"/>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w:t>
            </w:r>
          </w:p>
          <w:p>
            <w:pPr>
              <w:widowControl/>
              <w:spacing w:before="100" w:beforeAutospacing="1" w:after="100" w:afterAutospacing="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提供等额、有效的增值税专用发票</w:t>
            </w:r>
          </w:p>
        </w:tc>
      </w:tr>
    </w:tbl>
    <w:p>
      <w:pPr>
        <w:rPr>
          <w:rFonts w:ascii="仿宋" w:hAnsi="仿宋" w:eastAsia="仿宋" w:cs="仿宋_GB2312"/>
          <w:b/>
          <w:color w:val="auto"/>
          <w:sz w:val="28"/>
          <w:szCs w:val="28"/>
          <w:highlight w:val="none"/>
        </w:rPr>
      </w:pPr>
    </w:p>
    <w:p>
      <w:pPr>
        <w:pStyle w:val="25"/>
        <w:ind w:left="0" w:leftChars="0" w:firstLine="0" w:firstLineChars="0"/>
        <w:rPr>
          <w:rFonts w:ascii="宋体" w:hAnsi="宋体" w:cs="宋体"/>
          <w:color w:val="auto"/>
          <w:sz w:val="24"/>
          <w:highlight w:val="none"/>
        </w:rPr>
      </w:pPr>
    </w:p>
    <w:p>
      <w:pPr>
        <w:widowControl/>
        <w:jc w:val="left"/>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br w:type="page"/>
      </w:r>
    </w:p>
    <w:p>
      <w:pPr>
        <w:pStyle w:val="26"/>
        <w:rPr>
          <w:rFonts w:ascii="宋体" w:hAnsi="宋体" w:cs="宋体"/>
          <w:szCs w:val="21"/>
        </w:rPr>
      </w:pPr>
    </w:p>
    <w:p>
      <w:pPr>
        <w:pStyle w:val="26"/>
        <w:rPr>
          <w:rFonts w:ascii="宋体" w:hAnsi="宋体" w:cs="宋体"/>
          <w:szCs w:val="21"/>
        </w:rPr>
      </w:pPr>
    </w:p>
    <w:p>
      <w:pPr>
        <w:pStyle w:val="26"/>
        <w:rPr>
          <w:rFonts w:ascii="宋体" w:hAnsi="宋体" w:cs="宋体"/>
          <w:szCs w:val="21"/>
        </w:rPr>
      </w:pPr>
    </w:p>
    <w:p>
      <w:pPr>
        <w:pStyle w:val="23"/>
        <w:rPr>
          <w:rFonts w:hint="eastAsia" w:ascii="仿宋_GB2312" w:hAnsi="仿宋_GB2312" w:eastAsia="仿宋_GB2312" w:cs="仿宋_GB2312"/>
          <w:lang w:val="zh-CN"/>
        </w:rPr>
      </w:pPr>
      <w:r>
        <w:rPr>
          <w:rFonts w:hint="eastAsia" w:ascii="仿宋_GB2312" w:hAnsi="仿宋_GB2312" w:eastAsia="仿宋_GB2312" w:cs="仿宋_GB2312"/>
          <w:lang w:val="zh-CN"/>
        </w:rPr>
        <w:t>第五部分　响应文件格式</w:t>
      </w:r>
    </w:p>
    <w:p>
      <w:pPr>
        <w:pStyle w:val="14"/>
        <w:spacing w:line="360" w:lineRule="auto"/>
        <w:rPr>
          <w:rFonts w:hint="eastAsia" w:ascii="仿宋_GB2312" w:hAnsi="仿宋_GB2312" w:eastAsia="仿宋_GB2312" w:cs="仿宋_GB2312"/>
          <w:b/>
          <w:sz w:val="28"/>
          <w:szCs w:val="28"/>
        </w:rPr>
      </w:pPr>
    </w:p>
    <w:p>
      <w:pPr>
        <w:rPr>
          <w:rFonts w:hint="eastAsia" w:ascii="仿宋_GB2312" w:hAnsi="仿宋_GB2312" w:eastAsia="仿宋_GB2312" w:cs="仿宋_GB2312"/>
          <w:b/>
          <w:sz w:val="28"/>
          <w:szCs w:val="28"/>
        </w:rPr>
      </w:pPr>
    </w:p>
    <w:p>
      <w:pPr>
        <w:rPr>
          <w:rFonts w:hint="eastAsia" w:ascii="仿宋_GB2312" w:hAnsi="仿宋_GB2312" w:eastAsia="仿宋_GB2312" w:cs="仿宋_GB2312"/>
        </w:rPr>
      </w:pPr>
    </w:p>
    <w:p>
      <w:pPr>
        <w:pStyle w:val="14"/>
        <w:tabs>
          <w:tab w:val="left" w:pos="1260"/>
        </w:tabs>
        <w:jc w:val="center"/>
        <w:rPr>
          <w:rFonts w:hint="eastAsia" w:ascii="仿宋_GB2312" w:hAnsi="仿宋_GB2312" w:eastAsia="仿宋_GB2312" w:cs="仿宋_GB2312"/>
          <w:b/>
          <w:kern w:val="0"/>
          <w:sz w:val="28"/>
          <w:szCs w:val="28"/>
          <w:u w:val="single"/>
        </w:rPr>
      </w:pPr>
    </w:p>
    <w:p>
      <w:pPr>
        <w:pStyle w:val="14"/>
        <w:tabs>
          <w:tab w:val="left" w:pos="1260"/>
        </w:tabs>
        <w:jc w:val="center"/>
        <w:rPr>
          <w:rFonts w:hint="eastAsia" w:ascii="仿宋_GB2312" w:hAnsi="仿宋_GB2312" w:eastAsia="仿宋_GB2312" w:cs="仿宋_GB2312"/>
          <w:b/>
          <w:spacing w:val="100"/>
          <w:w w:val="110"/>
          <w:kern w:val="0"/>
          <w:sz w:val="28"/>
          <w:szCs w:val="28"/>
        </w:rPr>
      </w:pPr>
      <w:r>
        <w:rPr>
          <w:rFonts w:hint="eastAsia" w:ascii="仿宋_GB2312" w:hAnsi="仿宋_GB2312" w:eastAsia="仿宋_GB2312" w:cs="仿宋_GB2312"/>
          <w:b/>
          <w:spacing w:val="100"/>
          <w:w w:val="110"/>
          <w:kern w:val="0"/>
          <w:sz w:val="28"/>
          <w:szCs w:val="28"/>
        </w:rPr>
        <w:t>广州市净水有限公司专利申请项目</w:t>
      </w:r>
    </w:p>
    <w:p>
      <w:pPr>
        <w:pStyle w:val="14"/>
        <w:tabs>
          <w:tab w:val="left" w:pos="1260"/>
        </w:tabs>
        <w:jc w:val="center"/>
        <w:rPr>
          <w:rFonts w:hint="eastAsia"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14"/>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14"/>
        <w:jc w:val="center"/>
        <w:rPr>
          <w:rFonts w:hint="eastAsia" w:ascii="仿宋_GB2312" w:hAnsi="仿宋_GB2312" w:eastAsia="仿宋_GB2312" w:cs="仿宋_GB2312"/>
          <w:b/>
          <w:sz w:val="28"/>
          <w:szCs w:val="28"/>
        </w:rPr>
      </w:pPr>
    </w:p>
    <w:p>
      <w:pPr>
        <w:pStyle w:val="14"/>
        <w:jc w:val="center"/>
        <w:rPr>
          <w:rFonts w:hint="eastAsia" w:ascii="仿宋_GB2312" w:hAnsi="仿宋_GB2312" w:eastAsia="仿宋_GB2312" w:cs="仿宋_GB2312"/>
          <w:b/>
          <w:sz w:val="28"/>
          <w:szCs w:val="28"/>
        </w:rPr>
      </w:pPr>
    </w:p>
    <w:p>
      <w:pPr>
        <w:pStyle w:val="14"/>
        <w:spacing w:line="360" w:lineRule="auto"/>
        <w:ind w:firstLine="840" w:firstLineChars="3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w:t>
      </w:r>
    </w:p>
    <w:p>
      <w:pPr>
        <w:pStyle w:val="13"/>
        <w:spacing w:line="360" w:lineRule="auto"/>
        <w:ind w:firstLine="828" w:firstLineChars="296"/>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项目名称：</w:t>
      </w:r>
      <w:r>
        <w:rPr>
          <w:rFonts w:hint="eastAsia" w:hAnsi="仿宋_GB2312" w:cs="仿宋_GB2312"/>
          <w:sz w:val="28"/>
          <w:szCs w:val="28"/>
          <w:lang w:val="en-US" w:eastAsia="zh-CN"/>
        </w:rPr>
        <w:t>广州市净水有限公司专利申请项目</w:t>
      </w: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ind w:firstLine="843" w:firstLineChars="300"/>
        <w:rPr>
          <w:rFonts w:hint="eastAsia" w:ascii="仿宋_GB2312" w:hAnsi="仿宋_GB2312" w:eastAsia="仿宋_GB2312" w:cs="仿宋_GB2312"/>
          <w:b/>
          <w:sz w:val="28"/>
          <w:szCs w:val="28"/>
        </w:rPr>
      </w:pPr>
    </w:p>
    <w:p>
      <w:pPr>
        <w:pStyle w:val="14"/>
        <w:spacing w:line="360" w:lineRule="auto"/>
        <w:ind w:firstLine="1940" w:firstLineChars="69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p>
    <w:p>
      <w:pPr>
        <w:autoSpaceDE w:val="0"/>
        <w:autoSpaceDN w:val="0"/>
        <w:spacing w:line="240" w:lineRule="atLeast"/>
        <w:ind w:firstLine="2080" w:firstLineChars="740"/>
        <w:rPr>
          <w:rFonts w:hint="eastAsia" w:ascii="仿宋_GB2312" w:hAnsi="仿宋_GB2312" w:eastAsia="仿宋_GB2312" w:cs="仿宋_GB2312"/>
          <w:b/>
          <w:sz w:val="28"/>
          <w:szCs w:val="28"/>
          <w:u w:val="single"/>
        </w:rPr>
      </w:pPr>
      <w:r>
        <w:rPr>
          <w:rFonts w:hint="eastAsia" w:ascii="仿宋_GB2312" w:hAnsi="仿宋_GB2312" w:eastAsia="仿宋_GB2312" w:cs="仿宋_GB2312"/>
          <w:b/>
          <w:sz w:val="28"/>
          <w:szCs w:val="28"/>
        </w:rPr>
        <w:t>日    期 ：年   月   日</w:t>
      </w:r>
    </w:p>
    <w:p>
      <w:pPr>
        <w:autoSpaceDE w:val="0"/>
        <w:autoSpaceDN w:val="0"/>
        <w:adjustRightInd w:val="0"/>
        <w:jc w:val="center"/>
        <w:rPr>
          <w:rFonts w:hint="eastAsia" w:ascii="仿宋_GB2312" w:hAnsi="仿宋_GB2312" w:eastAsia="仿宋_GB2312" w:cs="仿宋_GB2312"/>
          <w:szCs w:val="21"/>
        </w:rPr>
        <w:sectPr>
          <w:headerReference r:id="rId9" w:type="default"/>
          <w:footerReference r:id="rId10" w:type="default"/>
          <w:pgSz w:w="11906" w:h="16838"/>
          <w:pgMar w:top="1089" w:right="1466" w:bottom="1089" w:left="1077" w:header="851" w:footer="992" w:gutter="0"/>
          <w:pgBorders>
            <w:top w:val="none" w:sz="0" w:space="0"/>
            <w:left w:val="none" w:sz="0" w:space="0"/>
            <w:bottom w:val="none" w:sz="0" w:space="0"/>
            <w:right w:val="none" w:sz="0" w:space="0"/>
          </w:pgBorders>
          <w:cols w:space="720" w:num="1"/>
          <w:docGrid w:type="lines" w:linePitch="312" w:charSpace="0"/>
        </w:sectPr>
      </w:pPr>
    </w:p>
    <w:p>
      <w:pPr>
        <w:pStyle w:val="5"/>
        <w:jc w:val="center"/>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w:t>
      </w:r>
      <w:r>
        <w:rPr>
          <w:rFonts w:hint="eastAsia" w:ascii="仿宋" w:hAnsi="仿宋" w:eastAsia="仿宋" w:cs="仿宋_GB2312"/>
          <w:color w:val="000000" w:themeColor="text1"/>
          <w:sz w:val="28"/>
          <w:szCs w:val="28"/>
          <w:lang w:val="en-US" w:eastAsia="zh-CN"/>
          <w14:textFill>
            <w14:solidFill>
              <w14:schemeClr w14:val="tx1"/>
            </w14:solidFill>
          </w14:textFill>
        </w:rPr>
        <w:t>加</w:t>
      </w:r>
      <w:r>
        <w:rPr>
          <w:rFonts w:hint="eastAsia" w:ascii="仿宋" w:hAnsi="仿宋" w:eastAsia="仿宋" w:cs="仿宋_GB2312"/>
          <w:color w:val="000000" w:themeColor="text1"/>
          <w:sz w:val="28"/>
          <w:szCs w:val="28"/>
          <w14:textFill>
            <w14:solidFill>
              <w14:schemeClr w14:val="tx1"/>
            </w14:solidFill>
          </w14:textFill>
        </w:rPr>
        <w:t>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sz w:val="24"/>
          <w:szCs w:val="24"/>
        </w:rPr>
      </w:pPr>
      <w:r>
        <w:rPr>
          <w:rFonts w:hint="eastAsia" w:ascii="宋体" w:hAnsi="宋体"/>
          <w:sz w:val="24"/>
          <w:szCs w:val="24"/>
        </w:rPr>
        <w:t>法定代表人身份证复印件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themeColor="text1"/>
                <w:sz w:val="24"/>
                <w:szCs w:val="24"/>
                <w14:textFill>
                  <w14:solidFill>
                    <w14:schemeClr w14:val="tx1"/>
                  </w14:solidFill>
                </w14:textFill>
              </w:rPr>
            </w:pPr>
          </w:p>
          <w:p>
            <w:pPr>
              <w:spacing w:line="360" w:lineRule="auto"/>
              <w:jc w:val="center"/>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p>
            <w:pPr>
              <w:pStyle w:val="33"/>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rPr>
          <w:rFonts w:ascii="仿宋" w:hAnsi="仿宋" w:eastAsia="仿宋" w:cs="仿宋_GB2312"/>
          <w:b/>
          <w:color w:val="000000" w:themeColor="text1"/>
          <w:sz w:val="28"/>
          <w:szCs w:val="28"/>
          <w14:textFill>
            <w14:solidFill>
              <w14:schemeClr w14:val="tx1"/>
            </w14:solidFill>
          </w14:textFill>
        </w:rPr>
      </w:pPr>
    </w:p>
    <w:p>
      <w:pPr>
        <w:pStyle w:val="33"/>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 签发日期：   年 月 日       有效期限：签发日期起至   年 月 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联系电话：</w:t>
      </w:r>
    </w:p>
    <w:p>
      <w:pPr>
        <w:spacing w:line="480" w:lineRule="exact"/>
        <w:ind w:firstLine="280" w:firstLineChars="100"/>
        <w:rPr>
          <w:rFonts w:ascii="仿宋" w:hAnsi="仿宋" w:eastAsia="仿宋" w:cs="仿宋_GB2312"/>
          <w:color w:val="000000"/>
          <w:sz w:val="28"/>
          <w:szCs w:val="28"/>
        </w:rPr>
      </w:pPr>
    </w:p>
    <w:p>
      <w:pPr>
        <w:spacing w:line="480" w:lineRule="exact"/>
        <w:rPr>
          <w:rFonts w:ascii="仿宋" w:hAnsi="仿宋" w:eastAsia="仿宋" w:cs="仿宋_GB2312"/>
          <w:color w:val="000000"/>
          <w:sz w:val="24"/>
          <w:szCs w:val="24"/>
        </w:rPr>
      </w:pPr>
      <w:r>
        <w:rPr>
          <w:rFonts w:hint="eastAsia" w:ascii="仿宋" w:hAnsi="仿宋" w:eastAsia="仿宋" w:cs="仿宋_GB2312"/>
          <w:color w:val="000000"/>
          <w:sz w:val="24"/>
          <w:szCs w:val="24"/>
        </w:rPr>
        <w:t>说明：1.内容必须填写真实、清楚、涂改无效，不得转让、买卖。</w:t>
      </w:r>
    </w:p>
    <w:p>
      <w:pPr>
        <w:spacing w:line="480" w:lineRule="exact"/>
        <w:ind w:firstLine="720" w:firstLineChars="300"/>
        <w:rPr>
          <w:rFonts w:ascii="仿宋" w:hAnsi="仿宋" w:eastAsia="仿宋" w:cs="仿宋_GB2312"/>
          <w:b/>
          <w:color w:val="000000"/>
          <w:sz w:val="24"/>
          <w:szCs w:val="24"/>
        </w:rPr>
      </w:pPr>
      <w:r>
        <w:rPr>
          <w:rFonts w:hint="eastAsia" w:ascii="仿宋" w:hAnsi="仿宋" w:eastAsia="仿宋" w:cs="仿宋_GB2312"/>
          <w:color w:val="000000"/>
          <w:sz w:val="24"/>
          <w:szCs w:val="24"/>
        </w:rPr>
        <w:t>2.将此证明书提交对方作为合同附件</w:t>
      </w:r>
      <w:r>
        <w:rPr>
          <w:rFonts w:hint="eastAsia" w:ascii="仿宋" w:hAnsi="仿宋" w:eastAsia="仿宋" w:cs="仿宋_GB2312"/>
          <w:b/>
          <w:color w:val="000000"/>
          <w:sz w:val="24"/>
          <w:szCs w:val="24"/>
        </w:rPr>
        <w:t>。</w:t>
      </w:r>
    </w:p>
    <w:p>
      <w:pPr>
        <w:pStyle w:val="33"/>
        <w:ind w:firstLine="720" w:firstLineChars="300"/>
        <w:rPr>
          <w:rFonts w:ascii="仿宋" w:hAnsi="仿宋" w:eastAsia="仿宋" w:cs="仿宋_GB2312"/>
          <w:kern w:val="2"/>
        </w:rPr>
      </w:pPr>
      <w:r>
        <w:rPr>
          <w:rFonts w:hint="eastAsia" w:ascii="仿宋" w:hAnsi="仿宋" w:eastAsia="仿宋" w:cs="仿宋_GB2312"/>
          <w:kern w:val="2"/>
        </w:rPr>
        <w:t>3.授权权限：全权代表本公司参与上述项目的谈判，负责提供与签署确认一切文书资料，以及向贵方递交的任何补充承诺。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4.有效期限：与本公司响应文件成交注的谈判有效期相同，自本单位盖公章之日起生效。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rPr>
      </w:pPr>
      <w:r>
        <w:rPr>
          <w:rFonts w:hint="eastAsia" w:ascii="仿宋" w:hAnsi="仿宋" w:eastAsia="仿宋" w:cs="仿宋_GB2312"/>
          <w:color w:val="000000"/>
          <w:sz w:val="24"/>
          <w:szCs w:val="24"/>
        </w:rPr>
        <w:t>5.谈判签字代表为法定代表人，则本表不适用。</w:t>
      </w:r>
    </w:p>
    <w:p>
      <w:pPr>
        <w:widowControl/>
        <w:spacing w:line="440" w:lineRule="exact"/>
        <w:ind w:firstLine="736" w:firstLineChars="307"/>
        <w:jc w:val="lef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sz w:val="24"/>
          <w:szCs w:val="24"/>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widowControl/>
        <w:spacing w:line="440" w:lineRule="exact"/>
        <w:jc w:val="left"/>
        <w:rPr>
          <w:rFonts w:ascii="仿宋" w:hAnsi="仿宋" w:eastAsia="仿宋" w:cs="仿宋_GB2312"/>
          <w:color w:val="000000" w:themeColor="text1"/>
          <w:sz w:val="24"/>
          <w:szCs w:val="24"/>
          <w14:textFill>
            <w14:solidFill>
              <w14:schemeClr w14:val="tx1"/>
            </w14:solidFill>
          </w14:textFill>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授权代理人身份证复印件</w:t>
      </w:r>
      <w:r>
        <w:rPr>
          <w:rFonts w:hint="eastAsia" w:ascii="宋体" w:hAnsi="宋体"/>
          <w:sz w:val="24"/>
          <w:szCs w:val="24"/>
          <w:lang w:eastAsia="zh-CN"/>
        </w:rPr>
        <w:t>（</w:t>
      </w:r>
      <w:r>
        <w:rPr>
          <w:rFonts w:hint="eastAsia" w:ascii="宋体" w:hAnsi="宋体"/>
          <w:sz w:val="24"/>
          <w:szCs w:val="24"/>
          <w:lang w:val="en-US" w:eastAsia="zh-CN"/>
        </w:rPr>
        <w:t>加</w:t>
      </w:r>
      <w:r>
        <w:rPr>
          <w:rFonts w:hint="eastAsia" w:ascii="宋体" w:hAnsi="宋体"/>
          <w:sz w:val="24"/>
          <w:szCs w:val="24"/>
        </w:rPr>
        <w:t>盖单位公章</w:t>
      </w:r>
      <w:r>
        <w:rPr>
          <w:rFonts w:hint="eastAsia" w:ascii="宋体" w:hAnsi="宋体"/>
          <w:sz w:val="24"/>
          <w:szCs w:val="24"/>
          <w:lang w:eastAsia="zh-CN"/>
        </w:rPr>
        <w:t>）</w:t>
      </w:r>
      <w:r>
        <w:rPr>
          <w:rFonts w:hint="eastAsia" w:ascii="宋体" w:hAnsi="宋体"/>
          <w:sz w:val="24"/>
          <w:szCs w:val="24"/>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人像面</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themeColor="text1"/>
                <w:sz w:val="24"/>
                <w:szCs w:val="24"/>
                <w14:textFill>
                  <w14:solidFill>
                    <w14:schemeClr w14:val="tx1"/>
                  </w14:solidFill>
                </w14:textFill>
              </w:rPr>
            </w:pPr>
          </w:p>
          <w:p>
            <w:pPr>
              <w:spacing w:line="360" w:lineRule="auto"/>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国徽面</w:t>
            </w:r>
          </w:p>
        </w:tc>
      </w:tr>
    </w:tbl>
    <w:p>
      <w:pPr>
        <w:spacing w:line="480" w:lineRule="exact"/>
        <w:ind w:firstLine="843" w:firstLineChars="300"/>
        <w:rPr>
          <w:rFonts w:ascii="仿宋" w:hAnsi="仿宋" w:eastAsia="仿宋" w:cs="仿宋_GB2312"/>
          <w:b/>
          <w:color w:val="000000" w:themeColor="text1"/>
          <w:sz w:val="28"/>
          <w:szCs w:val="28"/>
          <w14:textFill>
            <w14:solidFill>
              <w14:schemeClr w14:val="tx1"/>
            </w14:solidFill>
          </w14:textFill>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sz w:val="24"/>
                <w:szCs w:val="24"/>
              </w:rPr>
            </w:pPr>
          </w:p>
          <w:p>
            <w:pPr>
              <w:spacing w:line="360" w:lineRule="auto"/>
              <w:jc w:val="center"/>
              <w:rPr>
                <w:rFonts w:ascii="宋体" w:hAnsi="宋体"/>
                <w:sz w:val="24"/>
                <w:szCs w:val="24"/>
              </w:rPr>
            </w:pPr>
          </w:p>
          <w:p>
            <w:pPr>
              <w:spacing w:line="360" w:lineRule="auto"/>
              <w:jc w:val="center"/>
              <w:rPr>
                <w:rFonts w:ascii="宋体" w:hAnsi="宋体"/>
                <w:sz w:val="24"/>
                <w:szCs w:val="24"/>
              </w:rPr>
            </w:pPr>
            <w:r>
              <w:rPr>
                <w:rFonts w:hint="eastAsia" w:ascii="宋体" w:hAnsi="宋体"/>
                <w:sz w:val="24"/>
                <w:szCs w:val="24"/>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80" w:lineRule="exact"/>
        <w:rPr>
          <w:rFonts w:ascii="仿宋_GB2312" w:hAnsi="仿宋_GB2312" w:eastAsia="仿宋_GB2312" w:cs="仿宋_GB2312"/>
          <w:b/>
          <w:bCs/>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pStyle w:val="33"/>
        <w:rPr>
          <w:rFonts w:ascii="仿宋_GB2312" w:hAnsi="仿宋_GB2312" w:cs="仿宋_GB2312"/>
          <w:b/>
          <w:bCs/>
          <w:color w:val="auto"/>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w:t>
      </w:r>
      <w:r>
        <w:rPr>
          <w:rFonts w:hint="eastAsia" w:ascii="仿宋_GB2312" w:hAnsi="仿宋_GB2312" w:eastAsia="仿宋_GB2312" w:cs="仿宋_GB2312"/>
          <w:b/>
          <w:sz w:val="28"/>
          <w:szCs w:val="28"/>
          <w:lang w:val="en-US" w:eastAsia="zh-CN"/>
        </w:rPr>
        <w:t>、</w:t>
      </w:r>
      <w:r>
        <w:rPr>
          <w:rFonts w:hint="eastAsia" w:ascii="仿宋_GB2312" w:hAnsi="仿宋_GB2312" w:eastAsia="仿宋_GB2312" w:cs="仿宋_GB2312"/>
          <w:b/>
          <w:sz w:val="28"/>
          <w:szCs w:val="28"/>
        </w:rPr>
        <w:t xml:space="preserve"> 报价意向承诺及声明函</w:t>
      </w:r>
    </w:p>
    <w:p>
      <w:pPr>
        <w:spacing w:line="360" w:lineRule="auto"/>
        <w:jc w:val="center"/>
        <w:outlineLvl w:val="0"/>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48"/>
        <w:adjustRightInd w:val="0"/>
        <w:snapToGri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sz w:val="24"/>
          <w:szCs w:val="24"/>
        </w:rPr>
        <w:t>根据询价人发出的的项目编号为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工程的询价文件，我方已详细审查了全部内容，并无异议。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2.现我方承诺：</w:t>
      </w:r>
      <w:r>
        <w:rPr>
          <w:rFonts w:hint="eastAsia" w:ascii="仿宋_GB2312" w:hAnsi="仿宋_GB2312" w:eastAsia="仿宋_GB2312" w:cs="仿宋_GB2312"/>
          <w:kern w:val="0"/>
          <w:sz w:val="24"/>
          <w:szCs w:val="24"/>
        </w:rPr>
        <w:t>愿以人民币</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元（小写：</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元）的报价</w:t>
      </w:r>
      <w:r>
        <w:rPr>
          <w:rFonts w:hint="eastAsia" w:ascii="仿宋_GB2312" w:hAnsi="仿宋_GB2312" w:eastAsia="仿宋_GB2312" w:cs="仿宋_GB2312"/>
          <w:kern w:val="0"/>
          <w:sz w:val="24"/>
        </w:rPr>
        <w:t>，承包本次交易所包含的所有工作，并承担任何质量缺陷责任。</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我方完全理解询价文件中所有要求均为实质性响应条款，如有任何一条负偏离或者不满足将导致询价无效。由于我方提供资料不实或与需求书中所有条款不符而造成的责任和后果由我方承担。我方保证将按照本项目询价文件第二部分项目内容的技术、商务要求完成本项目。</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4.我方同意承包意向在询价文件规定的交易有效期</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5.如果我方获得承包资格，我方保证将</w:t>
      </w:r>
      <w:r>
        <w:rPr>
          <w:rFonts w:hint="eastAsia" w:ascii="仿宋_GB2312" w:hAnsi="仿宋_GB2312" w:eastAsia="仿宋_GB2312" w:cs="仿宋_GB2312"/>
          <w:kern w:val="0"/>
          <w:sz w:val="24"/>
          <w:szCs w:val="24"/>
        </w:rPr>
        <w:t>在合同要求的服务期内开展工作，在规定的时间内，按照上述文件完成项目，并严格履行合同。</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6.如果我方获得承包资格，我方将实行项目经理负责制，我方拟委派的项目负责人为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（证书编号为：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7.我方就参加本项目交易工作，作出以下郑重声明：</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⑴ 本公司保证报价资料及其后提供的一切材料都是真实的。</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⑵ 本公司保证在本项目交易中不给其他单位挂靠，不出让交易资格，不向询价人行贿。</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360" w:lineRule="auto"/>
        <w:ind w:left="-539" w:leftChars="-257"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⑷ 本公司及其有隶属关系的机构没有参加本项目的前期工作编写工作。</w:t>
      </w:r>
    </w:p>
    <w:p>
      <w:pPr>
        <w:pStyle w:val="42"/>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42"/>
        <w:ind w:firstLine="0" w:firstLineChars="0"/>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42"/>
        <w:ind w:firstLine="0" w:firstLineChars="0"/>
        <w:rPr>
          <w:rFonts w:ascii="仿宋_GB2312" w:hAnsi="仿宋_GB2312" w:eastAsia="仿宋_GB2312" w:cs="仿宋_GB2312"/>
          <w:u w:val="single"/>
        </w:rPr>
      </w:pPr>
      <w:r>
        <w:rPr>
          <w:rFonts w:hint="eastAsia" w:ascii="仿宋_GB2312" w:hAnsi="仿宋_GB2312" w:eastAsia="仿宋_GB2312" w:cs="仿宋_GB2312"/>
        </w:rPr>
        <w:t>法定代表人（签名或盖私章）：</w:t>
      </w:r>
      <w:r>
        <w:rPr>
          <w:rFonts w:hint="eastAsia" w:ascii="仿宋_GB2312" w:hAnsi="仿宋_GB2312" w:eastAsia="仿宋_GB2312" w:cs="仿宋_GB2312"/>
          <w:u w:val="single"/>
        </w:rPr>
        <w:t xml:space="preserve">               </w:t>
      </w:r>
    </w:p>
    <w:p>
      <w:pPr>
        <w:autoSpaceDE w:val="0"/>
        <w:autoSpaceDN w:val="0"/>
        <w:adjustRightInd w:val="0"/>
        <w:spacing w:line="360" w:lineRule="auto"/>
        <w:rPr>
          <w:rFonts w:ascii="仿宋_GB2312" w:hAnsi="仿宋_GB2312" w:eastAsia="仿宋_GB2312" w:cs="仿宋_GB2312"/>
          <w:snapToGrid w:val="0"/>
          <w:spacing w:val="4"/>
          <w:kern w:val="0"/>
          <w:sz w:val="24"/>
          <w:szCs w:val="24"/>
        </w:rPr>
      </w:pPr>
      <w:r>
        <w:rPr>
          <w:rFonts w:hint="eastAsia" w:ascii="仿宋_GB2312" w:hAnsi="仿宋_GB2312" w:eastAsia="仿宋_GB2312" w:cs="仿宋_GB2312"/>
          <w:snapToGrid w:val="0"/>
          <w:spacing w:val="4"/>
          <w:kern w:val="0"/>
          <w:sz w:val="24"/>
          <w:szCs w:val="24"/>
        </w:rPr>
        <w:t xml:space="preserve">日    期：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年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月 </w:t>
      </w:r>
      <w:r>
        <w:rPr>
          <w:rFonts w:hint="eastAsia" w:ascii="仿宋_GB2312" w:hAnsi="仿宋_GB2312" w:eastAsia="仿宋_GB2312" w:cs="仿宋_GB2312"/>
          <w:snapToGrid w:val="0"/>
          <w:spacing w:val="4"/>
          <w:kern w:val="0"/>
          <w:sz w:val="24"/>
          <w:szCs w:val="24"/>
          <w:u w:val="single"/>
        </w:rPr>
        <w:t xml:space="preserve">   </w:t>
      </w:r>
      <w:r>
        <w:rPr>
          <w:rFonts w:hint="eastAsia" w:ascii="仿宋_GB2312" w:hAnsi="仿宋_GB2312" w:eastAsia="仿宋_GB2312" w:cs="仿宋_GB2312"/>
          <w:snapToGrid w:val="0"/>
          <w:spacing w:val="4"/>
          <w:kern w:val="0"/>
          <w:sz w:val="24"/>
          <w:szCs w:val="24"/>
        </w:rPr>
        <w:t xml:space="preserve">日    </w:t>
      </w: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pStyle w:val="42"/>
        <w:ind w:firstLine="496"/>
        <w:rPr>
          <w:rFonts w:ascii="仿宋_GB2312" w:hAnsi="仿宋_GB2312" w:eastAsia="仿宋_GB2312" w:cs="仿宋_GB2312"/>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rPr>
        <w:t xml:space="preserve"> 拟投入本项目的项目负责人情况表</w:t>
      </w:r>
    </w:p>
    <w:tbl>
      <w:tblPr>
        <w:tblStyle w:val="27"/>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180"/>
        <w:gridCol w:w="910"/>
        <w:gridCol w:w="1046"/>
        <w:gridCol w:w="1044"/>
        <w:gridCol w:w="285"/>
        <w:gridCol w:w="1805"/>
        <w:gridCol w:w="310"/>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tcPr>
          <w:p>
            <w:pPr>
              <w:jc w:val="center"/>
              <w:rPr>
                <w:rFonts w:ascii="仿宋_GB2312" w:hAnsi="仿宋_GB2312" w:eastAsia="仿宋_GB2312" w:cs="仿宋_GB2312"/>
                <w:b/>
                <w:sz w:val="24"/>
              </w:rPr>
            </w:pPr>
            <w:r>
              <w:rPr>
                <w:rFonts w:hint="eastAsia" w:ascii="仿宋_GB2312" w:hAnsi="仿宋_GB2312" w:eastAsia="仿宋_GB2312" w:cs="仿宋_GB2312"/>
                <w:b/>
                <w:sz w:val="24"/>
              </w:rPr>
              <w:t>姓名</w:t>
            </w:r>
          </w:p>
        </w:tc>
        <w:tc>
          <w:tcPr>
            <w:tcW w:w="1528" w:type="dxa"/>
            <w:gridSpan w:val="2"/>
          </w:tcPr>
          <w:p>
            <w:pPr>
              <w:jc w:val="center"/>
              <w:rPr>
                <w:rFonts w:ascii="仿宋_GB2312" w:hAnsi="仿宋_GB2312" w:eastAsia="仿宋_GB2312" w:cs="仿宋_GB2312"/>
                <w:b/>
                <w:sz w:val="24"/>
              </w:rPr>
            </w:pPr>
          </w:p>
        </w:tc>
        <w:tc>
          <w:tcPr>
            <w:tcW w:w="1956"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出生年月</w:t>
            </w:r>
          </w:p>
        </w:tc>
        <w:tc>
          <w:tcPr>
            <w:tcW w:w="1329" w:type="dxa"/>
            <w:gridSpan w:val="2"/>
          </w:tcPr>
          <w:p>
            <w:pPr>
              <w:jc w:val="center"/>
              <w:rPr>
                <w:rFonts w:ascii="仿宋_GB2312" w:hAnsi="仿宋_GB2312" w:eastAsia="仿宋_GB2312" w:cs="仿宋_GB2312"/>
                <w:b/>
                <w:sz w:val="24"/>
              </w:rPr>
            </w:pPr>
          </w:p>
        </w:tc>
        <w:tc>
          <w:tcPr>
            <w:tcW w:w="211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学历</w:t>
            </w:r>
          </w:p>
        </w:tc>
        <w:tc>
          <w:tcPr>
            <w:tcW w:w="555"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职称</w:t>
            </w:r>
          </w:p>
        </w:tc>
        <w:tc>
          <w:tcPr>
            <w:tcW w:w="1528" w:type="dxa"/>
            <w:gridSpan w:val="2"/>
          </w:tcPr>
          <w:p>
            <w:pPr>
              <w:spacing w:line="360" w:lineRule="exact"/>
              <w:jc w:val="center"/>
              <w:rPr>
                <w:rFonts w:ascii="仿宋_GB2312" w:hAnsi="仿宋_GB2312" w:eastAsia="仿宋_GB2312" w:cs="仿宋_GB2312"/>
                <w:b/>
                <w:sz w:val="24"/>
              </w:rPr>
            </w:pPr>
          </w:p>
        </w:tc>
        <w:tc>
          <w:tcPr>
            <w:tcW w:w="1956"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职务</w:t>
            </w:r>
          </w:p>
        </w:tc>
        <w:tc>
          <w:tcPr>
            <w:tcW w:w="1329" w:type="dxa"/>
            <w:gridSpan w:val="2"/>
          </w:tcPr>
          <w:p>
            <w:pPr>
              <w:spacing w:line="360" w:lineRule="exact"/>
              <w:jc w:val="center"/>
              <w:rPr>
                <w:rFonts w:ascii="仿宋_GB2312" w:hAnsi="仿宋_GB2312" w:eastAsia="仿宋_GB2312" w:cs="仿宋_GB2312"/>
                <w:b/>
                <w:sz w:val="24"/>
              </w:rPr>
            </w:pPr>
          </w:p>
        </w:tc>
        <w:tc>
          <w:tcPr>
            <w:tcW w:w="2115"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从事本工作时间</w:t>
            </w:r>
          </w:p>
        </w:tc>
        <w:tc>
          <w:tcPr>
            <w:tcW w:w="555"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毕业院校</w:t>
            </w:r>
          </w:p>
        </w:tc>
        <w:tc>
          <w:tcPr>
            <w:tcW w:w="1528" w:type="dxa"/>
            <w:gridSpan w:val="2"/>
          </w:tcPr>
          <w:p>
            <w:pPr>
              <w:spacing w:line="360" w:lineRule="exact"/>
              <w:jc w:val="center"/>
              <w:rPr>
                <w:rFonts w:ascii="仿宋_GB2312" w:hAnsi="仿宋_GB2312" w:eastAsia="仿宋_GB2312" w:cs="仿宋_GB2312"/>
                <w:b/>
                <w:sz w:val="24"/>
              </w:rPr>
            </w:pPr>
          </w:p>
        </w:tc>
        <w:tc>
          <w:tcPr>
            <w:tcW w:w="1956"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毕业时间</w:t>
            </w:r>
          </w:p>
        </w:tc>
        <w:tc>
          <w:tcPr>
            <w:tcW w:w="1329" w:type="dxa"/>
            <w:gridSpan w:val="2"/>
          </w:tcPr>
          <w:p>
            <w:pPr>
              <w:spacing w:line="360" w:lineRule="exact"/>
              <w:jc w:val="center"/>
              <w:rPr>
                <w:rFonts w:ascii="仿宋_GB2312" w:hAnsi="仿宋_GB2312" w:eastAsia="仿宋_GB2312" w:cs="仿宋_GB2312"/>
                <w:b/>
                <w:sz w:val="24"/>
              </w:rPr>
            </w:pPr>
          </w:p>
        </w:tc>
        <w:tc>
          <w:tcPr>
            <w:tcW w:w="2115"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专业</w:t>
            </w:r>
          </w:p>
        </w:tc>
        <w:tc>
          <w:tcPr>
            <w:tcW w:w="555"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270" w:type="dxa"/>
            <w:gridSpan w:val="3"/>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注册证书等级</w:t>
            </w:r>
          </w:p>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和专业</w:t>
            </w:r>
          </w:p>
        </w:tc>
        <w:tc>
          <w:tcPr>
            <w:tcW w:w="3285" w:type="dxa"/>
            <w:gridSpan w:val="4"/>
          </w:tcPr>
          <w:p>
            <w:pPr>
              <w:spacing w:line="360" w:lineRule="exact"/>
              <w:jc w:val="center"/>
              <w:rPr>
                <w:rFonts w:ascii="仿宋_GB2312" w:hAnsi="仿宋_GB2312" w:eastAsia="仿宋_GB2312" w:cs="仿宋_GB2312"/>
                <w:b/>
                <w:sz w:val="24"/>
              </w:rPr>
            </w:pPr>
          </w:p>
        </w:tc>
        <w:tc>
          <w:tcPr>
            <w:tcW w:w="2115" w:type="dxa"/>
            <w:gridSpan w:val="2"/>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555" w:type="dxa"/>
          </w:tcPr>
          <w:p>
            <w:pPr>
              <w:spacing w:line="36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270" w:type="dxa"/>
            <w:gridSpan w:val="3"/>
          </w:tcPr>
          <w:p>
            <w:pPr>
              <w:jc w:val="center"/>
              <w:rPr>
                <w:rFonts w:ascii="仿宋_GB2312" w:hAnsi="仿宋_GB2312" w:eastAsia="仿宋_GB2312" w:cs="仿宋_GB2312"/>
                <w:b/>
                <w:sz w:val="24"/>
              </w:rPr>
            </w:pPr>
            <w:r>
              <w:rPr>
                <w:rFonts w:hint="eastAsia" w:ascii="仿宋_GB2312" w:hAnsi="仿宋_GB2312" w:eastAsia="仿宋_GB2312" w:cs="仿宋_GB2312"/>
                <w:b/>
                <w:sz w:val="24"/>
              </w:rPr>
              <w:t>职称证专业</w:t>
            </w:r>
          </w:p>
        </w:tc>
        <w:tc>
          <w:tcPr>
            <w:tcW w:w="3285" w:type="dxa"/>
            <w:gridSpan w:val="4"/>
          </w:tcPr>
          <w:p>
            <w:pPr>
              <w:jc w:val="center"/>
              <w:rPr>
                <w:rFonts w:ascii="仿宋_GB2312" w:hAnsi="仿宋_GB2312" w:eastAsia="仿宋_GB2312" w:cs="仿宋_GB2312"/>
                <w:b/>
                <w:sz w:val="24"/>
              </w:rPr>
            </w:pPr>
          </w:p>
        </w:tc>
        <w:tc>
          <w:tcPr>
            <w:tcW w:w="211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证书编号</w:t>
            </w:r>
          </w:p>
        </w:tc>
        <w:tc>
          <w:tcPr>
            <w:tcW w:w="555" w:type="dxa"/>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225" w:type="dxa"/>
            <w:gridSpan w:val="10"/>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项目名称</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合同金额</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开、竣工时间</w:t>
            </w:r>
          </w:p>
        </w:tc>
        <w:tc>
          <w:tcPr>
            <w:tcW w:w="2090"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担任职务</w:t>
            </w:r>
          </w:p>
        </w:tc>
        <w:tc>
          <w:tcPr>
            <w:tcW w:w="865" w:type="dxa"/>
            <w:gridSpan w:val="2"/>
          </w:tcPr>
          <w:p>
            <w:pPr>
              <w:jc w:val="center"/>
              <w:rPr>
                <w:rFonts w:ascii="仿宋_GB2312" w:hAnsi="仿宋_GB2312" w:eastAsia="仿宋_GB2312" w:cs="仿宋_GB2312"/>
                <w:b/>
                <w:sz w:val="24"/>
              </w:rPr>
            </w:pPr>
            <w:r>
              <w:rPr>
                <w:rFonts w:hint="eastAsia" w:ascii="仿宋_GB2312" w:hAnsi="仿宋_GB2312" w:eastAsia="仿宋_GB2312" w:cs="仿宋_GB2312"/>
                <w:b/>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865" w:type="dxa"/>
            <w:gridSpan w:val="2"/>
          </w:tcPr>
          <w:p>
            <w:pPr>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2090" w:type="dxa"/>
            <w:gridSpan w:val="2"/>
          </w:tcPr>
          <w:p>
            <w:pPr>
              <w:jc w:val="center"/>
              <w:rPr>
                <w:rFonts w:ascii="仿宋_GB2312" w:hAnsi="仿宋_GB2312" w:eastAsia="仿宋_GB2312" w:cs="仿宋_GB2312"/>
                <w:b/>
                <w:sz w:val="24"/>
              </w:rPr>
            </w:pPr>
          </w:p>
        </w:tc>
        <w:tc>
          <w:tcPr>
            <w:tcW w:w="865" w:type="dxa"/>
            <w:gridSpan w:val="2"/>
          </w:tcPr>
          <w:p>
            <w:pPr>
              <w:jc w:val="center"/>
              <w:rPr>
                <w:rFonts w:ascii="仿宋_GB2312" w:hAnsi="仿宋_GB2312" w:eastAsia="仿宋_GB2312" w:cs="仿宋_GB2312"/>
                <w:b/>
                <w:sz w:val="24"/>
              </w:rPr>
            </w:pPr>
          </w:p>
        </w:tc>
      </w:tr>
    </w:tbl>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p>
    <w:p>
      <w:pPr>
        <w:jc w:val="left"/>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br w:type="page"/>
      </w:r>
    </w:p>
    <w:p>
      <w:pPr>
        <w:jc w:val="center"/>
        <w:rPr>
          <w:rFonts w:cs="仿宋_GB2312" w:asciiTheme="majorEastAsia" w:hAnsiTheme="majorEastAsia" w:eastAsiaTheme="majorEastAsia"/>
          <w:b/>
          <w:color w:val="auto"/>
          <w:sz w:val="28"/>
          <w:szCs w:val="28"/>
          <w:highlight w:val="none"/>
        </w:rPr>
      </w:pPr>
      <w:r>
        <w:rPr>
          <w:rFonts w:hint="eastAsia" w:ascii="仿宋" w:hAnsi="仿宋" w:eastAsia="仿宋" w:cs="仿宋_GB2312"/>
          <w:b/>
          <w:color w:val="auto"/>
          <w:sz w:val="28"/>
          <w:szCs w:val="28"/>
          <w:highlight w:val="none"/>
        </w:rPr>
        <w:t>5 报价清单</w:t>
      </w:r>
    </w:p>
    <w:tbl>
      <w:tblPr>
        <w:tblStyle w:val="27"/>
        <w:tblpPr w:leftFromText="180" w:rightFromText="180" w:vertAnchor="text" w:horzAnchor="page" w:tblpX="1541"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1672"/>
        <w:gridCol w:w="1559"/>
        <w:gridCol w:w="1730"/>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项目</w:t>
            </w:r>
          </w:p>
        </w:tc>
        <w:tc>
          <w:tcPr>
            <w:tcW w:w="16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内容</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费用</w:t>
            </w:r>
          </w:p>
          <w:p>
            <w:pPr>
              <w:widowControl/>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（元/件）</w:t>
            </w:r>
          </w:p>
        </w:tc>
        <w:tc>
          <w:tcPr>
            <w:tcW w:w="17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数量</w:t>
            </w:r>
          </w:p>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（件）</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合计</w:t>
            </w:r>
          </w:p>
          <w:p>
            <w:pPr>
              <w:widowControl/>
              <w:jc w:val="center"/>
              <w:rPr>
                <w:rFonts w:ascii="宋体" w:hAnsi="宋体" w:eastAsia="宋体" w:cs="宋体"/>
                <w:b/>
                <w:color w:val="auto"/>
                <w:kern w:val="0"/>
                <w:sz w:val="32"/>
                <w:szCs w:val="21"/>
                <w:highlight w:val="none"/>
              </w:rPr>
            </w:pPr>
            <w:r>
              <w:rPr>
                <w:rFonts w:hint="eastAsia" w:ascii="宋体" w:hAnsi="宋体" w:eastAsia="宋体" w:cs="宋体"/>
                <w:b/>
                <w:color w:val="auto"/>
                <w:kern w:val="0"/>
                <w:sz w:val="32"/>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1</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发明专利</w:t>
            </w:r>
          </w:p>
        </w:tc>
        <w:tc>
          <w:tcPr>
            <w:tcW w:w="16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专利申请文件撰写、审查意见答复</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cs="宋体"/>
                <w:color w:val="auto"/>
                <w:kern w:val="0"/>
                <w:sz w:val="32"/>
                <w:szCs w:val="21"/>
                <w:highlight w:val="none"/>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2</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实用新型专利</w:t>
            </w:r>
          </w:p>
        </w:tc>
        <w:tc>
          <w:tcPr>
            <w:tcW w:w="167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eastAsia="宋体" w:cs="宋体"/>
                <w:color w:val="auto"/>
                <w:kern w:val="0"/>
                <w:sz w:val="32"/>
                <w:szCs w:val="21"/>
                <w:highlight w:val="none"/>
              </w:rPr>
              <w:t>专利申请文件撰写、审查意见答复</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c>
          <w:tcPr>
            <w:tcW w:w="1730"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r>
              <w:rPr>
                <w:rFonts w:hint="eastAsia" w:ascii="宋体" w:hAnsi="宋体" w:cs="宋体"/>
                <w:color w:val="auto"/>
                <w:kern w:val="0"/>
                <w:sz w:val="32"/>
                <w:szCs w:val="21"/>
                <w:highlight w:val="none"/>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eastAsia="宋体" w:cs="宋体"/>
                <w:color w:val="auto"/>
                <w:kern w:val="0"/>
                <w:sz w:val="3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8" w:type="dxa"/>
            <w:gridSpan w:val="5"/>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合计</w:t>
            </w:r>
          </w:p>
        </w:tc>
        <w:tc>
          <w:tcPr>
            <w:tcW w:w="1528"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eastAsia="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036" w:type="dxa"/>
            <w:gridSpan w:val="6"/>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大写：</w:t>
            </w:r>
          </w:p>
          <w:p>
            <w:pPr>
              <w:widowControl/>
              <w:spacing w:before="100" w:beforeAutospacing="1" w:after="100" w:afterAutospacing="1"/>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提供等额、有效的增值税专用发票</w:t>
            </w:r>
          </w:p>
        </w:tc>
      </w:tr>
    </w:tbl>
    <w:p>
      <w:pPr>
        <w:pStyle w:val="33"/>
        <w:jc w:val="center"/>
        <w:rPr>
          <w:rFonts w:ascii="仿宋" w:hAnsi="仿宋" w:eastAsia="仿宋" w:cs="仿宋_GB2312"/>
          <w:color w:val="auto"/>
          <w:sz w:val="28"/>
          <w:szCs w:val="28"/>
          <w:highlight w:val="none"/>
        </w:rPr>
      </w:pPr>
    </w:p>
    <w:p>
      <w:pPr>
        <w:pStyle w:val="26"/>
        <w:numPr>
          <w:ilvl w:val="0"/>
          <w:numId w:val="0"/>
        </w:numPr>
        <w:ind w:leftChars="0" w:firstLine="0" w:firstLineChars="0"/>
        <w:rPr>
          <w:rFonts w:hint="default"/>
          <w:lang w:val="en-US" w:eastAsia="zh-CN"/>
        </w:rPr>
      </w:pPr>
    </w:p>
    <w:sectPr>
      <w:headerReference r:id="rId11" w:type="default"/>
      <w:footerReference r:id="rId12"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19</w:t>
    </w:r>
    <w: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23</w:t>
    </w:r>
    <w:r>
      <w:fldChar w:fldCharType="end"/>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separate"/>
    </w:r>
    <w:r>
      <w:rPr>
        <w:rStyle w:val="31"/>
      </w:rPr>
      <w:t>22</w:t>
    </w:r>
    <w:r>
      <w:fldChar w:fldCharType="end"/>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5F"/>
    <w:rsid w:val="000012B4"/>
    <w:rsid w:val="00001ECA"/>
    <w:rsid w:val="000032FF"/>
    <w:rsid w:val="00006EA7"/>
    <w:rsid w:val="0001083F"/>
    <w:rsid w:val="00010D17"/>
    <w:rsid w:val="00011086"/>
    <w:rsid w:val="000201B3"/>
    <w:rsid w:val="00021643"/>
    <w:rsid w:val="000222E9"/>
    <w:rsid w:val="00022D0B"/>
    <w:rsid w:val="0002370C"/>
    <w:rsid w:val="000262E5"/>
    <w:rsid w:val="000303C2"/>
    <w:rsid w:val="00031AFD"/>
    <w:rsid w:val="00032CAA"/>
    <w:rsid w:val="00033872"/>
    <w:rsid w:val="00033BA4"/>
    <w:rsid w:val="00034617"/>
    <w:rsid w:val="000348AA"/>
    <w:rsid w:val="00035872"/>
    <w:rsid w:val="00036C9A"/>
    <w:rsid w:val="00037DB0"/>
    <w:rsid w:val="0004256A"/>
    <w:rsid w:val="00044641"/>
    <w:rsid w:val="0004473E"/>
    <w:rsid w:val="00046941"/>
    <w:rsid w:val="000508C5"/>
    <w:rsid w:val="00050D85"/>
    <w:rsid w:val="000555B7"/>
    <w:rsid w:val="00057DD5"/>
    <w:rsid w:val="00057F70"/>
    <w:rsid w:val="000606F2"/>
    <w:rsid w:val="00067762"/>
    <w:rsid w:val="000724B0"/>
    <w:rsid w:val="00075258"/>
    <w:rsid w:val="00075DDA"/>
    <w:rsid w:val="00077066"/>
    <w:rsid w:val="000805A0"/>
    <w:rsid w:val="00085570"/>
    <w:rsid w:val="0008643E"/>
    <w:rsid w:val="00087EA5"/>
    <w:rsid w:val="00090862"/>
    <w:rsid w:val="00092896"/>
    <w:rsid w:val="0009625F"/>
    <w:rsid w:val="00096729"/>
    <w:rsid w:val="000969C0"/>
    <w:rsid w:val="00096D3E"/>
    <w:rsid w:val="00096F25"/>
    <w:rsid w:val="000A019F"/>
    <w:rsid w:val="000A19B0"/>
    <w:rsid w:val="000A1B21"/>
    <w:rsid w:val="000A25A4"/>
    <w:rsid w:val="000B1ED8"/>
    <w:rsid w:val="000B207F"/>
    <w:rsid w:val="000B5685"/>
    <w:rsid w:val="000B7C10"/>
    <w:rsid w:val="000C00F6"/>
    <w:rsid w:val="000C1E88"/>
    <w:rsid w:val="000C4337"/>
    <w:rsid w:val="000C4F0F"/>
    <w:rsid w:val="000C57A2"/>
    <w:rsid w:val="000C594C"/>
    <w:rsid w:val="000C664A"/>
    <w:rsid w:val="000C732B"/>
    <w:rsid w:val="000D2894"/>
    <w:rsid w:val="000D36FC"/>
    <w:rsid w:val="000D4C83"/>
    <w:rsid w:val="000D5592"/>
    <w:rsid w:val="000E0F42"/>
    <w:rsid w:val="000E24AD"/>
    <w:rsid w:val="000E2A5A"/>
    <w:rsid w:val="000E44C5"/>
    <w:rsid w:val="000E4C97"/>
    <w:rsid w:val="000E71A8"/>
    <w:rsid w:val="000F1010"/>
    <w:rsid w:val="000F14A4"/>
    <w:rsid w:val="00100CF1"/>
    <w:rsid w:val="00103870"/>
    <w:rsid w:val="001076A8"/>
    <w:rsid w:val="00110714"/>
    <w:rsid w:val="0011075C"/>
    <w:rsid w:val="00111D57"/>
    <w:rsid w:val="00112621"/>
    <w:rsid w:val="00113A31"/>
    <w:rsid w:val="00114355"/>
    <w:rsid w:val="00114F49"/>
    <w:rsid w:val="00115C03"/>
    <w:rsid w:val="00120CDA"/>
    <w:rsid w:val="00121CFD"/>
    <w:rsid w:val="001226DE"/>
    <w:rsid w:val="00122C3F"/>
    <w:rsid w:val="00125011"/>
    <w:rsid w:val="00126010"/>
    <w:rsid w:val="001262BF"/>
    <w:rsid w:val="00126339"/>
    <w:rsid w:val="001263BE"/>
    <w:rsid w:val="00127A41"/>
    <w:rsid w:val="00131BD5"/>
    <w:rsid w:val="001328BE"/>
    <w:rsid w:val="00133DE2"/>
    <w:rsid w:val="001357CF"/>
    <w:rsid w:val="00135B85"/>
    <w:rsid w:val="00136B50"/>
    <w:rsid w:val="001370F0"/>
    <w:rsid w:val="00140540"/>
    <w:rsid w:val="00141CE7"/>
    <w:rsid w:val="00145408"/>
    <w:rsid w:val="001572B2"/>
    <w:rsid w:val="00162F08"/>
    <w:rsid w:val="001642DF"/>
    <w:rsid w:val="0016562A"/>
    <w:rsid w:val="001666C9"/>
    <w:rsid w:val="001670AE"/>
    <w:rsid w:val="001717A2"/>
    <w:rsid w:val="00172A27"/>
    <w:rsid w:val="00180B99"/>
    <w:rsid w:val="00181C0B"/>
    <w:rsid w:val="00184ABC"/>
    <w:rsid w:val="0018733D"/>
    <w:rsid w:val="001878B6"/>
    <w:rsid w:val="00191F15"/>
    <w:rsid w:val="00192524"/>
    <w:rsid w:val="001958A6"/>
    <w:rsid w:val="00195E5C"/>
    <w:rsid w:val="00197D65"/>
    <w:rsid w:val="001A31DA"/>
    <w:rsid w:val="001A45CA"/>
    <w:rsid w:val="001A45D0"/>
    <w:rsid w:val="001A4722"/>
    <w:rsid w:val="001A58E8"/>
    <w:rsid w:val="001A6AE4"/>
    <w:rsid w:val="001A74B9"/>
    <w:rsid w:val="001B0465"/>
    <w:rsid w:val="001B1140"/>
    <w:rsid w:val="001B3D72"/>
    <w:rsid w:val="001B578D"/>
    <w:rsid w:val="001B6424"/>
    <w:rsid w:val="001C4645"/>
    <w:rsid w:val="001C79C1"/>
    <w:rsid w:val="001D27C9"/>
    <w:rsid w:val="001D298B"/>
    <w:rsid w:val="001D2DC9"/>
    <w:rsid w:val="001D7069"/>
    <w:rsid w:val="001E0864"/>
    <w:rsid w:val="001E1618"/>
    <w:rsid w:val="001E1D7A"/>
    <w:rsid w:val="001E20EC"/>
    <w:rsid w:val="001E2CB0"/>
    <w:rsid w:val="001E62B5"/>
    <w:rsid w:val="001E694A"/>
    <w:rsid w:val="001F204F"/>
    <w:rsid w:val="001F4944"/>
    <w:rsid w:val="001F717F"/>
    <w:rsid w:val="00202CFD"/>
    <w:rsid w:val="0020424A"/>
    <w:rsid w:val="00205BAE"/>
    <w:rsid w:val="00210C32"/>
    <w:rsid w:val="00211A78"/>
    <w:rsid w:val="00211E9F"/>
    <w:rsid w:val="002123BC"/>
    <w:rsid w:val="002133AF"/>
    <w:rsid w:val="00217E74"/>
    <w:rsid w:val="0022010B"/>
    <w:rsid w:val="002214FD"/>
    <w:rsid w:val="002231D4"/>
    <w:rsid w:val="002243AD"/>
    <w:rsid w:val="0023030A"/>
    <w:rsid w:val="002356AB"/>
    <w:rsid w:val="002437D1"/>
    <w:rsid w:val="002469E4"/>
    <w:rsid w:val="0024705B"/>
    <w:rsid w:val="00253C14"/>
    <w:rsid w:val="002546AB"/>
    <w:rsid w:val="00254CC3"/>
    <w:rsid w:val="00255E0C"/>
    <w:rsid w:val="0025616C"/>
    <w:rsid w:val="002566D4"/>
    <w:rsid w:val="00256F67"/>
    <w:rsid w:val="00260826"/>
    <w:rsid w:val="00262C5F"/>
    <w:rsid w:val="0026415F"/>
    <w:rsid w:val="002667C0"/>
    <w:rsid w:val="00270D0E"/>
    <w:rsid w:val="0027225B"/>
    <w:rsid w:val="00274D5D"/>
    <w:rsid w:val="002755CA"/>
    <w:rsid w:val="00275A71"/>
    <w:rsid w:val="00276CA9"/>
    <w:rsid w:val="00276D9B"/>
    <w:rsid w:val="00281187"/>
    <w:rsid w:val="00281E9A"/>
    <w:rsid w:val="00282FFC"/>
    <w:rsid w:val="00283FCA"/>
    <w:rsid w:val="00286E7C"/>
    <w:rsid w:val="00287DB2"/>
    <w:rsid w:val="002910C5"/>
    <w:rsid w:val="002911C1"/>
    <w:rsid w:val="00292B87"/>
    <w:rsid w:val="002955A2"/>
    <w:rsid w:val="002A01E2"/>
    <w:rsid w:val="002A2142"/>
    <w:rsid w:val="002A307B"/>
    <w:rsid w:val="002A34D7"/>
    <w:rsid w:val="002A6C9B"/>
    <w:rsid w:val="002A7F5D"/>
    <w:rsid w:val="002B0457"/>
    <w:rsid w:val="002B4F27"/>
    <w:rsid w:val="002B587C"/>
    <w:rsid w:val="002B7724"/>
    <w:rsid w:val="002B77EB"/>
    <w:rsid w:val="002C1B2F"/>
    <w:rsid w:val="002C43D9"/>
    <w:rsid w:val="002C4776"/>
    <w:rsid w:val="002C7DC8"/>
    <w:rsid w:val="002D1E24"/>
    <w:rsid w:val="002E1602"/>
    <w:rsid w:val="002E2B73"/>
    <w:rsid w:val="002E38E2"/>
    <w:rsid w:val="002E57F0"/>
    <w:rsid w:val="002E7ED5"/>
    <w:rsid w:val="002F0342"/>
    <w:rsid w:val="002F1EC2"/>
    <w:rsid w:val="002F2207"/>
    <w:rsid w:val="002F3064"/>
    <w:rsid w:val="002F6BC0"/>
    <w:rsid w:val="002F6F7F"/>
    <w:rsid w:val="002F7167"/>
    <w:rsid w:val="002F74BB"/>
    <w:rsid w:val="00300FCA"/>
    <w:rsid w:val="00301793"/>
    <w:rsid w:val="00302C3A"/>
    <w:rsid w:val="00306220"/>
    <w:rsid w:val="00306387"/>
    <w:rsid w:val="003064B7"/>
    <w:rsid w:val="003069BD"/>
    <w:rsid w:val="00307EE1"/>
    <w:rsid w:val="0031038D"/>
    <w:rsid w:val="00310705"/>
    <w:rsid w:val="00317C6E"/>
    <w:rsid w:val="0032029B"/>
    <w:rsid w:val="00320916"/>
    <w:rsid w:val="00321205"/>
    <w:rsid w:val="0032241D"/>
    <w:rsid w:val="0032389B"/>
    <w:rsid w:val="0032466A"/>
    <w:rsid w:val="00324E6A"/>
    <w:rsid w:val="00325E3F"/>
    <w:rsid w:val="003267E1"/>
    <w:rsid w:val="00326C23"/>
    <w:rsid w:val="00326DCC"/>
    <w:rsid w:val="00330BD8"/>
    <w:rsid w:val="00331F83"/>
    <w:rsid w:val="00333D9C"/>
    <w:rsid w:val="003342E2"/>
    <w:rsid w:val="00335C04"/>
    <w:rsid w:val="00341A2E"/>
    <w:rsid w:val="00344982"/>
    <w:rsid w:val="00352F84"/>
    <w:rsid w:val="00353376"/>
    <w:rsid w:val="003558BF"/>
    <w:rsid w:val="00355F7C"/>
    <w:rsid w:val="00363F2C"/>
    <w:rsid w:val="00365A88"/>
    <w:rsid w:val="00371DFE"/>
    <w:rsid w:val="00371E5E"/>
    <w:rsid w:val="00374902"/>
    <w:rsid w:val="00375138"/>
    <w:rsid w:val="003774A5"/>
    <w:rsid w:val="00377A43"/>
    <w:rsid w:val="00377B20"/>
    <w:rsid w:val="003836D9"/>
    <w:rsid w:val="00383DFC"/>
    <w:rsid w:val="003879BC"/>
    <w:rsid w:val="00393322"/>
    <w:rsid w:val="003950A1"/>
    <w:rsid w:val="0039583B"/>
    <w:rsid w:val="00396FC6"/>
    <w:rsid w:val="003A0EA4"/>
    <w:rsid w:val="003A157A"/>
    <w:rsid w:val="003A3233"/>
    <w:rsid w:val="003A34E1"/>
    <w:rsid w:val="003A420F"/>
    <w:rsid w:val="003A427D"/>
    <w:rsid w:val="003A4A8C"/>
    <w:rsid w:val="003A4AF8"/>
    <w:rsid w:val="003B0175"/>
    <w:rsid w:val="003B0554"/>
    <w:rsid w:val="003B0B77"/>
    <w:rsid w:val="003B2A6B"/>
    <w:rsid w:val="003B3C76"/>
    <w:rsid w:val="003B42A8"/>
    <w:rsid w:val="003B4F6B"/>
    <w:rsid w:val="003C0276"/>
    <w:rsid w:val="003C0493"/>
    <w:rsid w:val="003C5EFB"/>
    <w:rsid w:val="003D27FB"/>
    <w:rsid w:val="003D395B"/>
    <w:rsid w:val="003D4E63"/>
    <w:rsid w:val="003D5797"/>
    <w:rsid w:val="003D72C2"/>
    <w:rsid w:val="003D7753"/>
    <w:rsid w:val="003E1700"/>
    <w:rsid w:val="003E26B6"/>
    <w:rsid w:val="003E3116"/>
    <w:rsid w:val="003E33D1"/>
    <w:rsid w:val="003E3434"/>
    <w:rsid w:val="003E38DA"/>
    <w:rsid w:val="003E3A27"/>
    <w:rsid w:val="003E5214"/>
    <w:rsid w:val="003E5BF3"/>
    <w:rsid w:val="003E5F4E"/>
    <w:rsid w:val="003E6873"/>
    <w:rsid w:val="003E797D"/>
    <w:rsid w:val="003F05CF"/>
    <w:rsid w:val="003F202C"/>
    <w:rsid w:val="003F2866"/>
    <w:rsid w:val="003F4862"/>
    <w:rsid w:val="003F5C59"/>
    <w:rsid w:val="003F7B05"/>
    <w:rsid w:val="003F7E1E"/>
    <w:rsid w:val="003F7FDE"/>
    <w:rsid w:val="004035A8"/>
    <w:rsid w:val="00403898"/>
    <w:rsid w:val="004126E2"/>
    <w:rsid w:val="00412C26"/>
    <w:rsid w:val="004132D9"/>
    <w:rsid w:val="00413D25"/>
    <w:rsid w:val="004142A6"/>
    <w:rsid w:val="00414F17"/>
    <w:rsid w:val="004172D0"/>
    <w:rsid w:val="00417D5C"/>
    <w:rsid w:val="00421D59"/>
    <w:rsid w:val="00421DAD"/>
    <w:rsid w:val="0042351A"/>
    <w:rsid w:val="00426BC3"/>
    <w:rsid w:val="0043004A"/>
    <w:rsid w:val="00434CF3"/>
    <w:rsid w:val="00435440"/>
    <w:rsid w:val="00436ECE"/>
    <w:rsid w:val="00437C40"/>
    <w:rsid w:val="0044301D"/>
    <w:rsid w:val="00445CA6"/>
    <w:rsid w:val="0044625A"/>
    <w:rsid w:val="0045218E"/>
    <w:rsid w:val="00453744"/>
    <w:rsid w:val="00453BE4"/>
    <w:rsid w:val="004549F1"/>
    <w:rsid w:val="0046011E"/>
    <w:rsid w:val="0046271F"/>
    <w:rsid w:val="00465458"/>
    <w:rsid w:val="00476504"/>
    <w:rsid w:val="00476CAE"/>
    <w:rsid w:val="0048059A"/>
    <w:rsid w:val="0048121E"/>
    <w:rsid w:val="0048232D"/>
    <w:rsid w:val="0048246C"/>
    <w:rsid w:val="00486512"/>
    <w:rsid w:val="004870E6"/>
    <w:rsid w:val="004878B6"/>
    <w:rsid w:val="00490E76"/>
    <w:rsid w:val="00497278"/>
    <w:rsid w:val="00497544"/>
    <w:rsid w:val="004979F7"/>
    <w:rsid w:val="004A1602"/>
    <w:rsid w:val="004A31B3"/>
    <w:rsid w:val="004A395D"/>
    <w:rsid w:val="004A5AD8"/>
    <w:rsid w:val="004B39B9"/>
    <w:rsid w:val="004B3BC7"/>
    <w:rsid w:val="004B5A31"/>
    <w:rsid w:val="004B6E3B"/>
    <w:rsid w:val="004C2155"/>
    <w:rsid w:val="004C25B3"/>
    <w:rsid w:val="004C2696"/>
    <w:rsid w:val="004C6B32"/>
    <w:rsid w:val="004C6E6D"/>
    <w:rsid w:val="004D28EC"/>
    <w:rsid w:val="004D4E18"/>
    <w:rsid w:val="004D7D8A"/>
    <w:rsid w:val="004D7E63"/>
    <w:rsid w:val="004E0DE0"/>
    <w:rsid w:val="004E3046"/>
    <w:rsid w:val="004E3CD4"/>
    <w:rsid w:val="004E4CF5"/>
    <w:rsid w:val="004E61A6"/>
    <w:rsid w:val="004F3CEA"/>
    <w:rsid w:val="004F41E2"/>
    <w:rsid w:val="004F4227"/>
    <w:rsid w:val="004F4B2B"/>
    <w:rsid w:val="004F63A3"/>
    <w:rsid w:val="004F69BF"/>
    <w:rsid w:val="00500AA9"/>
    <w:rsid w:val="00507FF2"/>
    <w:rsid w:val="00512779"/>
    <w:rsid w:val="005145AF"/>
    <w:rsid w:val="005147A7"/>
    <w:rsid w:val="00515F49"/>
    <w:rsid w:val="00517000"/>
    <w:rsid w:val="00521463"/>
    <w:rsid w:val="005215C9"/>
    <w:rsid w:val="005215EB"/>
    <w:rsid w:val="0052327F"/>
    <w:rsid w:val="00524E32"/>
    <w:rsid w:val="005261C7"/>
    <w:rsid w:val="00526AC8"/>
    <w:rsid w:val="00527227"/>
    <w:rsid w:val="00530871"/>
    <w:rsid w:val="00534804"/>
    <w:rsid w:val="005364B0"/>
    <w:rsid w:val="00536B88"/>
    <w:rsid w:val="00537967"/>
    <w:rsid w:val="00541279"/>
    <w:rsid w:val="00542792"/>
    <w:rsid w:val="00545DCF"/>
    <w:rsid w:val="0054718A"/>
    <w:rsid w:val="00550950"/>
    <w:rsid w:val="00551237"/>
    <w:rsid w:val="005530B0"/>
    <w:rsid w:val="00555669"/>
    <w:rsid w:val="00555A58"/>
    <w:rsid w:val="00560E6A"/>
    <w:rsid w:val="00563BE1"/>
    <w:rsid w:val="00564135"/>
    <w:rsid w:val="00565CFC"/>
    <w:rsid w:val="0056660A"/>
    <w:rsid w:val="00566CAD"/>
    <w:rsid w:val="00567436"/>
    <w:rsid w:val="00571183"/>
    <w:rsid w:val="00572865"/>
    <w:rsid w:val="00572B8B"/>
    <w:rsid w:val="0057713F"/>
    <w:rsid w:val="00581374"/>
    <w:rsid w:val="005814C0"/>
    <w:rsid w:val="005867DA"/>
    <w:rsid w:val="00587CFD"/>
    <w:rsid w:val="00587E32"/>
    <w:rsid w:val="00591655"/>
    <w:rsid w:val="0059316E"/>
    <w:rsid w:val="0059491F"/>
    <w:rsid w:val="0059508B"/>
    <w:rsid w:val="00596796"/>
    <w:rsid w:val="00596A2A"/>
    <w:rsid w:val="005A5B9C"/>
    <w:rsid w:val="005B13EE"/>
    <w:rsid w:val="005B34B8"/>
    <w:rsid w:val="005C3219"/>
    <w:rsid w:val="005D1C8D"/>
    <w:rsid w:val="005D2969"/>
    <w:rsid w:val="005D346B"/>
    <w:rsid w:val="005D41E5"/>
    <w:rsid w:val="005D591D"/>
    <w:rsid w:val="005D7ADD"/>
    <w:rsid w:val="005E0EE5"/>
    <w:rsid w:val="005E3813"/>
    <w:rsid w:val="005E6F9F"/>
    <w:rsid w:val="005F0880"/>
    <w:rsid w:val="005F23BD"/>
    <w:rsid w:val="005F6214"/>
    <w:rsid w:val="005F640C"/>
    <w:rsid w:val="00605D3D"/>
    <w:rsid w:val="006069BD"/>
    <w:rsid w:val="0061479F"/>
    <w:rsid w:val="00615114"/>
    <w:rsid w:val="006177DE"/>
    <w:rsid w:val="00617F73"/>
    <w:rsid w:val="00617FAE"/>
    <w:rsid w:val="00621A08"/>
    <w:rsid w:val="00623F63"/>
    <w:rsid w:val="00624CFD"/>
    <w:rsid w:val="00630681"/>
    <w:rsid w:val="006313B8"/>
    <w:rsid w:val="00633915"/>
    <w:rsid w:val="006340FA"/>
    <w:rsid w:val="00635BD8"/>
    <w:rsid w:val="0063793C"/>
    <w:rsid w:val="00640F98"/>
    <w:rsid w:val="00643543"/>
    <w:rsid w:val="00643891"/>
    <w:rsid w:val="00644F22"/>
    <w:rsid w:val="006467B0"/>
    <w:rsid w:val="00646CC9"/>
    <w:rsid w:val="00647171"/>
    <w:rsid w:val="00651781"/>
    <w:rsid w:val="00653E5B"/>
    <w:rsid w:val="006551CF"/>
    <w:rsid w:val="006553F4"/>
    <w:rsid w:val="0065602D"/>
    <w:rsid w:val="00660CAA"/>
    <w:rsid w:val="00664BBD"/>
    <w:rsid w:val="00667395"/>
    <w:rsid w:val="00672D93"/>
    <w:rsid w:val="00673C52"/>
    <w:rsid w:val="00681790"/>
    <w:rsid w:val="00683FFF"/>
    <w:rsid w:val="00684B92"/>
    <w:rsid w:val="00685661"/>
    <w:rsid w:val="0068644C"/>
    <w:rsid w:val="00687028"/>
    <w:rsid w:val="00691311"/>
    <w:rsid w:val="00691C25"/>
    <w:rsid w:val="00694D27"/>
    <w:rsid w:val="00694D7D"/>
    <w:rsid w:val="006958A5"/>
    <w:rsid w:val="00697B40"/>
    <w:rsid w:val="006A0081"/>
    <w:rsid w:val="006A01D1"/>
    <w:rsid w:val="006A04A5"/>
    <w:rsid w:val="006A0555"/>
    <w:rsid w:val="006A426B"/>
    <w:rsid w:val="006A4AB2"/>
    <w:rsid w:val="006A5A82"/>
    <w:rsid w:val="006B18EC"/>
    <w:rsid w:val="006B1AF8"/>
    <w:rsid w:val="006B25BB"/>
    <w:rsid w:val="006B25E6"/>
    <w:rsid w:val="006B3CB9"/>
    <w:rsid w:val="006B3DBF"/>
    <w:rsid w:val="006B4D53"/>
    <w:rsid w:val="006B6C42"/>
    <w:rsid w:val="006C1C85"/>
    <w:rsid w:val="006C3294"/>
    <w:rsid w:val="006C4472"/>
    <w:rsid w:val="006C4749"/>
    <w:rsid w:val="006C510E"/>
    <w:rsid w:val="006C6211"/>
    <w:rsid w:val="006C6580"/>
    <w:rsid w:val="006D2082"/>
    <w:rsid w:val="006D250B"/>
    <w:rsid w:val="006D60D9"/>
    <w:rsid w:val="006D7174"/>
    <w:rsid w:val="006D7B7E"/>
    <w:rsid w:val="006E04FA"/>
    <w:rsid w:val="006E3EA0"/>
    <w:rsid w:val="006E4571"/>
    <w:rsid w:val="006E5EFC"/>
    <w:rsid w:val="006F4EA6"/>
    <w:rsid w:val="006F5456"/>
    <w:rsid w:val="00700FF9"/>
    <w:rsid w:val="007073E5"/>
    <w:rsid w:val="00715695"/>
    <w:rsid w:val="007228ED"/>
    <w:rsid w:val="00723A63"/>
    <w:rsid w:val="00723C0E"/>
    <w:rsid w:val="00725559"/>
    <w:rsid w:val="00727890"/>
    <w:rsid w:val="00730465"/>
    <w:rsid w:val="00731995"/>
    <w:rsid w:val="00732A0E"/>
    <w:rsid w:val="00732DC5"/>
    <w:rsid w:val="00740AC0"/>
    <w:rsid w:val="00747062"/>
    <w:rsid w:val="00756272"/>
    <w:rsid w:val="0075646C"/>
    <w:rsid w:val="0075683D"/>
    <w:rsid w:val="007568B8"/>
    <w:rsid w:val="00760B34"/>
    <w:rsid w:val="00761E2F"/>
    <w:rsid w:val="0076286D"/>
    <w:rsid w:val="00762971"/>
    <w:rsid w:val="00763DA8"/>
    <w:rsid w:val="00764089"/>
    <w:rsid w:val="00764DEA"/>
    <w:rsid w:val="00766382"/>
    <w:rsid w:val="00770D86"/>
    <w:rsid w:val="007719F6"/>
    <w:rsid w:val="00775635"/>
    <w:rsid w:val="007809B4"/>
    <w:rsid w:val="007825D3"/>
    <w:rsid w:val="0078291F"/>
    <w:rsid w:val="00782CBB"/>
    <w:rsid w:val="00783EEE"/>
    <w:rsid w:val="00785C01"/>
    <w:rsid w:val="007863F4"/>
    <w:rsid w:val="007934C4"/>
    <w:rsid w:val="0079388C"/>
    <w:rsid w:val="007940AA"/>
    <w:rsid w:val="00794D25"/>
    <w:rsid w:val="00795264"/>
    <w:rsid w:val="007952F6"/>
    <w:rsid w:val="00796ED4"/>
    <w:rsid w:val="007A113C"/>
    <w:rsid w:val="007A26D3"/>
    <w:rsid w:val="007A3144"/>
    <w:rsid w:val="007A719A"/>
    <w:rsid w:val="007B1896"/>
    <w:rsid w:val="007B3BFE"/>
    <w:rsid w:val="007B439B"/>
    <w:rsid w:val="007B4B54"/>
    <w:rsid w:val="007B5200"/>
    <w:rsid w:val="007B5D80"/>
    <w:rsid w:val="007B5F36"/>
    <w:rsid w:val="007B6C33"/>
    <w:rsid w:val="007B7272"/>
    <w:rsid w:val="007C3CE2"/>
    <w:rsid w:val="007C4DC5"/>
    <w:rsid w:val="007C55C1"/>
    <w:rsid w:val="007C6EB0"/>
    <w:rsid w:val="007C79DF"/>
    <w:rsid w:val="007D03F4"/>
    <w:rsid w:val="007D1612"/>
    <w:rsid w:val="007D1796"/>
    <w:rsid w:val="007D4630"/>
    <w:rsid w:val="007D4967"/>
    <w:rsid w:val="007D67DB"/>
    <w:rsid w:val="007D752D"/>
    <w:rsid w:val="007E1096"/>
    <w:rsid w:val="007E178E"/>
    <w:rsid w:val="007E28B1"/>
    <w:rsid w:val="007E483A"/>
    <w:rsid w:val="007E488B"/>
    <w:rsid w:val="007E5291"/>
    <w:rsid w:val="007E7AA3"/>
    <w:rsid w:val="007F0660"/>
    <w:rsid w:val="007F12A6"/>
    <w:rsid w:val="007F19B2"/>
    <w:rsid w:val="007F201A"/>
    <w:rsid w:val="007F5D08"/>
    <w:rsid w:val="007F66F4"/>
    <w:rsid w:val="007F6E1F"/>
    <w:rsid w:val="0080001C"/>
    <w:rsid w:val="00801A33"/>
    <w:rsid w:val="00802362"/>
    <w:rsid w:val="008051EE"/>
    <w:rsid w:val="00807CA0"/>
    <w:rsid w:val="008149CA"/>
    <w:rsid w:val="0081579C"/>
    <w:rsid w:val="0082096D"/>
    <w:rsid w:val="00820F81"/>
    <w:rsid w:val="00821616"/>
    <w:rsid w:val="00822C03"/>
    <w:rsid w:val="008233CF"/>
    <w:rsid w:val="00824695"/>
    <w:rsid w:val="00825B29"/>
    <w:rsid w:val="00826FD8"/>
    <w:rsid w:val="0082754C"/>
    <w:rsid w:val="008327F5"/>
    <w:rsid w:val="008358C5"/>
    <w:rsid w:val="0083757D"/>
    <w:rsid w:val="00840633"/>
    <w:rsid w:val="0084131D"/>
    <w:rsid w:val="00842419"/>
    <w:rsid w:val="00842487"/>
    <w:rsid w:val="00844188"/>
    <w:rsid w:val="008441D6"/>
    <w:rsid w:val="008458B1"/>
    <w:rsid w:val="008471E4"/>
    <w:rsid w:val="0084777E"/>
    <w:rsid w:val="008501E1"/>
    <w:rsid w:val="00853AA8"/>
    <w:rsid w:val="00854EA1"/>
    <w:rsid w:val="008602A3"/>
    <w:rsid w:val="0086042D"/>
    <w:rsid w:val="008623C1"/>
    <w:rsid w:val="0086307F"/>
    <w:rsid w:val="008632AE"/>
    <w:rsid w:val="00864937"/>
    <w:rsid w:val="0086711A"/>
    <w:rsid w:val="00867DD2"/>
    <w:rsid w:val="00872854"/>
    <w:rsid w:val="00873502"/>
    <w:rsid w:val="008740FF"/>
    <w:rsid w:val="0087549E"/>
    <w:rsid w:val="00875D2E"/>
    <w:rsid w:val="00876851"/>
    <w:rsid w:val="008809B1"/>
    <w:rsid w:val="00880A79"/>
    <w:rsid w:val="00881F44"/>
    <w:rsid w:val="008835A9"/>
    <w:rsid w:val="00884363"/>
    <w:rsid w:val="00886395"/>
    <w:rsid w:val="00887C84"/>
    <w:rsid w:val="008915AF"/>
    <w:rsid w:val="00892673"/>
    <w:rsid w:val="00892A56"/>
    <w:rsid w:val="00896390"/>
    <w:rsid w:val="008A1044"/>
    <w:rsid w:val="008A479F"/>
    <w:rsid w:val="008A50EB"/>
    <w:rsid w:val="008A7B69"/>
    <w:rsid w:val="008B2A03"/>
    <w:rsid w:val="008B2CB2"/>
    <w:rsid w:val="008B3794"/>
    <w:rsid w:val="008B492C"/>
    <w:rsid w:val="008B615A"/>
    <w:rsid w:val="008B6C32"/>
    <w:rsid w:val="008B786F"/>
    <w:rsid w:val="008C0F61"/>
    <w:rsid w:val="008C54FD"/>
    <w:rsid w:val="008C568F"/>
    <w:rsid w:val="008D3084"/>
    <w:rsid w:val="008E00B7"/>
    <w:rsid w:val="008E26CA"/>
    <w:rsid w:val="008F0E53"/>
    <w:rsid w:val="008F1495"/>
    <w:rsid w:val="008F1CA0"/>
    <w:rsid w:val="008F53B0"/>
    <w:rsid w:val="008F76EE"/>
    <w:rsid w:val="00900A12"/>
    <w:rsid w:val="009033A4"/>
    <w:rsid w:val="00904553"/>
    <w:rsid w:val="00904D24"/>
    <w:rsid w:val="0090519E"/>
    <w:rsid w:val="00914D5F"/>
    <w:rsid w:val="00914D72"/>
    <w:rsid w:val="009151BF"/>
    <w:rsid w:val="0091596F"/>
    <w:rsid w:val="00916460"/>
    <w:rsid w:val="00923BFF"/>
    <w:rsid w:val="00925136"/>
    <w:rsid w:val="009254B4"/>
    <w:rsid w:val="00927322"/>
    <w:rsid w:val="00927C7D"/>
    <w:rsid w:val="00931031"/>
    <w:rsid w:val="00933847"/>
    <w:rsid w:val="0093672C"/>
    <w:rsid w:val="00941E48"/>
    <w:rsid w:val="00942B18"/>
    <w:rsid w:val="00942B7B"/>
    <w:rsid w:val="00943631"/>
    <w:rsid w:val="00945FBC"/>
    <w:rsid w:val="009472FF"/>
    <w:rsid w:val="00951602"/>
    <w:rsid w:val="00952A26"/>
    <w:rsid w:val="00954C50"/>
    <w:rsid w:val="00961A48"/>
    <w:rsid w:val="0096253E"/>
    <w:rsid w:val="00964233"/>
    <w:rsid w:val="00967C14"/>
    <w:rsid w:val="00973683"/>
    <w:rsid w:val="009736AA"/>
    <w:rsid w:val="0097416F"/>
    <w:rsid w:val="00975835"/>
    <w:rsid w:val="00980306"/>
    <w:rsid w:val="00980932"/>
    <w:rsid w:val="00986A8E"/>
    <w:rsid w:val="00986C5B"/>
    <w:rsid w:val="00991FA3"/>
    <w:rsid w:val="00992B71"/>
    <w:rsid w:val="00993007"/>
    <w:rsid w:val="0099657A"/>
    <w:rsid w:val="00996930"/>
    <w:rsid w:val="00996DA8"/>
    <w:rsid w:val="009A17EB"/>
    <w:rsid w:val="009A261A"/>
    <w:rsid w:val="009A38FC"/>
    <w:rsid w:val="009B0B41"/>
    <w:rsid w:val="009B1E9C"/>
    <w:rsid w:val="009C0E9D"/>
    <w:rsid w:val="009C1417"/>
    <w:rsid w:val="009C1C05"/>
    <w:rsid w:val="009C20EF"/>
    <w:rsid w:val="009C4C88"/>
    <w:rsid w:val="009C5D1D"/>
    <w:rsid w:val="009D2245"/>
    <w:rsid w:val="009D2C4A"/>
    <w:rsid w:val="009D39B4"/>
    <w:rsid w:val="009D555A"/>
    <w:rsid w:val="009D634F"/>
    <w:rsid w:val="009E2967"/>
    <w:rsid w:val="009E324D"/>
    <w:rsid w:val="009E5E61"/>
    <w:rsid w:val="009F04E7"/>
    <w:rsid w:val="009F20D8"/>
    <w:rsid w:val="009F239C"/>
    <w:rsid w:val="009F401A"/>
    <w:rsid w:val="009F51B5"/>
    <w:rsid w:val="009F6BA2"/>
    <w:rsid w:val="00A0063C"/>
    <w:rsid w:val="00A119AE"/>
    <w:rsid w:val="00A214BB"/>
    <w:rsid w:val="00A21F7F"/>
    <w:rsid w:val="00A237A7"/>
    <w:rsid w:val="00A24CDC"/>
    <w:rsid w:val="00A25698"/>
    <w:rsid w:val="00A3006C"/>
    <w:rsid w:val="00A338C2"/>
    <w:rsid w:val="00A3486C"/>
    <w:rsid w:val="00A35404"/>
    <w:rsid w:val="00A43533"/>
    <w:rsid w:val="00A44B65"/>
    <w:rsid w:val="00A45C2B"/>
    <w:rsid w:val="00A4715D"/>
    <w:rsid w:val="00A50F34"/>
    <w:rsid w:val="00A52773"/>
    <w:rsid w:val="00A5459F"/>
    <w:rsid w:val="00A55045"/>
    <w:rsid w:val="00A61A20"/>
    <w:rsid w:val="00A62490"/>
    <w:rsid w:val="00A63941"/>
    <w:rsid w:val="00A66AD5"/>
    <w:rsid w:val="00A67844"/>
    <w:rsid w:val="00A67B58"/>
    <w:rsid w:val="00A720DD"/>
    <w:rsid w:val="00A8078E"/>
    <w:rsid w:val="00A81CE2"/>
    <w:rsid w:val="00A81F3C"/>
    <w:rsid w:val="00A831B9"/>
    <w:rsid w:val="00A83AB8"/>
    <w:rsid w:val="00A86A72"/>
    <w:rsid w:val="00A86AF2"/>
    <w:rsid w:val="00A9133D"/>
    <w:rsid w:val="00A91502"/>
    <w:rsid w:val="00A93B48"/>
    <w:rsid w:val="00AA1389"/>
    <w:rsid w:val="00AA23B0"/>
    <w:rsid w:val="00AA557A"/>
    <w:rsid w:val="00AA65D8"/>
    <w:rsid w:val="00AB083C"/>
    <w:rsid w:val="00AB55A2"/>
    <w:rsid w:val="00AC2E86"/>
    <w:rsid w:val="00AC4C2A"/>
    <w:rsid w:val="00AC66EE"/>
    <w:rsid w:val="00AC765F"/>
    <w:rsid w:val="00AC7F65"/>
    <w:rsid w:val="00AD082C"/>
    <w:rsid w:val="00AD0C61"/>
    <w:rsid w:val="00AD19FD"/>
    <w:rsid w:val="00AD2FBA"/>
    <w:rsid w:val="00AD39FE"/>
    <w:rsid w:val="00AD69A4"/>
    <w:rsid w:val="00AE06EB"/>
    <w:rsid w:val="00AE3D27"/>
    <w:rsid w:val="00AE4BC4"/>
    <w:rsid w:val="00AE5AC6"/>
    <w:rsid w:val="00AE75CE"/>
    <w:rsid w:val="00AE781F"/>
    <w:rsid w:val="00AF2BFB"/>
    <w:rsid w:val="00AF4C62"/>
    <w:rsid w:val="00AF5F75"/>
    <w:rsid w:val="00AF76B0"/>
    <w:rsid w:val="00AF7847"/>
    <w:rsid w:val="00B00473"/>
    <w:rsid w:val="00B03881"/>
    <w:rsid w:val="00B0528C"/>
    <w:rsid w:val="00B05C03"/>
    <w:rsid w:val="00B100F3"/>
    <w:rsid w:val="00B12AFE"/>
    <w:rsid w:val="00B203F0"/>
    <w:rsid w:val="00B2139B"/>
    <w:rsid w:val="00B22795"/>
    <w:rsid w:val="00B301AD"/>
    <w:rsid w:val="00B3093A"/>
    <w:rsid w:val="00B309ED"/>
    <w:rsid w:val="00B34FDF"/>
    <w:rsid w:val="00B368D2"/>
    <w:rsid w:val="00B37704"/>
    <w:rsid w:val="00B405E5"/>
    <w:rsid w:val="00B41C68"/>
    <w:rsid w:val="00B47751"/>
    <w:rsid w:val="00B50D9D"/>
    <w:rsid w:val="00B5116E"/>
    <w:rsid w:val="00B52890"/>
    <w:rsid w:val="00B52A12"/>
    <w:rsid w:val="00B557D4"/>
    <w:rsid w:val="00B65495"/>
    <w:rsid w:val="00B656B2"/>
    <w:rsid w:val="00B7429E"/>
    <w:rsid w:val="00B80B6C"/>
    <w:rsid w:val="00B84513"/>
    <w:rsid w:val="00B84D85"/>
    <w:rsid w:val="00B8627A"/>
    <w:rsid w:val="00B92F88"/>
    <w:rsid w:val="00B95153"/>
    <w:rsid w:val="00B967B1"/>
    <w:rsid w:val="00B96CF6"/>
    <w:rsid w:val="00B97EBB"/>
    <w:rsid w:val="00BA025F"/>
    <w:rsid w:val="00BA0E0C"/>
    <w:rsid w:val="00BA1372"/>
    <w:rsid w:val="00BA147B"/>
    <w:rsid w:val="00BA2C65"/>
    <w:rsid w:val="00BA5AD1"/>
    <w:rsid w:val="00BB26C1"/>
    <w:rsid w:val="00BB44D9"/>
    <w:rsid w:val="00BC06F3"/>
    <w:rsid w:val="00BC0E92"/>
    <w:rsid w:val="00BC6CEB"/>
    <w:rsid w:val="00BD10E4"/>
    <w:rsid w:val="00BD19EB"/>
    <w:rsid w:val="00BD2C77"/>
    <w:rsid w:val="00BD371F"/>
    <w:rsid w:val="00BD5057"/>
    <w:rsid w:val="00BD662F"/>
    <w:rsid w:val="00BE158B"/>
    <w:rsid w:val="00BE1736"/>
    <w:rsid w:val="00BE17C5"/>
    <w:rsid w:val="00BF057C"/>
    <w:rsid w:val="00BF1C1E"/>
    <w:rsid w:val="00BF3E00"/>
    <w:rsid w:val="00BF464E"/>
    <w:rsid w:val="00BF79D8"/>
    <w:rsid w:val="00C016A5"/>
    <w:rsid w:val="00C02F8C"/>
    <w:rsid w:val="00C042F8"/>
    <w:rsid w:val="00C044C4"/>
    <w:rsid w:val="00C05921"/>
    <w:rsid w:val="00C077B6"/>
    <w:rsid w:val="00C114C2"/>
    <w:rsid w:val="00C123C1"/>
    <w:rsid w:val="00C13641"/>
    <w:rsid w:val="00C136F6"/>
    <w:rsid w:val="00C13C9F"/>
    <w:rsid w:val="00C13DFB"/>
    <w:rsid w:val="00C14B5B"/>
    <w:rsid w:val="00C24826"/>
    <w:rsid w:val="00C278A2"/>
    <w:rsid w:val="00C30957"/>
    <w:rsid w:val="00C32A64"/>
    <w:rsid w:val="00C43D51"/>
    <w:rsid w:val="00C44A63"/>
    <w:rsid w:val="00C450C3"/>
    <w:rsid w:val="00C46759"/>
    <w:rsid w:val="00C46C16"/>
    <w:rsid w:val="00C47F36"/>
    <w:rsid w:val="00C47FCB"/>
    <w:rsid w:val="00C50F4B"/>
    <w:rsid w:val="00C5150D"/>
    <w:rsid w:val="00C51D82"/>
    <w:rsid w:val="00C52816"/>
    <w:rsid w:val="00C54A50"/>
    <w:rsid w:val="00C5598B"/>
    <w:rsid w:val="00C57541"/>
    <w:rsid w:val="00C60805"/>
    <w:rsid w:val="00C62656"/>
    <w:rsid w:val="00C63C43"/>
    <w:rsid w:val="00C674DE"/>
    <w:rsid w:val="00C71301"/>
    <w:rsid w:val="00C73B4F"/>
    <w:rsid w:val="00C766BB"/>
    <w:rsid w:val="00C7759A"/>
    <w:rsid w:val="00C80C6E"/>
    <w:rsid w:val="00C81896"/>
    <w:rsid w:val="00C84D97"/>
    <w:rsid w:val="00C85B97"/>
    <w:rsid w:val="00C85E88"/>
    <w:rsid w:val="00C9288A"/>
    <w:rsid w:val="00C945C0"/>
    <w:rsid w:val="00CA2743"/>
    <w:rsid w:val="00CA276D"/>
    <w:rsid w:val="00CA4447"/>
    <w:rsid w:val="00CA47E4"/>
    <w:rsid w:val="00CB3859"/>
    <w:rsid w:val="00CB66BF"/>
    <w:rsid w:val="00CB7E36"/>
    <w:rsid w:val="00CB7F4A"/>
    <w:rsid w:val="00CC159C"/>
    <w:rsid w:val="00CC2276"/>
    <w:rsid w:val="00CC2C87"/>
    <w:rsid w:val="00CC497A"/>
    <w:rsid w:val="00CC552E"/>
    <w:rsid w:val="00CC5E98"/>
    <w:rsid w:val="00CC6468"/>
    <w:rsid w:val="00CC693E"/>
    <w:rsid w:val="00CC6AC0"/>
    <w:rsid w:val="00CD5117"/>
    <w:rsid w:val="00CD7399"/>
    <w:rsid w:val="00CE02EA"/>
    <w:rsid w:val="00CE0CC4"/>
    <w:rsid w:val="00CE3F1E"/>
    <w:rsid w:val="00CE5435"/>
    <w:rsid w:val="00CE5B19"/>
    <w:rsid w:val="00CE7B60"/>
    <w:rsid w:val="00CE7D68"/>
    <w:rsid w:val="00CF3E43"/>
    <w:rsid w:val="00CF49AF"/>
    <w:rsid w:val="00CF4DEC"/>
    <w:rsid w:val="00CF5127"/>
    <w:rsid w:val="00D00A3B"/>
    <w:rsid w:val="00D026E0"/>
    <w:rsid w:val="00D03811"/>
    <w:rsid w:val="00D047F1"/>
    <w:rsid w:val="00D04C12"/>
    <w:rsid w:val="00D07159"/>
    <w:rsid w:val="00D07279"/>
    <w:rsid w:val="00D07701"/>
    <w:rsid w:val="00D15B88"/>
    <w:rsid w:val="00D172E0"/>
    <w:rsid w:val="00D21B21"/>
    <w:rsid w:val="00D24626"/>
    <w:rsid w:val="00D30BF6"/>
    <w:rsid w:val="00D30DD6"/>
    <w:rsid w:val="00D31BC7"/>
    <w:rsid w:val="00D33427"/>
    <w:rsid w:val="00D340D1"/>
    <w:rsid w:val="00D35850"/>
    <w:rsid w:val="00D36BF3"/>
    <w:rsid w:val="00D42148"/>
    <w:rsid w:val="00D44973"/>
    <w:rsid w:val="00D45357"/>
    <w:rsid w:val="00D50449"/>
    <w:rsid w:val="00D5088F"/>
    <w:rsid w:val="00D50E65"/>
    <w:rsid w:val="00D5220F"/>
    <w:rsid w:val="00D530C6"/>
    <w:rsid w:val="00D53C66"/>
    <w:rsid w:val="00D54E63"/>
    <w:rsid w:val="00D575C0"/>
    <w:rsid w:val="00D57E83"/>
    <w:rsid w:val="00D60204"/>
    <w:rsid w:val="00D60B36"/>
    <w:rsid w:val="00D62600"/>
    <w:rsid w:val="00D65246"/>
    <w:rsid w:val="00D65267"/>
    <w:rsid w:val="00D71D53"/>
    <w:rsid w:val="00D72456"/>
    <w:rsid w:val="00D72698"/>
    <w:rsid w:val="00D73B87"/>
    <w:rsid w:val="00D7614C"/>
    <w:rsid w:val="00D7616A"/>
    <w:rsid w:val="00D76BD0"/>
    <w:rsid w:val="00D76E8A"/>
    <w:rsid w:val="00D81772"/>
    <w:rsid w:val="00D8222E"/>
    <w:rsid w:val="00D84B51"/>
    <w:rsid w:val="00D84D55"/>
    <w:rsid w:val="00D902BA"/>
    <w:rsid w:val="00D938BA"/>
    <w:rsid w:val="00D96EB0"/>
    <w:rsid w:val="00DA0810"/>
    <w:rsid w:val="00DA1C2E"/>
    <w:rsid w:val="00DA2616"/>
    <w:rsid w:val="00DA42F3"/>
    <w:rsid w:val="00DA555B"/>
    <w:rsid w:val="00DA6496"/>
    <w:rsid w:val="00DA6A54"/>
    <w:rsid w:val="00DA7DB8"/>
    <w:rsid w:val="00DB4BFC"/>
    <w:rsid w:val="00DC2B63"/>
    <w:rsid w:val="00DC5130"/>
    <w:rsid w:val="00DC55ED"/>
    <w:rsid w:val="00DC6658"/>
    <w:rsid w:val="00DD3AE9"/>
    <w:rsid w:val="00DD4556"/>
    <w:rsid w:val="00DD49F2"/>
    <w:rsid w:val="00DD6EA3"/>
    <w:rsid w:val="00DD75E2"/>
    <w:rsid w:val="00DF31B9"/>
    <w:rsid w:val="00DF34BE"/>
    <w:rsid w:val="00DF3915"/>
    <w:rsid w:val="00DF4481"/>
    <w:rsid w:val="00DF7567"/>
    <w:rsid w:val="00DF7619"/>
    <w:rsid w:val="00E039D0"/>
    <w:rsid w:val="00E040BA"/>
    <w:rsid w:val="00E04290"/>
    <w:rsid w:val="00E042A0"/>
    <w:rsid w:val="00E0459B"/>
    <w:rsid w:val="00E05D95"/>
    <w:rsid w:val="00E1065D"/>
    <w:rsid w:val="00E10D34"/>
    <w:rsid w:val="00E113CA"/>
    <w:rsid w:val="00E14C64"/>
    <w:rsid w:val="00E154BD"/>
    <w:rsid w:val="00E15D2B"/>
    <w:rsid w:val="00E17EC1"/>
    <w:rsid w:val="00E20040"/>
    <w:rsid w:val="00E24310"/>
    <w:rsid w:val="00E24B1A"/>
    <w:rsid w:val="00E2597E"/>
    <w:rsid w:val="00E25FBF"/>
    <w:rsid w:val="00E26158"/>
    <w:rsid w:val="00E26F32"/>
    <w:rsid w:val="00E27FFD"/>
    <w:rsid w:val="00E3166C"/>
    <w:rsid w:val="00E31F6B"/>
    <w:rsid w:val="00E32754"/>
    <w:rsid w:val="00E32E4C"/>
    <w:rsid w:val="00E34713"/>
    <w:rsid w:val="00E355E1"/>
    <w:rsid w:val="00E423A0"/>
    <w:rsid w:val="00E42C06"/>
    <w:rsid w:val="00E46C2D"/>
    <w:rsid w:val="00E46E1A"/>
    <w:rsid w:val="00E473DC"/>
    <w:rsid w:val="00E50B8C"/>
    <w:rsid w:val="00E50BA8"/>
    <w:rsid w:val="00E555BC"/>
    <w:rsid w:val="00E6235A"/>
    <w:rsid w:val="00E6241E"/>
    <w:rsid w:val="00E62EC3"/>
    <w:rsid w:val="00E63AE0"/>
    <w:rsid w:val="00E66AE3"/>
    <w:rsid w:val="00E70B26"/>
    <w:rsid w:val="00E718CE"/>
    <w:rsid w:val="00E747F3"/>
    <w:rsid w:val="00E74809"/>
    <w:rsid w:val="00E7531C"/>
    <w:rsid w:val="00E769E8"/>
    <w:rsid w:val="00E8499C"/>
    <w:rsid w:val="00E84C1C"/>
    <w:rsid w:val="00E85A48"/>
    <w:rsid w:val="00E92524"/>
    <w:rsid w:val="00E950E5"/>
    <w:rsid w:val="00E96524"/>
    <w:rsid w:val="00E96ECD"/>
    <w:rsid w:val="00E970B4"/>
    <w:rsid w:val="00EA52A9"/>
    <w:rsid w:val="00EA5879"/>
    <w:rsid w:val="00EA5FA5"/>
    <w:rsid w:val="00EB043F"/>
    <w:rsid w:val="00EB0837"/>
    <w:rsid w:val="00EB1230"/>
    <w:rsid w:val="00EB1347"/>
    <w:rsid w:val="00EB20E3"/>
    <w:rsid w:val="00EB2B36"/>
    <w:rsid w:val="00EB2BA0"/>
    <w:rsid w:val="00EB4B52"/>
    <w:rsid w:val="00EB5FEB"/>
    <w:rsid w:val="00EB6494"/>
    <w:rsid w:val="00EB7E5B"/>
    <w:rsid w:val="00EC1C3F"/>
    <w:rsid w:val="00EC3DA2"/>
    <w:rsid w:val="00EC4C23"/>
    <w:rsid w:val="00EC5286"/>
    <w:rsid w:val="00EC6810"/>
    <w:rsid w:val="00ED02FD"/>
    <w:rsid w:val="00ED100C"/>
    <w:rsid w:val="00ED1060"/>
    <w:rsid w:val="00ED1D40"/>
    <w:rsid w:val="00ED4F67"/>
    <w:rsid w:val="00ED684A"/>
    <w:rsid w:val="00EE1103"/>
    <w:rsid w:val="00EE5785"/>
    <w:rsid w:val="00EE7EAE"/>
    <w:rsid w:val="00EF0A86"/>
    <w:rsid w:val="00EF2BE6"/>
    <w:rsid w:val="00EF384D"/>
    <w:rsid w:val="00EF3C3B"/>
    <w:rsid w:val="00EF3EAD"/>
    <w:rsid w:val="00F008FD"/>
    <w:rsid w:val="00F066D7"/>
    <w:rsid w:val="00F075A8"/>
    <w:rsid w:val="00F1018D"/>
    <w:rsid w:val="00F1250E"/>
    <w:rsid w:val="00F14666"/>
    <w:rsid w:val="00F14EB5"/>
    <w:rsid w:val="00F1667C"/>
    <w:rsid w:val="00F200D1"/>
    <w:rsid w:val="00F233AA"/>
    <w:rsid w:val="00F23969"/>
    <w:rsid w:val="00F25CB0"/>
    <w:rsid w:val="00F33B85"/>
    <w:rsid w:val="00F33DBF"/>
    <w:rsid w:val="00F35C06"/>
    <w:rsid w:val="00F43086"/>
    <w:rsid w:val="00F435D2"/>
    <w:rsid w:val="00F43D22"/>
    <w:rsid w:val="00F43E01"/>
    <w:rsid w:val="00F451AD"/>
    <w:rsid w:val="00F51A91"/>
    <w:rsid w:val="00F521AC"/>
    <w:rsid w:val="00F527D3"/>
    <w:rsid w:val="00F53D49"/>
    <w:rsid w:val="00F57C9F"/>
    <w:rsid w:val="00F61A41"/>
    <w:rsid w:val="00F64F5C"/>
    <w:rsid w:val="00F66BED"/>
    <w:rsid w:val="00F67C40"/>
    <w:rsid w:val="00F67FFC"/>
    <w:rsid w:val="00F744BE"/>
    <w:rsid w:val="00F75CA3"/>
    <w:rsid w:val="00F7770F"/>
    <w:rsid w:val="00F8254D"/>
    <w:rsid w:val="00F833C7"/>
    <w:rsid w:val="00F84B6C"/>
    <w:rsid w:val="00F85543"/>
    <w:rsid w:val="00F86739"/>
    <w:rsid w:val="00F907A5"/>
    <w:rsid w:val="00F9185E"/>
    <w:rsid w:val="00F93B39"/>
    <w:rsid w:val="00F95837"/>
    <w:rsid w:val="00F97FF5"/>
    <w:rsid w:val="00FA51B6"/>
    <w:rsid w:val="00FA5558"/>
    <w:rsid w:val="00FA62CA"/>
    <w:rsid w:val="00FB0838"/>
    <w:rsid w:val="00FB36B6"/>
    <w:rsid w:val="00FB48B6"/>
    <w:rsid w:val="00FB4F6F"/>
    <w:rsid w:val="00FB69DD"/>
    <w:rsid w:val="00FB74DC"/>
    <w:rsid w:val="00FC29B2"/>
    <w:rsid w:val="00FC2CD2"/>
    <w:rsid w:val="00FC2E21"/>
    <w:rsid w:val="00FC461F"/>
    <w:rsid w:val="00FC5E20"/>
    <w:rsid w:val="00FC6B72"/>
    <w:rsid w:val="00FC70A1"/>
    <w:rsid w:val="00FD0368"/>
    <w:rsid w:val="00FD0A7A"/>
    <w:rsid w:val="00FD0AD0"/>
    <w:rsid w:val="00FD0D9D"/>
    <w:rsid w:val="00FD11B0"/>
    <w:rsid w:val="00FD2159"/>
    <w:rsid w:val="00FD3E7A"/>
    <w:rsid w:val="00FD7A49"/>
    <w:rsid w:val="00FD7F01"/>
    <w:rsid w:val="00FE1A19"/>
    <w:rsid w:val="00FE3A30"/>
    <w:rsid w:val="00FE3BEE"/>
    <w:rsid w:val="00FE645E"/>
    <w:rsid w:val="00FF0238"/>
    <w:rsid w:val="00FF0452"/>
    <w:rsid w:val="00FF2DC2"/>
    <w:rsid w:val="00FF3589"/>
    <w:rsid w:val="01530391"/>
    <w:rsid w:val="016A0791"/>
    <w:rsid w:val="016B281D"/>
    <w:rsid w:val="016C1D1F"/>
    <w:rsid w:val="017922D3"/>
    <w:rsid w:val="01F10C3B"/>
    <w:rsid w:val="022B1BDC"/>
    <w:rsid w:val="0263107B"/>
    <w:rsid w:val="038650FE"/>
    <w:rsid w:val="046D644F"/>
    <w:rsid w:val="05111811"/>
    <w:rsid w:val="052E61C8"/>
    <w:rsid w:val="05C34514"/>
    <w:rsid w:val="0611352E"/>
    <w:rsid w:val="065F3760"/>
    <w:rsid w:val="06F21464"/>
    <w:rsid w:val="07351BC0"/>
    <w:rsid w:val="078867E3"/>
    <w:rsid w:val="08277D2A"/>
    <w:rsid w:val="0883100C"/>
    <w:rsid w:val="091F06CC"/>
    <w:rsid w:val="094967DB"/>
    <w:rsid w:val="0AB53C5C"/>
    <w:rsid w:val="0AE13584"/>
    <w:rsid w:val="0B874E51"/>
    <w:rsid w:val="0B9A7140"/>
    <w:rsid w:val="0C2E0580"/>
    <w:rsid w:val="0C384B50"/>
    <w:rsid w:val="0C746AFD"/>
    <w:rsid w:val="0C8900E9"/>
    <w:rsid w:val="0D152263"/>
    <w:rsid w:val="0D154B39"/>
    <w:rsid w:val="0D435A86"/>
    <w:rsid w:val="0D7D4855"/>
    <w:rsid w:val="0DB373B0"/>
    <w:rsid w:val="0EF0292E"/>
    <w:rsid w:val="0F4E6CF0"/>
    <w:rsid w:val="0F6F72B2"/>
    <w:rsid w:val="0FD152C5"/>
    <w:rsid w:val="10582016"/>
    <w:rsid w:val="10FE2C1F"/>
    <w:rsid w:val="124F2E58"/>
    <w:rsid w:val="13E14F6C"/>
    <w:rsid w:val="141A35BB"/>
    <w:rsid w:val="143433BC"/>
    <w:rsid w:val="158113EE"/>
    <w:rsid w:val="15F0229C"/>
    <w:rsid w:val="16362668"/>
    <w:rsid w:val="16441AC5"/>
    <w:rsid w:val="168925A2"/>
    <w:rsid w:val="16AE2B9E"/>
    <w:rsid w:val="18172D39"/>
    <w:rsid w:val="192B02E8"/>
    <w:rsid w:val="19685BE0"/>
    <w:rsid w:val="19EE3E86"/>
    <w:rsid w:val="1A00300F"/>
    <w:rsid w:val="1A5A27AD"/>
    <w:rsid w:val="1B0F26D0"/>
    <w:rsid w:val="1C9D2DB3"/>
    <w:rsid w:val="1CA26936"/>
    <w:rsid w:val="1CDF1844"/>
    <w:rsid w:val="1D0E23A0"/>
    <w:rsid w:val="1D2C5876"/>
    <w:rsid w:val="1EE764E6"/>
    <w:rsid w:val="1F2B21F1"/>
    <w:rsid w:val="1F2D6A9C"/>
    <w:rsid w:val="1FBA648C"/>
    <w:rsid w:val="1FD07C46"/>
    <w:rsid w:val="20DA376A"/>
    <w:rsid w:val="214C531C"/>
    <w:rsid w:val="21652F14"/>
    <w:rsid w:val="21D34434"/>
    <w:rsid w:val="2206387A"/>
    <w:rsid w:val="22D37791"/>
    <w:rsid w:val="22E46F2F"/>
    <w:rsid w:val="23396436"/>
    <w:rsid w:val="23571876"/>
    <w:rsid w:val="236C373B"/>
    <w:rsid w:val="23A816ED"/>
    <w:rsid w:val="23BE1434"/>
    <w:rsid w:val="23F72B70"/>
    <w:rsid w:val="241B7C2B"/>
    <w:rsid w:val="24264B11"/>
    <w:rsid w:val="25564CC3"/>
    <w:rsid w:val="25636B6B"/>
    <w:rsid w:val="25C37987"/>
    <w:rsid w:val="26130BD9"/>
    <w:rsid w:val="26384A4C"/>
    <w:rsid w:val="26943055"/>
    <w:rsid w:val="27985978"/>
    <w:rsid w:val="27FE053A"/>
    <w:rsid w:val="285F49DA"/>
    <w:rsid w:val="28696E52"/>
    <w:rsid w:val="290B1D60"/>
    <w:rsid w:val="29697C95"/>
    <w:rsid w:val="29B7277D"/>
    <w:rsid w:val="2A6C6E62"/>
    <w:rsid w:val="2B1827EA"/>
    <w:rsid w:val="2B392BD9"/>
    <w:rsid w:val="2B4474F0"/>
    <w:rsid w:val="2B6925D3"/>
    <w:rsid w:val="2BA8111D"/>
    <w:rsid w:val="2BC611FE"/>
    <w:rsid w:val="2C155F99"/>
    <w:rsid w:val="2C646A3F"/>
    <w:rsid w:val="2C9B3BCE"/>
    <w:rsid w:val="2CE369E9"/>
    <w:rsid w:val="2CEC34A4"/>
    <w:rsid w:val="2D4D195C"/>
    <w:rsid w:val="2D7C6315"/>
    <w:rsid w:val="2F2A64E1"/>
    <w:rsid w:val="2F51371A"/>
    <w:rsid w:val="2F7979DF"/>
    <w:rsid w:val="306025A3"/>
    <w:rsid w:val="30782B12"/>
    <w:rsid w:val="30AB66A8"/>
    <w:rsid w:val="30F77A47"/>
    <w:rsid w:val="31724B48"/>
    <w:rsid w:val="31B0147C"/>
    <w:rsid w:val="31BF461E"/>
    <w:rsid w:val="320C2BF7"/>
    <w:rsid w:val="32E528BA"/>
    <w:rsid w:val="339B4D1D"/>
    <w:rsid w:val="34CA5FEB"/>
    <w:rsid w:val="35174A56"/>
    <w:rsid w:val="351870D9"/>
    <w:rsid w:val="35312AE1"/>
    <w:rsid w:val="36E41B01"/>
    <w:rsid w:val="370234E8"/>
    <w:rsid w:val="37217689"/>
    <w:rsid w:val="3761178E"/>
    <w:rsid w:val="38B7641D"/>
    <w:rsid w:val="38C153AA"/>
    <w:rsid w:val="39000068"/>
    <w:rsid w:val="39402C6A"/>
    <w:rsid w:val="3A515CCE"/>
    <w:rsid w:val="3AC12620"/>
    <w:rsid w:val="3B3D58F6"/>
    <w:rsid w:val="3B643CED"/>
    <w:rsid w:val="3BE72EB7"/>
    <w:rsid w:val="3CB42E76"/>
    <w:rsid w:val="3D3A78B4"/>
    <w:rsid w:val="3D8A2798"/>
    <w:rsid w:val="3D8B2039"/>
    <w:rsid w:val="3DB54DD9"/>
    <w:rsid w:val="3E8B0789"/>
    <w:rsid w:val="3F0E559C"/>
    <w:rsid w:val="3FA7090B"/>
    <w:rsid w:val="400C274D"/>
    <w:rsid w:val="409657CA"/>
    <w:rsid w:val="409C2A4E"/>
    <w:rsid w:val="40EE6BE5"/>
    <w:rsid w:val="41C844A1"/>
    <w:rsid w:val="41EA3C48"/>
    <w:rsid w:val="4211708D"/>
    <w:rsid w:val="43A54E67"/>
    <w:rsid w:val="44956EDF"/>
    <w:rsid w:val="46116C7C"/>
    <w:rsid w:val="46344980"/>
    <w:rsid w:val="4634511C"/>
    <w:rsid w:val="46415EDC"/>
    <w:rsid w:val="46AB33E6"/>
    <w:rsid w:val="470E6D2F"/>
    <w:rsid w:val="471449F7"/>
    <w:rsid w:val="480C1B69"/>
    <w:rsid w:val="48164C67"/>
    <w:rsid w:val="48456235"/>
    <w:rsid w:val="48944A68"/>
    <w:rsid w:val="49594D65"/>
    <w:rsid w:val="4A534D14"/>
    <w:rsid w:val="4A7D4EAD"/>
    <w:rsid w:val="4A921181"/>
    <w:rsid w:val="4AB81165"/>
    <w:rsid w:val="4BB711DB"/>
    <w:rsid w:val="4BED72DF"/>
    <w:rsid w:val="4C3C1941"/>
    <w:rsid w:val="4C486859"/>
    <w:rsid w:val="4C4A587B"/>
    <w:rsid w:val="4C81736F"/>
    <w:rsid w:val="4DD54B3C"/>
    <w:rsid w:val="4DF818DB"/>
    <w:rsid w:val="4F1F6A93"/>
    <w:rsid w:val="4F9710BE"/>
    <w:rsid w:val="503903EC"/>
    <w:rsid w:val="506771C5"/>
    <w:rsid w:val="50D90018"/>
    <w:rsid w:val="51486421"/>
    <w:rsid w:val="515E0CC2"/>
    <w:rsid w:val="518F43FA"/>
    <w:rsid w:val="521164FF"/>
    <w:rsid w:val="522279DC"/>
    <w:rsid w:val="52DB4573"/>
    <w:rsid w:val="532055E7"/>
    <w:rsid w:val="532062C3"/>
    <w:rsid w:val="53E716DD"/>
    <w:rsid w:val="53EB5CA2"/>
    <w:rsid w:val="547140A0"/>
    <w:rsid w:val="54CF3AD1"/>
    <w:rsid w:val="54D04CDA"/>
    <w:rsid w:val="55D531A1"/>
    <w:rsid w:val="56287305"/>
    <w:rsid w:val="56344925"/>
    <w:rsid w:val="56E167E1"/>
    <w:rsid w:val="57814FA2"/>
    <w:rsid w:val="57892C7F"/>
    <w:rsid w:val="57B852D2"/>
    <w:rsid w:val="58A01EF7"/>
    <w:rsid w:val="595326AE"/>
    <w:rsid w:val="595B5672"/>
    <w:rsid w:val="5A067F0D"/>
    <w:rsid w:val="5A94304A"/>
    <w:rsid w:val="5A9C6CED"/>
    <w:rsid w:val="5ACD2F89"/>
    <w:rsid w:val="5AF92F8F"/>
    <w:rsid w:val="5C38288B"/>
    <w:rsid w:val="5C4B6554"/>
    <w:rsid w:val="5CA85943"/>
    <w:rsid w:val="5D240BC6"/>
    <w:rsid w:val="5DBA5568"/>
    <w:rsid w:val="5DBB5E60"/>
    <w:rsid w:val="5DCE1D4E"/>
    <w:rsid w:val="5E363C38"/>
    <w:rsid w:val="5E626183"/>
    <w:rsid w:val="60057C1C"/>
    <w:rsid w:val="600F0E5B"/>
    <w:rsid w:val="60FB46D7"/>
    <w:rsid w:val="61645D15"/>
    <w:rsid w:val="62955D61"/>
    <w:rsid w:val="62D81687"/>
    <w:rsid w:val="6305658B"/>
    <w:rsid w:val="63914A7B"/>
    <w:rsid w:val="63A03689"/>
    <w:rsid w:val="63D83F1F"/>
    <w:rsid w:val="63EA056D"/>
    <w:rsid w:val="63FD43C0"/>
    <w:rsid w:val="64300170"/>
    <w:rsid w:val="64824ED9"/>
    <w:rsid w:val="64FF5233"/>
    <w:rsid w:val="65436320"/>
    <w:rsid w:val="65592770"/>
    <w:rsid w:val="655C4431"/>
    <w:rsid w:val="65AC1D23"/>
    <w:rsid w:val="66381321"/>
    <w:rsid w:val="664E14A8"/>
    <w:rsid w:val="66676B28"/>
    <w:rsid w:val="671B708A"/>
    <w:rsid w:val="677A15F0"/>
    <w:rsid w:val="68A647C0"/>
    <w:rsid w:val="68CA198D"/>
    <w:rsid w:val="68EF0851"/>
    <w:rsid w:val="692A41B3"/>
    <w:rsid w:val="69846656"/>
    <w:rsid w:val="6A6C6E11"/>
    <w:rsid w:val="6AD7234F"/>
    <w:rsid w:val="6AED484C"/>
    <w:rsid w:val="6B4D4BDE"/>
    <w:rsid w:val="6B560221"/>
    <w:rsid w:val="6B72112F"/>
    <w:rsid w:val="6B764870"/>
    <w:rsid w:val="6B9F1DED"/>
    <w:rsid w:val="6BE50F57"/>
    <w:rsid w:val="6BEB30C2"/>
    <w:rsid w:val="6BF71767"/>
    <w:rsid w:val="6E571992"/>
    <w:rsid w:val="6E953A27"/>
    <w:rsid w:val="6E9D4AF0"/>
    <w:rsid w:val="6EF65791"/>
    <w:rsid w:val="6F3518C8"/>
    <w:rsid w:val="6FA341CE"/>
    <w:rsid w:val="6FBB1C1E"/>
    <w:rsid w:val="6FC20B6A"/>
    <w:rsid w:val="706B6C80"/>
    <w:rsid w:val="7085237B"/>
    <w:rsid w:val="70A23FC8"/>
    <w:rsid w:val="70D271DB"/>
    <w:rsid w:val="71C25240"/>
    <w:rsid w:val="727B03B2"/>
    <w:rsid w:val="72AD436F"/>
    <w:rsid w:val="73430AE6"/>
    <w:rsid w:val="74B43990"/>
    <w:rsid w:val="757670B2"/>
    <w:rsid w:val="75D4302F"/>
    <w:rsid w:val="75DF3A0D"/>
    <w:rsid w:val="760B02B2"/>
    <w:rsid w:val="773879DF"/>
    <w:rsid w:val="77A67695"/>
    <w:rsid w:val="77EB3AC8"/>
    <w:rsid w:val="785E0ACB"/>
    <w:rsid w:val="78A021DD"/>
    <w:rsid w:val="78B237CB"/>
    <w:rsid w:val="78B647E8"/>
    <w:rsid w:val="78BF76F8"/>
    <w:rsid w:val="78C8071B"/>
    <w:rsid w:val="79227145"/>
    <w:rsid w:val="798A1EDC"/>
    <w:rsid w:val="799469FD"/>
    <w:rsid w:val="7A672B47"/>
    <w:rsid w:val="7AEA2AFF"/>
    <w:rsid w:val="7C072769"/>
    <w:rsid w:val="7C233FC2"/>
    <w:rsid w:val="7C7E5277"/>
    <w:rsid w:val="7CC3305A"/>
    <w:rsid w:val="7D363166"/>
    <w:rsid w:val="7D3711DF"/>
    <w:rsid w:val="7DF574E2"/>
    <w:rsid w:val="7ED77283"/>
    <w:rsid w:val="7EE55FE7"/>
    <w:rsid w:val="7EF526E2"/>
    <w:rsid w:val="7F255047"/>
    <w:rsid w:val="7F370460"/>
    <w:rsid w:val="7FBC6D24"/>
    <w:rsid w:val="7FD35E95"/>
    <w:rsid w:val="7FE6164E"/>
    <w:rsid w:val="7FF57654"/>
    <w:rsid w:val="7FF77363"/>
    <w:rsid w:val="EE3E3717"/>
    <w:rsid w:val="FB7BC8D6"/>
    <w:rsid w:val="FFACD5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qFormat="1" w:unhideWhenUsed="0" w:uiPriority="0" w:semiHidden="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24"/>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37"/>
    <w:qFormat/>
    <w:uiPriority w:val="0"/>
    <w:rPr>
      <w:rFonts w:ascii="宋体"/>
      <w:sz w:val="18"/>
      <w:szCs w:val="18"/>
    </w:rPr>
  </w:style>
  <w:style w:type="paragraph" w:styleId="10">
    <w:name w:val="annotation text"/>
    <w:basedOn w:val="1"/>
    <w:link w:val="38"/>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link w:val="58"/>
    <w:semiHidden/>
    <w:unhideWhenUsed/>
    <w:qFormat/>
    <w:uiPriority w:val="0"/>
    <w:pPr>
      <w:spacing w:after="120"/>
    </w:pPr>
  </w:style>
  <w:style w:type="paragraph" w:styleId="13">
    <w:name w:val="Body Text Indent"/>
    <w:basedOn w:val="1"/>
    <w:qFormat/>
    <w:uiPriority w:val="0"/>
    <w:pPr>
      <w:ind w:firstLine="830" w:firstLineChars="352"/>
    </w:pPr>
    <w:rPr>
      <w:rFonts w:ascii="仿宋_GB2312" w:eastAsia="仿宋_GB2312"/>
      <w:sz w:val="32"/>
      <w:szCs w:val="20"/>
    </w:rPr>
  </w:style>
  <w:style w:type="paragraph" w:styleId="14">
    <w:name w:val="Plain Text"/>
    <w:basedOn w:val="1"/>
    <w:link w:val="56"/>
    <w:qFormat/>
    <w:uiPriority w:val="0"/>
    <w:rPr>
      <w:rFonts w:ascii="宋体" w:hAnsi="Courier New" w:cs="Courier New"/>
      <w:szCs w:val="21"/>
    </w:rPr>
  </w:style>
  <w:style w:type="paragraph" w:styleId="15">
    <w:name w:val="Body Text Indent 2"/>
    <w:basedOn w:val="1"/>
    <w:qFormat/>
    <w:uiPriority w:val="0"/>
    <w:pPr>
      <w:adjustRightInd w:val="0"/>
      <w:spacing w:after="120" w:line="480" w:lineRule="auto"/>
      <w:ind w:left="420"/>
      <w:textAlignment w:val="baseline"/>
    </w:pPr>
    <w:rPr>
      <w:kern w:val="0"/>
      <w:szCs w:val="20"/>
    </w:rPr>
  </w:style>
  <w:style w:type="paragraph" w:styleId="16">
    <w:name w:val="Balloon Text"/>
    <w:basedOn w:val="1"/>
    <w:link w:val="34"/>
    <w:qFormat/>
    <w:uiPriority w:val="0"/>
    <w:rPr>
      <w:sz w:val="18"/>
      <w:szCs w:val="18"/>
    </w:rPr>
  </w:style>
  <w:style w:type="paragraph" w:styleId="17">
    <w:name w:val="footer"/>
    <w:basedOn w:val="1"/>
    <w:link w:val="63"/>
    <w:qFormat/>
    <w:uiPriority w:val="99"/>
    <w:pPr>
      <w:tabs>
        <w:tab w:val="center" w:pos="4153"/>
        <w:tab w:val="right" w:pos="8306"/>
      </w:tabs>
      <w:snapToGrid w:val="0"/>
      <w:jc w:val="left"/>
    </w:pPr>
    <w:rPr>
      <w:sz w:val="18"/>
    </w:rPr>
  </w:style>
  <w:style w:type="paragraph" w:styleId="18">
    <w:name w:val="header"/>
    <w:basedOn w:val="1"/>
    <w:link w:val="5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0"/>
  </w:style>
  <w:style w:type="paragraph" w:styleId="20">
    <w:name w:val="Body Text Indent 3"/>
    <w:basedOn w:val="1"/>
    <w:qFormat/>
    <w:uiPriority w:val="0"/>
    <w:pPr>
      <w:adjustRightInd w:val="0"/>
      <w:spacing w:after="120" w:line="312" w:lineRule="atLeast"/>
      <w:ind w:left="420"/>
      <w:textAlignment w:val="baseline"/>
    </w:pPr>
    <w:rPr>
      <w:kern w:val="0"/>
      <w:sz w:val="16"/>
      <w:szCs w:val="16"/>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index 1"/>
    <w:basedOn w:val="1"/>
    <w:next w:val="1"/>
    <w:qFormat/>
    <w:uiPriority w:val="0"/>
    <w:pPr>
      <w:tabs>
        <w:tab w:val="left" w:pos="7740"/>
      </w:tabs>
      <w:jc w:val="center"/>
    </w:pPr>
    <w:rPr>
      <w:rFonts w:ascii="仿宋" w:hAnsi="仿宋" w:eastAsia="仿宋"/>
      <w:b/>
      <w:sz w:val="28"/>
      <w:szCs w:val="28"/>
    </w:rPr>
  </w:style>
  <w:style w:type="paragraph" w:styleId="23">
    <w:name w:val="Title"/>
    <w:basedOn w:val="1"/>
    <w:next w:val="1"/>
    <w:link w:val="36"/>
    <w:qFormat/>
    <w:uiPriority w:val="0"/>
    <w:pPr>
      <w:spacing w:before="240" w:after="60"/>
      <w:jc w:val="center"/>
      <w:outlineLvl w:val="0"/>
    </w:pPr>
    <w:rPr>
      <w:rFonts w:ascii="Cambria" w:hAnsi="Cambria"/>
      <w:b/>
      <w:bCs/>
      <w:sz w:val="32"/>
      <w:szCs w:val="32"/>
    </w:rPr>
  </w:style>
  <w:style w:type="paragraph" w:styleId="24">
    <w:name w:val="annotation subject"/>
    <w:basedOn w:val="10"/>
    <w:next w:val="10"/>
    <w:link w:val="39"/>
    <w:qFormat/>
    <w:uiPriority w:val="0"/>
    <w:rPr>
      <w:b/>
      <w:bCs/>
    </w:rPr>
  </w:style>
  <w:style w:type="paragraph" w:styleId="25">
    <w:name w:val="Body Text First Indent"/>
    <w:basedOn w:val="12"/>
    <w:link w:val="59"/>
    <w:qFormat/>
    <w:uiPriority w:val="0"/>
    <w:pPr>
      <w:ind w:firstLine="420" w:firstLineChars="100"/>
    </w:pPr>
  </w:style>
  <w:style w:type="paragraph" w:styleId="26">
    <w:name w:val="Body Text First Indent 2"/>
    <w:basedOn w:val="13"/>
    <w:qFormat/>
    <w:uiPriority w:val="0"/>
    <w:pPr>
      <w:spacing w:line="360" w:lineRule="auto"/>
      <w:ind w:firstLine="471" w:firstLineChars="200"/>
    </w:pPr>
    <w:rPr>
      <w:rFonts w:hint="eastAsia"/>
    </w:rPr>
  </w:style>
  <w:style w:type="table" w:styleId="28">
    <w:name w:val="Table Grid"/>
    <w:basedOn w:val="27"/>
    <w:qFormat/>
    <w:uiPriority w:val="0"/>
    <w:rPr>
      <w:rFonts w:eastAsia="PMingLiU"/>
      <w:lang w:eastAsia="zh-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rFonts w:eastAsia="宋体"/>
      <w:b/>
      <w:bCs/>
      <w:kern w:val="2"/>
      <w:sz w:val="24"/>
      <w:szCs w:val="24"/>
      <w:lang w:val="en-US" w:eastAsia="zh-CN" w:bidi="ar-SA"/>
    </w:rPr>
  </w:style>
  <w:style w:type="character" w:styleId="31">
    <w:name w:val="page number"/>
    <w:basedOn w:val="29"/>
    <w:qFormat/>
    <w:uiPriority w:val="0"/>
  </w:style>
  <w:style w:type="character" w:styleId="32">
    <w:name w:val="annotation reference"/>
    <w:basedOn w:val="29"/>
    <w:qFormat/>
    <w:uiPriority w:val="0"/>
    <w:rPr>
      <w:rFonts w:eastAsia="宋体"/>
      <w:kern w:val="2"/>
      <w:sz w:val="21"/>
      <w:szCs w:val="21"/>
      <w:lang w:val="en-US" w:eastAsia="zh-CN" w:bidi="ar-SA"/>
    </w:rPr>
  </w:style>
  <w:style w:type="paragraph" w:customStyle="1" w:styleId="33">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4">
    <w:name w:val="批注框文本 Char"/>
    <w:link w:val="16"/>
    <w:qFormat/>
    <w:uiPriority w:val="0"/>
    <w:rPr>
      <w:kern w:val="2"/>
      <w:sz w:val="18"/>
      <w:szCs w:val="18"/>
    </w:rPr>
  </w:style>
  <w:style w:type="character" w:customStyle="1" w:styleId="35">
    <w:name w:val="标题 1 Char"/>
    <w:link w:val="3"/>
    <w:qFormat/>
    <w:uiPriority w:val="9"/>
    <w:rPr>
      <w:rFonts w:ascii="Calibri" w:hAnsi="Calibri" w:eastAsia="宋体" w:cs="Times New Roman"/>
      <w:b/>
      <w:bCs/>
      <w:kern w:val="44"/>
      <w:sz w:val="44"/>
      <w:szCs w:val="44"/>
    </w:rPr>
  </w:style>
  <w:style w:type="character" w:customStyle="1" w:styleId="36">
    <w:name w:val="标题 Char"/>
    <w:link w:val="23"/>
    <w:qFormat/>
    <w:uiPriority w:val="0"/>
    <w:rPr>
      <w:rFonts w:ascii="Cambria" w:hAnsi="Cambria" w:cs="Times New Roman"/>
      <w:b/>
      <w:bCs/>
      <w:kern w:val="2"/>
      <w:sz w:val="32"/>
      <w:szCs w:val="32"/>
    </w:rPr>
  </w:style>
  <w:style w:type="character" w:customStyle="1" w:styleId="37">
    <w:name w:val="文档结构图 Char"/>
    <w:link w:val="9"/>
    <w:qFormat/>
    <w:uiPriority w:val="0"/>
    <w:rPr>
      <w:rFonts w:ascii="宋体"/>
      <w:kern w:val="2"/>
      <w:sz w:val="18"/>
      <w:szCs w:val="18"/>
    </w:rPr>
  </w:style>
  <w:style w:type="character" w:customStyle="1" w:styleId="38">
    <w:name w:val="批注文字 Char"/>
    <w:link w:val="10"/>
    <w:qFormat/>
    <w:uiPriority w:val="0"/>
    <w:rPr>
      <w:kern w:val="2"/>
      <w:sz w:val="21"/>
      <w:szCs w:val="24"/>
    </w:rPr>
  </w:style>
  <w:style w:type="character" w:customStyle="1" w:styleId="39">
    <w:name w:val="批注主题 Char"/>
    <w:link w:val="24"/>
    <w:qFormat/>
    <w:uiPriority w:val="0"/>
    <w:rPr>
      <w:b/>
      <w:bCs/>
      <w:kern w:val="2"/>
      <w:sz w:val="21"/>
      <w:szCs w:val="24"/>
    </w:rPr>
  </w:style>
  <w:style w:type="paragraph" w:customStyle="1" w:styleId="40">
    <w:name w:val="_Style 2"/>
    <w:basedOn w:val="1"/>
    <w:qFormat/>
    <w:uiPriority w:val="34"/>
    <w:pPr>
      <w:ind w:firstLine="420" w:firstLineChars="200"/>
    </w:pPr>
    <w:rPr>
      <w:rFonts w:ascii="Calibri" w:hAnsi="Calibri"/>
      <w:szCs w:val="22"/>
    </w:rPr>
  </w:style>
  <w:style w:type="paragraph" w:customStyle="1" w:styleId="41">
    <w:name w:val="Char Char2 Char"/>
    <w:basedOn w:val="1"/>
    <w:qFormat/>
    <w:uiPriority w:val="0"/>
  </w:style>
  <w:style w:type="paragraph" w:customStyle="1" w:styleId="42">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43">
    <w:name w:val="z-窗体顶端1"/>
    <w:basedOn w:val="1"/>
    <w:qFormat/>
    <w:uiPriority w:val="34"/>
    <w:pPr>
      <w:ind w:firstLine="420" w:firstLineChars="200"/>
    </w:pPr>
    <w:rPr>
      <w:rFonts w:ascii="Calibri" w:hAnsi="Calibri"/>
      <w:szCs w:val="22"/>
    </w:rPr>
  </w:style>
  <w:style w:type="paragraph" w:customStyle="1" w:styleId="44">
    <w:name w:val="题注4"/>
    <w:basedOn w:val="1"/>
    <w:next w:val="8"/>
    <w:qFormat/>
    <w:uiPriority w:val="0"/>
    <w:pPr>
      <w:ind w:left="-132" w:leftChars="-64" w:right="-105" w:rightChars="-50" w:hanging="2"/>
      <w:jc w:val="center"/>
    </w:pPr>
    <w:rPr>
      <w:b/>
      <w:color w:val="FF0000"/>
      <w:szCs w:val="21"/>
      <w:lang w:val="en-GB"/>
    </w:rPr>
  </w:style>
  <w:style w:type="paragraph" w:customStyle="1" w:styleId="45">
    <w:name w:val="List Paragraph1"/>
    <w:basedOn w:val="1"/>
    <w:qFormat/>
    <w:uiPriority w:val="34"/>
    <w:pPr>
      <w:widowControl/>
      <w:spacing w:after="160" w:line="259" w:lineRule="auto"/>
      <w:ind w:left="720"/>
      <w:contextualSpacing/>
      <w:jc w:val="left"/>
    </w:pPr>
    <w:rPr>
      <w:rFonts w:ascii="Calibri" w:hAnsi="Calibri"/>
      <w:kern w:val="0"/>
      <w:sz w:val="22"/>
      <w:szCs w:val="22"/>
    </w:rPr>
  </w:style>
  <w:style w:type="paragraph" w:styleId="46">
    <w:name w:val="List Paragraph"/>
    <w:basedOn w:val="1"/>
    <w:qFormat/>
    <w:uiPriority w:val="99"/>
    <w:pPr>
      <w:ind w:firstLine="420" w:firstLineChars="200"/>
    </w:pPr>
    <w:rPr>
      <w:rFonts w:ascii="Calibri" w:hAnsi="Calibri"/>
      <w:szCs w:val="22"/>
    </w:rPr>
  </w:style>
  <w:style w:type="paragraph" w:customStyle="1" w:styleId="4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样式 宋体 行距: 1.5 倍行距"/>
    <w:basedOn w:val="1"/>
    <w:qFormat/>
    <w:uiPriority w:val="0"/>
    <w:pPr>
      <w:spacing w:line="360" w:lineRule="auto"/>
      <w:ind w:firstLine="200" w:firstLineChars="200"/>
    </w:pPr>
    <w:rPr>
      <w:rFonts w:ascii="宋体" w:hAnsi="宋体" w:cs="宋体"/>
      <w:sz w:val="24"/>
      <w:szCs w:val="20"/>
    </w:rPr>
  </w:style>
  <w:style w:type="paragraph" w:customStyle="1" w:styleId="5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2">
    <w:name w:val="Char"/>
    <w:basedOn w:val="1"/>
    <w:qFormat/>
    <w:uiPriority w:val="0"/>
    <w:pPr>
      <w:spacing w:line="480" w:lineRule="exact"/>
    </w:pPr>
    <w:rPr>
      <w:sz w:val="24"/>
    </w:rPr>
  </w:style>
  <w:style w:type="paragraph" w:customStyle="1" w:styleId="53">
    <w:name w:val="表格文字"/>
    <w:basedOn w:val="1"/>
    <w:qFormat/>
    <w:uiPriority w:val="0"/>
    <w:pPr>
      <w:spacing w:before="25" w:after="25"/>
      <w:jc w:val="left"/>
    </w:pPr>
    <w:rPr>
      <w:bCs/>
      <w:spacing w:val="10"/>
      <w:kern w:val="0"/>
      <w:sz w:val="24"/>
      <w:szCs w:val="20"/>
    </w:rPr>
  </w:style>
  <w:style w:type="paragraph" w:customStyle="1" w:styleId="54">
    <w:name w:val="_Style 1"/>
    <w:basedOn w:val="1"/>
    <w:qFormat/>
    <w:uiPriority w:val="34"/>
    <w:pPr>
      <w:ind w:firstLine="420" w:firstLineChars="200"/>
    </w:pPr>
    <w:rPr>
      <w:rFonts w:ascii="Calibri" w:hAnsi="Calibri"/>
      <w:szCs w:val="22"/>
    </w:rPr>
  </w:style>
  <w:style w:type="paragraph" w:customStyle="1" w:styleId="5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56">
    <w:name w:val="纯文本 Char"/>
    <w:link w:val="14"/>
    <w:qFormat/>
    <w:uiPriority w:val="0"/>
    <w:rPr>
      <w:rFonts w:ascii="宋体" w:hAnsi="Courier New" w:cs="Courier New"/>
      <w:kern w:val="2"/>
      <w:sz w:val="21"/>
      <w:szCs w:val="21"/>
    </w:rPr>
  </w:style>
  <w:style w:type="character" w:customStyle="1" w:styleId="57">
    <w:name w:val="页眉 Char"/>
    <w:link w:val="18"/>
    <w:qFormat/>
    <w:uiPriority w:val="99"/>
    <w:rPr>
      <w:kern w:val="2"/>
      <w:sz w:val="18"/>
      <w:szCs w:val="24"/>
    </w:rPr>
  </w:style>
  <w:style w:type="character" w:customStyle="1" w:styleId="58">
    <w:name w:val="正文文本 Char"/>
    <w:basedOn w:val="29"/>
    <w:link w:val="12"/>
    <w:semiHidden/>
    <w:qFormat/>
    <w:uiPriority w:val="0"/>
    <w:rPr>
      <w:kern w:val="2"/>
      <w:sz w:val="21"/>
      <w:szCs w:val="24"/>
    </w:rPr>
  </w:style>
  <w:style w:type="character" w:customStyle="1" w:styleId="59">
    <w:name w:val="正文首行缩进 Char"/>
    <w:basedOn w:val="58"/>
    <w:link w:val="25"/>
    <w:qFormat/>
    <w:uiPriority w:val="0"/>
    <w:rPr>
      <w:kern w:val="2"/>
      <w:sz w:val="21"/>
      <w:szCs w:val="24"/>
    </w:rPr>
  </w:style>
  <w:style w:type="paragraph" w:styleId="6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z-窗体顶端2"/>
    <w:basedOn w:val="1"/>
    <w:link w:val="62"/>
    <w:qFormat/>
    <w:uiPriority w:val="34"/>
    <w:pPr>
      <w:ind w:firstLine="420" w:firstLineChars="200"/>
    </w:pPr>
    <w:rPr>
      <w:rFonts w:ascii="Calibri" w:hAnsi="Calibri"/>
      <w:szCs w:val="22"/>
    </w:rPr>
  </w:style>
  <w:style w:type="character" w:customStyle="1" w:styleId="62">
    <w:name w:val="z-窗体顶端 字符"/>
    <w:basedOn w:val="29"/>
    <w:link w:val="61"/>
    <w:qFormat/>
    <w:uiPriority w:val="34"/>
    <w:rPr>
      <w:rFonts w:ascii="Calibri" w:hAnsi="Calibri"/>
      <w:kern w:val="2"/>
      <w:sz w:val="21"/>
      <w:szCs w:val="22"/>
    </w:rPr>
  </w:style>
  <w:style w:type="character" w:customStyle="1" w:styleId="63">
    <w:name w:val="页脚 Char"/>
    <w:basedOn w:val="29"/>
    <w:link w:val="17"/>
    <w:qFormat/>
    <w:uiPriority w:val="99"/>
    <w:rPr>
      <w:rFonts w:ascii="Times New Roman" w:hAnsi="Times New Roman"/>
      <w:kern w:val="2"/>
      <w:sz w:val="18"/>
      <w:szCs w:val="24"/>
    </w:rPr>
  </w:style>
  <w:style w:type="paragraph" w:customStyle="1" w:styleId="64">
    <w:name w:val="_Style 4"/>
    <w:basedOn w:val="3"/>
    <w:next w:val="1"/>
    <w:qFormat/>
    <w:uiPriority w:val="0"/>
    <w:pPr>
      <w:keepNext w:val="0"/>
      <w:keepLines w:val="0"/>
      <w:spacing w:before="0" w:after="0" w:line="576" w:lineRule="auto"/>
      <w:jc w:val="left"/>
      <w:outlineLvl w:val="9"/>
    </w:pPr>
    <w:rPr>
      <w:rFonts w:eastAsia="黑体"/>
      <w:bCs w:val="0"/>
      <w:kern w:val="0"/>
      <w:lang w:eastAsia="en-US"/>
    </w:rPr>
  </w:style>
  <w:style w:type="paragraph" w:customStyle="1" w:styleId="65">
    <w:name w:val="列出段落3"/>
    <w:basedOn w:val="1"/>
    <w:qFormat/>
    <w:uiPriority w:val="0"/>
    <w:pPr>
      <w:ind w:firstLine="420" w:firstLineChars="200"/>
    </w:pPr>
    <w:rPr>
      <w:rFonts w:ascii="Calibri" w:hAnsi="Calibri"/>
      <w:szCs w:val="22"/>
    </w:rPr>
  </w:style>
  <w:style w:type="paragraph" w:customStyle="1" w:styleId="66">
    <w:name w:val="章节一"/>
    <w:basedOn w:val="1"/>
    <w:next w:val="1"/>
    <w:qFormat/>
    <w:uiPriority w:val="0"/>
    <w:pPr>
      <w:topLinePunct/>
      <w:adjustRightInd w:val="0"/>
      <w:snapToGrid w:val="0"/>
      <w:spacing w:beforeLines="50" w:afterLines="50"/>
      <w:jc w:val="center"/>
      <w:outlineLvl w:val="0"/>
    </w:pPr>
    <w:rPr>
      <w:rFonts w:eastAsia="黑体"/>
      <w:b/>
      <w:spacing w:val="4"/>
      <w:kern w:val="0"/>
      <w:sz w:val="36"/>
      <w:szCs w:val="36"/>
    </w:rPr>
  </w:style>
  <w:style w:type="paragraph" w:customStyle="1" w:styleId="67">
    <w:name w:val="Header or footer|1"/>
    <w:basedOn w:val="1"/>
    <w:qFormat/>
    <w:uiPriority w:val="0"/>
    <w:rPr>
      <w:b/>
      <w:bCs/>
      <w:sz w:val="19"/>
      <w:szCs w:val="19"/>
      <w:lang w:val="zh-TW" w:eastAsia="zh-TW" w:bidi="zh-TW"/>
    </w:rPr>
  </w:style>
  <w:style w:type="paragraph" w:customStyle="1" w:styleId="68">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20876</Words>
  <Characters>3901</Characters>
  <Lines>32</Lines>
  <Paragraphs>49</Paragraphs>
  <TotalTime>1</TotalTime>
  <ScaleCrop>false</ScaleCrop>
  <LinksUpToDate>false</LinksUpToDate>
  <CharactersWithSpaces>24728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2020-11-11T13:20:00Z</dcterms:created>
  <dc:creator>李继能</dc:creator>
  <cp:lastModifiedBy>黄大大</cp:lastModifiedBy>
  <cp:lastPrinted>2020-11-19T15:18:00Z</cp:lastPrinted>
  <dcterms:modified xsi:type="dcterms:W3CDTF">2022-04-22T02:45:27Z</dcterms:modified>
  <dc:title>询价文件</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BD9A6FA8EB864DF7A641FE3DC39598A7</vt:lpwstr>
  </property>
</Properties>
</file>