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_GB2312" w:hAnsi="仿宋_GB2312" w:eastAsia="仿宋_GB2312" w:cs="仿宋_GB2312"/>
          <w:b/>
          <w:bCs/>
          <w:color w:val="000000" w:themeColor="text1"/>
          <w:sz w:val="72"/>
          <w14:textFill>
            <w14:solidFill>
              <w14:schemeClr w14:val="tx1"/>
            </w14:solidFill>
          </w14:textFill>
        </w:rPr>
      </w:pPr>
    </w:p>
    <w:p>
      <w:pPr>
        <w:tabs>
          <w:tab w:val="left" w:pos="420"/>
          <w:tab w:val="left" w:pos="6660"/>
        </w:tabs>
        <w:spacing w:line="1600" w:lineRule="atLeast"/>
        <w:jc w:val="center"/>
        <w:rPr>
          <w:rFonts w:hint="eastAsia" w:ascii="仿宋" w:hAnsi="仿宋" w:eastAsia="仿宋" w:cs="仿宋"/>
          <w:b/>
          <w:bCs/>
          <w:color w:val="000000" w:themeColor="text1"/>
          <w:sz w:val="72"/>
          <w14:textFill>
            <w14:solidFill>
              <w14:schemeClr w14:val="tx1"/>
            </w14:solidFill>
          </w14:textFill>
        </w:rPr>
      </w:pPr>
      <w:r>
        <w:rPr>
          <w:rFonts w:hint="eastAsia" w:ascii="仿宋" w:hAnsi="仿宋" w:eastAsia="仿宋" w:cs="仿宋"/>
          <w:b/>
          <w:bCs/>
          <w:color w:val="000000" w:themeColor="text1"/>
          <w:sz w:val="72"/>
          <w14:textFill>
            <w14:solidFill>
              <w14:schemeClr w14:val="tx1"/>
            </w14:solidFill>
          </w14:textFill>
        </w:rPr>
        <w:t>询价文件</w:t>
      </w:r>
    </w:p>
    <w:p>
      <w:pPr>
        <w:spacing w:line="500" w:lineRule="exact"/>
        <w:jc w:val="center"/>
        <w:rPr>
          <w:rFonts w:hint="eastAsia" w:ascii="仿宋" w:hAnsi="仿宋" w:eastAsia="仿宋" w:cs="仿宋"/>
          <w:bCs/>
          <w:color w:val="000000" w:themeColor="text1"/>
          <w:sz w:val="24"/>
          <w:szCs w:val="28"/>
          <w:lang w:val="en-US" w:eastAsia="zh-CN"/>
          <w14:textFill>
            <w14:solidFill>
              <w14:schemeClr w14:val="tx1"/>
            </w14:solidFill>
          </w14:textFill>
        </w:rPr>
      </w:pPr>
      <w:r>
        <w:rPr>
          <w:rFonts w:hint="eastAsia" w:ascii="仿宋" w:hAnsi="仿宋" w:eastAsia="仿宋" w:cs="仿宋"/>
          <w:bCs/>
          <w:color w:val="000000" w:themeColor="text1"/>
          <w:sz w:val="24"/>
          <w:szCs w:val="28"/>
          <w:lang w:val="en-US" w:eastAsia="zh-CN"/>
          <w14:textFill>
            <w14:solidFill>
              <w14:schemeClr w14:val="tx1"/>
            </w14:solidFill>
          </w14:textFill>
        </w:rPr>
        <w:t xml:space="preserve"> </w:t>
      </w:r>
    </w:p>
    <w:p>
      <w:pPr>
        <w:spacing w:line="500" w:lineRule="exact"/>
        <w:jc w:val="left"/>
        <w:rPr>
          <w:rFonts w:hint="eastAsia" w:ascii="仿宋" w:hAnsi="仿宋" w:eastAsia="仿宋" w:cs="仿宋"/>
          <w:b/>
          <w:bCs/>
          <w:color w:val="000000" w:themeColor="text1"/>
          <w:sz w:val="24"/>
          <w:szCs w:val="28"/>
          <w14:textFill>
            <w14:solidFill>
              <w14:schemeClr w14:val="tx1"/>
            </w14:solidFill>
          </w14:textFill>
        </w:rPr>
      </w:pPr>
    </w:p>
    <w:p>
      <w:pPr>
        <w:spacing w:line="500" w:lineRule="exact"/>
        <w:ind w:firstLine="640" w:firstLineChars="200"/>
        <w:jc w:val="left"/>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项目编号：</w:t>
      </w:r>
      <w:r>
        <w:rPr>
          <w:rFonts w:hint="eastAsia" w:ascii="仿宋" w:hAnsi="仿宋" w:eastAsia="仿宋" w:cs="仿宋"/>
          <w:b/>
          <w:bCs/>
          <w:color w:val="000000" w:themeColor="text1"/>
          <w:sz w:val="32"/>
          <w:szCs w:val="32"/>
          <w:lang w:val="en-US" w:eastAsia="zh-CN"/>
          <w14:textFill>
            <w14:solidFill>
              <w14:schemeClr w14:val="tx1"/>
            </w14:solidFill>
          </w14:textFill>
        </w:rPr>
        <w:t>XJ-20220401-1</w:t>
      </w:r>
    </w:p>
    <w:p>
      <w:pPr>
        <w:spacing w:line="500" w:lineRule="exact"/>
        <w:ind w:left="2249" w:hanging="2240" w:hangingChars="700"/>
        <w:jc w:val="left"/>
        <w:rPr>
          <w:rFonts w:hint="eastAsia" w:ascii="仿宋" w:hAnsi="仿宋" w:eastAsia="仿宋" w:cs="仿宋"/>
          <w:b/>
          <w:bCs/>
          <w:color w:val="000000" w:themeColor="text1"/>
          <w:sz w:val="24"/>
          <w:szCs w:val="28"/>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    项目名称：广州市净水有限公司</w:t>
      </w:r>
      <w:r>
        <w:rPr>
          <w:rFonts w:hint="eastAsia" w:ascii="仿宋" w:hAnsi="仿宋" w:eastAsia="仿宋" w:cs="仿宋"/>
          <w:b/>
          <w:bCs/>
          <w:color w:val="000000" w:themeColor="text1"/>
          <w:sz w:val="32"/>
          <w:szCs w:val="32"/>
          <w:lang w:val="en-US" w:eastAsia="zh-CN"/>
          <w14:textFill>
            <w14:solidFill>
              <w14:schemeClr w14:val="tx1"/>
            </w14:solidFill>
          </w14:textFill>
        </w:rPr>
        <w:t>风控内控合规三体系整合构建</w:t>
      </w:r>
      <w:r>
        <w:rPr>
          <w:rFonts w:hint="eastAsia" w:ascii="仿宋" w:hAnsi="仿宋" w:eastAsia="仿宋" w:cs="仿宋"/>
          <w:b/>
          <w:bCs/>
          <w:color w:val="000000" w:themeColor="text1"/>
          <w:sz w:val="32"/>
          <w:szCs w:val="32"/>
          <w14:textFill>
            <w14:solidFill>
              <w14:schemeClr w14:val="tx1"/>
            </w14:solidFill>
          </w14:textFill>
        </w:rPr>
        <w:t>咨询服务</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第二次</w:t>
      </w:r>
      <w:r>
        <w:rPr>
          <w:rFonts w:hint="eastAsia" w:ascii="仿宋" w:hAnsi="仿宋" w:eastAsia="仿宋" w:cs="仿宋"/>
          <w:b/>
          <w:bCs/>
          <w:color w:val="000000" w:themeColor="text1"/>
          <w:sz w:val="32"/>
          <w:szCs w:val="32"/>
          <w:lang w:eastAsia="zh-CN"/>
          <w14:textFill>
            <w14:solidFill>
              <w14:schemeClr w14:val="tx1"/>
            </w14:solidFill>
          </w14:textFill>
        </w:rPr>
        <w:t>）</w:t>
      </w:r>
    </w:p>
    <w:p>
      <w:pPr>
        <w:spacing w:line="500" w:lineRule="exact"/>
        <w:jc w:val="center"/>
        <w:rPr>
          <w:rFonts w:hint="eastAsia" w:ascii="仿宋" w:hAnsi="仿宋" w:eastAsia="仿宋" w:cs="仿宋"/>
          <w:b/>
          <w:bCs/>
          <w:color w:val="000000" w:themeColor="text1"/>
          <w14:textFill>
            <w14:solidFill>
              <w14:schemeClr w14:val="tx1"/>
            </w14:solidFill>
          </w14:textFill>
        </w:rPr>
      </w:pPr>
    </w:p>
    <w:p>
      <w:pPr>
        <w:spacing w:line="500" w:lineRule="exact"/>
        <w:jc w:val="center"/>
        <w:rPr>
          <w:rFonts w:hint="eastAsia" w:ascii="仿宋" w:hAnsi="仿宋" w:eastAsia="仿宋" w:cs="仿宋"/>
          <w:b/>
          <w:bCs/>
          <w:color w:val="000000" w:themeColor="text1"/>
          <w:sz w:val="72"/>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both"/>
        <w:rPr>
          <w:rFonts w:hint="eastAsia" w:ascii="仿宋" w:hAnsi="仿宋" w:eastAsia="仿宋" w:cs="仿宋"/>
          <w:b/>
          <w:bCs/>
          <w:color w:val="000000" w:themeColor="text1"/>
          <w:sz w:val="28"/>
          <w14:textFill>
            <w14:solidFill>
              <w14:schemeClr w14:val="tx1"/>
            </w14:solidFill>
          </w14:textFill>
        </w:rPr>
      </w:pPr>
    </w:p>
    <w:p>
      <w:pPr>
        <w:spacing w:line="360" w:lineRule="auto"/>
        <w:jc w:val="center"/>
        <w:rPr>
          <w:rFonts w:hint="eastAsia" w:ascii="仿宋" w:hAnsi="仿宋" w:eastAsia="仿宋" w:cs="仿宋"/>
          <w:b/>
          <w:bCs/>
          <w:color w:val="000000" w:themeColor="text1"/>
          <w:sz w:val="36"/>
          <w14:textFill>
            <w14:solidFill>
              <w14:schemeClr w14:val="tx1"/>
            </w14:solidFill>
          </w14:textFill>
        </w:rPr>
      </w:pPr>
      <w:r>
        <w:rPr>
          <w:rFonts w:hint="eastAsia" w:ascii="仿宋" w:hAnsi="仿宋" w:eastAsia="仿宋" w:cs="仿宋"/>
          <w:b/>
          <w:bCs/>
          <w:color w:val="000000" w:themeColor="text1"/>
          <w:sz w:val="36"/>
          <w14:textFill>
            <w14:solidFill>
              <w14:schemeClr w14:val="tx1"/>
            </w14:solidFill>
          </w14:textFill>
        </w:rPr>
        <w:t xml:space="preserve"> 广州市净水有限公司</w:t>
      </w:r>
      <w:r>
        <w:rPr>
          <w:rFonts w:hint="eastAsia" w:ascii="仿宋" w:hAnsi="仿宋" w:eastAsia="仿宋" w:cs="仿宋"/>
          <w:b/>
          <w:bCs/>
          <w:color w:val="000000" w:themeColor="text1"/>
          <w:sz w:val="36"/>
          <w:lang w:val="en-US" w:eastAsia="zh-CN"/>
          <w14:textFill>
            <w14:solidFill>
              <w14:schemeClr w14:val="tx1"/>
            </w14:solidFill>
          </w14:textFill>
        </w:rPr>
        <w:t xml:space="preserve"> </w:t>
      </w:r>
      <w:r>
        <w:rPr>
          <w:rFonts w:hint="eastAsia" w:ascii="仿宋" w:hAnsi="仿宋" w:eastAsia="仿宋" w:cs="仿宋"/>
          <w:b/>
          <w:bCs/>
          <w:color w:val="000000" w:themeColor="text1"/>
          <w:sz w:val="36"/>
          <w14:textFill>
            <w14:solidFill>
              <w14:schemeClr w14:val="tx1"/>
            </w14:solidFill>
          </w14:textFill>
        </w:rPr>
        <w:t>编制</w:t>
      </w:r>
    </w:p>
    <w:p>
      <w:pPr>
        <w:spacing w:line="360" w:lineRule="auto"/>
        <w:jc w:val="center"/>
        <w:rPr>
          <w:rFonts w:hint="eastAsia" w:ascii="仿宋" w:hAnsi="仿宋" w:eastAsia="仿宋" w:cs="仿宋"/>
          <w:color w:val="000000" w:themeColor="text1"/>
          <w:sz w:val="28"/>
          <w:szCs w:val="28"/>
          <w14:textFill>
            <w14:solidFill>
              <w14:schemeClr w14:val="tx1"/>
            </w14:solidFill>
          </w14:textFill>
        </w:rPr>
      </w:pPr>
    </w:p>
    <w:p>
      <w:pPr>
        <w:spacing w:line="360" w:lineRule="auto"/>
        <w:jc w:val="center"/>
        <w:rPr>
          <w:rFonts w:hint="eastAsia" w:ascii="仿宋" w:hAnsi="仿宋" w:eastAsia="仿宋" w:cs="仿宋"/>
          <w:b/>
          <w:bCs/>
          <w:color w:val="000000" w:themeColor="text1"/>
          <w:sz w:val="28"/>
          <w14:textFill>
            <w14:solidFill>
              <w14:schemeClr w14:val="tx1"/>
            </w14:solidFill>
          </w14:textFill>
        </w:rPr>
      </w:pPr>
      <w:r>
        <w:rPr>
          <w:rFonts w:hint="eastAsia" w:ascii="仿宋" w:hAnsi="仿宋" w:eastAsia="仿宋" w:cs="仿宋"/>
          <w:b/>
          <w:bCs/>
          <w:color w:val="000000" w:themeColor="text1"/>
          <w:sz w:val="28"/>
          <w14:textFill>
            <w14:solidFill>
              <w14:schemeClr w14:val="tx1"/>
            </w14:solidFill>
          </w14:textFill>
        </w:rPr>
        <w:t>发布日期：202</w:t>
      </w:r>
      <w:r>
        <w:rPr>
          <w:rFonts w:hint="eastAsia" w:ascii="仿宋" w:hAnsi="仿宋" w:eastAsia="仿宋" w:cs="仿宋"/>
          <w:b/>
          <w:bCs/>
          <w:color w:val="000000" w:themeColor="text1"/>
          <w:sz w:val="28"/>
          <w:lang w:val="en-US" w:eastAsia="zh-CN"/>
          <w14:textFill>
            <w14:solidFill>
              <w14:schemeClr w14:val="tx1"/>
            </w14:solidFill>
          </w14:textFill>
        </w:rPr>
        <w:t>2</w:t>
      </w:r>
      <w:r>
        <w:rPr>
          <w:rFonts w:hint="eastAsia" w:ascii="仿宋" w:hAnsi="仿宋" w:eastAsia="仿宋" w:cs="仿宋"/>
          <w:b/>
          <w:bCs/>
          <w:color w:val="000000" w:themeColor="text1"/>
          <w:sz w:val="28"/>
          <w14:textFill>
            <w14:solidFill>
              <w14:schemeClr w14:val="tx1"/>
            </w14:solidFill>
          </w14:textFill>
        </w:rPr>
        <w:t>年</w:t>
      </w:r>
      <w:r>
        <w:rPr>
          <w:rFonts w:hint="eastAsia" w:ascii="仿宋" w:hAnsi="仿宋" w:eastAsia="仿宋" w:cs="仿宋"/>
          <w:b/>
          <w:bCs/>
          <w:color w:val="000000" w:themeColor="text1"/>
          <w:sz w:val="28"/>
          <w:lang w:val="en-US" w:eastAsia="zh-CN"/>
          <w14:textFill>
            <w14:solidFill>
              <w14:schemeClr w14:val="tx1"/>
            </w14:solidFill>
          </w14:textFill>
        </w:rPr>
        <w:t>4</w:t>
      </w:r>
      <w:r>
        <w:rPr>
          <w:rFonts w:hint="eastAsia" w:ascii="仿宋" w:hAnsi="仿宋" w:eastAsia="仿宋" w:cs="仿宋"/>
          <w:b/>
          <w:bCs/>
          <w:color w:val="000000" w:themeColor="text1"/>
          <w:sz w:val="28"/>
          <w14:textFill>
            <w14:solidFill>
              <w14:schemeClr w14:val="tx1"/>
            </w14:solidFill>
          </w14:textFill>
        </w:rPr>
        <w:t>月</w:t>
      </w:r>
      <w:r>
        <w:rPr>
          <w:rFonts w:hint="eastAsia" w:ascii="仿宋" w:hAnsi="仿宋" w:eastAsia="仿宋" w:cs="仿宋"/>
          <w:b/>
          <w:bCs/>
          <w:color w:val="000000" w:themeColor="text1"/>
          <w:sz w:val="28"/>
          <w:lang w:val="en-US" w:eastAsia="zh-CN"/>
          <w14:textFill>
            <w14:solidFill>
              <w14:schemeClr w14:val="tx1"/>
            </w14:solidFill>
          </w14:textFill>
        </w:rPr>
        <w:t>1</w:t>
      </w:r>
      <w:r>
        <w:rPr>
          <w:rFonts w:hint="eastAsia" w:ascii="仿宋" w:hAnsi="仿宋" w:eastAsia="仿宋" w:cs="仿宋"/>
          <w:b/>
          <w:bCs/>
          <w:color w:val="000000" w:themeColor="text1"/>
          <w:sz w:val="28"/>
          <w14:textFill>
            <w14:solidFill>
              <w14:schemeClr w14:val="tx1"/>
            </w14:solidFill>
          </w14:textFill>
        </w:rPr>
        <w:t>日</w:t>
      </w: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pageBreakBefore/>
        <w:jc w:val="center"/>
        <w:rPr>
          <w:rFonts w:hint="eastAsia" w:ascii="仿宋" w:hAnsi="仿宋" w:eastAsia="仿宋" w:cs="仿宋"/>
          <w:b/>
          <w:bCs/>
          <w:cap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目录</w:t>
      </w:r>
      <w:r>
        <w:rPr>
          <w:rFonts w:hint="eastAsia" w:ascii="仿宋" w:hAnsi="仿宋" w:eastAsia="仿宋" w:cs="仿宋"/>
          <w:b/>
          <w:bCs/>
          <w:caps/>
          <w:color w:val="000000" w:themeColor="text1"/>
          <w:sz w:val="28"/>
          <w:szCs w:val="28"/>
          <w14:textFill>
            <w14:solidFill>
              <w14:schemeClr w14:val="tx1"/>
            </w14:solidFill>
          </w14:textFill>
        </w:rPr>
        <w:br w:type="textWrapping"/>
      </w:r>
    </w:p>
    <w:p>
      <w:pPr>
        <w:pStyle w:val="16"/>
        <w:tabs>
          <w:tab w:val="right" w:leader="dot" w:pos="9174"/>
        </w:tabs>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第一部分报价邀请函</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第二部分项目内容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第三部分报价须知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第四部分合同书格式</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第五部分响应文件格式</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第六部分附件</w:t>
      </w: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color w:val="000000" w:themeColor="text1"/>
          <w:sz w:val="28"/>
          <w:szCs w:val="28"/>
          <w14:textFill>
            <w14:solidFill>
              <w14:schemeClr w14:val="tx1"/>
            </w14:solidFill>
          </w14:textFill>
        </w:rPr>
      </w:pPr>
    </w:p>
    <w:p>
      <w:pPr>
        <w:ind w:firstLine="548" w:firstLineChars="196"/>
        <w:rPr>
          <w:rFonts w:hint="eastAsia" w:ascii="仿宋" w:hAnsi="仿宋" w:eastAsia="仿宋" w:cs="仿宋"/>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hint="eastAsia" w:ascii="仿宋" w:hAnsi="仿宋" w:eastAsia="仿宋" w:cs="仿宋"/>
          <w:color w:val="000000" w:themeColor="text1"/>
          <w:kern w:val="0"/>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rPr>
          <w:rFonts w:hint="eastAsia" w:ascii="仿宋" w:hAnsi="仿宋" w:eastAsia="仿宋" w:cs="仿宋"/>
          <w:b/>
          <w:color w:val="000000" w:themeColor="text1"/>
          <w:sz w:val="28"/>
          <w:szCs w:val="28"/>
          <w14:textFill>
            <w14:solidFill>
              <w14:schemeClr w14:val="tx1"/>
            </w14:solidFill>
          </w14:textFill>
        </w:rPr>
      </w:pPr>
    </w:p>
    <w:p>
      <w:pPr>
        <w:jc w:val="center"/>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第一部分报价邀请函</w:t>
      </w:r>
    </w:p>
    <w:p>
      <w:pPr>
        <w:ind w:firstLine="478" w:firstLineChars="171"/>
        <w:rPr>
          <w:rFonts w:hint="eastAsia" w:ascii="仿宋" w:hAnsi="仿宋" w:eastAsia="仿宋" w:cs="仿宋"/>
          <w:color w:val="000000" w:themeColor="text1"/>
          <w:kern w:val="0"/>
          <w:sz w:val="28"/>
          <w:szCs w:val="28"/>
          <w14:textFill>
            <w14:solidFill>
              <w14:schemeClr w14:val="tx1"/>
            </w14:solidFill>
          </w14:textFill>
        </w:rPr>
      </w:pP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r>
        <w:rPr>
          <w:rFonts w:hint="eastAsia" w:ascii="仿宋" w:hAnsi="仿宋" w:eastAsia="仿宋" w:cs="仿宋"/>
          <w:color w:val="000000" w:themeColor="text1"/>
          <w:sz w:val="28"/>
          <w:szCs w:val="28"/>
          <w:u w:val="single"/>
          <w:lang w:val="en-US" w:eastAsia="zh-CN"/>
          <w14:textFill>
            <w14:solidFill>
              <w14:schemeClr w14:val="tx1"/>
            </w14:solidFill>
          </w14:textFill>
        </w:rPr>
        <w:t>风控内控合规三体系整合构建咨询服务（第二次）</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w:t>
      </w:r>
      <w:r>
        <w:rPr>
          <w:rFonts w:hint="eastAsia" w:ascii="仿宋" w:hAnsi="仿宋" w:eastAsia="仿宋" w:cs="仿宋"/>
          <w:sz w:val="28"/>
          <w:szCs w:val="28"/>
        </w:rPr>
        <w:t>自筹资金</w:t>
      </w:r>
    </w:p>
    <w:p>
      <w:pPr>
        <w:autoSpaceDE w:val="0"/>
        <w:autoSpaceDN w:val="0"/>
        <w:ind w:firstLine="560" w:firstLineChars="200"/>
        <w:rPr>
          <w:rFonts w:hint="eastAsia" w:ascii="仿宋" w:hAnsi="仿宋" w:eastAsia="仿宋" w:cs="仿宋"/>
          <w:color w:val="000000" w:themeColor="text1"/>
          <w:sz w:val="28"/>
          <w:szCs w:val="28"/>
          <w:highlight w:val="yellow"/>
          <w:u w:val="singl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en-US" w:eastAsia="zh-CN"/>
          <w14:textFill>
            <w14:solidFill>
              <w14:schemeClr w14:val="tx1"/>
            </w14:solidFill>
          </w14:textFill>
        </w:rPr>
        <w:t>XJ-20220401-1</w:t>
      </w:r>
    </w:p>
    <w:p>
      <w:pPr>
        <w:autoSpaceDE w:val="0"/>
        <w:autoSpaceDN w:val="0"/>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Style w:val="48"/>
          <w:rFonts w:hint="eastAsia" w:ascii="仿宋" w:hAnsi="仿宋" w:eastAsia="仿宋" w:cs="仿宋"/>
          <w:b w:val="0"/>
          <w:i w:val="0"/>
          <w:caps w:val="0"/>
          <w:spacing w:val="0"/>
          <w:w w:val="100"/>
          <w:kern w:val="2"/>
          <w:sz w:val="28"/>
          <w:szCs w:val="28"/>
          <w:u w:val="single"/>
          <w:lang w:val="en-US" w:eastAsia="zh-CN" w:bidi="ar-SA"/>
        </w:rPr>
        <w:t>广州市净水有限公司风控内控合规三体系整合构建咨询服务（第二次）</w:t>
      </w:r>
    </w:p>
    <w:p>
      <w:pPr>
        <w:autoSpaceDE w:val="0"/>
        <w:autoSpaceDN w:val="0"/>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70</w:t>
      </w:r>
      <w:r>
        <w:rPr>
          <w:rFonts w:hint="eastAsia" w:ascii="仿宋" w:hAnsi="仿宋" w:eastAsia="仿宋" w:cs="仿宋"/>
          <w:color w:val="000000" w:themeColor="text1"/>
          <w:sz w:val="28"/>
          <w:szCs w:val="28"/>
          <w:u w:val="single"/>
          <w14:textFill>
            <w14:solidFill>
              <w14:schemeClr w14:val="tx1"/>
            </w14:solidFill>
          </w14:textFill>
        </w:rPr>
        <w:t>万元</w:t>
      </w:r>
    </w:p>
    <w:p>
      <w:pPr>
        <w:ind w:firstLine="602" w:firstLineChars="215"/>
        <w:rPr>
          <w:rFonts w:hint="eastAsia"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w:t>
      </w:r>
      <w:r>
        <w:rPr>
          <w:rFonts w:hint="eastAsia" w:ascii="仿宋" w:hAnsi="仿宋" w:eastAsia="仿宋" w:cs="仿宋"/>
          <w:color w:val="000000" w:themeColor="text1"/>
          <w:sz w:val="28"/>
          <w:szCs w:val="28"/>
          <w:lang w:val="en-US" w:eastAsia="zh-CN"/>
          <w14:textFill>
            <w14:solidFill>
              <w14:schemeClr w14:val="tx1"/>
            </w14:solidFill>
          </w14:textFill>
        </w:rPr>
        <w:t>广州市净水有限公司拟采购风控内控合规三体系整合构建咨询服务，在原有内控和风控体系建设的基础上，更新内控体系，夯实风控体系，建立合规体系，</w:t>
      </w:r>
      <w:r>
        <w:rPr>
          <w:rFonts w:hint="eastAsia" w:ascii="仿宋" w:hAnsi="仿宋" w:eastAsia="仿宋" w:cs="仿宋"/>
          <w:color w:val="000000" w:themeColor="text1"/>
          <w:sz w:val="28"/>
          <w:szCs w:val="28"/>
          <w14:textFill>
            <w14:solidFill>
              <w14:schemeClr w14:val="tx1"/>
            </w14:solidFill>
          </w14:textFill>
        </w:rPr>
        <w:t>明晰三项职能在公司治理和职能管理中定位，建立风控、内控、合规三位一体的“大风控”管理机制，基本实现“大风控”管理体系健全、制度体系完备、工作流程规范，风险控制到位，为</w:t>
      </w:r>
      <w:r>
        <w:rPr>
          <w:rFonts w:hint="eastAsia" w:ascii="仿宋" w:hAnsi="仿宋" w:eastAsia="仿宋" w:cs="仿宋"/>
          <w:color w:val="000000" w:themeColor="text1"/>
          <w:sz w:val="28"/>
          <w:szCs w:val="28"/>
          <w:lang w:val="en-US" w:eastAsia="zh-CN"/>
          <w14:textFill>
            <w14:solidFill>
              <w14:schemeClr w14:val="tx1"/>
            </w14:solidFill>
          </w14:textFill>
        </w:rPr>
        <w:t>公司</w:t>
      </w:r>
      <w:r>
        <w:rPr>
          <w:rFonts w:hint="eastAsia" w:ascii="仿宋" w:hAnsi="仿宋" w:eastAsia="仿宋" w:cs="仿宋"/>
          <w:color w:val="000000" w:themeColor="text1"/>
          <w:sz w:val="28"/>
          <w:szCs w:val="28"/>
          <w14:textFill>
            <w14:solidFill>
              <w14:schemeClr w14:val="tx1"/>
            </w14:solidFill>
          </w14:textFill>
        </w:rPr>
        <w:t>的持续健康发展保驾护航。</w:t>
      </w:r>
    </w:p>
    <w:p>
      <w:pPr>
        <w:autoSpaceDE w:val="0"/>
        <w:autoSpaceDN w:val="0"/>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六、报价单位资格要求：</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pPr>
        <w:autoSpaceDE w:val="0"/>
        <w:autoSpaceDN w:val="0"/>
        <w:ind w:firstLine="560" w:firstLineChars="200"/>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1</w:t>
      </w:r>
      <w:r>
        <w:rPr>
          <w:rFonts w:hint="eastAsia" w:ascii="仿宋" w:hAnsi="仿宋" w:eastAsia="仿宋" w:cs="仿宋"/>
          <w:color w:val="000000" w:themeColor="text1"/>
          <w:sz w:val="28"/>
          <w:szCs w:val="28"/>
          <w:u w:val="single"/>
          <w:lang w:val="en-US" w:eastAsia="zh-CN"/>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报价单位须是</w:t>
      </w:r>
      <w:r>
        <w:rPr>
          <w:rFonts w:hint="eastAsia" w:ascii="仿宋" w:hAnsi="仿宋" w:eastAsia="仿宋" w:cs="仿宋"/>
          <w:color w:val="000000" w:themeColor="text1"/>
          <w:sz w:val="28"/>
          <w:szCs w:val="28"/>
          <w:u w:val="single"/>
          <w:lang w:val="en-US" w:eastAsia="zh-CN"/>
          <w14:textFill>
            <w14:solidFill>
              <w14:schemeClr w14:val="tx1"/>
            </w14:solidFill>
          </w14:textFill>
        </w:rPr>
        <w:t>在</w:t>
      </w:r>
      <w:r>
        <w:rPr>
          <w:rFonts w:hint="eastAsia" w:ascii="仿宋" w:hAnsi="仿宋" w:eastAsia="仿宋" w:cs="仿宋"/>
          <w:color w:val="000000" w:themeColor="text1"/>
          <w:sz w:val="28"/>
          <w:szCs w:val="28"/>
          <w:u w:val="single"/>
          <w14:textFill>
            <w14:solidFill>
              <w14:schemeClr w14:val="tx1"/>
            </w14:solidFill>
          </w14:textFill>
        </w:rPr>
        <w:t>中华人民共和国境内</w:t>
      </w:r>
      <w:r>
        <w:rPr>
          <w:rFonts w:hint="eastAsia" w:ascii="仿宋" w:hAnsi="仿宋" w:eastAsia="仿宋" w:cs="仿宋"/>
          <w:color w:val="000000" w:themeColor="text1"/>
          <w:sz w:val="28"/>
          <w:szCs w:val="28"/>
          <w:u w:val="single"/>
          <w:lang w:val="en-US" w:eastAsia="zh-CN"/>
          <w14:textFill>
            <w14:solidFill>
              <w14:schemeClr w14:val="tx1"/>
            </w14:solidFill>
          </w14:textFill>
        </w:rPr>
        <w:t>注册</w:t>
      </w:r>
      <w:r>
        <w:rPr>
          <w:rFonts w:hint="eastAsia" w:ascii="仿宋" w:hAnsi="仿宋" w:eastAsia="仿宋" w:cs="仿宋"/>
          <w:color w:val="000000" w:themeColor="text1"/>
          <w:sz w:val="28"/>
          <w:szCs w:val="28"/>
          <w:u w:val="single"/>
          <w14:textFill>
            <w14:solidFill>
              <w14:schemeClr w14:val="tx1"/>
            </w14:solidFill>
          </w14:textFill>
        </w:rPr>
        <w:t>的法人或者其他组织，具有独立法人资格，持有工商行政管理部门核发的法人营业执照或各级登记管理机关颁发的事业单位法定代表人证</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且</w:t>
      </w:r>
      <w:r>
        <w:rPr>
          <w:rFonts w:hint="eastAsia" w:ascii="仿宋" w:hAnsi="仿宋" w:eastAsia="仿宋" w:cs="仿宋"/>
          <w:color w:val="000000" w:themeColor="text1"/>
          <w:sz w:val="28"/>
          <w:szCs w:val="28"/>
          <w:u w:val="single"/>
          <w14:textFill>
            <w14:solidFill>
              <w14:schemeClr w14:val="tx1"/>
            </w14:solidFill>
          </w14:textFill>
        </w:rPr>
        <w:t>能开具增值税专用发票</w:t>
      </w:r>
      <w:r>
        <w:rPr>
          <w:rFonts w:hint="eastAsia" w:ascii="仿宋" w:hAnsi="仿宋" w:eastAsia="仿宋" w:cs="仿宋"/>
          <w:color w:val="auto"/>
          <w:sz w:val="28"/>
          <w:szCs w:val="28"/>
          <w:highlight w:val="none"/>
          <w:u w:val="single"/>
          <w:lang w:val="en-US" w:eastAsia="zh-CN"/>
        </w:rPr>
        <w:t>（提供一般纳税人证明或近一年2-3张已开据的增值税专用发票）</w:t>
      </w:r>
      <w:r>
        <w:rPr>
          <w:rFonts w:hint="eastAsia" w:ascii="仿宋" w:hAnsi="仿宋" w:eastAsia="仿宋" w:cs="仿宋"/>
          <w:color w:val="000000" w:themeColor="text1"/>
          <w:sz w:val="28"/>
          <w:szCs w:val="28"/>
          <w:u w:val="single"/>
          <w14:textFill>
            <w14:solidFill>
              <w14:schemeClr w14:val="tx1"/>
            </w14:solidFill>
          </w14:textFill>
        </w:rPr>
        <w:t>。</w:t>
      </w:r>
    </w:p>
    <w:p>
      <w:pPr>
        <w:autoSpaceDE w:val="0"/>
        <w:autoSpaceDN w:val="0"/>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u w:val="single"/>
          <w:lang w:val="en-US" w:eastAsia="zh-CN"/>
          <w14:textFill>
            <w14:solidFill>
              <w14:schemeClr w14:val="tx1"/>
            </w14:solidFill>
          </w14:textFill>
        </w:rPr>
        <w:t>2.</w:t>
      </w:r>
      <w:r>
        <w:rPr>
          <w:rFonts w:hint="eastAsia" w:ascii="仿宋" w:hAnsi="仿宋" w:eastAsia="仿宋" w:cs="仿宋"/>
          <w:color w:val="000000" w:themeColor="text1"/>
          <w:sz w:val="28"/>
          <w:szCs w:val="28"/>
          <w:u w:val="single"/>
          <w14:textFill>
            <w14:solidFill>
              <w14:schemeClr w14:val="tx1"/>
            </w14:solidFill>
          </w14:textFill>
        </w:rPr>
        <w:t>201</w:t>
      </w:r>
      <w:r>
        <w:rPr>
          <w:rFonts w:hint="eastAsia" w:ascii="仿宋" w:hAnsi="仿宋" w:eastAsia="仿宋" w:cs="仿宋"/>
          <w:color w:val="000000" w:themeColor="text1"/>
          <w:sz w:val="28"/>
          <w:szCs w:val="28"/>
          <w:u w:val="single"/>
          <w:lang w:val="en-US" w:eastAsia="zh-CN"/>
          <w14:textFill>
            <w14:solidFill>
              <w14:schemeClr w14:val="tx1"/>
            </w14:solidFill>
          </w14:textFill>
        </w:rPr>
        <w:t>9</w:t>
      </w:r>
      <w:r>
        <w:rPr>
          <w:rFonts w:hint="eastAsia" w:ascii="仿宋" w:hAnsi="仿宋" w:eastAsia="仿宋" w:cs="仿宋"/>
          <w:color w:val="000000" w:themeColor="text1"/>
          <w:sz w:val="28"/>
          <w:szCs w:val="28"/>
          <w:u w:val="single"/>
          <w14:textFill>
            <w14:solidFill>
              <w14:schemeClr w14:val="tx1"/>
            </w14:solidFill>
          </w14:textFill>
        </w:rPr>
        <w:t>年1月1日至今，</w:t>
      </w:r>
      <w:r>
        <w:rPr>
          <w:rFonts w:hint="eastAsia" w:ascii="仿宋" w:hAnsi="仿宋" w:eastAsia="仿宋" w:cs="仿宋"/>
          <w:color w:val="000000" w:themeColor="text1"/>
          <w:sz w:val="28"/>
          <w:szCs w:val="28"/>
          <w:u w:val="single"/>
          <w:lang w:val="en-US" w:eastAsia="zh-CN"/>
          <w14:textFill>
            <w14:solidFill>
              <w14:schemeClr w14:val="tx1"/>
            </w14:solidFill>
          </w14:textFill>
        </w:rPr>
        <w:t>至少完成企业内部控制管理咨询、风险防控管理咨询、合规管理咨询单个项目业绩各一项，或风控内控合规三体系整合建设项目业绩一项（</w:t>
      </w:r>
      <w:r>
        <w:rPr>
          <w:rFonts w:hint="eastAsia" w:ascii="仿宋" w:hAnsi="仿宋" w:eastAsia="仿宋" w:cs="仿宋"/>
          <w:color w:val="000000" w:themeColor="text1"/>
          <w:sz w:val="28"/>
          <w:szCs w:val="28"/>
          <w:u w:val="single"/>
          <w14:textFill>
            <w14:solidFill>
              <w14:schemeClr w14:val="tx1"/>
            </w14:solidFill>
          </w14:textFill>
        </w:rPr>
        <w:t>提供合同复印件证明，包括但不限于项目名称、合同金额及实施内容、合同双方签字盖章、签订日期，并加盖单位公章</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w:t>
      </w:r>
    </w:p>
    <w:p>
      <w:pPr>
        <w:pStyle w:val="20"/>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u w:val="single"/>
          <w:lang w:val="en-US" w:eastAsia="zh-CN"/>
          <w14:textFill>
            <w14:solidFill>
              <w14:schemeClr w14:val="tx1"/>
            </w14:solidFill>
          </w14:textFill>
        </w:rPr>
        <w:t>3.2019年1月1日至今，项目负责人至少主持过企业内部控制管理咨询、风险防控管理咨询、合规管理咨询单个项目业绩各一项，或风控内控合规三体系整合建设咨询项目（</w:t>
      </w:r>
      <w:r>
        <w:rPr>
          <w:rFonts w:hint="eastAsia" w:ascii="仿宋" w:hAnsi="仿宋" w:eastAsia="仿宋" w:cs="仿宋"/>
          <w:color w:val="000000" w:themeColor="text1"/>
          <w:sz w:val="28"/>
          <w:szCs w:val="28"/>
          <w:u w:val="single"/>
          <w14:textFill>
            <w14:solidFill>
              <w14:schemeClr w14:val="tx1"/>
            </w14:solidFill>
          </w14:textFill>
        </w:rPr>
        <w:t>提供合同复印件证明</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提供项目负责人在本单位近三个月社保记录，以加盖社会保险基金管理中心印章的《缴费历史明细表》或《社会保险参保人员证明》为准，并加盖单位公章。）</w:t>
      </w:r>
    </w:p>
    <w:p>
      <w:pPr>
        <w:ind w:firstLine="560" w:firstLineChars="200"/>
        <w:rPr>
          <w:rFonts w:hint="eastAsia" w:ascii="仿宋" w:hAnsi="仿宋" w:eastAsia="仿宋" w:cs="仿宋"/>
          <w:b/>
          <w:color w:val="auto"/>
          <w:kern w:val="2"/>
          <w:sz w:val="24"/>
          <w:highlight w:val="none"/>
          <w:lang w:val="en-US" w:eastAsia="zh-CN" w:bidi="ar-SA"/>
        </w:rPr>
      </w:pPr>
      <w:r>
        <w:rPr>
          <w:rFonts w:hint="eastAsia" w:ascii="仿宋" w:hAnsi="仿宋" w:eastAsia="仿宋" w:cs="仿宋"/>
          <w:color w:val="000000" w:themeColor="text1"/>
          <w:sz w:val="28"/>
          <w:szCs w:val="28"/>
          <w:u w:val="single"/>
          <w:lang w:val="en-US" w:eastAsia="zh-CN"/>
          <w14:textFill>
            <w14:solidFill>
              <w14:schemeClr w14:val="tx1"/>
            </w14:solidFill>
          </w14:textFill>
        </w:rPr>
        <w:t>4.</w:t>
      </w:r>
      <w:r>
        <w:rPr>
          <w:rFonts w:hint="eastAsia" w:ascii="仿宋" w:hAnsi="仿宋" w:eastAsia="仿宋" w:cs="仿宋"/>
          <w:color w:val="auto"/>
          <w:sz w:val="28"/>
          <w:szCs w:val="28"/>
          <w:highlight w:val="none"/>
          <w:u w:val="single"/>
          <w:lang w:val="zh-CN" w:eastAsia="zh-CN"/>
        </w:rPr>
        <w:t>报价</w:t>
      </w:r>
      <w:r>
        <w:rPr>
          <w:rFonts w:hint="eastAsia" w:ascii="仿宋" w:hAnsi="仿宋" w:eastAsia="仿宋" w:cs="仿宋"/>
          <w:color w:val="auto"/>
          <w:sz w:val="28"/>
          <w:szCs w:val="28"/>
          <w:highlight w:val="none"/>
          <w:u w:val="single"/>
          <w:lang w:val="zh-CN"/>
        </w:rPr>
        <w:t>人没有被纳入本项目</w:t>
      </w:r>
      <w:r>
        <w:rPr>
          <w:rFonts w:hint="eastAsia" w:ascii="仿宋" w:hAnsi="仿宋" w:eastAsia="仿宋" w:cs="仿宋"/>
          <w:color w:val="auto"/>
          <w:sz w:val="28"/>
          <w:szCs w:val="28"/>
          <w:highlight w:val="none"/>
          <w:u w:val="single"/>
          <w:lang w:val="zh-CN" w:eastAsia="zh-CN"/>
        </w:rPr>
        <w:t>询价</w:t>
      </w:r>
      <w:r>
        <w:rPr>
          <w:rFonts w:hint="eastAsia" w:ascii="仿宋" w:hAnsi="仿宋" w:eastAsia="仿宋" w:cs="仿宋"/>
          <w:color w:val="auto"/>
          <w:sz w:val="28"/>
          <w:szCs w:val="28"/>
          <w:highlight w:val="none"/>
          <w:u w:val="single"/>
          <w:lang w:val="zh-CN"/>
        </w:rPr>
        <w:t>人（包括市水投集团及其属下子公司）书面限制投标的企业名单。（名单详见附件）</w:t>
      </w:r>
    </w:p>
    <w:p>
      <w:pPr>
        <w:pStyle w:val="20"/>
        <w:tabs>
          <w:tab w:val="left" w:pos="720"/>
        </w:tabs>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22"/>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2022年1月1日至2022年12月31日</w:t>
            </w:r>
          </w:p>
        </w:tc>
      </w:tr>
    </w:tbl>
    <w:p>
      <w:pPr>
        <w:pStyle w:val="2"/>
        <w:numPr>
          <w:ilvl w:val="-1"/>
          <w:numId w:val="0"/>
        </w:numPr>
        <w:rPr>
          <w:rFonts w:hint="eastAsia" w:ascii="仿宋" w:hAnsi="仿宋" w:eastAsia="仿宋" w:cs="仿宋"/>
          <w:lang w:val="en-US" w:eastAsia="zh-CN"/>
        </w:rPr>
      </w:pP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、现场踏勘(答疑会)时间、地点（也可由</w:t>
      </w:r>
      <w:r>
        <w:rPr>
          <w:rFonts w:hint="eastAsia" w:ascii="仿宋" w:hAnsi="仿宋" w:eastAsia="仿宋" w:cs="仿宋"/>
          <w:sz w:val="28"/>
          <w:szCs w:val="28"/>
        </w:rPr>
        <w:t>报价</w:t>
      </w:r>
      <w:r>
        <w:rPr>
          <w:rFonts w:hint="eastAsia" w:ascii="仿宋" w:hAnsi="仿宋" w:eastAsia="仿宋" w:cs="仿宋"/>
          <w:sz w:val="28"/>
          <w:szCs w:val="28"/>
          <w:lang w:val="zh-CN"/>
        </w:rPr>
        <w:t>人自行踏勘现场）：</w:t>
      </w:r>
      <w:r>
        <w:rPr>
          <w:rFonts w:hint="eastAsia" w:ascii="仿宋" w:hAnsi="仿宋" w:eastAsia="仿宋" w:cs="仿宋"/>
          <w:sz w:val="28"/>
          <w:szCs w:val="28"/>
          <w:lang w:val="en-US" w:eastAsia="zh-CN"/>
        </w:rPr>
        <w:t>/</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八、询价文件的获取：在202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日1</w:t>
      </w:r>
      <w:r>
        <w:rPr>
          <w:rFonts w:hint="eastAsia" w:ascii="仿宋" w:hAnsi="仿宋" w:eastAsia="仿宋" w:cs="仿宋"/>
          <w:sz w:val="28"/>
          <w:szCs w:val="28"/>
          <w:lang w:val="en-US" w:eastAsia="zh-CN"/>
        </w:rPr>
        <w:t>5</w:t>
      </w:r>
      <w:r>
        <w:rPr>
          <w:rFonts w:hint="eastAsia" w:ascii="仿宋" w:hAnsi="仿宋" w:eastAsia="仿宋" w:cs="仿宋"/>
          <w:sz w:val="28"/>
          <w:szCs w:val="28"/>
        </w:rPr>
        <w:t>时00分前，在广州市净水有限公司门户网站免费下载。</w:t>
      </w:r>
    </w:p>
    <w:p>
      <w:pPr>
        <w:ind w:firstLine="588" w:firstLineChars="210"/>
        <w:rPr>
          <w:rFonts w:hint="eastAsia" w:ascii="仿宋" w:hAnsi="仿宋" w:eastAsia="仿宋" w:cs="仿宋"/>
        </w:rPr>
      </w:pPr>
      <w:r>
        <w:rPr>
          <w:rFonts w:hint="eastAsia" w:ascii="仿宋" w:hAnsi="仿宋" w:eastAsia="仿宋" w:cs="仿宋"/>
          <w:sz w:val="28"/>
          <w:szCs w:val="28"/>
        </w:rPr>
        <w:t>九、询价响应文件递交时间：202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时30分至1</w:t>
      </w:r>
      <w:r>
        <w:rPr>
          <w:rFonts w:hint="eastAsia" w:ascii="仿宋" w:hAnsi="仿宋" w:eastAsia="仿宋" w:cs="仿宋"/>
          <w:sz w:val="28"/>
          <w:szCs w:val="28"/>
          <w:lang w:val="en-US" w:eastAsia="zh-CN"/>
        </w:rPr>
        <w:t>5</w:t>
      </w:r>
      <w:r>
        <w:rPr>
          <w:rFonts w:hint="eastAsia" w:ascii="仿宋" w:hAnsi="仿宋" w:eastAsia="仿宋" w:cs="仿宋"/>
          <w:sz w:val="28"/>
          <w:szCs w:val="28"/>
        </w:rPr>
        <w:t>时00分；询价响应文件截止时间：202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日1</w:t>
      </w:r>
      <w:r>
        <w:rPr>
          <w:rFonts w:hint="eastAsia" w:ascii="仿宋" w:hAnsi="仿宋" w:eastAsia="仿宋" w:cs="仿宋"/>
          <w:sz w:val="28"/>
          <w:szCs w:val="28"/>
          <w:lang w:val="en-US" w:eastAsia="zh-CN"/>
        </w:rPr>
        <w:t>5</w:t>
      </w:r>
      <w:r>
        <w:rPr>
          <w:rFonts w:hint="eastAsia" w:ascii="仿宋" w:hAnsi="仿宋" w:eastAsia="仿宋" w:cs="仿宋"/>
          <w:sz w:val="28"/>
          <w:szCs w:val="28"/>
        </w:rPr>
        <w:t>时00分。</w:t>
      </w:r>
      <w:r>
        <w:rPr>
          <w:rFonts w:hint="eastAsia" w:ascii="仿宋" w:hAnsi="仿宋" w:eastAsia="仿宋" w:cs="仿宋"/>
          <w:color w:val="000000"/>
          <w:sz w:val="28"/>
          <w:szCs w:val="28"/>
        </w:rPr>
        <w:t>递交响应文件时须提供授权委托人身份证原件备查。</w:t>
      </w:r>
      <w:r>
        <w:rPr>
          <w:rFonts w:hint="eastAsia" w:ascii="仿宋" w:hAnsi="仿宋" w:eastAsia="仿宋" w:cs="仿宋"/>
          <w:sz w:val="28"/>
          <w:szCs w:val="28"/>
        </w:rPr>
        <w:t xml:space="preserve"> </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十、询价响应文件送达地点：广州市天河区临江大道501号广州市净水有限公司</w:t>
      </w:r>
      <w:r>
        <w:rPr>
          <w:rFonts w:hint="eastAsia" w:ascii="仿宋" w:hAnsi="仿宋" w:eastAsia="仿宋" w:cs="仿宋"/>
          <w:sz w:val="28"/>
          <w:szCs w:val="28"/>
          <w:lang w:eastAsia="zh-CN"/>
        </w:rPr>
        <w:t>。</w:t>
      </w:r>
      <w:r>
        <w:rPr>
          <w:rFonts w:hint="eastAsia" w:ascii="仿宋" w:hAnsi="仿宋" w:eastAsia="仿宋" w:cs="仿宋"/>
          <w:color w:val="000000"/>
          <w:sz w:val="28"/>
          <w:szCs w:val="28"/>
        </w:rPr>
        <w:t>（</w:t>
      </w:r>
      <w:r>
        <w:rPr>
          <w:rFonts w:hint="eastAsia" w:ascii="仿宋" w:hAnsi="仿宋" w:eastAsia="仿宋" w:cs="仿宋"/>
          <w:color w:val="auto"/>
          <w:sz w:val="28"/>
          <w:szCs w:val="28"/>
          <w:highlight w:val="none"/>
          <w:lang w:val="zh-CN"/>
        </w:rPr>
        <w:t>基于疫情防控形势，授权委托人须通过“广州净水公司”微信公众号（提前）预约，填写访客预约信息（</w:t>
      </w:r>
      <w:r>
        <w:rPr>
          <w:rFonts w:hint="eastAsia" w:ascii="仿宋" w:hAnsi="仿宋" w:eastAsia="仿宋" w:cs="仿宋"/>
          <w:color w:val="000000" w:themeColor="text1"/>
          <w:kern w:val="2"/>
          <w:sz w:val="28"/>
          <w:szCs w:val="28"/>
          <w:lang w:val="zh-CN"/>
          <w14:textFill>
            <w14:solidFill>
              <w14:schemeClr w14:val="tx1"/>
            </w14:solidFill>
          </w14:textFill>
        </w:rPr>
        <w:t>包括：1.近14天</w:t>
      </w:r>
      <w:r>
        <w:rPr>
          <w:rFonts w:hint="eastAsia" w:ascii="仿宋" w:hAnsi="仿宋" w:eastAsia="仿宋" w:cs="仿宋"/>
          <w:color w:val="000000" w:themeColor="text1"/>
          <w:kern w:val="2"/>
          <w:sz w:val="28"/>
          <w:szCs w:val="28"/>
          <w:lang w:val="en-US" w:eastAsia="zh-CN"/>
          <w14:textFill>
            <w14:solidFill>
              <w14:schemeClr w14:val="tx1"/>
            </w14:solidFill>
          </w14:textFill>
        </w:rPr>
        <w:t>内</w:t>
      </w:r>
      <w:r>
        <w:rPr>
          <w:rFonts w:hint="eastAsia" w:ascii="仿宋" w:hAnsi="仿宋" w:eastAsia="仿宋" w:cs="仿宋"/>
          <w:color w:val="000000" w:themeColor="text1"/>
          <w:kern w:val="2"/>
          <w:sz w:val="28"/>
          <w:szCs w:val="28"/>
          <w:lang w:val="zh-CN"/>
          <w14:textFill>
            <w14:solidFill>
              <w14:schemeClr w14:val="tx1"/>
            </w14:solidFill>
          </w14:textFill>
        </w:rPr>
        <w:t>行程有异地中高风险地区及所在的地级市、盟、州、直辖市的区旅居史的来（返）穗人员拒绝来访；</w:t>
      </w:r>
      <w:r>
        <w:rPr>
          <w:rFonts w:hint="eastAsia" w:ascii="仿宋" w:hAnsi="仿宋" w:eastAsia="仿宋" w:cs="仿宋"/>
          <w:color w:val="000000" w:themeColor="text1"/>
          <w:kern w:val="2"/>
          <w:sz w:val="28"/>
          <w:szCs w:val="28"/>
          <w:lang w:val="en-US" w:eastAsia="zh-CN"/>
          <w14:textFill>
            <w14:solidFill>
              <w14:schemeClr w14:val="tx1"/>
            </w14:solidFill>
          </w14:textFill>
        </w:rPr>
        <w:t>2.</w:t>
      </w:r>
      <w:r>
        <w:rPr>
          <w:rFonts w:hint="eastAsia" w:ascii="仿宋" w:hAnsi="仿宋" w:eastAsia="仿宋" w:cs="仿宋"/>
          <w:color w:val="000000" w:themeColor="text1"/>
          <w:kern w:val="2"/>
          <w:sz w:val="28"/>
          <w:szCs w:val="28"/>
          <w:lang w:val="zh-CN"/>
          <w14:textFill>
            <w14:solidFill>
              <w14:schemeClr w14:val="tx1"/>
            </w14:solidFill>
          </w14:textFill>
        </w:rPr>
        <w:t>近14天行程内有异地</w:t>
      </w:r>
      <w:r>
        <w:rPr>
          <w:rFonts w:hint="eastAsia" w:ascii="仿宋" w:hAnsi="仿宋" w:eastAsia="仿宋" w:cs="仿宋"/>
          <w:color w:val="000000" w:themeColor="text1"/>
          <w:kern w:val="2"/>
          <w:sz w:val="28"/>
          <w:szCs w:val="28"/>
          <w:lang w:val="en-US" w:eastAsia="zh-CN"/>
          <w14:textFill>
            <w14:solidFill>
              <w14:schemeClr w14:val="tx1"/>
            </w14:solidFill>
          </w14:textFill>
        </w:rPr>
        <w:t>本土疫情报告</w:t>
      </w:r>
      <w:r>
        <w:rPr>
          <w:rFonts w:hint="eastAsia" w:ascii="仿宋" w:hAnsi="仿宋" w:eastAsia="仿宋" w:cs="仿宋"/>
          <w:color w:val="000000" w:themeColor="text1"/>
          <w:kern w:val="2"/>
          <w:sz w:val="28"/>
          <w:szCs w:val="28"/>
          <w:lang w:val="zh-CN"/>
          <w14:textFill>
            <w14:solidFill>
              <w14:schemeClr w14:val="tx1"/>
            </w14:solidFill>
          </w14:textFill>
        </w:rPr>
        <w:t>的地级市、盟、州、直辖市的区旅居史的来（返）穗人员拒绝来访</w:t>
      </w:r>
      <w:r>
        <w:rPr>
          <w:rFonts w:hint="eastAsia" w:ascii="仿宋" w:hAnsi="仿宋" w:eastAsia="仿宋" w:cs="仿宋"/>
          <w:color w:val="000000" w:themeColor="text1"/>
          <w:kern w:val="2"/>
          <w:sz w:val="28"/>
          <w:szCs w:val="28"/>
          <w:lang w:val="en-US" w:eastAsia="zh-CN"/>
          <w14:textFill>
            <w14:solidFill>
              <w14:schemeClr w14:val="tx1"/>
            </w14:solidFill>
          </w14:textFill>
        </w:rPr>
        <w:t>3.近14天行程内有省外来（返）穗人员应持有地穗后来访前三天的两次核酸检测证明，即“三天两检”（每次至少间隔24小时）4</w:t>
      </w:r>
      <w:r>
        <w:rPr>
          <w:rFonts w:hint="eastAsia" w:ascii="仿宋" w:hAnsi="仿宋" w:eastAsia="仿宋" w:cs="仿宋"/>
          <w:color w:val="000000" w:themeColor="text1"/>
          <w:kern w:val="2"/>
          <w:sz w:val="28"/>
          <w:szCs w:val="28"/>
          <w:lang w:val="zh-CN"/>
          <w14:textFill>
            <w14:solidFill>
              <w14:schemeClr w14:val="tx1"/>
            </w14:solidFill>
          </w14:textFill>
        </w:rPr>
        <w:t>.如确需工作需要来访，应持有来访前24小时内的核酸证明）</w:t>
      </w:r>
      <w:r>
        <w:rPr>
          <w:rFonts w:hint="eastAsia" w:ascii="仿宋" w:hAnsi="仿宋" w:eastAsia="仿宋" w:cs="仿宋"/>
          <w:color w:val="auto"/>
          <w:sz w:val="28"/>
          <w:szCs w:val="28"/>
          <w:highlight w:val="none"/>
          <w:lang w:val="zh-CN"/>
        </w:rPr>
        <w:t>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000000"/>
          <w:sz w:val="28"/>
          <w:szCs w:val="28"/>
        </w:rPr>
        <w:t>）</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十一、评审时间：202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日1</w:t>
      </w:r>
      <w:r>
        <w:rPr>
          <w:rFonts w:hint="eastAsia" w:ascii="仿宋" w:hAnsi="仿宋" w:eastAsia="仿宋" w:cs="仿宋"/>
          <w:sz w:val="28"/>
          <w:szCs w:val="28"/>
          <w:lang w:val="en-US" w:eastAsia="zh-CN"/>
        </w:rPr>
        <w:t>5</w:t>
      </w:r>
      <w:r>
        <w:rPr>
          <w:rFonts w:hint="eastAsia" w:ascii="仿宋" w:hAnsi="仿宋" w:eastAsia="仿宋" w:cs="仿宋"/>
          <w:sz w:val="28"/>
          <w:szCs w:val="28"/>
        </w:rPr>
        <w:t>时00分</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 xml:space="preserve">十二、评审地点：广州市净水有限公司六楼招标办                   </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十三、联系方式</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询价人：广州市净水有限公司</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 xml:space="preserve">联系地址：广州市天河区临江大道501号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联系人：林工             联系方式：020-3</w:t>
      </w:r>
      <w:r>
        <w:rPr>
          <w:rFonts w:hint="eastAsia" w:ascii="仿宋" w:hAnsi="仿宋" w:eastAsia="仿宋" w:cs="仿宋"/>
          <w:sz w:val="28"/>
          <w:szCs w:val="28"/>
          <w:lang w:val="en-US" w:eastAsia="zh-CN"/>
        </w:rPr>
        <w:t>88</w:t>
      </w:r>
      <w:r>
        <w:rPr>
          <w:rFonts w:hint="eastAsia" w:ascii="仿宋" w:hAnsi="仿宋" w:eastAsia="仿宋" w:cs="仿宋"/>
          <w:sz w:val="28"/>
          <w:szCs w:val="28"/>
        </w:rPr>
        <w:t xml:space="preserve">90841   </w:t>
      </w:r>
    </w:p>
    <w:p>
      <w:pPr>
        <w:ind w:firstLine="5460" w:firstLineChars="1950"/>
        <w:rPr>
          <w:rFonts w:hint="eastAsia" w:ascii="仿宋" w:hAnsi="仿宋" w:eastAsia="仿宋" w:cs="仿宋"/>
          <w:sz w:val="28"/>
          <w:szCs w:val="28"/>
        </w:rPr>
      </w:pPr>
      <w:r>
        <w:rPr>
          <w:rFonts w:hint="eastAsia" w:ascii="仿宋" w:hAnsi="仿宋" w:eastAsia="仿宋" w:cs="仿宋"/>
          <w:sz w:val="28"/>
          <w:szCs w:val="28"/>
        </w:rPr>
        <w:t>广州市净水有限公司</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项目内容</w:t>
      </w:r>
    </w:p>
    <w:p>
      <w:pPr>
        <w:adjustRightInd w:val="0"/>
        <w:snapToGrid w:val="0"/>
        <w:spacing w:line="300" w:lineRule="auto"/>
        <w:ind w:firstLine="560" w:firstLineChars="200"/>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 xml:space="preserve">报价单位须对本项目为单位的服务进行整体响应，任何只对其中一部分内容进行的响应都被视为无效响应。 </w:t>
      </w:r>
    </w:p>
    <w:p>
      <w:pPr>
        <w:spacing w:line="360" w:lineRule="auto"/>
        <w:ind w:firstLine="560" w:firstLineChars="200"/>
        <w:rPr>
          <w:rFonts w:hint="eastAsia" w:ascii="仿宋_GB2312" w:hAnsi="仿宋_GB2312" w:eastAsia="仿宋_GB2312" w:cs="仿宋_GB2312"/>
          <w:b/>
          <w:bCs/>
          <w:sz w:val="28"/>
          <w:szCs w:val="28"/>
        </w:rPr>
      </w:pPr>
      <w:r>
        <w:rPr>
          <w:rFonts w:hint="eastAsia" w:ascii="仿宋" w:hAnsi="仿宋" w:eastAsia="仿宋" w:cs="仿宋"/>
          <w:b w:val="0"/>
          <w:bCs w:val="0"/>
          <w:color w:val="auto"/>
          <w:sz w:val="28"/>
          <w:szCs w:val="28"/>
          <w:highlight w:val="none"/>
          <w:lang w:val="en-US"/>
        </w:rPr>
        <w:t>询价文件中所有要求均为实质性响应条款，供应商如有任何一条负偏离则导致响应文件无效。</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楷体" w:hAnsi="楷体" w:eastAsia="楷体" w:cs="楷体"/>
          <w:b w:val="0"/>
          <w:i w:val="0"/>
          <w:caps w:val="0"/>
          <w:color w:val="000000"/>
          <w:spacing w:val="0"/>
          <w:w w:val="100"/>
          <w:kern w:val="2"/>
          <w:sz w:val="28"/>
          <w:szCs w:val="28"/>
          <w:lang w:val="en-US" w:eastAsia="zh-CN" w:bidi="ar-SA"/>
        </w:rPr>
        <w:t>（一）项目背景</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highlight w:val="none"/>
          <w:lang w:val="en-US" w:eastAsia="zh-CN" w:bidi="ar-SA"/>
        </w:rPr>
      </w:pPr>
      <w:r>
        <w:rPr>
          <w:rStyle w:val="48"/>
          <w:rFonts w:hint="eastAsia" w:ascii="仿宋" w:hAnsi="仿宋" w:eastAsia="仿宋" w:cs="仿宋"/>
          <w:b w:val="0"/>
          <w:i w:val="0"/>
          <w:caps w:val="0"/>
          <w:color w:val="000000"/>
          <w:spacing w:val="0"/>
          <w:w w:val="100"/>
          <w:kern w:val="2"/>
          <w:sz w:val="28"/>
          <w:szCs w:val="28"/>
          <w:highlight w:val="none"/>
          <w:lang w:val="en-US" w:eastAsia="zh-CN" w:bidi="ar-SA"/>
        </w:rPr>
        <w:t>2015年9月，我公司正式启动内控体系建设；2016年6月，内控体系建成并开始运行。近年来，由于内部组织架构及部门职责、管理制度发生了较大变化，内控体系手册没有同步修订完善，体系运行评价有待改善。</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highlight w:val="none"/>
          <w:lang w:val="en-US" w:eastAsia="zh-CN" w:bidi="ar-SA"/>
        </w:rPr>
      </w:pPr>
      <w:r>
        <w:rPr>
          <w:rStyle w:val="48"/>
          <w:rFonts w:hint="eastAsia" w:ascii="仿宋" w:hAnsi="仿宋" w:eastAsia="仿宋" w:cs="仿宋"/>
          <w:b w:val="0"/>
          <w:i w:val="0"/>
          <w:caps w:val="0"/>
          <w:color w:val="000000"/>
          <w:spacing w:val="0"/>
          <w:w w:val="100"/>
          <w:kern w:val="2"/>
          <w:sz w:val="28"/>
          <w:szCs w:val="28"/>
          <w:highlight w:val="none"/>
          <w:lang w:val="en-US" w:eastAsia="zh-CN" w:bidi="ar-SA"/>
        </w:rPr>
        <w:t>2018年10月底，我公司正式启动全面风控体系建设工作，2019年11月1日，风控体系建成并开始运行，同时出台了《全面风控管理办法》。2020年底组织开展了风险评估，并编写了年度风险报告。</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highlight w:val="none"/>
          <w:lang w:val="en-US" w:eastAsia="zh-CN" w:bidi="ar-SA"/>
        </w:rPr>
        <w:t>2020年1月，广州市国资委对各市属企业下发《广州市国资委关于在监管企业开展合规管理体系建设试点工作的通知》；2020年12月，广州市国资委出台《广州市国资委关于印发&lt;广州市市属企业合规管理指引（试行）&gt;的通知》。2021年7月，广州市水务投资集团下发《广州水投集团关于开展合规管理体系建设工作的通知》。</w:t>
      </w:r>
      <w:bookmarkStart w:id="0" w:name="OLE_LINK3"/>
      <w:bookmarkStart w:id="1" w:name="OLE_LINK4"/>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根据2019年11月国务院国资委出台的101号文《关于加强中央企业内部控制体系建设与监督工作的实施意见》 “以促进全面风险、合规、内控体系三者整合为大背景，以内控为抓手和落脚点，促进企业“大风控”体系的构建” 的要求，以及省市国资委、广州水投集团关于风控内控和合规管理文件要求，我公司拟对标世界一流企业风控管理水平，结合公司“十四五”规划，将原有风控内控体系与合规体系进行融合，建立“大风控”体系，通过整合构建三体系，进一步优化管理体系，强化风险管理，提升管控效果。</w:t>
      </w:r>
      <w:bookmarkEnd w:id="0"/>
      <w:bookmarkEnd w:id="1"/>
    </w:p>
    <w:p>
      <w:pPr>
        <w:pStyle w:val="49"/>
        <w:widowControl/>
        <w:numPr>
          <w:ilvl w:val="0"/>
          <w:numId w:val="1"/>
        </w:numPr>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服务期限</w:t>
      </w:r>
    </w:p>
    <w:p>
      <w:pPr>
        <w:pStyle w:val="49"/>
        <w:widowControl/>
        <w:numPr>
          <w:ilvl w:val="0"/>
          <w:numId w:val="0"/>
        </w:numPr>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服务期限：9个月。其中，项目建设期不超过5个月（项目要求的成果在2022年7月31日前提交初稿），初稿提交后一个月根据我公司的要求进行修改并提交终稿。跟踪支持服务期为4个月，具体期限以服务合同为准。</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（三）服务需求</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1.项目目标</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完善与整合公司风控、内控、合规管理体系，明晰三项职能在公司治理和职能管理中定位，建立风控、内控、合规三位一体的“大风控”管理机制，基本实现“大风控”管理体系健全、制度体系完备、工作流程规范，风险控制到位，为公司的持续健康发展保驾护航。</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2.项目内容</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在原有内控和风控体系建设的基础上，更新内控体系，夯实风控体系，建立合规体系，具体包括如下方面的内容：</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（1）一体化管理机制建设</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A.一体化管理组织架构与职责分工设计。明确公司风控、内控、合规一体化管理的范畴、内容、组织架构与职责分工，实现风险、内控、合规三者工作的高度融合、协作，工作职责清晰合理，工作要求明确可执行。</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B. 一体化管理制度设计。建立一体化管理制度，管理制度的设计应充分整合公司现有的内部控制、风险管理相关管理制度，形成整合的风险内控合规一体化管理制度体系。并且需整合公司与经营业务相关的核心管理领域对应的制度。</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C.一体化管理流程设计。流程设计是体系落点的关键，结合现有工作流程，根据整合后的制度体系，针对与经营业务相关的核心管理领域，提出一体化流程管理建议。</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D.一体化评价制度设计。设计风控、内控、合规一体化管理评价制度，一体化管理评价制度的设计应充分整合公司现有的内部控制、风险管理相关评价管理制度，形成整合的风险内控合规一体化评价管理制度，实现三者评价工作工具、流程、方法、范围的高度整合，起到以评促建，持续推进公司及下属单位风险内控合规一体化管理水平的目的。</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E.一体化考核评价办法设计。结合风险、内控、合规三者的组织架构设置、日常管理工作、年度监督评价工作的开展情况、实际的管理成效、整改完成情况等多方面开展综合评价与考核，设计风险内控合规一体化管理考核评价办法，考核结果应与公司各部门及各下属单位的组织考核直接挂钩，以推动公司及下属单位真正做到实现“强内控、防风险、促合规”的管控目标。</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auto"/>
          <w:spacing w:val="0"/>
          <w:w w:val="100"/>
          <w:kern w:val="2"/>
          <w:sz w:val="28"/>
          <w:szCs w:val="28"/>
          <w:lang w:val="en-US" w:eastAsia="zh-CN" w:bidi="ar-SA"/>
        </w:rPr>
      </w:pPr>
      <w:r>
        <w:rPr>
          <w:rStyle w:val="48"/>
          <w:rFonts w:hint="eastAsia" w:ascii="仿宋" w:hAnsi="仿宋" w:eastAsia="仿宋" w:cs="仿宋"/>
          <w:b w:val="0"/>
          <w:i w:val="0"/>
          <w:caps w:val="0"/>
          <w:color w:val="auto"/>
          <w:spacing w:val="0"/>
          <w:w w:val="100"/>
          <w:kern w:val="2"/>
          <w:sz w:val="28"/>
          <w:szCs w:val="28"/>
          <w:lang w:val="en-US" w:eastAsia="zh-CN" w:bidi="ar-SA"/>
        </w:rPr>
        <w:t>（2）一体化管理手册建设</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auto"/>
          <w:spacing w:val="0"/>
          <w:w w:val="100"/>
          <w:kern w:val="2"/>
          <w:sz w:val="28"/>
          <w:szCs w:val="28"/>
          <w:lang w:val="en-US" w:eastAsia="zh-CN" w:bidi="ar-SA"/>
        </w:rPr>
      </w:pPr>
      <w:r>
        <w:rPr>
          <w:rStyle w:val="48"/>
          <w:rFonts w:hint="eastAsia" w:ascii="仿宋" w:hAnsi="仿宋" w:eastAsia="仿宋" w:cs="仿宋"/>
          <w:b w:val="0"/>
          <w:i w:val="0"/>
          <w:caps w:val="0"/>
          <w:color w:val="auto"/>
          <w:spacing w:val="0"/>
          <w:w w:val="100"/>
          <w:kern w:val="2"/>
          <w:sz w:val="28"/>
          <w:szCs w:val="28"/>
          <w:lang w:val="en-US" w:eastAsia="zh-CN" w:bidi="ar-SA"/>
        </w:rPr>
        <w:t>在明确公司风险、内控、合规管理重点的基础上，初步选定财务资金管理、工程建设管理、运营管理、采购管理、投资管理、资产管理、法务管理、人力资源管理八个重点管理领域（项目实施过程中可根据梳理的实际情况进行调整），制定基于外法内规、内部控制、风险管理、合规管理的《一体化管理手册》，梳理及明确各重点管理领域的作业流程规范、制度依据、风险评估与合规检查要点，作为风险管理职能部门开展年度一体化风险识别与评估的重要工具。一体化管理手册的建设应充分整合公司现有的内部控制手册、风险管理手册，针对同一业务事项实现从风险、合规、内控三个角度的整合管理，实现风险内控合规与业务管理的充分融合。</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（3）一体化管理有效性评估</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针对选定的八个重点管理领域全面分析其组织与岗位设置、制度、流程设计是否符合外部相关法律法规、监管规范的要求，是否风险控制有效恰当、识别内部控制需要进一步优化与完善的环节，提出各管理领域管理优化的具体举措建议与方案，推动公司本部各管理领域风险防控能力、管理效率与成效的双提升。</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（4）一体化信息系统建设规划</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结合设计的风险、内控、合规一体化管理体系与信息化建设的优秀实践经验，规划“大风控”信息化建设路径、提出信息化建设需求，作为后续信息化建设的重要参考。</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3.其他内容</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（1）落地辅导期，通过沟通与培训，在项目建设和实施过程中，针对项目内容，建立恰当的沟通机制，并对相关人员进行培训。项目期间不少于3次体系宣讲专题培训。</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（2）项目运行后的首次评价。实施评价并组织回头看，保证内控风控合规体系的平稳移交。</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4.项目管理</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响应人须在服务方案中提交详细的服务实施计划，至少包含以下内容：</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bookmarkStart w:id="2" w:name="_Toc419587328"/>
      <w:r>
        <w:rPr>
          <w:rStyle w:val="48"/>
          <w:rFonts w:hint="eastAsia" w:ascii="仿宋" w:hAnsi="仿宋" w:eastAsia="仿宋" w:cs="仿宋"/>
          <w:b w:val="0"/>
          <w:i w:val="0"/>
          <w:caps w:val="0"/>
          <w:color w:val="000000"/>
          <w:spacing w:val="0"/>
          <w:w w:val="100"/>
          <w:kern w:val="2"/>
          <w:sz w:val="28"/>
          <w:szCs w:val="28"/>
          <w:lang w:val="en-US" w:eastAsia="zh-CN" w:bidi="ar-SA"/>
        </w:rPr>
        <w:t>（1）项目人员要求</w:t>
      </w:r>
      <w:bookmarkEnd w:id="2"/>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响应人提交项目管理组织机构设置方案，明确提供项目总监、项目经理、咨询顾问名单以及上述人员资质、证书、工作简历和相关项目开发、实施经历，在项目实施过程中，未经采购人书面同意，不得更换。项目组成员必须具备良好的职业操守，不存在违反职业操守的不良记录，工作过程中应当严格保守我公司商业秘密。</w:t>
      </w:r>
      <w:bookmarkStart w:id="3" w:name="_Toc419587329"/>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（2）项目实施要求</w:t>
      </w:r>
      <w:bookmarkEnd w:id="3"/>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bookmarkStart w:id="4" w:name="_Toc524106512"/>
      <w:r>
        <w:rPr>
          <w:rStyle w:val="48"/>
          <w:rFonts w:hint="eastAsia" w:ascii="仿宋" w:hAnsi="仿宋" w:eastAsia="仿宋" w:cs="仿宋"/>
          <w:b w:val="0"/>
          <w:i w:val="0"/>
          <w:caps w:val="0"/>
          <w:color w:val="000000"/>
          <w:spacing w:val="0"/>
          <w:w w:val="100"/>
          <w:kern w:val="2"/>
          <w:sz w:val="28"/>
          <w:szCs w:val="28"/>
          <w:lang w:val="en-US" w:eastAsia="zh-CN" w:bidi="ar-SA"/>
        </w:rPr>
        <w:t>第一阶段（2022年4月-2022年7月）</w:t>
      </w:r>
      <w:bookmarkEnd w:id="4"/>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bookmarkStart w:id="5" w:name="_Toc524106514"/>
      <w:r>
        <w:rPr>
          <w:rStyle w:val="48"/>
          <w:rFonts w:hint="eastAsia" w:ascii="仿宋" w:hAnsi="仿宋" w:eastAsia="仿宋" w:cs="仿宋"/>
          <w:b w:val="0"/>
          <w:i w:val="0"/>
          <w:caps w:val="0"/>
          <w:color w:val="000000"/>
          <w:spacing w:val="0"/>
          <w:w w:val="100"/>
          <w:kern w:val="2"/>
          <w:sz w:val="28"/>
          <w:szCs w:val="28"/>
          <w:lang w:val="en-US" w:eastAsia="zh-CN" w:bidi="ar-SA"/>
        </w:rPr>
        <w:t>合同签订后五个工作日内，响应人提交详细的服务方案，并因根据公司的合理要求进行修改，方案作为项目实施进度管理的依据。</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合同签订后五个工作日内，响应人进场开展内控风控合规体系建设工作，完善与整合公司风控、内控、合规管理体系，建立风控、内控、合规三位一体的“大风控”管理机制，基本实现“大风控”管理体系健全、制度体系完备、工作流程规范，风险控制到位。2022年7月31日前提交项目成果初稿。</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第二阶段（提交项目初稿后1个月内）</w:t>
      </w:r>
      <w:bookmarkEnd w:id="5"/>
      <w:bookmarkStart w:id="6" w:name="_Toc524106515"/>
    </w:p>
    <w:bookmarkEnd w:id="6"/>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bookmarkStart w:id="7" w:name="_Toc524106516"/>
      <w:r>
        <w:rPr>
          <w:rStyle w:val="48"/>
          <w:rFonts w:hint="eastAsia" w:ascii="仿宋" w:hAnsi="仿宋" w:eastAsia="仿宋" w:cs="仿宋"/>
          <w:b w:val="0"/>
          <w:i w:val="0"/>
          <w:caps w:val="0"/>
          <w:color w:val="000000"/>
          <w:spacing w:val="0"/>
          <w:w w:val="100"/>
          <w:kern w:val="2"/>
          <w:sz w:val="28"/>
          <w:szCs w:val="28"/>
          <w:lang w:val="en-US" w:eastAsia="zh-CN" w:bidi="ar-SA"/>
        </w:rPr>
        <w:t>公司组织对项目成果进行验收</w:t>
      </w:r>
      <w:bookmarkEnd w:id="7"/>
      <w:bookmarkStart w:id="8" w:name="_Toc524106517"/>
      <w:r>
        <w:rPr>
          <w:rStyle w:val="48"/>
          <w:rFonts w:hint="eastAsia" w:ascii="仿宋" w:hAnsi="仿宋" w:eastAsia="仿宋" w:cs="仿宋"/>
          <w:b w:val="0"/>
          <w:i w:val="0"/>
          <w:caps w:val="0"/>
          <w:color w:val="000000"/>
          <w:spacing w:val="0"/>
          <w:w w:val="100"/>
          <w:kern w:val="2"/>
          <w:sz w:val="28"/>
          <w:szCs w:val="28"/>
          <w:lang w:val="en-US" w:eastAsia="zh-CN" w:bidi="ar-SA"/>
        </w:rPr>
        <w:t>，成交单位根据公司意见对项目初稿进行调整修改；验收通过后，公司办理成果内部报批。</w:t>
      </w:r>
      <w:bookmarkEnd w:id="8"/>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第三阶段（验收合格之日起4个月内）</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由成交单位进行三体系宣贯与培训；进行项目落地辅导。</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（3）进度管理</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 xml:space="preserve"> A.响应人需详细列出项目各项任务的工期和人数，作为进度管理的基准。</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 xml:space="preserve"> B.定期报告。每周提交项目进度，包括进度分析、已完成工作、下阶段计划、主要成果、主要问题等内容。</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 xml:space="preserve"> C.阶段报告。每月提交阶段性报告，报告中包括进度分析、已完成工作、下阶段计划、主要成果、主要问题以及项目成果交付件。</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 xml:space="preserve"> D.如果进度出现较大偏差，可能影响项目目标时，需要提交应对计划，提交采购人管理层批准。</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 xml:space="preserve">    5.项目成果要求</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 xml:space="preserve">    响应人需完成的项目成果，包括但不限于：</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《风险内控合规一体化管理办法》</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《风险内控合规一体化制度优化建议》（重点领域）</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《风险内控合规一体化管理考核评价办法》</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《风险内控合规一体化管理手册》（重点领域）</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《风险内控合规一体化评估报告》（重点领域）</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《公司党委、董事会、经理层权责清单》</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《风险内控合规信息化建设规划建议》</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《合规审查指引》</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响应人根据项目经验可以提供的其他项目成果</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6.项目验收</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采购人自行组织专家对项目成果进行评审验收。</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7.知识转移</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（1）在项目期间，咨询机构通过培训、研讨等方式，提升采购人内控风险合规管理理念，辅助采购人建立持续改进的机制。</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（2）在项目完成之日起7日内，向采购人转移本项目涉及的所有相关文档。</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（3）所有项目成果及过程资料的知识产权归属于采购人。</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8.售后服务</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项目结束后，还应提供为期四个月的跟踪支持服务，协助内控风控合规体系持续改进，服务内容至少应包括：</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（1）为采购人提供电话、电子邮件支持，及时解决体系运行中遇到的问题。</w:t>
      </w:r>
    </w:p>
    <w:p>
      <w:pPr>
        <w:pStyle w:val="2"/>
        <w:ind w:firstLine="560" w:firstLineChars="200"/>
        <w:rPr>
          <w:rFonts w:hint="eastAsia" w:ascii="仿宋" w:hAnsi="仿宋" w:eastAsia="仿宋" w:cs="仿宋"/>
        </w:rPr>
      </w:pPr>
      <w:r>
        <w:rPr>
          <w:rStyle w:val="48"/>
          <w:rFonts w:hint="eastAsia" w:ascii="仿宋" w:hAnsi="仿宋" w:eastAsia="仿宋" w:cs="仿宋"/>
          <w:b w:val="0"/>
          <w:i w:val="0"/>
          <w:caps w:val="0"/>
          <w:color w:val="000000"/>
          <w:spacing w:val="0"/>
          <w:w w:val="100"/>
          <w:kern w:val="2"/>
          <w:sz w:val="28"/>
          <w:szCs w:val="28"/>
          <w:lang w:val="en-US" w:eastAsia="zh-CN" w:bidi="ar-SA"/>
        </w:rPr>
        <w:t>（2）以邮件方式提供内控风控合规领域的最新动态信息。</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三、项目商务要求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1.工期：见合同书格式。</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2.质量要求：</w:t>
      </w:r>
      <w:r>
        <w:rPr>
          <w:rFonts w:hint="eastAsia" w:ascii="仿宋" w:hAnsi="仿宋" w:eastAsia="仿宋" w:cs="仿宋"/>
          <w:sz w:val="28"/>
          <w:szCs w:val="28"/>
          <w:lang w:val="en-US" w:eastAsia="zh-CN"/>
        </w:rPr>
        <w:t>通过采购人的验收。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3.付款方式：见合同书格式。</w:t>
      </w:r>
    </w:p>
    <w:p>
      <w:pPr>
        <w:spacing w:line="360" w:lineRule="auto"/>
        <w:ind w:firstLine="560" w:firstLineChars="200"/>
        <w:rPr>
          <w:rFonts w:hint="eastAsia" w:eastAsia="仿宋_GB2312"/>
          <w:lang w:val="en-US" w:eastAsia="zh-CN"/>
        </w:rPr>
      </w:pPr>
      <w:r>
        <w:rPr>
          <w:rFonts w:hint="eastAsia" w:ascii="仿宋" w:hAnsi="仿宋" w:eastAsia="仿宋" w:cs="仿宋"/>
          <w:sz w:val="28"/>
          <w:szCs w:val="28"/>
        </w:rPr>
        <w:t>4.承包方式：总价包干。</w:t>
      </w:r>
    </w:p>
    <w:p>
      <w:pPr>
        <w:widowControl/>
        <w:spacing w:line="560" w:lineRule="exact"/>
        <w:ind w:firstLine="560" w:firstLineChars="200"/>
        <w:jc w:val="left"/>
        <w:rPr>
          <w:rFonts w:ascii="仿宋_GB2312" w:hAnsi="宋体" w:eastAsia="仿宋_GB2312"/>
          <w:sz w:val="28"/>
          <w:szCs w:val="28"/>
        </w:rPr>
      </w:pP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11"/>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11"/>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1"/>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1"/>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11"/>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11"/>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11"/>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11"/>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11"/>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11"/>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11"/>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11"/>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11"/>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r>
        <w:rPr>
          <w:rFonts w:hint="eastAsia" w:ascii="仿宋" w:hAnsi="仿宋" w:eastAsia="仿宋" w:cs="仿宋"/>
          <w:sz w:val="28"/>
          <w:szCs w:val="28"/>
        </w:rPr>
        <w:t>报价若低于本项目最高限价的60%，必须在响应文件中说明报价理由。</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（11）本项目截止时间前的半年中，在询价人组织的招标、询价活动中有被查实提供虚假投标材料的。</w:t>
      </w:r>
    </w:p>
    <w:p>
      <w:pPr>
        <w:pStyle w:val="11"/>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11"/>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highlight w:val="none"/>
        </w:rPr>
        <w:t>本项目</w:t>
      </w:r>
      <w:r>
        <w:rPr>
          <w:rFonts w:hint="eastAsia" w:ascii="仿宋" w:hAnsi="仿宋" w:eastAsia="仿宋" w:cs="仿宋_GB2312"/>
          <w:kern w:val="0"/>
          <w:sz w:val="28"/>
          <w:szCs w:val="28"/>
          <w:highlight w:val="none"/>
          <w:lang w:val="en-US" w:eastAsia="zh-CN"/>
        </w:rPr>
        <w:t>不</w:t>
      </w:r>
      <w:r>
        <w:rPr>
          <w:rFonts w:hint="eastAsia" w:ascii="仿宋" w:hAnsi="仿宋" w:eastAsia="仿宋" w:cs="仿宋_GB2312"/>
          <w:kern w:val="0"/>
          <w:sz w:val="28"/>
          <w:szCs w:val="28"/>
          <w:highlight w:val="none"/>
        </w:rPr>
        <w:t>接受联合体参加报价</w:t>
      </w:r>
      <w:r>
        <w:rPr>
          <w:rFonts w:ascii="仿宋" w:hAnsi="仿宋" w:eastAsia="仿宋" w:cs="仿宋_GB2312"/>
          <w:kern w:val="0"/>
          <w:sz w:val="28"/>
          <w:szCs w:val="28"/>
          <w:highlight w:val="none"/>
        </w:rPr>
        <w:t>。</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hint="eastAsia" w:ascii="仿宋" w:hAnsi="仿宋" w:eastAsia="仿宋" w:cs="仿宋_GB2312"/>
          <w:color w:val="000000" w:themeColor="text1"/>
          <w:kern w:val="0"/>
          <w:sz w:val="28"/>
          <w:szCs w:val="28"/>
          <w:u w:val="single"/>
          <w14:textFill>
            <w14:solidFill>
              <w14:schemeClr w14:val="tx1"/>
            </w14:solidFill>
          </w14:textFill>
        </w:rPr>
        <w:t>贰</w:t>
      </w:r>
      <w:r>
        <w:rPr>
          <w:rFonts w:ascii="仿宋" w:hAnsi="仿宋" w:eastAsia="仿宋" w:cs="仿宋_GB2312"/>
          <w:color w:val="000000" w:themeColor="text1"/>
          <w:kern w:val="0"/>
          <w:sz w:val="28"/>
          <w:szCs w:val="28"/>
          <w:u w:val="single"/>
          <w14:textFill>
            <w14:solidFill>
              <w14:schemeClr w14:val="tx1"/>
            </w14:solidFill>
          </w14:textFill>
        </w:rPr>
        <w:t xml:space="preserve"> </w:t>
      </w:r>
      <w:r>
        <w:rPr>
          <w:rFonts w:hint="eastAsia" w:ascii="仿宋" w:hAnsi="仿宋" w:eastAsia="仿宋" w:cs="仿宋_GB2312"/>
          <w:color w:val="000000" w:themeColor="text1"/>
          <w:kern w:val="0"/>
          <w:sz w:val="28"/>
          <w:szCs w:val="28"/>
          <w14:textFill>
            <w14:solidFill>
              <w14:schemeClr w14:val="tx1"/>
            </w14:solidFill>
          </w14:textFill>
        </w:rPr>
        <w:t>份，其中正本</w:t>
      </w:r>
      <w:r>
        <w:rPr>
          <w:rFonts w:hint="eastAsia" w:ascii="仿宋" w:hAnsi="仿宋" w:eastAsia="仿宋" w:cs="仿宋_GB2312"/>
          <w:color w:val="000000" w:themeColor="text1"/>
          <w:kern w:val="0"/>
          <w:sz w:val="28"/>
          <w:szCs w:val="28"/>
          <w:u w:val="single"/>
          <w14:textFill>
            <w14:solidFill>
              <w14:schemeClr w14:val="tx1"/>
            </w14:solidFill>
          </w14:textFill>
        </w:rPr>
        <w:t>壹</w:t>
      </w:r>
      <w:r>
        <w:rPr>
          <w:rFonts w:hint="eastAsia" w:ascii="仿宋" w:hAnsi="仿宋" w:eastAsia="仿宋" w:cs="仿宋_GB2312"/>
          <w:color w:val="000000" w:themeColor="text1"/>
          <w:kern w:val="0"/>
          <w:sz w:val="28"/>
          <w:szCs w:val="28"/>
          <w14:textFill>
            <w14:solidFill>
              <w14:schemeClr w14:val="tx1"/>
            </w14:solidFill>
          </w14:textFill>
        </w:rPr>
        <w:t>份和副本</w:t>
      </w:r>
      <w:r>
        <w:rPr>
          <w:rFonts w:hint="eastAsia" w:ascii="仿宋" w:hAnsi="仿宋" w:eastAsia="仿宋" w:cs="仿宋_GB2312"/>
          <w:color w:val="000000" w:themeColor="text1"/>
          <w:kern w:val="0"/>
          <w:sz w:val="28"/>
          <w:szCs w:val="28"/>
          <w:u w:val="single"/>
          <w14:textFill>
            <w14:solidFill>
              <w14:schemeClr w14:val="tx1"/>
            </w14:solidFill>
          </w14:textFill>
        </w:rPr>
        <w:t>壹</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11"/>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1"/>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11"/>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w:t>
      </w:r>
      <w:r>
        <w:rPr>
          <w:rFonts w:ascii="仿宋" w:hAnsi="仿宋" w:eastAsia="仿宋" w:cs="仿宋_GB2312"/>
          <w:b/>
          <w:bCs/>
          <w:color w:val="000000" w:themeColor="text1"/>
          <w:kern w:val="0"/>
          <w:sz w:val="28"/>
          <w:szCs w:val="28"/>
          <w14:textFill>
            <w14:solidFill>
              <w14:schemeClr w14:val="tx1"/>
            </w14:solidFill>
          </w14:textFill>
        </w:rPr>
        <w:t>报价最低</w:t>
      </w:r>
      <w:r>
        <w:rPr>
          <w:rFonts w:ascii="仿宋" w:hAnsi="仿宋" w:eastAsia="仿宋" w:cs="仿宋_GB2312"/>
          <w:color w:val="000000" w:themeColor="text1"/>
          <w:kern w:val="0"/>
          <w:sz w:val="28"/>
          <w:szCs w:val="28"/>
          <w14:textFill>
            <w14:solidFill>
              <w14:schemeClr w14:val="tx1"/>
            </w14:solidFill>
          </w14:textFill>
        </w:rPr>
        <w:t>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1"/>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pStyle w:val="20"/>
      </w:pPr>
    </w:p>
    <w:p>
      <w:pPr>
        <w:spacing w:line="440" w:lineRule="exact"/>
        <w:rPr>
          <w:rFonts w:ascii="仿宋" w:hAnsi="仿宋" w:eastAsia="仿宋" w:cs="仿宋_GB2312"/>
          <w:b/>
          <w:bCs/>
          <w:color w:val="000000"/>
          <w:sz w:val="32"/>
          <w:szCs w:val="32"/>
        </w:rPr>
      </w:pPr>
      <w:bookmarkStart w:id="9" w:name="_Toc247085739"/>
      <w:bookmarkStart w:id="10" w:name="_Toc152042358"/>
      <w:bookmarkStart w:id="11" w:name="_Toc144974548"/>
      <w:bookmarkStart w:id="12" w:name="_Toc371433002"/>
      <w:bookmarkStart w:id="13" w:name="_Toc179632599"/>
      <w:bookmarkStart w:id="14" w:name="_Toc152045581"/>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color w:val="000000"/>
        </w:rPr>
      </w:pPr>
      <w:r>
        <w:rPr>
          <w:rFonts w:hint="eastAsia" w:ascii="仿宋" w:hAnsi="仿宋" w:eastAsia="仿宋" w:cs="仿宋_GB2312"/>
          <w:b/>
          <w:bCs/>
          <w:color w:val="000000"/>
          <w:sz w:val="32"/>
          <w:szCs w:val="32"/>
        </w:rPr>
        <w:t>附件一报价记录表</w:t>
      </w:r>
      <w:bookmarkEnd w:id="9"/>
      <w:bookmarkEnd w:id="10"/>
      <w:bookmarkEnd w:id="11"/>
      <w:bookmarkEnd w:id="12"/>
      <w:bookmarkEnd w:id="13"/>
      <w:bookmarkEnd w:id="14"/>
    </w:p>
    <w:p>
      <w:pPr>
        <w:spacing w:line="400" w:lineRule="exact"/>
        <w:jc w:val="center"/>
        <w:rPr>
          <w:rFonts w:hint="eastAsia" w:ascii="仿宋" w:hAnsi="仿宋" w:eastAsia="仿宋" w:cs="仿宋_GB2312"/>
          <w:bCs/>
          <w:color w:val="000000"/>
          <w:sz w:val="28"/>
          <w:szCs w:val="28"/>
          <w:u w:val="single"/>
          <w:lang w:val="en-US" w:eastAsia="zh-CN"/>
        </w:rPr>
      </w:pPr>
      <w:r>
        <w:rPr>
          <w:rFonts w:hint="eastAsia" w:ascii="仿宋" w:hAnsi="仿宋" w:eastAsia="仿宋" w:cs="仿宋_GB2312"/>
          <w:bCs/>
          <w:color w:val="000000"/>
          <w:sz w:val="28"/>
          <w:szCs w:val="28"/>
          <w:u w:val="single"/>
        </w:rPr>
        <w:t>广州市净水有限公司</w:t>
      </w:r>
      <w:r>
        <w:rPr>
          <w:rFonts w:hint="eastAsia" w:ascii="仿宋" w:hAnsi="仿宋" w:eastAsia="仿宋" w:cs="仿宋_GB2312"/>
          <w:bCs/>
          <w:color w:val="000000"/>
          <w:sz w:val="28"/>
          <w:szCs w:val="28"/>
          <w:u w:val="single"/>
          <w:lang w:val="en-US" w:eastAsia="zh-CN"/>
        </w:rPr>
        <w:t>风控内控合规三体系整合构建咨询服务（第二次）</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ascii="仿宋" w:hAnsi="仿宋" w:eastAsia="仿宋" w:cs="仿宋_GB2312"/>
          <w:color w:val="000000"/>
        </w:rPr>
        <w:t xml:space="preserve">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w:t>
      </w:r>
      <w:r>
        <w:rPr>
          <w:rFonts w:ascii="仿宋" w:hAnsi="仿宋" w:eastAsia="仿宋"/>
          <w:color w:val="000000"/>
          <w:sz w:val="24"/>
        </w:rPr>
        <w:t>:</w:t>
      </w:r>
      <w:r>
        <w:rPr>
          <w:rFonts w:hint="eastAsia" w:ascii="仿宋" w:hAnsi="仿宋" w:eastAsia="仿宋"/>
          <w:color w:val="000000"/>
          <w:sz w:val="24"/>
        </w:rPr>
        <w:t>广州市净水有限公司</w:t>
      </w:r>
      <w:r>
        <w:rPr>
          <w:rFonts w:hint="eastAsia" w:ascii="仿宋" w:hAnsi="仿宋" w:eastAsia="仿宋"/>
          <w:color w:val="000000"/>
          <w:sz w:val="24"/>
          <w:lang w:val="en-US" w:eastAsia="zh-CN"/>
        </w:rPr>
        <w:t>风控内控合规三体系整合构建咨询服务项目（第二次）</w:t>
      </w:r>
      <w:r>
        <w:rPr>
          <w:rFonts w:ascii="仿宋" w:hAnsi="仿宋" w:eastAsia="仿宋"/>
          <w:color w:val="000000"/>
          <w:sz w:val="24"/>
        </w:rPr>
        <w:t xml:space="preserve"> </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w:t>
      </w:r>
      <w:r>
        <w:rPr>
          <w:rFonts w:ascii="仿宋" w:hAnsi="仿宋" w:eastAsia="仿宋"/>
          <w:color w:val="000000"/>
        </w:rPr>
        <w:t>1、审核情况填写“符合”或“不符合；或者打“√”或“×”。</w:t>
      </w:r>
    </w:p>
    <w:p>
      <w:pPr>
        <w:numPr>
          <w:ilvl w:val="0"/>
          <w:numId w:val="3"/>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w:t>
      </w:r>
      <w:r>
        <w:rPr>
          <w:rFonts w:hint="eastAsia" w:ascii="仿宋" w:hAnsi="仿宋" w:eastAsia="仿宋" w:cs="STSong-Light"/>
          <w:color w:val="000000" w:themeColor="text1"/>
          <w:kern w:val="0"/>
          <w:sz w:val="32"/>
          <w:szCs w:val="32"/>
          <w:lang w:val="en-US" w:eastAsia="zh-CN"/>
          <w14:textFill>
            <w14:solidFill>
              <w14:schemeClr w14:val="tx1"/>
            </w14:solidFill>
          </w14:textFill>
        </w:rPr>
        <w:t>风控内控合规三体系整合构建咨询服务项目</w:t>
      </w:r>
      <w:r>
        <w:rPr>
          <w:rFonts w:ascii="仿宋" w:hAnsi="仿宋" w:eastAsia="仿宋" w:cs="STSong-Light"/>
          <w:color w:val="000000" w:themeColor="text1"/>
          <w:kern w:val="0"/>
          <w:sz w:val="32"/>
          <w:szCs w:val="32"/>
          <w14:textFill>
            <w14:solidFill>
              <w14:schemeClr w14:val="tx1"/>
            </w14:solidFill>
          </w14:textFill>
        </w:rPr>
        <w:t xml:space="preserve"> 的承包单位，承包内容为询价文件所规定的发包内容，报价为人民币×拾×万×仟×佰元（￥   </w:t>
      </w:r>
      <w:r>
        <w:rPr>
          <w:rFonts w:hint="eastAsia" w:ascii="仿宋" w:hAnsi="仿宋" w:eastAsia="仿宋" w:cs="STSong-Light"/>
          <w:color w:val="000000" w:themeColor="text1"/>
          <w:kern w:val="0"/>
          <w:sz w:val="32"/>
          <w:szCs w:val="32"/>
          <w14:textFill>
            <w14:solidFill>
              <w14:schemeClr w14:val="tx1"/>
            </w14:solidFill>
          </w14:textFill>
        </w:rPr>
        <w:t>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9"/>
        <w:numPr>
          <w:ilvl w:val="0"/>
          <w:numId w:val="4"/>
        </w:numPr>
      </w:pPr>
      <w:r>
        <w:rPr>
          <w:rFonts w:hint="eastAsia"/>
        </w:rPr>
        <w:t>合同书格式</w:t>
      </w:r>
    </w:p>
    <w:p/>
    <w:p/>
    <w:p>
      <w:pPr>
        <w:rPr>
          <w:rFonts w:ascii="仿宋_GB2312" w:hAnsi="仿宋_GB2312" w:eastAsia="仿宋_GB2312" w:cs="仿宋_GB2312"/>
          <w:sz w:val="28"/>
          <w:szCs w:val="28"/>
        </w:rPr>
      </w:pPr>
    </w:p>
    <w:p>
      <w:pPr>
        <w:ind w:firstLine="228" w:firstLineChars="95"/>
        <w:rPr>
          <w:rFonts w:ascii="宋体" w:hAnsi="宋体"/>
          <w:color w:val="000000"/>
          <w:sz w:val="24"/>
        </w:rPr>
      </w:pP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w:t>
      </w:r>
      <w:r>
        <w:rPr>
          <w:rFonts w:ascii="宋体" w:hAnsi="宋体" w:cs="宋体"/>
          <w:color w:val="000000"/>
          <w:sz w:val="24"/>
          <w:szCs w:val="24"/>
        </w:rPr>
        <w:t xml:space="preserve"> </w:t>
      </w:r>
      <w:r>
        <w:rPr>
          <w:rFonts w:hint="eastAsia" w:ascii="宋体" w:hAnsi="宋体" w:cs="宋体"/>
          <w:color w:val="000000"/>
          <w:sz w:val="24"/>
          <w:szCs w:val="24"/>
        </w:rPr>
        <w:t>：</w:t>
      </w:r>
      <w:r>
        <w:rPr>
          <w:rFonts w:hint="eastAsia" w:ascii="宋体" w:hAnsi="宋体" w:cs="宋体"/>
          <w:color w:val="000000"/>
          <w:sz w:val="24"/>
          <w:szCs w:val="24"/>
          <w:u w:val="single"/>
        </w:rPr>
        <w:t>广州市</w:t>
      </w:r>
      <w:r>
        <w:rPr>
          <w:rFonts w:hint="eastAsia" w:ascii="宋体" w:hAnsi="宋体" w:cs="宋体"/>
          <w:bCs/>
          <w:color w:val="000000"/>
          <w:sz w:val="24"/>
          <w:szCs w:val="24"/>
          <w:u w:val="single"/>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w:t>
      </w:r>
      <w:r>
        <w:rPr>
          <w:rFonts w:ascii="宋体" w:hAnsi="宋体" w:cs="宋体"/>
          <w:color w:val="000000"/>
          <w:sz w:val="24"/>
          <w:szCs w:val="24"/>
        </w:rPr>
        <w:t xml:space="preserve"> </w:t>
      </w:r>
      <w:r>
        <w:rPr>
          <w:rFonts w:hint="eastAsia" w:ascii="宋体" w:hAnsi="宋体" w:cs="宋体"/>
          <w:color w:val="000000"/>
          <w:sz w:val="24"/>
          <w:szCs w:val="24"/>
        </w:rPr>
        <w:t>：</w:t>
      </w:r>
    </w:p>
    <w:p>
      <w:pPr>
        <w:adjustRightInd w:val="0"/>
        <w:spacing w:line="360" w:lineRule="auto"/>
        <w:ind w:firstLine="228" w:firstLineChars="95"/>
        <w:jc w:val="left"/>
        <w:textAlignment w:val="baseline"/>
        <w:rPr>
          <w:rFonts w:ascii="宋体" w:hAnsi="宋体" w:cs="宋体"/>
          <w:color w:val="000000"/>
          <w:sz w:val="24"/>
          <w:szCs w:val="24"/>
          <w:u w:val="single"/>
        </w:rPr>
      </w:pPr>
    </w:p>
    <w:p>
      <w:pPr>
        <w:snapToGrid w:val="0"/>
        <w:spacing w:line="360" w:lineRule="auto"/>
        <w:ind w:firstLine="480" w:firstLineChars="200"/>
        <w:rPr>
          <w:rFonts w:ascii="宋体" w:hAnsi="宋体" w:cs="宋体"/>
          <w:sz w:val="24"/>
        </w:rPr>
      </w:pPr>
      <w:r>
        <w:rPr>
          <w:rFonts w:hint="eastAsia" w:hAnsi="宋体" w:cs="宋体"/>
          <w:color w:val="000000"/>
          <w:sz w:val="24"/>
          <w:szCs w:val="24"/>
        </w:rPr>
        <w:t>甲方就</w:t>
      </w:r>
      <w:r>
        <w:rPr>
          <w:rFonts w:hint="eastAsia" w:hAnsi="宋体" w:cs="宋体"/>
          <w:sz w:val="24"/>
          <w:szCs w:val="24"/>
          <w:u w:val="single"/>
        </w:rPr>
        <w:t>广州市净水有限公司</w:t>
      </w:r>
      <w:r>
        <w:rPr>
          <w:rFonts w:hint="eastAsia" w:hAnsi="宋体" w:cs="宋体"/>
          <w:sz w:val="24"/>
          <w:szCs w:val="24"/>
          <w:u w:val="single"/>
          <w:lang w:val="en-US" w:eastAsia="zh-CN"/>
        </w:rPr>
        <w:t>风控内控合规三体系整合构建咨询服务项目</w:t>
      </w:r>
      <w:r>
        <w:rPr>
          <w:rFonts w:hint="eastAsia" w:hAnsi="宋体" w:cs="宋体"/>
          <w:color w:val="000000"/>
          <w:sz w:val="24"/>
          <w:szCs w:val="24"/>
        </w:rPr>
        <w:t>委托乙方提供相应工作成果。</w:t>
      </w:r>
      <w:r>
        <w:rPr>
          <w:rFonts w:hint="eastAsia" w:ascii="宋体" w:hAnsi="宋体" w:cs="宋体"/>
          <w:sz w:val="24"/>
        </w:rPr>
        <w:t>为了完善与整合甲方风控、内控、合规管理体系，建立风控、内控、合规三位一体的“大风控”管理机制，基本实现“大风控”管理体系健全、制度体系完备、工作流程规范，风险控制到位，为甲方的持续健康发展保驾护航，甲方委托乙方提供风控内控合规三体系整合构建咨询服务（以下简称三体系</w:t>
      </w:r>
      <w:r>
        <w:rPr>
          <w:rFonts w:hint="eastAsia" w:ascii="宋体" w:hAnsi="宋体" w:cs="宋体"/>
          <w:sz w:val="24"/>
          <w:lang w:val="en-US" w:eastAsia="zh-CN"/>
        </w:rPr>
        <w:t>或一体化</w:t>
      </w:r>
      <w:r>
        <w:rPr>
          <w:rFonts w:hint="eastAsia" w:ascii="宋体" w:hAnsi="宋体" w:cs="宋体"/>
          <w:sz w:val="24"/>
        </w:rPr>
        <w:t>），乙方同意接受甲方委托。经甲乙双方友好协商，为明确双方权利和义务，特签订本合同，共同遵守。</w:t>
      </w:r>
    </w:p>
    <w:p>
      <w:pPr>
        <w:snapToGrid w:val="0"/>
        <w:spacing w:line="360" w:lineRule="auto"/>
        <w:rPr>
          <w:rFonts w:ascii="宋体" w:hAnsi="宋体" w:cs="宋体"/>
          <w:sz w:val="24"/>
        </w:rPr>
      </w:pPr>
    </w:p>
    <w:p>
      <w:pPr>
        <w:snapToGrid w:val="0"/>
        <w:spacing w:line="360" w:lineRule="auto"/>
        <w:rPr>
          <w:rFonts w:ascii="宋体" w:hAnsi="宋体" w:cs="宋体"/>
          <w:b/>
          <w:sz w:val="24"/>
        </w:rPr>
      </w:pPr>
      <w:r>
        <w:rPr>
          <w:rFonts w:hint="eastAsia" w:ascii="宋体" w:hAnsi="宋体" w:cs="宋体"/>
          <w:b/>
          <w:sz w:val="24"/>
        </w:rPr>
        <w:t>第一条  项目名称、目标及工期</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（一）项目名称：广州市</w:t>
      </w:r>
      <w:r>
        <w:rPr>
          <w:rFonts w:hint="eastAsia" w:ascii="宋体" w:hAnsi="宋体" w:cs="宋体"/>
          <w:sz w:val="24"/>
          <w:lang w:val="en-US" w:eastAsia="zh-CN"/>
        </w:rPr>
        <w:t>净水有限</w:t>
      </w:r>
      <w:r>
        <w:rPr>
          <w:rFonts w:hint="eastAsia" w:ascii="宋体" w:hAnsi="宋体" w:cs="宋体"/>
          <w:sz w:val="24"/>
        </w:rPr>
        <w:t>公司风控内控合规三体系整合构建项目</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二）项目目标：乙方提供专业咨询服务，协助甲方完善与整合甲方风控、内控、合规管理体系，建立风控、内控、合规三位一体的“大风控”管理机制，基本实现“大风控”管理体系健全、制度体系完备、工作流程规范，风险控制到位。</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（三）项目工期：自合同签订之日起到 2022年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31</w:t>
      </w:r>
      <w:r>
        <w:rPr>
          <w:rFonts w:hint="eastAsia" w:ascii="宋体" w:hAnsi="宋体" w:cs="宋体"/>
          <w:sz w:val="24"/>
        </w:rPr>
        <w:t>日止。</w:t>
      </w:r>
    </w:p>
    <w:p>
      <w:pPr>
        <w:snapToGrid w:val="0"/>
        <w:spacing w:line="360" w:lineRule="auto"/>
        <w:ind w:hanging="720"/>
        <w:rPr>
          <w:rFonts w:ascii="宋体" w:hAnsi="宋体" w:cs="宋体"/>
          <w:b/>
          <w:sz w:val="24"/>
          <w:u w:val="single"/>
        </w:rPr>
      </w:pPr>
    </w:p>
    <w:p>
      <w:pPr>
        <w:snapToGrid w:val="0"/>
        <w:spacing w:line="360" w:lineRule="auto"/>
        <w:rPr>
          <w:rFonts w:ascii="宋体" w:hAnsi="宋体" w:cs="宋体"/>
          <w:b/>
          <w:sz w:val="24"/>
        </w:rPr>
      </w:pPr>
      <w:r>
        <w:rPr>
          <w:rFonts w:hint="eastAsia" w:ascii="宋体" w:hAnsi="宋体" w:cs="宋体"/>
          <w:b/>
          <w:sz w:val="24"/>
        </w:rPr>
        <w:t>第二条  项目范围、内容及成果</w:t>
      </w:r>
    </w:p>
    <w:p>
      <w:pPr>
        <w:snapToGrid w:val="0"/>
        <w:spacing w:line="360" w:lineRule="auto"/>
        <w:ind w:firstLine="361" w:firstLineChars="150"/>
        <w:rPr>
          <w:rFonts w:ascii="宋体" w:hAnsi="宋体" w:cs="宋体"/>
          <w:b/>
          <w:sz w:val="24"/>
        </w:rPr>
      </w:pPr>
      <w:r>
        <w:rPr>
          <w:rFonts w:hint="eastAsia" w:ascii="宋体" w:hAnsi="宋体" w:cs="宋体"/>
          <w:b/>
          <w:sz w:val="24"/>
        </w:rPr>
        <w:t>（一）项目范围</w:t>
      </w:r>
    </w:p>
    <w:p>
      <w:pPr>
        <w:snapToGrid w:val="0"/>
        <w:spacing w:line="360" w:lineRule="auto"/>
        <w:ind w:firstLine="480" w:firstLineChars="200"/>
        <w:rPr>
          <w:rFonts w:ascii="宋体" w:hAnsi="宋体" w:cs="宋体"/>
          <w:sz w:val="24"/>
        </w:rPr>
      </w:pPr>
      <w:r>
        <w:rPr>
          <w:rFonts w:hint="eastAsia" w:ascii="宋体" w:hAnsi="宋体" w:cs="宋体"/>
          <w:sz w:val="24"/>
        </w:rPr>
        <w:t>本项目的服务对象为</w:t>
      </w:r>
      <w:r>
        <w:rPr>
          <w:rFonts w:hint="eastAsia" w:ascii="宋体" w:hAnsi="宋体" w:cs="宋体"/>
          <w:sz w:val="24"/>
          <w:lang w:val="en-US" w:eastAsia="zh-CN"/>
        </w:rPr>
        <w:t>广州市净水有限公司</w:t>
      </w:r>
      <w:r>
        <w:rPr>
          <w:rFonts w:hint="eastAsia" w:ascii="宋体" w:hAnsi="宋体" w:cs="宋体"/>
          <w:sz w:val="24"/>
        </w:rPr>
        <w:t>。</w:t>
      </w:r>
    </w:p>
    <w:p>
      <w:pPr>
        <w:snapToGrid w:val="0"/>
        <w:spacing w:line="360" w:lineRule="auto"/>
        <w:ind w:firstLine="361" w:firstLineChars="150"/>
        <w:rPr>
          <w:rFonts w:ascii="宋体" w:hAnsi="宋体" w:cs="宋体"/>
          <w:b/>
          <w:sz w:val="24"/>
        </w:rPr>
      </w:pPr>
      <w:r>
        <w:rPr>
          <w:rFonts w:hint="eastAsia" w:ascii="宋体" w:hAnsi="宋体" w:cs="宋体"/>
          <w:b/>
          <w:sz w:val="24"/>
        </w:rPr>
        <w:t>（二）项目内容</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在原有内控和风控体系建设的基础上，更新内控体系，夯实风控体系，建立合规体系，具体包括如下方面的内容：</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1.一体化管理机制建设</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1）一体化管理组织架构与职责分工设计。明确公司风控、内控、合规一体化管理的范畴、内容、组织架构与职责分工，实现风险、内控、合规三者工作的高度融合、协作，工作职责清晰合理，工作要求明确可执行。</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2）一体化管理制度设计。建立一体化管理制度，管理制度的设计应充分整合公司现有的内部控制、风险管理相关管理制度，形成整合的风险内控合规一体化管理制度体系。并且需整合公司与经营业务相关的核心管理领域对应的制度。</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（3）一体化管理流程设计。流程设计是体系落点的关键，结合现有工作流程，根据整合后的制度体系，针对与经营业务相关的核心管理领域，提出一体化流程管理建议。</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4）一体化评价制度设计。设计风控、内控、合规一体化管理评价制度，一体化管理评价制度的设计应充分整合公司现有的内部控制、风险管理相关评价管理制度，形成整合的风险内控合规一体化评价管理制度，实现三者评价工作工具、流程、方法、范围的高度整合，起到以评促建，持续推进公司及下属单位风险内控合规一体化管理水平的目的。</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5）一体化考核评价办法设计。结合风险、内控、合规三者的组织架构设置、日常管理工作、年度监督评价工作的开展情况、实际的管理成效、整改完成情况等多方面开展综合评价与考核，设计风险内控合规一体化管理考核评价办法，考核结果应与公司各部门及各下属单位的组织考核直接挂钩，以推动公司及下属单位真正做到实现“强内控、防风险、促合规”的管控目标。</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2.一体化管理手册建设</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在明确公司风险、内控、合规管理重点的基础上，初步选定财务资金管理、工程建设管理、运营管理、采购管理、投资管理、资产管理、法务管理、人力资源管理八个重点管理领域（项目实施过程中可根据梳理的实际情况进行调整），制定基于外法内规、内部控制、风险管理、合规管理的《一体化管理手册》，梳理及明确各重点管理领域的作业流程规范、制度依据、风险评估与合规检查要点，作为风险管理职能部门开展年度一体化风险识别与评估的重要工具。一体化管理手册的建设应充分整合公司现有的内部控制手册、风险管理手册，针对同一业务事项实现从风险、合规、内控三个角度的整合管理，实现风险内控合规与业务管理的充分融合。</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3.一体化管理有效性评估</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针对选定的八个重点管理领域全面分析其组织与岗位设置、制度、流程设计是否符合外部相关法律法规、监管规范的要求，是否风险控制有效恰当、识别内部控制需要进一步优化与完善的环节，提出各管理领域管理优化的具体举措建议与方案，推动公司本部各管理领域风险防控能力、管理效率与成效的双提升。</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4.一体化信息系统建设规划</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结合设计的风险、内控、合规一体化管理体系与信息化建设的优秀实践经验，规划“大风控”信息化建设路径、提出信息化建设需求，作为后续信息化建设的重要参考。</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（三）其他内容</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1.落地辅导期，通过沟通与培训，在项目建设和实施过程中，针对项目内容，建立恰当的沟通机制，并对相关人员进行培训。项目期间不少于3次体系宣讲专题培训。</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2.项目运行后的首次评价。实施评价并组织回头看，保证内控风控合规体系的平稳移交。</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（四）项目管理</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乙方须在服务方案中提交详细的服务实施计划，至少包含以下内容：</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1.项目人员要求</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乙方提交项目管理组织机构设置方案，明确提供项目总监、项目经理、咨询顾问名单以及上述人员资质、证书、工作简历和相关项目开发、实施经历，在项目实施过程中，未经甲方书面同意，不得更换。必须具备良好的职业操守，不存在违反职业操守的不良记录，工作过程中应当严格保守我公司商业秘密。</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2.项目实施要求</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第一阶段（2022年4月-2022年7月）</w:t>
      </w:r>
    </w:p>
    <w:p>
      <w:pPr>
        <w:numPr>
          <w:ilvl w:val="0"/>
          <w:numId w:val="5"/>
        </w:num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本合同签订后五个工作日内，乙方向甲方提交详细的《广州市净水有限公司风控内控合规三体系整合构建咨询服务方案》，并因根据甲方的合理要求进行修改，方案作为项目实施进度管理的依据。</w:t>
      </w:r>
    </w:p>
    <w:p>
      <w:pPr>
        <w:numPr>
          <w:ilvl w:val="0"/>
          <w:numId w:val="5"/>
        </w:num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本合同签订后五个工作日内，乙方进场开展内控风控合规体系建设工作，完善与整合甲方公司风控、内控、合规管理体系，建立风控、内控、合规三位一体的“大风控”管理机制，基本实现“大风控”管理体系健全、制度体系完备、工作流程规范，风险控制到位。2022年7月31日前提交项目成果初稿。</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第二阶段（提交项目初稿后1个月内）</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甲方组织对项目成果进行验收，如有修改意见，乙方应根据公司修改意见在10日内完成对项目初稿的调整修改；验收通过后，甲方办理成果内部报批。</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第三阶段（验收合格之日起4</w:t>
      </w:r>
      <w:bookmarkStart w:id="19" w:name="_GoBack"/>
      <w:bookmarkEnd w:id="19"/>
      <w:r>
        <w:rPr>
          <w:rFonts w:hint="eastAsia" w:ascii="宋体" w:hAnsi="宋体" w:cs="宋体"/>
          <w:b/>
          <w:bCs w:val="0"/>
          <w:sz w:val="24"/>
          <w:lang w:val="en-US" w:eastAsia="zh-CN"/>
        </w:rPr>
        <w:t>个月内）</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由乙方进行三体系宣贯与培训；进行项目落地辅导。</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3.进度管理</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 xml:space="preserve"> （1）乙方需详细列出项目各项任务的工期和人数，作为进度管理的基准。</w:t>
      </w:r>
    </w:p>
    <w:p>
      <w:pPr>
        <w:snapToGrid w:val="0"/>
        <w:spacing w:line="360" w:lineRule="auto"/>
        <w:rPr>
          <w:rFonts w:hint="eastAsia" w:ascii="宋体" w:hAnsi="宋体" w:cs="宋体"/>
          <w:b w:val="0"/>
          <w:bCs/>
          <w:sz w:val="24"/>
          <w:lang w:val="en-US" w:eastAsia="zh-CN"/>
        </w:rPr>
      </w:pPr>
      <w:r>
        <w:rPr>
          <w:rFonts w:hint="eastAsia" w:ascii="宋体" w:hAnsi="宋体" w:cs="宋体"/>
          <w:b w:val="0"/>
          <w:bCs/>
          <w:sz w:val="24"/>
          <w:lang w:val="en-US" w:eastAsia="zh-CN"/>
        </w:rPr>
        <w:t xml:space="preserve">     （2）定期报告。每周提交项目进度，包括进度分析、已完成工作、下阶段计划、主要成果、主要问题等内容。</w:t>
      </w:r>
    </w:p>
    <w:p>
      <w:pPr>
        <w:snapToGrid w:val="0"/>
        <w:spacing w:line="360" w:lineRule="auto"/>
        <w:rPr>
          <w:rFonts w:hint="eastAsia" w:ascii="宋体" w:hAnsi="宋体" w:cs="宋体"/>
          <w:b w:val="0"/>
          <w:bCs/>
          <w:sz w:val="24"/>
          <w:lang w:val="en-US" w:eastAsia="zh-CN"/>
        </w:rPr>
      </w:pPr>
      <w:r>
        <w:rPr>
          <w:rFonts w:hint="eastAsia" w:ascii="宋体" w:hAnsi="宋体" w:cs="宋体"/>
          <w:b w:val="0"/>
          <w:bCs/>
          <w:sz w:val="24"/>
          <w:lang w:val="en-US" w:eastAsia="zh-CN"/>
        </w:rPr>
        <w:t xml:space="preserve">     （3）阶段报告。每月提交阶段性报告，报告中包括进度分析、已完成工作、下阶段计划、主要成果、主要问题以及项目成果交付件。</w:t>
      </w:r>
    </w:p>
    <w:p>
      <w:pPr>
        <w:snapToGrid w:val="0"/>
        <w:spacing w:line="360" w:lineRule="auto"/>
        <w:rPr>
          <w:rFonts w:hint="eastAsia" w:ascii="宋体" w:hAnsi="宋体" w:cs="宋体"/>
          <w:b w:val="0"/>
          <w:bCs/>
          <w:sz w:val="24"/>
          <w:lang w:val="en-US" w:eastAsia="zh-CN"/>
        </w:rPr>
      </w:pPr>
      <w:r>
        <w:rPr>
          <w:rFonts w:hint="eastAsia" w:ascii="宋体" w:hAnsi="宋体" w:cs="宋体"/>
          <w:b w:val="0"/>
          <w:bCs/>
          <w:sz w:val="24"/>
          <w:lang w:val="en-US" w:eastAsia="zh-CN"/>
        </w:rPr>
        <w:t xml:space="preserve">     （4）如果进度出现较大偏差，可能影响项目目标时，需要提交应对计划，提交甲方管理层批准。</w:t>
      </w:r>
    </w:p>
    <w:p>
      <w:pPr>
        <w:snapToGrid w:val="0"/>
        <w:spacing w:line="360" w:lineRule="auto"/>
        <w:rPr>
          <w:rFonts w:hint="eastAsia" w:ascii="宋体" w:hAnsi="宋体" w:cs="宋体"/>
          <w:b w:val="0"/>
          <w:bCs/>
          <w:sz w:val="24"/>
          <w:lang w:val="en-US" w:eastAsia="zh-CN"/>
        </w:rPr>
      </w:pPr>
      <w:r>
        <w:rPr>
          <w:rFonts w:hint="eastAsia" w:ascii="宋体" w:hAnsi="宋体" w:cs="宋体"/>
          <w:b w:val="0"/>
          <w:bCs/>
          <w:sz w:val="24"/>
          <w:lang w:val="en-US" w:eastAsia="zh-CN"/>
        </w:rPr>
        <w:t xml:space="preserve">   </w:t>
      </w:r>
      <w:r>
        <w:rPr>
          <w:rFonts w:hint="eastAsia" w:ascii="宋体" w:hAnsi="宋体" w:cs="宋体"/>
          <w:b/>
          <w:bCs w:val="0"/>
          <w:sz w:val="24"/>
          <w:lang w:val="en-US" w:eastAsia="zh-CN"/>
        </w:rPr>
        <w:t xml:space="preserve"> （五）项目成果要求</w:t>
      </w:r>
    </w:p>
    <w:p>
      <w:pPr>
        <w:snapToGrid w:val="0"/>
        <w:spacing w:line="360" w:lineRule="auto"/>
        <w:rPr>
          <w:rFonts w:hint="eastAsia" w:ascii="宋体" w:hAnsi="宋体" w:cs="宋体"/>
          <w:b w:val="0"/>
          <w:bCs/>
          <w:sz w:val="24"/>
          <w:lang w:val="en-US" w:eastAsia="zh-CN"/>
        </w:rPr>
      </w:pPr>
      <w:r>
        <w:rPr>
          <w:rFonts w:hint="eastAsia" w:ascii="宋体" w:hAnsi="宋体" w:cs="宋体"/>
          <w:b w:val="0"/>
          <w:bCs/>
          <w:sz w:val="24"/>
          <w:lang w:val="en-US" w:eastAsia="zh-CN"/>
        </w:rPr>
        <w:t xml:space="preserve">    乙方需完成的项目成果，包括但不限于：</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《风险内控合规一体化管理办法》</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《风险内控合规一体化制度优化建议》（重点领域）</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《风险内控合规一体化管理考核评价办法》</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《风险内控合规一体化管理手册》（重点领域）</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《风险内控合规一体化评估报告》（重点领域）</w:t>
      </w:r>
    </w:p>
    <w:p>
      <w:pPr>
        <w:snapToGrid w:val="0"/>
        <w:spacing w:line="360" w:lineRule="auto"/>
        <w:ind w:firstLine="480" w:firstLineChars="200"/>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《公司党委、董事会、经理层权责清单》</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《风险内控合规信息化建设规划建议》</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《合规审查指引》</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乙方根据项目经验可以提供的其他项目成果</w:t>
      </w:r>
    </w:p>
    <w:p>
      <w:pPr>
        <w:snapToGrid w:val="0"/>
        <w:spacing w:line="360" w:lineRule="auto"/>
        <w:ind w:firstLine="480" w:firstLineChars="200"/>
        <w:rPr>
          <w:rFonts w:hint="default" w:ascii="宋体" w:hAnsi="宋体" w:cs="宋体"/>
          <w:b w:val="0"/>
          <w:bCs/>
          <w:sz w:val="24"/>
          <w:lang w:val="en-US" w:eastAsia="zh-CN"/>
        </w:rPr>
      </w:pPr>
      <w:r>
        <w:rPr>
          <w:rFonts w:hint="eastAsia" w:ascii="宋体" w:hAnsi="宋体" w:cs="宋体"/>
          <w:b w:val="0"/>
          <w:bCs/>
          <w:sz w:val="24"/>
          <w:lang w:val="en-US" w:eastAsia="zh-CN"/>
        </w:rPr>
        <w:t>以上成果乙方提供电子版一份，纸质版4份。</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（六）知识转移</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1.在项目期间，乙方通过培训、研讨等方式，提升甲方内控风险合规管理理念，辅助甲方建立持续改进的机制。</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2.在项目完成之日起7日内，向甲方转移本项目涉及的所有相关文档。</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3.所有项目成果及过程资料的知识产权归属于甲方。</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（七）售后服务</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项目结束后，乙方还应提供为期四个月的跟踪支持服务，协助内控风控合规体系持续改进，服务内容至少应包括：</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1.为甲方提供电话、电子邮件支持，及时解决体系运行中遇到的问题。</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2.以邮件方式提供内控风控合规领域的最新动态信息。</w:t>
      </w:r>
    </w:p>
    <w:p>
      <w:pPr>
        <w:snapToGrid w:val="0"/>
        <w:spacing w:line="360" w:lineRule="auto"/>
        <w:ind w:firstLine="482" w:firstLineChars="200"/>
        <w:rPr>
          <w:rFonts w:ascii="宋体" w:hAnsi="宋体" w:cs="宋体"/>
          <w:b/>
          <w:sz w:val="24"/>
        </w:rPr>
      </w:pPr>
      <w:r>
        <w:rPr>
          <w:rFonts w:hint="eastAsia" w:ascii="宋体" w:hAnsi="宋体" w:cs="宋体"/>
          <w:b/>
          <w:sz w:val="24"/>
        </w:rPr>
        <w:t xml:space="preserve">第三条  甲方的权利和义务 </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（一）甲方积极配合和全程参与项目。保证在本项目的计划和执行阶段的全力支持及充分介入，并负责监督本项目下乙方所提供的专业服务。</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 xml:space="preserve">（二）甲方对项目的结果负责确认，包括对项目文件的最终评定、决定乙方项目成果中的哪些建议应该制定执行计划，并履行计划和任何因项目产生的其他文件。 </w:t>
      </w:r>
      <w:r>
        <w:rPr>
          <w:rFonts w:ascii="宋体" w:hAnsi="宋体" w:cs="宋体"/>
          <w:sz w:val="24"/>
        </w:rPr>
        <w:t xml:space="preserve"> </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（三）甲方与甲方的所有工作人员(在这里称“公司员工”) 应向乙方提供所有与本项目相关的信息、文件和资料以及乙方为履行本项目职责所合理需要的任何信息和文件（包括与本项目相关的机密资料和信息），并对本次项目所涉及所有相关信息的准确性、完整性以及相关披露、陈述负责。甲方保证其向乙方提供的信息不会有遗漏或导致乙方将被误导或可能被误导。</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 xml:space="preserve">（四）甲方对建立和维持一个有效的内控风控合规体系负有并将继续负有全部责任，包括但不限于设计此系统以能符合相应政策、程序和法律法规的规定。任何与风险控制、流程和系统的设计与实施相关的决策是甲方的责任，并且由甲方决定。 </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（五）甲方应按本合同第七条约定向乙方支付项目服务费用。</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六）在乙方履行本合同服务时，甲方应与乙方合作，包括但不限于为乙方提供合理的设施、提供接触甲方工作人员的机会，并应负责提供适当的办公场地、宽带网络以及出入证件用于乙方开展项目，并不收取使用费或任何其他费用。</w:t>
      </w:r>
    </w:p>
    <w:p>
      <w:pPr>
        <w:tabs>
          <w:tab w:val="left" w:pos="851"/>
        </w:tabs>
        <w:snapToGrid w:val="0"/>
        <w:spacing w:line="360" w:lineRule="auto"/>
        <w:ind w:firstLine="480" w:firstLineChars="200"/>
        <w:rPr>
          <w:rFonts w:ascii="宋体" w:hAnsi="宋体" w:cs="宋体"/>
          <w:b/>
          <w:sz w:val="24"/>
        </w:rPr>
      </w:pPr>
      <w:r>
        <w:rPr>
          <w:rFonts w:hint="eastAsia" w:ascii="宋体" w:hAnsi="宋体" w:cs="宋体"/>
          <w:sz w:val="24"/>
        </w:rPr>
        <w:t>（七）甲方应对乙方在项目中使用的技术和方法保密。</w:t>
      </w:r>
    </w:p>
    <w:p>
      <w:pPr>
        <w:snapToGrid w:val="0"/>
        <w:spacing w:line="360" w:lineRule="auto"/>
        <w:ind w:firstLine="482" w:firstLineChars="200"/>
        <w:rPr>
          <w:rFonts w:ascii="宋体" w:hAnsi="宋体" w:cs="宋体"/>
          <w:b/>
          <w:sz w:val="24"/>
        </w:rPr>
      </w:pPr>
      <w:r>
        <w:rPr>
          <w:rFonts w:hint="eastAsia" w:ascii="宋体" w:hAnsi="宋体" w:cs="宋体"/>
          <w:b/>
          <w:sz w:val="24"/>
        </w:rPr>
        <w:t>第四条  乙方的权利和义务</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（一）乙方应依据甲方实际情况制定《广州市</w:t>
      </w:r>
      <w:r>
        <w:rPr>
          <w:rFonts w:hint="eastAsia" w:ascii="宋体" w:hAnsi="宋体" w:cs="宋体"/>
          <w:sz w:val="24"/>
          <w:lang w:val="en-US" w:eastAsia="zh-CN"/>
        </w:rPr>
        <w:t>净水有限</w:t>
      </w:r>
      <w:r>
        <w:rPr>
          <w:rFonts w:hint="eastAsia" w:ascii="宋体" w:hAnsi="宋体" w:cs="宋体"/>
          <w:sz w:val="24"/>
        </w:rPr>
        <w:t>公司风控内控合规三体系整合构建咨询服务方案》，明确工作计划和步骤等内容，并提交给甲方审核后依照实施。乙方应在甲方授权范围内开展工作和提供咨询服务。</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（二）乙方组建项目小组派驻于甲方负责本项目的实施工作，小组成员包括项目总监1名(15年及以上工作经验），项目经理1名（8年及以上工作经验）及至少</w:t>
      </w:r>
      <w:r>
        <w:rPr>
          <w:rFonts w:hint="eastAsia" w:ascii="宋体" w:hAnsi="宋体" w:cs="宋体"/>
          <w:sz w:val="24"/>
          <w:lang w:val="en-US" w:eastAsia="zh-CN"/>
        </w:rPr>
        <w:t>3</w:t>
      </w:r>
      <w:r>
        <w:rPr>
          <w:rFonts w:hint="eastAsia" w:ascii="宋体" w:hAnsi="宋体" w:cs="宋体"/>
          <w:sz w:val="24"/>
        </w:rPr>
        <w:t>名咨询顾问。乙方应视需要和适当性，选派专业人员组成专业队伍支持本项目的工作。项目人员应具有完成甲方委托项目的相应工作能力；在甲方工作期间应保证人员的稳定性，乙方如需调换其他具有同等资格的专业人员参与本项目时，须征得甲方同意;在服务过程中，甲方发现乙方工作人员有明显不合要求的，在甲方提示后，乙方应在三天内给予调换符合本合同约定的工作人员。</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（三）乙方应按本合同约定以及甲方的合理要求修正、完善所提交的项目成果。</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（四）乙方的保密义务</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甲方提供予乙方的信息被视为保密资料，并供乙方和乙方的指定人员用于与本项目有关之用途，但此等限制并不适用于如下任何文件和信息资料：</w:t>
      </w:r>
    </w:p>
    <w:p>
      <w:pPr>
        <w:snapToGrid w:val="0"/>
        <w:spacing w:line="360" w:lineRule="auto"/>
        <w:ind w:firstLine="480" w:firstLineChars="200"/>
        <w:rPr>
          <w:rFonts w:ascii="宋体" w:hAnsi="宋体" w:cs="宋体"/>
          <w:sz w:val="24"/>
        </w:rPr>
      </w:pPr>
      <w:r>
        <w:rPr>
          <w:rFonts w:hint="eastAsia" w:ascii="宋体" w:hAnsi="宋体" w:cs="宋体"/>
          <w:sz w:val="24"/>
        </w:rPr>
        <w:t>1.公开发布的或可供一般公众公开取阅，但并非由乙方或其合伙人、董事、顾问、代理人及雇员所披露的信息和资料；</w:t>
      </w:r>
    </w:p>
    <w:p>
      <w:pPr>
        <w:snapToGrid w:val="0"/>
        <w:spacing w:line="360" w:lineRule="auto"/>
        <w:ind w:firstLine="480" w:firstLineChars="200"/>
        <w:rPr>
          <w:rFonts w:ascii="宋体" w:hAnsi="宋体" w:cs="宋体"/>
          <w:sz w:val="24"/>
        </w:rPr>
      </w:pPr>
      <w:r>
        <w:rPr>
          <w:rFonts w:hint="eastAsia" w:ascii="宋体" w:hAnsi="宋体" w:cs="宋体"/>
          <w:sz w:val="24"/>
        </w:rPr>
        <w:t>2.提供予乙方之前已由乙方通过非保密渠道获得的信息和资料；</w:t>
      </w:r>
    </w:p>
    <w:p>
      <w:pPr>
        <w:snapToGrid w:val="0"/>
        <w:spacing w:line="360" w:lineRule="auto"/>
        <w:ind w:firstLine="480" w:firstLineChars="200"/>
        <w:rPr>
          <w:rFonts w:ascii="宋体" w:hAnsi="宋体" w:cs="宋体"/>
          <w:sz w:val="24"/>
        </w:rPr>
      </w:pPr>
      <w:r>
        <w:rPr>
          <w:rFonts w:hint="eastAsia" w:ascii="宋体" w:hAnsi="宋体" w:cs="宋体"/>
          <w:sz w:val="24"/>
        </w:rPr>
        <w:t>3.乙方已从甲方以外的信息提供者非保密地获得的有关信息和资料，除非乙方知悉该信息提供者应对甲方承担保密责任或义务；</w:t>
      </w:r>
    </w:p>
    <w:p>
      <w:pPr>
        <w:snapToGrid w:val="0"/>
        <w:spacing w:line="360" w:lineRule="auto"/>
        <w:ind w:firstLine="480" w:firstLineChars="200"/>
        <w:rPr>
          <w:rFonts w:ascii="宋体" w:hAnsi="宋体" w:cs="宋体"/>
          <w:sz w:val="24"/>
        </w:rPr>
      </w:pPr>
      <w:r>
        <w:rPr>
          <w:rFonts w:hint="eastAsia" w:ascii="宋体" w:hAnsi="宋体" w:cs="宋体"/>
          <w:sz w:val="24"/>
        </w:rPr>
        <w:t xml:space="preserve">4.由乙方或为乙方独立制作，并且没有参照保密资料独立制作的信息资料； </w:t>
      </w:r>
    </w:p>
    <w:p>
      <w:pPr>
        <w:snapToGrid w:val="0"/>
        <w:spacing w:line="360" w:lineRule="auto"/>
        <w:ind w:firstLine="480" w:firstLineChars="200"/>
        <w:rPr>
          <w:rFonts w:ascii="宋体" w:hAnsi="宋体" w:cs="宋体"/>
          <w:sz w:val="24"/>
        </w:rPr>
      </w:pPr>
      <w:r>
        <w:rPr>
          <w:rFonts w:hint="eastAsia" w:ascii="宋体" w:hAnsi="宋体" w:cs="宋体"/>
          <w:sz w:val="24"/>
        </w:rPr>
        <w:t>5.依照任何法定或监管要求、任何政府部门或监管机构、任何适用之法律、法规或规定、专业职责、本合同项下报告义务所要求披露的文件或信息，或者因本合同或其项下服务所引起的或以任何方式与之有关的任何索偿或潜在索偿而需要披露的各种信息和资料。</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五）乙方通常希望代表甲方对完成的项目寻求公开宣传的机会。在公开宣传有关信息之前，乙方均将事先获得甲方的书面许可，除非有关信息资料在此之前已被公开。尽管如此，乙方有权在向其他客户提交的建议书或其它类似文件中提及甲方的名称，除非甲方明确表示禁止乙方进行此等披露。</w:t>
      </w:r>
    </w:p>
    <w:p>
      <w:pPr>
        <w:tabs>
          <w:tab w:val="left" w:pos="851"/>
        </w:tabs>
        <w:snapToGrid w:val="0"/>
        <w:spacing w:line="360" w:lineRule="auto"/>
        <w:ind w:firstLine="480" w:firstLineChars="200"/>
        <w:rPr>
          <w:rFonts w:ascii="宋体" w:hAnsi="宋体" w:cs="宋体"/>
          <w:b/>
          <w:sz w:val="24"/>
        </w:rPr>
      </w:pPr>
      <w:r>
        <w:rPr>
          <w:rFonts w:hint="eastAsia" w:ascii="宋体" w:hAnsi="宋体" w:cs="宋体"/>
          <w:sz w:val="24"/>
        </w:rPr>
        <w:t>（六）乙方保证按时交付成果，保证服务的质量，并为甲方提供与项目相关的培训</w:t>
      </w:r>
      <w:bookmarkStart w:id="15" w:name="_Toc248162231"/>
      <w:r>
        <w:rPr>
          <w:rFonts w:hint="eastAsia" w:ascii="宋体" w:hAnsi="宋体" w:cs="宋体"/>
          <w:sz w:val="24"/>
          <w:lang w:eastAsia="zh-CN"/>
        </w:rPr>
        <w:t>。</w:t>
      </w:r>
      <w:r>
        <w:rPr>
          <w:rFonts w:hint="eastAsia" w:ascii="宋体" w:hAnsi="宋体" w:cs="宋体"/>
          <w:sz w:val="24"/>
        </w:rPr>
        <w:t>项目运行后</w:t>
      </w:r>
      <w:r>
        <w:rPr>
          <w:rFonts w:hint="eastAsia" w:ascii="宋体" w:hAnsi="宋体" w:cs="宋体"/>
          <w:sz w:val="24"/>
          <w:lang w:eastAsia="zh-CN"/>
        </w:rPr>
        <w:t>，</w:t>
      </w:r>
      <w:r>
        <w:rPr>
          <w:rFonts w:hint="eastAsia" w:ascii="宋体" w:hAnsi="宋体" w:cs="宋体"/>
          <w:sz w:val="24"/>
          <w:lang w:val="en-US" w:eastAsia="zh-CN"/>
        </w:rPr>
        <w:t>乙方在项目结束前对项目成果运行成效进行</w:t>
      </w:r>
      <w:r>
        <w:rPr>
          <w:rFonts w:hint="eastAsia" w:ascii="宋体" w:hAnsi="宋体" w:cs="宋体"/>
          <w:sz w:val="24"/>
        </w:rPr>
        <w:t>评价，编制</w:t>
      </w:r>
      <w:r>
        <w:rPr>
          <w:rFonts w:hint="eastAsia" w:ascii="宋体" w:hAnsi="宋体" w:cs="宋体"/>
          <w:sz w:val="24"/>
          <w:lang w:val="en-US" w:eastAsia="zh-CN"/>
        </w:rPr>
        <w:t>并向甲方提交</w:t>
      </w:r>
      <w:r>
        <w:rPr>
          <w:rFonts w:hint="eastAsia" w:ascii="宋体" w:hAnsi="宋体" w:cs="宋体"/>
          <w:sz w:val="24"/>
        </w:rPr>
        <w:t>《风控内控合规体系整合的大风控体系自我评价报告》及风控内控合规三体系整合构建及实施情况报告。</w:t>
      </w:r>
    </w:p>
    <w:p>
      <w:pPr>
        <w:snapToGrid w:val="0"/>
        <w:spacing w:line="360" w:lineRule="auto"/>
        <w:ind w:firstLine="482" w:firstLineChars="200"/>
        <w:rPr>
          <w:rFonts w:ascii="宋体" w:hAnsi="宋体" w:cs="宋体"/>
          <w:b/>
          <w:sz w:val="24"/>
        </w:rPr>
      </w:pPr>
      <w:r>
        <w:rPr>
          <w:rFonts w:hint="eastAsia" w:ascii="宋体" w:hAnsi="宋体" w:cs="宋体"/>
          <w:b/>
          <w:sz w:val="24"/>
        </w:rPr>
        <w:t>第</w:t>
      </w:r>
      <w:r>
        <w:rPr>
          <w:rFonts w:hint="eastAsia" w:ascii="宋体" w:hAnsi="宋体" w:cs="宋体"/>
          <w:b/>
          <w:sz w:val="24"/>
          <w:lang w:val="en-US" w:eastAsia="zh-CN"/>
        </w:rPr>
        <w:t>五</w:t>
      </w:r>
      <w:r>
        <w:rPr>
          <w:rFonts w:hint="eastAsia" w:ascii="宋体" w:hAnsi="宋体" w:cs="宋体"/>
          <w:b/>
          <w:sz w:val="24"/>
        </w:rPr>
        <w:t>条  知识产权归属</w:t>
      </w:r>
    </w:p>
    <w:p>
      <w:pPr>
        <w:snapToGrid w:val="0"/>
        <w:spacing w:line="360" w:lineRule="auto"/>
        <w:ind w:firstLine="480" w:firstLineChars="200"/>
        <w:rPr>
          <w:rFonts w:ascii="宋体" w:hAnsi="宋体" w:cs="宋体"/>
          <w:b/>
          <w:sz w:val="24"/>
        </w:rPr>
      </w:pPr>
      <w:r>
        <w:rPr>
          <w:rFonts w:hint="eastAsia" w:ascii="宋体" w:hAnsi="宋体" w:cs="宋体"/>
          <w:sz w:val="24"/>
        </w:rPr>
        <w:t>在履行本合同过程中，乙方根据甲方提供的资料及调研过程中获取的资料完成的知识成果，属甲方所有；甲方根据乙方的工作成果完成的新的知识成果，属甲方所有。</w:t>
      </w:r>
    </w:p>
    <w:p>
      <w:pPr>
        <w:snapToGrid w:val="0"/>
        <w:spacing w:line="360" w:lineRule="auto"/>
        <w:ind w:firstLine="482" w:firstLineChars="200"/>
        <w:rPr>
          <w:rFonts w:ascii="宋体" w:hAnsi="宋体" w:cs="宋体"/>
          <w:b/>
          <w:sz w:val="24"/>
        </w:rPr>
      </w:pPr>
      <w:r>
        <w:rPr>
          <w:rFonts w:hint="eastAsia" w:ascii="宋体" w:hAnsi="宋体" w:cs="宋体"/>
          <w:b/>
          <w:sz w:val="24"/>
        </w:rPr>
        <w:t>第</w:t>
      </w:r>
      <w:r>
        <w:rPr>
          <w:rFonts w:hint="eastAsia" w:ascii="宋体" w:hAnsi="宋体" w:cs="宋体"/>
          <w:b/>
          <w:sz w:val="24"/>
          <w:lang w:val="en-US" w:eastAsia="zh-CN"/>
        </w:rPr>
        <w:t>六</w:t>
      </w:r>
      <w:r>
        <w:rPr>
          <w:rFonts w:hint="eastAsia" w:ascii="宋体" w:hAnsi="宋体" w:cs="宋体"/>
          <w:b/>
          <w:sz w:val="24"/>
        </w:rPr>
        <w:t>条  成果验收</w:t>
      </w:r>
    </w:p>
    <w:p>
      <w:pPr>
        <w:widowControl/>
        <w:snapToGrid w:val="0"/>
        <w:spacing w:line="360" w:lineRule="auto"/>
        <w:jc w:val="left"/>
        <w:rPr>
          <w:rFonts w:ascii="宋体" w:hAnsi="宋体" w:cs="宋体"/>
          <w:b/>
          <w:sz w:val="24"/>
        </w:rPr>
      </w:pPr>
      <w:r>
        <w:rPr>
          <w:rFonts w:hint="eastAsia" w:ascii="宋体" w:hAnsi="宋体" w:cs="宋体"/>
          <w:sz w:val="24"/>
        </w:rPr>
        <w:t xml:space="preserve">    按照项目进度，甲方组织</w:t>
      </w:r>
      <w:r>
        <w:rPr>
          <w:rFonts w:hint="eastAsia" w:ascii="宋体" w:hAnsi="宋体" w:cs="宋体"/>
          <w:sz w:val="24"/>
          <w:lang w:val="en-US" w:eastAsia="zh-CN"/>
        </w:rPr>
        <w:t>内部专家</w:t>
      </w:r>
      <w:r>
        <w:rPr>
          <w:rFonts w:hint="eastAsia" w:ascii="宋体" w:hAnsi="宋体" w:cs="宋体"/>
          <w:sz w:val="24"/>
        </w:rPr>
        <w:t>验收小组对项目成果进行验收，项目成果应达到2019年11月国务院国资委出台101号文《关于加强中央企业内部控制体系建设与监督工作的实施意见》的要求：以促进全面风险、合规、内控体系三者整合为大背景，以内控为抓手和落脚点，促进企业“大风控”体系的构建，以及省市国资委关于风控内控和合规管理文件要求和附件《广州市</w:t>
      </w:r>
      <w:r>
        <w:rPr>
          <w:rFonts w:hint="eastAsia" w:ascii="宋体" w:hAnsi="宋体" w:cs="宋体"/>
          <w:sz w:val="24"/>
          <w:lang w:val="en-US" w:eastAsia="zh-CN"/>
        </w:rPr>
        <w:t>净水有限</w:t>
      </w:r>
      <w:r>
        <w:rPr>
          <w:rFonts w:hint="eastAsia" w:ascii="宋体" w:hAnsi="宋体" w:cs="宋体"/>
          <w:sz w:val="24"/>
        </w:rPr>
        <w:t>公司风控内控合规三体系整合构建咨询服务方案》及甲方有关要求；未达到的，甲方有权要求乙方修正，并按甲方要求的时间完成。</w:t>
      </w:r>
    </w:p>
    <w:p>
      <w:pPr>
        <w:snapToGrid w:val="0"/>
        <w:spacing w:line="360" w:lineRule="auto"/>
        <w:ind w:firstLine="482" w:firstLineChars="200"/>
        <w:rPr>
          <w:rFonts w:ascii="宋体" w:hAnsi="宋体" w:cs="宋体"/>
          <w:b/>
          <w:sz w:val="24"/>
        </w:rPr>
      </w:pPr>
      <w:r>
        <w:rPr>
          <w:rFonts w:hint="eastAsia" w:ascii="宋体" w:hAnsi="宋体" w:cs="宋体"/>
          <w:b/>
          <w:sz w:val="24"/>
        </w:rPr>
        <w:t>第</w:t>
      </w:r>
      <w:r>
        <w:rPr>
          <w:rFonts w:hint="eastAsia" w:ascii="宋体" w:hAnsi="宋体" w:cs="宋体"/>
          <w:b/>
          <w:sz w:val="24"/>
          <w:lang w:val="en-US" w:eastAsia="zh-CN"/>
        </w:rPr>
        <w:t>七</w:t>
      </w:r>
      <w:r>
        <w:rPr>
          <w:rFonts w:hint="eastAsia" w:ascii="宋体" w:hAnsi="宋体" w:cs="宋体"/>
          <w:b/>
          <w:sz w:val="24"/>
        </w:rPr>
        <w:t>条  合同金额及支付方式</w:t>
      </w:r>
      <w:bookmarkEnd w:id="15"/>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（一）</w:t>
      </w:r>
      <w:r>
        <w:rPr>
          <w:rFonts w:hint="eastAsia" w:ascii="宋体" w:hAnsi="宋体" w:cs="宋体"/>
          <w:sz w:val="24"/>
          <w:lang w:val="en-US" w:eastAsia="zh-CN"/>
        </w:rPr>
        <w:t>本合同项目总价包干，</w:t>
      </w:r>
      <w:r>
        <w:rPr>
          <w:rFonts w:hint="eastAsia" w:ascii="宋体" w:hAnsi="宋体" w:cs="宋体"/>
          <w:sz w:val="24"/>
        </w:rPr>
        <w:t>本项目服务费用为人民币：    元整（￥     元），该价格</w:t>
      </w:r>
      <w:r>
        <w:rPr>
          <w:rFonts w:hint="eastAsia" w:ascii="宋体" w:hAnsi="宋体" w:cs="宋体"/>
          <w:sz w:val="24"/>
          <w:lang w:val="en-US" w:eastAsia="zh-CN"/>
        </w:rPr>
        <w:t>含税费</w:t>
      </w:r>
      <w:r>
        <w:rPr>
          <w:rFonts w:hint="eastAsia" w:ascii="宋体" w:hAnsi="宋体" w:cs="宋体"/>
          <w:sz w:val="24"/>
        </w:rPr>
        <w:t>以及代垫支出和费用及实施本项目的一切费用。本合同约定的价格为含税价格（税率6%），合同履行期间国家税率调整的，不含税价不变，价税合计相应调整，以开具发票的时间为准。</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（二）甲方分三期将上述款项支付给乙方，</w:t>
      </w:r>
      <w:r>
        <w:rPr>
          <w:rFonts w:hint="eastAsia" w:ascii="宋体" w:hAnsi="宋体" w:cs="宋体"/>
          <w:sz w:val="24"/>
          <w:lang w:val="en-US" w:eastAsia="zh-CN"/>
        </w:rPr>
        <w:t>在甲方支付前</w:t>
      </w:r>
      <w:r>
        <w:rPr>
          <w:rFonts w:hint="eastAsia" w:ascii="宋体" w:hAnsi="宋体" w:cs="宋体"/>
          <w:sz w:val="24"/>
        </w:rPr>
        <w:t>乙方应</w:t>
      </w:r>
      <w:r>
        <w:rPr>
          <w:rFonts w:hint="eastAsia" w:ascii="宋体" w:hAnsi="宋体" w:cs="宋体"/>
          <w:sz w:val="24"/>
          <w:lang w:val="en-US" w:eastAsia="zh-CN"/>
        </w:rPr>
        <w:t>按甲方要求</w:t>
      </w:r>
      <w:r>
        <w:rPr>
          <w:rFonts w:hint="eastAsia" w:ascii="宋体" w:hAnsi="宋体" w:cs="宋体"/>
          <w:sz w:val="24"/>
        </w:rPr>
        <w:t>提供相应合法有效</w:t>
      </w:r>
      <w:r>
        <w:rPr>
          <w:rFonts w:hint="eastAsia" w:ascii="宋体" w:hAnsi="宋体" w:cs="宋体"/>
          <w:sz w:val="24"/>
          <w:lang w:val="en-US" w:eastAsia="zh-CN"/>
        </w:rPr>
        <w:t>的发票</w:t>
      </w:r>
      <w:r>
        <w:rPr>
          <w:rFonts w:hint="eastAsia" w:ascii="宋体" w:hAnsi="宋体" w:cs="宋体"/>
          <w:sz w:val="24"/>
        </w:rPr>
        <w:t>。</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第一期：乙方进场之日起10个工作日内，</w:t>
      </w:r>
      <w:r>
        <w:rPr>
          <w:rFonts w:hint="eastAsia" w:ascii="宋体" w:hAnsi="宋体" w:cs="宋体"/>
          <w:sz w:val="24"/>
          <w:lang w:val="en-US" w:eastAsia="zh-CN"/>
        </w:rPr>
        <w:t>甲方</w:t>
      </w:r>
      <w:r>
        <w:rPr>
          <w:rFonts w:hint="eastAsia" w:ascii="宋体" w:hAnsi="宋体" w:cs="宋体"/>
          <w:sz w:val="24"/>
        </w:rPr>
        <w:t xml:space="preserve">支付合同金额的30 %； </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第二期：乙方</w:t>
      </w:r>
      <w:r>
        <w:rPr>
          <w:rFonts w:hint="eastAsia" w:ascii="宋体" w:hAnsi="宋体"/>
          <w:sz w:val="24"/>
        </w:rPr>
        <w:t>提交项目成果初稿，并经甲方</w:t>
      </w:r>
      <w:r>
        <w:rPr>
          <w:rFonts w:hint="eastAsia" w:ascii="宋体" w:hAnsi="宋体"/>
          <w:sz w:val="24"/>
          <w:lang w:val="en-US" w:eastAsia="zh-CN"/>
        </w:rPr>
        <w:t>验收通过后10个工作日内</w:t>
      </w:r>
      <w:r>
        <w:rPr>
          <w:rFonts w:hint="eastAsia" w:ascii="宋体" w:hAnsi="宋体" w:cs="宋体"/>
          <w:sz w:val="24"/>
        </w:rPr>
        <w:t>，</w:t>
      </w:r>
      <w:r>
        <w:rPr>
          <w:rFonts w:hint="eastAsia" w:ascii="宋体" w:hAnsi="宋体" w:cs="宋体"/>
          <w:sz w:val="24"/>
          <w:lang w:val="en-US" w:eastAsia="zh-CN"/>
        </w:rPr>
        <w:t>甲方</w:t>
      </w:r>
      <w:r>
        <w:rPr>
          <w:rFonts w:hint="eastAsia" w:ascii="宋体" w:hAnsi="宋体" w:cs="宋体"/>
          <w:sz w:val="24"/>
        </w:rPr>
        <w:t>支付</w:t>
      </w:r>
      <w:r>
        <w:rPr>
          <w:rFonts w:hint="eastAsia" w:ascii="宋体" w:hAnsi="宋体" w:cs="宋体"/>
          <w:sz w:val="24"/>
          <w:lang w:val="en-US" w:eastAsia="zh-CN"/>
        </w:rPr>
        <w:t>至</w:t>
      </w:r>
      <w:r>
        <w:rPr>
          <w:rFonts w:hint="eastAsia" w:ascii="宋体" w:hAnsi="宋体" w:cs="宋体"/>
          <w:sz w:val="24"/>
        </w:rPr>
        <w:t>合同金额的</w:t>
      </w:r>
      <w:r>
        <w:rPr>
          <w:rFonts w:hint="eastAsia" w:ascii="宋体" w:hAnsi="宋体" w:cs="宋体"/>
          <w:sz w:val="24"/>
          <w:lang w:val="en-US" w:eastAsia="zh-CN"/>
        </w:rPr>
        <w:t>70</w:t>
      </w:r>
      <w:r>
        <w:rPr>
          <w:rFonts w:hint="eastAsia" w:ascii="宋体" w:hAnsi="宋体" w:cs="宋体"/>
          <w:sz w:val="24"/>
        </w:rPr>
        <w:t xml:space="preserve"> %； </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第三期：辅导期结束后，甲方在30日内向乙方支付剩余的全部款项。</w:t>
      </w:r>
    </w:p>
    <w:p>
      <w:pPr>
        <w:tabs>
          <w:tab w:val="left" w:pos="851"/>
        </w:tabs>
        <w:snapToGrid w:val="0"/>
        <w:spacing w:line="360" w:lineRule="auto"/>
        <w:ind w:firstLine="360" w:firstLineChars="150"/>
        <w:rPr>
          <w:rFonts w:ascii="宋体" w:hAnsi="宋体" w:cs="宋体"/>
          <w:sz w:val="24"/>
        </w:rPr>
      </w:pPr>
      <w:r>
        <w:rPr>
          <w:rFonts w:hint="eastAsia" w:ascii="宋体" w:hAnsi="宋体" w:cs="宋体"/>
          <w:sz w:val="24"/>
        </w:rPr>
        <w:t>（三）支付方式：以转帐方式支付。乙方的账户信息如下：</w:t>
      </w:r>
    </w:p>
    <w:p>
      <w:pPr>
        <w:tabs>
          <w:tab w:val="left" w:pos="492"/>
        </w:tabs>
        <w:snapToGrid w:val="0"/>
        <w:spacing w:line="360" w:lineRule="auto"/>
        <w:ind w:firstLine="480" w:firstLineChars="200"/>
        <w:rPr>
          <w:rFonts w:ascii="宋体" w:hAnsi="宋体" w:cs="宋体"/>
          <w:sz w:val="24"/>
        </w:rPr>
      </w:pPr>
      <w:r>
        <w:rPr>
          <w:rFonts w:hint="eastAsia" w:ascii="宋体" w:hAnsi="宋体" w:cs="宋体"/>
          <w:sz w:val="24"/>
        </w:rPr>
        <w:tab/>
      </w:r>
      <w:r>
        <w:rPr>
          <w:rFonts w:hint="eastAsia" w:ascii="宋体" w:hAnsi="宋体" w:cs="宋体"/>
          <w:sz w:val="24"/>
        </w:rPr>
        <w:t xml:space="preserve">开户行： </w:t>
      </w:r>
    </w:p>
    <w:p>
      <w:pPr>
        <w:tabs>
          <w:tab w:val="left" w:pos="492"/>
        </w:tabs>
        <w:snapToGrid w:val="0"/>
        <w:spacing w:line="360" w:lineRule="auto"/>
        <w:ind w:firstLine="480" w:firstLineChars="200"/>
        <w:rPr>
          <w:rFonts w:ascii="宋体" w:hAnsi="宋体" w:cs="宋体"/>
          <w:sz w:val="24"/>
        </w:rPr>
      </w:pPr>
      <w:r>
        <w:rPr>
          <w:rFonts w:hint="eastAsia" w:ascii="宋体" w:hAnsi="宋体" w:cs="宋体"/>
          <w:sz w:val="24"/>
        </w:rPr>
        <w:tab/>
      </w:r>
      <w:r>
        <w:rPr>
          <w:rFonts w:hint="eastAsia" w:ascii="宋体" w:hAnsi="宋体" w:cs="宋体"/>
          <w:sz w:val="24"/>
        </w:rPr>
        <w:t xml:space="preserve">账户名称： </w:t>
      </w:r>
    </w:p>
    <w:p>
      <w:pPr>
        <w:tabs>
          <w:tab w:val="left" w:pos="492"/>
        </w:tabs>
        <w:snapToGrid w:val="0"/>
        <w:spacing w:line="360" w:lineRule="auto"/>
        <w:ind w:firstLine="480" w:firstLineChars="200"/>
        <w:rPr>
          <w:rFonts w:hint="default" w:ascii="宋体" w:hAnsi="宋体" w:cs="宋体" w:eastAsiaTheme="minorEastAsia"/>
          <w:b w:val="0"/>
          <w:bCs/>
          <w:sz w:val="24"/>
          <w:lang w:val="en-US" w:eastAsia="zh-CN"/>
        </w:rPr>
      </w:pPr>
      <w:r>
        <w:rPr>
          <w:rFonts w:hint="eastAsia" w:ascii="宋体" w:hAnsi="宋体" w:cs="宋体"/>
          <w:sz w:val="24"/>
        </w:rPr>
        <w:tab/>
      </w:r>
      <w:r>
        <w:rPr>
          <w:rFonts w:hint="eastAsia" w:ascii="宋体" w:hAnsi="宋体" w:cs="宋体"/>
          <w:sz w:val="24"/>
        </w:rPr>
        <w:t>账号：</w:t>
      </w:r>
      <w:r>
        <w:rPr>
          <w:rFonts w:hint="eastAsia" w:ascii="宋体" w:hAnsi="宋体" w:cs="宋体"/>
          <w:sz w:val="24"/>
        </w:rPr>
        <w:tab/>
      </w:r>
    </w:p>
    <w:p>
      <w:pPr>
        <w:tabs>
          <w:tab w:val="left" w:pos="851"/>
        </w:tabs>
        <w:snapToGrid w:val="0"/>
        <w:spacing w:line="360" w:lineRule="auto"/>
        <w:ind w:firstLine="482" w:firstLineChars="200"/>
        <w:rPr>
          <w:rFonts w:ascii="宋体" w:hAnsi="宋体" w:cs="宋体"/>
          <w:b/>
          <w:sz w:val="24"/>
        </w:rPr>
      </w:pPr>
      <w:r>
        <w:rPr>
          <w:rFonts w:hint="eastAsia" w:ascii="宋体" w:hAnsi="宋体" w:cs="宋体"/>
          <w:b/>
          <w:sz w:val="24"/>
        </w:rPr>
        <w:t>第</w:t>
      </w:r>
      <w:r>
        <w:rPr>
          <w:rFonts w:hint="eastAsia" w:ascii="宋体" w:hAnsi="宋体" w:cs="宋体"/>
          <w:b/>
          <w:sz w:val="24"/>
          <w:lang w:val="en-US" w:eastAsia="zh-CN"/>
        </w:rPr>
        <w:t>八</w:t>
      </w:r>
      <w:r>
        <w:rPr>
          <w:rFonts w:hint="eastAsia" w:ascii="宋体" w:hAnsi="宋体" w:cs="宋体"/>
          <w:b/>
          <w:sz w:val="24"/>
        </w:rPr>
        <w:t>条  违约责任</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一）因甲方原因造成本合同无法履行或由甲方单方面终止本协议的，甲方需要提前10天书面通知乙方，此10天期间视为协议的执行期间，双方仍需按约定履行该期间各自的咨询服务或付款的义务，其已支付的咨询费，乙方不必退还</w:t>
      </w:r>
      <w:r>
        <w:rPr>
          <w:rFonts w:hint="eastAsia" w:ascii="宋体" w:hAnsi="宋体" w:cs="宋体"/>
          <w:sz w:val="24"/>
          <w:lang w:eastAsia="zh-CN"/>
        </w:rPr>
        <w:t>；</w:t>
      </w:r>
      <w:r>
        <w:rPr>
          <w:rFonts w:hint="eastAsia" w:ascii="宋体" w:hAnsi="宋体" w:cs="宋体"/>
          <w:sz w:val="24"/>
          <w:lang w:val="en-US" w:eastAsia="zh-CN"/>
        </w:rPr>
        <w:t>乙方已形成的资料成果移交甲方</w:t>
      </w:r>
      <w:r>
        <w:rPr>
          <w:rFonts w:hint="eastAsia" w:ascii="宋体" w:hAnsi="宋体" w:cs="宋体"/>
          <w:sz w:val="24"/>
        </w:rPr>
        <w:t>。</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（二）乙方不能按时提交服务成果或违反本协议其他约定的，甲方有权书面催告其按本协议履行</w:t>
      </w:r>
      <w:r>
        <w:rPr>
          <w:rFonts w:hint="eastAsia" w:ascii="宋体" w:hAnsi="宋体" w:cs="宋体"/>
          <w:sz w:val="24"/>
          <w:lang w:eastAsia="zh-CN"/>
        </w:rPr>
        <w:t>。</w:t>
      </w:r>
      <w:r>
        <w:rPr>
          <w:rFonts w:hint="eastAsia" w:ascii="宋体" w:hAnsi="宋体" w:cs="宋体"/>
          <w:sz w:val="24"/>
          <w:lang w:val="en-US" w:eastAsia="zh-CN"/>
        </w:rPr>
        <w:t>逾期提交服务成果的，甲方有权要求乙方自</w:t>
      </w:r>
      <w:r>
        <w:rPr>
          <w:rFonts w:hint="eastAsia" w:ascii="宋体" w:hAnsi="宋体" w:cs="宋体"/>
          <w:sz w:val="24"/>
        </w:rPr>
        <w:t>逾期之日</w:t>
      </w:r>
      <w:r>
        <w:rPr>
          <w:rFonts w:hint="eastAsia" w:ascii="宋体" w:hAnsi="宋体" w:cs="宋体"/>
          <w:sz w:val="24"/>
          <w:lang w:val="en-US" w:eastAsia="zh-CN"/>
        </w:rPr>
        <w:t>每日支付合同金额千分之一的违约金，逾期超过10日的，</w:t>
      </w:r>
      <w:r>
        <w:rPr>
          <w:rFonts w:hint="eastAsia" w:ascii="宋体" w:hAnsi="宋体" w:cs="宋体"/>
          <w:sz w:val="24"/>
        </w:rPr>
        <w:t>甲方有权</w:t>
      </w:r>
      <w:r>
        <w:rPr>
          <w:rFonts w:hint="eastAsia" w:ascii="宋体" w:hAnsi="宋体" w:cs="宋体"/>
          <w:sz w:val="24"/>
          <w:lang w:val="en-US" w:eastAsia="zh-CN"/>
        </w:rPr>
        <w:t>单方</w:t>
      </w:r>
      <w:r>
        <w:rPr>
          <w:rFonts w:hint="eastAsia" w:ascii="宋体" w:hAnsi="宋体" w:cs="宋体"/>
          <w:sz w:val="24"/>
        </w:rPr>
        <w:t>解除本协议，要求乙方退还已支付款项，并追究乙方合同金额</w:t>
      </w:r>
      <w:r>
        <w:rPr>
          <w:rFonts w:hint="eastAsia" w:ascii="宋体" w:hAnsi="宋体" w:cs="宋体"/>
          <w:sz w:val="24"/>
          <w:lang w:val="en-US" w:eastAsia="zh-CN"/>
        </w:rPr>
        <w:t>30</w:t>
      </w:r>
      <w:r>
        <w:rPr>
          <w:rFonts w:ascii="宋体" w:hAnsi="宋体" w:cs="宋体"/>
          <w:sz w:val="24"/>
        </w:rPr>
        <w:t>%</w:t>
      </w:r>
      <w:r>
        <w:rPr>
          <w:rFonts w:hint="eastAsia" w:ascii="宋体" w:hAnsi="宋体" w:cs="宋体"/>
          <w:sz w:val="24"/>
        </w:rPr>
        <w:t>的违约金。因乙方原因造成本协议无法全部履行的，乙方应在5个工作日内退还已收取的咨询费给甲方，甲方有权拒付剩余款项，并追究乙方合同金额</w:t>
      </w:r>
      <w:r>
        <w:rPr>
          <w:rFonts w:hint="eastAsia" w:ascii="宋体" w:hAnsi="宋体" w:cs="宋体"/>
          <w:sz w:val="24"/>
          <w:lang w:val="en-US" w:eastAsia="zh-CN"/>
        </w:rPr>
        <w:t>30</w:t>
      </w:r>
      <w:r>
        <w:rPr>
          <w:rFonts w:ascii="宋体" w:hAnsi="宋体" w:cs="宋体"/>
          <w:sz w:val="24"/>
        </w:rPr>
        <w:t>%</w:t>
      </w:r>
      <w:r>
        <w:rPr>
          <w:rFonts w:hint="eastAsia" w:ascii="宋体" w:hAnsi="宋体" w:cs="宋体"/>
          <w:sz w:val="24"/>
        </w:rPr>
        <w:t>的违约金。</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（三）如甲方在乙方</w:t>
      </w:r>
      <w:r>
        <w:rPr>
          <w:rFonts w:hint="eastAsia" w:ascii="宋体" w:hAnsi="宋体" w:cs="宋体"/>
          <w:sz w:val="24"/>
          <w:lang w:val="en-US" w:eastAsia="zh-CN"/>
        </w:rPr>
        <w:t>提供增值税专用发票</w:t>
      </w:r>
      <w:r>
        <w:rPr>
          <w:rFonts w:hint="eastAsia" w:ascii="宋体" w:hAnsi="宋体" w:cs="宋体"/>
          <w:sz w:val="24"/>
        </w:rPr>
        <w:t>后三十天内仍未支付有关费用，则乙方将在法律允许的范畴内对逾期款项收取逾期费用。逾期费用将以如下两项中较低者为计算标准计收: 1) 从逾期之日起按逾期应付款项每个月千分之一计算； 2) 法律允许的最高逾期利率。乙方有权停止或终止所有服务，直至甲方清偿所有逾期款项为止，且乙方停止及终止所有服务并不限制乙方的权利和索偿。</w:t>
      </w:r>
    </w:p>
    <w:p>
      <w:pPr>
        <w:tabs>
          <w:tab w:val="left" w:pos="851"/>
        </w:tabs>
        <w:snapToGrid w:val="0"/>
        <w:spacing w:line="360" w:lineRule="auto"/>
        <w:ind w:firstLine="482" w:firstLineChars="200"/>
        <w:rPr>
          <w:rFonts w:ascii="宋体" w:hAnsi="宋体" w:cs="宋体"/>
          <w:b/>
          <w:sz w:val="24"/>
        </w:rPr>
      </w:pPr>
      <w:r>
        <w:rPr>
          <w:rFonts w:hint="eastAsia" w:ascii="宋体" w:hAnsi="宋体" w:cs="宋体"/>
          <w:b/>
          <w:sz w:val="24"/>
        </w:rPr>
        <w:t>第</w:t>
      </w:r>
      <w:r>
        <w:rPr>
          <w:rFonts w:hint="eastAsia" w:ascii="宋体" w:hAnsi="宋体" w:cs="宋体"/>
          <w:b/>
          <w:sz w:val="24"/>
          <w:lang w:val="en-US" w:eastAsia="zh-CN"/>
        </w:rPr>
        <w:t>九</w:t>
      </w:r>
      <w:r>
        <w:rPr>
          <w:rFonts w:hint="eastAsia" w:ascii="宋体" w:hAnsi="宋体" w:cs="宋体"/>
          <w:b/>
          <w:sz w:val="24"/>
        </w:rPr>
        <w:t>条  争议解决方式和法律适用</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甲乙双方在协议履行过程中产生的任何争议，应尽量协商解决。协商不成的，由甲方所在地法院审理。本合同的所有方面均适用中华人民共和国法律进行解释并受其约束。</w:t>
      </w:r>
    </w:p>
    <w:p>
      <w:pPr>
        <w:tabs>
          <w:tab w:val="left" w:pos="851"/>
        </w:tabs>
        <w:snapToGrid w:val="0"/>
        <w:spacing w:line="360" w:lineRule="auto"/>
        <w:ind w:firstLine="482" w:firstLineChars="200"/>
        <w:rPr>
          <w:rFonts w:ascii="宋体" w:hAnsi="宋体" w:cs="宋体"/>
          <w:b/>
          <w:sz w:val="24"/>
        </w:rPr>
      </w:pPr>
      <w:r>
        <w:rPr>
          <w:rFonts w:hint="eastAsia" w:ascii="宋体" w:hAnsi="宋体" w:cs="宋体"/>
          <w:b/>
          <w:sz w:val="24"/>
        </w:rPr>
        <w:t>第十一条 其他</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（一）除非本合同另有约定，任何一方未经另一方事先书面同意不得转让、转移或委托他方履行其在本合同的任何权利或义务。</w:t>
      </w:r>
    </w:p>
    <w:p>
      <w:pPr>
        <w:tabs>
          <w:tab w:val="left" w:pos="851"/>
        </w:tabs>
        <w:snapToGrid w:val="0"/>
        <w:spacing w:line="360" w:lineRule="auto"/>
        <w:ind w:left="210" w:leftChars="100"/>
        <w:rPr>
          <w:rFonts w:ascii="宋体" w:hAnsi="宋体" w:cs="宋体"/>
          <w:sz w:val="24"/>
        </w:rPr>
      </w:pPr>
      <w:r>
        <w:rPr>
          <w:rFonts w:hint="eastAsia" w:ascii="宋体" w:hAnsi="宋体" w:cs="宋体"/>
          <w:sz w:val="24"/>
        </w:rPr>
        <w:t xml:space="preserve">（二）通讯 </w:t>
      </w:r>
    </w:p>
    <w:p>
      <w:pPr>
        <w:snapToGrid w:val="0"/>
        <w:spacing w:line="360" w:lineRule="auto"/>
        <w:ind w:firstLine="480" w:firstLineChars="200"/>
        <w:rPr>
          <w:rFonts w:ascii="宋体" w:hAnsi="宋体" w:cs="宋体"/>
          <w:sz w:val="24"/>
        </w:rPr>
      </w:pPr>
      <w:r>
        <w:rPr>
          <w:rFonts w:hint="eastAsia" w:ascii="宋体" w:hAnsi="宋体" w:cs="宋体"/>
          <w:sz w:val="24"/>
        </w:rPr>
        <w:t>除非本合同另有明确约定，本合同项下所允许或要求的一切通知、请求、要求或其他通讯，应以书面形式，并由专人递交，或由全国知名的特快专递、传真或电子邮件传送，并要求随附回执。通知在下述情况下视为送达：交由快递后2日或发件人收到传真或电子邮件传送确认函，以实际发生较早者为准。通知应发往下列地址或任一方书面约定的其他地址：</w:t>
      </w:r>
    </w:p>
    <w:p>
      <w:pPr>
        <w:snapToGrid w:val="0"/>
        <w:spacing w:line="360" w:lineRule="auto"/>
        <w:ind w:firstLine="472" w:firstLineChars="196"/>
        <w:rPr>
          <w:rFonts w:ascii="宋体" w:hAnsi="宋体" w:cs="宋体"/>
          <w:sz w:val="24"/>
        </w:rPr>
      </w:pPr>
      <w:r>
        <w:rPr>
          <w:rFonts w:hint="eastAsia" w:ascii="宋体" w:hAnsi="宋体" w:cs="宋体"/>
          <w:b/>
          <w:sz w:val="24"/>
        </w:rPr>
        <w:t>甲方：</w:t>
      </w:r>
      <w:r>
        <w:rPr>
          <w:rFonts w:hint="eastAsia" w:ascii="宋体" w:hAnsi="宋体" w:cs="宋体"/>
          <w:sz w:val="24"/>
        </w:rPr>
        <w:t xml:space="preserve"> </w:t>
      </w:r>
    </w:p>
    <w:p>
      <w:pPr>
        <w:snapToGrid w:val="0"/>
        <w:spacing w:line="360" w:lineRule="auto"/>
        <w:ind w:firstLine="480" w:firstLineChars="200"/>
        <w:rPr>
          <w:rFonts w:ascii="宋体" w:hAnsi="宋体" w:cs="宋体"/>
          <w:sz w:val="24"/>
        </w:rPr>
      </w:pPr>
      <w:r>
        <w:rPr>
          <w:rFonts w:hint="eastAsia" w:ascii="宋体" w:hAnsi="宋体" w:cs="宋体"/>
          <w:sz w:val="24"/>
        </w:rPr>
        <w:t>地址：</w:t>
      </w:r>
    </w:p>
    <w:p>
      <w:pPr>
        <w:snapToGrid w:val="0"/>
        <w:spacing w:line="360" w:lineRule="auto"/>
        <w:ind w:firstLine="480" w:firstLineChars="200"/>
        <w:rPr>
          <w:rFonts w:ascii="宋体" w:hAnsi="宋体" w:cs="宋体"/>
          <w:sz w:val="24"/>
        </w:rPr>
      </w:pPr>
      <w:r>
        <w:rPr>
          <w:rFonts w:hint="eastAsia" w:ascii="宋体" w:hAnsi="宋体" w:cs="宋体"/>
          <w:sz w:val="24"/>
        </w:rPr>
        <w:t>电话：</w:t>
      </w:r>
    </w:p>
    <w:p>
      <w:pPr>
        <w:snapToGrid w:val="0"/>
        <w:spacing w:line="360" w:lineRule="auto"/>
        <w:ind w:firstLine="480" w:firstLineChars="200"/>
        <w:rPr>
          <w:rFonts w:ascii="宋体" w:hAnsi="宋体" w:cs="宋体"/>
          <w:sz w:val="24"/>
        </w:rPr>
      </w:pPr>
      <w:r>
        <w:rPr>
          <w:rFonts w:hint="eastAsia" w:ascii="宋体" w:hAnsi="宋体" w:cs="宋体"/>
          <w:sz w:val="24"/>
        </w:rPr>
        <w:t>电子邮件：</w:t>
      </w:r>
    </w:p>
    <w:p>
      <w:pPr>
        <w:snapToGrid w:val="0"/>
        <w:spacing w:line="360" w:lineRule="auto"/>
        <w:ind w:firstLine="480" w:firstLineChars="200"/>
        <w:rPr>
          <w:rFonts w:ascii="宋体" w:hAnsi="宋体" w:cs="宋体"/>
          <w:sz w:val="24"/>
        </w:rPr>
      </w:pPr>
      <w:r>
        <w:rPr>
          <w:rFonts w:hint="eastAsia" w:ascii="宋体" w:hAnsi="宋体" w:cs="宋体"/>
          <w:sz w:val="24"/>
        </w:rPr>
        <w:t>传真：</w:t>
      </w:r>
    </w:p>
    <w:p>
      <w:pPr>
        <w:snapToGrid w:val="0"/>
        <w:spacing w:line="360" w:lineRule="auto"/>
        <w:ind w:firstLine="480" w:firstLineChars="200"/>
        <w:rPr>
          <w:rFonts w:ascii="宋体" w:hAnsi="宋体" w:cs="宋体"/>
          <w:sz w:val="24"/>
        </w:rPr>
      </w:pPr>
      <w:r>
        <w:rPr>
          <w:rFonts w:hint="eastAsia" w:ascii="宋体" w:hAnsi="宋体" w:cs="宋体"/>
          <w:sz w:val="24"/>
        </w:rPr>
        <w:t xml:space="preserve">收件人： </w:t>
      </w:r>
    </w:p>
    <w:p>
      <w:pPr>
        <w:snapToGrid w:val="0"/>
        <w:spacing w:line="360" w:lineRule="auto"/>
        <w:rPr>
          <w:rFonts w:ascii="宋体" w:hAnsi="宋体" w:cs="宋体"/>
          <w:sz w:val="24"/>
        </w:rPr>
      </w:pPr>
    </w:p>
    <w:p>
      <w:pPr>
        <w:snapToGrid w:val="0"/>
        <w:spacing w:line="360" w:lineRule="auto"/>
        <w:ind w:firstLine="472" w:firstLineChars="196"/>
        <w:rPr>
          <w:rFonts w:ascii="宋体" w:hAnsi="宋体" w:cs="宋体"/>
          <w:b/>
          <w:sz w:val="24"/>
        </w:rPr>
      </w:pPr>
      <w:r>
        <w:rPr>
          <w:rFonts w:hint="eastAsia" w:ascii="宋体" w:hAnsi="宋体" w:cs="宋体"/>
          <w:b/>
          <w:sz w:val="24"/>
        </w:rPr>
        <w:t xml:space="preserve">乙方： </w:t>
      </w:r>
    </w:p>
    <w:p>
      <w:pPr>
        <w:snapToGrid w:val="0"/>
        <w:spacing w:line="360" w:lineRule="auto"/>
        <w:ind w:firstLine="480" w:firstLineChars="200"/>
        <w:rPr>
          <w:rFonts w:ascii="宋体" w:hAnsi="宋体" w:cs="宋体"/>
          <w:sz w:val="24"/>
        </w:rPr>
      </w:pPr>
      <w:r>
        <w:rPr>
          <w:rFonts w:hint="eastAsia" w:ascii="宋体" w:hAnsi="宋体" w:cs="宋体"/>
          <w:sz w:val="24"/>
        </w:rPr>
        <w:t>地址：</w:t>
      </w:r>
    </w:p>
    <w:p>
      <w:pPr>
        <w:snapToGrid w:val="0"/>
        <w:spacing w:line="360" w:lineRule="auto"/>
        <w:ind w:firstLine="480" w:firstLineChars="200"/>
        <w:rPr>
          <w:rFonts w:ascii="宋体" w:hAnsi="宋体" w:cs="宋体"/>
          <w:sz w:val="24"/>
        </w:rPr>
      </w:pPr>
      <w:r>
        <w:rPr>
          <w:rFonts w:hint="eastAsia" w:ascii="宋体" w:hAnsi="宋体" w:cs="宋体"/>
          <w:sz w:val="24"/>
        </w:rPr>
        <w:t>电话：</w:t>
      </w:r>
    </w:p>
    <w:p>
      <w:pPr>
        <w:snapToGrid w:val="0"/>
        <w:spacing w:line="360" w:lineRule="auto"/>
        <w:ind w:firstLine="480" w:firstLineChars="200"/>
        <w:rPr>
          <w:rFonts w:ascii="宋体" w:hAnsi="宋体" w:cs="宋体"/>
          <w:sz w:val="24"/>
        </w:rPr>
      </w:pPr>
      <w:r>
        <w:rPr>
          <w:rFonts w:hint="eastAsia" w:ascii="宋体" w:hAnsi="宋体" w:cs="宋体"/>
          <w:sz w:val="24"/>
        </w:rPr>
        <w:t>电子邮件：</w:t>
      </w:r>
    </w:p>
    <w:p>
      <w:pPr>
        <w:snapToGrid w:val="0"/>
        <w:spacing w:line="360" w:lineRule="auto"/>
        <w:ind w:firstLine="480" w:firstLineChars="200"/>
        <w:rPr>
          <w:rFonts w:ascii="宋体" w:hAnsi="宋体" w:cs="宋体"/>
          <w:sz w:val="24"/>
        </w:rPr>
      </w:pPr>
      <w:r>
        <w:rPr>
          <w:rFonts w:hint="eastAsia" w:ascii="宋体" w:hAnsi="宋体" w:cs="宋体"/>
          <w:sz w:val="24"/>
        </w:rPr>
        <w:t>传真：</w:t>
      </w:r>
    </w:p>
    <w:p>
      <w:pPr>
        <w:snapToGrid w:val="0"/>
        <w:spacing w:line="360" w:lineRule="auto"/>
        <w:ind w:firstLine="480" w:firstLineChars="200"/>
        <w:rPr>
          <w:rFonts w:ascii="宋体" w:hAnsi="宋体" w:cs="宋体"/>
          <w:sz w:val="24"/>
        </w:rPr>
      </w:pPr>
      <w:r>
        <w:rPr>
          <w:rFonts w:hint="eastAsia" w:ascii="宋体" w:hAnsi="宋体" w:cs="宋体"/>
          <w:sz w:val="24"/>
        </w:rPr>
        <w:t>收件人：</w:t>
      </w:r>
    </w:p>
    <w:p>
      <w:pPr>
        <w:snapToGrid w:val="0"/>
        <w:spacing w:line="360" w:lineRule="auto"/>
        <w:ind w:firstLine="480" w:firstLineChars="200"/>
        <w:rPr>
          <w:rFonts w:ascii="宋体" w:hAnsi="宋体" w:cs="宋体"/>
          <w:sz w:val="24"/>
        </w:rPr>
      </w:pPr>
      <w:r>
        <w:rPr>
          <w:rFonts w:hint="eastAsia" w:ascii="宋体" w:hAnsi="宋体" w:cs="宋体"/>
          <w:sz w:val="24"/>
        </w:rPr>
        <w:t>（三）《广州市</w:t>
      </w:r>
      <w:r>
        <w:rPr>
          <w:rFonts w:hint="eastAsia" w:ascii="宋体" w:hAnsi="宋体" w:cs="宋体"/>
          <w:sz w:val="24"/>
          <w:lang w:val="en-US" w:eastAsia="zh-CN"/>
        </w:rPr>
        <w:t>净水有限</w:t>
      </w:r>
      <w:r>
        <w:rPr>
          <w:rFonts w:hint="eastAsia" w:ascii="宋体" w:hAnsi="宋体" w:cs="宋体"/>
          <w:sz w:val="24"/>
        </w:rPr>
        <w:t>公司风控内控合规三体系整合构建咨询服务方案》作为本协议的附件，和本协议具有同样的法律效力，若有冲突的，以本合同为准，本合同没有约定的，以上述附件为准。</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（四）本合同一式四份，甲乙双方各执两份，具有同等法律效力，从双方签字盖章之日起生效。</w:t>
      </w:r>
    </w:p>
    <w:p>
      <w:pPr>
        <w:snapToGrid w:val="0"/>
        <w:spacing w:line="360" w:lineRule="auto"/>
        <w:ind w:left="0" w:leftChars="0" w:firstLine="723" w:firstLineChars="300"/>
        <w:rPr>
          <w:rFonts w:hint="eastAsia" w:asciiTheme="minorEastAsia" w:hAnsiTheme="minorEastAsia" w:eastAsiaTheme="minorEastAsia" w:cstheme="minorEastAsia"/>
          <w:b w:val="0"/>
          <w:bCs w:val="0"/>
          <w:color w:val="000000"/>
          <w:sz w:val="24"/>
          <w:szCs w:val="24"/>
        </w:rPr>
      </w:pPr>
      <w:r>
        <w:rPr>
          <w:rFonts w:hint="eastAsia" w:ascii="宋体" w:hAnsi="宋体" w:cs="宋体"/>
          <w:b/>
          <w:bCs/>
          <w:sz w:val="24"/>
        </w:rPr>
        <w:t>（以下无正文）</w:t>
      </w:r>
    </w:p>
    <w:p>
      <w:pPr>
        <w:pStyle w:val="12"/>
        <w:spacing w:line="360" w:lineRule="auto"/>
        <w:ind w:left="0" w:leftChars="0" w:firstLine="720" w:firstLineChars="30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附件1：</w:t>
      </w:r>
      <w:r>
        <w:rPr>
          <w:rFonts w:hint="eastAsia" w:asciiTheme="minorEastAsia" w:hAnsiTheme="minorEastAsia" w:eastAsiaTheme="minorEastAsia" w:cstheme="minorEastAsia"/>
          <w:b w:val="0"/>
          <w:bCs w:val="0"/>
          <w:sz w:val="24"/>
          <w:szCs w:val="24"/>
        </w:rPr>
        <w:t>发包通知书</w:t>
      </w:r>
      <w:r>
        <w:rPr>
          <w:rFonts w:hint="eastAsia" w:asciiTheme="minorEastAsia" w:hAnsiTheme="minorEastAsia" w:eastAsiaTheme="minorEastAsia" w:cstheme="minorEastAsia"/>
          <w:b w:val="0"/>
          <w:bCs w:val="0"/>
          <w:color w:val="000000"/>
          <w:sz w:val="24"/>
          <w:szCs w:val="24"/>
        </w:rPr>
        <w:t xml:space="preserve"> </w:t>
      </w:r>
    </w:p>
    <w:p>
      <w:pPr>
        <w:pStyle w:val="12"/>
        <w:spacing w:line="360" w:lineRule="auto"/>
        <w:ind w:left="584" w:leftChars="278" w:firstLine="120" w:firstLineChars="5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sz w:val="24"/>
          <w:szCs w:val="24"/>
        </w:rPr>
        <w:t>附件2：</w:t>
      </w:r>
      <w:r>
        <w:rPr>
          <w:rFonts w:hint="eastAsia" w:asciiTheme="minorEastAsia" w:hAnsiTheme="minorEastAsia" w:eastAsiaTheme="minorEastAsia" w:cstheme="minorEastAsia"/>
          <w:b w:val="0"/>
          <w:bCs w:val="0"/>
          <w:sz w:val="24"/>
          <w:szCs w:val="24"/>
        </w:rPr>
        <w:t>廉洁协议</w:t>
      </w:r>
    </w:p>
    <w:p>
      <w:pPr>
        <w:pStyle w:val="12"/>
        <w:spacing w:line="360" w:lineRule="auto"/>
        <w:ind w:left="584" w:leftChars="278" w:firstLine="120" w:firstLineChars="5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附件3：安全协议书</w:t>
      </w:r>
    </w:p>
    <w:p>
      <w:pPr>
        <w:pStyle w:val="12"/>
        <w:spacing w:line="360" w:lineRule="auto"/>
        <w:ind w:left="584" w:leftChars="278" w:firstLine="120" w:firstLineChars="5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cstheme="minorEastAsia"/>
          <w:b w:val="0"/>
          <w:bCs w:val="0"/>
          <w:color w:val="000000"/>
          <w:sz w:val="24"/>
          <w:szCs w:val="24"/>
          <w:lang w:val="en-US" w:eastAsia="zh-CN"/>
        </w:rPr>
        <w:t>附件4：</w:t>
      </w:r>
      <w:r>
        <w:rPr>
          <w:rFonts w:hint="eastAsia" w:ascii="宋体" w:hAnsi="宋体" w:cs="宋体"/>
          <w:sz w:val="24"/>
        </w:rPr>
        <w:t>不诚信行为的情形及相应被暂停参与投标活动的处理标准</w:t>
      </w:r>
      <w:r>
        <w:rPr>
          <w:rFonts w:hint="eastAsia" w:asciiTheme="minorEastAsia" w:hAnsiTheme="minorEastAsia" w:eastAsiaTheme="minorEastAsia" w:cstheme="minorEastAsia"/>
          <w:b w:val="0"/>
          <w:bCs w:val="0"/>
          <w:color w:val="000000"/>
          <w:sz w:val="24"/>
          <w:szCs w:val="24"/>
        </w:rPr>
        <w:t xml:space="preserve"> </w:t>
      </w:r>
    </w:p>
    <w:p>
      <w:pPr>
        <w:snapToGrid w:val="0"/>
        <w:spacing w:line="360" w:lineRule="auto"/>
        <w:rPr>
          <w:rFonts w:ascii="宋体" w:hAnsi="宋体" w:cs="宋体"/>
          <w:b/>
          <w:bCs/>
          <w:sz w:val="24"/>
        </w:rPr>
      </w:pPr>
    </w:p>
    <w:p>
      <w:pPr>
        <w:snapToGrid w:val="0"/>
        <w:spacing w:line="360" w:lineRule="auto"/>
        <w:rPr>
          <w:rFonts w:ascii="宋体" w:hAnsi="宋体" w:cs="宋体"/>
          <w:sz w:val="24"/>
        </w:rPr>
      </w:pPr>
      <w:r>
        <w:rPr>
          <w:rFonts w:hint="eastAsia" w:ascii="宋体" w:hAnsi="宋体" w:cs="宋体"/>
          <w:sz w:val="24"/>
        </w:rPr>
        <w:t xml:space="preserve">甲方： </w:t>
      </w:r>
    </w:p>
    <w:p>
      <w:pPr>
        <w:snapToGrid w:val="0"/>
        <w:spacing w:line="360" w:lineRule="auto"/>
        <w:rPr>
          <w:rFonts w:ascii="宋体" w:hAnsi="宋体" w:cs="宋体"/>
          <w:sz w:val="24"/>
        </w:rPr>
      </w:pPr>
      <w:r>
        <w:rPr>
          <w:rFonts w:hint="eastAsia" w:ascii="宋体" w:hAnsi="宋体" w:cs="宋体"/>
          <w:sz w:val="24"/>
        </w:rPr>
        <w:t>法定代表人/委托代理人：</w:t>
      </w:r>
    </w:p>
    <w:p>
      <w:pPr>
        <w:snapToGrid w:val="0"/>
        <w:spacing w:line="360" w:lineRule="auto"/>
        <w:rPr>
          <w:rFonts w:ascii="宋体" w:hAnsi="宋体" w:cs="宋体"/>
          <w:sz w:val="24"/>
        </w:rPr>
      </w:pPr>
      <w:r>
        <w:rPr>
          <w:rFonts w:hint="eastAsia" w:ascii="宋体" w:hAnsi="宋体" w:cs="宋体"/>
          <w:sz w:val="24"/>
        </w:rPr>
        <w:t>单位地址：</w:t>
      </w:r>
    </w:p>
    <w:p>
      <w:pPr>
        <w:snapToGrid w:val="0"/>
        <w:spacing w:line="360" w:lineRule="auto"/>
        <w:rPr>
          <w:rFonts w:ascii="宋体" w:hAnsi="宋体" w:cs="宋体"/>
          <w:sz w:val="24"/>
        </w:rPr>
      </w:pPr>
      <w:r>
        <w:rPr>
          <w:rFonts w:hint="eastAsia" w:ascii="宋体" w:hAnsi="宋体" w:cs="宋体"/>
          <w:sz w:val="24"/>
        </w:rPr>
        <w:t>联系方式：</w:t>
      </w:r>
    </w:p>
    <w:p>
      <w:pPr>
        <w:snapToGrid w:val="0"/>
        <w:spacing w:line="360" w:lineRule="auto"/>
        <w:rPr>
          <w:rFonts w:ascii="宋体" w:hAnsi="宋体" w:cs="宋体"/>
          <w:sz w:val="24"/>
        </w:rPr>
      </w:pPr>
      <w:r>
        <w:rPr>
          <w:rFonts w:hint="eastAsia" w:ascii="宋体" w:hAnsi="宋体" w:cs="宋体"/>
          <w:sz w:val="24"/>
        </w:rPr>
        <w:t>时间：           年    月    日</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 xml:space="preserve">乙方： </w:t>
      </w:r>
    </w:p>
    <w:p>
      <w:pPr>
        <w:snapToGrid w:val="0"/>
        <w:spacing w:line="360" w:lineRule="auto"/>
        <w:rPr>
          <w:rFonts w:ascii="宋体" w:hAnsi="宋体" w:cs="宋体"/>
          <w:sz w:val="24"/>
        </w:rPr>
      </w:pPr>
      <w:r>
        <w:rPr>
          <w:rFonts w:hint="eastAsia" w:ascii="宋体" w:hAnsi="宋体" w:cs="宋体"/>
          <w:sz w:val="24"/>
        </w:rPr>
        <w:t>法定代表人/委托代理人：</w:t>
      </w:r>
    </w:p>
    <w:p>
      <w:pPr>
        <w:snapToGrid w:val="0"/>
        <w:spacing w:line="360" w:lineRule="auto"/>
        <w:rPr>
          <w:rFonts w:ascii="宋体" w:hAnsi="宋体" w:cs="宋体"/>
          <w:sz w:val="24"/>
        </w:rPr>
      </w:pPr>
      <w:r>
        <w:rPr>
          <w:rFonts w:hint="eastAsia" w:ascii="宋体" w:hAnsi="宋体" w:cs="宋体"/>
          <w:sz w:val="24"/>
        </w:rPr>
        <w:t>单位地址：</w:t>
      </w:r>
    </w:p>
    <w:p>
      <w:pPr>
        <w:snapToGrid w:val="0"/>
        <w:spacing w:line="360" w:lineRule="auto"/>
        <w:rPr>
          <w:rFonts w:ascii="宋体" w:hAnsi="宋体" w:cs="宋体"/>
          <w:sz w:val="24"/>
        </w:rPr>
      </w:pPr>
      <w:r>
        <w:rPr>
          <w:rFonts w:hint="eastAsia" w:ascii="宋体" w:hAnsi="宋体" w:cs="宋体"/>
          <w:sz w:val="24"/>
        </w:rPr>
        <w:t>联系方式：</w:t>
      </w:r>
    </w:p>
    <w:p>
      <w:pPr>
        <w:snapToGrid w:val="0"/>
        <w:spacing w:line="360" w:lineRule="auto"/>
        <w:rPr>
          <w:rFonts w:ascii="宋体" w:hAnsi="宋体" w:cs="宋体"/>
          <w:sz w:val="24"/>
        </w:rPr>
      </w:pPr>
      <w:r>
        <w:rPr>
          <w:rFonts w:hint="eastAsia" w:ascii="宋体" w:hAnsi="宋体" w:cs="宋体"/>
          <w:sz w:val="24"/>
        </w:rPr>
        <w:t>时间：           年    月    日</w:t>
      </w:r>
    </w:p>
    <w:p>
      <w:pPr>
        <w:snapToGrid w:val="0"/>
        <w:spacing w:line="360" w:lineRule="auto"/>
        <w:rPr>
          <w:rFonts w:hint="eastAsia" w:ascii="宋体" w:hAnsi="宋体"/>
          <w:sz w:val="24"/>
        </w:rPr>
      </w:pPr>
    </w:p>
    <w:p>
      <w:pPr>
        <w:snapToGrid w:val="0"/>
        <w:spacing w:line="360" w:lineRule="auto"/>
        <w:rPr>
          <w:rFonts w:hint="eastAsia" w:ascii="宋体" w:hAnsi="宋体"/>
          <w:sz w:val="24"/>
        </w:rPr>
      </w:pPr>
    </w:p>
    <w:p>
      <w:pPr>
        <w:snapToGrid w:val="0"/>
        <w:spacing w:line="360" w:lineRule="auto"/>
        <w:ind w:firstLine="0" w:firstLineChars="0"/>
        <w:rPr>
          <w:rFonts w:ascii="宋体" w:hAnsi="宋体"/>
          <w:sz w:val="24"/>
        </w:rPr>
      </w:pPr>
      <w:r>
        <w:rPr>
          <w:rFonts w:hint="eastAsia" w:ascii="宋体" w:hAnsi="宋体"/>
          <w:sz w:val="24"/>
        </w:rPr>
        <w:t>附件：服务团队分工及联系方式</w:t>
      </w:r>
    </w:p>
    <w:tbl>
      <w:tblPr>
        <w:tblStyle w:val="22"/>
        <w:tblW w:w="8980"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81"/>
        <w:gridCol w:w="3356"/>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3" w:type="dxa"/>
            <w:noWrap w:val="0"/>
            <w:vAlign w:val="bottom"/>
          </w:tcPr>
          <w:p>
            <w:pPr>
              <w:tabs>
                <w:tab w:val="left" w:pos="180"/>
              </w:tabs>
              <w:snapToGrid w:val="0"/>
              <w:spacing w:line="360" w:lineRule="auto"/>
              <w:jc w:val="center"/>
              <w:rPr>
                <w:sz w:val="24"/>
              </w:rPr>
            </w:pPr>
            <w:r>
              <w:rPr>
                <w:rFonts w:hint="eastAsia"/>
                <w:b/>
                <w:bCs/>
                <w:sz w:val="24"/>
              </w:rPr>
              <w:t>序号</w:t>
            </w:r>
          </w:p>
        </w:tc>
        <w:tc>
          <w:tcPr>
            <w:tcW w:w="1081" w:type="dxa"/>
            <w:noWrap w:val="0"/>
            <w:vAlign w:val="bottom"/>
          </w:tcPr>
          <w:p>
            <w:pPr>
              <w:tabs>
                <w:tab w:val="left" w:pos="180"/>
              </w:tabs>
              <w:snapToGrid w:val="0"/>
              <w:spacing w:line="360" w:lineRule="auto"/>
              <w:jc w:val="center"/>
              <w:rPr>
                <w:b/>
                <w:bCs/>
                <w:sz w:val="24"/>
              </w:rPr>
            </w:pPr>
            <w:r>
              <w:rPr>
                <w:rFonts w:hint="eastAsia"/>
                <w:b/>
                <w:bCs/>
                <w:sz w:val="24"/>
              </w:rPr>
              <w:t>姓名</w:t>
            </w:r>
          </w:p>
        </w:tc>
        <w:tc>
          <w:tcPr>
            <w:tcW w:w="3356" w:type="dxa"/>
            <w:noWrap w:val="0"/>
            <w:vAlign w:val="bottom"/>
          </w:tcPr>
          <w:p>
            <w:pPr>
              <w:tabs>
                <w:tab w:val="left" w:pos="180"/>
              </w:tabs>
              <w:snapToGrid w:val="0"/>
              <w:spacing w:line="360" w:lineRule="auto"/>
              <w:jc w:val="center"/>
              <w:rPr>
                <w:b/>
                <w:bCs/>
                <w:sz w:val="24"/>
              </w:rPr>
            </w:pPr>
            <w:r>
              <w:rPr>
                <w:rFonts w:hint="eastAsia"/>
                <w:b/>
                <w:bCs/>
                <w:sz w:val="24"/>
              </w:rPr>
              <w:t>在本项目担任职务</w:t>
            </w:r>
          </w:p>
        </w:tc>
        <w:tc>
          <w:tcPr>
            <w:tcW w:w="3890" w:type="dxa"/>
            <w:noWrap w:val="0"/>
            <w:vAlign w:val="bottom"/>
          </w:tcPr>
          <w:p>
            <w:pPr>
              <w:tabs>
                <w:tab w:val="left" w:pos="180"/>
              </w:tabs>
              <w:snapToGrid w:val="0"/>
              <w:spacing w:line="360" w:lineRule="auto"/>
              <w:jc w:val="center"/>
              <w:rPr>
                <w:b/>
                <w:bCs/>
                <w:sz w:val="24"/>
              </w:rPr>
            </w:pPr>
            <w:r>
              <w:rPr>
                <w:rFonts w:hint="eastAsia"/>
                <w:b/>
                <w:bCs/>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53" w:type="dxa"/>
            <w:noWrap w:val="0"/>
            <w:vAlign w:val="center"/>
          </w:tcPr>
          <w:p>
            <w:pPr>
              <w:tabs>
                <w:tab w:val="left" w:pos="180"/>
              </w:tabs>
              <w:snapToGrid w:val="0"/>
              <w:spacing w:line="360" w:lineRule="auto"/>
              <w:jc w:val="center"/>
              <w:rPr>
                <w:sz w:val="24"/>
              </w:rPr>
            </w:pPr>
            <w:r>
              <w:rPr>
                <w:rFonts w:hint="eastAsia"/>
                <w:b/>
                <w:bCs/>
                <w:sz w:val="24"/>
              </w:rPr>
              <w:t>1</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53" w:type="dxa"/>
            <w:noWrap w:val="0"/>
            <w:vAlign w:val="center"/>
          </w:tcPr>
          <w:p>
            <w:pPr>
              <w:tabs>
                <w:tab w:val="left" w:pos="180"/>
              </w:tabs>
              <w:snapToGrid w:val="0"/>
              <w:spacing w:line="360" w:lineRule="auto"/>
              <w:jc w:val="center"/>
              <w:rPr>
                <w:b/>
                <w:bCs/>
                <w:sz w:val="24"/>
              </w:rPr>
            </w:pPr>
            <w:r>
              <w:rPr>
                <w:rFonts w:hint="eastAsia"/>
                <w:b/>
                <w:bCs/>
                <w:sz w:val="24"/>
              </w:rPr>
              <w:t>2</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53" w:type="dxa"/>
            <w:noWrap w:val="0"/>
            <w:vAlign w:val="center"/>
          </w:tcPr>
          <w:p>
            <w:pPr>
              <w:tabs>
                <w:tab w:val="left" w:pos="180"/>
              </w:tabs>
              <w:snapToGrid w:val="0"/>
              <w:spacing w:line="360" w:lineRule="auto"/>
              <w:jc w:val="center"/>
              <w:rPr>
                <w:sz w:val="24"/>
              </w:rPr>
            </w:pPr>
            <w:r>
              <w:rPr>
                <w:rFonts w:hint="eastAsia"/>
                <w:b/>
                <w:bCs/>
                <w:sz w:val="24"/>
              </w:rPr>
              <w:t>3</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53" w:type="dxa"/>
            <w:noWrap w:val="0"/>
            <w:vAlign w:val="center"/>
          </w:tcPr>
          <w:p>
            <w:pPr>
              <w:tabs>
                <w:tab w:val="left" w:pos="180"/>
              </w:tabs>
              <w:snapToGrid w:val="0"/>
              <w:spacing w:line="360" w:lineRule="auto"/>
              <w:jc w:val="center"/>
              <w:rPr>
                <w:sz w:val="24"/>
              </w:rPr>
            </w:pPr>
            <w:r>
              <w:rPr>
                <w:rFonts w:hint="eastAsia"/>
                <w:b/>
                <w:bCs/>
                <w:sz w:val="24"/>
              </w:rPr>
              <w:t>4</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53" w:type="dxa"/>
            <w:noWrap w:val="0"/>
            <w:vAlign w:val="center"/>
          </w:tcPr>
          <w:p>
            <w:pPr>
              <w:tabs>
                <w:tab w:val="left" w:pos="180"/>
              </w:tabs>
              <w:snapToGrid w:val="0"/>
              <w:spacing w:line="360" w:lineRule="auto"/>
              <w:jc w:val="center"/>
              <w:rPr>
                <w:b/>
                <w:bCs/>
                <w:sz w:val="24"/>
              </w:rPr>
            </w:pPr>
            <w:r>
              <w:rPr>
                <w:rFonts w:hint="eastAsia"/>
                <w:b/>
                <w:bCs/>
                <w:sz w:val="24"/>
              </w:rPr>
              <w:t>5</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53" w:type="dxa"/>
            <w:noWrap w:val="0"/>
            <w:vAlign w:val="center"/>
          </w:tcPr>
          <w:p>
            <w:pPr>
              <w:tabs>
                <w:tab w:val="left" w:pos="180"/>
              </w:tabs>
              <w:snapToGrid w:val="0"/>
              <w:spacing w:line="360" w:lineRule="auto"/>
              <w:jc w:val="center"/>
              <w:rPr>
                <w:sz w:val="24"/>
              </w:rPr>
            </w:pPr>
            <w:r>
              <w:rPr>
                <w:rFonts w:hint="eastAsia"/>
                <w:b/>
                <w:bCs/>
                <w:sz w:val="24"/>
              </w:rPr>
              <w:t>6</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53" w:type="dxa"/>
            <w:noWrap w:val="0"/>
            <w:vAlign w:val="center"/>
          </w:tcPr>
          <w:p>
            <w:pPr>
              <w:tabs>
                <w:tab w:val="left" w:pos="180"/>
              </w:tabs>
              <w:snapToGrid w:val="0"/>
              <w:spacing w:line="360" w:lineRule="auto"/>
              <w:jc w:val="center"/>
              <w:rPr>
                <w:b/>
                <w:bCs/>
                <w:sz w:val="24"/>
              </w:rPr>
            </w:pPr>
            <w:r>
              <w:rPr>
                <w:rFonts w:hint="eastAsia"/>
                <w:b/>
                <w:bCs/>
                <w:sz w:val="24"/>
              </w:rPr>
              <w:t>7</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3" w:type="dxa"/>
            <w:noWrap w:val="0"/>
            <w:vAlign w:val="center"/>
          </w:tcPr>
          <w:p>
            <w:pPr>
              <w:tabs>
                <w:tab w:val="left" w:pos="180"/>
              </w:tabs>
              <w:snapToGrid w:val="0"/>
              <w:spacing w:line="360" w:lineRule="auto"/>
              <w:jc w:val="center"/>
              <w:rPr>
                <w:b/>
                <w:bCs/>
                <w:sz w:val="24"/>
              </w:rPr>
            </w:pPr>
            <w:r>
              <w:rPr>
                <w:rFonts w:hint="eastAsia"/>
                <w:b/>
                <w:bCs/>
                <w:sz w:val="24"/>
              </w:rPr>
              <w:t>8</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90" w:type="dxa"/>
            <w:gridSpan w:val="3"/>
            <w:noWrap w:val="0"/>
            <w:vAlign w:val="center"/>
          </w:tcPr>
          <w:p>
            <w:pPr>
              <w:tabs>
                <w:tab w:val="left" w:pos="180"/>
              </w:tabs>
              <w:snapToGrid w:val="0"/>
              <w:spacing w:line="360" w:lineRule="auto"/>
              <w:jc w:val="center"/>
              <w:rPr>
                <w:b/>
                <w:bCs/>
                <w:sz w:val="24"/>
              </w:rPr>
            </w:pPr>
            <w:r>
              <w:rPr>
                <w:rFonts w:hint="eastAsia"/>
                <w:b/>
                <w:bCs/>
                <w:sz w:val="24"/>
              </w:rPr>
              <w:t>指定工作邮箱</w:t>
            </w:r>
          </w:p>
        </w:tc>
        <w:tc>
          <w:tcPr>
            <w:tcW w:w="3890" w:type="dxa"/>
            <w:noWrap w:val="0"/>
            <w:vAlign w:val="center"/>
          </w:tcPr>
          <w:p>
            <w:pPr>
              <w:tabs>
                <w:tab w:val="left" w:pos="180"/>
              </w:tabs>
              <w:snapToGrid w:val="0"/>
              <w:spacing w:line="360" w:lineRule="auto"/>
              <w:jc w:val="center"/>
              <w:rPr>
                <w:b/>
                <w:bCs/>
                <w:sz w:val="24"/>
              </w:rPr>
            </w:pPr>
          </w:p>
        </w:tc>
      </w:tr>
    </w:tbl>
    <w:p>
      <w:pPr>
        <w:pStyle w:val="12"/>
        <w:spacing w:line="360" w:lineRule="auto"/>
        <w:ind w:left="0" w:leftChars="0" w:firstLine="0" w:firstLineChars="0"/>
        <w:rPr>
          <w:rFonts w:ascii="宋体" w:hAnsi="宋体" w:cs="宋体"/>
          <w:color w:val="000000"/>
          <w:sz w:val="24"/>
          <w:szCs w:val="24"/>
        </w:rPr>
      </w:pPr>
    </w:p>
    <w:p>
      <w:pPr>
        <w:spacing w:line="360" w:lineRule="auto"/>
        <w:rPr>
          <w:rFonts w:ascii="宋体" w:hAnsi="宋体" w:cs="宋体"/>
          <w:b/>
          <w:bCs/>
          <w:szCs w:val="21"/>
        </w:rPr>
      </w:pPr>
    </w:p>
    <w:p>
      <w:pPr>
        <w:spacing w:line="360" w:lineRule="auto"/>
      </w:pPr>
      <w:r>
        <w:rPr>
          <w:rFonts w:hint="eastAsia" w:ascii="宋体" w:hAnsi="宋体" w:cs="宋体"/>
          <w:b/>
          <w:bCs/>
          <w:szCs w:val="21"/>
        </w:rPr>
        <w:t>附件</w:t>
      </w:r>
      <w:r>
        <w:rPr>
          <w:rFonts w:ascii="宋体" w:hAnsi="宋体" w:cs="宋体"/>
          <w:b/>
          <w:bCs/>
          <w:szCs w:val="21"/>
        </w:rPr>
        <w:t xml:space="preserve">1  </w:t>
      </w:r>
      <w:r>
        <w:rPr>
          <w:rFonts w:hint="eastAsia" w:ascii="宋体" w:hAnsi="宋体" w:cs="宋体"/>
          <w:b/>
          <w:bCs/>
          <w:szCs w:val="21"/>
        </w:rPr>
        <w:t>发包通知书</w:t>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 xml:space="preserve">2  </w:t>
      </w:r>
      <w:r>
        <w:rPr>
          <w:rFonts w:hint="eastAsia" w:ascii="宋体" w:hAnsi="宋体" w:cs="宋体"/>
          <w:b/>
          <w:bCs/>
          <w:szCs w:val="21"/>
        </w:rPr>
        <w:t>廉洁协议</w:t>
      </w:r>
    </w:p>
    <w:p>
      <w:pPr>
        <w:pStyle w:val="28"/>
      </w:pPr>
    </w:p>
    <w:p>
      <w:pPr>
        <w:spacing w:line="520" w:lineRule="exact"/>
        <w:jc w:val="center"/>
        <w:rPr>
          <w:rFonts w:ascii="仿宋_GB2312" w:hAnsi="仿宋_GB2312" w:eastAsia="仿宋_GB2312" w:cs="仿宋_GB2312"/>
          <w:bCs/>
          <w:sz w:val="28"/>
          <w:szCs w:val="28"/>
        </w:rPr>
      </w:pPr>
      <w:bookmarkStart w:id="16" w:name="_Toc387080836"/>
      <w:bookmarkStart w:id="17" w:name="_Toc389815031"/>
      <w:bookmarkStart w:id="18" w:name="_Toc389815339"/>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广州市净水公司</w:t>
      </w:r>
      <w:r>
        <w:rPr>
          <w:rFonts w:hint="eastAsia" w:ascii="仿宋_GB2312" w:hAnsi="仿宋_GB2312" w:eastAsia="仿宋_GB2312" w:cs="仿宋_GB2312"/>
          <w:bCs/>
          <w:sz w:val="28"/>
          <w:szCs w:val="28"/>
          <w:u w:val="single"/>
          <w:lang w:eastAsia="zh-CN"/>
        </w:rPr>
        <w:t>旧</w:t>
      </w:r>
      <w:r>
        <w:rPr>
          <w:rFonts w:hint="eastAsia" w:ascii="仿宋_GB2312" w:hAnsi="仿宋_GB2312" w:eastAsia="仿宋_GB2312" w:cs="仿宋_GB2312"/>
          <w:bCs/>
          <w:sz w:val="28"/>
          <w:szCs w:val="28"/>
          <w:u w:val="single"/>
        </w:rPr>
        <w:t>厂区消防安全评估项目合同</w:t>
      </w:r>
      <w:r>
        <w:rPr>
          <w:rFonts w:hint="eastAsia" w:ascii="仿宋_GB2312" w:hAnsi="仿宋_GB2312" w:eastAsia="仿宋_GB2312" w:cs="仿宋_GB2312"/>
          <w:bCs/>
          <w:sz w:val="28"/>
          <w:szCs w:val="28"/>
        </w:rPr>
        <w:t>（以下简称：主合同），自觉履行合同约定的相关义务。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2"/>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8"/>
        <w:widowControl/>
        <w:spacing w:beforeAutospacing="0"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8"/>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18"/>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18"/>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18"/>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18"/>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18"/>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18"/>
        <w:widowControl/>
        <w:spacing w:beforeAutospacing="0"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广州市净水公司</w:t>
      </w:r>
      <w:r>
        <w:rPr>
          <w:rFonts w:hint="eastAsia" w:ascii="仿宋_GB2312" w:hAnsi="仿宋_GB2312" w:eastAsia="仿宋_GB2312" w:cs="仿宋_GB2312"/>
          <w:bCs/>
          <w:sz w:val="28"/>
          <w:szCs w:val="28"/>
          <w:u w:val="single"/>
          <w:lang w:eastAsia="zh-CN"/>
        </w:rPr>
        <w:t>旧</w:t>
      </w:r>
      <w:r>
        <w:rPr>
          <w:rFonts w:hint="eastAsia" w:ascii="仿宋_GB2312" w:hAnsi="仿宋_GB2312" w:eastAsia="仿宋_GB2312" w:cs="仿宋_GB2312"/>
          <w:bCs/>
          <w:sz w:val="28"/>
          <w:szCs w:val="28"/>
          <w:u w:val="single"/>
        </w:rPr>
        <w:t>厂区消防安全评估项目合同（穗净水合[20]    号）</w:t>
      </w:r>
      <w:r>
        <w:rPr>
          <w:rFonts w:hint="eastAsia" w:ascii="仿宋_GB2312" w:hAnsi="仿宋_GB2312" w:eastAsia="仿宋_GB2312" w:cs="仿宋_GB2312"/>
          <w:bCs/>
          <w:sz w:val="28"/>
          <w:szCs w:val="28"/>
        </w:rPr>
        <w:t>的附件，并具有同等的法律效力，本协议自双方签字盖章之日起生效，与主合同同时终止。</w:t>
      </w: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6"/>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360" w:lineRule="auto"/>
        <w:rPr>
          <w:rFonts w:ascii="宋体" w:hAnsi="宋体"/>
          <w:sz w:val="24"/>
        </w:rPr>
      </w:pPr>
      <w:r>
        <w:rPr>
          <w:rFonts w:hint="eastAsia" w:ascii="仿宋_GB2312" w:hAnsi="仿宋_GB2312" w:eastAsia="仿宋_GB2312" w:cs="仿宋_GB2312"/>
          <w:bCs/>
          <w:sz w:val="28"/>
          <w:szCs w:val="28"/>
        </w:rPr>
        <w:t>日期:20年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 xml:space="preserve">     日期：20年  月  日</w:t>
      </w:r>
    </w:p>
    <w:p>
      <w:pPr>
        <w:spacing w:line="560" w:lineRule="exact"/>
        <w:jc w:val="left"/>
        <w:rPr>
          <w:rFonts w:ascii="黑体" w:hAnsi="Batang" w:eastAsia="黑体" w:cs="Batang"/>
          <w:bCs/>
          <w:kern w:val="0"/>
          <w:sz w:val="44"/>
          <w:szCs w:val="44"/>
        </w:rPr>
      </w:pPr>
      <w:r>
        <w:rPr>
          <w:rFonts w:hint="eastAsia" w:ascii="宋体" w:hAnsi="宋体" w:cs="宋体"/>
          <w:b/>
          <w:bCs/>
          <w:szCs w:val="21"/>
        </w:rPr>
        <w:t>附件</w:t>
      </w:r>
      <w:r>
        <w:rPr>
          <w:rFonts w:hint="eastAsia" w:ascii="宋体" w:hAnsi="宋体" w:cs="宋体"/>
          <w:b/>
          <w:bCs/>
          <w:szCs w:val="21"/>
          <w:lang w:val="en-US" w:eastAsia="zh-CN"/>
        </w:rPr>
        <w:t>3</w:t>
      </w:r>
      <w:r>
        <w:rPr>
          <w:rFonts w:ascii="宋体" w:hAnsi="宋体" w:cs="宋体"/>
          <w:b/>
          <w:bCs/>
          <w:szCs w:val="21"/>
        </w:rPr>
        <w:t xml:space="preserve">  </w:t>
      </w:r>
      <w:r>
        <w:rPr>
          <w:rFonts w:hint="eastAsia" w:ascii="宋体" w:hAnsi="宋体" w:cs="宋体"/>
          <w:b/>
          <w:bCs/>
          <w:szCs w:val="21"/>
          <w:lang w:val="en-US" w:eastAsia="zh-CN"/>
        </w:rPr>
        <w:t>安全协议书</w:t>
      </w:r>
    </w:p>
    <w:bookmarkEnd w:id="16"/>
    <w:bookmarkEnd w:id="17"/>
    <w:bookmarkEnd w:id="18"/>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hint="default" w:ascii="宋体" w:hAnsi="宋体" w:cs="Arial" w:eastAsiaTheme="minorEastAsia"/>
          <w:kern w:val="0"/>
          <w:sz w:val="24"/>
          <w:lang w:val="en-US" w:eastAsia="zh-CN"/>
        </w:rPr>
      </w:pPr>
      <w:r>
        <w:rPr>
          <w:rFonts w:hint="eastAsia" w:ascii="宋体" w:hAnsi="宋体" w:cs="Arial"/>
          <w:kern w:val="0"/>
          <w:sz w:val="24"/>
        </w:rPr>
        <w:t>甲方：</w:t>
      </w:r>
      <w:r>
        <w:rPr>
          <w:rFonts w:hint="eastAsia"/>
          <w:sz w:val="24"/>
        </w:rPr>
        <w:t>广州市净水有限公司</w:t>
      </w:r>
      <w:r>
        <w:rPr>
          <w:rFonts w:hint="eastAsia"/>
          <w:sz w:val="24"/>
          <w:lang w:val="en-US" w:eastAsia="zh-CN"/>
        </w:rPr>
        <w:t xml:space="preserve"> </w:t>
      </w:r>
    </w:p>
    <w:p>
      <w:pPr>
        <w:spacing w:line="560" w:lineRule="exact"/>
        <w:rPr>
          <w:rFonts w:ascii="宋体" w:hAnsi="宋体" w:cs="Arial"/>
          <w:kern w:val="0"/>
          <w:sz w:val="24"/>
        </w:rPr>
      </w:pPr>
      <w:r>
        <w:rPr>
          <w:rFonts w:hint="eastAsia" w:ascii="宋体" w:hAnsi="宋体" w:cs="Arial"/>
          <w:kern w:val="0"/>
          <w:sz w:val="24"/>
        </w:rPr>
        <w:t>乙方：</w:t>
      </w:r>
    </w:p>
    <w:p>
      <w:pPr>
        <w:adjustRightInd w:val="0"/>
        <w:snapToGrid w:val="0"/>
        <w:spacing w:line="560" w:lineRule="exact"/>
        <w:jc w:val="left"/>
        <w:rPr>
          <w:rStyle w:val="25"/>
          <w:rFonts w:ascii="宋体" w:hAnsi="宋体"/>
          <w:b w:val="0"/>
          <w:u w:val="single"/>
        </w:rPr>
      </w:pPr>
    </w:p>
    <w:p>
      <w:pPr>
        <w:adjustRightInd w:val="0"/>
        <w:snapToGrid w:val="0"/>
        <w:spacing w:line="560" w:lineRule="exact"/>
        <w:ind w:firstLine="480" w:firstLineChars="200"/>
        <w:jc w:val="left"/>
        <w:rPr>
          <w:rFonts w:ascii="宋体" w:hAnsi="宋体"/>
          <w:sz w:val="24"/>
        </w:rPr>
      </w:pPr>
      <w:r>
        <w:rPr>
          <w:rFonts w:hint="eastAsia" w:ascii="宋体" w:hAnsi="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一、本协议与主合同的关系</w:t>
      </w:r>
    </w:p>
    <w:p>
      <w:pPr>
        <w:adjustRightInd w:val="0"/>
        <w:snapToGrid w:val="0"/>
        <w:spacing w:line="560" w:lineRule="exact"/>
        <w:ind w:firstLine="480" w:firstLineChars="200"/>
        <w:jc w:val="left"/>
        <w:rPr>
          <w:rFonts w:ascii="宋体" w:hAnsi="宋体"/>
          <w:sz w:val="24"/>
        </w:rPr>
      </w:pPr>
      <w:r>
        <w:rPr>
          <w:rFonts w:hint="eastAsia" w:ascii="宋体" w:hAnsi="宋体"/>
          <w:sz w:val="24"/>
        </w:rPr>
        <w:t>本协议作为广州市净水有限公司</w:t>
      </w:r>
      <w:r>
        <w:rPr>
          <w:rFonts w:hint="eastAsia" w:ascii="宋体" w:hAnsi="宋体"/>
          <w:sz w:val="24"/>
          <w:lang w:val="en-US" w:eastAsia="zh-CN"/>
        </w:rPr>
        <w:t>风控内控合规三体系整合构建</w:t>
      </w:r>
      <w:r>
        <w:rPr>
          <w:rFonts w:hint="eastAsia" w:ascii="宋体" w:hAnsi="宋体"/>
          <w:sz w:val="24"/>
        </w:rPr>
        <w:t>咨询服务合同的组成部分，与主合同具有同等法律。</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二、甲方权责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三、乙方权责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rPr>
      </w:pPr>
      <w:r>
        <w:rPr>
          <w:rFonts w:hint="eastAsia" w:ascii="宋体" w:hAnsi="宋体"/>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sz w:val="24"/>
        </w:rPr>
      </w:pPr>
      <w:r>
        <w:rPr>
          <w:rFonts w:hint="eastAsia" w:ascii="宋体" w:hAnsi="宋体"/>
          <w:sz w:val="24"/>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（四）遵守甲方制定的安全管理要求。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（五）配合甲方的安全监督检查，并立即对提出的问题隐患进行整改。</w:t>
      </w:r>
    </w:p>
    <w:p>
      <w:pPr>
        <w:adjustRightInd w:val="0"/>
        <w:snapToGrid w:val="0"/>
        <w:spacing w:line="560" w:lineRule="exact"/>
        <w:ind w:firstLine="480" w:firstLineChars="200"/>
        <w:jc w:val="left"/>
        <w:rPr>
          <w:rFonts w:ascii="宋体" w:hAnsi="宋体"/>
          <w:sz w:val="24"/>
        </w:rPr>
      </w:pPr>
      <w:r>
        <w:rPr>
          <w:rFonts w:hint="eastAsia" w:ascii="宋体" w:hAnsi="宋体"/>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sz w:val="24"/>
        </w:rPr>
      </w:pPr>
      <w:r>
        <w:rPr>
          <w:rFonts w:hint="eastAsia" w:ascii="宋体" w:hAnsi="宋体"/>
          <w:sz w:val="24"/>
        </w:rPr>
        <w:t>（七）乙方聘请、委托的个人或单位，违反本协议的，全部责任均由乙方承担。</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四、事故责任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sz w:val="24"/>
        </w:rPr>
      </w:pPr>
      <w:r>
        <w:rPr>
          <w:rFonts w:hint="eastAsia" w:ascii="宋体" w:hAnsi="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sz w:val="24"/>
        </w:rPr>
      </w:pPr>
      <w:r>
        <w:rPr>
          <w:rFonts w:hint="eastAsia" w:ascii="宋体" w:hAnsi="宋体"/>
          <w:sz w:val="24"/>
        </w:rPr>
        <w:t>（七）委托的第三方运输单位或个人，违反本协议的，全部责任均由乙方承担。</w:t>
      </w:r>
    </w:p>
    <w:p>
      <w:pPr>
        <w:pStyle w:val="47"/>
        <w:spacing w:line="560" w:lineRule="exact"/>
        <w:ind w:firstLine="482" w:firstLineChars="200"/>
        <w:rPr>
          <w:rFonts w:ascii="宋体" w:hAnsi="宋体"/>
          <w:sz w:val="24"/>
        </w:rPr>
      </w:pPr>
      <w:r>
        <w:rPr>
          <w:rFonts w:hint="eastAsia" w:ascii="宋体" w:hAnsi="宋体"/>
          <w:b/>
          <w:sz w:val="24"/>
        </w:rPr>
        <w:t>五、补充条款：</w:t>
      </w:r>
      <w:r>
        <w:rPr>
          <w:rFonts w:hint="eastAsia" w:ascii="宋体" w:hAnsi="宋体"/>
          <w:sz w:val="24"/>
          <w:u w:val="single"/>
        </w:rPr>
        <w:t xml:space="preserve"> 无 </w:t>
      </w:r>
      <w:r>
        <w:rPr>
          <w:rFonts w:hint="eastAsia" w:ascii="宋体" w:hAnsi="宋体"/>
          <w:sz w:val="24"/>
        </w:rPr>
        <w:t>。</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六、附则</w:t>
      </w:r>
    </w:p>
    <w:p>
      <w:pPr>
        <w:adjustRightInd w:val="0"/>
        <w:snapToGrid w:val="0"/>
        <w:spacing w:line="560" w:lineRule="exact"/>
        <w:ind w:firstLine="480" w:firstLineChars="200"/>
        <w:jc w:val="left"/>
        <w:rPr>
          <w:rFonts w:ascii="宋体" w:hAns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after="160" w:line="360" w:lineRule="auto"/>
        <w:ind w:firstLine="480" w:firstLineChars="200"/>
        <w:rPr>
          <w:rFonts w:ascii="宋体" w:hAnsi="宋体"/>
          <w:color w:val="000000" w:themeColor="text1"/>
          <w:sz w:val="24"/>
          <w14:textFill>
            <w14:solidFill>
              <w14:schemeClr w14:val="tx1"/>
            </w14:solidFill>
          </w14:textFill>
        </w:rPr>
      </w:pPr>
    </w:p>
    <w:tbl>
      <w:tblPr>
        <w:tblStyle w:val="22"/>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tcPr>
          <w:p>
            <w:pPr>
              <w:adjustRightInd w:val="0"/>
              <w:snapToGrid w:val="0"/>
              <w:spacing w:line="560" w:lineRule="exact"/>
              <w:rPr>
                <w:rFonts w:ascii="宋体" w:hAnsi="宋体"/>
                <w:sz w:val="24"/>
              </w:rPr>
            </w:pPr>
            <w:r>
              <w:rPr>
                <w:rFonts w:hint="eastAsia" w:ascii="宋体" w:hAnsi="宋体"/>
                <w:sz w:val="24"/>
              </w:rPr>
              <w:t>甲方：广州市净水有限公司</w:t>
            </w: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ascii="宋体" w:hAnsi="宋体"/>
                <w:sz w:val="24"/>
              </w:rPr>
            </w:pPr>
            <w:r>
              <w:rPr>
                <w:rFonts w:hint="eastAsia" w:ascii="宋体" w:hAnsi="宋体"/>
                <w:sz w:val="24"/>
              </w:rPr>
              <w:t>联系电话：38890463</w:t>
            </w:r>
          </w:p>
          <w:p>
            <w:pPr>
              <w:adjustRightInd w:val="0"/>
              <w:snapToGrid w:val="0"/>
              <w:spacing w:line="560" w:lineRule="exact"/>
              <w:ind w:firstLine="240" w:firstLineChars="100"/>
              <w:jc w:val="right"/>
              <w:rPr>
                <w:rFonts w:ascii="宋体" w:hAnsi="宋体"/>
                <w:sz w:val="24"/>
              </w:rPr>
            </w:pPr>
            <w:r>
              <w:rPr>
                <w:rFonts w:hint="eastAsia" w:ascii="宋体" w:hAnsi="宋体"/>
                <w:sz w:val="24"/>
              </w:rPr>
              <w:t>20年  月  日</w:t>
            </w:r>
          </w:p>
        </w:tc>
        <w:tc>
          <w:tcPr>
            <w:tcW w:w="4474" w:type="dxa"/>
            <w:noWrap/>
          </w:tcPr>
          <w:p>
            <w:pPr>
              <w:adjustRightInd w:val="0"/>
              <w:snapToGrid w:val="0"/>
              <w:spacing w:line="560" w:lineRule="exact"/>
              <w:rPr>
                <w:rFonts w:ascii="宋体" w:hAnsi="宋体"/>
                <w:sz w:val="24"/>
              </w:rPr>
            </w:pPr>
            <w:r>
              <w:rPr>
                <w:rFonts w:hint="eastAsia" w:ascii="宋体" w:hAnsi="宋体"/>
                <w:sz w:val="24"/>
              </w:rPr>
              <w:t>乙方：</w:t>
            </w: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ascii="宋体" w:hAnsi="宋体"/>
                <w:sz w:val="24"/>
              </w:rPr>
            </w:pPr>
            <w:r>
              <w:rPr>
                <w:rFonts w:hint="eastAsia" w:ascii="宋体" w:hAnsi="宋体"/>
                <w:sz w:val="24"/>
              </w:rPr>
              <w:t>联系电话：</w:t>
            </w:r>
          </w:p>
          <w:p>
            <w:pPr>
              <w:adjustRightInd w:val="0"/>
              <w:snapToGrid w:val="0"/>
              <w:spacing w:line="560" w:lineRule="exact"/>
              <w:jc w:val="right"/>
              <w:rPr>
                <w:rFonts w:ascii="宋体" w:hAnsi="宋体"/>
                <w:sz w:val="24"/>
              </w:rPr>
            </w:pPr>
            <w:r>
              <w:rPr>
                <w:rFonts w:hint="eastAsia" w:ascii="宋体" w:hAnsi="宋体"/>
                <w:sz w:val="24"/>
              </w:rPr>
              <w:t>20年  月  日</w:t>
            </w:r>
          </w:p>
        </w:tc>
      </w:tr>
    </w:tbl>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both"/>
        <w:rPr>
          <w:rFonts w:hint="eastAsia" w:ascii="宋体" w:hAnsi="宋体" w:cs="宋体" w:eastAsiaTheme="minorEastAsia"/>
          <w:b/>
          <w:bCs/>
          <w:color w:val="000000" w:themeColor="text1"/>
          <w:szCs w:val="21"/>
          <w14:textFill>
            <w14:solidFill>
              <w14:schemeClr w14:val="tx1"/>
            </w14:solidFill>
          </w14:textFill>
        </w:rPr>
      </w:pPr>
      <w:r>
        <w:rPr>
          <w:rFonts w:hint="eastAsia" w:ascii="宋体" w:hAnsi="宋体" w:cs="宋体" w:eastAsiaTheme="minorEastAsia"/>
          <w:b/>
          <w:bCs/>
          <w:color w:val="000000" w:themeColor="text1"/>
          <w:szCs w:val="21"/>
          <w14:textFill>
            <w14:solidFill>
              <w14:schemeClr w14:val="tx1"/>
            </w14:solidFill>
          </w14:textFill>
        </w:rPr>
        <w:t>附件</w:t>
      </w:r>
      <w:r>
        <w:rPr>
          <w:rFonts w:hint="eastAsia" w:ascii="宋体" w:hAnsi="宋体" w:cs="宋体"/>
          <w:b/>
          <w:bCs/>
          <w:szCs w:val="21"/>
          <w:lang w:val="en-US" w:eastAsia="zh-CN"/>
        </w:rPr>
        <w:t>4</w:t>
      </w:r>
      <w:r>
        <w:rPr>
          <w:rFonts w:hint="eastAsia" w:ascii="宋体" w:hAnsi="宋体" w:cs="宋体" w:eastAsiaTheme="minorEastAsia"/>
          <w:b/>
          <w:bCs/>
          <w:color w:val="000000" w:themeColor="text1"/>
          <w:szCs w:val="21"/>
          <w14:textFill>
            <w14:solidFill>
              <w14:schemeClr w14:val="tx1"/>
            </w14:solidFill>
          </w14:textFill>
        </w:rPr>
        <w:t xml:space="preserve">  </w:t>
      </w: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pStyle w:val="5"/>
        <w:spacing w:line="360" w:lineRule="auto"/>
        <w:jc w:val="both"/>
        <w:rPr>
          <w:rFonts w:hint="eastAsia" w:ascii="仿宋" w:hAnsi="仿宋" w:eastAsia="仿宋" w:cs="仿宋_GB2312"/>
          <w:color w:val="000000" w:themeColor="text1"/>
          <w14:textFill>
            <w14:solidFill>
              <w14:schemeClr w14:val="tx1"/>
            </w14:solidFill>
          </w14:textFill>
        </w:rPr>
      </w:pPr>
      <w:r>
        <w:rPr>
          <w:rFonts w:hint="eastAsia" w:ascii="仿宋_GB2312" w:hAnsi="仿宋_GB2312" w:eastAsia="仿宋_GB2312" w:cs="仿宋_GB2312"/>
          <w:sz w:val="24"/>
        </w:rPr>
        <w:t>备注：本处理标准出自《广州市净水有限公司经营建设项目参建企业不诚信行为管理办法》。</w:t>
      </w:r>
    </w:p>
    <w:p>
      <w:pPr>
        <w:pStyle w:val="5"/>
        <w:spacing w:line="360" w:lineRule="auto"/>
        <w:jc w:val="center"/>
        <w:rPr>
          <w:rFonts w:hint="eastAsia" w:ascii="仿宋" w:hAnsi="仿宋" w:eastAsia="仿宋" w:cs="仿宋_GB2312"/>
          <w:color w:val="000000" w:themeColor="text1"/>
          <w14:textFill>
            <w14:solidFill>
              <w14:schemeClr w14:val="tx1"/>
            </w14:solidFill>
          </w14:textFill>
        </w:rPr>
      </w:pPr>
    </w:p>
    <w:p>
      <w:pPr>
        <w:pStyle w:val="5"/>
        <w:spacing w:line="360" w:lineRule="auto"/>
        <w:jc w:val="center"/>
        <w:rPr>
          <w:rFonts w:hint="eastAsia" w:ascii="仿宋" w:hAnsi="仿宋" w:eastAsia="仿宋" w:cs="仿宋_GB2312"/>
          <w:color w:val="000000" w:themeColor="text1"/>
          <w14:textFill>
            <w14:solidFill>
              <w14:schemeClr w14:val="tx1"/>
            </w14:solidFill>
          </w14:textFill>
        </w:rPr>
      </w:pPr>
    </w:p>
    <w:p>
      <w:pPr>
        <w:rPr>
          <w:rFonts w:hint="eastAsia"/>
        </w:rPr>
      </w:pPr>
    </w:p>
    <w:p>
      <w:pPr>
        <w:pStyle w:val="5"/>
        <w:spacing w:line="360" w:lineRule="auto"/>
        <w:jc w:val="center"/>
        <w:rPr>
          <w:rFonts w:hint="eastAsia" w:ascii="仿宋" w:hAnsi="仿宋" w:eastAsia="仿宋" w:cs="仿宋_GB2312"/>
          <w:color w:val="000000" w:themeColor="text1"/>
          <w14:textFill>
            <w14:solidFill>
              <w14:schemeClr w14:val="tx1"/>
            </w14:solidFill>
          </w14:textFill>
        </w:rPr>
      </w:pPr>
    </w:p>
    <w:p>
      <w:pPr>
        <w:rPr>
          <w:rFonts w:hint="eastAsia"/>
        </w:rPr>
      </w:pPr>
    </w:p>
    <w:p>
      <w:pPr>
        <w:pStyle w:val="5"/>
        <w:spacing w:line="360" w:lineRule="auto"/>
        <w:jc w:val="center"/>
        <w:rPr>
          <w:rFonts w:hint="eastAsia" w:ascii="仿宋" w:hAnsi="仿宋" w:eastAsia="仿宋" w:cs="仿宋_GB2312"/>
          <w:color w:val="000000" w:themeColor="text1"/>
          <w14:textFill>
            <w14:solidFill>
              <w14:schemeClr w14:val="tx1"/>
            </w14:solidFill>
          </w14:textFill>
        </w:rPr>
      </w:pPr>
    </w:p>
    <w:p>
      <w:pPr>
        <w:rPr>
          <w:rFonts w:hint="eastAsia"/>
        </w:rPr>
      </w:pPr>
    </w:p>
    <w:p>
      <w:pPr>
        <w:pStyle w:val="5"/>
        <w:spacing w:line="360" w:lineRule="auto"/>
        <w:jc w:val="both"/>
        <w:rPr>
          <w:rFonts w:hint="eastAsia" w:ascii="仿宋" w:hAnsi="仿宋" w:eastAsia="仿宋" w:cs="仿宋_GB2312"/>
          <w:color w:val="000000" w:themeColor="text1"/>
          <w14:textFill>
            <w14:solidFill>
              <w14:schemeClr w14:val="tx1"/>
            </w14:solidFill>
          </w14:textFill>
        </w:rPr>
      </w:pPr>
    </w:p>
    <w:p>
      <w:pPr>
        <w:pStyle w:val="5"/>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11"/>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1"/>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1"/>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1"/>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1"/>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11"/>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w:t>
      </w:r>
      <w:r>
        <w:rPr>
          <w:rStyle w:val="48"/>
          <w:rFonts w:hint="eastAsia" w:ascii="仿宋" w:hAnsi="仿宋" w:eastAsia="仿宋" w:cs="仿宋"/>
          <w:b w:val="0"/>
          <w:i w:val="0"/>
          <w:caps w:val="0"/>
          <w:spacing w:val="0"/>
          <w:w w:val="100"/>
          <w:kern w:val="2"/>
          <w:sz w:val="28"/>
          <w:szCs w:val="28"/>
          <w:u w:val="single"/>
          <w:lang w:val="en-US" w:eastAsia="zh-CN" w:bidi="ar-SA"/>
        </w:rPr>
        <w:t>广州市净水有限公司风控内控合规三体系整合构建咨询服务（第二次）</w:t>
      </w:r>
      <w:r>
        <w:rPr>
          <w:rFonts w:ascii="仿宋" w:hAnsi="仿宋" w:eastAsia="仿宋" w:cs="仿宋_GB2312"/>
          <w:b/>
          <w:bCs/>
          <w:color w:val="000000" w:themeColor="text1"/>
          <w:sz w:val="28"/>
          <w:szCs w:val="28"/>
          <w14:textFill>
            <w14:solidFill>
              <w14:schemeClr w14:val="tx1"/>
            </w14:solidFill>
          </w14:textFill>
        </w:rPr>
        <w:t>）</w:t>
      </w:r>
    </w:p>
    <w:p>
      <w:pPr>
        <w:pStyle w:val="11"/>
        <w:jc w:val="center"/>
        <w:rPr>
          <w:rFonts w:ascii="仿宋" w:hAnsi="仿宋" w:eastAsia="仿宋" w:cs="仿宋_GB2312"/>
          <w:b/>
          <w:color w:val="000000" w:themeColor="text1"/>
          <w:sz w:val="24"/>
          <w:szCs w:val="24"/>
          <w14:textFill>
            <w14:solidFill>
              <w14:schemeClr w14:val="tx1"/>
            </w14:solidFill>
          </w14:textFill>
        </w:rPr>
      </w:pPr>
    </w:p>
    <w:p>
      <w:pPr>
        <w:pStyle w:val="11"/>
        <w:jc w:val="center"/>
        <w:rPr>
          <w:rFonts w:ascii="仿宋" w:hAnsi="仿宋" w:eastAsia="仿宋" w:cs="仿宋_GB2312"/>
          <w:b/>
          <w:color w:val="000000" w:themeColor="text1"/>
          <w:sz w:val="24"/>
          <w:szCs w:val="24"/>
          <w14:textFill>
            <w14:solidFill>
              <w14:schemeClr w14:val="tx1"/>
            </w14:solidFill>
          </w14:textFill>
        </w:rPr>
      </w:pPr>
    </w:p>
    <w:p>
      <w:pPr>
        <w:pStyle w:val="11"/>
        <w:jc w:val="center"/>
        <w:rPr>
          <w:rFonts w:ascii="仿宋" w:hAnsi="仿宋" w:eastAsia="仿宋" w:cs="仿宋_GB2312"/>
          <w:b/>
          <w:color w:val="000000" w:themeColor="text1"/>
          <w:sz w:val="24"/>
          <w:szCs w:val="24"/>
          <w14:textFill>
            <w14:solidFill>
              <w14:schemeClr w14:val="tx1"/>
            </w14:solidFill>
          </w14:textFill>
        </w:rPr>
      </w:pPr>
    </w:p>
    <w:p>
      <w:pPr>
        <w:pStyle w:val="11"/>
        <w:jc w:val="center"/>
        <w:rPr>
          <w:rFonts w:ascii="仿宋" w:hAnsi="仿宋" w:eastAsia="仿宋" w:cs="仿宋_GB2312"/>
          <w:b/>
          <w:color w:val="000000" w:themeColor="text1"/>
          <w:sz w:val="24"/>
          <w:szCs w:val="24"/>
          <w14:textFill>
            <w14:solidFill>
              <w14:schemeClr w14:val="tx1"/>
            </w14:solidFill>
          </w14:textFill>
        </w:rPr>
      </w:pPr>
    </w:p>
    <w:p>
      <w:pPr>
        <w:pStyle w:val="11"/>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1"/>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sz w:val="28"/>
          <w:szCs w:val="28"/>
          <w14:textFill>
            <w14:solidFill>
              <w14:schemeClr w14:val="tx1"/>
            </w14:solidFill>
          </w14:textFill>
        </w:rPr>
      </w:pPr>
    </w:p>
    <w:p>
      <w:pPr>
        <w:pStyle w:val="11"/>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10"/>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lang w:val="en-US" w:eastAsia="zh-CN"/>
          <w14:textFill>
            <w14:solidFill>
              <w14:schemeClr w14:val="tx1"/>
            </w14:solidFill>
          </w14:textFill>
        </w:rPr>
        <w:t>广州市净水有限公司风控内控合规三体系整合构建咨询服务（第二次）</w:t>
      </w: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年</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月</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日</w:t>
      </w:r>
    </w:p>
    <w:p>
      <w:pPr>
        <w:widowControl/>
        <w:jc w:val="left"/>
        <w:rPr>
          <w:rFonts w:ascii="宋体" w:hAnsi="宋体" w:cs="宋体"/>
          <w:bCs/>
          <w:sz w:val="24"/>
        </w:rPr>
      </w:pPr>
      <w:r>
        <w:rPr>
          <w:rFonts w:ascii="宋体" w:hAnsi="宋体" w:cs="宋体"/>
          <w:bCs/>
          <w:sz w:val="24"/>
        </w:rPr>
        <w:br w:type="page"/>
      </w:r>
    </w:p>
    <w:p>
      <w:pPr>
        <w:pStyle w:val="5"/>
        <w:jc w:val="left"/>
      </w:pPr>
      <w:r>
        <w:t>1</w:t>
      </w:r>
      <w:r>
        <w:rPr>
          <w:rFonts w:hint="eastAsia"/>
        </w:rPr>
        <w:t>、法定代表人</w:t>
      </w:r>
      <w:r>
        <w:t>/</w:t>
      </w:r>
      <w:r>
        <w:rPr>
          <w:rFonts w:hint="eastAsia"/>
        </w:rPr>
        <w:t>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单位：（</w:t>
      </w:r>
      <w:r>
        <w:rPr>
          <w:rFonts w:hint="eastAsia" w:ascii="仿宋" w:hAnsi="仿宋" w:eastAsia="仿宋" w:cs="仿宋_GB2312"/>
          <w:color w:val="000000" w:themeColor="text1"/>
          <w:sz w:val="28"/>
          <w:szCs w:val="28"/>
          <w:lang w:val="en-US" w:eastAsia="zh-CN"/>
          <w14:textFill>
            <w14:solidFill>
              <w14:schemeClr w14:val="tx1"/>
            </w14:solidFill>
          </w14:textFill>
        </w:rPr>
        <w:t>加</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年龄：</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hint="eastAsia" w:ascii="宋体" w:hAnsi="宋体" w:cs="Times New Roman" w:eastAsiaTheme="minorEastAsia"/>
          <w:sz w:val="24"/>
          <w:szCs w:val="24"/>
          <w:lang w:eastAsia="zh-CN"/>
        </w:rPr>
      </w:pPr>
      <w:r>
        <w:rPr>
          <w:rFonts w:hint="eastAsia" w:ascii="宋体" w:hAnsi="宋体" w:eastAsia="宋体" w:cs="Times New Roman"/>
          <w:sz w:val="24"/>
          <w:szCs w:val="24"/>
        </w:rPr>
        <w:t>法定代表人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国徽面</w:t>
            </w:r>
          </w:p>
          <w:p>
            <w:pPr>
              <w:pStyle w:val="28"/>
            </w:pPr>
          </w:p>
          <w:p>
            <w:pPr>
              <w:spacing w:line="360" w:lineRule="auto"/>
              <w:jc w:val="left"/>
              <w:rPr>
                <w:rFonts w:ascii="宋体" w:hAnsi="宋体"/>
                <w:sz w:val="24"/>
                <w:szCs w:val="24"/>
              </w:rPr>
            </w:pPr>
          </w:p>
        </w:tc>
      </w:tr>
    </w:tbl>
    <w:p>
      <w:pPr>
        <w:spacing w:line="440" w:lineRule="exact"/>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hint="eastAsia" w:ascii="仿宋" w:hAnsi="仿宋" w:eastAsia="仿宋" w:cs="仿宋_GB2312"/>
          <w:color w:val="000000" w:themeColor="text1"/>
          <w:sz w:val="28"/>
          <w:szCs w:val="28"/>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加</w:t>
      </w:r>
      <w:r>
        <w:rPr>
          <w:rFonts w:hint="eastAsia" w:ascii="仿宋" w:hAnsi="仿宋" w:eastAsia="仿宋" w:cs="仿宋_GB2312"/>
          <w:color w:val="000000" w:themeColor="text1"/>
          <w:sz w:val="28"/>
          <w:szCs w:val="28"/>
          <w:highlight w:val="none"/>
          <w:u w:val="single"/>
          <w14:textFill>
            <w14:solidFill>
              <w14:schemeClr w14:val="tx1"/>
            </w14:solidFill>
          </w14:textFill>
        </w:rPr>
        <w:t>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_GB2312"/>
          <w:color w:val="000000" w:themeColor="text1"/>
          <w:sz w:val="28"/>
          <w:szCs w:val="28"/>
          <w:highlight w:val="none"/>
          <w14:textFill>
            <w14:solidFill>
              <w14:schemeClr w14:val="tx1"/>
            </w14:solidFill>
          </w14:textFill>
        </w:rPr>
        <w:t>：</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8"/>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pStyle w:val="28"/>
        <w:rPr>
          <w:rFonts w:ascii="仿宋" w:hAnsi="仿宋" w:eastAsia="仿宋" w:cs="仿宋_GB2312"/>
          <w:color w:val="000000" w:themeColor="text1"/>
          <w14:textFill>
            <w14:solidFill>
              <w14:schemeClr w14:val="tx1"/>
            </w14:solidFill>
          </w14:textFill>
        </w:rPr>
      </w:pPr>
    </w:p>
    <w:p>
      <w:pPr>
        <w:pStyle w:val="28"/>
        <w:rPr>
          <w:rFonts w:ascii="仿宋" w:hAnsi="仿宋" w:eastAsia="仿宋" w:cs="仿宋_GB2312"/>
          <w:color w:val="000000" w:themeColor="text1"/>
          <w14:textFill>
            <w14:solidFill>
              <w14:schemeClr w14:val="tx1"/>
            </w14:solidFill>
          </w14:textFill>
        </w:rPr>
      </w:pPr>
    </w:p>
    <w:p>
      <w:pPr>
        <w:pStyle w:val="28"/>
        <w:rPr>
          <w:rFonts w:ascii="仿宋" w:hAnsi="仿宋" w:eastAsia="仿宋" w:cs="仿宋_GB2312"/>
          <w:color w:val="000000" w:themeColor="text1"/>
          <w14:textFill>
            <w14:solidFill>
              <w14:schemeClr w14:val="tx1"/>
            </w14:solidFill>
          </w14:textFill>
        </w:rPr>
      </w:pPr>
    </w:p>
    <w:p>
      <w:pPr>
        <w:pStyle w:val="28"/>
        <w:rPr>
          <w:rFonts w:ascii="仿宋" w:hAnsi="仿宋" w:eastAsia="仿宋" w:cs="仿宋_GB2312"/>
          <w:color w:val="000000" w:themeColor="text1"/>
          <w14:textFill>
            <w14:solidFill>
              <w14:schemeClr w14:val="tx1"/>
            </w14:solidFill>
          </w14:textFill>
        </w:rPr>
      </w:pPr>
    </w:p>
    <w:p>
      <w:pPr>
        <w:pStyle w:val="28"/>
        <w:rPr>
          <w:rFonts w:ascii="仿宋" w:hAnsi="仿宋" w:eastAsia="仿宋" w:cs="仿宋_GB2312"/>
          <w:color w:val="000000" w:themeColor="text1"/>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spacing w:line="440" w:lineRule="exact"/>
        <w:rPr>
          <w:rFonts w:ascii="宋体" w:hAnsi="宋体" w:eastAsia="宋体" w:cs="Times New Roman"/>
          <w:sz w:val="24"/>
          <w:szCs w:val="24"/>
        </w:rPr>
      </w:pPr>
    </w:p>
    <w:p>
      <w:pPr>
        <w:spacing w:line="440" w:lineRule="exact"/>
        <w:rPr>
          <w:rFonts w:hint="eastAsia" w:ascii="宋体" w:hAnsi="宋体" w:eastAsiaTheme="minorEastAsia"/>
          <w:sz w:val="24"/>
          <w:szCs w:val="24"/>
          <w:lang w:eastAsia="zh-CN"/>
        </w:rPr>
      </w:pPr>
      <w:r>
        <w:rPr>
          <w:rFonts w:hint="eastAsia" w:ascii="宋体" w:hAnsi="宋体" w:eastAsia="宋体" w:cs="Times New Roman"/>
          <w:sz w:val="24"/>
          <w:szCs w:val="24"/>
        </w:rPr>
        <w:t>授权代理人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人像面</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themeColor="text1"/>
                <w:sz w:val="24"/>
                <w:szCs w:val="24"/>
                <w14:textFill>
                  <w14:solidFill>
                    <w14:schemeClr w14:val="tx1"/>
                  </w14:solidFill>
                </w14:textFill>
              </w:rPr>
            </w:pPr>
          </w:p>
          <w:p>
            <w:pPr>
              <w:spacing w:line="360" w:lineRule="auto"/>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w:t>
            </w:r>
            <w:r>
              <w:rPr>
                <w:rFonts w:hint="eastAsia" w:ascii="宋体" w:hAnsi="宋体" w:cs="Times New Roman"/>
                <w:sz w:val="24"/>
                <w:szCs w:val="24"/>
                <w:lang w:val="en-US" w:eastAsia="zh-CN"/>
              </w:rPr>
              <w:t>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5"/>
        <w:ind w:firstLine="562"/>
        <w:jc w:val="center"/>
        <w:rPr>
          <w:rFonts w:ascii="仿宋_GB2312" w:hAnsi="仿宋_GB2312" w:cs="仿宋_GB2312"/>
          <w:bCs w:val="0"/>
        </w:rPr>
      </w:pPr>
    </w:p>
    <w:p>
      <w:pPr>
        <w:pStyle w:val="5"/>
        <w:ind w:firstLine="562"/>
        <w:jc w:val="center"/>
        <w:rPr>
          <w:rFonts w:ascii="仿宋_GB2312" w:hAnsi="仿宋_GB2312" w:cs="仿宋_GB2312"/>
          <w:bCs w:val="0"/>
        </w:rPr>
      </w:pPr>
    </w:p>
    <w:p>
      <w:pPr>
        <w:pStyle w:val="5"/>
        <w:ind w:firstLine="562"/>
        <w:jc w:val="center"/>
        <w:rPr>
          <w:rFonts w:hint="eastAsia" w:ascii="仿宋" w:hAnsi="仿宋" w:eastAsia="仿宋" w:cs="仿宋"/>
          <w:b w:val="0"/>
          <w:bCs w:val="0"/>
        </w:rPr>
      </w:pPr>
      <w:r>
        <w:rPr>
          <w:rFonts w:hint="eastAsia" w:ascii="仿宋" w:hAnsi="仿宋" w:eastAsia="仿宋" w:cs="仿宋"/>
          <w:bCs w:val="0"/>
        </w:rPr>
        <w:t>2资格证明文件</w:t>
      </w:r>
    </w:p>
    <w:p>
      <w:pPr>
        <w:rPr>
          <w:rFonts w:hint="eastAsia" w:ascii="仿宋" w:hAnsi="仿宋" w:eastAsia="仿宋" w:cs="仿宋"/>
        </w:r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 w:hAnsi="仿宋" w:eastAsia="仿宋" w:cs="仿宋"/>
          <w:sz w:val="28"/>
          <w:szCs w:val="28"/>
        </w:rPr>
        <w:t>日期：年 月 日</w:t>
      </w:r>
    </w:p>
    <w:p>
      <w:pPr>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 报价意向承诺及声明函</w:t>
      </w:r>
    </w:p>
    <w:p>
      <w:pPr>
        <w:jc w:val="center"/>
        <w:rPr>
          <w:rFonts w:hint="eastAsia" w:ascii="仿宋" w:hAnsi="仿宋" w:eastAsia="仿宋" w:cs="仿宋"/>
          <w:b/>
          <w:color w:val="000000" w:themeColor="text1"/>
          <w:sz w:val="28"/>
          <w:szCs w:val="28"/>
          <w14:textFill>
            <w14:solidFill>
              <w14:schemeClr w14:val="tx1"/>
            </w14:solidFill>
          </w14:textFill>
        </w:rPr>
      </w:pPr>
    </w:p>
    <w:p>
      <w:pPr>
        <w:pStyle w:val="44"/>
        <w:adjustRightInd w:val="0"/>
        <w:ind w:firstLine="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2.现我方承诺：</w:t>
      </w:r>
      <w:r>
        <w:rPr>
          <w:rFonts w:hint="eastAsia" w:ascii="仿宋" w:hAnsi="仿宋" w:eastAsia="仿宋" w:cs="仿宋"/>
          <w:color w:val="000000" w:themeColor="text1"/>
          <w:kern w:val="0"/>
          <w:sz w:val="24"/>
          <w14:textFill>
            <w14:solidFill>
              <w14:schemeClr w14:val="tx1"/>
            </w14:solidFill>
          </w14:textFill>
        </w:rPr>
        <w:t>愿以人民币      元的报价，承包本次交易所包含的所有工作，并承担任何质量缺陷责任。</w:t>
      </w:r>
    </w:p>
    <w:p>
      <w:pPr>
        <w:autoSpaceDE w:val="0"/>
        <w:autoSpaceDN w:val="0"/>
        <w:adjustRightIn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5.如果我方获得承包资格，我方保证将</w:t>
      </w:r>
      <w:r>
        <w:rPr>
          <w:rFonts w:hint="eastAsia" w:ascii="仿宋" w:hAnsi="仿宋" w:eastAsia="仿宋" w:cs="仿宋"/>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⑷本公司及其有隶属关系的机构没有参加本项目的前期工作编写工作。</w:t>
      </w:r>
    </w:p>
    <w:p>
      <w:pPr>
        <w:pStyle w:val="43"/>
        <w:ind w:firstLine="49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43"/>
        <w:ind w:firstLine="496"/>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承包意向人：(盖公章)</w:t>
      </w:r>
    </w:p>
    <w:p>
      <w:pPr>
        <w:pStyle w:val="43"/>
        <w:ind w:firstLine="496"/>
        <w:rPr>
          <w:rFonts w:ascii="仿宋_GB2312" w:hAnsi="仿宋_GB2312" w:eastAsia="仿宋_GB2312" w:cs="仿宋_GB2312"/>
        </w:rPr>
      </w:pPr>
      <w:r>
        <w:rPr>
          <w:rFonts w:hint="eastAsia" w:ascii="仿宋" w:hAnsi="仿宋" w:eastAsia="仿宋" w:cs="仿宋"/>
          <w:color w:val="000000" w:themeColor="text1"/>
          <w14:textFill>
            <w14:solidFill>
              <w14:schemeClr w14:val="tx1"/>
            </w14:solidFill>
          </w14:textFill>
        </w:rPr>
        <w:t>法定代表人（签名或盖</w:t>
      </w:r>
      <w:r>
        <w:rPr>
          <w:rFonts w:hint="eastAsia" w:ascii="仿宋" w:hAnsi="仿宋" w:eastAsia="仿宋" w:cs="仿宋"/>
          <w:color w:val="000000" w:themeColor="text1"/>
          <w:lang w:val="en-US" w:eastAsia="zh-CN"/>
          <w14:textFill>
            <w14:solidFill>
              <w14:schemeClr w14:val="tx1"/>
            </w14:solidFill>
          </w14:textFill>
        </w:rPr>
        <w:t>私</w:t>
      </w:r>
      <w:r>
        <w:rPr>
          <w:rFonts w:hint="eastAsia" w:ascii="仿宋" w:hAnsi="仿宋" w:eastAsia="仿宋" w:cs="仿宋"/>
          <w:color w:val="000000" w:themeColor="text1"/>
          <w14:textFill>
            <w14:solidFill>
              <w14:schemeClr w14:val="tx1"/>
            </w14:solidFill>
          </w14:textFill>
        </w:rPr>
        <w:t>章）：</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    期：  年 月 日</w:t>
      </w:r>
      <w:r>
        <w:rPr>
          <w:rFonts w:ascii="仿宋_GB2312" w:hAnsi="仿宋" w:eastAsia="仿宋_GB2312" w:cs="仿宋_GB2312"/>
          <w:color w:val="000000" w:themeColor="text1"/>
          <w14:textFill>
            <w14:solidFill>
              <w14:schemeClr w14:val="tx1"/>
            </w14:solidFill>
          </w14:textFill>
        </w:rPr>
        <w:t xml:space="preserve">  </w:t>
      </w:r>
    </w:p>
    <w:p>
      <w:pPr>
        <w:pStyle w:val="43"/>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pStyle w:val="20"/>
        <w:ind w:firstLine="0"/>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4</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28"/>
        <w:jc w:val="center"/>
        <w:rPr>
          <w:rFonts w:ascii="仿宋" w:hAnsi="仿宋" w:eastAsia="仿宋" w:cs="仿宋_GB2312"/>
          <w:color w:val="000000" w:themeColor="text1"/>
          <w:sz w:val="28"/>
          <w:szCs w:val="28"/>
          <w14:textFill>
            <w14:solidFill>
              <w14:schemeClr w14:val="tx1"/>
            </w14:solidFill>
          </w14:textFill>
        </w:rPr>
      </w:pPr>
    </w:p>
    <w:p>
      <w:pPr>
        <w:pStyle w:val="28"/>
        <w:jc w:val="center"/>
        <w:rPr>
          <w:rFonts w:ascii="仿宋" w:hAnsi="仿宋" w:eastAsia="仿宋" w:cs="仿宋_GB2312"/>
          <w:color w:val="000000" w:themeColor="text1"/>
          <w:sz w:val="28"/>
          <w:szCs w:val="28"/>
          <w14:textFill>
            <w14:solidFill>
              <w14:schemeClr w14:val="tx1"/>
            </w14:solidFill>
          </w14:textFill>
        </w:rPr>
      </w:pPr>
    </w:p>
    <w:p>
      <w:pPr>
        <w:pStyle w:val="28"/>
        <w:jc w:val="center"/>
        <w:rPr>
          <w:rFonts w:ascii="仿宋" w:hAnsi="仿宋" w:eastAsia="仿宋" w:cs="仿宋_GB2312"/>
          <w:color w:val="000000" w:themeColor="text1"/>
          <w:sz w:val="28"/>
          <w:szCs w:val="28"/>
          <w14:textFill>
            <w14:solidFill>
              <w14:schemeClr w14:val="tx1"/>
            </w14:solidFill>
          </w14:textFill>
        </w:rPr>
      </w:pPr>
    </w:p>
    <w:p>
      <w:pPr>
        <w:pStyle w:val="28"/>
        <w:jc w:val="center"/>
        <w:rPr>
          <w:rFonts w:eastAsia="仿宋"/>
          <w:b/>
          <w:bCs/>
        </w:rPr>
      </w:pPr>
      <w:r>
        <w:rPr>
          <w:rFonts w:hint="eastAsia" w:ascii="仿宋" w:hAnsi="仿宋" w:eastAsia="仿宋" w:cs="仿宋_GB2312"/>
          <w:b/>
          <w:bCs/>
          <w:color w:val="000000" w:themeColor="text1"/>
          <w:sz w:val="28"/>
          <w:szCs w:val="28"/>
          <w:lang w:val="en-US" w:eastAsia="zh-CN"/>
          <w14:textFill>
            <w14:solidFill>
              <w14:schemeClr w14:val="tx1"/>
            </w14:solidFill>
          </w14:textFill>
        </w:rPr>
        <w:t>5</w:t>
      </w:r>
      <w:r>
        <w:rPr>
          <w:rFonts w:hint="eastAsia" w:ascii="仿宋" w:hAnsi="仿宋" w:eastAsia="仿宋" w:cs="仿宋_GB2312"/>
          <w:b/>
          <w:bCs/>
          <w:color w:val="000000" w:themeColor="text1"/>
          <w:sz w:val="28"/>
          <w:szCs w:val="28"/>
          <w14:textFill>
            <w14:solidFill>
              <w14:schemeClr w14:val="tx1"/>
            </w14:solidFill>
          </w14:textFill>
        </w:rPr>
        <w:t xml:space="preserve">  项目单位、人员资格情况</w:t>
      </w: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79025"/>
    <w:multiLevelType w:val="singleLevel"/>
    <w:tmpl w:val="AEE79025"/>
    <w:lvl w:ilvl="0" w:tentative="0">
      <w:start w:val="2"/>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4100B7B"/>
    <w:multiLevelType w:val="singleLevel"/>
    <w:tmpl w:val="24100B7B"/>
    <w:lvl w:ilvl="0" w:tentative="0">
      <w:start w:val="4"/>
      <w:numFmt w:val="chineseCounting"/>
      <w:suff w:val="space"/>
      <w:lvlText w:val="第%1部分"/>
      <w:lvlJc w:val="left"/>
      <w:rPr>
        <w:rFonts w:hint="eastAsia"/>
      </w:rPr>
    </w:lvl>
  </w:abstractNum>
  <w:abstractNum w:abstractNumId="3">
    <w:nsid w:val="29ABBF60"/>
    <w:multiLevelType w:val="singleLevel"/>
    <w:tmpl w:val="29ABBF60"/>
    <w:lvl w:ilvl="0" w:tentative="0">
      <w:start w:val="1"/>
      <w:numFmt w:val="decimal"/>
      <w:suff w:val="nothing"/>
      <w:lvlText w:val="（%1）"/>
      <w:lvlJc w:val="left"/>
    </w:lvl>
  </w:abstractNum>
  <w:abstractNum w:abstractNumId="4">
    <w:nsid w:val="534B5C71"/>
    <w:multiLevelType w:val="singleLevel"/>
    <w:tmpl w:val="534B5C71"/>
    <w:lvl w:ilvl="0" w:tentative="0">
      <w:start w:val="2"/>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FA"/>
    <w:rsid w:val="00006243"/>
    <w:rsid w:val="00035872"/>
    <w:rsid w:val="0005530F"/>
    <w:rsid w:val="000644E6"/>
    <w:rsid w:val="000657B9"/>
    <w:rsid w:val="000A46D5"/>
    <w:rsid w:val="000A513D"/>
    <w:rsid w:val="000B2E59"/>
    <w:rsid w:val="000B6E2A"/>
    <w:rsid w:val="000B73EE"/>
    <w:rsid w:val="000D40AB"/>
    <w:rsid w:val="000E45BC"/>
    <w:rsid w:val="000F0E33"/>
    <w:rsid w:val="000F7B49"/>
    <w:rsid w:val="00112127"/>
    <w:rsid w:val="00113A79"/>
    <w:rsid w:val="001166BB"/>
    <w:rsid w:val="001467CA"/>
    <w:rsid w:val="0016178E"/>
    <w:rsid w:val="00163A61"/>
    <w:rsid w:val="00182232"/>
    <w:rsid w:val="0019169A"/>
    <w:rsid w:val="00194425"/>
    <w:rsid w:val="00196351"/>
    <w:rsid w:val="0019747E"/>
    <w:rsid w:val="001F46A9"/>
    <w:rsid w:val="001F4B7D"/>
    <w:rsid w:val="001F5CC8"/>
    <w:rsid w:val="00203513"/>
    <w:rsid w:val="00204AB7"/>
    <w:rsid w:val="002144D7"/>
    <w:rsid w:val="00235700"/>
    <w:rsid w:val="0023662C"/>
    <w:rsid w:val="00243240"/>
    <w:rsid w:val="00250256"/>
    <w:rsid w:val="002A21F8"/>
    <w:rsid w:val="002E23B2"/>
    <w:rsid w:val="002F588A"/>
    <w:rsid w:val="00320203"/>
    <w:rsid w:val="00320FA9"/>
    <w:rsid w:val="00335D77"/>
    <w:rsid w:val="00352134"/>
    <w:rsid w:val="00356EFB"/>
    <w:rsid w:val="003A0C70"/>
    <w:rsid w:val="003A30A6"/>
    <w:rsid w:val="003D205C"/>
    <w:rsid w:val="003D66E3"/>
    <w:rsid w:val="003E3A96"/>
    <w:rsid w:val="003E6258"/>
    <w:rsid w:val="00413436"/>
    <w:rsid w:val="00425A20"/>
    <w:rsid w:val="004273C1"/>
    <w:rsid w:val="00461FBE"/>
    <w:rsid w:val="0046764A"/>
    <w:rsid w:val="00477301"/>
    <w:rsid w:val="00481194"/>
    <w:rsid w:val="004814F2"/>
    <w:rsid w:val="0048211B"/>
    <w:rsid w:val="004844C1"/>
    <w:rsid w:val="004B4408"/>
    <w:rsid w:val="004B7872"/>
    <w:rsid w:val="004E1354"/>
    <w:rsid w:val="004F3212"/>
    <w:rsid w:val="0050227A"/>
    <w:rsid w:val="00504917"/>
    <w:rsid w:val="00523FFA"/>
    <w:rsid w:val="00525D06"/>
    <w:rsid w:val="00527A1E"/>
    <w:rsid w:val="005328FE"/>
    <w:rsid w:val="00536854"/>
    <w:rsid w:val="00545A87"/>
    <w:rsid w:val="00570096"/>
    <w:rsid w:val="00570D85"/>
    <w:rsid w:val="005840C1"/>
    <w:rsid w:val="005A4EA8"/>
    <w:rsid w:val="005A6632"/>
    <w:rsid w:val="005B65A1"/>
    <w:rsid w:val="005F336B"/>
    <w:rsid w:val="006077E7"/>
    <w:rsid w:val="00613B10"/>
    <w:rsid w:val="00653163"/>
    <w:rsid w:val="00682D17"/>
    <w:rsid w:val="006840DB"/>
    <w:rsid w:val="006E0C83"/>
    <w:rsid w:val="00703691"/>
    <w:rsid w:val="00724C42"/>
    <w:rsid w:val="007263F2"/>
    <w:rsid w:val="007331F2"/>
    <w:rsid w:val="00747A49"/>
    <w:rsid w:val="007550D7"/>
    <w:rsid w:val="007854C6"/>
    <w:rsid w:val="00786097"/>
    <w:rsid w:val="007957B4"/>
    <w:rsid w:val="0079655F"/>
    <w:rsid w:val="007A6F35"/>
    <w:rsid w:val="007B6895"/>
    <w:rsid w:val="007D172A"/>
    <w:rsid w:val="007F6D48"/>
    <w:rsid w:val="007F6DAF"/>
    <w:rsid w:val="007F7F8F"/>
    <w:rsid w:val="008077D6"/>
    <w:rsid w:val="008100DD"/>
    <w:rsid w:val="0083305F"/>
    <w:rsid w:val="00833F4E"/>
    <w:rsid w:val="008410FC"/>
    <w:rsid w:val="00850945"/>
    <w:rsid w:val="00854ED4"/>
    <w:rsid w:val="00876F4F"/>
    <w:rsid w:val="00893C6E"/>
    <w:rsid w:val="008A3A31"/>
    <w:rsid w:val="008B03F8"/>
    <w:rsid w:val="008C400B"/>
    <w:rsid w:val="008D46E3"/>
    <w:rsid w:val="008E4F0E"/>
    <w:rsid w:val="00933EEF"/>
    <w:rsid w:val="00940686"/>
    <w:rsid w:val="0095329C"/>
    <w:rsid w:val="009655D6"/>
    <w:rsid w:val="00974494"/>
    <w:rsid w:val="0098076A"/>
    <w:rsid w:val="009B1F7B"/>
    <w:rsid w:val="009C5A38"/>
    <w:rsid w:val="009C7F95"/>
    <w:rsid w:val="00A042A5"/>
    <w:rsid w:val="00A07297"/>
    <w:rsid w:val="00A10754"/>
    <w:rsid w:val="00A10F87"/>
    <w:rsid w:val="00A26B96"/>
    <w:rsid w:val="00A37654"/>
    <w:rsid w:val="00A55510"/>
    <w:rsid w:val="00A66265"/>
    <w:rsid w:val="00A9730C"/>
    <w:rsid w:val="00AA1BA5"/>
    <w:rsid w:val="00AC7CE3"/>
    <w:rsid w:val="00AE2741"/>
    <w:rsid w:val="00AF5C08"/>
    <w:rsid w:val="00B057D6"/>
    <w:rsid w:val="00B322B9"/>
    <w:rsid w:val="00B76342"/>
    <w:rsid w:val="00B908B9"/>
    <w:rsid w:val="00B936D7"/>
    <w:rsid w:val="00BA1503"/>
    <w:rsid w:val="00BA63CA"/>
    <w:rsid w:val="00BC5308"/>
    <w:rsid w:val="00BC63F4"/>
    <w:rsid w:val="00BD0A61"/>
    <w:rsid w:val="00BD2540"/>
    <w:rsid w:val="00BD3DC3"/>
    <w:rsid w:val="00BD6CB0"/>
    <w:rsid w:val="00BF29CD"/>
    <w:rsid w:val="00C00DEE"/>
    <w:rsid w:val="00C2525F"/>
    <w:rsid w:val="00C31675"/>
    <w:rsid w:val="00C351CD"/>
    <w:rsid w:val="00C37C45"/>
    <w:rsid w:val="00C40D7A"/>
    <w:rsid w:val="00C669FA"/>
    <w:rsid w:val="00C95977"/>
    <w:rsid w:val="00CA4F14"/>
    <w:rsid w:val="00CA61FE"/>
    <w:rsid w:val="00CC428A"/>
    <w:rsid w:val="00CC688F"/>
    <w:rsid w:val="00CF7BD3"/>
    <w:rsid w:val="00D0201F"/>
    <w:rsid w:val="00D141CE"/>
    <w:rsid w:val="00D30450"/>
    <w:rsid w:val="00D32BCA"/>
    <w:rsid w:val="00D61CC7"/>
    <w:rsid w:val="00D61E8F"/>
    <w:rsid w:val="00D70B32"/>
    <w:rsid w:val="00DB0C60"/>
    <w:rsid w:val="00DC06EB"/>
    <w:rsid w:val="00DE1EE0"/>
    <w:rsid w:val="00E1136C"/>
    <w:rsid w:val="00E135A3"/>
    <w:rsid w:val="00E461F8"/>
    <w:rsid w:val="00E5772E"/>
    <w:rsid w:val="00ED572C"/>
    <w:rsid w:val="00EE09EB"/>
    <w:rsid w:val="00EE5DF6"/>
    <w:rsid w:val="00F044CD"/>
    <w:rsid w:val="00F056F1"/>
    <w:rsid w:val="00F222B0"/>
    <w:rsid w:val="00F35C04"/>
    <w:rsid w:val="00F44C25"/>
    <w:rsid w:val="00F6315C"/>
    <w:rsid w:val="00F652B4"/>
    <w:rsid w:val="00F81A4F"/>
    <w:rsid w:val="00FC38AC"/>
    <w:rsid w:val="00FC4531"/>
    <w:rsid w:val="00FD2A30"/>
    <w:rsid w:val="01213C08"/>
    <w:rsid w:val="012A0E2C"/>
    <w:rsid w:val="01A57A6C"/>
    <w:rsid w:val="0215573E"/>
    <w:rsid w:val="024822B0"/>
    <w:rsid w:val="02624C85"/>
    <w:rsid w:val="027951E6"/>
    <w:rsid w:val="02C45024"/>
    <w:rsid w:val="02CB58CB"/>
    <w:rsid w:val="03087985"/>
    <w:rsid w:val="032933C4"/>
    <w:rsid w:val="03475D9E"/>
    <w:rsid w:val="035D56B7"/>
    <w:rsid w:val="03832948"/>
    <w:rsid w:val="03A87FA5"/>
    <w:rsid w:val="03D06DBA"/>
    <w:rsid w:val="04633B71"/>
    <w:rsid w:val="055C1B6B"/>
    <w:rsid w:val="05F767B7"/>
    <w:rsid w:val="06CE3D1A"/>
    <w:rsid w:val="06DB216C"/>
    <w:rsid w:val="0738668D"/>
    <w:rsid w:val="07945DCD"/>
    <w:rsid w:val="07966214"/>
    <w:rsid w:val="079E1868"/>
    <w:rsid w:val="07BF48E5"/>
    <w:rsid w:val="07FB2E2A"/>
    <w:rsid w:val="08A4413E"/>
    <w:rsid w:val="099F0E21"/>
    <w:rsid w:val="0A4A2DA1"/>
    <w:rsid w:val="0A810BB7"/>
    <w:rsid w:val="0A851038"/>
    <w:rsid w:val="0BEE4AD8"/>
    <w:rsid w:val="0BF155EC"/>
    <w:rsid w:val="0BF7794B"/>
    <w:rsid w:val="0C055881"/>
    <w:rsid w:val="0C056B63"/>
    <w:rsid w:val="0C165C1F"/>
    <w:rsid w:val="0CA010C8"/>
    <w:rsid w:val="0CD04843"/>
    <w:rsid w:val="0CD71487"/>
    <w:rsid w:val="0D4A2254"/>
    <w:rsid w:val="0D917F28"/>
    <w:rsid w:val="0DD442A4"/>
    <w:rsid w:val="0E0F34CE"/>
    <w:rsid w:val="0E105F13"/>
    <w:rsid w:val="0E8B1A39"/>
    <w:rsid w:val="0E983FA8"/>
    <w:rsid w:val="0F157AE7"/>
    <w:rsid w:val="0F191BEF"/>
    <w:rsid w:val="0F390B28"/>
    <w:rsid w:val="0F5027BF"/>
    <w:rsid w:val="0F595CE1"/>
    <w:rsid w:val="0F5D2C98"/>
    <w:rsid w:val="0F9B57ED"/>
    <w:rsid w:val="0FB15B6E"/>
    <w:rsid w:val="0FE9290F"/>
    <w:rsid w:val="100551E5"/>
    <w:rsid w:val="10930A51"/>
    <w:rsid w:val="10A21193"/>
    <w:rsid w:val="10CC2CED"/>
    <w:rsid w:val="117C356D"/>
    <w:rsid w:val="117D701A"/>
    <w:rsid w:val="118C396D"/>
    <w:rsid w:val="11DD09DC"/>
    <w:rsid w:val="120339C7"/>
    <w:rsid w:val="122261D1"/>
    <w:rsid w:val="13626E03"/>
    <w:rsid w:val="166677CD"/>
    <w:rsid w:val="16774A77"/>
    <w:rsid w:val="16AD7949"/>
    <w:rsid w:val="16CB57E7"/>
    <w:rsid w:val="16CE05E6"/>
    <w:rsid w:val="16EE30E7"/>
    <w:rsid w:val="171B257B"/>
    <w:rsid w:val="171F6EDA"/>
    <w:rsid w:val="17374AFE"/>
    <w:rsid w:val="175975CB"/>
    <w:rsid w:val="17624AFE"/>
    <w:rsid w:val="181B2892"/>
    <w:rsid w:val="18341647"/>
    <w:rsid w:val="183C7428"/>
    <w:rsid w:val="18576EA5"/>
    <w:rsid w:val="1872543F"/>
    <w:rsid w:val="18832F1A"/>
    <w:rsid w:val="195E787B"/>
    <w:rsid w:val="198533A4"/>
    <w:rsid w:val="19EE3322"/>
    <w:rsid w:val="1A3C59EA"/>
    <w:rsid w:val="1A4F26B9"/>
    <w:rsid w:val="1A5A050B"/>
    <w:rsid w:val="1A9238E8"/>
    <w:rsid w:val="1B43354C"/>
    <w:rsid w:val="1B4A4A47"/>
    <w:rsid w:val="1B6C3A06"/>
    <w:rsid w:val="1BC51A48"/>
    <w:rsid w:val="1BE72C9D"/>
    <w:rsid w:val="1C440C1D"/>
    <w:rsid w:val="1C450962"/>
    <w:rsid w:val="1C832737"/>
    <w:rsid w:val="1C8A0A01"/>
    <w:rsid w:val="1C9E7C9E"/>
    <w:rsid w:val="1CC63289"/>
    <w:rsid w:val="1D8D6C0F"/>
    <w:rsid w:val="1DDD2F7D"/>
    <w:rsid w:val="1DFD3E11"/>
    <w:rsid w:val="1E172573"/>
    <w:rsid w:val="1E581C28"/>
    <w:rsid w:val="1E75317E"/>
    <w:rsid w:val="1E8651E3"/>
    <w:rsid w:val="1F626CBE"/>
    <w:rsid w:val="1FDA5354"/>
    <w:rsid w:val="201607F8"/>
    <w:rsid w:val="201C0EBB"/>
    <w:rsid w:val="2094043D"/>
    <w:rsid w:val="20C80BF0"/>
    <w:rsid w:val="20D668B1"/>
    <w:rsid w:val="20E12495"/>
    <w:rsid w:val="20E1358A"/>
    <w:rsid w:val="21197576"/>
    <w:rsid w:val="214B6BF0"/>
    <w:rsid w:val="215B64A1"/>
    <w:rsid w:val="21734A3E"/>
    <w:rsid w:val="2175797B"/>
    <w:rsid w:val="21FF7ACF"/>
    <w:rsid w:val="221F635B"/>
    <w:rsid w:val="22627984"/>
    <w:rsid w:val="228F2F88"/>
    <w:rsid w:val="229B7230"/>
    <w:rsid w:val="23285357"/>
    <w:rsid w:val="2344568D"/>
    <w:rsid w:val="23C52565"/>
    <w:rsid w:val="23CB38A6"/>
    <w:rsid w:val="23E76396"/>
    <w:rsid w:val="2411337A"/>
    <w:rsid w:val="24254283"/>
    <w:rsid w:val="24AF79E0"/>
    <w:rsid w:val="251A021B"/>
    <w:rsid w:val="25351C96"/>
    <w:rsid w:val="253C0ED5"/>
    <w:rsid w:val="25C507A2"/>
    <w:rsid w:val="26246AED"/>
    <w:rsid w:val="2628374B"/>
    <w:rsid w:val="26F56AC0"/>
    <w:rsid w:val="27B26870"/>
    <w:rsid w:val="27D50AB7"/>
    <w:rsid w:val="27EF76F4"/>
    <w:rsid w:val="280866BF"/>
    <w:rsid w:val="28651E57"/>
    <w:rsid w:val="28B67AA9"/>
    <w:rsid w:val="28F033EC"/>
    <w:rsid w:val="291E1603"/>
    <w:rsid w:val="29221318"/>
    <w:rsid w:val="29A441D3"/>
    <w:rsid w:val="29B26E64"/>
    <w:rsid w:val="29E47B0A"/>
    <w:rsid w:val="2A797399"/>
    <w:rsid w:val="2A940D1D"/>
    <w:rsid w:val="2AA07AB6"/>
    <w:rsid w:val="2AFA2A43"/>
    <w:rsid w:val="2B8F2CA4"/>
    <w:rsid w:val="2BF2732D"/>
    <w:rsid w:val="2C0F5B60"/>
    <w:rsid w:val="2C2E6EB5"/>
    <w:rsid w:val="2C914946"/>
    <w:rsid w:val="2CD61190"/>
    <w:rsid w:val="2D19638F"/>
    <w:rsid w:val="2DAB1D7F"/>
    <w:rsid w:val="2DF2482E"/>
    <w:rsid w:val="2E234B22"/>
    <w:rsid w:val="2E7A0740"/>
    <w:rsid w:val="2E9A7907"/>
    <w:rsid w:val="2EBA18AD"/>
    <w:rsid w:val="2EFB7326"/>
    <w:rsid w:val="2F0B2C00"/>
    <w:rsid w:val="2FC067FF"/>
    <w:rsid w:val="2FCA12C3"/>
    <w:rsid w:val="300C48A6"/>
    <w:rsid w:val="30C32D03"/>
    <w:rsid w:val="312C22C2"/>
    <w:rsid w:val="31343EAE"/>
    <w:rsid w:val="31D806F6"/>
    <w:rsid w:val="31FE415B"/>
    <w:rsid w:val="32207E65"/>
    <w:rsid w:val="327B7DBD"/>
    <w:rsid w:val="32D03ED3"/>
    <w:rsid w:val="338D3FB9"/>
    <w:rsid w:val="33B204B9"/>
    <w:rsid w:val="3427114C"/>
    <w:rsid w:val="349E71E6"/>
    <w:rsid w:val="34E92F2E"/>
    <w:rsid w:val="357836E7"/>
    <w:rsid w:val="358B4E40"/>
    <w:rsid w:val="35971342"/>
    <w:rsid w:val="35C75BE6"/>
    <w:rsid w:val="36517E28"/>
    <w:rsid w:val="368842E7"/>
    <w:rsid w:val="37740D44"/>
    <w:rsid w:val="377E7997"/>
    <w:rsid w:val="37942F37"/>
    <w:rsid w:val="381E2730"/>
    <w:rsid w:val="388E0A07"/>
    <w:rsid w:val="38F70FAB"/>
    <w:rsid w:val="394D21E7"/>
    <w:rsid w:val="395A5702"/>
    <w:rsid w:val="39825B53"/>
    <w:rsid w:val="39C851DB"/>
    <w:rsid w:val="3A042CB3"/>
    <w:rsid w:val="3AB50CFD"/>
    <w:rsid w:val="3AB900A5"/>
    <w:rsid w:val="3ADB6707"/>
    <w:rsid w:val="3B5E7FDD"/>
    <w:rsid w:val="3B6B6DD0"/>
    <w:rsid w:val="3BA305CB"/>
    <w:rsid w:val="3CE74F29"/>
    <w:rsid w:val="3D1F511B"/>
    <w:rsid w:val="3D5B310B"/>
    <w:rsid w:val="3E095BCA"/>
    <w:rsid w:val="3E0F351A"/>
    <w:rsid w:val="3EC8123A"/>
    <w:rsid w:val="3EEB1ACE"/>
    <w:rsid w:val="3F055128"/>
    <w:rsid w:val="3F54054D"/>
    <w:rsid w:val="3F7A5E74"/>
    <w:rsid w:val="3FDE4046"/>
    <w:rsid w:val="401310ED"/>
    <w:rsid w:val="4018320A"/>
    <w:rsid w:val="4051243F"/>
    <w:rsid w:val="41D14A55"/>
    <w:rsid w:val="41DF27B1"/>
    <w:rsid w:val="42093E84"/>
    <w:rsid w:val="428A3329"/>
    <w:rsid w:val="42BF01C5"/>
    <w:rsid w:val="42C17449"/>
    <w:rsid w:val="4310494B"/>
    <w:rsid w:val="43415061"/>
    <w:rsid w:val="438C3F4B"/>
    <w:rsid w:val="43A4461F"/>
    <w:rsid w:val="43CB56FA"/>
    <w:rsid w:val="441066A3"/>
    <w:rsid w:val="441A32F1"/>
    <w:rsid w:val="44600DBD"/>
    <w:rsid w:val="44FD12C2"/>
    <w:rsid w:val="45477250"/>
    <w:rsid w:val="45D04201"/>
    <w:rsid w:val="45D12721"/>
    <w:rsid w:val="4611043A"/>
    <w:rsid w:val="46194FAB"/>
    <w:rsid w:val="461C0EF1"/>
    <w:rsid w:val="464B1280"/>
    <w:rsid w:val="46B34996"/>
    <w:rsid w:val="46CD2CC1"/>
    <w:rsid w:val="474065E9"/>
    <w:rsid w:val="475A2186"/>
    <w:rsid w:val="477F4975"/>
    <w:rsid w:val="478B465D"/>
    <w:rsid w:val="47977170"/>
    <w:rsid w:val="47C65815"/>
    <w:rsid w:val="480139C4"/>
    <w:rsid w:val="481F5DE7"/>
    <w:rsid w:val="4849252C"/>
    <w:rsid w:val="48B67056"/>
    <w:rsid w:val="48B87BC8"/>
    <w:rsid w:val="48DB21ED"/>
    <w:rsid w:val="4A002747"/>
    <w:rsid w:val="4A0F055F"/>
    <w:rsid w:val="4A2851B5"/>
    <w:rsid w:val="4A2F4E2F"/>
    <w:rsid w:val="4A3F309D"/>
    <w:rsid w:val="4A666A63"/>
    <w:rsid w:val="4AD262D7"/>
    <w:rsid w:val="4AD9788D"/>
    <w:rsid w:val="4AEF5900"/>
    <w:rsid w:val="4BC82AC7"/>
    <w:rsid w:val="4C7B56D6"/>
    <w:rsid w:val="4CE82F0D"/>
    <w:rsid w:val="4D284C9B"/>
    <w:rsid w:val="4D3840BE"/>
    <w:rsid w:val="4E5B67DB"/>
    <w:rsid w:val="4E725989"/>
    <w:rsid w:val="4E762343"/>
    <w:rsid w:val="4F2F4D0F"/>
    <w:rsid w:val="4FCB1D63"/>
    <w:rsid w:val="500D4543"/>
    <w:rsid w:val="502E55DD"/>
    <w:rsid w:val="50401953"/>
    <w:rsid w:val="50802BBF"/>
    <w:rsid w:val="50FC2B2C"/>
    <w:rsid w:val="51105862"/>
    <w:rsid w:val="513E3034"/>
    <w:rsid w:val="515A6194"/>
    <w:rsid w:val="51722D1F"/>
    <w:rsid w:val="5172393A"/>
    <w:rsid w:val="51734708"/>
    <w:rsid w:val="51A926EA"/>
    <w:rsid w:val="51B65006"/>
    <w:rsid w:val="51BF4BB1"/>
    <w:rsid w:val="51E62A3F"/>
    <w:rsid w:val="52090955"/>
    <w:rsid w:val="5210640D"/>
    <w:rsid w:val="521B34DB"/>
    <w:rsid w:val="52253E41"/>
    <w:rsid w:val="522971FC"/>
    <w:rsid w:val="523A3295"/>
    <w:rsid w:val="52755A5B"/>
    <w:rsid w:val="527A4DDD"/>
    <w:rsid w:val="52A50864"/>
    <w:rsid w:val="52FC3E3A"/>
    <w:rsid w:val="5335199E"/>
    <w:rsid w:val="5375002C"/>
    <w:rsid w:val="537F7BFD"/>
    <w:rsid w:val="53F66EA9"/>
    <w:rsid w:val="5428437A"/>
    <w:rsid w:val="54606D16"/>
    <w:rsid w:val="54880D40"/>
    <w:rsid w:val="5489728D"/>
    <w:rsid w:val="54B057B0"/>
    <w:rsid w:val="54B91869"/>
    <w:rsid w:val="54BF3C9C"/>
    <w:rsid w:val="54FB7AE0"/>
    <w:rsid w:val="55461FCB"/>
    <w:rsid w:val="56447F87"/>
    <w:rsid w:val="56A0149E"/>
    <w:rsid w:val="56E25835"/>
    <w:rsid w:val="57435AA6"/>
    <w:rsid w:val="57E2260A"/>
    <w:rsid w:val="57FC0614"/>
    <w:rsid w:val="581E2597"/>
    <w:rsid w:val="582E1436"/>
    <w:rsid w:val="584222D3"/>
    <w:rsid w:val="58C8034C"/>
    <w:rsid w:val="58CA48AD"/>
    <w:rsid w:val="58E343D5"/>
    <w:rsid w:val="595A6DAA"/>
    <w:rsid w:val="5A36592C"/>
    <w:rsid w:val="5A4A1BBF"/>
    <w:rsid w:val="5A6155C2"/>
    <w:rsid w:val="5A9D2DFB"/>
    <w:rsid w:val="5AFC4773"/>
    <w:rsid w:val="5B1E4FDA"/>
    <w:rsid w:val="5B3C1EDE"/>
    <w:rsid w:val="5B7758D0"/>
    <w:rsid w:val="5C422452"/>
    <w:rsid w:val="5C846E55"/>
    <w:rsid w:val="5C955D81"/>
    <w:rsid w:val="5CF93944"/>
    <w:rsid w:val="5D1C1DE6"/>
    <w:rsid w:val="5DD0123C"/>
    <w:rsid w:val="5DDA5C27"/>
    <w:rsid w:val="5E051A38"/>
    <w:rsid w:val="5E52450A"/>
    <w:rsid w:val="5E6C1EE2"/>
    <w:rsid w:val="5E784C84"/>
    <w:rsid w:val="5F2B4751"/>
    <w:rsid w:val="5F6F647E"/>
    <w:rsid w:val="5F7B439F"/>
    <w:rsid w:val="6022785D"/>
    <w:rsid w:val="612F265F"/>
    <w:rsid w:val="61317F51"/>
    <w:rsid w:val="61485C29"/>
    <w:rsid w:val="616A4354"/>
    <w:rsid w:val="61932D7D"/>
    <w:rsid w:val="626E13B5"/>
    <w:rsid w:val="62CD5B89"/>
    <w:rsid w:val="6331176E"/>
    <w:rsid w:val="634D18EF"/>
    <w:rsid w:val="63526B3A"/>
    <w:rsid w:val="635D716A"/>
    <w:rsid w:val="63BE341B"/>
    <w:rsid w:val="63DB0D50"/>
    <w:rsid w:val="63EF3AFE"/>
    <w:rsid w:val="63F95B8A"/>
    <w:rsid w:val="64232CD3"/>
    <w:rsid w:val="64D4152E"/>
    <w:rsid w:val="65284570"/>
    <w:rsid w:val="6536101A"/>
    <w:rsid w:val="655C3140"/>
    <w:rsid w:val="656D64FA"/>
    <w:rsid w:val="658052DD"/>
    <w:rsid w:val="65C47416"/>
    <w:rsid w:val="665C3C76"/>
    <w:rsid w:val="66644DD9"/>
    <w:rsid w:val="667E5EAF"/>
    <w:rsid w:val="669D7E10"/>
    <w:rsid w:val="67057CC2"/>
    <w:rsid w:val="670D7173"/>
    <w:rsid w:val="673B2037"/>
    <w:rsid w:val="6785569E"/>
    <w:rsid w:val="679B319B"/>
    <w:rsid w:val="67C704F6"/>
    <w:rsid w:val="67C72854"/>
    <w:rsid w:val="681869FD"/>
    <w:rsid w:val="690B6D7C"/>
    <w:rsid w:val="69175685"/>
    <w:rsid w:val="693B1311"/>
    <w:rsid w:val="69461BE7"/>
    <w:rsid w:val="699C0231"/>
    <w:rsid w:val="69A6714B"/>
    <w:rsid w:val="69B873BC"/>
    <w:rsid w:val="6A091B6D"/>
    <w:rsid w:val="6A1532AA"/>
    <w:rsid w:val="6A3320AF"/>
    <w:rsid w:val="6A4E587F"/>
    <w:rsid w:val="6ABB5727"/>
    <w:rsid w:val="6B1A6F57"/>
    <w:rsid w:val="6B4026C8"/>
    <w:rsid w:val="6B6638E9"/>
    <w:rsid w:val="6CD41863"/>
    <w:rsid w:val="6DA93AF7"/>
    <w:rsid w:val="6DFD1267"/>
    <w:rsid w:val="6F0A4BA7"/>
    <w:rsid w:val="6F0E1C3B"/>
    <w:rsid w:val="6F0E562E"/>
    <w:rsid w:val="6F1A7372"/>
    <w:rsid w:val="6F2155D1"/>
    <w:rsid w:val="6F3B08A0"/>
    <w:rsid w:val="6F4D1D02"/>
    <w:rsid w:val="6FA94B97"/>
    <w:rsid w:val="702E3856"/>
    <w:rsid w:val="70624653"/>
    <w:rsid w:val="710B10C2"/>
    <w:rsid w:val="71950079"/>
    <w:rsid w:val="71EA5114"/>
    <w:rsid w:val="71F37EA0"/>
    <w:rsid w:val="72411309"/>
    <w:rsid w:val="726957A9"/>
    <w:rsid w:val="72903204"/>
    <w:rsid w:val="729215EC"/>
    <w:rsid w:val="72962E22"/>
    <w:rsid w:val="72A30DB4"/>
    <w:rsid w:val="72AD7B2C"/>
    <w:rsid w:val="72DC783F"/>
    <w:rsid w:val="736C65B6"/>
    <w:rsid w:val="73AD6D3B"/>
    <w:rsid w:val="73B5332C"/>
    <w:rsid w:val="73F64AD6"/>
    <w:rsid w:val="740618A8"/>
    <w:rsid w:val="74103B60"/>
    <w:rsid w:val="745B0474"/>
    <w:rsid w:val="75664885"/>
    <w:rsid w:val="75FC5708"/>
    <w:rsid w:val="764515DD"/>
    <w:rsid w:val="76B414A3"/>
    <w:rsid w:val="76C057F2"/>
    <w:rsid w:val="76EA0670"/>
    <w:rsid w:val="77104A5B"/>
    <w:rsid w:val="774A16C1"/>
    <w:rsid w:val="78033B32"/>
    <w:rsid w:val="78397F85"/>
    <w:rsid w:val="79816561"/>
    <w:rsid w:val="79A14DD7"/>
    <w:rsid w:val="79BA3012"/>
    <w:rsid w:val="79BE5874"/>
    <w:rsid w:val="79FE6F5F"/>
    <w:rsid w:val="7A052862"/>
    <w:rsid w:val="7AA856BE"/>
    <w:rsid w:val="7ADA653A"/>
    <w:rsid w:val="7C134DFA"/>
    <w:rsid w:val="7C57001E"/>
    <w:rsid w:val="7C8912DD"/>
    <w:rsid w:val="7C8F63C8"/>
    <w:rsid w:val="7CA117ED"/>
    <w:rsid w:val="7D182CD0"/>
    <w:rsid w:val="7D675C7C"/>
    <w:rsid w:val="7DCB439A"/>
    <w:rsid w:val="7E032A3E"/>
    <w:rsid w:val="7E7105DE"/>
    <w:rsid w:val="7EC07050"/>
    <w:rsid w:val="7ECE0477"/>
    <w:rsid w:val="7F0B2A41"/>
    <w:rsid w:val="7F362289"/>
    <w:rsid w:val="7F6053B4"/>
    <w:rsid w:val="7F8C2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33"/>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jc w:val="both"/>
      <w:textAlignment w:val="baseline"/>
    </w:pPr>
    <w:rPr>
      <w:rFonts w:ascii="Times New Roman" w:hAnsi="Times New Roman" w:eastAsia="宋体"/>
      <w:kern w:val="2"/>
      <w:sz w:val="28"/>
      <w:lang w:val="en-US" w:eastAsia="zh-CN" w:bidi="ar-SA"/>
    </w:rPr>
  </w:style>
  <w:style w:type="paragraph" w:customStyle="1" w:styleId="3">
    <w:name w:val="BodyText2"/>
    <w:basedOn w:val="1"/>
    <w:qFormat/>
    <w:uiPriority w:val="0"/>
    <w:pPr>
      <w:spacing w:after="120" w:line="480" w:lineRule="auto"/>
      <w:jc w:val="both"/>
      <w:textAlignment w:val="baseline"/>
    </w:pPr>
  </w:style>
  <w:style w:type="paragraph" w:styleId="7">
    <w:name w:val="annotation text"/>
    <w:basedOn w:val="1"/>
    <w:link w:val="40"/>
    <w:qFormat/>
    <w:uiPriority w:val="0"/>
    <w:pPr>
      <w:jc w:val="left"/>
    </w:pPr>
    <w:rPr>
      <w:rFonts w:ascii="Times New Roman" w:hAnsi="Times New Roman" w:eastAsia="宋体" w:cs="Times New Roman"/>
      <w:szCs w:val="24"/>
    </w:rPr>
  </w:style>
  <w:style w:type="paragraph" w:styleId="8">
    <w:name w:val="Body Text"/>
    <w:basedOn w:val="1"/>
    <w:next w:val="9"/>
    <w:unhideWhenUsed/>
    <w:qFormat/>
    <w:uiPriority w:val="99"/>
    <w:rPr>
      <w:sz w:val="28"/>
    </w:rPr>
  </w:style>
  <w:style w:type="paragraph" w:styleId="9">
    <w:name w:val="Body Text 2"/>
    <w:basedOn w:val="1"/>
    <w:unhideWhenUsed/>
    <w:qFormat/>
    <w:uiPriority w:val="99"/>
    <w:pPr>
      <w:spacing w:after="120" w:line="480" w:lineRule="auto"/>
    </w:pPr>
  </w:style>
  <w:style w:type="paragraph" w:styleId="10">
    <w:name w:val="Body Text Indent"/>
    <w:basedOn w:val="1"/>
    <w:link w:val="42"/>
    <w:semiHidden/>
    <w:unhideWhenUsed/>
    <w:qFormat/>
    <w:uiPriority w:val="99"/>
    <w:pPr>
      <w:spacing w:after="120"/>
      <w:ind w:left="420" w:leftChars="200"/>
    </w:pPr>
  </w:style>
  <w:style w:type="paragraph" w:styleId="11">
    <w:name w:val="Plain Text"/>
    <w:basedOn w:val="1"/>
    <w:link w:val="37"/>
    <w:qFormat/>
    <w:uiPriority w:val="0"/>
    <w:rPr>
      <w:rFonts w:ascii="宋体" w:hAnsi="Courier New" w:eastAsia="宋体" w:cs="Courier New"/>
      <w:szCs w:val="21"/>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46"/>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rFonts w:ascii="Times New Roman" w:hAnsi="Times New Roman" w:eastAsia="宋体" w:cs="Times New Roman"/>
      <w:szCs w:val="24"/>
    </w:rPr>
  </w:style>
  <w:style w:type="paragraph" w:styleId="17">
    <w:name w:val="Body Text Indent 3"/>
    <w:basedOn w:val="1"/>
    <w:link w:val="35"/>
    <w:qFormat/>
    <w:uiPriority w:val="99"/>
    <w:pPr>
      <w:widowControl/>
      <w:spacing w:after="120" w:line="259" w:lineRule="auto"/>
      <w:ind w:left="420" w:leftChars="200"/>
      <w:jc w:val="left"/>
    </w:pPr>
    <w:rPr>
      <w:kern w:val="0"/>
      <w:sz w:val="16"/>
      <w:szCs w:val="16"/>
    </w:rPr>
  </w:style>
  <w:style w:type="paragraph" w:styleId="1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9">
    <w:name w:val="Title"/>
    <w:basedOn w:val="1"/>
    <w:next w:val="1"/>
    <w:link w:val="39"/>
    <w:qFormat/>
    <w:uiPriority w:val="0"/>
    <w:pPr>
      <w:spacing w:before="240" w:after="60"/>
      <w:jc w:val="center"/>
      <w:outlineLvl w:val="0"/>
    </w:pPr>
    <w:rPr>
      <w:rFonts w:ascii="Cambria" w:hAnsi="Cambria" w:eastAsia="宋体" w:cs="Times New Roman"/>
      <w:b/>
      <w:bCs/>
      <w:sz w:val="32"/>
      <w:szCs w:val="32"/>
    </w:rPr>
  </w:style>
  <w:style w:type="paragraph" w:styleId="20">
    <w:name w:val="Body Text First Indent"/>
    <w:basedOn w:val="8"/>
    <w:unhideWhenUsed/>
    <w:qFormat/>
    <w:uiPriority w:val="99"/>
    <w:pPr>
      <w:spacing w:after="120"/>
      <w:ind w:firstLine="420"/>
    </w:pPr>
    <w:rPr>
      <w:sz w:val="21"/>
    </w:rPr>
  </w:style>
  <w:style w:type="paragraph" w:styleId="21">
    <w:name w:val="Body Text First Indent 2"/>
    <w:basedOn w:val="10"/>
    <w:qFormat/>
    <w:uiPriority w:val="0"/>
    <w:pPr>
      <w:adjustRightInd/>
      <w:snapToGrid/>
      <w:spacing w:line="360" w:lineRule="auto"/>
      <w:ind w:firstLine="471" w:firstLineChars="200"/>
      <w:textAlignment w:val="auto"/>
    </w:pPr>
    <w:rPr>
      <w:rFonts w:hint="eastAsia" w:hAnsi="Times New Roman"/>
      <w:kern w:val="2"/>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annotation reference"/>
    <w:basedOn w:val="24"/>
    <w:qFormat/>
    <w:uiPriority w:val="0"/>
    <w:rPr>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4"/>
    <w:link w:val="15"/>
    <w:qFormat/>
    <w:uiPriority w:val="99"/>
    <w:rPr>
      <w:sz w:val="18"/>
      <w:szCs w:val="18"/>
    </w:rPr>
  </w:style>
  <w:style w:type="character" w:customStyle="1" w:styleId="30">
    <w:name w:val="页脚 字符"/>
    <w:basedOn w:val="24"/>
    <w:link w:val="14"/>
    <w:qFormat/>
    <w:uiPriority w:val="99"/>
    <w:rPr>
      <w:sz w:val="18"/>
      <w:szCs w:val="18"/>
    </w:rPr>
  </w:style>
  <w:style w:type="paragraph" w:customStyle="1" w:styleId="31">
    <w:name w:val="列出段落1"/>
    <w:basedOn w:val="1"/>
    <w:qFormat/>
    <w:uiPriority w:val="34"/>
    <w:pPr>
      <w:ind w:firstLine="420" w:firstLineChars="200"/>
    </w:pPr>
    <w:rPr>
      <w:rFonts w:ascii="Calibri" w:hAnsi="Calibri" w:eastAsia="宋体" w:cs="Times New Roman"/>
    </w:rPr>
  </w:style>
  <w:style w:type="character" w:customStyle="1" w:styleId="32">
    <w:name w:val="标题 5 Char"/>
    <w:basedOn w:val="24"/>
    <w:semiHidden/>
    <w:qFormat/>
    <w:uiPriority w:val="9"/>
    <w:rPr>
      <w:b/>
      <w:bCs/>
      <w:sz w:val="28"/>
      <w:szCs w:val="28"/>
    </w:rPr>
  </w:style>
  <w:style w:type="character" w:customStyle="1" w:styleId="33">
    <w:name w:val="标题 5 字符"/>
    <w:basedOn w:val="24"/>
    <w:link w:val="6"/>
    <w:qFormat/>
    <w:uiPriority w:val="9"/>
    <w:rPr>
      <w:rFonts w:asciiTheme="majorHAnsi" w:hAnsiTheme="majorHAnsi" w:eastAsiaTheme="majorEastAsia" w:cstheme="majorBidi"/>
      <w:color w:val="376092" w:themeColor="accent1" w:themeShade="BF"/>
      <w:kern w:val="0"/>
      <w:sz w:val="22"/>
    </w:rPr>
  </w:style>
  <w:style w:type="character" w:customStyle="1" w:styleId="34">
    <w:name w:val="正文文本缩进 3 Char"/>
    <w:basedOn w:val="24"/>
    <w:semiHidden/>
    <w:qFormat/>
    <w:uiPriority w:val="99"/>
    <w:rPr>
      <w:sz w:val="16"/>
      <w:szCs w:val="16"/>
    </w:rPr>
  </w:style>
  <w:style w:type="character" w:customStyle="1" w:styleId="35">
    <w:name w:val="正文文本缩进 3 字符"/>
    <w:basedOn w:val="24"/>
    <w:link w:val="17"/>
    <w:qFormat/>
    <w:uiPriority w:val="99"/>
    <w:rPr>
      <w:kern w:val="0"/>
      <w:sz w:val="16"/>
      <w:szCs w:val="16"/>
    </w:rPr>
  </w:style>
  <w:style w:type="paragraph" w:styleId="36">
    <w:name w:val="List Paragraph"/>
    <w:basedOn w:val="1"/>
    <w:qFormat/>
    <w:uiPriority w:val="34"/>
    <w:pPr>
      <w:ind w:firstLine="420" w:firstLineChars="200"/>
    </w:pPr>
  </w:style>
  <w:style w:type="character" w:customStyle="1" w:styleId="37">
    <w:name w:val="纯文本 字符"/>
    <w:basedOn w:val="24"/>
    <w:link w:val="11"/>
    <w:qFormat/>
    <w:uiPriority w:val="0"/>
    <w:rPr>
      <w:rFonts w:ascii="宋体" w:hAnsi="Courier New" w:eastAsia="宋体" w:cs="Courier New"/>
      <w:szCs w:val="21"/>
    </w:rPr>
  </w:style>
  <w:style w:type="character" w:customStyle="1" w:styleId="38">
    <w:name w:val="标题 2 字符"/>
    <w:basedOn w:val="24"/>
    <w:link w:val="4"/>
    <w:semiHidden/>
    <w:qFormat/>
    <w:uiPriority w:val="9"/>
    <w:rPr>
      <w:rFonts w:asciiTheme="majorHAnsi" w:hAnsiTheme="majorHAnsi" w:eastAsiaTheme="majorEastAsia" w:cstheme="majorBidi"/>
      <w:b/>
      <w:bCs/>
      <w:sz w:val="32"/>
      <w:szCs w:val="32"/>
    </w:rPr>
  </w:style>
  <w:style w:type="character" w:customStyle="1" w:styleId="39">
    <w:name w:val="标题 字符"/>
    <w:basedOn w:val="24"/>
    <w:link w:val="19"/>
    <w:qFormat/>
    <w:uiPriority w:val="0"/>
    <w:rPr>
      <w:rFonts w:ascii="Cambria" w:hAnsi="Cambria" w:eastAsia="宋体" w:cs="Times New Roman"/>
      <w:b/>
      <w:bCs/>
      <w:sz w:val="32"/>
      <w:szCs w:val="32"/>
    </w:rPr>
  </w:style>
  <w:style w:type="character" w:customStyle="1" w:styleId="40">
    <w:name w:val="批注文字 字符"/>
    <w:basedOn w:val="24"/>
    <w:link w:val="7"/>
    <w:qFormat/>
    <w:uiPriority w:val="0"/>
    <w:rPr>
      <w:rFonts w:ascii="Times New Roman" w:hAnsi="Times New Roman" w:eastAsia="宋体" w:cs="Times New Roman"/>
      <w:szCs w:val="24"/>
    </w:rPr>
  </w:style>
  <w:style w:type="character" w:customStyle="1" w:styleId="41">
    <w:name w:val="标题 3 字符"/>
    <w:basedOn w:val="24"/>
    <w:link w:val="5"/>
    <w:semiHidden/>
    <w:qFormat/>
    <w:uiPriority w:val="9"/>
    <w:rPr>
      <w:b/>
      <w:bCs/>
      <w:sz w:val="32"/>
      <w:szCs w:val="32"/>
    </w:rPr>
  </w:style>
  <w:style w:type="character" w:customStyle="1" w:styleId="42">
    <w:name w:val="正文文本缩进 字符"/>
    <w:basedOn w:val="24"/>
    <w:link w:val="10"/>
    <w:semiHidden/>
    <w:qFormat/>
    <w:uiPriority w:val="99"/>
  </w:style>
  <w:style w:type="paragraph" w:customStyle="1" w:styleId="43">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5">
    <w:name w:val="apple-converted-space"/>
    <w:basedOn w:val="24"/>
    <w:qFormat/>
    <w:uiPriority w:val="0"/>
  </w:style>
  <w:style w:type="character" w:customStyle="1" w:styleId="46">
    <w:name w:val="批注框文本 字符"/>
    <w:basedOn w:val="24"/>
    <w:link w:val="13"/>
    <w:semiHidden/>
    <w:qFormat/>
    <w:uiPriority w:val="99"/>
    <w:rPr>
      <w:kern w:val="2"/>
      <w:sz w:val="18"/>
      <w:szCs w:val="18"/>
    </w:rPr>
  </w:style>
  <w:style w:type="paragraph" w:styleId="4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NormalCharacter"/>
    <w:link w:val="1"/>
    <w:qFormat/>
    <w:uiPriority w:val="0"/>
    <w:rPr>
      <w:rFonts w:asciiTheme="minorHAnsi" w:hAnsiTheme="minorHAnsi" w:eastAsiaTheme="minorEastAsia" w:cstheme="minorBidi"/>
      <w:kern w:val="2"/>
      <w:sz w:val="21"/>
      <w:szCs w:val="22"/>
      <w:lang w:val="en-US" w:eastAsia="zh-CN" w:bidi="ar-SA"/>
    </w:rPr>
  </w:style>
  <w:style w:type="paragraph" w:customStyle="1" w:styleId="49">
    <w:name w:val="PlainText"/>
    <w:basedOn w:val="1"/>
    <w:qFormat/>
    <w:uiPriority w:val="0"/>
    <w:pPr>
      <w:jc w:val="both"/>
      <w:textAlignment w:val="baseline"/>
    </w:pPr>
    <w:rPr>
      <w:rFonts w:ascii="宋体" w:hAnsi="Courier New" w:eastAsia="宋体"/>
      <w:kern w:val="2"/>
      <w:sz w:val="21"/>
      <w:szCs w:val="21"/>
      <w:lang w:val="en-US" w:eastAsia="zh-CN" w:bidi="ar-SA"/>
    </w:rPr>
  </w:style>
  <w:style w:type="character" w:customStyle="1" w:styleId="50">
    <w:name w:val="bjh-p"/>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14D70-2D37-492B-849D-1B5330ED1FA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2350</Words>
  <Characters>13398</Characters>
  <Lines>111</Lines>
  <Paragraphs>31</Paragraphs>
  <TotalTime>20</TotalTime>
  <ScaleCrop>false</ScaleCrop>
  <LinksUpToDate>false</LinksUpToDate>
  <CharactersWithSpaces>15717</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2021-06-10T01:54:00Z</dcterms:created>
  <dc:creator>李嘉雯</dc:creator>
  <cp:lastModifiedBy>林煜韩</cp:lastModifiedBy>
  <cp:lastPrinted>2022-02-22T09:26:00Z</cp:lastPrinted>
  <dcterms:modified xsi:type="dcterms:W3CDTF">2022-04-01T08:49:55Z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9FCDD6B33D9C47FC966785BD55E953E1</vt:lpwstr>
  </property>
</Properties>
</file>