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360" w:lineRule="auto"/>
        <w:jc w:val="left"/>
        <w:rPr>
          <w:rFonts w:hint="eastAsia" w:ascii="仿宋" w:hAnsi="仿宋" w:eastAsia="仿宋" w:cs="仿宋_GB2312"/>
          <w:b/>
          <w:bCs w:val="0"/>
          <w:color w:val="000000" w:themeColor="text1"/>
          <w:sz w:val="32"/>
          <w:szCs w:val="32"/>
          <w14:textFill>
            <w14:solidFill>
              <w14:schemeClr w14:val="tx1"/>
            </w14:solidFill>
          </w14:textFill>
        </w:rPr>
      </w:pPr>
    </w:p>
    <w:p>
      <w:pPr>
        <w:spacing w:line="360" w:lineRule="auto"/>
        <w:jc w:val="left"/>
        <w:rPr>
          <w:rFonts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项目编号：</w:t>
      </w:r>
      <w:r>
        <w:rPr>
          <w:rFonts w:hint="eastAsia" w:ascii="仿宋" w:hAnsi="仿宋" w:eastAsia="仿宋" w:cs="仿宋_GB2312"/>
          <w:b/>
          <w:bCs w:val="0"/>
          <w:color w:val="000000" w:themeColor="text1"/>
          <w:sz w:val="32"/>
          <w:szCs w:val="32"/>
          <w:lang w:val="en-US" w:eastAsia="zh-CN"/>
          <w14:textFill>
            <w14:solidFill>
              <w14:schemeClr w14:val="tx1"/>
            </w14:solidFill>
          </w14:textFill>
        </w:rPr>
        <w:t>XJ-20220325-3</w:t>
      </w:r>
      <w:r>
        <w:rPr>
          <w:rFonts w:hint="eastAsia" w:ascii="仿宋" w:hAnsi="仿宋" w:eastAsia="仿宋" w:cs="仿宋_GB2312"/>
          <w:b/>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b/>
          <w:bCs w:val="0"/>
          <w:color w:val="000000" w:themeColor="text1"/>
          <w:sz w:val="32"/>
          <w:szCs w:val="32"/>
          <w14:textFill>
            <w14:solidFill>
              <w14:schemeClr w14:val="tx1"/>
            </w14:solidFill>
          </w14:textFill>
        </w:rPr>
        <w:t xml:space="preserve"> </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360" w:lineRule="auto"/>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项目名称：</w:t>
      </w:r>
      <w:r>
        <w:rPr>
          <w:rFonts w:hint="eastAsia" w:ascii="仿宋" w:hAnsi="仿宋" w:eastAsia="仿宋" w:cs="仿宋_GB2312"/>
          <w:b/>
          <w:bCs w:val="0"/>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_GB2312"/>
          <w:b/>
          <w:bCs w:val="0"/>
          <w:color w:val="000000" w:themeColor="text1"/>
          <w:sz w:val="32"/>
          <w:szCs w:val="32"/>
          <w14:textFill>
            <w14:solidFill>
              <w14:schemeClr w14:val="tx1"/>
            </w14:solidFill>
          </w14:textFill>
        </w:rPr>
        <w:t>2022年度网络安全设备采购项目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pStyle w:val="27"/>
        <w:ind w:firstLine="210"/>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2年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25</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1"/>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5"/>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bCs/>
          <w:color w:val="000000" w:themeColor="text1"/>
          <w:sz w:val="28"/>
          <w:szCs w:val="28"/>
          <w:u w:val="single"/>
          <w14:textFill>
            <w14:solidFill>
              <w14:schemeClr w14:val="tx1"/>
            </w14:solidFill>
          </w14:textFill>
        </w:rPr>
        <w:t>2022年度网络安全设备采购项目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XJ-20220325-3</w:t>
      </w:r>
      <w:r>
        <w:rPr>
          <w:rFonts w:hint="eastAsia" w:ascii="仿宋" w:hAnsi="仿宋" w:eastAsia="仿宋" w:cs="仿宋"/>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u w:val="single"/>
          <w14:textFill>
            <w14:solidFill>
              <w14:schemeClr w14:val="tx1"/>
            </w14:solidFill>
          </w14:textFill>
        </w:rPr>
        <w:t>2022年度网络安全设备采购项目</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u w:val="single"/>
          <w:lang w:val="zh-CN"/>
          <w14:textFill>
            <w14:solidFill>
              <w14:schemeClr w14:val="tx1"/>
            </w14:solidFill>
          </w14:textFill>
        </w:rPr>
        <w:t>81.22万元</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目前公司所属各单位均通过专线与公司进行互联互通和信息数据交互，由于网络环境复杂及信息系统较多，考虑到网络及信息系统的安全，需购置网络安全设备，保障网络的正常运行，提前有效感知局域网内的安全风险，增强抗风险能力。</w:t>
      </w:r>
    </w:p>
    <w:p>
      <w:pPr>
        <w:spacing w:line="600" w:lineRule="exact"/>
        <w:ind w:firstLine="560" w:firstLineChars="200"/>
        <w:rPr>
          <w:rFonts w:ascii="仿宋_GB2312" w:hAnsi="仿宋_GB2312" w:eastAsia="仿宋_GB2312" w:cs="仿宋_GB2312"/>
          <w:sz w:val="28"/>
          <w:szCs w:val="28"/>
        </w:rPr>
      </w:pPr>
      <w:r>
        <w:rPr>
          <w:rFonts w:hint="eastAsia" w:ascii="仿宋" w:hAnsi="仿宋" w:eastAsia="仿宋" w:cs="仿宋"/>
          <w:sz w:val="28"/>
          <w:szCs w:val="28"/>
        </w:rPr>
        <w:t>设备配置及需求如下：</w:t>
      </w:r>
    </w:p>
    <w:tbl>
      <w:tblPr>
        <w:tblStyle w:val="28"/>
        <w:tblW w:w="8926" w:type="dxa"/>
        <w:jc w:val="center"/>
        <w:tblLayout w:type="fixed"/>
        <w:tblCellMar>
          <w:top w:w="0" w:type="dxa"/>
          <w:left w:w="108" w:type="dxa"/>
          <w:bottom w:w="0" w:type="dxa"/>
          <w:right w:w="108" w:type="dxa"/>
        </w:tblCellMar>
      </w:tblPr>
      <w:tblGrid>
        <w:gridCol w:w="704"/>
        <w:gridCol w:w="1559"/>
        <w:gridCol w:w="4678"/>
        <w:gridCol w:w="992"/>
        <w:gridCol w:w="993"/>
      </w:tblGrid>
      <w:tr>
        <w:tblPrEx>
          <w:tblCellMar>
            <w:top w:w="0" w:type="dxa"/>
            <w:left w:w="108" w:type="dxa"/>
            <w:bottom w:w="0" w:type="dxa"/>
            <w:right w:w="108" w:type="dxa"/>
          </w:tblCellMar>
        </w:tblPrEx>
        <w:trPr>
          <w:trHeight w:val="39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参考配置描述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r>
      <w:tr>
        <w:tblPrEx>
          <w:tblCellMar>
            <w:top w:w="0" w:type="dxa"/>
            <w:left w:w="108" w:type="dxa"/>
            <w:bottom w:w="0" w:type="dxa"/>
            <w:right w:w="108" w:type="dxa"/>
          </w:tblCellMar>
        </w:tblPrEx>
        <w:trPr>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_GB2312"/>
                <w:szCs w:val="21"/>
              </w:rPr>
            </w:pPr>
            <w:r>
              <w:rPr>
                <w:rFonts w:hint="eastAsia" w:ascii="仿宋" w:hAnsi="仿宋" w:eastAsia="仿宋" w:cs="仿宋_GB2312"/>
                <w:szCs w:val="21"/>
              </w:rPr>
              <w:t>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_GB2312"/>
                <w:szCs w:val="21"/>
              </w:rPr>
            </w:pPr>
            <w:r>
              <w:rPr>
                <w:rFonts w:hint="eastAsia" w:ascii="仿宋" w:hAnsi="仿宋" w:eastAsia="仿宋" w:cs="仿宋_GB2312"/>
                <w:szCs w:val="21"/>
              </w:rPr>
              <w:t>堡垒机</w:t>
            </w:r>
          </w:p>
        </w:tc>
        <w:tc>
          <w:tcPr>
            <w:tcW w:w="4678" w:type="dxa"/>
            <w:tcBorders>
              <w:top w:val="nil"/>
              <w:left w:val="nil"/>
              <w:bottom w:val="single" w:color="auto" w:sz="4" w:space="0"/>
              <w:right w:val="single" w:color="auto" w:sz="4" w:space="0"/>
            </w:tcBorders>
            <w:shd w:val="clear" w:color="auto" w:fill="auto"/>
            <w:vAlign w:val="center"/>
          </w:tcPr>
          <w:p>
            <w:pPr>
              <w:spacing w:line="360" w:lineRule="auto"/>
              <w:rPr>
                <w:rFonts w:ascii="仿宋" w:hAnsi="仿宋" w:eastAsia="仿宋"/>
              </w:rPr>
            </w:pPr>
            <w:r>
              <w:rPr>
                <w:rFonts w:hint="eastAsia" w:ascii="仿宋" w:hAnsi="仿宋" w:eastAsia="仿宋"/>
              </w:rPr>
              <w:t>要求配置6个千兆电口；支持扩展槽位；内置4TB硬盘；冗余电源；最大支持300路图形会话或800路字符会话并发；最大可选500授权许可。资产授权数量要求为200个，配套管理平台及软件。具体技术要求详见项目内容的“技术服务要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_GB2312"/>
                <w:szCs w:val="21"/>
              </w:rPr>
            </w:pPr>
            <w:r>
              <w:rPr>
                <w:rFonts w:hint="eastAsia" w:ascii="仿宋" w:hAnsi="仿宋" w:eastAsia="仿宋" w:cs="仿宋_GB2312"/>
                <w:szCs w:val="21"/>
              </w:rPr>
              <w:t>台</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_GB2312"/>
                <w:szCs w:val="21"/>
              </w:rPr>
            </w:pPr>
            <w:r>
              <w:rPr>
                <w:rFonts w:hint="eastAsia" w:ascii="仿宋" w:hAnsi="仿宋" w:eastAsia="仿宋" w:cs="仿宋_GB2312"/>
                <w:szCs w:val="21"/>
              </w:rPr>
              <w:t>1</w:t>
            </w:r>
          </w:p>
        </w:tc>
      </w:tr>
      <w:tr>
        <w:tblPrEx>
          <w:tblCellMar>
            <w:top w:w="0" w:type="dxa"/>
            <w:left w:w="108" w:type="dxa"/>
            <w:bottom w:w="0" w:type="dxa"/>
            <w:right w:w="108" w:type="dxa"/>
          </w:tblCellMar>
        </w:tblPrEx>
        <w:trPr>
          <w:trHeight w:val="9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态势感知平台</w:t>
            </w:r>
          </w:p>
        </w:tc>
        <w:tc>
          <w:tcPr>
            <w:tcW w:w="4678" w:type="dxa"/>
            <w:tcBorders>
              <w:top w:val="nil"/>
              <w:left w:val="nil"/>
              <w:bottom w:val="single" w:color="auto" w:sz="4" w:space="0"/>
              <w:right w:val="single" w:color="auto" w:sz="4" w:space="0"/>
            </w:tcBorders>
            <w:shd w:val="clear" w:color="auto" w:fill="auto"/>
          </w:tcPr>
          <w:p>
            <w:pPr>
              <w:spacing w:line="360" w:lineRule="auto"/>
              <w:rPr>
                <w:rFonts w:ascii="仿宋" w:hAnsi="仿宋" w:eastAsia="仿宋" w:cs="仿宋_GB2312"/>
                <w:szCs w:val="21"/>
              </w:rPr>
            </w:pPr>
            <w:r>
              <w:rPr>
                <w:rFonts w:hint="eastAsia" w:ascii="仿宋" w:hAnsi="仿宋" w:eastAsia="仿宋" w:cs="仿宋_GB2312"/>
                <w:szCs w:val="21"/>
              </w:rPr>
              <w:t>2U设备（含滑轨），CPU: 2颗12核；内存: 256G；硬盘总容量4</w:t>
            </w:r>
            <w:r>
              <w:rPr>
                <w:rFonts w:ascii="仿宋" w:hAnsi="仿宋" w:eastAsia="仿宋" w:cs="仿宋_GB2312"/>
                <w:szCs w:val="21"/>
              </w:rPr>
              <w:t>8</w:t>
            </w:r>
            <w:r>
              <w:rPr>
                <w:rFonts w:hint="eastAsia" w:ascii="仿宋" w:hAnsi="仿宋" w:eastAsia="仿宋" w:cs="仿宋_GB2312"/>
                <w:szCs w:val="21"/>
              </w:rPr>
              <w:t>T；电源：冗余电源；网口：</w:t>
            </w:r>
            <w:r>
              <w:rPr>
                <w:rFonts w:ascii="仿宋" w:hAnsi="仿宋" w:eastAsia="仿宋" w:cs="仿宋_GB2312"/>
                <w:szCs w:val="21"/>
              </w:rPr>
              <w:t>4</w:t>
            </w:r>
            <w:r>
              <w:rPr>
                <w:rFonts w:hint="eastAsia" w:ascii="仿宋" w:hAnsi="仿宋" w:eastAsia="仿宋" w:cs="仿宋_GB2312"/>
                <w:szCs w:val="21"/>
              </w:rPr>
              <w:t>*GE管理电口;2*SPF+插槽（含两个多模光模块）；其他接口：3*USB3.0接口;1*DB9 Console接口。必须包含威胁检测、分析中心、响应中心、资产中心、统计报表、仪表板、系统管理、态势感知（综合安全态势、安全运营态势、外部威胁态势、内网威胁态势、威胁预警态势、攻击者态势、资产态势、资产风险态势、脆弱性态势）等功能。</w:t>
            </w:r>
          </w:p>
          <w:p>
            <w:pPr>
              <w:spacing w:line="360" w:lineRule="auto"/>
              <w:rPr>
                <w:rFonts w:ascii="仿宋" w:hAnsi="仿宋" w:eastAsia="仿宋" w:cs="仿宋_GB2312"/>
                <w:szCs w:val="21"/>
              </w:rPr>
            </w:pPr>
            <w:r>
              <w:rPr>
                <w:rFonts w:hint="eastAsia" w:ascii="仿宋" w:hAnsi="仿宋" w:eastAsia="仿宋" w:cs="仿宋_GB2312"/>
                <w:szCs w:val="21"/>
              </w:rPr>
              <w:t>具体技术要求详见项目内容的“技术服务要求”。</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台</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1</w:t>
            </w:r>
          </w:p>
        </w:tc>
      </w:tr>
      <w:tr>
        <w:tblPrEx>
          <w:tblCellMar>
            <w:top w:w="0" w:type="dxa"/>
            <w:left w:w="108" w:type="dxa"/>
            <w:bottom w:w="0" w:type="dxa"/>
            <w:right w:w="108" w:type="dxa"/>
          </w:tblCellMar>
        </w:tblPrEx>
        <w:trPr>
          <w:trHeight w:val="772"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配套探针1</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 w:hAnsi="仿宋" w:eastAsia="仿宋"/>
              </w:rPr>
            </w:pPr>
            <w:r>
              <w:rPr>
                <w:rFonts w:hint="eastAsia" w:ascii="仿宋" w:hAnsi="仿宋" w:eastAsia="仿宋"/>
              </w:rPr>
              <w:t>开启网络流量采集、威胁数据采集和日志上报功能情况下混合流，吞吐量3Gbps， 2U设备，标准配置6个10/100/1000M自适应千兆电口，接口扩展板卡插槽2个，1个Console口。</w:t>
            </w:r>
          </w:p>
          <w:p>
            <w:pPr>
              <w:spacing w:line="360" w:lineRule="auto"/>
              <w:rPr>
                <w:rFonts w:ascii="仿宋" w:hAnsi="仿宋" w:eastAsia="仿宋"/>
              </w:rPr>
            </w:pPr>
            <w:r>
              <w:rPr>
                <w:rFonts w:hint="eastAsia" w:ascii="仿宋" w:hAnsi="仿宋" w:eastAsia="仿宋" w:cs="仿宋_GB2312"/>
                <w:szCs w:val="21"/>
              </w:rPr>
              <w:t>具体技术要求详见项目内容的“技术服务要求”。</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台</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1</w:t>
            </w:r>
          </w:p>
        </w:tc>
      </w:tr>
      <w:tr>
        <w:tblPrEx>
          <w:tblCellMar>
            <w:top w:w="0" w:type="dxa"/>
            <w:left w:w="108" w:type="dxa"/>
            <w:bottom w:w="0" w:type="dxa"/>
            <w:right w:w="108" w:type="dxa"/>
          </w:tblCellMar>
        </w:tblPrEx>
        <w:trPr>
          <w:trHeight w:val="699"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配套探针2</w:t>
            </w:r>
          </w:p>
        </w:tc>
        <w:tc>
          <w:tcPr>
            <w:tcW w:w="4678" w:type="dxa"/>
            <w:tcBorders>
              <w:top w:val="single" w:color="auto" w:sz="4" w:space="0"/>
              <w:left w:val="nil"/>
              <w:bottom w:val="single" w:color="auto" w:sz="4" w:space="0"/>
              <w:right w:val="single" w:color="auto" w:sz="4" w:space="0"/>
            </w:tcBorders>
            <w:shd w:val="clear" w:color="auto" w:fill="auto"/>
          </w:tcPr>
          <w:p>
            <w:pPr>
              <w:spacing w:line="360" w:lineRule="auto"/>
              <w:rPr>
                <w:rFonts w:ascii="仿宋" w:hAnsi="仿宋" w:eastAsia="仿宋"/>
              </w:rPr>
            </w:pPr>
            <w:r>
              <w:rPr>
                <w:rFonts w:hint="eastAsia" w:ascii="仿宋" w:hAnsi="仿宋" w:eastAsia="仿宋"/>
              </w:rPr>
              <w:t>开启网络流量采集、威胁数据采集和日志上报功能情况下混合流，吞吐量</w:t>
            </w:r>
            <w:r>
              <w:rPr>
                <w:rFonts w:ascii="仿宋" w:hAnsi="仿宋" w:eastAsia="仿宋"/>
              </w:rPr>
              <w:t>10</w:t>
            </w:r>
            <w:r>
              <w:rPr>
                <w:rFonts w:hint="eastAsia" w:ascii="仿宋" w:hAnsi="仿宋" w:eastAsia="仿宋"/>
              </w:rPr>
              <w:t>Gbps，</w:t>
            </w:r>
            <w:r>
              <w:rPr>
                <w:rFonts w:ascii="仿宋" w:hAnsi="仿宋" w:eastAsia="仿宋"/>
              </w:rPr>
              <w:t>3</w:t>
            </w:r>
            <w:r>
              <w:rPr>
                <w:rFonts w:hint="eastAsia" w:ascii="仿宋" w:hAnsi="仿宋" w:eastAsia="仿宋"/>
              </w:rPr>
              <w:t>U设备，冗余电源，10/100/1000M专用管理接口1个；Console口1个，10/100/1000M自适应千兆电口4个，万兆光口2个，接口扩展板卡插槽6个。</w:t>
            </w:r>
          </w:p>
          <w:p>
            <w:pPr>
              <w:spacing w:line="360" w:lineRule="auto"/>
              <w:rPr>
                <w:rFonts w:ascii="仿宋" w:hAnsi="仿宋" w:eastAsia="仿宋"/>
              </w:rPr>
            </w:pPr>
            <w:r>
              <w:rPr>
                <w:rFonts w:hint="eastAsia" w:ascii="仿宋" w:hAnsi="仿宋" w:eastAsia="仿宋" w:cs="仿宋_GB2312"/>
                <w:szCs w:val="21"/>
              </w:rPr>
              <w:t>具体技术要求详见项目内容的“技术服务要求”。</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台</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_GB2312"/>
                <w:szCs w:val="21"/>
              </w:rPr>
            </w:pPr>
            <w:r>
              <w:rPr>
                <w:rFonts w:hint="eastAsia" w:ascii="仿宋" w:hAnsi="仿宋" w:eastAsia="仿宋" w:cs="仿宋_GB2312"/>
                <w:szCs w:val="21"/>
              </w:rPr>
              <w:t>1</w:t>
            </w:r>
          </w:p>
        </w:tc>
      </w:tr>
    </w:tbl>
    <w:p>
      <w:pPr>
        <w:pStyle w:val="35"/>
      </w:pP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autoSpaceDE w:val="0"/>
        <w:autoSpaceDN w:val="0"/>
        <w:ind w:firstLine="560" w:firstLineChars="200"/>
        <w:rPr>
          <w:rFonts w:hint="eastAsia" w:ascii="仿宋" w:hAnsi="仿宋" w:eastAsia="仿宋" w:cs="仿宋"/>
          <w:lang w:val="en-US" w:eastAsia="zh-CN"/>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z w:val="28"/>
          <w:szCs w:val="28"/>
          <w:u w:val="single"/>
        </w:rPr>
        <w:t>报价单位须是</w:t>
      </w:r>
      <w:r>
        <w:rPr>
          <w:rFonts w:hint="eastAsia" w:ascii="仿宋" w:hAnsi="仿宋" w:eastAsia="仿宋" w:cs="仿宋"/>
          <w:sz w:val="28"/>
          <w:szCs w:val="28"/>
          <w:u w:val="single"/>
          <w:lang w:val="en-US" w:eastAsia="zh-CN"/>
        </w:rPr>
        <w:t>在</w:t>
      </w:r>
      <w:r>
        <w:rPr>
          <w:rFonts w:hint="eastAsia" w:ascii="仿宋" w:hAnsi="仿宋" w:eastAsia="仿宋" w:cs="仿宋"/>
          <w:sz w:val="28"/>
          <w:szCs w:val="28"/>
          <w:u w:val="single"/>
        </w:rPr>
        <w:t>中华人民共和国境内</w:t>
      </w:r>
      <w:r>
        <w:rPr>
          <w:rFonts w:hint="eastAsia" w:ascii="仿宋" w:hAnsi="仿宋" w:eastAsia="仿宋" w:cs="仿宋"/>
          <w:sz w:val="28"/>
          <w:szCs w:val="28"/>
          <w:u w:val="single"/>
          <w:lang w:val="en-US" w:eastAsia="zh-CN"/>
        </w:rPr>
        <w:t>注册的</w:t>
      </w:r>
      <w:r>
        <w:rPr>
          <w:rFonts w:hint="eastAsia" w:ascii="仿宋" w:hAnsi="仿宋" w:eastAsia="仿宋" w:cs="仿宋"/>
          <w:sz w:val="28"/>
          <w:szCs w:val="28"/>
          <w:u w:val="single"/>
        </w:rPr>
        <w:t>法人或者其他组织，</w:t>
      </w:r>
      <w:r>
        <w:rPr>
          <w:rFonts w:hint="eastAsia" w:ascii="仿宋" w:hAnsi="仿宋" w:eastAsia="仿宋" w:cs="仿宋"/>
          <w:color w:val="000000" w:themeColor="text1"/>
          <w:sz w:val="28"/>
          <w:szCs w:val="28"/>
          <w:u w:val="single"/>
          <w14:textFill>
            <w14:solidFill>
              <w14:schemeClr w14:val="tx1"/>
            </w14:solidFill>
          </w14:textFill>
        </w:rPr>
        <w:t>具有独立法人资格</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sz w:val="28"/>
          <w:szCs w:val="28"/>
          <w:u w:val="single"/>
        </w:rPr>
        <w:t>持有工商行政管理或市场监督管理部门核发的有效营业执照，按国家法律经营，</w:t>
      </w:r>
      <w:r>
        <w:rPr>
          <w:rFonts w:hint="eastAsia" w:ascii="仿宋" w:hAnsi="仿宋" w:eastAsia="仿宋" w:cs="仿宋"/>
          <w:color w:val="000000" w:themeColor="text1"/>
          <w:sz w:val="28"/>
          <w:szCs w:val="28"/>
          <w:u w:val="single"/>
          <w14:textFill>
            <w14:solidFill>
              <w14:schemeClr w14:val="tx1"/>
            </w14:solidFill>
          </w14:textFill>
        </w:rPr>
        <w:t>且能开具增值税专用发票</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提供一般纳税人证明或近一年2-3张已开据的增值税专用发票</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销售业绩要求：201</w:t>
      </w:r>
      <w:r>
        <w:rPr>
          <w:rFonts w:hint="eastAsia" w:ascii="仿宋" w:hAnsi="仿宋" w:eastAsia="仿宋" w:cs="仿宋"/>
          <w:color w:val="000000" w:themeColor="text1"/>
          <w:sz w:val="28"/>
          <w:szCs w:val="28"/>
          <w:u w:val="single"/>
          <w:lang w:val="en-US" w:eastAsia="zh-CN"/>
          <w14:textFill>
            <w14:solidFill>
              <w14:schemeClr w14:val="tx1"/>
            </w14:solidFill>
          </w14:textFill>
        </w:rPr>
        <w:t>9</w:t>
      </w:r>
      <w:r>
        <w:rPr>
          <w:rFonts w:hint="eastAsia" w:ascii="仿宋" w:hAnsi="仿宋" w:eastAsia="仿宋" w:cs="仿宋"/>
          <w:color w:val="000000" w:themeColor="text1"/>
          <w:sz w:val="28"/>
          <w:szCs w:val="28"/>
          <w:u w:val="single"/>
          <w14:textFill>
            <w14:solidFill>
              <w14:schemeClr w14:val="tx1"/>
            </w14:solidFill>
          </w14:textFill>
        </w:rPr>
        <w:t>年1月1日至今</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最少</w:t>
      </w:r>
      <w:r>
        <w:rPr>
          <w:rFonts w:hint="eastAsia" w:ascii="仿宋" w:hAnsi="仿宋" w:eastAsia="仿宋" w:cs="仿宋"/>
          <w:color w:val="000000" w:themeColor="text1"/>
          <w:sz w:val="28"/>
          <w:szCs w:val="28"/>
          <w:u w:val="single"/>
          <w:lang w:val="en-US" w:eastAsia="zh-CN"/>
          <w14:textFill>
            <w14:solidFill>
              <w14:schemeClr w14:val="tx1"/>
            </w14:solidFill>
          </w14:textFill>
        </w:rPr>
        <w:t>具有一</w:t>
      </w:r>
      <w:r>
        <w:rPr>
          <w:rFonts w:hint="eastAsia" w:ascii="仿宋" w:hAnsi="仿宋" w:eastAsia="仿宋" w:cs="仿宋"/>
          <w:color w:val="000000" w:themeColor="text1"/>
          <w:sz w:val="28"/>
          <w:szCs w:val="28"/>
          <w:u w:val="single"/>
          <w14:textFill>
            <w14:solidFill>
              <w14:schemeClr w14:val="tx1"/>
            </w14:solidFill>
          </w14:textFill>
        </w:rPr>
        <w:t>项类似</w:t>
      </w:r>
      <w:r>
        <w:rPr>
          <w:rFonts w:hint="eastAsia" w:ascii="仿宋" w:hAnsi="仿宋" w:eastAsia="仿宋" w:cs="仿宋"/>
          <w:color w:val="000000" w:themeColor="text1"/>
          <w:sz w:val="28"/>
          <w:szCs w:val="28"/>
          <w:u w:val="single"/>
          <w:lang w:val="en-US" w:eastAsia="zh-CN"/>
          <w14:textFill>
            <w14:solidFill>
              <w14:schemeClr w14:val="tx1"/>
            </w14:solidFill>
          </w14:textFill>
        </w:rPr>
        <w:t>网络</w:t>
      </w:r>
      <w:r>
        <w:rPr>
          <w:rFonts w:hint="eastAsia" w:ascii="仿宋" w:hAnsi="仿宋" w:eastAsia="仿宋" w:cs="仿宋"/>
          <w:color w:val="000000" w:themeColor="text1"/>
          <w:sz w:val="28"/>
          <w:szCs w:val="28"/>
          <w:u w:val="single"/>
          <w14:textFill>
            <w14:solidFill>
              <w14:schemeClr w14:val="tx1"/>
            </w14:solidFill>
          </w14:textFill>
        </w:rPr>
        <w:t>安全设备</w:t>
      </w:r>
      <w:r>
        <w:rPr>
          <w:rFonts w:hint="eastAsia" w:ascii="仿宋" w:hAnsi="仿宋" w:eastAsia="仿宋" w:cs="仿宋"/>
          <w:color w:val="000000" w:themeColor="text1"/>
          <w:sz w:val="28"/>
          <w:szCs w:val="28"/>
          <w:u w:val="single"/>
          <w:lang w:val="en-US" w:eastAsia="zh-CN"/>
          <w14:textFill>
            <w14:solidFill>
              <w14:schemeClr w14:val="tx1"/>
            </w14:solidFill>
          </w14:textFill>
        </w:rPr>
        <w:t>供货</w:t>
      </w:r>
      <w:r>
        <w:rPr>
          <w:rFonts w:hint="eastAsia" w:ascii="仿宋" w:hAnsi="仿宋" w:eastAsia="仿宋" w:cs="仿宋"/>
          <w:color w:val="000000" w:themeColor="text1"/>
          <w:sz w:val="28"/>
          <w:szCs w:val="28"/>
          <w:u w:val="single"/>
          <w14:textFill>
            <w14:solidFill>
              <w14:schemeClr w14:val="tx1"/>
            </w14:solidFill>
          </w14:textFill>
        </w:rPr>
        <w:t>业绩（提供合同复印件证明，合同内容包括但不限于项目名称、金额及实施内容、合同签字盖章、签订日期，并加盖单位公章，原件备查）。</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000000" w:themeColor="text1"/>
          <w:sz w:val="28"/>
          <w:szCs w:val="28"/>
          <w:u w:val="none"/>
          <w:lang w:val="en-US" w:eastAsia="zh-CN"/>
          <w14:textFill>
            <w14:solidFill>
              <w14:schemeClr w14:val="tx1"/>
            </w14:solidFill>
          </w14:textFill>
        </w:rPr>
        <w:t>3.</w:t>
      </w:r>
      <w:r>
        <w:rPr>
          <w:rFonts w:hint="eastAsia" w:ascii="仿宋" w:hAnsi="仿宋" w:eastAsia="仿宋" w:cs="仿宋"/>
          <w:color w:val="auto"/>
          <w:sz w:val="28"/>
          <w:szCs w:val="28"/>
          <w:highlight w:val="none"/>
          <w:u w:val="single"/>
          <w:lang w:val="zh-CN" w:eastAsia="zh-CN"/>
        </w:rPr>
        <w:t>报价</w:t>
      </w:r>
      <w:r>
        <w:rPr>
          <w:rFonts w:hint="eastAsia" w:ascii="仿宋" w:hAnsi="仿宋" w:eastAsia="仿宋" w:cs="仿宋"/>
          <w:color w:val="auto"/>
          <w:sz w:val="28"/>
          <w:szCs w:val="28"/>
          <w:highlight w:val="none"/>
          <w:u w:val="single"/>
          <w:lang w:val="zh-CN"/>
        </w:rPr>
        <w:t>人没有被纳入本项目</w:t>
      </w:r>
      <w:r>
        <w:rPr>
          <w:rFonts w:hint="eastAsia" w:ascii="仿宋" w:hAnsi="仿宋" w:eastAsia="仿宋" w:cs="仿宋"/>
          <w:color w:val="auto"/>
          <w:sz w:val="28"/>
          <w:szCs w:val="28"/>
          <w:highlight w:val="none"/>
          <w:u w:val="single"/>
          <w:lang w:val="zh-CN" w:eastAsia="zh-CN"/>
        </w:rPr>
        <w:t>询价</w:t>
      </w:r>
      <w:r>
        <w:rPr>
          <w:rFonts w:hint="eastAsia" w:ascii="仿宋" w:hAnsi="仿宋" w:eastAsia="仿宋" w:cs="仿宋"/>
          <w:color w:val="auto"/>
          <w:sz w:val="28"/>
          <w:szCs w:val="28"/>
          <w:highlight w:val="none"/>
          <w:u w:val="single"/>
          <w:lang w:val="zh-CN"/>
        </w:rPr>
        <w:t>人（包括市水投集团及其属下子公司）书面限制投标的企业名单。（名单详见附件）</w:t>
      </w:r>
    </w:p>
    <w:p>
      <w:pPr>
        <w:pStyle w:val="27"/>
        <w:tabs>
          <w:tab w:val="left" w:pos="720"/>
        </w:tabs>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8"/>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2022年1月1日至2022年12月31日</w:t>
            </w:r>
          </w:p>
        </w:tc>
      </w:tr>
    </w:tbl>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、现场踏勘(答疑会)时间地点（也可由报价单位自行踏勘现场）：</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八、询价文件的获取：在2022年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九、询价响应文件递交时间：2022年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分；询价响应文件递交截止时间：2022年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14:textFill>
            <w14:solidFill>
              <w14:schemeClr w14:val="tx1"/>
            </w14:solidFill>
          </w14:textFill>
        </w:rPr>
        <w:t>递交响应文件时须提供授权委托人身份证原件备查。</w:t>
      </w:r>
    </w:p>
    <w:p>
      <w:pPr>
        <w:ind w:firstLine="588" w:firstLineChars="21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注：基于疫情防控形势，授权委托人须通过“广州净水公司”微信公众号（提前）预约，填写访客预约信息（包括：1.近14天行程内有异地中高风险地区及所在的地级市、盟、州、直辖市的区旅居史的来（返）穗人员拒绝来访；2.如确需工作需要来访，应持有来访前24小时内的核酸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sz w:val="28"/>
          <w:szCs w:val="28"/>
          <w:lang w:eastAsia="zh-CN"/>
        </w:rPr>
        <w:t>）</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十一、评审时间：2022年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林</w:t>
      </w:r>
      <w:r>
        <w:rPr>
          <w:rFonts w:hint="eastAsia" w:ascii="仿宋" w:hAnsi="仿宋" w:eastAsia="仿宋" w:cs="仿宋"/>
          <w:color w:val="000000" w:themeColor="text1"/>
          <w:sz w:val="28"/>
          <w:szCs w:val="28"/>
          <w14:textFill>
            <w14:solidFill>
              <w14:schemeClr w14:val="tx1"/>
            </w14:solidFill>
          </w14:textFill>
        </w:rPr>
        <w:t>工             联系方式：020-</w:t>
      </w:r>
      <w:r>
        <w:rPr>
          <w:rFonts w:hint="eastAsia" w:ascii="仿宋" w:hAnsi="仿宋" w:eastAsia="仿宋" w:cs="仿宋"/>
          <w:color w:val="000000" w:themeColor="text1"/>
          <w:sz w:val="28"/>
          <w:szCs w:val="28"/>
          <w:lang w:val="en-US" w:eastAsia="zh-CN"/>
          <w14:textFill>
            <w14:solidFill>
              <w14:schemeClr w14:val="tx1"/>
            </w14:solidFill>
          </w14:textFill>
        </w:rPr>
        <w:t>38890841</w:t>
      </w:r>
    </w:p>
    <w:p>
      <w:pPr>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ind w:firstLine="3920" w:firstLineChars="1400"/>
        <w:rPr>
          <w:rFonts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2022年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5"/>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widowControl w:val="0"/>
        <w:spacing w:after="0" w:line="276"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5"/>
        <w:ind w:firstLine="56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 w:hAnsi="仿宋" w:eastAsia="仿宋" w:cs="仿宋"/>
          <w:b w:val="0"/>
          <w:bCs w:val="0"/>
          <w:sz w:val="28"/>
          <w:szCs w:val="28"/>
        </w:rPr>
        <w:t>询价文件中所有要求均为实质性响应条款，报价单位如有任何一条负偏离则导致响应文件无效。</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一、目标需求：</w:t>
      </w:r>
    </w:p>
    <w:p>
      <w:pPr>
        <w:pStyle w:val="6"/>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通过广州市净水有限公司</w:t>
      </w:r>
      <w:r>
        <w:rPr>
          <w:rFonts w:hint="eastAsia" w:ascii="仿宋" w:hAnsi="仿宋" w:eastAsia="仿宋" w:cs="仿宋"/>
          <w:color w:val="000000" w:themeColor="text1"/>
          <w:sz w:val="28"/>
          <w:szCs w:val="28"/>
          <w14:textFill>
            <w14:solidFill>
              <w14:schemeClr w14:val="tx1"/>
            </w14:solidFill>
          </w14:textFill>
        </w:rPr>
        <w:t>网络安全设备采购项目的建设</w:t>
      </w:r>
      <w:r>
        <w:rPr>
          <w:rFonts w:hint="eastAsia" w:ascii="仿宋" w:hAnsi="仿宋" w:eastAsia="仿宋" w:cs="仿宋"/>
          <w:sz w:val="28"/>
          <w:szCs w:val="28"/>
        </w:rPr>
        <w:t>，为广州市净水有限公司的信息化发展提供网络安全保障，主要达成的目标如下：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1.本次采购实施广州市净水有限公司的网络安全设备，必须达到技术服务要求。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2.保证广州市净水有限公司网安全设备采购、实施前后的运行稳定、网络安全。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3.提升广州市净水有限公司安全保障能力和防护水平，确保信息系统长期安全稳定运行。</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二、技术服务要求</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（一）技术要求：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通过本项目采购实施部署安装，在保持原有网络架构的前提下，增加网络安全设备并加入到原网络，作为现有网络的一部分。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新购设备部署安装的过程中不能影响原有网络的正常运作，设备部署后能用于实现从日志、网络流量两个方面对全网安全态势进行感知发现，以及对现有系统的安全运维。</w:t>
      </w:r>
    </w:p>
    <w:p>
      <w:pPr>
        <w:pStyle w:val="27"/>
        <w:adjustRightInd w:val="0"/>
        <w:snapToGrid w:val="0"/>
        <w:spacing w:after="156" w:afterLines="50" w:line="360" w:lineRule="auto"/>
        <w:ind w:firstLine="560" w:firstLineChars="200"/>
        <w:rPr>
          <w:rFonts w:ascii="仿宋_GB2312" w:hAnsi="仿宋_GB2312" w:eastAsia="仿宋_GB2312" w:cs="仿宋_GB2312"/>
          <w:sz w:val="28"/>
          <w:szCs w:val="28"/>
        </w:rPr>
      </w:pPr>
      <w:r>
        <w:rPr>
          <w:rFonts w:hint="eastAsia" w:ascii="仿宋" w:hAnsi="仿宋" w:eastAsia="仿宋" w:cs="仿宋"/>
          <w:sz w:val="28"/>
          <w:szCs w:val="28"/>
        </w:rPr>
        <w:t>拟采购的软硬件如下技术参数要求：</w:t>
      </w:r>
    </w:p>
    <w:tbl>
      <w:tblPr>
        <w:tblStyle w:val="28"/>
        <w:tblW w:w="9366" w:type="dxa"/>
        <w:jc w:val="center"/>
        <w:tblLayout w:type="fixed"/>
        <w:tblCellMar>
          <w:top w:w="0" w:type="dxa"/>
          <w:left w:w="108" w:type="dxa"/>
          <w:bottom w:w="0" w:type="dxa"/>
          <w:right w:w="108" w:type="dxa"/>
        </w:tblCellMar>
      </w:tblPr>
      <w:tblGrid>
        <w:gridCol w:w="959"/>
        <w:gridCol w:w="1138"/>
        <w:gridCol w:w="5710"/>
        <w:gridCol w:w="709"/>
        <w:gridCol w:w="850"/>
      </w:tblGrid>
      <w:tr>
        <w:tblPrEx>
          <w:tblCellMar>
            <w:top w:w="0" w:type="dxa"/>
            <w:left w:w="108" w:type="dxa"/>
            <w:bottom w:w="0" w:type="dxa"/>
            <w:right w:w="108" w:type="dxa"/>
          </w:tblCellMar>
        </w:tblPrEx>
        <w:trPr>
          <w:trHeight w:val="41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序号</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产品名称</w:t>
            </w:r>
          </w:p>
        </w:tc>
        <w:tc>
          <w:tcPr>
            <w:tcW w:w="57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rPr>
            </w:pPr>
            <w:r>
              <w:rPr>
                <w:rFonts w:hint="eastAsia" w:ascii="仿宋" w:hAnsi="仿宋" w:eastAsia="仿宋"/>
                <w:b/>
                <w:bCs/>
              </w:rPr>
              <w:t>技术参数要求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单位</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数量</w:t>
            </w:r>
          </w:p>
        </w:tc>
      </w:tr>
      <w:tr>
        <w:tblPrEx>
          <w:tblCellMar>
            <w:top w:w="0" w:type="dxa"/>
            <w:left w:w="108" w:type="dxa"/>
            <w:bottom w:w="0" w:type="dxa"/>
            <w:right w:w="108" w:type="dxa"/>
          </w:tblCellMar>
        </w:tblPrEx>
        <w:trPr>
          <w:trHeight w:val="985" w:hRule="atLeast"/>
          <w:jc w:val="center"/>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9"/>
                <w:szCs w:val="19"/>
              </w:rPr>
            </w:pPr>
            <w:r>
              <w:rPr>
                <w:rFonts w:hint="eastAsia" w:ascii="仿宋" w:hAnsi="仿宋" w:eastAsia="仿宋" w:cs="宋体"/>
                <w:color w:val="000000"/>
                <w:kern w:val="0"/>
                <w:sz w:val="19"/>
                <w:szCs w:val="19"/>
              </w:rPr>
              <w:t>1</w:t>
            </w:r>
          </w:p>
        </w:tc>
        <w:tc>
          <w:tcPr>
            <w:tcW w:w="113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 w:hAnsi="仿宋" w:eastAsia="仿宋"/>
                <w:szCs w:val="21"/>
              </w:rPr>
            </w:pPr>
            <w:r>
              <w:rPr>
                <w:rFonts w:hint="eastAsia" w:ascii="仿宋" w:hAnsi="仿宋" w:eastAsia="仿宋"/>
                <w:szCs w:val="21"/>
              </w:rPr>
              <w:t>堡垒机</w:t>
            </w:r>
          </w:p>
        </w:tc>
        <w:tc>
          <w:tcPr>
            <w:tcW w:w="5710" w:type="dxa"/>
            <w:tcBorders>
              <w:top w:val="nil"/>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 要求配置6个千兆电口；支持扩展槽位；内置</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4TB硬盘；冗余电源；最大支持300路图形会话或800路字符会话并发；最大可选500授权许可。资产授权数量要求为</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200个，配套管理平台及软件。</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 支持变更单管理功能，管理员可以基于使用人、资产、系统账号、到期时间，来上传、创建值班表模式的权限变更单，变更单无需审批，但可以自动生成时效性的访问权限。</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 内置密码获取工单：申请人可根据需要填写包含目标资产名称、系统账号名称、使用时间段的密码工单；管理员对密码工单审批通过后，系统自动将密码获取链接发送给申请人；申请人打开链接后，可凭借登录密码+解密密码，获取对应的账号密码；工单过期后，系统自动对该账号进行改密操作。</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 具备命令识别方面的先进性技术，可实现对命令行操作行为的100%记录；</w:t>
            </w:r>
            <w:r>
              <w:rPr>
                <w:rFonts w:hint="eastAsia" w:ascii="仿宋" w:hAnsi="仿宋" w:eastAsia="仿宋"/>
                <w:color w:val="000000" w:themeColor="text1"/>
                <w:highlight w:val="none"/>
                <w14:textFill>
                  <w14:solidFill>
                    <w14:schemeClr w14:val="tx1"/>
                  </w14:solidFill>
                </w14:textFill>
              </w:rPr>
              <w:t>需提供国家知识产权局颁布的技术先进性证明材料</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加盖单位公章</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 支持通过syslog方式发送告警事件，日志来源包括日志告警包括身份验证、资产访问、命令防火墙、会话复核、字符审计日志、系统负载告警、配置日志、图形审计日志、数据库审计日志、文件传输日志。</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6. 支持RDP快速访问功能，当操作人员以html5方式访问windows资产时，可在浏览器左侧导航树中选择批量启动或断开，并能在多个会话之间灵活切换。</w:t>
            </w:r>
          </w:p>
          <w:p>
            <w:pPr>
              <w:spacing w:line="360" w:lineRule="auto"/>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7</w:t>
            </w:r>
            <w:r>
              <w:rPr>
                <w:rFonts w:hint="eastAsia" w:ascii="仿宋" w:hAnsi="仿宋" w:eastAsia="仿宋"/>
                <w:color w:val="000000" w:themeColor="text1"/>
                <w:highlight w:val="none"/>
                <w14:textFill>
                  <w14:solidFill>
                    <w14:schemeClr w14:val="tx1"/>
                  </w14:solidFill>
                </w14:textFill>
              </w:rPr>
              <w:t>.具备公安部出具的产品销售许可证（</w:t>
            </w:r>
            <w:r>
              <w:rPr>
                <w:rFonts w:hint="eastAsia" w:ascii="仿宋" w:hAnsi="仿宋" w:eastAsia="仿宋"/>
                <w:color w:val="000000" w:themeColor="text1"/>
                <w:highlight w:val="none"/>
                <w:lang w:eastAsia="zh-CN"/>
                <w14:textFill>
                  <w14:solidFill>
                    <w14:schemeClr w14:val="tx1"/>
                  </w14:solidFill>
                </w14:textFill>
              </w:rPr>
              <w:t>提供许可证复印件，加盖单位公章</w:t>
            </w:r>
            <w:r>
              <w:rPr>
                <w:rFonts w:hint="eastAsia" w:ascii="仿宋" w:hAnsi="仿宋" w:eastAsia="仿宋"/>
                <w:color w:val="000000" w:themeColor="text1"/>
                <w:highlight w:val="none"/>
                <w14:textFill>
                  <w14:solidFill>
                    <w14:schemeClr w14:val="tx1"/>
                  </w14:solidFill>
                </w14:textFill>
              </w:rPr>
              <w:t>）；</w:t>
            </w:r>
          </w:p>
          <w:p>
            <w:pPr>
              <w:spacing w:line="360" w:lineRule="auto"/>
            </w:pPr>
            <w:r>
              <w:rPr>
                <w:rFonts w:hint="eastAsia" w:ascii="仿宋" w:hAnsi="仿宋" w:eastAsia="仿宋"/>
                <w:color w:val="000000" w:themeColor="text1"/>
                <w:highlight w:val="none"/>
                <w:lang w:val="en-US" w:eastAsia="zh-CN"/>
                <w14:textFill>
                  <w14:solidFill>
                    <w14:schemeClr w14:val="tx1"/>
                  </w14:solidFill>
                </w14:textFill>
              </w:rPr>
              <w:t>8</w:t>
            </w:r>
            <w:r>
              <w:rPr>
                <w:rFonts w:hint="eastAsia" w:ascii="仿宋" w:hAnsi="仿宋" w:eastAsia="仿宋"/>
                <w:color w:val="000000" w:themeColor="text1"/>
                <w:highlight w:val="none"/>
                <w14:textFill>
                  <w14:solidFill>
                    <w14:schemeClr w14:val="tx1"/>
                  </w14:solidFill>
                </w14:textFill>
              </w:rPr>
              <w:t>.具备国家保密局涉密信息系统安全保密测评中心出具的《涉密信息系统产品检测证书》（</w:t>
            </w:r>
            <w:r>
              <w:rPr>
                <w:rFonts w:hint="eastAsia" w:ascii="仿宋" w:hAnsi="仿宋" w:eastAsia="仿宋"/>
                <w:color w:val="000000" w:themeColor="text1"/>
                <w:highlight w:val="none"/>
                <w:lang w:eastAsia="zh-CN"/>
                <w14:textFill>
                  <w14:solidFill>
                    <w14:schemeClr w14:val="tx1"/>
                  </w14:solidFill>
                </w14:textFill>
              </w:rPr>
              <w:t>提供</w:t>
            </w:r>
            <w:r>
              <w:rPr>
                <w:rFonts w:hint="eastAsia" w:ascii="仿宋" w:hAnsi="仿宋" w:eastAsia="仿宋"/>
                <w:color w:val="000000" w:themeColor="text1"/>
                <w:highlight w:val="none"/>
                <w:lang w:val="en-US" w:eastAsia="zh-CN"/>
                <w14:textFill>
                  <w14:solidFill>
                    <w14:schemeClr w14:val="tx1"/>
                  </w14:solidFill>
                </w14:textFill>
              </w:rPr>
              <w:t>证书</w:t>
            </w:r>
            <w:r>
              <w:rPr>
                <w:rFonts w:hint="eastAsia" w:ascii="仿宋" w:hAnsi="仿宋" w:eastAsia="仿宋"/>
                <w:color w:val="000000" w:themeColor="text1"/>
                <w:highlight w:val="none"/>
                <w:lang w:eastAsia="zh-CN"/>
                <w14:textFill>
                  <w14:solidFill>
                    <w14:schemeClr w14:val="tx1"/>
                  </w14:solidFill>
                </w14:textFill>
              </w:rPr>
              <w:t>复印件，加盖单位公章</w:t>
            </w:r>
            <w:r>
              <w:rPr>
                <w:rFonts w:hint="eastAsia" w:ascii="仿宋" w:hAnsi="仿宋" w:eastAsia="仿宋"/>
                <w:color w:val="000000" w:themeColor="text1"/>
                <w:highlight w:val="none"/>
                <w14:textFill>
                  <w14:solidFill>
                    <w14:schemeClr w14:val="tx1"/>
                  </w14:solidFill>
                </w14:textFill>
              </w:rPr>
              <w:t>）。</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bookmarkStart w:id="0" w:name="_Hlk91152959"/>
            <w:r>
              <w:rPr>
                <w:rFonts w:hint="eastAsia" w:ascii="仿宋" w:hAnsi="仿宋" w:eastAsia="仿宋"/>
                <w:szCs w:val="21"/>
              </w:rPr>
              <w:t>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Cs w:val="21"/>
              </w:rPr>
            </w:pPr>
            <w:r>
              <w:rPr>
                <w:rFonts w:hint="eastAsia" w:ascii="仿宋" w:hAnsi="仿宋" w:eastAsia="仿宋"/>
                <w:szCs w:val="21"/>
              </w:rPr>
              <w:t>态势感知平台</w:t>
            </w:r>
          </w:p>
        </w:tc>
        <w:tc>
          <w:tcPr>
            <w:tcW w:w="57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w:t>
            </w:r>
            <w:r>
              <w:rPr>
                <w:rFonts w:hint="eastAsia" w:ascii="仿宋" w:hAnsi="仿宋" w:eastAsia="仿宋"/>
                <w:color w:val="000000" w:themeColor="text1"/>
                <w14:textFill>
                  <w14:solidFill>
                    <w14:schemeClr w14:val="tx1"/>
                  </w14:solidFill>
                </w14:textFill>
              </w:rPr>
              <w:t>2U设备（含滑轨），CPU:</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 xml:space="preserve"> 2颗12核；内存: </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256G ；硬盘总容量</w:t>
            </w:r>
            <w:r>
              <w:rPr>
                <w:rFonts w:hint="eastAsia" w:ascii="仿宋" w:hAnsi="仿宋" w:eastAsia="仿宋"/>
                <w:color w:val="000000" w:themeColor="text1"/>
                <w:lang w:val="en-US" w:eastAsia="zh-CN"/>
                <w14:textFill>
                  <w14:solidFill>
                    <w14:schemeClr w14:val="tx1"/>
                  </w14:solidFill>
                </w14:textFill>
              </w:rPr>
              <w:t>不低于</w:t>
            </w:r>
            <w:r>
              <w:rPr>
                <w:rFonts w:ascii="仿宋" w:hAnsi="仿宋" w:eastAsia="仿宋"/>
                <w:color w:val="000000" w:themeColor="text1"/>
                <w14:textFill>
                  <w14:solidFill>
                    <w14:schemeClr w14:val="tx1"/>
                  </w14:solidFill>
                </w14:textFill>
              </w:rPr>
              <w:t>48</w:t>
            </w:r>
            <w:r>
              <w:rPr>
                <w:rFonts w:hint="eastAsia" w:ascii="仿宋" w:hAnsi="仿宋" w:eastAsia="仿宋"/>
                <w:color w:val="000000" w:themeColor="text1"/>
                <w14:textFill>
                  <w14:solidFill>
                    <w14:schemeClr w14:val="tx1"/>
                  </w14:solidFill>
                </w14:textFill>
              </w:rPr>
              <w:t>T；电源：冗余电源 网口：</w:t>
            </w:r>
            <w:r>
              <w:rPr>
                <w:rFonts w:ascii="仿宋" w:hAnsi="仿宋" w:eastAsia="仿宋"/>
                <w:color w:val="000000" w:themeColor="text1"/>
                <w14:textFill>
                  <w14:solidFill>
                    <w14:schemeClr w14:val="tx1"/>
                  </w14:solidFill>
                </w14:textFill>
              </w:rPr>
              <w:t>4</w:t>
            </w:r>
            <w:r>
              <w:rPr>
                <w:rFonts w:hint="eastAsia" w:ascii="仿宋" w:hAnsi="仿宋" w:eastAsia="仿宋"/>
                <w:color w:val="000000" w:themeColor="text1"/>
                <w14:textFill>
                  <w14:solidFill>
                    <w14:schemeClr w14:val="tx1"/>
                  </w14:solidFill>
                </w14:textFill>
              </w:rPr>
              <w:t>*GE管理电口;2*SPF+插槽（含两个多模光模块）其他接口：3*USB3.0接口;1*DB9 Console接口。必须包含威胁检测、分析中心、响应中心、资产中心、统计报表、仪表板、系统管理、态势感知（综合安全态势、安全运营态势、外部威胁态势、内网威胁态势、威胁预警态势、攻击者态势、资产态势、资产风险态势、脆弱性态势）等功能。</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2. </w:t>
            </w:r>
            <w:r>
              <w:rPr>
                <w:rFonts w:hint="eastAsia" w:ascii="仿宋" w:hAnsi="仿宋" w:eastAsia="仿宋"/>
                <w:color w:val="000000" w:themeColor="text1"/>
                <w14:textFill>
                  <w14:solidFill>
                    <w14:schemeClr w14:val="tx1"/>
                  </w14:solidFill>
                </w14:textFill>
              </w:rPr>
              <w:t>支持接入各种类型数据包括但不限于：设备日志、网络流量、失陷类威胁情报数据、资产数据、漏洞数据等数据进行关联分析，支持对IPV6日志进行关联分析；支持图形化连线拖拽的交互配置方式灵活组合规则建模中的计算单元，计算单元至少包括关联分析、统计分析和序列分析等以应对不同威胁场景建模。</w:t>
            </w:r>
          </w:p>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 支持云端威胁情报查询，查询结果需包含：IP主机信息、IP位置信息、域名流行度、情报IOC详情、相关样本、可视化分析、域名解析记录、域名注册信息、关联域名、数字证书等信息。</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w:t>
            </w:r>
            <w:r>
              <w:rPr>
                <w:rFonts w:hint="eastAsia" w:ascii="仿宋" w:hAnsi="仿宋" w:eastAsia="仿宋"/>
                <w:color w:val="000000" w:themeColor="text1"/>
                <w:lang w:eastAsia="zh-Hans"/>
                <w14:textFill>
                  <w14:solidFill>
                    <w14:schemeClr w14:val="tx1"/>
                  </w14:solidFill>
                </w14:textFill>
              </w:rPr>
              <w:t>具备风险场景分析</w:t>
            </w:r>
            <w:r>
              <w:rPr>
                <w:rFonts w:ascii="仿宋" w:hAnsi="仿宋" w:eastAsia="仿宋"/>
                <w:color w:val="000000" w:themeColor="text1"/>
                <w:lang w:eastAsia="zh-Hans"/>
                <w14:textFill>
                  <w14:solidFill>
                    <w14:schemeClr w14:val="tx1"/>
                  </w14:solidFill>
                </w14:textFill>
              </w:rPr>
              <w:t>：</w:t>
            </w:r>
            <w:r>
              <w:rPr>
                <w:rFonts w:ascii="仿宋" w:hAnsi="仿宋" w:eastAsia="仿宋"/>
                <w:color w:val="000000" w:themeColor="text1"/>
                <w14:textFill>
                  <w14:solidFill>
                    <w14:schemeClr w14:val="tx1"/>
                  </w14:solidFill>
                </w14:textFill>
              </w:rPr>
              <w:t>支</w:t>
            </w:r>
            <w:r>
              <w:rPr>
                <w:rFonts w:hint="eastAsia" w:ascii="仿宋" w:hAnsi="仿宋" w:eastAsia="仿宋"/>
                <w:color w:val="000000" w:themeColor="text1"/>
                <w14:textFill>
                  <w14:solidFill>
                    <w14:schemeClr w14:val="tx1"/>
                  </w14:solidFill>
                </w14:textFill>
              </w:rPr>
              <w:t>具备失陷情报分析、热点恶意软件分析、账号安全分析、邮件安全分析场景；账号安全分析场景应包含异地账号登陆、暴力破解、弱口令检测、明文密码泄露、VPN账号登录行为统计场景；邮件安全分析场景包含邮件威胁分析、敏感关键词邮件列表、敏感后缀邮件列表。</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w:t>
            </w:r>
            <w:r>
              <w:rPr>
                <w:rFonts w:hint="eastAsia" w:ascii="仿宋" w:hAnsi="仿宋" w:eastAsia="仿宋"/>
                <w:color w:val="000000" w:themeColor="text1"/>
                <w14:textFill>
                  <w14:solidFill>
                    <w14:schemeClr w14:val="tx1"/>
                  </w14:solidFill>
                </w14:textFill>
              </w:rPr>
              <w:t>支持通过创建事件调查任务对威胁事件和可疑事件进行调查分析，调查任务中可添加的证据数据包括：日志、告警、漏洞、弱口令、配置核查、文本；支持对以攻击者和受害者情况视角对调查任务中的数据做统计分析；支持调查结果的图形化展示。</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r>
              <w:rPr>
                <w:rFonts w:hint="eastAsia" w:ascii="仿宋" w:hAnsi="仿宋" w:eastAsia="仿宋"/>
                <w:color w:val="000000" w:themeColor="text1"/>
                <w14:textFill>
                  <w14:solidFill>
                    <w14:schemeClr w14:val="tx1"/>
                  </w14:solidFill>
                </w14:textFill>
              </w:rPr>
              <w:t xml:space="preserve"> 支持对重大网络安全事件（重大热点漏洞）进行威胁预警，通过厂商对重大网络安全事件的追踪生成预警包，通过预警包导入完成网络安全事件的影响面评估，并持续的跟进事态的发展，快速完成重大网络安全事件的预警及处置；针对此类风险支持统计潜在风险资产数、受攻击资产数、失陷资产数以支持对重大网络安全事件进行威胁预警。支持根据风险资产数量统计自定义关键点节点条件，比如大面积爆发、有效控制、威胁缓解等。支持事态扩散过程发展趋势图的展示及详细告警列表及告警信息展示。</w:t>
            </w:r>
            <w:r>
              <w:rPr>
                <w:rFonts w:ascii="仿宋" w:hAnsi="仿宋" w:eastAsia="仿宋"/>
                <w:color w:val="000000" w:themeColor="text1"/>
                <w14:textFill>
                  <w14:solidFill>
                    <w14:schemeClr w14:val="tx1"/>
                  </w14:solidFill>
                </w14:textFill>
              </w:rPr>
              <w:t xml:space="preserve"> </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7.</w:t>
            </w:r>
            <w:r>
              <w:rPr>
                <w:rFonts w:hint="eastAsia" w:ascii="仿宋" w:hAnsi="仿宋" w:eastAsia="仿宋"/>
                <w:color w:val="000000" w:themeColor="text1"/>
                <w14:textFill>
                  <w14:solidFill>
                    <w14:schemeClr w14:val="tx1"/>
                  </w14:solidFill>
                </w14:textFill>
              </w:rPr>
              <w:t xml:space="preserve"> 支持与现有终端安全管理系统</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奇安信天擎</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联动</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实现日常威胁告警或突发安全事件的快速处置联动，批量处置多台终端设备的安全威胁，提升安全处置效率，降低安全风险影响，避免发生重大网络安全事件。现网终端安全管理联动命令需实现：全网终端隔离特定文件，特定终端隔离特定文件、隔离特定终端；支持对同一安全防护策略批量下发给多台联动设备。</w:t>
            </w:r>
          </w:p>
          <w:p>
            <w:pPr>
              <w:spacing w:line="360" w:lineRule="auto"/>
              <w:rPr>
                <w:rFonts w:hint="eastAsia" w:ascii="仿宋" w:hAnsi="仿宋" w:eastAsia="仿宋"/>
                <w:color w:val="000000" w:themeColor="text1"/>
                <w:highlight w:val="none"/>
                <w:lang w:eastAsia="zh-Hans"/>
                <w14:textFill>
                  <w14:solidFill>
                    <w14:schemeClr w14:val="tx1"/>
                  </w14:solidFill>
                </w14:textFill>
              </w:rPr>
            </w:pPr>
            <w:r>
              <w:rPr>
                <w:rFonts w:ascii="仿宋" w:hAnsi="仿宋" w:eastAsia="仿宋"/>
                <w:color w:val="000000" w:themeColor="text1"/>
                <w:highlight w:val="none"/>
                <w14:textFill>
                  <w14:solidFill>
                    <w14:schemeClr w14:val="tx1"/>
                  </w14:solidFill>
                </w14:textFill>
              </w:rPr>
              <w:t>8</w:t>
            </w:r>
            <w:r>
              <w:rPr>
                <w:rFonts w:hint="eastAsia" w:ascii="仿宋" w:hAnsi="仿宋" w:eastAsia="仿宋"/>
                <w:color w:val="000000" w:themeColor="text1"/>
                <w:highlight w:val="none"/>
                <w:lang w:eastAsia="zh-Hans"/>
                <w14:textFill>
                  <w14:solidFill>
                    <w14:schemeClr w14:val="tx1"/>
                  </w14:solidFill>
                </w14:textFill>
              </w:rPr>
              <w:t>.提供近</w:t>
            </w:r>
            <w:r>
              <w:rPr>
                <w:rFonts w:hint="eastAsia" w:ascii="仿宋" w:hAnsi="仿宋" w:eastAsia="仿宋"/>
                <w:color w:val="000000" w:themeColor="text1"/>
                <w:highlight w:val="none"/>
                <w:lang w:val="en-US" w:eastAsia="zh-CN"/>
                <w14:textFill>
                  <w14:solidFill>
                    <w14:schemeClr w14:val="tx1"/>
                  </w14:solidFill>
                </w14:textFill>
              </w:rPr>
              <w:t>2</w:t>
            </w:r>
            <w:r>
              <w:rPr>
                <w:rFonts w:hint="eastAsia" w:ascii="仿宋" w:hAnsi="仿宋" w:eastAsia="仿宋"/>
                <w:color w:val="000000" w:themeColor="text1"/>
                <w:highlight w:val="none"/>
                <w:lang w:eastAsia="zh-Hans"/>
                <w14:textFill>
                  <w14:solidFill>
                    <w14:schemeClr w14:val="tx1"/>
                  </w14:solidFill>
                </w14:textFill>
              </w:rPr>
              <w:t>年IDC</w:t>
            </w:r>
            <w:r>
              <w:rPr>
                <w:rFonts w:hint="eastAsia" w:ascii="仿宋" w:hAnsi="仿宋" w:eastAsia="仿宋"/>
                <w:color w:val="000000" w:themeColor="text1"/>
                <w:highlight w:val="none"/>
                <w:lang w:val="en-US" w:eastAsia="zh-CN"/>
                <w14:textFill>
                  <w14:solidFill>
                    <w14:schemeClr w14:val="tx1"/>
                  </w14:solidFill>
                </w14:textFill>
              </w:rPr>
              <w:t>或</w:t>
            </w:r>
            <w:r>
              <w:rPr>
                <w:rFonts w:hint="eastAsia" w:ascii="仿宋" w:hAnsi="仿宋" w:eastAsia="仿宋"/>
                <w:color w:val="000000" w:themeColor="text1"/>
                <w:highlight w:val="none"/>
                <w:lang w:eastAsia="zh-Hans"/>
                <w14:textFill>
                  <w14:solidFill>
                    <w14:schemeClr w14:val="tx1"/>
                  </w14:solidFill>
                </w14:textFill>
              </w:rPr>
              <w:t>赛迪顾问（CCID）</w:t>
            </w:r>
            <w:r>
              <w:rPr>
                <w:rFonts w:hint="eastAsia" w:ascii="仿宋" w:hAnsi="仿宋" w:eastAsia="仿宋"/>
                <w:color w:val="000000" w:themeColor="text1"/>
                <w:highlight w:val="none"/>
                <w:lang w:val="en-US" w:eastAsia="zh-CN"/>
                <w14:textFill>
                  <w14:solidFill>
                    <w14:schemeClr w14:val="tx1"/>
                  </w14:solidFill>
                </w14:textFill>
              </w:rPr>
              <w:t>或</w:t>
            </w:r>
            <w:r>
              <w:rPr>
                <w:rFonts w:hint="eastAsia" w:ascii="仿宋" w:hAnsi="仿宋" w:eastAsia="仿宋"/>
                <w:color w:val="000000" w:themeColor="text1"/>
                <w:highlight w:val="none"/>
                <w:lang w:eastAsia="zh-Hans"/>
                <w14:textFill>
                  <w14:solidFill>
                    <w14:schemeClr w14:val="tx1"/>
                  </w14:solidFill>
                </w14:textFill>
              </w:rPr>
              <w:t>数世咨询三家大型咨询机构</w:t>
            </w:r>
            <w:r>
              <w:rPr>
                <w:rFonts w:hint="eastAsia" w:ascii="仿宋" w:hAnsi="仿宋" w:eastAsia="仿宋"/>
                <w:color w:val="000000" w:themeColor="text1"/>
                <w:highlight w:val="none"/>
                <w:lang w:val="en-US" w:eastAsia="zh-CN"/>
                <w14:textFill>
                  <w14:solidFill>
                    <w14:schemeClr w14:val="tx1"/>
                  </w14:solidFill>
                </w14:textFill>
              </w:rPr>
              <w:t>之一</w:t>
            </w:r>
            <w:r>
              <w:rPr>
                <w:rFonts w:hint="eastAsia" w:ascii="仿宋" w:hAnsi="仿宋" w:eastAsia="仿宋"/>
                <w:color w:val="000000" w:themeColor="text1"/>
                <w:highlight w:val="none"/>
                <w:lang w:eastAsia="zh-Hans"/>
                <w14:textFill>
                  <w14:solidFill>
                    <w14:schemeClr w14:val="tx1"/>
                  </w14:solidFill>
                </w14:textFill>
              </w:rPr>
              <w:t>出具的产品市场排名前三或解决方案排名前三的证明报告，需提供报告的证明材料</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加盖单位公章</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eastAsia="zh-Hans"/>
                <w14:textFill>
                  <w14:solidFill>
                    <w14:schemeClr w14:val="tx1"/>
                  </w14:solidFill>
                </w14:textFill>
              </w:rPr>
              <w:t>。</w:t>
            </w:r>
          </w:p>
          <w:p>
            <w:pPr>
              <w:spacing w:line="360" w:lineRule="auto"/>
              <w:rPr>
                <w:rFonts w:hint="default" w:eastAsia="仿宋"/>
                <w:lang w:val="en-US" w:eastAsia="zh-CN"/>
              </w:rPr>
            </w:pPr>
            <w:r>
              <w:rPr>
                <w:rFonts w:hint="eastAsia" w:ascii="仿宋" w:hAnsi="仿宋" w:eastAsia="仿宋"/>
                <w:color w:val="000000" w:themeColor="text1"/>
                <w:highlight w:val="none"/>
                <w:lang w:val="en-US" w:eastAsia="zh-CN"/>
                <w14:textFill>
                  <w14:solidFill>
                    <w14:schemeClr w14:val="tx1"/>
                  </w14:solidFill>
                </w14:textFill>
              </w:rPr>
              <w:t>9. 公安部颁发的《计算机信息系统安全专用产品销售许可证》（提供许可证复印件，加盖单位公章）。</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140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3</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态势感知平台配套探针1</w:t>
            </w:r>
          </w:p>
        </w:tc>
        <w:tc>
          <w:tcPr>
            <w:tcW w:w="57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开启网络流量采集、威胁数据采集和日志上报功能情况下混合流，吞吐量</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3Gbps ，2U设备，标准配置6个10/100/1000M自适应千兆电口，接口扩展板卡插槽2个，1个Console口。</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lang w:eastAsia="zh-Hans"/>
              </w:rPr>
              <w:t>2</w:t>
            </w:r>
            <w:r>
              <w:rPr>
                <w:rFonts w:hint="eastAsia" w:ascii="仿宋" w:hAnsi="仿宋" w:eastAsia="仿宋"/>
                <w:lang w:eastAsia="zh-Hans"/>
              </w:rPr>
              <w:t>.</w:t>
            </w:r>
            <w:r>
              <w:rPr>
                <w:rFonts w:hint="eastAsia" w:ascii="仿宋" w:hAnsi="仿宋" w:eastAsia="仿宋"/>
              </w:rPr>
              <w:t>通信模式支持但不限于KAFKA、ZMQ、SYSLOG等协议，需支持多路外发，并支持外发多地址的负载均衡处理</w:t>
            </w:r>
            <w:r>
              <w:rPr>
                <w:rFonts w:hint="eastAsia" w:ascii="仿宋" w:hAnsi="仿宋" w:eastAsia="仿宋"/>
                <w:color w:val="000000" w:themeColor="text1"/>
                <w14:textFill>
                  <w14:solidFill>
                    <w14:schemeClr w14:val="tx1"/>
                  </w14:solidFill>
                </w14:textFill>
              </w:rPr>
              <w:t>。</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985"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4</w:t>
            </w:r>
          </w:p>
        </w:tc>
        <w:tc>
          <w:tcPr>
            <w:tcW w:w="11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态势感知平台配套探针2</w:t>
            </w:r>
          </w:p>
        </w:tc>
        <w:tc>
          <w:tcPr>
            <w:tcW w:w="571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开启网络流量采集、威胁数据采集和日志上报功能情况下混合流，吞吐量</w:t>
            </w:r>
            <w:r>
              <w:rPr>
                <w:rFonts w:hint="eastAsia" w:ascii="仿宋" w:hAnsi="仿宋" w:eastAsia="仿宋"/>
                <w:color w:val="000000" w:themeColor="text1"/>
                <w:lang w:val="en-US" w:eastAsia="zh-CN"/>
                <w14:textFill>
                  <w14:solidFill>
                    <w14:schemeClr w14:val="tx1"/>
                  </w14:solidFill>
                </w14:textFill>
              </w:rPr>
              <w:t>不低于</w:t>
            </w:r>
            <w:r>
              <w:rPr>
                <w:rFonts w:ascii="仿宋" w:hAnsi="仿宋" w:eastAsia="仿宋"/>
                <w:color w:val="000000" w:themeColor="text1"/>
                <w14:textFill>
                  <w14:solidFill>
                    <w14:schemeClr w14:val="tx1"/>
                  </w14:solidFill>
                </w14:textFill>
              </w:rPr>
              <w:t>10</w:t>
            </w:r>
            <w:r>
              <w:rPr>
                <w:rFonts w:hint="eastAsia" w:ascii="仿宋" w:hAnsi="仿宋" w:eastAsia="仿宋"/>
                <w:color w:val="000000" w:themeColor="text1"/>
                <w14:textFill>
                  <w14:solidFill>
                    <w14:schemeClr w14:val="tx1"/>
                  </w14:solidFill>
                </w14:textFill>
              </w:rPr>
              <w:t>Gbps，</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U设备，冗余电源，10/100/1000M专用管理接口1个；Console口1个，10/100/1000M自适应千兆电口4个，万兆光口2个，接口扩展板卡插槽6个。</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lang w:eastAsia="zh-Hans"/>
              </w:rPr>
              <w:t>2</w:t>
            </w:r>
            <w:r>
              <w:rPr>
                <w:rFonts w:hint="eastAsia" w:ascii="仿宋" w:hAnsi="仿宋" w:eastAsia="仿宋"/>
                <w:lang w:eastAsia="zh-Hans"/>
              </w:rPr>
              <w:t>.</w:t>
            </w:r>
            <w:r>
              <w:rPr>
                <w:rFonts w:hint="eastAsia" w:ascii="仿宋" w:hAnsi="仿宋" w:eastAsia="仿宋"/>
              </w:rPr>
              <w:t>通信模式支持但不限于KAFKA、ZMQ、SYSLOG等协议，需支持多路外发，并支持外发多地址的负载均衡处理</w:t>
            </w:r>
            <w:r>
              <w:rPr>
                <w:rFonts w:hint="eastAsia" w:ascii="仿宋" w:hAnsi="仿宋" w:eastAsia="仿宋"/>
                <w:color w:val="000000" w:themeColor="text1"/>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bookmarkEnd w:id="0"/>
    </w:tbl>
    <w:p>
      <w:pPr>
        <w:pStyle w:val="27"/>
        <w:ind w:firstLine="0" w:firstLineChars="0"/>
      </w:pP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（二）服务要求：</w:t>
      </w:r>
    </w:p>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项目必须提供的具体服务内容如下：</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质保期服务内容</w:t>
      </w:r>
    </w:p>
    <w:p>
      <w:pPr>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1.承包人明确承诺:本项目提供的免费系统升级服务、硬件维修服务、服务支持不低于</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年。</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2.承包人</w:t>
      </w:r>
      <w:r>
        <w:rPr>
          <w:rFonts w:hint="eastAsia" w:ascii="仿宋" w:hAnsi="仿宋" w:eastAsia="仿宋" w:cs="仿宋"/>
          <w:color w:val="000000" w:themeColor="text1"/>
          <w:sz w:val="28"/>
          <w:szCs w:val="28"/>
          <w:lang w:val="en-US" w:eastAsia="zh-CN"/>
          <w14:textFill>
            <w14:solidFill>
              <w14:schemeClr w14:val="tx1"/>
            </w14:solidFill>
          </w14:textFill>
        </w:rPr>
        <w:t>询价响应</w:t>
      </w:r>
      <w:r>
        <w:rPr>
          <w:rFonts w:hint="eastAsia" w:ascii="仿宋" w:hAnsi="仿宋" w:eastAsia="仿宋" w:cs="仿宋"/>
          <w:color w:val="000000" w:themeColor="text1"/>
          <w:sz w:val="28"/>
          <w:szCs w:val="28"/>
          <w14:textFill>
            <w14:solidFill>
              <w14:schemeClr w14:val="tx1"/>
            </w14:solidFill>
          </w14:textFill>
        </w:rPr>
        <w:t>产品属于国家规定“三包”范围的，其产品质量保证期不得低于“三包”规定。</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3.承包人的质量保证期承诺优于国家“三包”规定的，按承包人实际承诺执行。</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4.承包人投标产品由原厂负责标准售后服务的，应当在</w:t>
      </w:r>
      <w:r>
        <w:rPr>
          <w:rFonts w:hint="eastAsia" w:ascii="仿宋" w:hAnsi="仿宋" w:eastAsia="仿宋" w:cs="仿宋"/>
          <w:color w:val="000000" w:themeColor="text1"/>
          <w:sz w:val="28"/>
          <w:szCs w:val="28"/>
          <w:lang w:val="en-US" w:eastAsia="zh-CN"/>
          <w14:textFill>
            <w14:solidFill>
              <w14:schemeClr w14:val="tx1"/>
            </w14:solidFill>
          </w14:textFill>
        </w:rPr>
        <w:t>询价响应</w:t>
      </w:r>
      <w:r>
        <w:rPr>
          <w:rFonts w:hint="eastAsia" w:ascii="仿宋" w:hAnsi="仿宋" w:eastAsia="仿宋" w:cs="仿宋"/>
          <w:color w:val="000000" w:themeColor="text1"/>
          <w:sz w:val="28"/>
          <w:szCs w:val="28"/>
          <w14:textFill>
            <w14:solidFill>
              <w14:schemeClr w14:val="tx1"/>
            </w14:solidFill>
          </w14:textFill>
        </w:rPr>
        <w:t>文件中予以明确说明,并附厂家售后服务承诺内容。</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A、电话咨询</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B、现场响应</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C、技术升级</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2.质保期外服务要求</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D、应急技术支持</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1.针对重大安全事件，即态势感知平台检测到的安全事件，导致全网瘫痪，严重影响基本业务正常开展，应急工程师在10分钟内响应，在1小时内到达指定现场。</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2.针对较大安全事件，即态势感知平台检测到的安全事件，导致部分业务系统被攻击或发生僵木蠕事件，影响部分系统基本业务正常开展，应急工程师在20分钟内响应，在2小时内到达指定现场。</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3.针对一般安全事件，即态势感知平台检测到的安全事件，不影响正常业务办公，但是会有较大风险会导致业务或网络中断，应急工程师在30分钟内响应，在4小时内到达指定现场。</w:t>
      </w:r>
    </w:p>
    <w:p>
      <w:pPr>
        <w:pStyle w:val="27"/>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E、运维服务支持</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定期对安全组件上的安全策略进行统一管理，确保安全组件上的安全策略始终处于最优水平，针对威胁能起到最好的防护效果，根据安全事件分析的结果以及处置方式，按需对安全组件上的安全策略进行优化，全面提升网络安全管理与防护水平。</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三、培训要求</w:t>
      </w:r>
    </w:p>
    <w:p>
      <w:pPr>
        <w:pStyle w:val="45"/>
        <w:autoSpaceDE w:val="0"/>
        <w:autoSpaceDN w:val="0"/>
        <w:adjustRightInd w:val="0"/>
        <w:spacing w:line="360" w:lineRule="auto"/>
        <w:ind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5"/>
        <w:autoSpaceDE w:val="0"/>
        <w:autoSpaceDN w:val="0"/>
        <w:adjustRightInd w:val="0"/>
        <w:spacing w:line="360" w:lineRule="auto"/>
        <w:ind w:left="-134" w:leftChars="-64"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5"/>
        <w:autoSpaceDE w:val="0"/>
        <w:autoSpaceDN w:val="0"/>
        <w:adjustRightInd w:val="0"/>
        <w:spacing w:line="360" w:lineRule="auto"/>
        <w:ind w:left="-142"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5"/>
        <w:numPr>
          <w:ilvl w:val="0"/>
          <w:numId w:val="1"/>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培训范围：设备以及系统的维护操作</w:t>
      </w:r>
    </w:p>
    <w:p>
      <w:pPr>
        <w:pStyle w:val="45"/>
        <w:numPr>
          <w:ilvl w:val="0"/>
          <w:numId w:val="1"/>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培训地点：广州市净水有限公司</w:t>
      </w:r>
    </w:p>
    <w:p>
      <w:pPr>
        <w:pStyle w:val="45"/>
        <w:numPr>
          <w:ilvl w:val="0"/>
          <w:numId w:val="1"/>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培训时间：在项目施工完成后进行培训</w:t>
      </w:r>
    </w:p>
    <w:p>
      <w:pPr>
        <w:pStyle w:val="45"/>
        <w:numPr>
          <w:ilvl w:val="0"/>
          <w:numId w:val="1"/>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培训内容：</w:t>
      </w:r>
    </w:p>
    <w:p>
      <w:pPr>
        <w:pStyle w:val="45"/>
        <w:autoSpaceDE w:val="0"/>
        <w:autoSpaceDN w:val="0"/>
        <w:adjustRightInd w:val="0"/>
        <w:spacing w:line="360" w:lineRule="auto"/>
        <w:ind w:left="-142"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根据用户常维护需求提供相关的知识进行培训及答疑，次数不少于1次。</w:t>
      </w:r>
    </w:p>
    <w:p>
      <w:pPr>
        <w:pStyle w:val="45"/>
        <w:autoSpaceDE w:val="0"/>
        <w:autoSpaceDN w:val="0"/>
        <w:adjustRightInd w:val="0"/>
        <w:spacing w:line="360" w:lineRule="auto"/>
        <w:ind w:left="-142"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若用户对设备日常维护管理及使用仍存在疑问，在运行和维护期间乙方必须持续提供咨询服务。</w:t>
      </w:r>
    </w:p>
    <w:p>
      <w:pPr>
        <w:pStyle w:val="5"/>
        <w:rPr>
          <w:rFonts w:hint="eastAsia" w:ascii="仿宋" w:hAnsi="仿宋" w:eastAsia="仿宋" w:cs="仿宋"/>
          <w:color w:val="000000" w:themeColor="text1"/>
          <w:lang w:val="e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w:t>
      </w:r>
      <w:r>
        <w:rPr>
          <w:rFonts w:hint="eastAsia" w:ascii="仿宋" w:hAnsi="仿宋" w:eastAsia="仿宋" w:cs="仿宋"/>
          <w:color w:val="000000" w:themeColor="text1"/>
          <w:lang w:val="en"/>
          <w14:textFill>
            <w14:solidFill>
              <w14:schemeClr w14:val="tx1"/>
            </w14:solidFill>
          </w14:textFill>
        </w:rPr>
        <w:t>商务</w:t>
      </w:r>
      <w:r>
        <w:rPr>
          <w:rFonts w:hint="eastAsia" w:ascii="仿宋" w:hAnsi="仿宋" w:eastAsia="仿宋" w:cs="仿宋"/>
          <w:color w:val="000000" w:themeColor="text1"/>
          <w14:textFill>
            <w14:solidFill>
              <w14:schemeClr w14:val="tx1"/>
            </w14:solidFill>
          </w14:textFill>
        </w:rPr>
        <w:t>要求</w:t>
      </w:r>
    </w:p>
    <w:p>
      <w:pPr>
        <w:autoSpaceDE w:val="0"/>
        <w:autoSpaceDN w:val="0"/>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1.交货期限：合同生效后15</w:t>
      </w:r>
      <w:r>
        <w:rPr>
          <w:rFonts w:hint="eastAsia" w:ascii="仿宋" w:hAnsi="仿宋" w:eastAsia="仿宋" w:cs="仿宋"/>
          <w:color w:val="000000" w:themeColor="text1"/>
          <w:sz w:val="28"/>
          <w:szCs w:val="28"/>
          <w:lang w:val="en-US" w:eastAsia="zh-CN"/>
          <w14:textFill>
            <w14:solidFill>
              <w14:schemeClr w14:val="tx1"/>
            </w14:solidFill>
          </w14:textFill>
        </w:rPr>
        <w:t>个工作日</w:t>
      </w:r>
      <w:r>
        <w:rPr>
          <w:rFonts w:hint="eastAsia" w:ascii="仿宋" w:hAnsi="仿宋" w:eastAsia="仿宋" w:cs="仿宋"/>
          <w:color w:val="000000" w:themeColor="text1"/>
          <w:sz w:val="28"/>
          <w:szCs w:val="28"/>
          <w14:textFill>
            <w14:solidFill>
              <w14:schemeClr w14:val="tx1"/>
            </w14:solidFill>
          </w14:textFill>
        </w:rPr>
        <w:t>内。项目建设周期：</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天。</w:t>
      </w:r>
    </w:p>
    <w:p>
      <w:pPr>
        <w:autoSpaceDE w:val="0"/>
        <w:autoSpaceDN w:val="0"/>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2.资质能力要求：</w:t>
      </w:r>
    </w:p>
    <w:p>
      <w:pPr>
        <w:autoSpaceDE w:val="0"/>
        <w:autoSpaceDN w:val="0"/>
        <w:ind w:firstLine="560" w:firstLineChars="200"/>
        <w:rPr>
          <w:rFonts w:hint="eastAsia" w:ascii="仿宋" w:hAnsi="仿宋" w:eastAsia="仿宋" w:cs="仿宋"/>
          <w:color w:val="000000" w:themeColor="text1"/>
          <w:sz w:val="28"/>
          <w:szCs w:val="28"/>
          <w:lang w:val="en"/>
          <w14:textFill>
            <w14:solidFill>
              <w14:schemeClr w14:val="tx1"/>
            </w14:solidFill>
          </w14:textFill>
        </w:rPr>
      </w:pPr>
      <w:r>
        <w:rPr>
          <w:rFonts w:hint="eastAsia" w:ascii="仿宋" w:hAnsi="仿宋" w:eastAsia="仿宋" w:cs="仿宋"/>
          <w:color w:val="000000" w:themeColor="text1"/>
          <w:sz w:val="28"/>
          <w:szCs w:val="28"/>
          <w:lang w:val="e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报价单位</w:t>
      </w:r>
      <w:r>
        <w:rPr>
          <w:rFonts w:hint="eastAsia" w:ascii="仿宋" w:hAnsi="仿宋" w:eastAsia="仿宋" w:cs="仿宋"/>
          <w:color w:val="000000" w:themeColor="text1"/>
          <w:sz w:val="28"/>
          <w:szCs w:val="28"/>
          <w:lang w:val="en"/>
          <w14:textFill>
            <w14:solidFill>
              <w14:schemeClr w14:val="tx1"/>
            </w14:solidFill>
          </w14:textFill>
        </w:rPr>
        <w:t>实施团队须含至少1名具备CISP注册信息安全工程师证书</w:t>
      </w:r>
      <w:r>
        <w:rPr>
          <w:rFonts w:hint="eastAsia" w:ascii="仿宋" w:hAnsi="仿宋" w:eastAsia="仿宋" w:cs="仿宋"/>
          <w:color w:val="000000" w:themeColor="text1"/>
          <w:sz w:val="28"/>
          <w:szCs w:val="28"/>
          <w:lang w:val="en" w:eastAsia="zh-CN"/>
          <w14:textFill>
            <w14:solidFill>
              <w14:schemeClr w14:val="tx1"/>
            </w14:solidFill>
          </w14:textFill>
        </w:rPr>
        <w:t>，</w:t>
      </w:r>
      <w:r>
        <w:rPr>
          <w:rFonts w:hint="eastAsia" w:ascii="仿宋" w:hAnsi="仿宋" w:eastAsia="仿宋" w:cs="仿宋"/>
          <w:color w:val="000000" w:themeColor="text1"/>
          <w:sz w:val="28"/>
          <w:szCs w:val="28"/>
          <w:lang w:val="en"/>
          <w14:textFill>
            <w14:solidFill>
              <w14:schemeClr w14:val="tx1"/>
            </w14:solidFill>
          </w14:textFill>
        </w:rPr>
        <w:t>提供证书</w:t>
      </w:r>
      <w:r>
        <w:rPr>
          <w:rFonts w:hint="eastAsia" w:ascii="仿宋" w:hAnsi="仿宋" w:eastAsia="仿宋" w:cs="仿宋"/>
          <w:color w:val="000000" w:themeColor="text1"/>
          <w:sz w:val="28"/>
          <w:szCs w:val="28"/>
          <w:lang w:val="en-US" w:eastAsia="zh-CN"/>
          <w14:textFill>
            <w14:solidFill>
              <w14:schemeClr w14:val="tx1"/>
            </w14:solidFill>
          </w14:textFill>
        </w:rPr>
        <w:t>复印件及</w:t>
      </w:r>
      <w:r>
        <w:rPr>
          <w:rFonts w:hint="eastAsia" w:ascii="仿宋" w:hAnsi="仿宋" w:eastAsia="仿宋" w:cs="仿宋"/>
          <w:color w:val="000000" w:themeColor="text1"/>
          <w:sz w:val="28"/>
          <w:szCs w:val="28"/>
          <w:lang w:val="en"/>
          <w14:textFill>
            <w14:solidFill>
              <w14:schemeClr w14:val="tx1"/>
            </w14:solidFill>
          </w14:textFill>
        </w:rPr>
        <w:t>在本单位近三个月社保记录（以加盖社会保险基金管理中心印章的《缴费历史明细表》或《社会保险参保人员证明》为准，</w:t>
      </w:r>
      <w:r>
        <w:rPr>
          <w:rFonts w:hint="eastAsia" w:ascii="仿宋" w:hAnsi="仿宋" w:eastAsia="仿宋" w:cs="仿宋"/>
          <w:color w:val="000000" w:themeColor="text1"/>
          <w:sz w:val="28"/>
          <w:szCs w:val="28"/>
          <w:lang w:val="en-US" w:eastAsia="zh-CN"/>
          <w14:textFill>
            <w14:solidFill>
              <w14:schemeClr w14:val="tx1"/>
            </w14:solidFill>
          </w14:textFill>
        </w:rPr>
        <w:t>并</w:t>
      </w:r>
      <w:r>
        <w:rPr>
          <w:rFonts w:hint="eastAsia" w:ascii="仿宋" w:hAnsi="仿宋" w:eastAsia="仿宋" w:cs="仿宋"/>
          <w:color w:val="000000" w:themeColor="text1"/>
          <w:sz w:val="28"/>
          <w:szCs w:val="28"/>
          <w:lang w:val="en"/>
          <w14:textFill>
            <w14:solidFill>
              <w14:schemeClr w14:val="tx1"/>
            </w14:solidFill>
          </w14:textFill>
        </w:rPr>
        <w:t>加盖单位公章。</w:t>
      </w:r>
    </w:p>
    <w:p>
      <w:pPr>
        <w:autoSpaceDE w:val="0"/>
        <w:autoSpaceDN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报价单位须提供项目所涉及的网络安全设备原厂授权函以及原厂售后服务承诺函（加盖原厂公章）。</w:t>
      </w:r>
    </w:p>
    <w:p>
      <w:pPr>
        <w:autoSpaceDE w:val="0"/>
        <w:autoSpaceDN w:val="0"/>
        <w:ind w:left="567" w:leftChars="2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3.服务能力及信誉要求：</w:t>
      </w:r>
    </w:p>
    <w:p>
      <w:pPr>
        <w:pStyle w:val="48"/>
        <w:autoSpaceDE w:val="0"/>
        <w:autoSpaceDN w:val="0"/>
        <w:ind w:left="567"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）报价单位须具</w:t>
      </w:r>
      <w:r>
        <w:rPr>
          <w:rFonts w:hint="eastAsia" w:ascii="仿宋" w:hAnsi="仿宋" w:eastAsia="仿宋" w:cs="仿宋"/>
          <w:color w:val="000000" w:themeColor="text1"/>
          <w:sz w:val="28"/>
          <w:szCs w:val="28"/>
          <w:lang w:val="en-US" w:eastAsia="zh-CN"/>
          <w14:textFill>
            <w14:solidFill>
              <w14:schemeClr w14:val="tx1"/>
            </w14:solidFill>
          </w14:textFill>
        </w:rPr>
        <w:t>备</w:t>
      </w:r>
      <w:r>
        <w:rPr>
          <w:rFonts w:hint="eastAsia" w:ascii="仿宋" w:hAnsi="仿宋" w:eastAsia="仿宋" w:cs="仿宋"/>
          <w:color w:val="000000" w:themeColor="text1"/>
          <w:sz w:val="28"/>
          <w:szCs w:val="28"/>
          <w14:textFill>
            <w14:solidFill>
              <w14:schemeClr w14:val="tx1"/>
            </w14:solidFill>
          </w14:textFill>
        </w:rPr>
        <w:t>ISO信息安全管理体系认证（</w:t>
      </w: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14:textFill>
            <w14:solidFill>
              <w14:schemeClr w14:val="tx1"/>
            </w14:solidFill>
          </w14:textFill>
        </w:rPr>
        <w:t>复印件</w:t>
      </w:r>
      <w:r>
        <w:rPr>
          <w:rFonts w:hint="eastAsia" w:ascii="仿宋" w:hAnsi="仿宋" w:eastAsia="仿宋" w:cs="仿宋"/>
          <w:color w:val="000000" w:themeColor="text1"/>
          <w:sz w:val="28"/>
          <w:szCs w:val="28"/>
          <w:lang w:val="en-US" w:eastAsia="zh-CN"/>
          <w14:textFill>
            <w14:solidFill>
              <w14:schemeClr w14:val="tx1"/>
            </w14:solidFill>
          </w14:textFill>
        </w:rPr>
        <w:t>并</w:t>
      </w:r>
      <w:r>
        <w:rPr>
          <w:rFonts w:hint="eastAsia" w:ascii="仿宋" w:hAnsi="仿宋" w:eastAsia="仿宋" w:cs="仿宋"/>
          <w:color w:val="000000" w:themeColor="text1"/>
          <w:sz w:val="28"/>
          <w:szCs w:val="28"/>
          <w14:textFill>
            <w14:solidFill>
              <w14:schemeClr w14:val="tx1"/>
            </w14:solidFill>
          </w14:textFill>
        </w:rPr>
        <w:t>加盖</w:t>
      </w:r>
      <w:r>
        <w:rPr>
          <w:rFonts w:hint="eastAsia" w:ascii="仿宋" w:hAnsi="仿宋" w:eastAsia="仿宋" w:cs="仿宋"/>
          <w:color w:val="000000" w:themeColor="text1"/>
          <w:sz w:val="28"/>
          <w:szCs w:val="28"/>
          <w:lang w:val="en-US" w:eastAsia="zh-CN"/>
          <w14:textFill>
            <w14:solidFill>
              <w14:schemeClr w14:val="tx1"/>
            </w14:solidFill>
          </w14:textFill>
        </w:rPr>
        <w:t>单</w:t>
      </w:r>
    </w:p>
    <w:p>
      <w:pPr>
        <w:pStyle w:val="48"/>
        <w:autoSpaceDE w:val="0"/>
        <w:autoSpaceDN w:val="0"/>
        <w:ind w:left="0"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位</w:t>
      </w:r>
      <w:r>
        <w:rPr>
          <w:rFonts w:hint="eastAsia" w:ascii="仿宋" w:hAnsi="仿宋" w:eastAsia="仿宋" w:cs="仿宋"/>
          <w:color w:val="000000" w:themeColor="text1"/>
          <w:sz w:val="28"/>
          <w:szCs w:val="28"/>
          <w14:textFill>
            <w14:solidFill>
              <w14:schemeClr w14:val="tx1"/>
            </w14:solidFill>
          </w14:textFill>
        </w:rPr>
        <w:t>公章）。</w:t>
      </w:r>
    </w:p>
    <w:p>
      <w:pPr>
        <w:autoSpaceDE w:val="0"/>
        <w:autoSpaceDN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val="e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报价单位须提供所涉及的网络安全设备的技术参数要求的原厂证明材料（技术参数点对点响应和功能截图，加盖原厂公章）。</w:t>
      </w:r>
    </w:p>
    <w:p>
      <w:pPr>
        <w:pStyle w:val="48"/>
        <w:autoSpaceDE w:val="0"/>
        <w:autoSpaceDN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4.总包及分包规定：本项目不接受分包。</w:t>
      </w:r>
    </w:p>
    <w:p>
      <w:pPr>
        <w:pStyle w:val="16"/>
        <w:spacing w:line="360" w:lineRule="auto"/>
        <w:ind w:left="1"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5.付款方式：采用支票、网银支付两种形式。</w:t>
      </w:r>
    </w:p>
    <w:p>
      <w:pPr>
        <w:tabs>
          <w:tab w:val="center" w:pos="5156"/>
        </w:tabs>
        <w:autoSpaceDE w:val="0"/>
        <w:autoSpaceDN w:val="0"/>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6.承包方式：包工、包料、包设备安装、包开发、包调试、包培训、包运维（1年）、包验收的总价包干方式。</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7.项目结算：</w:t>
      </w:r>
      <w:r>
        <w:rPr>
          <w:rFonts w:hint="eastAsia" w:ascii="仿宋" w:hAnsi="仿宋" w:eastAsia="仿宋" w:cs="仿宋"/>
          <w:color w:val="000000" w:themeColor="text1"/>
          <w:sz w:val="28"/>
          <w:szCs w:val="28"/>
          <w:lang w:val="en-US" w:eastAsia="zh-CN"/>
          <w14:textFill>
            <w14:solidFill>
              <w14:schemeClr w14:val="tx1"/>
            </w14:solidFill>
          </w14:textFill>
        </w:rPr>
        <w:t>以</w:t>
      </w:r>
      <w:r>
        <w:rPr>
          <w:rFonts w:hint="eastAsia" w:ascii="仿宋" w:hAnsi="仿宋" w:eastAsia="仿宋" w:cs="仿宋"/>
          <w:color w:val="000000" w:themeColor="text1"/>
          <w:sz w:val="28"/>
          <w:szCs w:val="28"/>
          <w14:textFill>
            <w14:solidFill>
              <w14:schemeClr w14:val="tx1"/>
            </w14:solidFill>
          </w14:textFill>
        </w:rPr>
        <w:t>合同</w:t>
      </w:r>
      <w:r>
        <w:rPr>
          <w:rFonts w:hint="eastAsia" w:ascii="仿宋" w:hAnsi="仿宋" w:eastAsia="仿宋" w:cs="仿宋"/>
          <w:color w:val="000000" w:themeColor="text1"/>
          <w:sz w:val="28"/>
          <w:szCs w:val="28"/>
          <w:lang w:val="en-US" w:eastAsia="zh-CN"/>
          <w14:textFill>
            <w14:solidFill>
              <w14:schemeClr w14:val="tx1"/>
            </w14:solidFill>
          </w14:textFill>
        </w:rPr>
        <w:t>为准</w:t>
      </w:r>
      <w:r>
        <w:rPr>
          <w:rFonts w:hint="eastAsia" w:ascii="仿宋" w:hAnsi="仿宋" w:eastAsia="仿宋" w:cs="仿宋"/>
          <w:color w:val="000000" w:themeColor="text1"/>
          <w:sz w:val="28"/>
          <w:szCs w:val="28"/>
          <w14:textFill>
            <w14:solidFill>
              <w14:schemeClr w14:val="tx1"/>
            </w14:solidFill>
          </w14:textFill>
        </w:rPr>
        <w:t>。</w:t>
      </w: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jc w:val="both"/>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6"/>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6"/>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一、概念释义</w:t>
      </w:r>
    </w:p>
    <w:p>
      <w:pPr>
        <w:pStyle w:val="16"/>
        <w:adjustRightInd w:val="0"/>
        <w:snapToGrid w:val="0"/>
        <w:spacing w:line="300" w:lineRule="auto"/>
        <w:ind w:left="560"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1.“询价人”是指：广州市净水有限公司。</w:t>
      </w:r>
    </w:p>
    <w:p>
      <w:pPr>
        <w:pStyle w:val="16"/>
        <w:tabs>
          <w:tab w:val="left" w:pos="360"/>
        </w:tabs>
        <w:adjustRightInd w:val="0"/>
        <w:snapToGrid w:val="0"/>
        <w:spacing w:line="300" w:lineRule="auto"/>
        <w:ind w:left="560"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2.合格的报价单位:</w:t>
      </w:r>
      <w:r>
        <w:rPr>
          <w:rFonts w:hint="eastAsia" w:ascii="仿宋" w:hAnsi="仿宋" w:eastAsia="仿宋" w:cs="仿宋"/>
          <w:color w:val="000000" w:themeColor="text1"/>
          <w:kern w:val="0"/>
          <w:sz w:val="28"/>
          <w:szCs w:val="28"/>
          <w14:textFill>
            <w14:solidFill>
              <w14:schemeClr w14:val="tx1"/>
            </w14:solidFill>
          </w14:textFill>
        </w:rPr>
        <w:t>符合询价文件规定资格</w:t>
      </w:r>
      <w:r>
        <w:rPr>
          <w:rFonts w:hint="eastAsia" w:ascii="仿宋" w:hAnsi="仿宋" w:eastAsia="仿宋" w:cs="仿宋"/>
          <w:color w:val="000000" w:themeColor="text1"/>
          <w:sz w:val="28"/>
          <w:szCs w:val="28"/>
          <w:lang w:val="zh-CN"/>
          <w14:textFill>
            <w14:solidFill>
              <w14:schemeClr w14:val="tx1"/>
            </w14:solidFill>
          </w14:textFill>
        </w:rPr>
        <w:t>要求</w:t>
      </w:r>
      <w:r>
        <w:rPr>
          <w:rFonts w:hint="eastAsia" w:ascii="仿宋" w:hAnsi="仿宋" w:eastAsia="仿宋" w:cs="仿宋"/>
          <w:color w:val="000000" w:themeColor="text1"/>
          <w:kern w:val="0"/>
          <w:sz w:val="28"/>
          <w:szCs w:val="28"/>
          <w14:textFill>
            <w14:solidFill>
              <w14:schemeClr w14:val="tx1"/>
            </w14:solidFill>
          </w14:textFill>
        </w:rPr>
        <w:t>的报价单位。</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3.“承包人”是指经法定程序确认并授以合同的报价单位。</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6"/>
        <w:adjustRightInd w:val="0"/>
        <w:snapToGrid w:val="0"/>
        <w:spacing w:line="300" w:lineRule="auto"/>
        <w:ind w:left="420" w:hanging="42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二、询价文件</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5．适用范围:本询价文件适用于本报价邀请中所述项目的询价。</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询价文件的构成</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6.1询价文件包括但不限于下列文件:</w:t>
      </w:r>
    </w:p>
    <w:p>
      <w:pPr>
        <w:pStyle w:val="16"/>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1）报价邀请函</w:t>
      </w:r>
    </w:p>
    <w:p>
      <w:pPr>
        <w:pStyle w:val="16"/>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项目内容</w:t>
      </w:r>
    </w:p>
    <w:p>
      <w:pPr>
        <w:pStyle w:val="16"/>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报价单位须知</w:t>
      </w:r>
    </w:p>
    <w:p>
      <w:pPr>
        <w:pStyle w:val="16"/>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合同书格式</w:t>
      </w:r>
    </w:p>
    <w:p>
      <w:pPr>
        <w:pStyle w:val="16"/>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 询价响应文件格式</w:t>
      </w:r>
    </w:p>
    <w:p>
      <w:pPr>
        <w:pStyle w:val="16"/>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在询价过程中由询价人发出的修正和补充文件等</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 询价文件的澄清或修改</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 书面形式包括但不限于以纸质、电子邮件、门户网站信息公告等形式。</w:t>
      </w:r>
      <w:r>
        <w:rPr>
          <w:rFonts w:hint="eastAsia" w:ascii="仿宋" w:hAnsi="仿宋" w:eastAsia="仿宋" w:cs="仿宋"/>
          <w:b/>
          <w:bCs/>
          <w:color w:val="000000" w:themeColor="text1"/>
          <w:sz w:val="28"/>
          <w:szCs w:val="28"/>
          <w14:textFill>
            <w14:solidFill>
              <w14:schemeClr w14:val="tx1"/>
            </w14:solidFill>
          </w14:textFill>
        </w:rPr>
        <w:t>三、询价响应文件的编制和数量</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8．询价响应费用</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9．报价的语言及计量</w:t>
      </w:r>
    </w:p>
    <w:p>
      <w:pPr>
        <w:pStyle w:val="16"/>
        <w:adjustRightInd w:val="0"/>
        <w:snapToGrid w:val="0"/>
        <w:spacing w:line="300" w:lineRule="auto"/>
        <w:ind w:left="360" w:hanging="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6"/>
        <w:adjustRightInd w:val="0"/>
        <w:snapToGrid w:val="0"/>
        <w:spacing w:line="300" w:lineRule="auto"/>
        <w:ind w:left="360" w:hanging="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10．询价响应文件的构成</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11.1报价单位应按响应文件格式编制询价响应文件。</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12.3任何有选择性报价的报价，将被视为无效报价。</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 报价人不得存在以下情形之一：</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（1）与询价人存在利害关系且可能影响询价公正性；</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（3）为本询价项目提供过设计、编制技术规范和其他文件的咨询服务；</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（4）被依法暂停或者取消投标资格；</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（5）被责令停产停业、暂扣或者吊销许可证、暂扣或者吊销执照；</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（6）进入清算程序，或被宣告破产，或其他丧失履约能力的情形；</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（7）在参加本项目前3年内在存在重大违法记录；</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（9）被《信用中国》网站（www.creditchina.gov.cn）公示存在不良信用记录；</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6"/>
        <w:adjustRightInd w:val="0"/>
        <w:snapToGrid w:val="0"/>
        <w:spacing w:line="300" w:lineRule="auto"/>
        <w:ind w:left="562" w:leftChars="1"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13. 联合体报价</w:t>
      </w:r>
    </w:p>
    <w:p>
      <w:pPr>
        <w:pStyle w:val="16"/>
        <w:adjustRightInd w:val="0"/>
        <w:snapToGrid w:val="0"/>
        <w:spacing w:line="300" w:lineRule="auto"/>
        <w:ind w:left="562" w:leftChars="1"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13.1本项目不接受联合体参加报价。</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 报价单位资格证明文件</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6"/>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14.2资格证明文件必须真实有效，复印件必须加盖单位印章。</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15.1询价响应文件应在递交响应文件截止时间之日起</w:t>
      </w:r>
      <w:r>
        <w:rPr>
          <w:rFonts w:hint="eastAsia" w:ascii="仿宋" w:hAnsi="仿宋" w:eastAsia="仿宋" w:cs="仿宋"/>
          <w:color w:val="000000" w:themeColor="text1"/>
          <w:sz w:val="28"/>
          <w:szCs w:val="28"/>
          <w:u w:val="single"/>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
          <w:color w:val="000000" w:themeColor="text1"/>
          <w:kern w:val="0"/>
          <w:sz w:val="28"/>
          <w:szCs w:val="28"/>
          <w:u w:val="single"/>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 询价响应文件的密封和标记</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17.2每一密封信封均应：</w:t>
      </w:r>
    </w:p>
    <w:p>
      <w:pPr>
        <w:pStyle w:val="16"/>
        <w:adjustRightInd w:val="0"/>
        <w:snapToGrid w:val="0"/>
        <w:spacing w:line="300" w:lineRule="auto"/>
        <w:ind w:left="1439" w:leftChars="343" w:hanging="719" w:hangingChars="257"/>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（1）标明项目编号、项目名称，并注明“正本”或“副本”字样；</w:t>
      </w:r>
    </w:p>
    <w:p>
      <w:pPr>
        <w:pStyle w:val="16"/>
        <w:adjustRightInd w:val="0"/>
        <w:snapToGrid w:val="0"/>
        <w:spacing w:line="300" w:lineRule="auto"/>
        <w:ind w:left="1439" w:leftChars="343" w:hanging="719" w:hangingChars="257"/>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（2）注明“于（递交询价响应文件截止时间）之前不准启封”的字样。</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 询价响应文件递交截止时间</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6"/>
        <w:adjustRightInd w:val="0"/>
        <w:snapToGrid w:val="0"/>
        <w:spacing w:line="300" w:lineRule="auto"/>
        <w:ind w:right="3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 询价响应文件的修改和撤回</w:t>
      </w:r>
    </w:p>
    <w:p>
      <w:pPr>
        <w:pStyle w:val="16"/>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
          <w:color w:val="000000" w:themeColor="text1"/>
          <w:sz w:val="28"/>
          <w:szCs w:val="28"/>
          <w:u w:val="single"/>
          <w14:textFill>
            <w14:solidFill>
              <w14:schemeClr w14:val="tx1"/>
            </w14:solidFill>
          </w14:textFill>
        </w:rPr>
        <w:t>（询价人）</w:t>
      </w:r>
      <w:r>
        <w:rPr>
          <w:rFonts w:hint="eastAsia" w:ascii="仿宋" w:hAnsi="仿宋" w:eastAsia="仿宋" w:cs="仿宋"/>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6"/>
        <w:adjustRightInd w:val="0"/>
        <w:snapToGrid w:val="0"/>
        <w:spacing w:line="300" w:lineRule="auto"/>
        <w:ind w:left="420" w:right="32"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19.3 报价单位所提交的询价响应文件在询价结束后，无论成交与否都不退还。</w:t>
      </w:r>
    </w:p>
    <w:p>
      <w:pPr>
        <w:pStyle w:val="16"/>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五、评审</w:t>
      </w:r>
    </w:p>
    <w:p>
      <w:pPr>
        <w:pStyle w:val="16"/>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20.1 </w:t>
      </w:r>
      <w:r>
        <w:rPr>
          <w:rFonts w:hint="eastAsia" w:ascii="仿宋" w:hAnsi="仿宋" w:eastAsia="仿宋" w:cs="仿宋"/>
          <w:color w:val="000000" w:themeColor="text1"/>
          <w:kern w:val="0"/>
          <w:sz w:val="28"/>
          <w:szCs w:val="28"/>
          <w14:textFill>
            <w14:solidFill>
              <w14:schemeClr w14:val="tx1"/>
            </w14:solidFill>
          </w14:textFill>
        </w:rPr>
        <w:t>评审由</w:t>
      </w:r>
      <w:r>
        <w:rPr>
          <w:rFonts w:hint="eastAsia" w:ascii="仿宋" w:hAnsi="仿宋" w:eastAsia="仿宋" w:cs="仿宋"/>
          <w:color w:val="000000" w:themeColor="text1"/>
          <w:sz w:val="28"/>
          <w:szCs w:val="28"/>
          <w:u w:val="single"/>
          <w14:textFill>
            <w14:solidFill>
              <w14:schemeClr w14:val="tx1"/>
            </w14:solidFill>
          </w14:textFill>
        </w:rPr>
        <w:t>询价人</w:t>
      </w:r>
      <w:r>
        <w:rPr>
          <w:rFonts w:hint="eastAsia" w:ascii="仿宋" w:hAnsi="仿宋" w:eastAsia="仿宋" w:cs="仿宋"/>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23.2承包人确定后，询价人</w:t>
      </w:r>
      <w:r>
        <w:rPr>
          <w:rFonts w:hint="eastAsia" w:ascii="仿宋" w:hAnsi="仿宋" w:eastAsia="仿宋" w:cs="仿宋"/>
          <w:color w:val="000000" w:themeColor="text1"/>
          <w:kern w:val="0"/>
          <w:sz w:val="28"/>
          <w:szCs w:val="28"/>
          <w14:textFill>
            <w14:solidFill>
              <w14:schemeClr w14:val="tx1"/>
            </w14:solidFill>
          </w14:textFill>
        </w:rPr>
        <w:t>向承包人发出《发包通知书》，</w:t>
      </w:r>
      <w:r>
        <w:rPr>
          <w:rFonts w:hint="eastAsia" w:ascii="仿宋" w:hAnsi="仿宋" w:eastAsia="仿宋" w:cs="仿宋"/>
          <w:color w:val="000000" w:themeColor="text1"/>
          <w:sz w:val="28"/>
          <w:szCs w:val="28"/>
          <w14:textFill>
            <w14:solidFill>
              <w14:schemeClr w14:val="tx1"/>
            </w14:solidFill>
          </w14:textFill>
        </w:rPr>
        <w:t>对承包人和询价人具有同等法律效力</w:t>
      </w:r>
      <w:r>
        <w:rPr>
          <w:rFonts w:hint="eastAsia" w:ascii="仿宋" w:hAnsi="仿宋" w:eastAsia="仿宋" w:cs="仿宋"/>
          <w:color w:val="000000" w:themeColor="text1"/>
          <w:kern w:val="0"/>
          <w:sz w:val="28"/>
          <w:szCs w:val="28"/>
          <w14:textFill>
            <w14:solidFill>
              <w14:schemeClr w14:val="tx1"/>
            </w14:solidFill>
          </w14:textFill>
        </w:rPr>
        <w:t>。</w:t>
      </w:r>
    </w:p>
    <w:p>
      <w:pPr>
        <w:pStyle w:val="16"/>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
          <w:color w:val="000000" w:themeColor="text1"/>
          <w:kern w:val="0"/>
          <w:sz w:val="28"/>
          <w:szCs w:val="28"/>
          <w:lang w:val="en-US" w:eastAsia="zh-CN"/>
          <w14:textFill>
            <w14:solidFill>
              <w14:schemeClr w14:val="tx1"/>
            </w14:solidFill>
          </w14:textFill>
        </w:rPr>
        <w:t>招标</w:t>
      </w:r>
      <w:r>
        <w:rPr>
          <w:rFonts w:hint="eastAsia" w:ascii="仿宋" w:hAnsi="仿宋" w:eastAsia="仿宋" w:cs="仿宋"/>
          <w:color w:val="000000" w:themeColor="text1"/>
          <w:kern w:val="0"/>
          <w:sz w:val="28"/>
          <w:szCs w:val="28"/>
          <w14:textFill>
            <w14:solidFill>
              <w14:schemeClr w14:val="tx1"/>
            </w14:solidFill>
          </w14:textFill>
        </w:rPr>
        <w:t>办备案；因特殊情况需要中止或终止合同的，询价人应将中止或终止合同的理由以及相应措施，以书面形式报公司</w:t>
      </w:r>
      <w:r>
        <w:rPr>
          <w:rFonts w:hint="eastAsia" w:ascii="仿宋" w:hAnsi="仿宋" w:eastAsia="仿宋" w:cs="仿宋"/>
          <w:color w:val="000000" w:themeColor="text1"/>
          <w:kern w:val="0"/>
          <w:sz w:val="28"/>
          <w:szCs w:val="28"/>
          <w:lang w:val="en-US" w:eastAsia="zh-CN"/>
          <w14:textFill>
            <w14:solidFill>
              <w14:schemeClr w14:val="tx1"/>
            </w14:solidFill>
          </w14:textFill>
        </w:rPr>
        <w:t>招标</w:t>
      </w:r>
      <w:r>
        <w:rPr>
          <w:rFonts w:hint="eastAsia" w:ascii="仿宋" w:hAnsi="仿宋" w:eastAsia="仿宋" w:cs="仿宋"/>
          <w:color w:val="000000" w:themeColor="text1"/>
          <w:kern w:val="0"/>
          <w:sz w:val="28"/>
          <w:szCs w:val="28"/>
          <w14:textFill>
            <w14:solidFill>
              <w14:schemeClr w14:val="tx1"/>
            </w14:solidFill>
          </w14:textFill>
        </w:rPr>
        <w:t>办。</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w:t>
      </w:r>
      <w:r>
        <w:rPr>
          <w:rFonts w:hint="eastAsia" w:ascii="仿宋" w:hAnsi="仿宋" w:eastAsia="仿宋" w:cs="仿宋"/>
          <w:color w:val="000000" w:themeColor="text1"/>
          <w:sz w:val="28"/>
          <w:szCs w:val="28"/>
          <w:lang w:val="en-US" w:eastAsia="zh-CN"/>
          <w14:textFill>
            <w14:solidFill>
              <w14:schemeClr w14:val="tx1"/>
            </w14:solidFill>
          </w14:textFill>
        </w:rPr>
        <w:t>规定时间</w:t>
      </w:r>
      <w:r>
        <w:rPr>
          <w:rFonts w:hint="eastAsia" w:ascii="仿宋" w:hAnsi="仿宋" w:eastAsia="仿宋" w:cs="仿宋"/>
          <w:color w:val="000000" w:themeColor="text1"/>
          <w:sz w:val="28"/>
          <w:szCs w:val="28"/>
          <w14:textFill>
            <w14:solidFill>
              <w14:schemeClr w14:val="tx1"/>
            </w14:solidFill>
          </w14:textFill>
        </w:rPr>
        <w:t>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1" w:name="_Toc179632599"/>
      <w:bookmarkStart w:id="2" w:name="_Toc247085739"/>
      <w:bookmarkStart w:id="3" w:name="_Toc152042358"/>
      <w:bookmarkStart w:id="4" w:name="_Toc152045581"/>
      <w:bookmarkStart w:id="5" w:name="_Toc371433002"/>
      <w:bookmarkStart w:id="6" w:name="_Toc144974548"/>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1"/>
      <w:bookmarkEnd w:id="2"/>
      <w:bookmarkEnd w:id="3"/>
      <w:bookmarkEnd w:id="4"/>
      <w:bookmarkEnd w:id="5"/>
      <w:bookmarkEnd w:id="6"/>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p>
    <w:tbl>
      <w:tblPr>
        <w:tblStyle w:val="2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原</w:t>
            </w:r>
            <w:r>
              <w:rPr>
                <w:rFonts w:hint="eastAsia" w:ascii="仿宋_GB2312" w:hAnsi="仿宋_GB2312" w:eastAsia="仿宋_GB2312" w:cs="仿宋_GB2312"/>
                <w:color w:val="000000" w:themeColor="text1"/>
                <w:sz w:val="24"/>
                <w14:textFill>
                  <w14:solidFill>
                    <w14:schemeClr w14:val="tx1"/>
                  </w14:solidFill>
                </w14:textFill>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_GB2312" w:eastAsia="仿宋_GB2312" w:cs="仿宋_GB2312"/>
                <w:color w:val="000000" w:themeColor="text1"/>
                <w:sz w:val="24"/>
                <w14:textFill>
                  <w14:solidFill>
                    <w14:schemeClr w14:val="tx1"/>
                  </w14:solidFill>
                </w14:textFill>
              </w:rPr>
            </w:pPr>
          </w:p>
        </w:tc>
      </w:tr>
    </w:tbl>
    <w:p>
      <w:pPr>
        <w:ind w:left="840" w:hanging="840" w:hangingChars="4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3"/>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_GB2312" w:hAnsi="仿宋_GB2312" w:eastAsia="仿宋_GB2312" w:cs="仿宋_GB2312"/>
          <w:b/>
          <w:bCs/>
          <w:color w:val="000000"/>
          <w:sz w:val="32"/>
          <w:szCs w:val="32"/>
        </w:rPr>
      </w:pPr>
    </w:p>
    <w:p>
      <w:pPr>
        <w:pStyle w:val="5"/>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 w:hAnsi="仿宋" w:eastAsia="仿宋" w:cs="仿宋"/>
          <w:sz w:val="44"/>
          <w:szCs w:val="44"/>
        </w:rPr>
      </w:pPr>
      <w:r>
        <w:rPr>
          <w:rFonts w:hint="eastAsia" w:ascii="仿宋" w:hAnsi="仿宋" w:eastAsia="仿宋" w:cs="仿宋"/>
          <w:bCs/>
          <w:kern w:val="0"/>
          <w:sz w:val="44"/>
          <w:szCs w:val="44"/>
        </w:rPr>
        <w:t>广州市净水有限公司</w:t>
      </w:r>
      <w:r>
        <w:rPr>
          <w:rFonts w:hint="eastAsia" w:ascii="仿宋" w:hAnsi="仿宋" w:eastAsia="仿宋" w:cs="仿宋"/>
          <w:sz w:val="44"/>
          <w:szCs w:val="44"/>
        </w:rPr>
        <w:t>非公开招标项目</w:t>
      </w:r>
    </w:p>
    <w:p>
      <w:pPr>
        <w:tabs>
          <w:tab w:val="left" w:pos="5740"/>
        </w:tabs>
        <w:autoSpaceDE w:val="0"/>
        <w:autoSpaceDN w:val="0"/>
        <w:adjustRightInd w:val="0"/>
        <w:jc w:val="center"/>
        <w:rPr>
          <w:rFonts w:hint="eastAsia" w:ascii="仿宋" w:hAnsi="仿宋" w:eastAsia="仿宋" w:cs="仿宋"/>
          <w:bCs/>
          <w:kern w:val="0"/>
          <w:sz w:val="44"/>
          <w:szCs w:val="44"/>
        </w:rPr>
      </w:pPr>
      <w:r>
        <w:rPr>
          <w:rFonts w:hint="eastAsia" w:ascii="仿宋" w:hAnsi="仿宋" w:eastAsia="仿宋" w:cs="仿宋"/>
          <w:bCs/>
          <w:kern w:val="0"/>
          <w:sz w:val="44"/>
          <w:szCs w:val="44"/>
        </w:rPr>
        <w:t>发包通知书</w:t>
      </w:r>
    </w:p>
    <w:p>
      <w:pPr>
        <w:autoSpaceDE w:val="0"/>
        <w:autoSpaceDN w:val="0"/>
        <w:adjustRightInd w:val="0"/>
        <w:spacing w:after="400"/>
        <w:jc w:val="center"/>
        <w:rPr>
          <w:rFonts w:hint="eastAsia" w:ascii="仿宋" w:hAnsi="仿宋" w:eastAsia="仿宋" w:cs="仿宋"/>
          <w:kern w:val="0"/>
          <w:sz w:val="32"/>
          <w:szCs w:val="32"/>
        </w:rPr>
      </w:pP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广净（非公招）字 [20××]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 w:hAnsi="仿宋" w:eastAsia="仿宋" w:cs="仿宋"/>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pStyle w:val="25"/>
        <w:rPr>
          <w:rFonts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rPr>
          <w:rFonts w:ascii="仿宋_GB2312" w:hAnsi="仿宋_GB2312" w:eastAsia="仿宋_GB2312" w:cs="仿宋_GB2312"/>
          <w:b/>
          <w:kern w:val="0"/>
        </w:rPr>
      </w:pPr>
    </w:p>
    <w:p>
      <w:pPr>
        <w:rPr>
          <w:rFonts w:ascii="仿宋_GB2312" w:hAnsi="仿宋_GB2312" w:eastAsia="仿宋_GB2312" w:cs="仿宋_GB2312"/>
          <w:b/>
          <w:kern w:val="0"/>
        </w:rPr>
      </w:pPr>
    </w:p>
    <w:p>
      <w:pPr>
        <w:widowControl/>
        <w:spacing w:after="160" w:line="259" w:lineRule="auto"/>
        <w:jc w:val="center"/>
        <w:rPr>
          <w:rFonts w:ascii="Calibri" w:hAnsi="Calibri" w:cs="Calibri"/>
          <w:b/>
          <w:sz w:val="48"/>
          <w:szCs w:val="48"/>
        </w:rPr>
      </w:pPr>
      <w:r>
        <w:rPr>
          <w:rFonts w:hint="eastAsia" w:ascii="Calibri" w:hAnsi="Calibri" w:cs="Calibri"/>
          <w:b/>
          <w:sz w:val="48"/>
          <w:szCs w:val="48"/>
        </w:rPr>
        <w:t>广州市净水有限公司</w:t>
      </w:r>
    </w:p>
    <w:p>
      <w:pPr>
        <w:widowControl/>
        <w:spacing w:after="160" w:line="259" w:lineRule="auto"/>
        <w:jc w:val="center"/>
        <w:rPr>
          <w:rFonts w:ascii="Calibri" w:hAnsi="Calibri" w:cs="Calibri"/>
          <w:b/>
          <w:sz w:val="48"/>
          <w:szCs w:val="48"/>
        </w:rPr>
      </w:pPr>
      <w:r>
        <w:rPr>
          <w:rFonts w:hint="eastAsia" w:ascii="Calibri" w:hAnsi="Calibri" w:cs="Calibri"/>
          <w:b/>
          <w:sz w:val="48"/>
          <w:szCs w:val="48"/>
        </w:rPr>
        <w:t>设备采购合同</w:t>
      </w:r>
    </w:p>
    <w:p>
      <w:pPr>
        <w:widowControl/>
        <w:spacing w:after="160" w:line="259" w:lineRule="auto"/>
        <w:jc w:val="center"/>
        <w:rPr>
          <w:rFonts w:ascii="Calibri" w:hAnsi="Calibri" w:cs="Calibri"/>
          <w:sz w:val="30"/>
          <w:szCs w:val="22"/>
        </w:rPr>
      </w:pPr>
    </w:p>
    <w:p>
      <w:pPr>
        <w:widowControl/>
        <w:spacing w:after="160" w:line="259" w:lineRule="auto"/>
        <w:jc w:val="left"/>
        <w:rPr>
          <w:rFonts w:ascii="仿宋" w:hAnsi="仿宋" w:eastAsia="仿宋" w:cs="仿宋_GB2312"/>
          <w:b/>
          <w:sz w:val="30"/>
          <w:szCs w:val="30"/>
        </w:rPr>
      </w:pPr>
      <w:r>
        <w:rPr>
          <w:rFonts w:hint="eastAsia" w:ascii="Calibri" w:hAnsi="Calibri" w:cs="Calibri"/>
          <w:sz w:val="30"/>
          <w:szCs w:val="22"/>
        </w:rPr>
        <w:t>项目名称：</w:t>
      </w:r>
      <w:r>
        <w:rPr>
          <w:rFonts w:hint="eastAsia" w:ascii="Calibri" w:hAnsi="Calibri" w:cs="Calibri"/>
          <w:sz w:val="30"/>
          <w:szCs w:val="22"/>
          <w:lang w:val="en-US" w:eastAsia="zh-CN"/>
        </w:rPr>
        <w:t>广州市净水有限公司</w:t>
      </w:r>
      <w:r>
        <w:rPr>
          <w:rFonts w:hint="eastAsia" w:cs="Calibri" w:asciiTheme="minorEastAsia" w:hAnsiTheme="minorEastAsia" w:eastAsiaTheme="minorEastAsia"/>
          <w:sz w:val="30"/>
          <w:szCs w:val="22"/>
        </w:rPr>
        <w:t>2022年度网络安</w:t>
      </w:r>
      <w:r>
        <w:rPr>
          <w:rFonts w:hint="eastAsia" w:ascii="Calibri" w:hAnsi="Calibri" w:cs="Calibri"/>
          <w:sz w:val="30"/>
          <w:szCs w:val="22"/>
        </w:rPr>
        <w:t>全设备采购项目</w:t>
      </w:r>
      <w:r>
        <w:rPr>
          <w:rFonts w:hint="eastAsia" w:ascii="仿宋" w:hAnsi="仿宋" w:eastAsia="仿宋" w:cs="仿宋_GB2312"/>
          <w:b/>
          <w:sz w:val="30"/>
          <w:szCs w:val="30"/>
        </w:rPr>
        <w:t xml:space="preserve"> </w:t>
      </w:r>
    </w:p>
    <w:p>
      <w:pPr>
        <w:pStyle w:val="2"/>
        <w:ind w:firstLine="0" w:firstLineChars="0"/>
        <w:rPr>
          <w:rFonts w:hint="eastAsia" w:ascii="宋体" w:hAnsi="宋体" w:eastAsia="宋体" w:cs="宋体"/>
          <w:lang w:eastAsia="zh-CN"/>
        </w:rPr>
      </w:pPr>
      <w:r>
        <w:rPr>
          <w:rFonts w:ascii="宋体" w:hAnsi="宋体" w:eastAsia="宋体" w:cs="宋体"/>
          <w:sz w:val="30"/>
          <w:szCs w:val="30"/>
        </w:rPr>
        <w:t>项目编号：</w:t>
      </w:r>
      <w:r>
        <w:rPr>
          <w:rFonts w:hint="eastAsia" w:ascii="仿宋" w:hAnsi="仿宋" w:eastAsia="仿宋" w:cs="仿宋_GB2312"/>
          <w:bCs/>
          <w:color w:val="000000" w:themeColor="text1"/>
          <w:sz w:val="28"/>
          <w:szCs w:val="28"/>
          <w:lang w:val="en-US" w:eastAsia="zh-CN"/>
          <w14:textFill>
            <w14:solidFill>
              <w14:schemeClr w14:val="tx1"/>
            </w14:solidFill>
          </w14:textFill>
        </w:rPr>
        <w:t xml:space="preserve"> </w:t>
      </w:r>
    </w:p>
    <w:p>
      <w:pPr>
        <w:pStyle w:val="2"/>
        <w:ind w:firstLine="640"/>
        <w:rPr>
          <w:rFonts w:hint="default"/>
        </w:rPr>
      </w:pPr>
    </w:p>
    <w:p>
      <w:pPr>
        <w:widowControl/>
        <w:spacing w:after="160" w:line="259" w:lineRule="auto"/>
        <w:jc w:val="left"/>
        <w:rPr>
          <w:rFonts w:ascii="Calibri" w:hAnsi="Calibri" w:cs="Calibri"/>
          <w:sz w:val="30"/>
          <w:szCs w:val="22"/>
        </w:rPr>
      </w:pPr>
    </w:p>
    <w:p>
      <w:pPr>
        <w:widowControl/>
        <w:spacing w:after="160" w:line="259" w:lineRule="auto"/>
        <w:jc w:val="left"/>
        <w:rPr>
          <w:rFonts w:ascii="宋体" w:hAnsi="宋体" w:cs="宋体"/>
          <w:b/>
          <w:bCs/>
          <w:sz w:val="30"/>
          <w:szCs w:val="30"/>
        </w:rPr>
      </w:pPr>
      <w:r>
        <w:rPr>
          <w:rFonts w:hint="eastAsia" w:ascii="Calibri" w:hAnsi="Calibri" w:cs="Calibri"/>
          <w:sz w:val="30"/>
          <w:szCs w:val="22"/>
        </w:rPr>
        <w:t>合同编号：</w:t>
      </w:r>
      <w:r>
        <w:rPr>
          <w:rFonts w:hint="eastAsia" w:ascii="宋体" w:hAnsi="宋体" w:cs="宋体"/>
          <w:b/>
          <w:bCs/>
          <w:sz w:val="30"/>
          <w:szCs w:val="30"/>
        </w:rPr>
        <w:t>穗净水合</w:t>
      </w:r>
      <w:r>
        <w:rPr>
          <w:rFonts w:ascii="宋体" w:hAnsi="宋体" w:cs="宋体"/>
          <w:b/>
          <w:bCs/>
          <w:sz w:val="30"/>
          <w:szCs w:val="30"/>
        </w:rPr>
        <w:t xml:space="preserve">[     ]    </w:t>
      </w:r>
      <w:r>
        <w:rPr>
          <w:rFonts w:hint="eastAsia" w:ascii="宋体" w:hAnsi="宋体" w:cs="宋体"/>
          <w:b/>
          <w:bCs/>
          <w:sz w:val="30"/>
          <w:szCs w:val="30"/>
        </w:rPr>
        <w:t>号</w:t>
      </w:r>
    </w:p>
    <w:p>
      <w:pPr>
        <w:pStyle w:val="2"/>
        <w:ind w:firstLine="0" w:firstLineChars="0"/>
        <w:rPr>
          <w:rFonts w:hint="default" w:ascii="Calibri" w:hAnsi="Calibri" w:cs="Calibri"/>
          <w:sz w:val="30"/>
          <w:szCs w:val="30"/>
        </w:rPr>
      </w:pPr>
    </w:p>
    <w:p>
      <w:pPr>
        <w:widowControl/>
        <w:spacing w:after="160" w:line="259" w:lineRule="auto"/>
        <w:jc w:val="left"/>
        <w:rPr>
          <w:rFonts w:ascii="Calibri" w:hAnsi="Calibri" w:cs="Calibri"/>
          <w:sz w:val="30"/>
          <w:szCs w:val="30"/>
        </w:rPr>
      </w:pPr>
    </w:p>
    <w:p>
      <w:pPr>
        <w:widowControl/>
        <w:spacing w:after="160" w:line="259" w:lineRule="auto"/>
        <w:jc w:val="left"/>
        <w:rPr>
          <w:rFonts w:ascii="Calibri" w:hAnsi="Calibri" w:cs="Calibri"/>
          <w:sz w:val="30"/>
          <w:szCs w:val="22"/>
          <w:u w:val="single"/>
        </w:rPr>
      </w:pPr>
      <w:r>
        <w:rPr>
          <w:rFonts w:hint="eastAsia" w:ascii="Calibri" w:hAnsi="Calibri" w:cs="Calibri"/>
          <w:sz w:val="30"/>
          <w:szCs w:val="22"/>
        </w:rPr>
        <w:t>甲方（买方）：</w:t>
      </w:r>
      <w:r>
        <w:rPr>
          <w:rFonts w:hint="eastAsia" w:ascii="Calibri" w:hAnsi="Calibri" w:cs="Calibri"/>
          <w:sz w:val="30"/>
          <w:szCs w:val="22"/>
          <w:u w:val="single"/>
        </w:rPr>
        <w:t>广州市净水有限公司</w:t>
      </w:r>
    </w:p>
    <w:p>
      <w:pPr>
        <w:widowControl/>
        <w:spacing w:after="160" w:line="259" w:lineRule="auto"/>
        <w:jc w:val="left"/>
        <w:rPr>
          <w:rFonts w:ascii="Calibri" w:hAnsi="Calibri" w:cs="Calibri"/>
          <w:sz w:val="30"/>
          <w:szCs w:val="22"/>
        </w:rPr>
      </w:pPr>
      <w:r>
        <w:rPr>
          <w:rFonts w:hint="eastAsia" w:ascii="Calibri" w:hAnsi="Calibri" w:cs="Calibri"/>
          <w:sz w:val="30"/>
          <w:szCs w:val="22"/>
        </w:rPr>
        <w:t>乙方（卖方）：</w:t>
      </w:r>
      <w:r>
        <w:rPr>
          <w:rFonts w:hint="eastAsia" w:ascii="宋体" w:hAnsi="宋体" w:cs="宋体"/>
          <w:sz w:val="30"/>
          <w:szCs w:val="30"/>
          <w:u w:val="single"/>
        </w:rPr>
        <w:t xml:space="preserve">                  </w:t>
      </w:r>
    </w:p>
    <w:p>
      <w:pPr>
        <w:widowControl/>
        <w:spacing w:after="160" w:line="259" w:lineRule="auto"/>
        <w:jc w:val="left"/>
        <w:rPr>
          <w:rFonts w:ascii="Calibri" w:hAnsi="Calibri" w:cs="Calibri"/>
          <w:sz w:val="30"/>
          <w:szCs w:val="22"/>
        </w:rPr>
      </w:pPr>
    </w:p>
    <w:p>
      <w:pPr>
        <w:widowControl/>
        <w:spacing w:after="160" w:line="259" w:lineRule="auto"/>
        <w:jc w:val="left"/>
        <w:rPr>
          <w:rFonts w:ascii="Calibri" w:hAnsi="Calibri" w:cs="Calibri"/>
          <w:sz w:val="30"/>
          <w:szCs w:val="22"/>
        </w:rPr>
      </w:pPr>
      <w:r>
        <w:rPr>
          <w:rFonts w:hint="eastAsia" w:ascii="Calibri" w:hAnsi="Calibri" w:cs="Calibri"/>
          <w:sz w:val="30"/>
          <w:szCs w:val="22"/>
        </w:rPr>
        <w:t>签订日期：</w:t>
      </w:r>
      <w:r>
        <w:rPr>
          <w:rFonts w:ascii="Calibri" w:hAnsi="Calibri" w:cs="Calibri"/>
          <w:sz w:val="30"/>
          <w:szCs w:val="22"/>
        </w:rPr>
        <w:t xml:space="preserve">           </w:t>
      </w:r>
      <w:r>
        <w:rPr>
          <w:rFonts w:hint="eastAsia" w:ascii="Calibri" w:hAnsi="Calibri" w:cs="Calibri"/>
          <w:sz w:val="30"/>
          <w:szCs w:val="22"/>
        </w:rPr>
        <w:t>年</w:t>
      </w:r>
      <w:r>
        <w:rPr>
          <w:rFonts w:ascii="Calibri" w:hAnsi="Calibri" w:cs="Calibri"/>
          <w:sz w:val="30"/>
          <w:szCs w:val="22"/>
        </w:rPr>
        <w:t xml:space="preserve">       </w:t>
      </w:r>
      <w:r>
        <w:rPr>
          <w:rFonts w:hint="eastAsia" w:ascii="Calibri" w:hAnsi="Calibri" w:cs="Calibri"/>
          <w:sz w:val="30"/>
          <w:szCs w:val="22"/>
        </w:rPr>
        <w:t>月</w:t>
      </w:r>
      <w:r>
        <w:rPr>
          <w:rFonts w:ascii="Calibri" w:hAnsi="Calibri" w:cs="Calibri"/>
          <w:sz w:val="30"/>
          <w:szCs w:val="22"/>
        </w:rPr>
        <w:t xml:space="preserve">     </w:t>
      </w:r>
      <w:r>
        <w:rPr>
          <w:rFonts w:hint="eastAsia" w:ascii="Calibri" w:hAnsi="Calibri" w:cs="Calibri"/>
          <w:sz w:val="30"/>
          <w:szCs w:val="22"/>
        </w:rPr>
        <w:t>日</w:t>
      </w:r>
    </w:p>
    <w:p>
      <w:pPr>
        <w:widowControl/>
        <w:spacing w:after="160" w:line="259" w:lineRule="auto"/>
        <w:jc w:val="left"/>
        <w:rPr>
          <w:rFonts w:ascii="Calibri" w:hAnsi="Calibri" w:cs="Calibri"/>
          <w:sz w:val="30"/>
          <w:szCs w:val="22"/>
        </w:rPr>
      </w:pPr>
      <w:r>
        <w:rPr>
          <w:rFonts w:hint="eastAsia" w:ascii="Calibri" w:hAnsi="Calibri" w:cs="Calibri"/>
          <w:sz w:val="30"/>
          <w:szCs w:val="22"/>
        </w:rPr>
        <w:t>签约地点：广州市</w:t>
      </w:r>
    </w:p>
    <w:p>
      <w:pPr>
        <w:pStyle w:val="27"/>
        <w:ind w:firstLine="210"/>
      </w:pPr>
    </w:p>
    <w:p>
      <w:pPr>
        <w:rPr>
          <w:rFonts w:hint="eastAsia" w:ascii="宋体" w:hAnsi="宋体" w:cs="宋体"/>
          <w:sz w:val="24"/>
        </w:rPr>
      </w:pPr>
      <w:r>
        <w:rPr>
          <w:rFonts w:hint="eastAsia" w:ascii="宋体" w:hAnsi="宋体" w:cs="宋体"/>
          <w:sz w:val="24"/>
        </w:rPr>
        <w:br w:type="page"/>
      </w:r>
    </w:p>
    <w:p>
      <w:pPr>
        <w:widowControl/>
        <w:spacing w:after="160" w:line="360" w:lineRule="auto"/>
        <w:ind w:firstLine="480" w:firstLineChars="200"/>
        <w:jc w:val="left"/>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ascii="宋体" w:hAnsi="宋体" w:cs="宋体"/>
          <w:sz w:val="24"/>
        </w:rPr>
        <w:t xml:space="preserve"> </w:t>
      </w:r>
      <w:r>
        <w:rPr>
          <w:rFonts w:hint="eastAsia" w:ascii="宋体" w:hAnsi="宋体" w:cs="宋体"/>
          <w:sz w:val="24"/>
        </w:rPr>
        <w:t>（以下简称“甲方”）与</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（以下简称“乙方”）就</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 xml:space="preserve"> 2022年度网络安全设备采购项目</w:t>
      </w:r>
      <w:r>
        <w:rPr>
          <w:rFonts w:ascii="宋体" w:hAnsi="宋体" w:cs="宋体"/>
          <w:sz w:val="24"/>
          <w:u w:val="single"/>
        </w:rPr>
        <w:t xml:space="preserve"> </w:t>
      </w:r>
      <w:r>
        <w:rPr>
          <w:rFonts w:hint="eastAsia" w:ascii="宋体" w:hAnsi="宋体" w:cs="宋体"/>
          <w:sz w:val="24"/>
        </w:rPr>
        <w:t>采购和相应技术服务事宜，遵循平等、自愿、公平和诚实信用的原则，双方协商一致，订立本合同。</w:t>
      </w:r>
      <w:bookmarkStart w:id="7" w:name="_Toc1018"/>
      <w:bookmarkStart w:id="8" w:name="_Toc518992986"/>
      <w:bookmarkStart w:id="9" w:name="_Toc183666513"/>
      <w:bookmarkStart w:id="10" w:name="_Toc520190026"/>
      <w:bookmarkStart w:id="11" w:name="_Toc474245210"/>
    </w:p>
    <w:p>
      <w:pPr>
        <w:widowControl/>
        <w:spacing w:after="160" w:line="360" w:lineRule="auto"/>
        <w:ind w:firstLine="540"/>
        <w:jc w:val="left"/>
        <w:rPr>
          <w:rFonts w:ascii="宋体" w:hAnsi="宋体" w:cs="宋体"/>
          <w:b/>
          <w:bCs/>
          <w:sz w:val="24"/>
        </w:rPr>
      </w:pPr>
      <w:r>
        <w:rPr>
          <w:rFonts w:ascii="宋体" w:hAnsi="宋体" w:cs="宋体"/>
          <w:b/>
          <w:bCs/>
          <w:sz w:val="24"/>
        </w:rPr>
        <w:t>第一条 组成合同的文件及优先顺序</w:t>
      </w:r>
    </w:p>
    <w:p>
      <w:pPr>
        <w:widowControl/>
        <w:spacing w:after="160" w:line="360" w:lineRule="auto"/>
        <w:ind w:firstLine="480" w:firstLineChars="200"/>
        <w:jc w:val="left"/>
        <w:rPr>
          <w:rFonts w:ascii="宋体" w:hAnsi="宋体" w:cs="宋体"/>
          <w:sz w:val="24"/>
        </w:rPr>
      </w:pPr>
      <w:r>
        <w:rPr>
          <w:rFonts w:hint="eastAsia" w:ascii="Calibri" w:hAnsi="宋体" w:cs="宋体"/>
          <w:bCs/>
          <w:sz w:val="24"/>
          <w:szCs w:val="22"/>
        </w:rPr>
        <w:t>下列文件（如有）均为本合同的组成部分，可视为能相互说明和补充的，如果合同文件存在歧义或相矛盾的地方，则根据以下次序判断：</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⑴</w:t>
      </w:r>
      <w:r>
        <w:rPr>
          <w:rFonts w:ascii="宋体" w:hAnsi="宋体" w:cs="宋体"/>
          <w:bCs/>
          <w:sz w:val="24"/>
          <w:szCs w:val="22"/>
        </w:rPr>
        <w:t xml:space="preserve"> </w:t>
      </w:r>
      <w:r>
        <w:rPr>
          <w:rFonts w:hint="eastAsia" w:ascii="宋体" w:hAnsi="宋体" w:cs="宋体"/>
          <w:sz w:val="24"/>
          <w:szCs w:val="22"/>
        </w:rPr>
        <w:t>在本合同实施过程双方签署的补充与修正文件</w:t>
      </w:r>
      <w:r>
        <w:rPr>
          <w:rFonts w:hint="eastAsia" w:ascii="宋体" w:hAnsi="宋体" w:cs="宋体"/>
          <w:bCs/>
          <w:sz w:val="24"/>
          <w:szCs w:val="22"/>
        </w:rPr>
        <w:t>；</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⑵</w:t>
      </w:r>
      <w:r>
        <w:rPr>
          <w:rFonts w:ascii="宋体" w:hAnsi="宋体" w:cs="宋体"/>
          <w:bCs/>
          <w:sz w:val="24"/>
          <w:szCs w:val="22"/>
        </w:rPr>
        <w:t xml:space="preserve"> </w:t>
      </w:r>
      <w:r>
        <w:rPr>
          <w:rFonts w:hint="eastAsia" w:ascii="宋体" w:hAnsi="宋体" w:cs="宋体"/>
          <w:bCs/>
          <w:sz w:val="24"/>
          <w:szCs w:val="22"/>
        </w:rPr>
        <w:t>本合同书；</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⑶</w:t>
      </w:r>
      <w:r>
        <w:rPr>
          <w:rFonts w:ascii="宋体" w:hAnsi="宋体" w:cs="宋体"/>
          <w:bCs/>
          <w:sz w:val="24"/>
          <w:szCs w:val="22"/>
        </w:rPr>
        <w:t xml:space="preserve"> </w:t>
      </w:r>
      <w:r>
        <w:rPr>
          <w:rFonts w:hint="eastAsia" w:ascii="宋体" w:hAnsi="宋体" w:cs="宋体"/>
          <w:bCs/>
          <w:sz w:val="24"/>
          <w:szCs w:val="22"/>
        </w:rPr>
        <w:t>中标通知书</w:t>
      </w:r>
      <w:r>
        <w:rPr>
          <w:rFonts w:ascii="宋体" w:hAnsi="宋体" w:cs="宋体"/>
          <w:bCs/>
          <w:sz w:val="24"/>
          <w:szCs w:val="22"/>
        </w:rPr>
        <w:t>/</w:t>
      </w:r>
      <w:r>
        <w:rPr>
          <w:rFonts w:hint="eastAsia" w:ascii="宋体" w:hAnsi="宋体" w:cs="宋体"/>
          <w:bCs/>
          <w:sz w:val="24"/>
          <w:szCs w:val="22"/>
        </w:rPr>
        <w:t>发包通知书</w:t>
      </w:r>
      <w:r>
        <w:rPr>
          <w:rFonts w:ascii="宋体" w:hAnsi="宋体" w:cs="宋体"/>
          <w:bCs/>
          <w:sz w:val="24"/>
          <w:szCs w:val="22"/>
        </w:rPr>
        <w:t>/</w:t>
      </w:r>
      <w:r>
        <w:rPr>
          <w:rFonts w:hint="eastAsia" w:ascii="宋体" w:hAnsi="宋体" w:cs="宋体"/>
          <w:bCs/>
          <w:sz w:val="24"/>
          <w:szCs w:val="22"/>
        </w:rPr>
        <w:t>委托函；</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⑷</w:t>
      </w:r>
      <w:r>
        <w:rPr>
          <w:rFonts w:ascii="宋体" w:hAnsi="宋体" w:cs="宋体"/>
          <w:bCs/>
          <w:sz w:val="24"/>
          <w:szCs w:val="22"/>
        </w:rPr>
        <w:t xml:space="preserve"> </w:t>
      </w:r>
      <w:r>
        <w:rPr>
          <w:rFonts w:hint="eastAsia" w:ascii="宋体" w:hAnsi="宋体" w:cs="宋体"/>
          <w:bCs/>
          <w:sz w:val="24"/>
          <w:szCs w:val="22"/>
        </w:rPr>
        <w:t>招标文件</w:t>
      </w:r>
      <w:r>
        <w:rPr>
          <w:rFonts w:ascii="宋体" w:hAnsi="宋体" w:cs="宋体"/>
          <w:bCs/>
          <w:sz w:val="24"/>
          <w:szCs w:val="22"/>
        </w:rPr>
        <w:t>/</w:t>
      </w:r>
      <w:r>
        <w:rPr>
          <w:rFonts w:hint="eastAsia" w:ascii="宋体" w:hAnsi="宋体" w:cs="宋体"/>
          <w:bCs/>
          <w:sz w:val="24"/>
          <w:szCs w:val="22"/>
        </w:rPr>
        <w:t>询价文件；</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⑸</w:t>
      </w:r>
      <w:r>
        <w:rPr>
          <w:rFonts w:ascii="宋体" w:hAnsi="宋体" w:cs="宋体"/>
          <w:bCs/>
          <w:sz w:val="24"/>
          <w:szCs w:val="22"/>
        </w:rPr>
        <w:t xml:space="preserve"> </w:t>
      </w:r>
      <w:r>
        <w:rPr>
          <w:rFonts w:hint="eastAsia" w:ascii="宋体" w:hAnsi="宋体" w:cs="宋体"/>
          <w:bCs/>
          <w:sz w:val="24"/>
          <w:szCs w:val="22"/>
        </w:rPr>
        <w:t>投标文件</w:t>
      </w:r>
      <w:r>
        <w:rPr>
          <w:rFonts w:ascii="宋体" w:hAnsi="宋体" w:cs="宋体"/>
          <w:bCs/>
          <w:sz w:val="24"/>
          <w:szCs w:val="22"/>
        </w:rPr>
        <w:t>/</w:t>
      </w:r>
      <w:r>
        <w:rPr>
          <w:rFonts w:hint="eastAsia" w:ascii="宋体" w:hAnsi="宋体" w:cs="宋体"/>
          <w:bCs/>
          <w:sz w:val="24"/>
          <w:szCs w:val="22"/>
        </w:rPr>
        <w:t>响应文件；</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⑹</w:t>
      </w:r>
      <w:r>
        <w:rPr>
          <w:rFonts w:ascii="宋体" w:hAnsi="宋体" w:cs="宋体"/>
          <w:bCs/>
          <w:sz w:val="24"/>
          <w:szCs w:val="22"/>
        </w:rPr>
        <w:t xml:space="preserve"> </w:t>
      </w:r>
      <w:r>
        <w:rPr>
          <w:rFonts w:hint="eastAsia" w:ascii="宋体" w:hAnsi="宋体" w:cs="宋体"/>
          <w:bCs/>
          <w:sz w:val="24"/>
          <w:szCs w:val="22"/>
        </w:rPr>
        <w:t>标准、规范及有关技术性文件；</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⑺</w:t>
      </w:r>
      <w:r>
        <w:rPr>
          <w:rFonts w:ascii="宋体" w:hAnsi="宋体" w:cs="宋体"/>
          <w:bCs/>
          <w:sz w:val="24"/>
          <w:szCs w:val="22"/>
        </w:rPr>
        <w:t xml:space="preserve"> </w:t>
      </w:r>
      <w:r>
        <w:rPr>
          <w:rFonts w:hint="eastAsia" w:ascii="宋体" w:hAnsi="宋体" w:cs="宋体"/>
          <w:bCs/>
          <w:sz w:val="24"/>
          <w:szCs w:val="22"/>
        </w:rPr>
        <w:t>图纸；</w:t>
      </w:r>
    </w:p>
    <w:p>
      <w:pPr>
        <w:widowControl/>
        <w:spacing w:after="160" w:line="384" w:lineRule="auto"/>
        <w:ind w:firstLine="482"/>
        <w:jc w:val="left"/>
        <w:rPr>
          <w:rFonts w:ascii="宋体" w:hAnsi="宋体" w:cs="宋体"/>
          <w:bCs/>
          <w:sz w:val="24"/>
          <w:szCs w:val="22"/>
        </w:rPr>
      </w:pPr>
      <w:r>
        <w:rPr>
          <w:rFonts w:hint="eastAsia" w:ascii="宋体" w:hAnsi="宋体" w:cs="宋体"/>
          <w:bCs/>
          <w:sz w:val="24"/>
          <w:szCs w:val="22"/>
        </w:rPr>
        <w:t>⑻</w:t>
      </w:r>
      <w:r>
        <w:rPr>
          <w:rFonts w:ascii="宋体" w:hAnsi="宋体" w:cs="宋体"/>
          <w:bCs/>
          <w:sz w:val="24"/>
          <w:szCs w:val="22"/>
        </w:rPr>
        <w:t xml:space="preserve"> </w:t>
      </w:r>
      <w:r>
        <w:rPr>
          <w:rFonts w:hint="eastAsia" w:ascii="宋体" w:hAnsi="宋体" w:cs="宋体"/>
          <w:bCs/>
          <w:sz w:val="24"/>
          <w:szCs w:val="22"/>
        </w:rPr>
        <w:t>工程量清单</w:t>
      </w:r>
      <w:r>
        <w:rPr>
          <w:rFonts w:ascii="宋体" w:hAnsi="宋体" w:cs="宋体"/>
          <w:bCs/>
          <w:sz w:val="24"/>
          <w:szCs w:val="22"/>
        </w:rPr>
        <w:t>/</w:t>
      </w:r>
      <w:r>
        <w:rPr>
          <w:rFonts w:hint="eastAsia" w:ascii="宋体" w:hAnsi="宋体" w:cs="宋体"/>
          <w:sz w:val="24"/>
          <w:szCs w:val="22"/>
        </w:rPr>
        <w:t>工程报价单或预算书；</w:t>
      </w:r>
    </w:p>
    <w:p>
      <w:pPr>
        <w:widowControl/>
        <w:spacing w:after="160" w:line="360" w:lineRule="auto"/>
        <w:ind w:firstLine="480" w:firstLineChars="200"/>
        <w:jc w:val="left"/>
        <w:rPr>
          <w:rFonts w:ascii="宋体" w:hAnsi="宋体" w:cs="宋体"/>
          <w:sz w:val="24"/>
        </w:rPr>
      </w:pPr>
      <w:r>
        <w:rPr>
          <w:rFonts w:hint="eastAsia" w:ascii="宋体" w:hAnsi="宋体" w:cs="宋体"/>
          <w:bCs/>
          <w:sz w:val="24"/>
          <w:szCs w:val="22"/>
        </w:rPr>
        <w:t>⑼</w:t>
      </w:r>
      <w:r>
        <w:rPr>
          <w:rFonts w:ascii="宋体" w:hAnsi="宋体" w:cs="宋体"/>
          <w:bCs/>
          <w:sz w:val="24"/>
          <w:szCs w:val="22"/>
        </w:rPr>
        <w:t xml:space="preserve"> </w:t>
      </w:r>
      <w:r>
        <w:rPr>
          <w:rFonts w:hint="eastAsia" w:ascii="宋体" w:hAnsi="宋体" w:cs="宋体"/>
          <w:bCs/>
          <w:sz w:val="24"/>
          <w:szCs w:val="22"/>
        </w:rPr>
        <w:t>本合同其他附件；</w:t>
      </w:r>
    </w:p>
    <w:p>
      <w:pPr>
        <w:widowControl/>
        <w:spacing w:after="160" w:line="360" w:lineRule="auto"/>
        <w:jc w:val="left"/>
        <w:rPr>
          <w:rFonts w:ascii="宋体" w:hAnsi="宋体" w:cs="宋体"/>
          <w:bCs/>
          <w:sz w:val="24"/>
        </w:rPr>
      </w:pPr>
      <w:r>
        <w:rPr>
          <w:rFonts w:ascii="宋体" w:hAnsi="宋体" w:cs="宋体"/>
          <w:sz w:val="24"/>
        </w:rPr>
        <w:t xml:space="preserve">   </w:t>
      </w:r>
      <w:r>
        <w:rPr>
          <w:rFonts w:ascii="宋体" w:hAnsi="宋体" w:cs="宋体"/>
          <w:b/>
          <w:bCs/>
          <w:sz w:val="24"/>
        </w:rPr>
        <w:t xml:space="preserve"> </w:t>
      </w:r>
      <w:r>
        <w:rPr>
          <w:rFonts w:hint="eastAsia" w:ascii="宋体" w:hAnsi="宋体" w:cs="宋体"/>
          <w:b/>
          <w:bCs/>
          <w:sz w:val="24"/>
        </w:rPr>
        <w:t>第二条</w:t>
      </w:r>
      <w:r>
        <w:rPr>
          <w:rFonts w:ascii="宋体" w:hAnsi="宋体" w:cs="宋体"/>
          <w:b/>
          <w:bCs/>
          <w:sz w:val="24"/>
        </w:rPr>
        <w:t xml:space="preserve"> </w:t>
      </w:r>
      <w:bookmarkEnd w:id="7"/>
      <w:bookmarkEnd w:id="8"/>
      <w:bookmarkEnd w:id="9"/>
      <w:bookmarkEnd w:id="10"/>
      <w:bookmarkEnd w:id="11"/>
      <w:r>
        <w:rPr>
          <w:rFonts w:hint="eastAsia" w:ascii="宋体" w:hAnsi="宋体" w:cs="宋体"/>
          <w:b/>
          <w:sz w:val="24"/>
        </w:rPr>
        <w:t>合同标的</w:t>
      </w:r>
    </w:p>
    <w:p>
      <w:pPr>
        <w:widowControl/>
        <w:autoSpaceDE w:val="0"/>
        <w:autoSpaceDN w:val="0"/>
        <w:adjustRightInd w:val="0"/>
        <w:spacing w:after="16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本合同所指设备为</w:t>
      </w:r>
      <w:r>
        <w:rPr>
          <w:rFonts w:hint="eastAsia" w:ascii="宋体" w:hAnsi="宋体" w:cs="宋体"/>
          <w:kern w:val="0"/>
          <w:sz w:val="24"/>
          <w:highlight w:val="none"/>
          <w:u w:val="single"/>
          <w:lang w:val="en-US" w:eastAsia="zh-CN"/>
        </w:rPr>
        <w:t xml:space="preserve">      </w:t>
      </w:r>
      <w:r>
        <w:rPr>
          <w:rFonts w:hint="eastAsia" w:ascii="宋体" w:hAnsi="宋体" w:cs="宋体"/>
          <w:kern w:val="0"/>
          <w:sz w:val="24"/>
          <w:lang w:val="zh-CN"/>
        </w:rPr>
        <w:t>全新的原装产品，原产地为</w:t>
      </w:r>
      <w:r>
        <w:rPr>
          <w:rFonts w:ascii="宋体" w:hAnsi="宋体" w:cs="宋体"/>
          <w:kern w:val="0"/>
          <w:sz w:val="24"/>
          <w:highlight w:val="none"/>
          <w:u w:val="single"/>
          <w:lang w:val="zh-CN"/>
        </w:rPr>
        <w:t xml:space="preserve"> </w:t>
      </w:r>
      <w:r>
        <w:rPr>
          <w:rFonts w:hint="eastAsia" w:ascii="宋体" w:hAnsi="宋体" w:cs="宋体"/>
          <w:kern w:val="0"/>
          <w:sz w:val="24"/>
          <w:highlight w:val="none"/>
          <w:u w:val="single"/>
          <w:lang w:val="en-US" w:eastAsia="zh-CN"/>
        </w:rPr>
        <w:t>中国</w:t>
      </w:r>
      <w:r>
        <w:rPr>
          <w:rFonts w:hint="eastAsia" w:ascii="宋体" w:hAnsi="宋体" w:cs="宋体"/>
          <w:kern w:val="0"/>
          <w:sz w:val="24"/>
          <w:highlight w:val="none"/>
          <w:u w:val="single"/>
        </w:rPr>
        <w:t xml:space="preserve"> </w:t>
      </w:r>
      <w:r>
        <w:rPr>
          <w:rFonts w:hint="eastAsia" w:ascii="宋体" w:hAnsi="宋体" w:cs="宋体"/>
          <w:kern w:val="0"/>
          <w:sz w:val="24"/>
        </w:rPr>
        <w:t>其</w:t>
      </w:r>
      <w:r>
        <w:rPr>
          <w:rFonts w:hint="eastAsia" w:ascii="宋体" w:hAnsi="宋体" w:cs="宋体"/>
          <w:kern w:val="0"/>
          <w:sz w:val="24"/>
          <w:lang w:val="zh-CN"/>
        </w:rPr>
        <w:t>名称、型号、规格、数量、金额详见下表：</w:t>
      </w:r>
    </w:p>
    <w:tbl>
      <w:tblPr>
        <w:tblStyle w:val="28"/>
        <w:tblW w:w="9031" w:type="dxa"/>
        <w:jc w:val="center"/>
        <w:tblLayout w:type="fixed"/>
        <w:tblCellMar>
          <w:top w:w="0" w:type="dxa"/>
          <w:left w:w="108" w:type="dxa"/>
          <w:bottom w:w="0" w:type="dxa"/>
          <w:right w:w="108" w:type="dxa"/>
        </w:tblCellMar>
      </w:tblPr>
      <w:tblGrid>
        <w:gridCol w:w="695"/>
        <w:gridCol w:w="944"/>
        <w:gridCol w:w="1068"/>
        <w:gridCol w:w="709"/>
        <w:gridCol w:w="690"/>
        <w:gridCol w:w="915"/>
        <w:gridCol w:w="1065"/>
        <w:gridCol w:w="920"/>
        <w:gridCol w:w="1085"/>
        <w:gridCol w:w="940"/>
      </w:tblGrid>
      <w:tr>
        <w:tblPrEx>
          <w:tblCellMar>
            <w:top w:w="0" w:type="dxa"/>
            <w:left w:w="108" w:type="dxa"/>
            <w:bottom w:w="0" w:type="dxa"/>
            <w:right w:w="108" w:type="dxa"/>
          </w:tblCellMar>
        </w:tblPrEx>
        <w:trPr>
          <w:trHeight w:val="621" w:hRule="atLeast"/>
          <w:jc w:val="center"/>
        </w:trPr>
        <w:tc>
          <w:tcPr>
            <w:tcW w:w="695"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序号</w:t>
            </w:r>
          </w:p>
        </w:tc>
        <w:tc>
          <w:tcPr>
            <w:tcW w:w="944"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名称</w:t>
            </w:r>
          </w:p>
        </w:tc>
        <w:tc>
          <w:tcPr>
            <w:tcW w:w="1068"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备注</w:t>
            </w:r>
          </w:p>
        </w:tc>
      </w:tr>
      <w:tr>
        <w:tblPrEx>
          <w:tblCellMar>
            <w:top w:w="0" w:type="dxa"/>
            <w:left w:w="108" w:type="dxa"/>
            <w:bottom w:w="0" w:type="dxa"/>
            <w:right w:w="108" w:type="dxa"/>
          </w:tblCellMar>
        </w:tblPrEx>
        <w:trPr>
          <w:trHeight w:val="347" w:hRule="atLeast"/>
          <w:jc w:val="center"/>
        </w:trPr>
        <w:tc>
          <w:tcPr>
            <w:tcW w:w="695"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szCs w:val="21"/>
              </w:rPr>
            </w:pPr>
          </w:p>
        </w:tc>
        <w:tc>
          <w:tcPr>
            <w:tcW w:w="944"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szCs w:val="21"/>
              </w:rPr>
            </w:pPr>
          </w:p>
        </w:tc>
        <w:tc>
          <w:tcPr>
            <w:tcW w:w="1068"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szCs w:val="21"/>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szCs w:val="21"/>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不含税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含税</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r>
      <w:tr>
        <w:tblPrEx>
          <w:tblCellMar>
            <w:top w:w="0" w:type="dxa"/>
            <w:left w:w="108" w:type="dxa"/>
            <w:bottom w:w="0" w:type="dxa"/>
            <w:right w:w="108" w:type="dxa"/>
          </w:tblCellMar>
        </w:tblPrEx>
        <w:trPr>
          <w:trHeight w:val="314" w:hRule="atLeast"/>
          <w:jc w:val="center"/>
        </w:trPr>
        <w:tc>
          <w:tcPr>
            <w:tcW w:w="6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ascii="宋体" w:hAnsi="宋体" w:cs="宋体"/>
                <w:kern w:val="0"/>
                <w:szCs w:val="21"/>
                <w:lang w:val="zh-CN"/>
              </w:rPr>
              <w:t>1</w:t>
            </w:r>
          </w:p>
        </w:tc>
        <w:tc>
          <w:tcPr>
            <w:tcW w:w="9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10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r>
      <w:tr>
        <w:tblPrEx>
          <w:tblCellMar>
            <w:top w:w="0" w:type="dxa"/>
            <w:left w:w="108" w:type="dxa"/>
            <w:bottom w:w="0" w:type="dxa"/>
            <w:right w:w="108" w:type="dxa"/>
          </w:tblCellMar>
        </w:tblPrEx>
        <w:trPr>
          <w:trHeight w:val="347" w:hRule="atLeast"/>
          <w:jc w:val="center"/>
        </w:trPr>
        <w:tc>
          <w:tcPr>
            <w:tcW w:w="6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ascii="宋体" w:hAnsi="宋体" w:cs="宋体"/>
                <w:kern w:val="0"/>
                <w:szCs w:val="21"/>
                <w:lang w:val="zh-CN"/>
              </w:rPr>
              <w:t>2</w:t>
            </w:r>
          </w:p>
        </w:tc>
        <w:tc>
          <w:tcPr>
            <w:tcW w:w="9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10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r>
      <w:tr>
        <w:tblPrEx>
          <w:tblCellMar>
            <w:top w:w="0" w:type="dxa"/>
            <w:left w:w="108" w:type="dxa"/>
            <w:bottom w:w="0" w:type="dxa"/>
            <w:right w:w="108" w:type="dxa"/>
          </w:tblCellMar>
        </w:tblPrEx>
        <w:trPr>
          <w:trHeight w:val="231" w:hRule="atLeast"/>
          <w:jc w:val="center"/>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r>
              <w:rPr>
                <w:rFonts w:hint="eastAsia" w:ascii="宋体" w:hAnsi="宋体" w:cs="宋体"/>
                <w:kern w:val="0"/>
                <w:szCs w:val="21"/>
              </w:rPr>
              <w:t>合同暂定总价</w:t>
            </w:r>
          </w:p>
        </w:tc>
        <w:tc>
          <w:tcPr>
            <w:tcW w:w="690" w:type="dxa"/>
            <w:tcBorders>
              <w:top w:val="single" w:color="000000" w:sz="2" w:space="0"/>
              <w:left w:val="single" w:color="000000" w:sz="2" w:space="0"/>
              <w:bottom w:val="single" w:color="000000" w:sz="2" w:space="0"/>
              <w:right w:val="single" w:color="000000" w:sz="2" w:space="0"/>
            </w:tcBorders>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360" w:lineRule="auto"/>
              <w:jc w:val="center"/>
              <w:rPr>
                <w:rFonts w:ascii="宋体" w:hAnsi="宋体" w:cs="宋体"/>
                <w:kern w:val="0"/>
                <w:szCs w:val="21"/>
                <w:lang w:val="zh-CN"/>
              </w:rPr>
            </w:pPr>
          </w:p>
        </w:tc>
      </w:tr>
    </w:tbl>
    <w:p>
      <w:pPr>
        <w:widowControl/>
        <w:spacing w:after="156" w:afterLines="50" w:line="360" w:lineRule="auto"/>
        <w:ind w:firstLine="480" w:firstLineChars="200"/>
        <w:jc w:val="left"/>
        <w:rPr>
          <w:rFonts w:ascii="宋体" w:hAnsi="宋体" w:cs="宋体"/>
          <w:kern w:val="0"/>
          <w:sz w:val="24"/>
        </w:rPr>
      </w:pPr>
      <w:bookmarkStart w:id="12" w:name="_Toc17140"/>
      <w:bookmarkStart w:id="13" w:name="_Toc518992987"/>
      <w:bookmarkStart w:id="14" w:name="_Toc520190027"/>
      <w:bookmarkStart w:id="15" w:name="_Toc474245211"/>
    </w:p>
    <w:p>
      <w:pPr>
        <w:widowControl/>
        <w:spacing w:after="156" w:afterLines="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其他技术需求见附件（如需）。</w:t>
      </w:r>
      <w:bookmarkEnd w:id="12"/>
      <w:bookmarkStart w:id="16" w:name="_Toc183666514"/>
      <w:bookmarkStart w:id="17" w:name="_Toc26357"/>
      <w:bookmarkStart w:id="18" w:name="_Toc107447235"/>
      <w:bookmarkStart w:id="19" w:name="_Toc107446842"/>
    </w:p>
    <w:p>
      <w:pPr>
        <w:widowControl/>
        <w:spacing w:after="156" w:afterLines="50" w:line="360" w:lineRule="auto"/>
        <w:ind w:firstLine="482" w:firstLineChars="200"/>
        <w:jc w:val="left"/>
        <w:rPr>
          <w:rFonts w:ascii="宋体" w:hAnsi="宋体" w:cs="宋体"/>
          <w:sz w:val="24"/>
        </w:rPr>
      </w:pPr>
      <w:r>
        <w:rPr>
          <w:rFonts w:hint="eastAsia" w:ascii="宋体" w:hAnsi="宋体" w:cs="宋体"/>
          <w:b/>
          <w:sz w:val="24"/>
        </w:rPr>
        <w:t>第三条</w:t>
      </w:r>
      <w:r>
        <w:rPr>
          <w:rFonts w:ascii="宋体" w:hAnsi="宋体" w:cs="宋体"/>
          <w:b/>
          <w:sz w:val="24"/>
        </w:rPr>
        <w:t xml:space="preserve"> </w:t>
      </w:r>
      <w:r>
        <w:rPr>
          <w:rFonts w:hint="eastAsia" w:ascii="宋体" w:hAnsi="宋体" w:cs="宋体"/>
          <w:b/>
          <w:sz w:val="24"/>
        </w:rPr>
        <w:t>交货日期及地点</w:t>
      </w:r>
    </w:p>
    <w:p>
      <w:pPr>
        <w:spacing w:after="156" w:afterLines="50" w:line="360" w:lineRule="auto"/>
        <w:ind w:firstLine="480" w:firstLineChars="200"/>
        <w:rPr>
          <w:rFonts w:ascii="宋体" w:hAnsi="宋体" w:cs="宋体"/>
          <w:sz w:val="24"/>
        </w:rPr>
      </w:pPr>
      <w:r>
        <w:rPr>
          <w:rFonts w:ascii="宋体" w:hAnsi="宋体" w:cs="宋体"/>
          <w:sz w:val="24"/>
        </w:rPr>
        <w:t xml:space="preserve">3.1 </w:t>
      </w:r>
      <w:r>
        <w:rPr>
          <w:rFonts w:hint="eastAsia" w:ascii="宋体" w:hAnsi="宋体" w:cs="宋体"/>
          <w:sz w:val="24"/>
        </w:rPr>
        <w:t>交货日期</w:t>
      </w:r>
      <w:r>
        <w:rPr>
          <w:rFonts w:ascii="宋体" w:hAnsi="宋体" w:cs="宋体"/>
          <w:sz w:val="24"/>
        </w:rPr>
        <w:t xml:space="preserve"> </w:t>
      </w:r>
      <w:r>
        <w:rPr>
          <w:rFonts w:hint="eastAsia" w:ascii="宋体" w:hAnsi="宋体" w:cs="宋体"/>
          <w:sz w:val="24"/>
        </w:rPr>
        <w:t>： … 年 … 月 … 日前完成供货（如需有不同交货时间注明）,具体交货时间以甲方通知为准。</w:t>
      </w:r>
    </w:p>
    <w:p>
      <w:pPr>
        <w:widowControl/>
        <w:spacing w:line="360" w:lineRule="auto"/>
        <w:ind w:firstLine="480" w:firstLineChars="200"/>
        <w:jc w:val="left"/>
        <w:rPr>
          <w:rFonts w:ascii="宋体" w:hAnsi="宋体" w:cs="宋体"/>
          <w:bCs/>
          <w:sz w:val="24"/>
        </w:rPr>
      </w:pPr>
      <w:r>
        <w:rPr>
          <w:rFonts w:ascii="宋体" w:hAnsi="宋体" w:cs="宋体"/>
          <w:bCs/>
          <w:sz w:val="24"/>
        </w:rPr>
        <w:t>3.2</w:t>
      </w:r>
      <w:r>
        <w:rPr>
          <w:rFonts w:hint="eastAsia" w:ascii="宋体" w:hAnsi="宋体" w:cs="宋体"/>
          <w:bCs/>
          <w:sz w:val="24"/>
        </w:rPr>
        <w:t>交货地点：</w:t>
      </w:r>
      <w:r>
        <w:rPr>
          <w:rFonts w:ascii="宋体" w:hAnsi="宋体" w:cs="宋体"/>
          <w:bCs/>
          <w:sz w:val="24"/>
          <w:u w:val="single"/>
        </w:rPr>
        <w:t xml:space="preserve"> </w:t>
      </w:r>
      <w:r>
        <w:rPr>
          <w:rFonts w:hint="eastAsia" w:ascii="宋体" w:hAnsi="宋体" w:cs="宋体"/>
          <w:bCs/>
          <w:sz w:val="24"/>
          <w:u w:val="single"/>
        </w:rPr>
        <w:t xml:space="preserve">广州市净水有限公司 </w:t>
      </w:r>
      <w:r>
        <w:rPr>
          <w:rFonts w:ascii="宋体" w:hAnsi="宋体" w:cs="宋体"/>
          <w:bCs/>
          <w:sz w:val="24"/>
        </w:rPr>
        <w:t>,</w:t>
      </w:r>
      <w:r>
        <w:rPr>
          <w:rFonts w:hint="eastAsia" w:ascii="宋体" w:hAnsi="宋体" w:cs="宋体"/>
          <w:bCs/>
          <w:sz w:val="24"/>
        </w:rPr>
        <w:t>最终具体交货地点以甲方书面通知为准。</w:t>
      </w:r>
    </w:p>
    <w:p>
      <w:pPr>
        <w:widowControl/>
        <w:spacing w:line="360" w:lineRule="auto"/>
        <w:ind w:firstLine="480" w:firstLineChars="200"/>
        <w:jc w:val="left"/>
        <w:rPr>
          <w:rFonts w:ascii="宋体" w:hAnsi="宋体" w:cs="宋体"/>
          <w:bCs/>
          <w:sz w:val="24"/>
        </w:rPr>
      </w:pPr>
      <w:r>
        <w:rPr>
          <w:rFonts w:ascii="宋体" w:hAnsi="宋体" w:cs="宋体"/>
          <w:bCs/>
          <w:sz w:val="24"/>
        </w:rPr>
        <w:t xml:space="preserve">3.3 </w:t>
      </w:r>
      <w:r>
        <w:rPr>
          <w:rFonts w:hint="eastAsia" w:ascii="宋体" w:hAnsi="宋体" w:cs="宋体"/>
          <w:bCs/>
          <w:sz w:val="24"/>
        </w:rPr>
        <w:t>交货方式：乙方在设备运至交货地</w:t>
      </w:r>
      <w:r>
        <w:rPr>
          <w:rFonts w:ascii="宋体" w:hAnsi="宋体" w:cs="宋体"/>
          <w:bCs/>
          <w:sz w:val="24"/>
          <w:u w:val="single"/>
        </w:rPr>
        <w:t xml:space="preserve"> 1 </w:t>
      </w:r>
      <w:r>
        <w:rPr>
          <w:rFonts w:hint="eastAsia" w:ascii="宋体" w:hAnsi="宋体" w:cs="宋体"/>
          <w:bCs/>
          <w:sz w:val="24"/>
        </w:rPr>
        <w:t>个工作日前通知甲方。</w:t>
      </w:r>
    </w:p>
    <w:p>
      <w:pPr>
        <w:widowControl/>
        <w:spacing w:line="360" w:lineRule="auto"/>
        <w:ind w:firstLine="480" w:firstLineChars="200"/>
        <w:jc w:val="left"/>
        <w:rPr>
          <w:rFonts w:ascii="宋体" w:hAnsi="宋体" w:cs="宋体"/>
          <w:b/>
          <w:sz w:val="24"/>
        </w:rPr>
      </w:pPr>
      <w:r>
        <w:rPr>
          <w:rFonts w:ascii="宋体" w:hAnsi="宋体" w:cs="宋体"/>
          <w:bCs/>
          <w:sz w:val="24"/>
        </w:rPr>
        <w:t>3.4</w:t>
      </w:r>
      <w:r>
        <w:rPr>
          <w:rFonts w:hint="eastAsia" w:ascii="宋体" w:hAnsi="宋体" w:cs="宋体"/>
          <w:bCs/>
          <w:sz w:val="24"/>
        </w:rPr>
        <w:t>其他：</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p>
    <w:p>
      <w:pPr>
        <w:widowControl/>
        <w:spacing w:line="360" w:lineRule="auto"/>
        <w:ind w:firstLine="482" w:firstLineChars="200"/>
        <w:jc w:val="left"/>
        <w:rPr>
          <w:rFonts w:ascii="宋体" w:hAnsi="宋体" w:cs="宋体"/>
          <w:kern w:val="0"/>
          <w:sz w:val="24"/>
          <w:lang w:val="zh-CN"/>
        </w:rPr>
      </w:pPr>
      <w:r>
        <w:rPr>
          <w:rFonts w:hint="eastAsia" w:ascii="宋体" w:hAnsi="宋体" w:cs="宋体"/>
          <w:b/>
          <w:sz w:val="24"/>
        </w:rPr>
        <w:t>第四条</w:t>
      </w:r>
      <w:r>
        <w:rPr>
          <w:rFonts w:ascii="宋体" w:hAnsi="宋体" w:cs="宋体"/>
          <w:b/>
          <w:sz w:val="24"/>
        </w:rPr>
        <w:t xml:space="preserve"> </w:t>
      </w:r>
      <w:r>
        <w:rPr>
          <w:rFonts w:hint="eastAsia" w:ascii="宋体" w:hAnsi="宋体" w:cs="宋体"/>
          <w:b/>
          <w:sz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widowControl/>
        <w:tabs>
          <w:tab w:val="left" w:pos="851"/>
        </w:tabs>
        <w:adjustRightInd w:val="0"/>
        <w:snapToGrid w:val="0"/>
        <w:spacing w:line="360" w:lineRule="auto"/>
        <w:ind w:firstLine="480" w:firstLineChars="200"/>
        <w:jc w:val="left"/>
        <w:rPr>
          <w:rFonts w:ascii="宋体" w:hAnsi="宋体" w:cs="宋体"/>
          <w:kern w:val="0"/>
          <w:sz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widowControl/>
        <w:autoSpaceDE w:val="0"/>
        <w:autoSpaceDN w:val="0"/>
        <w:adjustRightInd w:val="0"/>
        <w:spacing w:line="360" w:lineRule="auto"/>
        <w:ind w:firstLine="482" w:firstLineChars="200"/>
        <w:jc w:val="left"/>
        <w:rPr>
          <w:rFonts w:ascii="宋体" w:hAnsi="宋体" w:cs="宋体"/>
          <w:b/>
          <w:sz w:val="24"/>
        </w:rPr>
      </w:pPr>
      <w:bookmarkStart w:id="20" w:name="_Toc518992989"/>
      <w:bookmarkStart w:id="21" w:name="_Toc520190029"/>
      <w:bookmarkStart w:id="22" w:name="_Toc474245213"/>
      <w:bookmarkStart w:id="23" w:name="_Toc107446843"/>
      <w:bookmarkStart w:id="24" w:name="_Toc107447236"/>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支付方式</w:t>
      </w:r>
      <w:bookmarkEnd w:id="20"/>
      <w:bookmarkEnd w:id="21"/>
      <w:bookmarkEnd w:id="22"/>
    </w:p>
    <w:bookmarkEnd w:id="23"/>
    <w:bookmarkEnd w:id="24"/>
    <w:p>
      <w:pPr>
        <w:widowControl/>
        <w:tabs>
          <w:tab w:val="left" w:pos="851"/>
        </w:tabs>
        <w:adjustRightInd w:val="0"/>
        <w:snapToGrid w:val="0"/>
        <w:spacing w:line="360" w:lineRule="auto"/>
        <w:ind w:firstLine="480" w:firstLineChars="200"/>
        <w:jc w:val="left"/>
        <w:rPr>
          <w:rFonts w:ascii="宋体" w:hAnsi="宋体" w:cs="宋体"/>
          <w:sz w:val="24"/>
        </w:rPr>
      </w:pPr>
      <w:bookmarkStart w:id="25" w:name="_Toc183666516"/>
      <w:bookmarkStart w:id="26" w:name="_Toc14703"/>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bCs/>
          <w:sz w:val="24"/>
        </w:rPr>
        <w:t>合同签订后，乙方开具等额的增值税专用发票及提交履约担保（如有）后</w:t>
      </w:r>
      <w:r>
        <w:rPr>
          <w:rFonts w:ascii="宋体" w:hAnsi="宋体" w:cs="宋体"/>
          <w:bCs/>
          <w:sz w:val="24"/>
          <w:u w:val="single"/>
        </w:rPr>
        <w:t>10</w:t>
      </w:r>
      <w:r>
        <w:rPr>
          <w:rFonts w:hint="eastAsia" w:ascii="宋体" w:hAnsi="宋体" w:cs="宋体"/>
          <w:bCs/>
          <w:sz w:val="24"/>
        </w:rPr>
        <w:t>个工作日内，甲方支付合同暂定总价的</w:t>
      </w:r>
      <w:r>
        <w:rPr>
          <w:rFonts w:ascii="宋体" w:hAnsi="宋体" w:cs="宋体"/>
          <w:bCs/>
          <w:sz w:val="24"/>
        </w:rPr>
        <w:t xml:space="preserve"> </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widowControl/>
        <w:tabs>
          <w:tab w:val="left" w:pos="851"/>
        </w:tabs>
        <w:adjustRightInd w:val="0"/>
        <w:snapToGrid w:val="0"/>
        <w:spacing w:line="360" w:lineRule="auto"/>
        <w:ind w:firstLine="480" w:firstLineChars="200"/>
        <w:jc w:val="left"/>
        <w:rPr>
          <w:rFonts w:ascii="宋体" w:hAnsi="宋体" w:cs="宋体"/>
          <w:bCs/>
          <w:sz w:val="24"/>
        </w:rPr>
      </w:pPr>
      <w:r>
        <w:rPr>
          <w:rFonts w:ascii="宋体" w:hAnsi="宋体" w:cs="宋体"/>
          <w:sz w:val="24"/>
        </w:rPr>
        <w:t xml:space="preserve">5.2 </w:t>
      </w:r>
      <w:r>
        <w:rPr>
          <w:rFonts w:hint="eastAsia" w:ascii="宋体" w:hAnsi="宋体" w:cs="宋体"/>
          <w:sz w:val="24"/>
        </w:rPr>
        <w:t>支付方式：</w:t>
      </w:r>
    </w:p>
    <w:p>
      <w:pPr>
        <w:widowControl/>
        <w:tabs>
          <w:tab w:val="left" w:pos="851"/>
        </w:tabs>
        <w:adjustRightInd w:val="0"/>
        <w:snapToGrid w:val="0"/>
        <w:spacing w:line="360" w:lineRule="auto"/>
        <w:ind w:firstLine="480" w:firstLineChars="200"/>
        <w:jc w:val="left"/>
        <w:rPr>
          <w:rFonts w:hint="default" w:ascii="宋体" w:hAnsi="宋体" w:eastAsia="宋体" w:cs="宋体"/>
          <w:sz w:val="24"/>
          <w:szCs w:val="24"/>
          <w:u w:val="none"/>
        </w:rPr>
      </w:pPr>
      <w:r>
        <w:rPr>
          <w:rFonts w:ascii="宋体" w:hAnsi="宋体" w:eastAsia="宋体" w:cs="宋体"/>
          <w:sz w:val="24"/>
        </w:rPr>
        <w:t>5.2.1</w:t>
      </w:r>
      <w:r>
        <w:rPr>
          <w:rFonts w:hint="default" w:ascii="宋体" w:hAnsi="宋体" w:eastAsia="宋体" w:cs="宋体"/>
          <w:sz w:val="24"/>
          <w:szCs w:val="24"/>
        </w:rPr>
        <w:t>乙方完成</w:t>
      </w:r>
      <w:r>
        <w:rPr>
          <w:rFonts w:hint="default" w:ascii="宋体" w:hAnsi="宋体" w:eastAsia="宋体" w:cs="宋体"/>
          <w:sz w:val="24"/>
          <w:szCs w:val="24"/>
          <w:u w:val="none"/>
        </w:rPr>
        <w:t xml:space="preserve"> </w:t>
      </w:r>
      <w:r>
        <w:rPr>
          <w:rFonts w:hint="default" w:ascii="宋体" w:hAnsi="宋体" w:eastAsia="宋体" w:cs="宋体"/>
          <w:sz w:val="24"/>
          <w:szCs w:val="24"/>
          <w:u w:val="none"/>
          <w:lang w:val="en-US" w:eastAsia="zh-CN"/>
        </w:rPr>
        <w:t>合同涉及的所有设备到货</w:t>
      </w:r>
      <w:r>
        <w:rPr>
          <w:rFonts w:hint="default" w:ascii="宋体" w:hAnsi="宋体" w:eastAsia="宋体" w:cs="宋体"/>
          <w:sz w:val="24"/>
          <w:szCs w:val="24"/>
          <w:u w:val="none"/>
        </w:rPr>
        <w:t>且经甲方验收合格，</w:t>
      </w:r>
      <w:r>
        <w:rPr>
          <w:rFonts w:hint="default" w:ascii="宋体" w:hAnsi="宋体" w:eastAsia="宋体" w:cs="宋体"/>
          <w:sz w:val="24"/>
          <w:szCs w:val="24"/>
        </w:rPr>
        <w:t>由乙方</w:t>
      </w:r>
      <w:r>
        <w:rPr>
          <w:rFonts w:hint="default" w:ascii="宋体" w:hAnsi="宋体" w:eastAsia="宋体" w:cs="宋体"/>
          <w:sz w:val="24"/>
          <w:szCs w:val="24"/>
          <w:u w:val="none"/>
        </w:rPr>
        <w:t xml:space="preserve">提交申请支付资料 </w:t>
      </w:r>
      <w:r>
        <w:rPr>
          <w:rFonts w:hint="default" w:ascii="宋体" w:hAnsi="宋体" w:eastAsia="宋体" w:cs="宋体"/>
          <w:sz w:val="24"/>
          <w:szCs w:val="24"/>
          <w:u w:val="none"/>
          <w:lang w:val="en-US" w:eastAsia="zh-CN"/>
        </w:rPr>
        <w:t>15</w:t>
      </w:r>
      <w:r>
        <w:rPr>
          <w:rFonts w:hint="default" w:ascii="宋体" w:hAnsi="宋体" w:eastAsia="宋体" w:cs="宋体"/>
          <w:sz w:val="24"/>
          <w:szCs w:val="24"/>
          <w:u w:val="none"/>
        </w:rPr>
        <w:t xml:space="preserve"> </w:t>
      </w:r>
      <w:r>
        <w:rPr>
          <w:rFonts w:hint="default" w:ascii="宋体" w:hAnsi="宋体" w:eastAsia="宋体" w:cs="宋体"/>
          <w:sz w:val="24"/>
          <w:szCs w:val="24"/>
        </w:rPr>
        <w:t>个工作日内，甲方支付至合同暂定总价的</w:t>
      </w:r>
      <w:r>
        <w:rPr>
          <w:rFonts w:hint="default" w:ascii="宋体" w:hAnsi="宋体" w:eastAsia="宋体" w:cs="宋体"/>
          <w:sz w:val="24"/>
          <w:szCs w:val="24"/>
          <w:u w:val="none"/>
        </w:rPr>
        <w:t xml:space="preserve"> </w:t>
      </w:r>
      <w:r>
        <w:rPr>
          <w:rFonts w:hint="default" w:ascii="宋体" w:hAnsi="宋体" w:eastAsia="宋体" w:cs="宋体"/>
          <w:sz w:val="24"/>
          <w:szCs w:val="24"/>
          <w:u w:val="none"/>
          <w:lang w:val="en-US" w:eastAsia="zh-CN"/>
        </w:rPr>
        <w:t>30</w:t>
      </w:r>
      <w:r>
        <w:rPr>
          <w:rFonts w:hint="default" w:ascii="宋体" w:hAnsi="宋体" w:eastAsia="宋体" w:cs="宋体"/>
          <w:sz w:val="24"/>
          <w:szCs w:val="24"/>
          <w:u w:val="none"/>
        </w:rPr>
        <w:t>%</w:t>
      </w:r>
      <w:r>
        <w:rPr>
          <w:rFonts w:hint="default" w:ascii="宋体" w:hAnsi="宋体" w:eastAsia="宋体" w:cs="宋体"/>
          <w:sz w:val="24"/>
          <w:szCs w:val="24"/>
          <w:u w:val="none"/>
          <w:lang w:eastAsia="zh-CN"/>
        </w:rPr>
        <w:t>，</w:t>
      </w:r>
      <w:r>
        <w:rPr>
          <w:rFonts w:hint="default" w:ascii="宋体" w:hAnsi="宋体" w:eastAsia="宋体" w:cs="宋体"/>
          <w:sz w:val="24"/>
          <w:szCs w:val="24"/>
          <w:u w:val="none"/>
        </w:rPr>
        <w:t>即 …元，（大写：…）。</w:t>
      </w:r>
    </w:p>
    <w:p>
      <w:pPr>
        <w:widowControl/>
        <w:tabs>
          <w:tab w:val="left" w:pos="851"/>
        </w:tabs>
        <w:adjustRightInd w:val="0"/>
        <w:snapToGrid w:val="0"/>
        <w:spacing w:line="360" w:lineRule="auto"/>
        <w:ind w:firstLine="480" w:firstLineChars="200"/>
        <w:jc w:val="left"/>
        <w:rPr>
          <w:rFonts w:hint="default" w:ascii="宋体" w:hAnsi="宋体" w:eastAsia="宋体" w:cs="宋体"/>
          <w:sz w:val="24"/>
          <w:szCs w:val="24"/>
          <w:u w:val="none"/>
        </w:rPr>
      </w:pPr>
      <w:r>
        <w:rPr>
          <w:rFonts w:ascii="宋体" w:hAnsi="宋体" w:eastAsia="宋体" w:cs="宋体"/>
          <w:sz w:val="24"/>
        </w:rPr>
        <w:t>5.2.</w:t>
      </w:r>
      <w:r>
        <w:rPr>
          <w:rFonts w:hint="default" w:ascii="宋体" w:hAnsi="宋体" w:eastAsia="宋体" w:cs="宋体"/>
          <w:sz w:val="24"/>
          <w:lang w:val="en-US" w:eastAsia="zh-CN"/>
        </w:rPr>
        <w:t>2</w:t>
      </w:r>
      <w:r>
        <w:rPr>
          <w:rFonts w:hint="default" w:ascii="宋体" w:hAnsi="宋体" w:eastAsia="宋体" w:cs="宋体"/>
          <w:sz w:val="24"/>
          <w:szCs w:val="24"/>
        </w:rPr>
        <w:t>乙方完成</w:t>
      </w:r>
      <w:r>
        <w:rPr>
          <w:rFonts w:hint="default" w:ascii="宋体" w:hAnsi="宋体" w:eastAsia="宋体" w:cs="宋体"/>
          <w:sz w:val="24"/>
          <w:szCs w:val="24"/>
          <w:u w:val="none"/>
        </w:rPr>
        <w:t xml:space="preserve"> </w:t>
      </w:r>
      <w:r>
        <w:rPr>
          <w:rFonts w:hint="default" w:ascii="宋体" w:hAnsi="宋体" w:eastAsia="宋体" w:cs="宋体"/>
          <w:sz w:val="24"/>
          <w:szCs w:val="24"/>
          <w:u w:val="none"/>
          <w:lang w:val="en-US" w:eastAsia="zh-CN"/>
        </w:rPr>
        <w:t>设备安装部署</w:t>
      </w:r>
      <w:r>
        <w:rPr>
          <w:rFonts w:hint="default" w:ascii="宋体" w:hAnsi="宋体" w:eastAsia="宋体" w:cs="宋体"/>
          <w:sz w:val="24"/>
          <w:szCs w:val="24"/>
          <w:u w:val="none"/>
        </w:rPr>
        <w:t>且经甲方</w:t>
      </w:r>
      <w:r>
        <w:rPr>
          <w:rFonts w:hint="default" w:ascii="宋体" w:hAnsi="宋体" w:eastAsia="宋体" w:cs="宋体"/>
          <w:sz w:val="24"/>
          <w:szCs w:val="24"/>
          <w:u w:val="none"/>
          <w:lang w:val="en-US" w:eastAsia="zh-CN"/>
        </w:rPr>
        <w:t>确认运作正常后</w:t>
      </w:r>
      <w:r>
        <w:rPr>
          <w:rFonts w:hint="default" w:ascii="宋体" w:hAnsi="宋体" w:eastAsia="宋体" w:cs="宋体"/>
          <w:sz w:val="24"/>
          <w:szCs w:val="24"/>
          <w:u w:val="none"/>
        </w:rPr>
        <w:t>，</w:t>
      </w:r>
      <w:r>
        <w:rPr>
          <w:rFonts w:hint="default" w:ascii="宋体" w:hAnsi="宋体" w:eastAsia="宋体" w:cs="宋体"/>
          <w:sz w:val="24"/>
          <w:szCs w:val="24"/>
        </w:rPr>
        <w:t>由乙方</w:t>
      </w:r>
      <w:r>
        <w:rPr>
          <w:rFonts w:hint="default" w:ascii="宋体" w:hAnsi="宋体" w:eastAsia="宋体" w:cs="宋体"/>
          <w:sz w:val="24"/>
          <w:szCs w:val="24"/>
          <w:u w:val="none"/>
        </w:rPr>
        <w:t xml:space="preserve">提交申请支付资料 </w:t>
      </w:r>
      <w:r>
        <w:rPr>
          <w:rFonts w:hint="default" w:ascii="宋体" w:hAnsi="宋体" w:eastAsia="宋体" w:cs="宋体"/>
          <w:sz w:val="24"/>
          <w:szCs w:val="24"/>
          <w:u w:val="none"/>
          <w:lang w:val="en-US" w:eastAsia="zh-CN"/>
        </w:rPr>
        <w:t>15</w:t>
      </w:r>
      <w:r>
        <w:rPr>
          <w:rFonts w:hint="default" w:ascii="宋体" w:hAnsi="宋体" w:eastAsia="宋体" w:cs="宋体"/>
          <w:sz w:val="24"/>
          <w:szCs w:val="24"/>
          <w:u w:val="none"/>
        </w:rPr>
        <w:t xml:space="preserve"> </w:t>
      </w:r>
      <w:r>
        <w:rPr>
          <w:rFonts w:hint="default" w:ascii="宋体" w:hAnsi="宋体" w:eastAsia="宋体" w:cs="宋体"/>
          <w:sz w:val="24"/>
          <w:szCs w:val="24"/>
        </w:rPr>
        <w:t>个工作日内，甲方支付至合同暂定总价的</w:t>
      </w:r>
      <w:r>
        <w:rPr>
          <w:rFonts w:hint="default" w:ascii="宋体" w:hAnsi="宋体" w:eastAsia="宋体" w:cs="宋体"/>
          <w:sz w:val="24"/>
          <w:szCs w:val="24"/>
          <w:u w:val="none"/>
        </w:rPr>
        <w:t xml:space="preserve"> </w:t>
      </w:r>
      <w:r>
        <w:rPr>
          <w:rFonts w:hint="default" w:ascii="宋体" w:hAnsi="宋体" w:eastAsia="宋体" w:cs="宋体"/>
          <w:sz w:val="24"/>
          <w:szCs w:val="24"/>
          <w:u w:val="none"/>
          <w:lang w:val="en-US" w:eastAsia="zh-CN"/>
        </w:rPr>
        <w:t>70</w:t>
      </w:r>
      <w:r>
        <w:rPr>
          <w:rFonts w:hint="default" w:ascii="宋体" w:hAnsi="宋体" w:eastAsia="宋体" w:cs="宋体"/>
          <w:sz w:val="24"/>
          <w:szCs w:val="24"/>
          <w:u w:val="none"/>
        </w:rPr>
        <w:t>%</w:t>
      </w:r>
      <w:r>
        <w:rPr>
          <w:rFonts w:hint="default" w:ascii="宋体" w:hAnsi="宋体" w:eastAsia="宋体" w:cs="宋体"/>
          <w:sz w:val="24"/>
          <w:szCs w:val="24"/>
          <w:u w:val="none"/>
          <w:lang w:eastAsia="zh-CN"/>
        </w:rPr>
        <w:t>，</w:t>
      </w:r>
      <w:r>
        <w:rPr>
          <w:rFonts w:hint="default" w:ascii="宋体" w:hAnsi="宋体" w:eastAsia="宋体" w:cs="宋体"/>
          <w:sz w:val="24"/>
          <w:szCs w:val="24"/>
          <w:u w:val="none"/>
        </w:rPr>
        <w:t>即 …元，（大写：…）。</w:t>
      </w:r>
    </w:p>
    <w:p>
      <w:pPr>
        <w:widowControl/>
        <w:tabs>
          <w:tab w:val="left" w:pos="851"/>
        </w:tabs>
        <w:adjustRightInd w:val="0"/>
        <w:snapToGrid w:val="0"/>
        <w:spacing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ascii="宋体" w:hAnsi="宋体" w:eastAsia="宋体" w:cs="宋体"/>
          <w:sz w:val="24"/>
        </w:rPr>
        <w:t>5.2.</w:t>
      </w:r>
      <w:r>
        <w:rPr>
          <w:rFonts w:hint="default" w:ascii="宋体" w:hAnsi="宋体" w:eastAsia="宋体" w:cs="宋体"/>
          <w:sz w:val="24"/>
          <w:lang w:val="en-US" w:eastAsia="zh-CN"/>
        </w:rPr>
        <w:t>3竣工验收后，</w:t>
      </w:r>
      <w:r>
        <w:rPr>
          <w:rFonts w:hint="default" w:ascii="宋体" w:hAnsi="宋体" w:eastAsia="宋体" w:cs="宋体"/>
          <w:b w:val="0"/>
          <w:bCs w:val="0"/>
          <w:sz w:val="24"/>
        </w:rPr>
        <w:t>乙方提交请款资料及等额增值税专用发票，经甲方结算审核</w:t>
      </w:r>
      <w:r>
        <w:rPr>
          <w:rFonts w:hint="default" w:ascii="宋体" w:hAnsi="宋体" w:eastAsia="宋体" w:cs="宋体"/>
          <w:sz w:val="24"/>
        </w:rPr>
        <w:t>后</w:t>
      </w:r>
      <w:r>
        <w:rPr>
          <w:rFonts w:ascii="宋体" w:hAnsi="宋体" w:eastAsia="宋体" w:cs="宋体"/>
          <w:sz w:val="24"/>
          <w:u w:val="none"/>
        </w:rPr>
        <w:t xml:space="preserve"> 15</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个工作日内，支付至合同结算价的</w:t>
      </w:r>
      <w:r>
        <w:rPr>
          <w:rFonts w:ascii="宋体" w:hAnsi="宋体" w:cs="宋体"/>
          <w:color w:val="auto"/>
          <w:sz w:val="24"/>
          <w:highlight w:val="none"/>
        </w:rPr>
        <w:t>95%</w:t>
      </w:r>
      <w:r>
        <w:rPr>
          <w:rFonts w:hint="eastAsia" w:ascii="宋体" w:hAnsi="宋体" w:cs="宋体"/>
          <w:color w:val="auto"/>
          <w:sz w:val="24"/>
          <w:highlight w:val="none"/>
        </w:rPr>
        <w:t>（含预付款）（若审核价低于合同暂定总价，则以审核价作为合同结算价，否则以合同暂定总价为合同结算价），合同结算价的</w:t>
      </w:r>
      <w:r>
        <w:rPr>
          <w:rFonts w:ascii="宋体" w:hAnsi="宋体" w:cs="宋体"/>
          <w:color w:val="auto"/>
          <w:sz w:val="24"/>
          <w:highlight w:val="none"/>
        </w:rPr>
        <w:t>5%</w:t>
      </w:r>
      <w:r>
        <w:rPr>
          <w:rFonts w:hint="eastAsia" w:ascii="宋体" w:hAnsi="宋体" w:cs="宋体"/>
          <w:color w:val="auto"/>
          <w:sz w:val="24"/>
          <w:highlight w:val="none"/>
        </w:rPr>
        <w:t>作为质保金留存。</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竣工验收条件见附件5技术需求书</w:t>
      </w:r>
      <w:r>
        <w:rPr>
          <w:rFonts w:hint="eastAsia" w:ascii="宋体" w:hAnsi="宋体" w:cs="宋体"/>
          <w:color w:val="auto"/>
          <w:sz w:val="24"/>
          <w:highlight w:val="none"/>
          <w:lang w:eastAsia="zh-CN"/>
        </w:rPr>
        <w:t>）</w:t>
      </w:r>
    </w:p>
    <w:p>
      <w:pPr>
        <w:spacing w:line="360" w:lineRule="auto"/>
        <w:ind w:firstLine="600" w:firstLineChars="250"/>
        <w:outlineLvl w:val="1"/>
        <w:rPr>
          <w:rFonts w:ascii="宋体" w:hAnsi="宋体" w:cs="宋体"/>
          <w:sz w:val="24"/>
        </w:rPr>
      </w:pPr>
      <w:r>
        <w:rPr>
          <w:rFonts w:ascii="宋体" w:hAnsi="宋体" w:cs="宋体"/>
          <w:sz w:val="24"/>
        </w:rPr>
        <w:t>5.2.</w:t>
      </w:r>
      <w:r>
        <w:rPr>
          <w:rFonts w:hint="eastAsia" w:ascii="宋体" w:hAnsi="宋体" w:cs="宋体"/>
          <w:sz w:val="24"/>
          <w:lang w:val="en-US" w:eastAsia="zh-CN"/>
        </w:rPr>
        <w:t>4</w:t>
      </w:r>
      <w:r>
        <w:rPr>
          <w:rFonts w:hint="eastAsia" w:ascii="宋体" w:hAnsi="宋体" w:cs="宋体"/>
          <w:sz w:val="24"/>
        </w:rPr>
        <w:t>质保期按合同第</w:t>
      </w:r>
      <w:r>
        <w:rPr>
          <w:rFonts w:hint="eastAsia" w:ascii="宋体" w:hAnsi="宋体" w:cs="宋体"/>
          <w:sz w:val="24"/>
          <w:lang w:val="en-US" w:eastAsia="zh-CN"/>
        </w:rPr>
        <w:t>十</w:t>
      </w:r>
      <w:r>
        <w:rPr>
          <w:rFonts w:hint="eastAsia" w:ascii="宋体" w:hAnsi="宋体" w:cs="宋体"/>
          <w:sz w:val="24"/>
        </w:rPr>
        <w:t>条规定执行，质保期满且乙方不存在违约情形，乙方提交请款资料及等额增值税专用发票，甲方审核无误后在</w:t>
      </w:r>
      <w:r>
        <w:rPr>
          <w:rFonts w:ascii="宋体" w:hAnsi="宋体" w:cs="宋体"/>
          <w:sz w:val="24"/>
          <w:u w:val="single"/>
        </w:rPr>
        <w:t xml:space="preserve"> 15 </w:t>
      </w:r>
      <w:r>
        <w:rPr>
          <w:rFonts w:hint="eastAsia" w:ascii="宋体" w:hAnsi="宋体" w:cs="宋体"/>
          <w:sz w:val="24"/>
        </w:rPr>
        <w:t>个工作日内支付合同结算价的</w:t>
      </w:r>
      <w:r>
        <w:rPr>
          <w:rFonts w:ascii="宋体" w:hAnsi="宋体" w:cs="宋体"/>
          <w:sz w:val="24"/>
        </w:rPr>
        <w:t>5</w:t>
      </w:r>
      <w:r>
        <w:rPr>
          <w:rFonts w:hint="eastAsia" w:ascii="宋体" w:hAnsi="宋体" w:cs="宋体"/>
          <w:sz w:val="24"/>
        </w:rPr>
        <w:t>％（质保金）给乙方</w:t>
      </w:r>
      <w:r>
        <w:rPr>
          <w:rFonts w:ascii="宋体" w:hAnsi="宋体" w:cs="宋体"/>
          <w:sz w:val="24"/>
        </w:rPr>
        <w:t>(</w:t>
      </w:r>
      <w:r>
        <w:rPr>
          <w:rFonts w:hint="eastAsia" w:ascii="宋体" w:hAnsi="宋体" w:cs="宋体"/>
          <w:sz w:val="24"/>
        </w:rPr>
        <w:t>无息</w:t>
      </w:r>
      <w:r>
        <w:rPr>
          <w:rFonts w:ascii="宋体" w:hAnsi="宋体" w:cs="宋体"/>
          <w:sz w:val="24"/>
        </w:rPr>
        <w:t>)</w:t>
      </w:r>
      <w:r>
        <w:rPr>
          <w:rFonts w:hint="eastAsia" w:ascii="宋体" w:hAnsi="宋体" w:cs="宋体"/>
          <w:sz w:val="24"/>
        </w:rPr>
        <w:t>。</w:t>
      </w:r>
    </w:p>
    <w:p>
      <w:pPr>
        <w:spacing w:line="360" w:lineRule="auto"/>
        <w:ind w:firstLine="600" w:firstLineChars="250"/>
        <w:rPr>
          <w:rFonts w:ascii="宋体" w:hAnsi="宋体" w:cs="宋体"/>
          <w:sz w:val="24"/>
        </w:rPr>
      </w:pPr>
      <w:r>
        <w:rPr>
          <w:rFonts w:ascii="宋体" w:hAnsi="宋体" w:cs="宋体"/>
          <w:sz w:val="24"/>
        </w:rPr>
        <w:t>5.2.</w:t>
      </w:r>
      <w:r>
        <w:rPr>
          <w:rFonts w:hint="eastAsia" w:ascii="宋体" w:hAnsi="宋体" w:cs="宋体"/>
          <w:sz w:val="24"/>
          <w:lang w:val="en-US" w:eastAsia="zh-CN"/>
        </w:rPr>
        <w:t>5</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w:t>
      </w:r>
    </w:p>
    <w:p>
      <w:pPr>
        <w:spacing w:line="360" w:lineRule="auto"/>
        <w:ind w:firstLine="1200" w:firstLineChars="5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w:t>
      </w:r>
    </w:p>
    <w:p>
      <w:pPr>
        <w:widowControl/>
        <w:spacing w:after="160" w:line="360" w:lineRule="auto"/>
        <w:ind w:firstLine="1200" w:firstLineChars="500"/>
        <w:jc w:val="left"/>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w:t>
      </w:r>
    </w:p>
    <w:p>
      <w:pPr>
        <w:widowControl/>
        <w:spacing w:after="160" w:line="360" w:lineRule="auto"/>
        <w:ind w:firstLine="480" w:firstLineChars="200"/>
        <w:jc w:val="left"/>
        <w:rPr>
          <w:rFonts w:ascii="宋体" w:hAnsi="宋体" w:cs="宋体"/>
          <w:sz w:val="24"/>
        </w:rPr>
      </w:pPr>
      <w:r>
        <w:rPr>
          <w:rFonts w:ascii="宋体" w:hAnsi="宋体" w:cs="宋体"/>
          <w:sz w:val="24"/>
        </w:rPr>
        <w:t>5.2.</w:t>
      </w:r>
      <w:r>
        <w:rPr>
          <w:rFonts w:hint="eastAsia" w:ascii="宋体" w:hAnsi="宋体" w:cs="宋体"/>
          <w:sz w:val="24"/>
          <w:lang w:val="en-US" w:eastAsia="zh-CN"/>
        </w:rPr>
        <w:t>6</w:t>
      </w:r>
      <w:r>
        <w:rPr>
          <w:rFonts w:hint="eastAsia" w:ascii="宋体" w:hAnsi="宋体" w:cs="宋体"/>
          <w:sz w:val="24"/>
        </w:rPr>
        <w:t>乙方在收款前需向甲方提交等额增值税专用发票，增值税专用发票信息：</w:t>
      </w:r>
    </w:p>
    <w:p>
      <w:pPr>
        <w:spacing w:line="360" w:lineRule="auto"/>
        <w:ind w:firstLine="1200" w:firstLineChars="5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广州市净水有限公司</w:t>
      </w:r>
    </w:p>
    <w:p>
      <w:pPr>
        <w:spacing w:line="360" w:lineRule="auto"/>
        <w:ind w:firstLine="1200" w:firstLineChars="500"/>
        <w:rPr>
          <w:rFonts w:ascii="宋体" w:hAnsi="宋体" w:cs="宋体"/>
          <w:sz w:val="24"/>
        </w:rPr>
      </w:pPr>
      <w:r>
        <w:rPr>
          <w:rFonts w:hint="eastAsia" w:ascii="宋体" w:hAnsi="宋体" w:cs="宋体"/>
          <w:sz w:val="24"/>
        </w:rPr>
        <w:t>税号：</w:t>
      </w:r>
      <w:r>
        <w:rPr>
          <w:rFonts w:ascii="宋体" w:hAnsi="宋体" w:cs="宋体"/>
          <w:sz w:val="24"/>
          <w:u w:val="single"/>
        </w:rPr>
        <w:t xml:space="preserve"> 91440101755584729Q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360" w:lineRule="auto"/>
        <w:ind w:firstLine="1200" w:firstLineChars="5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w:t>
      </w:r>
      <w:r>
        <w:rPr>
          <w:rFonts w:ascii="宋体" w:hAnsi="宋体" w:cs="宋体"/>
          <w:sz w:val="24"/>
        </w:rPr>
        <w:t xml:space="preserve"> </w:t>
      </w:r>
      <w:r>
        <w:rPr>
          <w:rFonts w:hint="eastAsia" w:ascii="宋体" w:hAnsi="宋体" w:cs="宋体"/>
          <w:sz w:val="24"/>
        </w:rPr>
        <w:t>；</w:t>
      </w:r>
    </w:p>
    <w:p>
      <w:pPr>
        <w:pStyle w:val="2"/>
        <w:ind w:firstLine="480"/>
        <w:rPr>
          <w:rFonts w:hint="default" w:ascii="宋体" w:hAnsi="宋体" w:eastAsia="宋体" w:cs="宋体"/>
          <w:sz w:val="24"/>
          <w:szCs w:val="24"/>
        </w:rPr>
      </w:pPr>
      <w:r>
        <w:rPr>
          <w:rFonts w:ascii="宋体" w:hAnsi="宋体" w:cs="宋体"/>
          <w:sz w:val="24"/>
          <w:szCs w:val="24"/>
        </w:rPr>
        <w:t xml:space="preserve">  </w:t>
      </w:r>
      <w:r>
        <w:rPr>
          <w:rFonts w:ascii="宋体" w:hAnsi="宋体" w:eastAsia="宋体" w:cs="宋体"/>
          <w:sz w:val="24"/>
          <w:szCs w:val="24"/>
        </w:rPr>
        <w:t xml:space="preserve">    开户行：</w:t>
      </w:r>
      <w:r>
        <w:rPr>
          <w:rFonts w:ascii="宋体" w:hAnsi="宋体" w:eastAsia="宋体" w:cs="宋体"/>
          <w:sz w:val="24"/>
          <w:szCs w:val="24"/>
          <w:u w:val="single"/>
        </w:rPr>
        <w:t>建设银行珠江新城支行</w:t>
      </w:r>
    </w:p>
    <w:p>
      <w:pPr>
        <w:pStyle w:val="2"/>
        <w:ind w:firstLine="480"/>
        <w:rPr>
          <w:rFonts w:hint="default" w:ascii="宋体" w:hAnsi="宋体" w:eastAsia="宋体" w:cs="宋体"/>
          <w:sz w:val="24"/>
          <w:szCs w:val="24"/>
          <w:u w:val="single"/>
        </w:rPr>
      </w:pPr>
      <w:r>
        <w:rPr>
          <w:rFonts w:ascii="宋体" w:hAnsi="宋体" w:eastAsia="宋体" w:cs="宋体"/>
          <w:sz w:val="24"/>
          <w:szCs w:val="24"/>
        </w:rPr>
        <w:t xml:space="preserve">      账户：</w:t>
      </w:r>
      <w:r>
        <w:rPr>
          <w:rFonts w:ascii="宋体" w:hAnsi="宋体" w:eastAsia="宋体" w:cs="宋体"/>
          <w:sz w:val="24"/>
          <w:szCs w:val="24"/>
          <w:u w:val="single"/>
        </w:rPr>
        <w:t>4400 1420 3140 5017 0338</w:t>
      </w:r>
    </w:p>
    <w:p>
      <w:pPr>
        <w:pStyle w:val="2"/>
        <w:ind w:firstLine="480"/>
        <w:rPr>
          <w:rFonts w:hint="default" w:ascii="宋体" w:hAnsi="宋体" w:cs="宋体"/>
          <w:sz w:val="24"/>
          <w:szCs w:val="24"/>
        </w:rPr>
      </w:pPr>
      <w:r>
        <w:rPr>
          <w:rFonts w:ascii="宋体" w:hAnsi="宋体" w:cs="宋体"/>
          <w:sz w:val="24"/>
          <w:szCs w:val="24"/>
        </w:rPr>
        <w:t xml:space="preserve">     </w:t>
      </w:r>
    </w:p>
    <w:p>
      <w:pPr>
        <w:widowControl/>
        <w:tabs>
          <w:tab w:val="left" w:pos="851"/>
        </w:tabs>
        <w:adjustRightInd w:val="0"/>
        <w:snapToGrid w:val="0"/>
        <w:spacing w:after="160" w:line="360" w:lineRule="auto"/>
        <w:ind w:firstLine="480" w:firstLineChars="200"/>
        <w:jc w:val="left"/>
        <w:outlineLvl w:val="1"/>
        <w:rPr>
          <w:rFonts w:ascii="宋体" w:hAnsi="宋体" w:cs="宋体"/>
          <w:sz w:val="24"/>
        </w:rPr>
      </w:pPr>
      <w:r>
        <w:rPr>
          <w:rFonts w:ascii="宋体" w:hAnsi="宋体" w:cs="宋体"/>
          <w:sz w:val="24"/>
        </w:rPr>
        <w:t>5.3</w:t>
      </w:r>
      <w:r>
        <w:rPr>
          <w:rFonts w:hint="eastAsia" w:ascii="宋体" w:hAnsi="宋体" w:cs="宋体"/>
          <w:sz w:val="24"/>
        </w:rPr>
        <w:t>付款方式：</w:t>
      </w:r>
      <w:r>
        <w:rPr>
          <w:rFonts w:ascii="宋体" w:hAnsi="宋体" w:cs="宋体"/>
          <w:sz w:val="24"/>
        </w:rPr>
        <w:t xml:space="preserve"> </w:t>
      </w:r>
      <w:r>
        <w:rPr>
          <w:rFonts w:ascii="宋体" w:hAnsi="宋体" w:cs="宋体"/>
          <w:sz w:val="24"/>
        </w:rPr>
        <w:sym w:font="Wingdings" w:char="00FE"/>
      </w:r>
      <w:r>
        <w:rPr>
          <w:rFonts w:hint="eastAsia" w:ascii="宋体" w:hAnsi="宋体" w:cs="宋体"/>
          <w:sz w:val="24"/>
        </w:rPr>
        <w:t>网银支付；</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支票；</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其他：</w:t>
      </w:r>
      <w:r>
        <w:rPr>
          <w:rFonts w:ascii="宋体" w:hAnsi="宋体" w:cs="宋体"/>
          <w:sz w:val="24"/>
        </w:rPr>
        <w:t xml:space="preserve">       </w:t>
      </w:r>
    </w:p>
    <w:p>
      <w:pPr>
        <w:widowControl/>
        <w:autoSpaceDE w:val="0"/>
        <w:autoSpaceDN w:val="0"/>
        <w:adjustRightInd w:val="0"/>
        <w:spacing w:line="360" w:lineRule="auto"/>
        <w:ind w:firstLine="482" w:firstLineChars="200"/>
        <w:jc w:val="left"/>
        <w:rPr>
          <w:rFonts w:ascii="宋体" w:hAnsi="宋体" w:cs="宋体"/>
          <w:bCs/>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履约担保</w:t>
      </w:r>
    </w:p>
    <w:p>
      <w:pPr>
        <w:widowControl/>
        <w:spacing w:line="360" w:lineRule="auto"/>
        <w:ind w:firstLine="480" w:firstLineChars="200"/>
        <w:jc w:val="left"/>
        <w:outlineLvl w:val="0"/>
        <w:rPr>
          <w:rFonts w:ascii="宋体" w:hAnsi="宋体" w:cs="宋体"/>
          <w:sz w:val="24"/>
          <w:u w:val="single"/>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ascii="宋体" w:hAnsi="宋体" w:cs="宋体"/>
          <w:bCs/>
          <w:sz w:val="24"/>
        </w:rPr>
        <w:t xml:space="preserve"> </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10%作为履约保证金</w:t>
      </w:r>
      <w:r>
        <w:rPr>
          <w:rFonts w:hint="eastAsia" w:ascii="宋体" w:hAnsi="宋体" w:cs="宋体"/>
          <w:sz w:val="24"/>
          <w:u w:val="single"/>
        </w:rPr>
        <w:t>，</w:t>
      </w:r>
      <w:r>
        <w:rPr>
          <w:rFonts w:hint="eastAsia" w:ascii="宋体" w:hAnsi="宋体" w:cs="宋体"/>
          <w:sz w:val="24"/>
        </w:rPr>
        <w:t>金额为：</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p>
    <w:p>
      <w:pPr>
        <w:spacing w:line="360" w:lineRule="auto"/>
        <w:ind w:firstLine="480"/>
        <w:rPr>
          <w:rFonts w:ascii="宋体" w:hAnsi="宋体" w:cs="宋体"/>
          <w:kern w:val="0"/>
          <w:sz w:val="24"/>
        </w:rPr>
      </w:pPr>
      <w:r>
        <w:rPr>
          <w:rFonts w:ascii="宋体" w:hAnsi="宋体" w:cs="宋体"/>
          <w:kern w:val="0"/>
          <w:sz w:val="24"/>
        </w:rPr>
        <w:t>6.2履约担保</w:t>
      </w:r>
      <w:r>
        <w:rPr>
          <w:rFonts w:hint="eastAsia" w:ascii="宋体" w:hAnsi="宋体" w:cs="宋体"/>
          <w:kern w:val="0"/>
          <w:sz w:val="24"/>
        </w:rPr>
        <w:t>按以下任一种形式提供</w:t>
      </w:r>
      <w:r>
        <w:rPr>
          <w:rFonts w:ascii="宋体" w:hAnsi="宋体" w:cs="宋体"/>
          <w:kern w:val="0"/>
          <w:sz w:val="24"/>
        </w:rPr>
        <w:t>：</w:t>
      </w:r>
    </w:p>
    <w:p>
      <w:pPr>
        <w:spacing w:line="360" w:lineRule="auto"/>
        <w:ind w:firstLine="480"/>
        <w:rPr>
          <w:rFonts w:ascii="宋体" w:hAnsi="宋体" w:cs="宋体"/>
          <w:kern w:val="0"/>
          <w:sz w:val="24"/>
        </w:rPr>
      </w:pPr>
      <w:r>
        <w:rPr>
          <w:rFonts w:hint="eastAsia" w:ascii="宋体" w:hAnsi="宋体" w:cs="宋体"/>
          <w:kern w:val="0"/>
          <w:sz w:val="24"/>
        </w:rPr>
        <w:t>1、符合甲方要求（详见附件6保函格式）的银行独立保函，</w:t>
      </w:r>
    </w:p>
    <w:p>
      <w:pPr>
        <w:spacing w:line="360" w:lineRule="auto"/>
        <w:ind w:firstLine="480"/>
        <w:rPr>
          <w:rFonts w:ascii="宋体" w:hAnsi="宋体" w:cs="宋体"/>
          <w:kern w:val="0"/>
          <w:sz w:val="24"/>
        </w:rPr>
      </w:pPr>
      <w:r>
        <w:rPr>
          <w:rFonts w:hint="eastAsia" w:ascii="宋体" w:hAnsi="宋体" w:cs="宋体"/>
          <w:kern w:val="0"/>
          <w:sz w:val="24"/>
        </w:rPr>
        <w:t>2、现金转账至甲方以下指定账户：</w:t>
      </w:r>
    </w:p>
    <w:p>
      <w:pPr>
        <w:widowControl/>
        <w:tabs>
          <w:tab w:val="left" w:pos="1995"/>
        </w:tabs>
        <w:spacing w:after="160" w:line="360" w:lineRule="auto"/>
        <w:ind w:firstLine="480" w:firstLineChars="200"/>
        <w:jc w:val="left"/>
        <w:rPr>
          <w:rFonts w:ascii="宋体" w:hAnsi="宋体" w:cs="宋体"/>
          <w:bCs/>
          <w:sz w:val="24"/>
        </w:rPr>
      </w:pPr>
      <w:r>
        <w:rPr>
          <w:rFonts w:hint="eastAsia" w:ascii="宋体" w:hAnsi="宋体" w:cs="宋体"/>
          <w:bCs/>
          <w:sz w:val="24"/>
        </w:rPr>
        <w:t>户名：</w:t>
      </w:r>
      <w:r>
        <w:rPr>
          <w:rFonts w:hint="eastAsia" w:ascii="宋体" w:hAnsi="宋体" w:cs="宋体"/>
          <w:bCs/>
          <w:sz w:val="24"/>
          <w:u w:val="single"/>
        </w:rPr>
        <w:t>广州市净水有限公司</w:t>
      </w:r>
    </w:p>
    <w:p>
      <w:pPr>
        <w:widowControl/>
        <w:tabs>
          <w:tab w:val="left" w:pos="1995"/>
        </w:tabs>
        <w:spacing w:after="160" w:line="360" w:lineRule="auto"/>
        <w:ind w:firstLine="480" w:firstLineChars="200"/>
        <w:jc w:val="left"/>
        <w:rPr>
          <w:rFonts w:ascii="宋体" w:hAnsi="宋体" w:cs="宋体"/>
          <w:bCs/>
          <w:sz w:val="24"/>
        </w:rPr>
      </w:pPr>
      <w:r>
        <w:rPr>
          <w:rFonts w:hint="eastAsia" w:ascii="宋体" w:hAnsi="宋体" w:cs="宋体"/>
          <w:bCs/>
          <w:sz w:val="24"/>
        </w:rPr>
        <w:t>账号：</w:t>
      </w:r>
      <w:r>
        <w:rPr>
          <w:rFonts w:ascii="宋体" w:hAnsi="宋体" w:cs="宋体"/>
          <w:bCs/>
          <w:sz w:val="24"/>
          <w:u w:val="single"/>
        </w:rPr>
        <w:t>82010154900000342</w:t>
      </w:r>
    </w:p>
    <w:p>
      <w:pPr>
        <w:widowControl/>
        <w:tabs>
          <w:tab w:val="left" w:pos="1995"/>
        </w:tabs>
        <w:spacing w:after="160" w:line="360" w:lineRule="auto"/>
        <w:ind w:firstLine="480" w:firstLineChars="200"/>
        <w:jc w:val="left"/>
        <w:rPr>
          <w:rFonts w:ascii="宋体" w:hAnsi="宋体" w:cs="宋体"/>
          <w:bCs/>
          <w:sz w:val="24"/>
        </w:rPr>
      </w:pPr>
      <w:r>
        <w:rPr>
          <w:rFonts w:hint="eastAsia" w:ascii="宋体" w:hAnsi="宋体" w:cs="宋体"/>
          <w:bCs/>
          <w:sz w:val="24"/>
        </w:rPr>
        <w:t>开户行：</w:t>
      </w:r>
      <w:r>
        <w:rPr>
          <w:rFonts w:hint="eastAsia" w:ascii="宋体" w:hAnsi="宋体" w:cs="宋体"/>
          <w:bCs/>
          <w:sz w:val="24"/>
          <w:u w:val="single"/>
        </w:rPr>
        <w:t>浦发银行广州分行</w:t>
      </w:r>
    </w:p>
    <w:p>
      <w:pPr>
        <w:widowControl/>
        <w:spacing w:after="160" w:line="360" w:lineRule="auto"/>
        <w:ind w:firstLine="480"/>
        <w:jc w:val="left"/>
        <w:outlineLvl w:val="0"/>
        <w:rPr>
          <w:rFonts w:ascii="宋体" w:hAnsi="宋体" w:cs="宋体"/>
          <w:sz w:val="24"/>
        </w:rPr>
      </w:pPr>
      <w:r>
        <w:rPr>
          <w:rFonts w:ascii="宋体" w:hAnsi="宋体" w:cs="宋体"/>
          <w:sz w:val="24"/>
        </w:rPr>
        <w:t>6.3</w:t>
      </w:r>
      <w:r>
        <w:rPr>
          <w:rFonts w:hint="eastAsia" w:ascii="宋体" w:hAnsi="宋体" w:cs="宋体"/>
          <w:sz w:val="24"/>
        </w:rPr>
        <w:t>履约担保的担保期限和返还</w:t>
      </w:r>
    </w:p>
    <w:p>
      <w:pPr>
        <w:widowControl/>
        <w:spacing w:after="160" w:line="360" w:lineRule="auto"/>
        <w:ind w:firstLine="480"/>
        <w:jc w:val="left"/>
        <w:outlineLvl w:val="0"/>
        <w:rPr>
          <w:rFonts w:ascii="宋体" w:hAnsi="宋体" w:cs="宋体"/>
          <w:sz w:val="24"/>
        </w:rPr>
      </w:pPr>
      <w:r>
        <w:rPr>
          <w:rFonts w:ascii="宋体" w:hAnsi="宋体" w:cs="宋体"/>
          <w:sz w:val="24"/>
        </w:rPr>
        <w:t>6.3.1</w:t>
      </w:r>
      <w:r>
        <w:rPr>
          <w:rFonts w:hint="eastAsia" w:ascii="宋体" w:hAnsi="宋体" w:cs="宋体"/>
          <w:sz w:val="24"/>
          <w:szCs w:val="22"/>
        </w:rPr>
        <w:t>履约银行保函（或现金履约保证金）的担保期限：从提供履约担保（或转账成功）之日起至合同履行完成。</w:t>
      </w:r>
    </w:p>
    <w:p>
      <w:pPr>
        <w:widowControl/>
        <w:spacing w:after="160" w:line="360" w:lineRule="auto"/>
        <w:ind w:firstLine="480" w:firstLineChars="200"/>
        <w:jc w:val="left"/>
        <w:rPr>
          <w:rFonts w:ascii="宋体" w:hAnsi="宋体" w:cs="宋体"/>
          <w:sz w:val="24"/>
        </w:rPr>
      </w:pPr>
      <w:r>
        <w:rPr>
          <w:rFonts w:ascii="宋体" w:hAnsi="宋体" w:cs="宋体"/>
          <w:sz w:val="24"/>
        </w:rPr>
        <w:t>6.3.2</w:t>
      </w:r>
      <w:r>
        <w:rPr>
          <w:rFonts w:hint="eastAsia" w:ascii="宋体" w:hAnsi="宋体" w:cs="宋体"/>
          <w:sz w:val="24"/>
          <w:szCs w:val="22"/>
        </w:rPr>
        <w:t>履约银行保函在合同履行完成后，由乙方提出申请，甲方在28日内返还，不支付利息；</w:t>
      </w:r>
      <w:r>
        <w:rPr>
          <w:rFonts w:ascii="宋体" w:hAnsi="宋体" w:cs="宋体"/>
          <w:sz w:val="24"/>
        </w:rPr>
        <w:t xml:space="preserve"> </w:t>
      </w:r>
    </w:p>
    <w:p>
      <w:pPr>
        <w:widowControl/>
        <w:spacing w:after="160" w:line="360" w:lineRule="auto"/>
        <w:ind w:firstLine="480" w:firstLineChars="200"/>
        <w:jc w:val="left"/>
        <w:outlineLvl w:val="0"/>
        <w:rPr>
          <w:rFonts w:ascii="宋体" w:hAnsi="宋体" w:cs="宋体"/>
          <w:sz w:val="24"/>
        </w:rPr>
      </w:pPr>
      <w:r>
        <w:rPr>
          <w:rFonts w:ascii="宋体" w:hAnsi="宋体" w:cs="宋体"/>
          <w:sz w:val="24"/>
        </w:rPr>
        <w:t>6.3.3</w:t>
      </w:r>
      <w:r>
        <w:rPr>
          <w:rFonts w:hint="eastAsia" w:ascii="宋体" w:hAnsi="宋体" w:cs="宋体"/>
          <w:sz w:val="24"/>
        </w:rPr>
        <w:t>延长担保期限。履约银行保函形式提交履约保证金的，在银行保函到期前，乙方应提前</w:t>
      </w:r>
      <w:r>
        <w:rPr>
          <w:rFonts w:ascii="宋体" w:hAnsi="宋体" w:cs="宋体"/>
          <w:sz w:val="24"/>
          <w:u w:val="single"/>
        </w:rPr>
        <w:t xml:space="preserve"> 7 </w:t>
      </w:r>
      <w:r>
        <w:rPr>
          <w:rFonts w:ascii="宋体" w:hAnsi="宋体" w:cs="宋体"/>
          <w:sz w:val="24"/>
        </w:rPr>
        <w:t>天向甲方提交新的保函以替换即将到期的保函</w:t>
      </w:r>
      <w:r>
        <w:rPr>
          <w:rFonts w:hint="eastAsia" w:ascii="宋体" w:hAnsi="宋体" w:cs="宋体"/>
          <w:sz w:val="24"/>
        </w:rPr>
        <w:t>。如乙方未及时提交的，甲方有权直接要求担保银行支付其担保的全部金额并解除合同。</w:t>
      </w:r>
    </w:p>
    <w:p>
      <w:pPr>
        <w:spacing w:line="360" w:lineRule="auto"/>
        <w:ind w:firstLine="525"/>
        <w:rPr>
          <w:rFonts w:ascii="宋体" w:hAnsi="宋体" w:cs="宋体"/>
          <w:kern w:val="0"/>
          <w:sz w:val="24"/>
        </w:rPr>
      </w:pPr>
      <w:r>
        <w:rPr>
          <w:rFonts w:ascii="宋体" w:hAnsi="宋体" w:cs="宋体"/>
          <w:kern w:val="0"/>
          <w:sz w:val="24"/>
        </w:rPr>
        <w:t>6.3.4</w:t>
      </w:r>
      <w:r>
        <w:rPr>
          <w:rFonts w:hint="eastAsia" w:ascii="宋体" w:hAnsi="宋体" w:cs="宋体"/>
          <w:kern w:val="0"/>
          <w:sz w:val="24"/>
        </w:rPr>
        <w:t>现金履约保证金的退还：合同履行完成后，由乙方提出申请，甲方在</w:t>
      </w:r>
      <w:r>
        <w:rPr>
          <w:rFonts w:ascii="宋体" w:hAnsi="宋体" w:cs="宋体"/>
          <w:kern w:val="0"/>
          <w:sz w:val="24"/>
        </w:rPr>
        <w:t>28</w:t>
      </w:r>
      <w:r>
        <w:rPr>
          <w:rFonts w:hint="eastAsia" w:ascii="宋体" w:hAnsi="宋体" w:cs="宋体"/>
          <w:kern w:val="0"/>
          <w:sz w:val="24"/>
        </w:rPr>
        <w:t>天</w:t>
      </w:r>
      <w:r>
        <w:rPr>
          <w:rFonts w:ascii="宋体" w:hAnsi="宋体" w:cs="宋体"/>
          <w:kern w:val="0"/>
          <w:sz w:val="24"/>
        </w:rPr>
        <w:t>内</w:t>
      </w:r>
      <w:r>
        <w:rPr>
          <w:rFonts w:hint="eastAsia" w:ascii="宋体" w:hAnsi="宋体" w:cs="宋体"/>
          <w:kern w:val="0"/>
          <w:sz w:val="24"/>
        </w:rPr>
        <w:t>将剩余履约保证金（无息）返还。</w:t>
      </w:r>
    </w:p>
    <w:p>
      <w:pPr>
        <w:widowControl/>
        <w:spacing w:after="160" w:line="360" w:lineRule="auto"/>
        <w:ind w:firstLine="480" w:firstLineChars="200"/>
        <w:jc w:val="left"/>
        <w:rPr>
          <w:rFonts w:ascii="宋体" w:hAnsi="宋体" w:cs="宋体"/>
          <w:sz w:val="24"/>
        </w:rPr>
      </w:pPr>
      <w:r>
        <w:rPr>
          <w:rFonts w:ascii="宋体" w:hAnsi="宋体" w:cs="宋体"/>
          <w:sz w:val="24"/>
        </w:rPr>
        <w:t>6.3.5</w:t>
      </w:r>
      <w:r>
        <w:rPr>
          <w:rFonts w:hint="eastAsia" w:ascii="宋体" w:hAnsi="宋体" w:cs="宋体"/>
          <w:sz w:val="24"/>
        </w:rPr>
        <w:t>甲方按合同约定提取履约担保金额后，乙方应在收到甲方通知后</w:t>
      </w:r>
      <w:r>
        <w:rPr>
          <w:rFonts w:ascii="宋体" w:hAnsi="宋体" w:cs="宋体"/>
          <w:sz w:val="24"/>
          <w:u w:val="single"/>
        </w:rPr>
        <w:t xml:space="preserve"> 7 </w:t>
      </w:r>
      <w:r>
        <w:rPr>
          <w:rFonts w:hint="eastAsia" w:ascii="宋体" w:hAnsi="宋体" w:cs="宋体"/>
          <w:sz w:val="24"/>
        </w:rPr>
        <w:t>天内补足数额，逾期未补足，则甲方有权提取履约担保的全部余额并解除合同。</w:t>
      </w:r>
    </w:p>
    <w:bookmarkEnd w:id="25"/>
    <w:bookmarkEnd w:id="26"/>
    <w:p>
      <w:pPr>
        <w:widowControl/>
        <w:spacing w:line="360" w:lineRule="auto"/>
        <w:ind w:firstLine="482" w:firstLineChars="200"/>
        <w:jc w:val="left"/>
        <w:rPr>
          <w:rFonts w:ascii="宋体" w:hAnsi="宋体" w:cs="宋体"/>
          <w:b/>
          <w:sz w:val="24"/>
        </w:rPr>
      </w:pPr>
      <w:r>
        <w:rPr>
          <w:rFonts w:hint="eastAsia" w:ascii="宋体" w:hAnsi="宋体" w:cs="宋体"/>
          <w:b/>
          <w:bCs/>
          <w:kern w:val="0"/>
          <w:sz w:val="24"/>
        </w:rPr>
        <w:t>第七条</w:t>
      </w:r>
      <w:r>
        <w:rPr>
          <w:rFonts w:ascii="宋体" w:hAnsi="宋体" w:cs="宋体"/>
          <w:b/>
          <w:bCs/>
          <w:kern w:val="0"/>
          <w:sz w:val="24"/>
        </w:rPr>
        <w:t xml:space="preserve"> </w:t>
      </w:r>
      <w:r>
        <w:rPr>
          <w:rFonts w:hint="eastAsia" w:ascii="宋体" w:hAnsi="宋体" w:cs="宋体"/>
          <w:b/>
          <w:sz w:val="24"/>
        </w:rPr>
        <w:t>交货及检验要求</w:t>
      </w:r>
    </w:p>
    <w:p>
      <w:pPr>
        <w:widowControl/>
        <w:autoSpaceDE w:val="0"/>
        <w:autoSpaceDN w:val="0"/>
        <w:adjustRightInd w:val="0"/>
        <w:spacing w:line="360" w:lineRule="auto"/>
        <w:ind w:firstLine="480" w:firstLineChars="200"/>
        <w:jc w:val="left"/>
        <w:rPr>
          <w:rFonts w:ascii="宋体" w:hAnsi="宋体" w:cs="宋体"/>
          <w:bCs/>
          <w:sz w:val="24"/>
        </w:rPr>
      </w:pPr>
      <w:r>
        <w:rPr>
          <w:rFonts w:ascii="宋体" w:hAnsi="宋体" w:cs="宋体"/>
          <w:bCs/>
          <w:sz w:val="24"/>
        </w:rPr>
        <w:t xml:space="preserve">7.1 </w:t>
      </w:r>
      <w:r>
        <w:rPr>
          <w:rFonts w:hint="eastAsia" w:ascii="宋体" w:hAnsi="宋体" w:cs="宋体"/>
          <w:bCs/>
          <w:sz w:val="24"/>
        </w:rPr>
        <w:t>交货要求：乙方应在交货时向甲方提供出厂合格证、产品质量证明文件、操作维修手册等（手册应包含设备情况、系统和主要部件常见故障、保养要求、紧急维修电话等内容）。</w:t>
      </w:r>
    </w:p>
    <w:p>
      <w:pPr>
        <w:widowControl/>
        <w:spacing w:line="360" w:lineRule="auto"/>
        <w:ind w:firstLine="480" w:firstLineChars="200"/>
        <w:jc w:val="left"/>
        <w:rPr>
          <w:rFonts w:ascii="宋体" w:hAnsi="宋体" w:cs="宋体"/>
          <w:bCs/>
          <w:sz w:val="24"/>
        </w:rPr>
      </w:pPr>
      <w:r>
        <w:rPr>
          <w:rFonts w:ascii="宋体" w:hAnsi="宋体" w:cs="宋体"/>
          <w:bCs/>
          <w:sz w:val="24"/>
        </w:rPr>
        <w:t>7.2</w:t>
      </w:r>
      <w:r>
        <w:rPr>
          <w:rFonts w:hint="eastAsia" w:ascii="宋体" w:hAnsi="宋体" w:cs="宋体"/>
          <w:bCs/>
          <w:sz w:val="24"/>
        </w:rPr>
        <w:t>外观验收：设备运抵交货地点后，甲乙双方根据合同约定对合同设备的包装、外观与件数进行清点检查，并共同签署合同设备外观检查记录。</w:t>
      </w:r>
    </w:p>
    <w:p>
      <w:pPr>
        <w:widowControl/>
        <w:spacing w:line="360" w:lineRule="auto"/>
        <w:ind w:firstLine="480" w:firstLineChars="200"/>
        <w:jc w:val="left"/>
        <w:rPr>
          <w:rFonts w:ascii="宋体" w:hAnsi="宋体" w:cs="宋体"/>
          <w:sz w:val="24"/>
        </w:rPr>
      </w:pPr>
      <w:r>
        <w:rPr>
          <w:rFonts w:ascii="宋体" w:hAnsi="宋体" w:cs="宋体"/>
          <w:bCs/>
          <w:sz w:val="24"/>
        </w:rPr>
        <w:t xml:space="preserve">7.3 </w:t>
      </w:r>
      <w:r>
        <w:rPr>
          <w:rFonts w:hint="eastAsia" w:ascii="宋体" w:hAnsi="宋体" w:cs="宋体"/>
          <w:bCs/>
          <w:sz w:val="24"/>
        </w:rPr>
        <w:t>开箱验收：开箱检验在合同设备交付地点进行，</w:t>
      </w:r>
      <w:r>
        <w:rPr>
          <w:rFonts w:hint="eastAsia" w:ascii="宋体" w:hAnsi="宋体" w:cs="宋体"/>
          <w:sz w:val="24"/>
        </w:rPr>
        <w:t>包括但不限于对合同设备数量、规格、外观完好性进行检验。经验收合格后，甲方签发开箱检验合格证明。开箱验收合格前，设备的损坏风险由乙方承担。</w:t>
      </w:r>
    </w:p>
    <w:p>
      <w:pPr>
        <w:widowControl/>
        <w:adjustRightInd w:val="0"/>
        <w:snapToGrid w:val="0"/>
        <w:spacing w:line="360" w:lineRule="auto"/>
        <w:jc w:val="left"/>
        <w:rPr>
          <w:rFonts w:ascii="宋体" w:hAnsi="宋体" w:cs="宋体"/>
          <w:sz w:val="24"/>
        </w:rPr>
      </w:pPr>
      <w:r>
        <w:rPr>
          <w:rFonts w:ascii="宋体" w:hAnsi="宋体" w:cs="宋体"/>
          <w:sz w:val="24"/>
        </w:rPr>
        <w:t xml:space="preserve">    7.4</w:t>
      </w:r>
      <w:r>
        <w:rPr>
          <w:rFonts w:hint="eastAsia" w:ascii="宋体" w:hAnsi="宋体" w:cs="宋体"/>
          <w:sz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widowControl/>
        <w:spacing w:after="160" w:line="360" w:lineRule="auto"/>
        <w:jc w:val="left"/>
        <w:rPr>
          <w:rFonts w:ascii="宋体" w:hAnsi="宋体" w:cs="宋体"/>
          <w:sz w:val="24"/>
        </w:rPr>
      </w:pPr>
      <w:r>
        <w:rPr>
          <w:rFonts w:ascii="宋体" w:hAnsi="宋体" w:cs="宋体"/>
          <w:sz w:val="24"/>
        </w:rPr>
        <w:t xml:space="preserve">    7.5</w:t>
      </w:r>
      <w:r>
        <w:rPr>
          <w:rFonts w:hint="eastAsia" w:ascii="宋体" w:hAnsi="宋体" w:cs="宋体"/>
          <w:sz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sz w:val="24"/>
        </w:rPr>
        <w:t>7.4</w:t>
      </w:r>
      <w:r>
        <w:rPr>
          <w:rFonts w:hint="eastAsia" w:ascii="宋体" w:hAnsi="宋体" w:cs="宋体"/>
          <w:sz w:val="24"/>
        </w:rPr>
        <w:t>条执行，交货时间不顺延。</w:t>
      </w:r>
    </w:p>
    <w:p>
      <w:pPr>
        <w:widowControl/>
        <w:spacing w:line="360" w:lineRule="auto"/>
        <w:jc w:val="left"/>
        <w:rPr>
          <w:rFonts w:ascii="宋体" w:hAnsi="宋体" w:cs="宋体"/>
          <w:sz w:val="24"/>
        </w:rPr>
      </w:pPr>
      <w:r>
        <w:rPr>
          <w:rFonts w:ascii="宋体" w:hAnsi="宋体" w:cs="宋体"/>
          <w:sz w:val="24"/>
        </w:rPr>
        <w:t xml:space="preserve">    7.6 </w:t>
      </w:r>
      <w:r>
        <w:rPr>
          <w:rFonts w:hint="eastAsia" w:ascii="宋体" w:hAnsi="宋体" w:cs="宋体"/>
          <w:sz w:val="24"/>
        </w:rPr>
        <w:t>甲方有权对合同设备进行原厂正品验证，若合同设备无法获原厂验证，甲方有权退回设备，要求乙方在</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hint="eastAsia" w:ascii="宋体" w:hAnsi="宋体" w:cs="宋体"/>
          <w:sz w:val="24"/>
        </w:rPr>
        <w:t>个工作日内退回已支付款项并按设备价格的</w:t>
      </w:r>
      <w:r>
        <w:rPr>
          <w:rFonts w:ascii="宋体" w:hAnsi="宋体" w:cs="宋体"/>
          <w:sz w:val="24"/>
          <w:u w:val="single"/>
        </w:rPr>
        <w:t xml:space="preserve">  </w:t>
      </w:r>
      <w:r>
        <w:rPr>
          <w:rFonts w:hint="eastAsia" w:ascii="宋体" w:hAnsi="宋体" w:cs="宋体"/>
          <w:sz w:val="24"/>
          <w:u w:val="single"/>
        </w:rPr>
        <w:t>50</w:t>
      </w:r>
      <w:r>
        <w:rPr>
          <w:rFonts w:ascii="宋体" w:hAnsi="宋体" w:cs="宋体"/>
          <w:sz w:val="24"/>
          <w:u w:val="single"/>
        </w:rPr>
        <w:t xml:space="preserve">  </w:t>
      </w:r>
      <w:r>
        <w:rPr>
          <w:rFonts w:ascii="宋体" w:hAnsi="宋体" w:cs="宋体"/>
          <w:sz w:val="24"/>
        </w:rPr>
        <w:t>%</w:t>
      </w:r>
      <w:r>
        <w:rPr>
          <w:rFonts w:hint="eastAsia" w:ascii="宋体" w:hAnsi="宋体" w:cs="宋体"/>
          <w:sz w:val="24"/>
        </w:rPr>
        <w:t>支付违约金。</w:t>
      </w:r>
    </w:p>
    <w:bookmarkEnd w:id="13"/>
    <w:bookmarkEnd w:id="14"/>
    <w:bookmarkEnd w:id="15"/>
    <w:bookmarkEnd w:id="16"/>
    <w:bookmarkEnd w:id="17"/>
    <w:bookmarkEnd w:id="18"/>
    <w:bookmarkEnd w:id="19"/>
    <w:p>
      <w:pPr>
        <w:spacing w:before="120" w:after="120" w:line="360" w:lineRule="auto"/>
        <w:ind w:firstLine="482" w:firstLineChars="200"/>
        <w:rPr>
          <w:rFonts w:ascii="宋体" w:hAnsi="宋体" w:cs="宋体"/>
          <w:b/>
          <w:color w:val="auto"/>
          <w:sz w:val="24"/>
          <w:szCs w:val="24"/>
        </w:rPr>
      </w:pPr>
      <w:bookmarkStart w:id="27" w:name="_Toc520190030"/>
      <w:bookmarkStart w:id="28" w:name="_Toc474245215"/>
      <w:bookmarkStart w:id="29" w:name="_Toc518992990"/>
      <w:bookmarkStart w:id="30" w:name="_Toc257"/>
      <w:bookmarkStart w:id="31"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r>
        <w:rPr>
          <w:rFonts w:hint="eastAsia" w:ascii="宋体" w:hAnsi="宋体" w:cs="宋体"/>
          <w:bCs/>
          <w:color w:val="auto"/>
          <w:sz w:val="24"/>
          <w:szCs w:val="24"/>
        </w:rPr>
        <w:t>标志</w:t>
      </w:r>
    </w:p>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eastAsia="zh-CN"/>
        </w:rPr>
        <w:t>…</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0.5</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20</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spacing w:line="360" w:lineRule="auto"/>
        <w:ind w:firstLine="1200" w:firstLineChars="500"/>
        <w:rPr>
          <w:rFonts w:hint="eastAsia" w:ascii="宋体" w:hAnsi="宋体" w:cs="宋体"/>
          <w:color w:val="auto"/>
          <w:kern w:val="0"/>
          <w:sz w:val="24"/>
          <w:szCs w:val="24"/>
          <w:lang w:val="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.技术需求</w:t>
      </w:r>
    </w:p>
    <w:tbl>
      <w:tblPr>
        <w:tblStyle w:val="28"/>
        <w:tblpPr w:leftFromText="180" w:rightFromText="180" w:vertAnchor="text" w:horzAnchor="page" w:tblpX="1198" w:tblpY="63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ind w:firstLine="1200" w:firstLineChars="500"/>
        <w:rPr>
          <w:rFonts w:ascii="宋体" w:hAnsi="宋体" w:cs="宋体"/>
          <w:sz w:val="24"/>
        </w:rPr>
      </w:pPr>
      <w:r>
        <w:rPr>
          <w:rFonts w:hint="eastAsia" w:ascii="宋体" w:hAnsi="宋体" w:cs="宋体"/>
          <w:color w:val="auto"/>
          <w:kern w:val="0"/>
          <w:sz w:val="24"/>
          <w:szCs w:val="24"/>
          <w:lang w:val="en-US" w:eastAsia="zh-CN"/>
        </w:rPr>
        <w:t>6.保密协议</w:t>
      </w:r>
      <w:bookmarkEnd w:id="27"/>
      <w:bookmarkEnd w:id="28"/>
      <w:bookmarkEnd w:id="29"/>
      <w:bookmarkEnd w:id="30"/>
      <w:bookmarkEnd w:id="31"/>
    </w:p>
    <w:p>
      <w:pPr>
        <w:spacing w:line="240" w:lineRule="auto"/>
        <w:rPr>
          <w:rFonts w:hint="eastAsia" w:ascii="宋体" w:hAnsi="宋体" w:cs="宋体"/>
          <w:szCs w:val="21"/>
        </w:rPr>
      </w:pPr>
      <w:r>
        <w:rPr>
          <w:rFonts w:hint="eastAsia" w:ascii="宋体" w:hAnsi="宋体" w:cs="宋体"/>
          <w:szCs w:val="21"/>
        </w:rPr>
        <w:br w:type="page"/>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8"/>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8399" w:leftChars="266" w:hanging="7840" w:hangingChars="28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snapToGrid/>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240" w:lineRule="auto"/>
        <w:rPr>
          <w:rFonts w:hint="eastAsia" w:ascii="宋体" w:hAnsi="宋体" w:cs="宋体"/>
          <w:b/>
          <w:color w:val="auto"/>
          <w:szCs w:val="21"/>
        </w:rPr>
      </w:pPr>
      <w:r>
        <w:rPr>
          <w:rFonts w:hint="eastAsia" w:ascii="宋体" w:hAnsi="宋体" w:cs="宋体"/>
          <w:b/>
          <w:color w:val="auto"/>
          <w:szCs w:val="21"/>
        </w:rPr>
        <w:br w:type="page"/>
      </w: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6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0" w:firstLineChars="0"/>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240" w:lineRule="auto"/>
        <w:rPr>
          <w:rFonts w:hint="eastAsia" w:ascii="宋体" w:hAnsi="宋体" w:cs="宋体"/>
          <w:szCs w:val="21"/>
        </w:rPr>
      </w:pPr>
      <w:r>
        <w:rPr>
          <w:rFonts w:hint="eastAsia" w:ascii="宋体" w:hAnsi="宋体" w:cs="宋体"/>
          <w:szCs w:val="21"/>
        </w:rPr>
        <w:br w:type="page"/>
      </w:r>
    </w:p>
    <w:p>
      <w:pPr>
        <w:spacing w:line="540" w:lineRule="exact"/>
        <w:rPr>
          <w:rFonts w:hint="eastAsia" w:ascii="宋体" w:hAnsi="宋体" w:cs="宋体"/>
          <w:szCs w:val="21"/>
          <w:lang w:val="en-US" w:eastAsia="zh-CN"/>
        </w:rPr>
      </w:pPr>
      <w:r>
        <w:rPr>
          <w:rFonts w:hint="eastAsia" w:ascii="宋体" w:hAnsi="宋体" w:cs="宋体"/>
          <w:szCs w:val="21"/>
          <w:lang w:val="en-US" w:eastAsia="zh-CN"/>
        </w:rPr>
        <w:t>附件5：技术需求</w:t>
      </w:r>
    </w:p>
    <w:p>
      <w:pPr>
        <w:pStyle w:val="27"/>
        <w:adjustRightInd w:val="0"/>
        <w:snapToGrid w:val="0"/>
        <w:spacing w:after="156" w:afterLines="5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tbl>
      <w:tblPr>
        <w:tblStyle w:val="28"/>
        <w:tblW w:w="9366" w:type="dxa"/>
        <w:jc w:val="center"/>
        <w:tblLayout w:type="fixed"/>
        <w:tblCellMar>
          <w:top w:w="0" w:type="dxa"/>
          <w:left w:w="108" w:type="dxa"/>
          <w:bottom w:w="0" w:type="dxa"/>
          <w:right w:w="108" w:type="dxa"/>
        </w:tblCellMar>
      </w:tblPr>
      <w:tblGrid>
        <w:gridCol w:w="959"/>
        <w:gridCol w:w="1138"/>
        <w:gridCol w:w="5710"/>
        <w:gridCol w:w="709"/>
        <w:gridCol w:w="850"/>
      </w:tblGrid>
      <w:tr>
        <w:tblPrEx>
          <w:tblCellMar>
            <w:top w:w="0" w:type="dxa"/>
            <w:left w:w="108" w:type="dxa"/>
            <w:bottom w:w="0" w:type="dxa"/>
            <w:right w:w="108" w:type="dxa"/>
          </w:tblCellMar>
        </w:tblPrEx>
        <w:trPr>
          <w:trHeight w:val="41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序号</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产品名称</w:t>
            </w:r>
          </w:p>
        </w:tc>
        <w:tc>
          <w:tcPr>
            <w:tcW w:w="57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rPr>
            </w:pPr>
            <w:r>
              <w:rPr>
                <w:rFonts w:hint="eastAsia" w:ascii="仿宋" w:hAnsi="仿宋" w:eastAsia="仿宋"/>
                <w:b/>
                <w:bCs/>
              </w:rPr>
              <w:t>技术参数要求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单位</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数量</w:t>
            </w:r>
          </w:p>
        </w:tc>
      </w:tr>
      <w:tr>
        <w:tblPrEx>
          <w:tblCellMar>
            <w:top w:w="0" w:type="dxa"/>
            <w:left w:w="108" w:type="dxa"/>
            <w:bottom w:w="0" w:type="dxa"/>
            <w:right w:w="108" w:type="dxa"/>
          </w:tblCellMar>
        </w:tblPrEx>
        <w:trPr>
          <w:trHeight w:val="985" w:hRule="atLeast"/>
          <w:jc w:val="center"/>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9"/>
                <w:szCs w:val="19"/>
              </w:rPr>
            </w:pPr>
            <w:r>
              <w:rPr>
                <w:rFonts w:hint="eastAsia" w:ascii="仿宋" w:hAnsi="仿宋" w:eastAsia="仿宋" w:cs="宋体"/>
                <w:color w:val="000000"/>
                <w:kern w:val="0"/>
                <w:sz w:val="19"/>
                <w:szCs w:val="19"/>
              </w:rPr>
              <w:t>1</w:t>
            </w:r>
          </w:p>
        </w:tc>
        <w:tc>
          <w:tcPr>
            <w:tcW w:w="1138"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 w:hAnsi="仿宋" w:eastAsia="仿宋"/>
                <w:szCs w:val="21"/>
              </w:rPr>
            </w:pPr>
            <w:r>
              <w:rPr>
                <w:rFonts w:hint="eastAsia" w:ascii="仿宋" w:hAnsi="仿宋" w:eastAsia="仿宋"/>
                <w:szCs w:val="21"/>
              </w:rPr>
              <w:t>堡垒机</w:t>
            </w:r>
          </w:p>
        </w:tc>
        <w:tc>
          <w:tcPr>
            <w:tcW w:w="5710" w:type="dxa"/>
            <w:tcBorders>
              <w:top w:val="nil"/>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 要求配置6个千兆电口；支持扩展槽位；内置</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4TB硬盘；冗余电源；最大支持300路图形会话或800路字符会话并发；最大可选500授权许可。资产授权数量要求为</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200个，配套管理平台及软件。</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 支持变更单管理功能，管理员可以基于使用人、资产、系统账号、到期时间，来上传、创建值班表模式的权限变更单，变更单无需审批，但可以自动生成时效性的访问权限。</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 内置密码获取工单：申请人可根据需要填写包含目标资产名称、系统账号名称、使用时间段的密码工单；管理员对密码工单审批通过后，系统自动将密码获取链接发送给申请人；申请人打开链接后，可凭借登录密码+解密密码，获取对应的账号密码；工单过期后，系统自动对该账号进行改密操作。</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 具备命令识别方面的先进性技术，可实现对命令行操作行为的100%记录；</w:t>
            </w:r>
            <w:r>
              <w:rPr>
                <w:rFonts w:hint="eastAsia" w:ascii="仿宋" w:hAnsi="仿宋" w:eastAsia="仿宋"/>
                <w:color w:val="000000" w:themeColor="text1"/>
                <w:highlight w:val="none"/>
                <w14:textFill>
                  <w14:solidFill>
                    <w14:schemeClr w14:val="tx1"/>
                  </w14:solidFill>
                </w14:textFill>
              </w:rPr>
              <w:t>需提供国家知识产权局颁布的技术先进性证明材料</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加盖单位公章</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 支持通过syslog方式发送告警事件，日志来源包括日志告警包括身份验证、资产访问、命令防火墙、会话复核、字符审计日志、系统负载告警、配置日志、图形审计日志、数据库审计日志、文件传输日志。</w:t>
            </w:r>
          </w:p>
          <w:p>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6. 支持RDP快速访问功能，当操作人员以html5方式访问windows资产时，可在浏览器左侧导航树中选择批量启动或断开，并能在多个会话之间灵活切换。</w:t>
            </w:r>
          </w:p>
          <w:p>
            <w:pPr>
              <w:spacing w:line="360" w:lineRule="auto"/>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7</w:t>
            </w:r>
            <w:r>
              <w:rPr>
                <w:rFonts w:hint="eastAsia" w:ascii="仿宋" w:hAnsi="仿宋" w:eastAsia="仿宋"/>
                <w:color w:val="000000" w:themeColor="text1"/>
                <w:highlight w:val="none"/>
                <w14:textFill>
                  <w14:solidFill>
                    <w14:schemeClr w14:val="tx1"/>
                  </w14:solidFill>
                </w14:textFill>
              </w:rPr>
              <w:t>.具备公安部出具的产品销售许可证（</w:t>
            </w:r>
            <w:r>
              <w:rPr>
                <w:rFonts w:hint="eastAsia" w:ascii="仿宋" w:hAnsi="仿宋" w:eastAsia="仿宋"/>
                <w:color w:val="000000" w:themeColor="text1"/>
                <w:highlight w:val="none"/>
                <w:lang w:eastAsia="zh-CN"/>
                <w14:textFill>
                  <w14:solidFill>
                    <w14:schemeClr w14:val="tx1"/>
                  </w14:solidFill>
                </w14:textFill>
              </w:rPr>
              <w:t>提供许可证复印件，加盖单位公章</w:t>
            </w:r>
            <w:r>
              <w:rPr>
                <w:rFonts w:hint="eastAsia" w:ascii="仿宋" w:hAnsi="仿宋" w:eastAsia="仿宋"/>
                <w:color w:val="000000" w:themeColor="text1"/>
                <w:highlight w:val="none"/>
                <w14:textFill>
                  <w14:solidFill>
                    <w14:schemeClr w14:val="tx1"/>
                  </w14:solidFill>
                </w14:textFill>
              </w:rPr>
              <w:t>）；</w:t>
            </w:r>
          </w:p>
          <w:p>
            <w:pPr>
              <w:spacing w:line="360" w:lineRule="auto"/>
            </w:pPr>
            <w:r>
              <w:rPr>
                <w:rFonts w:hint="eastAsia" w:ascii="仿宋" w:hAnsi="仿宋" w:eastAsia="仿宋"/>
                <w:color w:val="000000" w:themeColor="text1"/>
                <w:highlight w:val="none"/>
                <w:lang w:val="en-US" w:eastAsia="zh-CN"/>
                <w14:textFill>
                  <w14:solidFill>
                    <w14:schemeClr w14:val="tx1"/>
                  </w14:solidFill>
                </w14:textFill>
              </w:rPr>
              <w:t>8</w:t>
            </w:r>
            <w:r>
              <w:rPr>
                <w:rFonts w:hint="eastAsia" w:ascii="仿宋" w:hAnsi="仿宋" w:eastAsia="仿宋"/>
                <w:color w:val="000000" w:themeColor="text1"/>
                <w:highlight w:val="none"/>
                <w14:textFill>
                  <w14:solidFill>
                    <w14:schemeClr w14:val="tx1"/>
                  </w14:solidFill>
                </w14:textFill>
              </w:rPr>
              <w:t>.具备国家保密局涉密信息系统安全保密测评中心出具的《涉密信息系统产品检测证书》（</w:t>
            </w:r>
            <w:r>
              <w:rPr>
                <w:rFonts w:hint="eastAsia" w:ascii="仿宋" w:hAnsi="仿宋" w:eastAsia="仿宋"/>
                <w:color w:val="000000" w:themeColor="text1"/>
                <w:highlight w:val="none"/>
                <w:lang w:eastAsia="zh-CN"/>
                <w14:textFill>
                  <w14:solidFill>
                    <w14:schemeClr w14:val="tx1"/>
                  </w14:solidFill>
                </w14:textFill>
              </w:rPr>
              <w:t>提供</w:t>
            </w:r>
            <w:r>
              <w:rPr>
                <w:rFonts w:hint="eastAsia" w:ascii="仿宋" w:hAnsi="仿宋" w:eastAsia="仿宋"/>
                <w:color w:val="000000" w:themeColor="text1"/>
                <w:highlight w:val="none"/>
                <w:lang w:val="en-US" w:eastAsia="zh-CN"/>
                <w14:textFill>
                  <w14:solidFill>
                    <w14:schemeClr w14:val="tx1"/>
                  </w14:solidFill>
                </w14:textFill>
              </w:rPr>
              <w:t>证书</w:t>
            </w:r>
            <w:r>
              <w:rPr>
                <w:rFonts w:hint="eastAsia" w:ascii="仿宋" w:hAnsi="仿宋" w:eastAsia="仿宋"/>
                <w:color w:val="000000" w:themeColor="text1"/>
                <w:highlight w:val="none"/>
                <w:lang w:eastAsia="zh-CN"/>
                <w14:textFill>
                  <w14:solidFill>
                    <w14:schemeClr w14:val="tx1"/>
                  </w14:solidFill>
                </w14:textFill>
              </w:rPr>
              <w:t>复印件，加盖单位公章</w:t>
            </w:r>
            <w:r>
              <w:rPr>
                <w:rFonts w:hint="eastAsia" w:ascii="仿宋" w:hAnsi="仿宋" w:eastAsia="仿宋"/>
                <w:color w:val="000000" w:themeColor="text1"/>
                <w:highlight w:val="none"/>
                <w14:textFill>
                  <w14:solidFill>
                    <w14:schemeClr w14:val="tx1"/>
                  </w14:solidFill>
                </w14:textFill>
              </w:rPr>
              <w:t>）。</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Cs w:val="21"/>
              </w:rPr>
            </w:pPr>
            <w:r>
              <w:rPr>
                <w:rFonts w:hint="eastAsia" w:ascii="仿宋" w:hAnsi="仿宋" w:eastAsia="仿宋"/>
                <w:szCs w:val="21"/>
              </w:rPr>
              <w:t>态势感知平台</w:t>
            </w:r>
          </w:p>
        </w:tc>
        <w:tc>
          <w:tcPr>
            <w:tcW w:w="57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w:t>
            </w:r>
            <w:r>
              <w:rPr>
                <w:rFonts w:hint="eastAsia" w:ascii="仿宋" w:hAnsi="仿宋" w:eastAsia="仿宋"/>
                <w:color w:val="000000" w:themeColor="text1"/>
                <w14:textFill>
                  <w14:solidFill>
                    <w14:schemeClr w14:val="tx1"/>
                  </w14:solidFill>
                </w14:textFill>
              </w:rPr>
              <w:t>2U设备（含滑轨），CPU:</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 xml:space="preserve"> 2颗12核；内存: </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256G ；硬盘总容量</w:t>
            </w:r>
            <w:r>
              <w:rPr>
                <w:rFonts w:hint="eastAsia" w:ascii="仿宋" w:hAnsi="仿宋" w:eastAsia="仿宋"/>
                <w:color w:val="000000" w:themeColor="text1"/>
                <w:lang w:val="en-US" w:eastAsia="zh-CN"/>
                <w14:textFill>
                  <w14:solidFill>
                    <w14:schemeClr w14:val="tx1"/>
                  </w14:solidFill>
                </w14:textFill>
              </w:rPr>
              <w:t>不低于</w:t>
            </w:r>
            <w:r>
              <w:rPr>
                <w:rFonts w:ascii="仿宋" w:hAnsi="仿宋" w:eastAsia="仿宋"/>
                <w:color w:val="000000" w:themeColor="text1"/>
                <w14:textFill>
                  <w14:solidFill>
                    <w14:schemeClr w14:val="tx1"/>
                  </w14:solidFill>
                </w14:textFill>
              </w:rPr>
              <w:t>48</w:t>
            </w:r>
            <w:r>
              <w:rPr>
                <w:rFonts w:hint="eastAsia" w:ascii="仿宋" w:hAnsi="仿宋" w:eastAsia="仿宋"/>
                <w:color w:val="000000" w:themeColor="text1"/>
                <w14:textFill>
                  <w14:solidFill>
                    <w14:schemeClr w14:val="tx1"/>
                  </w14:solidFill>
                </w14:textFill>
              </w:rPr>
              <w:t>T；电源：冗余电源 网口：</w:t>
            </w:r>
            <w:r>
              <w:rPr>
                <w:rFonts w:ascii="仿宋" w:hAnsi="仿宋" w:eastAsia="仿宋"/>
                <w:color w:val="000000" w:themeColor="text1"/>
                <w14:textFill>
                  <w14:solidFill>
                    <w14:schemeClr w14:val="tx1"/>
                  </w14:solidFill>
                </w14:textFill>
              </w:rPr>
              <w:t>4</w:t>
            </w:r>
            <w:r>
              <w:rPr>
                <w:rFonts w:hint="eastAsia" w:ascii="仿宋" w:hAnsi="仿宋" w:eastAsia="仿宋"/>
                <w:color w:val="000000" w:themeColor="text1"/>
                <w14:textFill>
                  <w14:solidFill>
                    <w14:schemeClr w14:val="tx1"/>
                  </w14:solidFill>
                </w14:textFill>
              </w:rPr>
              <w:t>*GE管理电口;2*SPF+插槽（含两个多模光模块）其他接口：3*USB3.0接口;1*DB9 Console接口。必须包含威胁检测、分析中心、响应中心、资产中心、统计报表、仪表板、系统管理、态势感知（综合安全态势、安全运营态势、外部威胁态势、内网威胁态势、威胁预警态势、攻击者态势、资产态势、资产风险态势、脆弱性态势）等功能。</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2. </w:t>
            </w:r>
            <w:r>
              <w:rPr>
                <w:rFonts w:hint="eastAsia" w:ascii="仿宋" w:hAnsi="仿宋" w:eastAsia="仿宋"/>
                <w:color w:val="000000" w:themeColor="text1"/>
                <w14:textFill>
                  <w14:solidFill>
                    <w14:schemeClr w14:val="tx1"/>
                  </w14:solidFill>
                </w14:textFill>
              </w:rPr>
              <w:t>支持接入各种类型数据包括但不限于：设备日志、网络流量、失陷类威胁情报数据、资产数据、漏洞数据等数据进行关联分析，支持对IPV6日志进行关联分析；支持图形化连线拖拽的交互配置方式灵活组合规则建模中的计算单元，计算单元至少包括关联分析、统计分析和序列分析等以应对不同威胁场景建模。</w:t>
            </w:r>
          </w:p>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 支持云端威胁情报查询，查询结果需包含：IP主机信息、IP位置信息、域名流行度、情报IOC详情、相关样本、可视化分析、域名解析记录、域名注册信息、关联域名、数字证书等信息。</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4.</w:t>
            </w:r>
            <w:r>
              <w:rPr>
                <w:rFonts w:hint="eastAsia" w:ascii="仿宋" w:hAnsi="仿宋" w:eastAsia="仿宋"/>
                <w:color w:val="000000" w:themeColor="text1"/>
                <w:lang w:eastAsia="zh-Hans"/>
                <w14:textFill>
                  <w14:solidFill>
                    <w14:schemeClr w14:val="tx1"/>
                  </w14:solidFill>
                </w14:textFill>
              </w:rPr>
              <w:t>具备风险场景分析</w:t>
            </w:r>
            <w:r>
              <w:rPr>
                <w:rFonts w:ascii="仿宋" w:hAnsi="仿宋" w:eastAsia="仿宋"/>
                <w:color w:val="000000" w:themeColor="text1"/>
                <w:lang w:eastAsia="zh-Hans"/>
                <w14:textFill>
                  <w14:solidFill>
                    <w14:schemeClr w14:val="tx1"/>
                  </w14:solidFill>
                </w14:textFill>
              </w:rPr>
              <w:t>：</w:t>
            </w:r>
            <w:r>
              <w:rPr>
                <w:rFonts w:ascii="仿宋" w:hAnsi="仿宋" w:eastAsia="仿宋"/>
                <w:color w:val="000000" w:themeColor="text1"/>
                <w14:textFill>
                  <w14:solidFill>
                    <w14:schemeClr w14:val="tx1"/>
                  </w14:solidFill>
                </w14:textFill>
              </w:rPr>
              <w:t>支</w:t>
            </w:r>
            <w:r>
              <w:rPr>
                <w:rFonts w:hint="eastAsia" w:ascii="仿宋" w:hAnsi="仿宋" w:eastAsia="仿宋"/>
                <w:color w:val="000000" w:themeColor="text1"/>
                <w14:textFill>
                  <w14:solidFill>
                    <w14:schemeClr w14:val="tx1"/>
                  </w14:solidFill>
                </w14:textFill>
              </w:rPr>
              <w:t>具备失陷情报分析、热点恶意软件分析、账号安全分析、邮件安全分析场景；账号安全分析场景应包含异地账号登陆、暴力破解、弱口令检测、明文密码泄露、VPN账号登录行为统计场景；邮件安全分析场景包含邮件威胁分析、敏感关键词邮件列表、敏感后缀邮件列表。</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w:t>
            </w:r>
            <w:r>
              <w:rPr>
                <w:rFonts w:hint="eastAsia" w:ascii="仿宋" w:hAnsi="仿宋" w:eastAsia="仿宋"/>
                <w:color w:val="000000" w:themeColor="text1"/>
                <w14:textFill>
                  <w14:solidFill>
                    <w14:schemeClr w14:val="tx1"/>
                  </w14:solidFill>
                </w14:textFill>
              </w:rPr>
              <w:t>支持通过创建事件调查任务对威胁事件和可疑事件进行调查分析，调查任务中可添加的证据数据包括：日志、告警、漏洞、弱口令、配置核查、文本；支持对以攻击者和受害者情况视角对调查任务中的数据做统计分析；支持调查结果的图形化展示。</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6.</w:t>
            </w:r>
            <w:r>
              <w:rPr>
                <w:rFonts w:hint="eastAsia" w:ascii="仿宋" w:hAnsi="仿宋" w:eastAsia="仿宋"/>
                <w:color w:val="000000" w:themeColor="text1"/>
                <w14:textFill>
                  <w14:solidFill>
                    <w14:schemeClr w14:val="tx1"/>
                  </w14:solidFill>
                </w14:textFill>
              </w:rPr>
              <w:t xml:space="preserve"> 支持对重大网络安全事件（重大热点漏洞）进行威胁预警，通过厂商对重大网络安全事件的追踪生成预警包，通过预警包导入完成网络安全事件的影响面评估，并持续的跟进事态的发展，快速完成重大网络安全事件的预警及处置；针对此类风险支持统计潜在风险资产数、受攻击资产数、失陷资产数以支持对重大网络安全事件进行威胁预警。支持根据风险资产数量统计自定义关键点节点条件，比如大面积爆发、有效控制、威胁缓解等。支持事态扩散过程发展趋势图的展示及详细告警列表及告警信息展示。</w:t>
            </w:r>
            <w:r>
              <w:rPr>
                <w:rFonts w:ascii="仿宋" w:hAnsi="仿宋" w:eastAsia="仿宋"/>
                <w:color w:val="000000" w:themeColor="text1"/>
                <w14:textFill>
                  <w14:solidFill>
                    <w14:schemeClr w14:val="tx1"/>
                  </w14:solidFill>
                </w14:textFill>
              </w:rPr>
              <w:t xml:space="preserve"> </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7.</w:t>
            </w:r>
            <w:r>
              <w:rPr>
                <w:rFonts w:hint="eastAsia" w:ascii="仿宋" w:hAnsi="仿宋" w:eastAsia="仿宋"/>
                <w:color w:val="000000" w:themeColor="text1"/>
                <w14:textFill>
                  <w14:solidFill>
                    <w14:schemeClr w14:val="tx1"/>
                  </w14:solidFill>
                </w14:textFill>
              </w:rPr>
              <w:t xml:space="preserve"> 支持与现有终端安全管理系统</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奇安信天擎</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联动</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实现日常威胁告警或突发安全事件的快速处置联动，批量处置多台终端设备的安全威胁，提升安全处置效率，降低安全风险影响，避免发生重大网络安全事件。现网终端安全管理联动命令需实现：全网终端隔离特定文件，特定终端隔离特定文件、隔离特定终端；支持对同一安全防护策略批量下发给多台联动设备。</w:t>
            </w:r>
          </w:p>
          <w:p>
            <w:pPr>
              <w:spacing w:line="360" w:lineRule="auto"/>
              <w:rPr>
                <w:rFonts w:hint="eastAsia" w:ascii="仿宋" w:hAnsi="仿宋" w:eastAsia="仿宋"/>
                <w:color w:val="000000" w:themeColor="text1"/>
                <w:highlight w:val="none"/>
                <w:lang w:eastAsia="zh-Hans"/>
                <w14:textFill>
                  <w14:solidFill>
                    <w14:schemeClr w14:val="tx1"/>
                  </w14:solidFill>
                </w14:textFill>
              </w:rPr>
            </w:pPr>
            <w:r>
              <w:rPr>
                <w:rFonts w:ascii="仿宋" w:hAnsi="仿宋" w:eastAsia="仿宋"/>
                <w:color w:val="000000" w:themeColor="text1"/>
                <w:highlight w:val="none"/>
                <w14:textFill>
                  <w14:solidFill>
                    <w14:schemeClr w14:val="tx1"/>
                  </w14:solidFill>
                </w14:textFill>
              </w:rPr>
              <w:t>8</w:t>
            </w:r>
            <w:r>
              <w:rPr>
                <w:rFonts w:hint="eastAsia" w:ascii="仿宋" w:hAnsi="仿宋" w:eastAsia="仿宋"/>
                <w:color w:val="000000" w:themeColor="text1"/>
                <w:highlight w:val="none"/>
                <w:lang w:eastAsia="zh-Hans"/>
                <w14:textFill>
                  <w14:solidFill>
                    <w14:schemeClr w14:val="tx1"/>
                  </w14:solidFill>
                </w14:textFill>
              </w:rPr>
              <w:t>.提供近</w:t>
            </w:r>
            <w:r>
              <w:rPr>
                <w:rFonts w:hint="eastAsia" w:ascii="仿宋" w:hAnsi="仿宋" w:eastAsia="仿宋"/>
                <w:color w:val="000000" w:themeColor="text1"/>
                <w:highlight w:val="none"/>
                <w:lang w:val="en-US" w:eastAsia="zh-CN"/>
                <w14:textFill>
                  <w14:solidFill>
                    <w14:schemeClr w14:val="tx1"/>
                  </w14:solidFill>
                </w14:textFill>
              </w:rPr>
              <w:t>2</w:t>
            </w:r>
            <w:r>
              <w:rPr>
                <w:rFonts w:hint="eastAsia" w:ascii="仿宋" w:hAnsi="仿宋" w:eastAsia="仿宋"/>
                <w:color w:val="000000" w:themeColor="text1"/>
                <w:highlight w:val="none"/>
                <w:lang w:eastAsia="zh-Hans"/>
                <w14:textFill>
                  <w14:solidFill>
                    <w14:schemeClr w14:val="tx1"/>
                  </w14:solidFill>
                </w14:textFill>
              </w:rPr>
              <w:t>年IDC</w:t>
            </w:r>
            <w:r>
              <w:rPr>
                <w:rFonts w:hint="eastAsia" w:ascii="仿宋" w:hAnsi="仿宋" w:eastAsia="仿宋"/>
                <w:color w:val="000000" w:themeColor="text1"/>
                <w:highlight w:val="none"/>
                <w:lang w:val="en-US" w:eastAsia="zh-CN"/>
                <w14:textFill>
                  <w14:solidFill>
                    <w14:schemeClr w14:val="tx1"/>
                  </w14:solidFill>
                </w14:textFill>
              </w:rPr>
              <w:t>或</w:t>
            </w:r>
            <w:r>
              <w:rPr>
                <w:rFonts w:hint="eastAsia" w:ascii="仿宋" w:hAnsi="仿宋" w:eastAsia="仿宋"/>
                <w:color w:val="000000" w:themeColor="text1"/>
                <w:highlight w:val="none"/>
                <w:lang w:eastAsia="zh-Hans"/>
                <w14:textFill>
                  <w14:solidFill>
                    <w14:schemeClr w14:val="tx1"/>
                  </w14:solidFill>
                </w14:textFill>
              </w:rPr>
              <w:t>赛迪顾问（CCID）</w:t>
            </w:r>
            <w:r>
              <w:rPr>
                <w:rFonts w:hint="eastAsia" w:ascii="仿宋" w:hAnsi="仿宋" w:eastAsia="仿宋"/>
                <w:color w:val="000000" w:themeColor="text1"/>
                <w:highlight w:val="none"/>
                <w:lang w:val="en-US" w:eastAsia="zh-CN"/>
                <w14:textFill>
                  <w14:solidFill>
                    <w14:schemeClr w14:val="tx1"/>
                  </w14:solidFill>
                </w14:textFill>
              </w:rPr>
              <w:t>或</w:t>
            </w:r>
            <w:r>
              <w:rPr>
                <w:rFonts w:hint="eastAsia" w:ascii="仿宋" w:hAnsi="仿宋" w:eastAsia="仿宋"/>
                <w:color w:val="000000" w:themeColor="text1"/>
                <w:highlight w:val="none"/>
                <w:lang w:eastAsia="zh-Hans"/>
                <w14:textFill>
                  <w14:solidFill>
                    <w14:schemeClr w14:val="tx1"/>
                  </w14:solidFill>
                </w14:textFill>
              </w:rPr>
              <w:t>数世咨询三家大型咨询机构</w:t>
            </w:r>
            <w:r>
              <w:rPr>
                <w:rFonts w:hint="eastAsia" w:ascii="仿宋" w:hAnsi="仿宋" w:eastAsia="仿宋"/>
                <w:color w:val="000000" w:themeColor="text1"/>
                <w:highlight w:val="none"/>
                <w:lang w:val="en-US" w:eastAsia="zh-CN"/>
                <w14:textFill>
                  <w14:solidFill>
                    <w14:schemeClr w14:val="tx1"/>
                  </w14:solidFill>
                </w14:textFill>
              </w:rPr>
              <w:t>之一</w:t>
            </w:r>
            <w:r>
              <w:rPr>
                <w:rFonts w:hint="eastAsia" w:ascii="仿宋" w:hAnsi="仿宋" w:eastAsia="仿宋"/>
                <w:color w:val="000000" w:themeColor="text1"/>
                <w:highlight w:val="none"/>
                <w:lang w:eastAsia="zh-Hans"/>
                <w14:textFill>
                  <w14:solidFill>
                    <w14:schemeClr w14:val="tx1"/>
                  </w14:solidFill>
                </w14:textFill>
              </w:rPr>
              <w:t>出具的产品市场排名前三或解决方案排名前三的证明报告，需提供报告的证明材料</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加盖单位公章</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eastAsia="zh-Hans"/>
                <w14:textFill>
                  <w14:solidFill>
                    <w14:schemeClr w14:val="tx1"/>
                  </w14:solidFill>
                </w14:textFill>
              </w:rPr>
              <w:t>。</w:t>
            </w:r>
          </w:p>
          <w:p>
            <w:pPr>
              <w:spacing w:line="360" w:lineRule="auto"/>
              <w:rPr>
                <w:rFonts w:hint="default" w:eastAsia="仿宋"/>
                <w:lang w:val="en-US" w:eastAsia="zh-CN"/>
              </w:rPr>
            </w:pPr>
            <w:r>
              <w:rPr>
                <w:rFonts w:hint="eastAsia" w:ascii="仿宋" w:hAnsi="仿宋" w:eastAsia="仿宋"/>
                <w:color w:val="000000" w:themeColor="text1"/>
                <w:highlight w:val="none"/>
                <w:lang w:val="en-US" w:eastAsia="zh-CN"/>
                <w14:textFill>
                  <w14:solidFill>
                    <w14:schemeClr w14:val="tx1"/>
                  </w14:solidFill>
                </w14:textFill>
              </w:rPr>
              <w:t>9. 公安部颁发的《计算机信息系统安全专用产品销售许可证》（提供许可证复印件，加盖单位公章）。</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140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3</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态势感知平台配套探针1</w:t>
            </w:r>
          </w:p>
        </w:tc>
        <w:tc>
          <w:tcPr>
            <w:tcW w:w="57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开启网络流量采集、威胁数据采集和日志上报功能情况下混合流，吞吐量</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3Gbps ，2U设备，标准配置6个10/100/1000M自适应千兆电口，接口扩展板卡插槽2个，1个Console口。</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lang w:eastAsia="zh-Hans"/>
              </w:rPr>
              <w:t>2</w:t>
            </w:r>
            <w:r>
              <w:rPr>
                <w:rFonts w:hint="eastAsia" w:ascii="仿宋" w:hAnsi="仿宋" w:eastAsia="仿宋"/>
                <w:lang w:eastAsia="zh-Hans"/>
              </w:rPr>
              <w:t>.</w:t>
            </w:r>
            <w:r>
              <w:rPr>
                <w:rFonts w:hint="eastAsia" w:ascii="仿宋" w:hAnsi="仿宋" w:eastAsia="仿宋"/>
              </w:rPr>
              <w:t>通信模式支持但不限于KAFKA、ZMQ、SYSLOG等协议，需支持多路外发，并支持外发多地址的负载均衡处理</w:t>
            </w:r>
            <w:r>
              <w:rPr>
                <w:rFonts w:hint="eastAsia" w:ascii="仿宋" w:hAnsi="仿宋" w:eastAsia="仿宋"/>
                <w:color w:val="000000" w:themeColor="text1"/>
                <w14:textFill>
                  <w14:solidFill>
                    <w14:schemeClr w14:val="tx1"/>
                  </w14:solidFill>
                </w14:textFill>
              </w:rPr>
              <w:t>。</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985"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4</w:t>
            </w:r>
          </w:p>
        </w:tc>
        <w:tc>
          <w:tcPr>
            <w:tcW w:w="11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态势感知平台配套探针2</w:t>
            </w:r>
          </w:p>
        </w:tc>
        <w:tc>
          <w:tcPr>
            <w:tcW w:w="571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开启网络流量采集、威胁数据采集和日志上报功能情况下混合流，吞吐量</w:t>
            </w:r>
            <w:r>
              <w:rPr>
                <w:rFonts w:hint="eastAsia" w:ascii="仿宋" w:hAnsi="仿宋" w:eastAsia="仿宋"/>
                <w:color w:val="000000" w:themeColor="text1"/>
                <w:lang w:val="en-US" w:eastAsia="zh-CN"/>
                <w14:textFill>
                  <w14:solidFill>
                    <w14:schemeClr w14:val="tx1"/>
                  </w14:solidFill>
                </w14:textFill>
              </w:rPr>
              <w:t>不低于</w:t>
            </w:r>
            <w:r>
              <w:rPr>
                <w:rFonts w:ascii="仿宋" w:hAnsi="仿宋" w:eastAsia="仿宋"/>
                <w:color w:val="000000" w:themeColor="text1"/>
                <w14:textFill>
                  <w14:solidFill>
                    <w14:schemeClr w14:val="tx1"/>
                  </w14:solidFill>
                </w14:textFill>
              </w:rPr>
              <w:t>10</w:t>
            </w:r>
            <w:r>
              <w:rPr>
                <w:rFonts w:hint="eastAsia" w:ascii="仿宋" w:hAnsi="仿宋" w:eastAsia="仿宋"/>
                <w:color w:val="000000" w:themeColor="text1"/>
                <w14:textFill>
                  <w14:solidFill>
                    <w14:schemeClr w14:val="tx1"/>
                  </w14:solidFill>
                </w14:textFill>
              </w:rPr>
              <w:t>Gbps，</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U设备，冗余电源，10/100/1000M专用管理接口1个；Console口1个，10/100/1000M自适应千兆电口4个，万兆光口2个，接口扩展板卡插槽6个。</w:t>
            </w:r>
          </w:p>
          <w:p>
            <w:pPr>
              <w:spacing w:line="360" w:lineRule="auto"/>
              <w:rPr>
                <w:rFonts w:ascii="仿宋" w:hAnsi="仿宋" w:eastAsia="仿宋"/>
                <w:color w:val="000000" w:themeColor="text1"/>
                <w14:textFill>
                  <w14:solidFill>
                    <w14:schemeClr w14:val="tx1"/>
                  </w14:solidFill>
                </w14:textFill>
              </w:rPr>
            </w:pPr>
            <w:r>
              <w:rPr>
                <w:rFonts w:ascii="仿宋" w:hAnsi="仿宋" w:eastAsia="仿宋"/>
                <w:lang w:eastAsia="zh-Hans"/>
              </w:rPr>
              <w:t>2</w:t>
            </w:r>
            <w:r>
              <w:rPr>
                <w:rFonts w:hint="eastAsia" w:ascii="仿宋" w:hAnsi="仿宋" w:eastAsia="仿宋"/>
                <w:lang w:eastAsia="zh-Hans"/>
              </w:rPr>
              <w:t>.</w:t>
            </w:r>
            <w:r>
              <w:rPr>
                <w:rFonts w:hint="eastAsia" w:ascii="仿宋" w:hAnsi="仿宋" w:eastAsia="仿宋"/>
              </w:rPr>
              <w:t>通信模式支持但不限于KAFKA、ZMQ、SYSLOG等协议，需支持多路外发，并支持外发多地址的负载均衡处理</w:t>
            </w:r>
            <w:r>
              <w:rPr>
                <w:rFonts w:hint="eastAsia" w:ascii="仿宋" w:hAnsi="仿宋" w:eastAsia="仿宋"/>
                <w:color w:val="000000" w:themeColor="text1"/>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1</w:t>
            </w:r>
          </w:p>
        </w:tc>
      </w:tr>
    </w:tbl>
    <w:p>
      <w:pPr>
        <w:pStyle w:val="27"/>
        <w:ind w:firstLine="0" w:firstLineChars="0"/>
      </w:pP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（二）服务要求：</w:t>
      </w:r>
    </w:p>
    <w:p>
      <w:pPr>
        <w:ind w:left="420" w:leftChars="200" w:firstLine="145" w:firstLineChars="5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1.承包人明确承诺:本项目提供的免费系统升级服务、硬件维修服务、服务支持不低于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年。</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2.承包人投标产品属于国家规定“三包”范围的，其产品质量保证期不得低于“三包”规定。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3.承包人的质量保证期承诺优于国家“三包”规定的，按承包人实际承诺执行。</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4.承包人投标产品由原厂负责标准售后服务的，应当在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响应</w:t>
      </w:r>
      <w:r>
        <w:rPr>
          <w:rFonts w:hint="eastAsia" w:ascii="仿宋_GB2312" w:hAnsi="仿宋_GB2312" w:eastAsia="仿宋_GB2312" w:cs="仿宋_GB2312"/>
          <w:color w:val="000000" w:themeColor="text1"/>
          <w:sz w:val="28"/>
          <w:szCs w:val="28"/>
          <w14:textFill>
            <w14:solidFill>
              <w14:schemeClr w14:val="tx1"/>
            </w14:solidFill>
          </w14:textFill>
        </w:rPr>
        <w:t>文件中予以明确说明,并附厂家售后服务承诺内容。</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C、技术升级</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D、应急技术支持</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针对重大安全事件，即态势感知平台检测到的安全事件，导致全网瘫痪，严重影响基本业务正常开展，应急工程师在10分钟内响应，在</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小时内到达指定现场。</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针对较大安全事件，即态势感知平台检测到的安全事件，导致部分业务系统被攻击或发生僵木蠕事件，影响部分系统基本业务正常开展，应急工程师在20分钟内响应，在</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小时内到达指定现场。</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针对一般安全事件，即态势感知平台检测到的安全事件，不影响正常业务办公，但是会有较大风险会导致业务或网络中断，应急工程师在30分钟内响应，在</w:t>
      </w:r>
      <w:r>
        <w:rPr>
          <w:rFonts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小时内到达指定现场。</w:t>
      </w:r>
    </w:p>
    <w:p>
      <w:pPr>
        <w:pStyle w:val="27"/>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E、运维服务支持</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定期对安全组件上的安全策略进行统一管理，确保安全组件上的安全策略始终处于最优水平，针对威胁能起到最好的防护效果，根据安全事件分析的结果以及处置方式，按需对安全组件上的安全策略进行优化，全面提升网络安全管理与防护水平。</w:t>
      </w:r>
    </w:p>
    <w:p>
      <w:pPr>
        <w:pStyle w:val="2"/>
        <w:rPr>
          <w:rFonts w:hint="default"/>
          <w:lang w:val="en-US" w:eastAsia="zh-CN"/>
        </w:rPr>
      </w:pPr>
    </w:p>
    <w:p>
      <w:pPr>
        <w:spacing w:line="240" w:lineRule="auto"/>
        <w:rPr>
          <w:rFonts w:hint="eastAsia" w:ascii="宋体" w:hAnsi="宋体" w:cs="宋体"/>
          <w:szCs w:val="21"/>
        </w:rPr>
      </w:pPr>
      <w:r>
        <w:rPr>
          <w:rFonts w:hint="eastAsia" w:ascii="宋体" w:hAnsi="宋体" w:cs="宋体"/>
          <w:szCs w:val="21"/>
        </w:rPr>
        <w:br w:type="page"/>
      </w:r>
    </w:p>
    <w:p>
      <w:pPr>
        <w:spacing w:line="540" w:lineRule="exact"/>
        <w:rPr>
          <w:rFonts w:hint="default" w:ascii="宋体" w:hAnsi="宋体" w:eastAsia="宋体" w:cs="宋体"/>
          <w:szCs w:val="21"/>
          <w:lang w:val="en-US" w:eastAsia="zh-CN"/>
        </w:rPr>
      </w:pPr>
      <w:r>
        <w:rPr>
          <w:rFonts w:hint="eastAsia" w:ascii="宋体" w:hAnsi="宋体" w:cs="宋体"/>
          <w:szCs w:val="21"/>
        </w:rPr>
        <w:t>附件</w:t>
      </w:r>
      <w:r>
        <w:rPr>
          <w:rFonts w:hint="eastAsia" w:ascii="宋体" w:hAnsi="宋体" w:cs="宋体"/>
          <w:szCs w:val="21"/>
          <w:lang w:val="en-US" w:eastAsia="zh-CN"/>
        </w:rPr>
        <w:t>6保密协议</w:t>
      </w:r>
    </w:p>
    <w:p>
      <w:pPr>
        <w:spacing w:line="560" w:lineRule="exact"/>
        <w:jc w:val="center"/>
        <w:rPr>
          <w:rFonts w:ascii="宋体" w:hAnsi="宋体" w:cs="宋体"/>
          <w:b/>
          <w:szCs w:val="21"/>
        </w:rPr>
      </w:pPr>
      <w:r>
        <w:rPr>
          <w:rFonts w:hint="eastAsia" w:ascii="宋体" w:hAnsi="宋体" w:cs="宋体"/>
          <w:b/>
          <w:szCs w:val="21"/>
          <w:u w:val="single"/>
          <w:lang w:val="en-US" w:eastAsia="zh-CN"/>
        </w:rPr>
        <w:t xml:space="preserve"> </w:t>
      </w:r>
      <w:r>
        <w:rPr>
          <w:rFonts w:hint="eastAsia" w:ascii="宋体" w:hAnsi="宋体" w:cs="宋体"/>
          <w:szCs w:val="21"/>
          <w:u w:val="single"/>
        </w:rPr>
        <w:t>2022年度网络安全设备采购</w:t>
      </w:r>
      <w:r>
        <w:rPr>
          <w:rFonts w:hint="eastAsia" w:ascii="宋体" w:hAnsi="宋体" w:cs="宋体"/>
          <w:b/>
          <w:szCs w:val="21"/>
          <w:lang w:val="en-US" w:eastAsia="zh-CN"/>
        </w:rPr>
        <w:t>项目</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2022年度网络安全设备采购项目</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8"/>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8"/>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8"/>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lang w:val="en-US" w:eastAsia="zh-CN"/>
        </w:rPr>
        <w:t xml:space="preserve"> </w:t>
      </w:r>
      <w:r>
        <w:rPr>
          <w:rFonts w:hint="eastAsia" w:ascii="宋体" w:hAnsi="宋体" w:cs="宋体"/>
          <w:szCs w:val="21"/>
          <w:u w:val="single"/>
        </w:rPr>
        <w:t>穗净水合[     ]    号</w:t>
      </w:r>
      <w:r>
        <w:rPr>
          <w:rFonts w:hint="eastAsia" w:ascii="宋体" w:hAnsi="宋体" w:cs="宋体"/>
          <w:szCs w:val="21"/>
          <w:u w:val="single"/>
          <w:lang w:val="en-US" w:eastAsia="zh-CN"/>
        </w:rPr>
        <w:t xml:space="preserve"> </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lang w:val="en-US" w:eastAsia="zh-CN"/>
        </w:rPr>
        <w:t xml:space="preserve">  </w:t>
      </w:r>
      <w:r>
        <w:rPr>
          <w:rFonts w:hint="eastAsia" w:ascii="宋体" w:hAnsi="宋体" w:cs="宋体"/>
          <w:szCs w:val="21"/>
        </w:rPr>
        <w:t>份，甲方执</w:t>
      </w:r>
      <w:r>
        <w:rPr>
          <w:rFonts w:hint="eastAsia" w:ascii="宋体" w:hAnsi="宋体" w:cs="宋体"/>
          <w:szCs w:val="21"/>
          <w:u w:val="single"/>
          <w:lang w:val="en-US" w:eastAsia="zh-CN"/>
        </w:rPr>
        <w:t xml:space="preserve">   </w:t>
      </w:r>
      <w:r>
        <w:rPr>
          <w:rFonts w:hint="eastAsia" w:ascii="宋体" w:hAnsi="宋体" w:cs="宋体"/>
          <w:szCs w:val="21"/>
        </w:rPr>
        <w:t>份，乙方执</w:t>
      </w:r>
      <w:r>
        <w:rPr>
          <w:rFonts w:hint="eastAsia" w:ascii="宋体" w:hAnsi="宋体" w:cs="宋体"/>
          <w:szCs w:val="21"/>
          <w:u w:val="single"/>
          <w:lang w:val="en-US" w:eastAsia="zh-CN"/>
        </w:rPr>
        <w:t xml:space="preserve">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0" w:leftChars="0" w:firstLine="420" w:firstLineChars="2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420" w:firstLineChars="200"/>
        <w:jc w:val="left"/>
        <w:textAlignment w:val="baseline"/>
        <w:rPr>
          <w:rFonts w:hint="eastAsia" w:ascii="宋体" w:hAnsi="宋体" w:cs="宋体"/>
          <w:szCs w:val="21"/>
        </w:rPr>
      </w:pP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签约代表：                   签约代表：</w:t>
      </w:r>
    </w:p>
    <w:p>
      <w:pPr>
        <w:ind w:firstLine="420" w:firstLineChars="200"/>
        <w:rPr>
          <w:rFonts w:hint="eastAsia" w:ascii="宋体" w:hAnsi="宋体" w:cs="宋体"/>
          <w:szCs w:val="21"/>
        </w:rPr>
      </w:pPr>
    </w:p>
    <w:p>
      <w:pPr>
        <w:ind w:firstLine="420" w:firstLineChars="200"/>
        <w:rPr>
          <w:rFonts w:hint="eastAsia" w:ascii="仿宋_GB2312" w:hAnsi="仿宋_GB2312" w:eastAsia="仿宋_GB2312" w:cs="仿宋_GB2312"/>
          <w:lang w:val="zh-CN"/>
        </w:rPr>
      </w:pPr>
      <w:r>
        <w:rPr>
          <w:rFonts w:hint="eastAsia" w:ascii="宋体" w:hAnsi="宋体" w:cs="宋体"/>
          <w:szCs w:val="21"/>
        </w:rPr>
        <w:t xml:space="preserve">日期：                       日期：  </w:t>
      </w:r>
    </w:p>
    <w:p>
      <w:pPr>
        <w:rPr>
          <w:rFonts w:hint="eastAsia" w:ascii="仿宋_GB2312" w:hAnsi="仿宋_GB2312" w:eastAsia="仿宋_GB2312" w:cs="仿宋_GB2312"/>
          <w:lang w:val="zh-CN"/>
        </w:rPr>
      </w:pPr>
      <w:r>
        <w:rPr>
          <w:rFonts w:hint="eastAsia" w:ascii="仿宋_GB2312" w:hAnsi="仿宋_GB2312" w:eastAsia="仿宋_GB2312" w:cs="仿宋_GB2312"/>
          <w:lang w:val="zh-CN"/>
        </w:rPr>
        <w:br w:type="page"/>
      </w:r>
    </w:p>
    <w:p>
      <w:pPr>
        <w:pStyle w:val="25"/>
        <w:rPr>
          <w:rFonts w:ascii="仿宋_GB2312" w:hAnsi="仿宋_GB2312" w:eastAsia="仿宋_GB2312" w:cs="仿宋_GB2312"/>
          <w:lang w:val="zh-CN"/>
        </w:rPr>
      </w:pPr>
      <w:r>
        <w:rPr>
          <w:rFonts w:hint="eastAsia" w:ascii="仿宋_GB2312" w:hAnsi="仿宋_GB2312" w:eastAsia="仿宋_GB2312" w:cs="仿宋_GB2312"/>
          <w:lang w:val="zh-CN"/>
        </w:rPr>
        <w:t>第五部分　响应文件格式</w:t>
      </w:r>
    </w:p>
    <w:p>
      <w:pPr>
        <w:pStyle w:val="16"/>
        <w:spacing w:line="360" w:lineRule="auto"/>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rPr>
      </w:pPr>
    </w:p>
    <w:p>
      <w:pPr>
        <w:pStyle w:val="16"/>
        <w:tabs>
          <w:tab w:val="left" w:pos="1260"/>
        </w:tabs>
        <w:jc w:val="center"/>
        <w:rPr>
          <w:rFonts w:ascii="仿宋_GB2312" w:hAnsi="仿宋_GB2312" w:eastAsia="仿宋_GB2312" w:cs="仿宋_GB2312"/>
          <w:b/>
          <w:kern w:val="0"/>
          <w:sz w:val="28"/>
          <w:szCs w:val="28"/>
        </w:rPr>
      </w:pPr>
    </w:p>
    <w:p>
      <w:pPr>
        <w:pStyle w:val="16"/>
        <w:tabs>
          <w:tab w:val="left" w:pos="1260"/>
        </w:tabs>
        <w:jc w:val="center"/>
        <w:rPr>
          <w:rFonts w:ascii="仿宋_GB2312" w:hAnsi="仿宋_GB2312" w:eastAsia="仿宋_GB2312" w:cs="仿宋_GB2312"/>
          <w:b/>
          <w:kern w:val="0"/>
          <w:sz w:val="28"/>
          <w:szCs w:val="28"/>
          <w:u w:val="single"/>
        </w:rPr>
      </w:pPr>
    </w:p>
    <w:p>
      <w:pPr>
        <w:pStyle w:val="16"/>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广州市净水有限公司2022年度网络安全设备采购项目</w:t>
      </w:r>
    </w:p>
    <w:p>
      <w:pPr>
        <w:pStyle w:val="16"/>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6"/>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6"/>
        <w:jc w:val="center"/>
        <w:rPr>
          <w:rFonts w:ascii="仿宋_GB2312" w:hAnsi="仿宋_GB2312" w:eastAsia="仿宋_GB2312" w:cs="仿宋_GB2312"/>
          <w:b/>
          <w:sz w:val="28"/>
          <w:szCs w:val="28"/>
        </w:rPr>
      </w:pPr>
    </w:p>
    <w:p>
      <w:pPr>
        <w:pStyle w:val="16"/>
        <w:jc w:val="center"/>
        <w:rPr>
          <w:rFonts w:ascii="仿宋_GB2312" w:hAnsi="仿宋_GB2312" w:eastAsia="仿宋_GB2312" w:cs="仿宋_GB2312"/>
          <w:b/>
          <w:sz w:val="28"/>
          <w:szCs w:val="28"/>
        </w:rPr>
      </w:pPr>
    </w:p>
    <w:p>
      <w:pPr>
        <w:pStyle w:val="16"/>
        <w:spacing w:line="360" w:lineRule="auto"/>
        <w:ind w:firstLine="840" w:firstLineChars="300"/>
        <w:rPr>
          <w:rFonts w:hint="eastAsia" w:ascii="仿宋_GB2312" w:hAnsi="仿宋_GB2312" w:eastAsia="仿宋" w:cs="仿宋_GB2312"/>
          <w:sz w:val="28"/>
          <w:szCs w:val="28"/>
          <w:u w:val="single"/>
          <w:lang w:val="en-US" w:eastAsia="zh-CN"/>
        </w:rPr>
      </w:pPr>
      <w:r>
        <w:rPr>
          <w:rFonts w:hint="eastAsia" w:ascii="仿宋_GB2312" w:hAnsi="仿宋_GB2312" w:eastAsia="仿宋_GB2312" w:cs="仿宋_GB2312"/>
          <w:sz w:val="28"/>
          <w:szCs w:val="28"/>
        </w:rPr>
        <w:t>项目编号：</w:t>
      </w:r>
      <w:r>
        <w:rPr>
          <w:rFonts w:hint="eastAsia" w:ascii="仿宋" w:hAnsi="仿宋" w:eastAsia="仿宋" w:cs="仿宋_GB2312"/>
          <w:bCs/>
          <w:color w:val="000000" w:themeColor="text1"/>
          <w:sz w:val="28"/>
          <w:szCs w:val="28"/>
          <w:lang w:val="en-US" w:eastAsia="zh-CN"/>
          <w14:textFill>
            <w14:solidFill>
              <w14:schemeClr w14:val="tx1"/>
            </w14:solidFill>
          </w14:textFill>
        </w:rPr>
        <w:t xml:space="preserve"> </w:t>
      </w:r>
    </w:p>
    <w:p>
      <w:pPr>
        <w:pStyle w:val="3"/>
        <w:spacing w:line="360" w:lineRule="auto"/>
        <w:ind w:firstLine="828" w:firstLineChars="296"/>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hAnsi="仿宋_GB2312" w:cs="仿宋_GB2312"/>
          <w:sz w:val="28"/>
          <w:szCs w:val="28"/>
        </w:rPr>
        <w:t>2022年度网络安全设备采购项目</w:t>
      </w:r>
    </w:p>
    <w:p>
      <w:pPr>
        <w:pStyle w:val="16"/>
        <w:ind w:firstLine="843" w:firstLineChars="300"/>
        <w:rPr>
          <w:rFonts w:ascii="仿宋_GB2312" w:hAnsi="仿宋_GB2312" w:eastAsia="仿宋_GB2312" w:cs="仿宋_GB2312"/>
          <w:b/>
          <w:sz w:val="28"/>
          <w:szCs w:val="28"/>
        </w:rPr>
      </w:pPr>
    </w:p>
    <w:p>
      <w:pPr>
        <w:pStyle w:val="16"/>
        <w:ind w:firstLine="843" w:firstLineChars="300"/>
        <w:rPr>
          <w:rFonts w:ascii="仿宋_GB2312" w:hAnsi="仿宋_GB2312" w:eastAsia="仿宋_GB2312" w:cs="仿宋_GB2312"/>
          <w:b/>
          <w:sz w:val="28"/>
          <w:szCs w:val="28"/>
        </w:rPr>
      </w:pPr>
    </w:p>
    <w:p>
      <w:pPr>
        <w:pStyle w:val="16"/>
        <w:ind w:firstLine="843" w:firstLineChars="300"/>
        <w:rPr>
          <w:rFonts w:ascii="仿宋_GB2312" w:hAnsi="仿宋_GB2312" w:eastAsia="仿宋_GB2312" w:cs="仿宋_GB2312"/>
          <w:b/>
          <w:sz w:val="28"/>
          <w:szCs w:val="28"/>
        </w:rPr>
      </w:pPr>
    </w:p>
    <w:p>
      <w:pPr>
        <w:pStyle w:val="16"/>
        <w:ind w:firstLine="843" w:firstLineChars="300"/>
        <w:rPr>
          <w:rFonts w:ascii="仿宋_GB2312" w:hAnsi="仿宋_GB2312" w:eastAsia="仿宋_GB2312" w:cs="仿宋_GB2312"/>
          <w:b/>
          <w:sz w:val="28"/>
          <w:szCs w:val="28"/>
        </w:rPr>
      </w:pPr>
    </w:p>
    <w:p>
      <w:pPr>
        <w:pStyle w:val="16"/>
        <w:ind w:firstLine="843" w:firstLineChars="300"/>
        <w:rPr>
          <w:rFonts w:ascii="仿宋_GB2312" w:hAnsi="仿宋_GB2312" w:eastAsia="仿宋_GB2312" w:cs="仿宋_GB2312"/>
          <w:b/>
          <w:sz w:val="28"/>
          <w:szCs w:val="28"/>
        </w:rPr>
      </w:pPr>
    </w:p>
    <w:p>
      <w:pPr>
        <w:pStyle w:val="16"/>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w:t>
            </w:r>
          </w:p>
          <w:p>
            <w:pPr>
              <w:pStyle w:val="35"/>
            </w:pPr>
          </w:p>
          <w:p>
            <w:pPr>
              <w:spacing w:line="360" w:lineRule="auto"/>
              <w:jc w:val="left"/>
              <w:rPr>
                <w:rFonts w:ascii="宋体" w:hAnsi="宋体"/>
                <w:sz w:val="24"/>
              </w:rPr>
            </w:pPr>
          </w:p>
        </w:tc>
      </w:tr>
    </w:tbl>
    <w:p>
      <w:pPr>
        <w:spacing w:line="440" w:lineRule="exact"/>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w:t>
      </w:r>
      <w:r>
        <w:rPr>
          <w:rFonts w:hint="eastAsia" w:ascii="仿宋" w:hAnsi="仿宋" w:eastAsia="仿宋" w:cs="仿宋_GB2312"/>
          <w:color w:val="000000" w:themeColor="text1"/>
          <w:sz w:val="28"/>
          <w:szCs w:val="28"/>
          <w:u w:val="single"/>
          <w:lang w:val="en-US" w:eastAsia="zh-CN"/>
          <w14:textFill>
            <w14:solidFill>
              <w14:schemeClr w14:val="tx1"/>
            </w14:solidFill>
          </w14:textFill>
        </w:rPr>
        <w:t>加</w:t>
      </w:r>
      <w:r>
        <w:rPr>
          <w:rFonts w:hint="eastAsia" w:ascii="仿宋" w:hAnsi="仿宋" w:eastAsia="仿宋" w:cs="仿宋_GB2312"/>
          <w:color w:val="000000" w:themeColor="text1"/>
          <w:sz w:val="28"/>
          <w:szCs w:val="28"/>
          <w:u w:val="single"/>
          <w14:textFill>
            <w14:solidFill>
              <w14:schemeClr w14:val="tx1"/>
            </w14:solidFill>
          </w14:textFill>
        </w:rPr>
        <w:t>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5"/>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hint="eastAsia" w:ascii="宋体" w:hAnsi="宋体" w:eastAsia="宋体" w:cs="宋体"/>
                <w:sz w:val="24"/>
                <w:lang w:eastAsia="zh-SG"/>
              </w:rPr>
            </w:pPr>
            <w:r>
              <w:rPr>
                <w:rFonts w:hint="eastAsia" w:ascii="宋体" w:hAnsi="宋体" w:eastAsia="宋体" w:cs="宋体"/>
                <w:sz w:val="24"/>
                <w:lang w:eastAsia="zh-SG"/>
              </w:rPr>
              <w:t>人像面</w:t>
            </w:r>
          </w:p>
          <w:p>
            <w:pPr>
              <w:spacing w:line="360" w:lineRule="auto"/>
              <w:jc w:val="center"/>
              <w:rPr>
                <w:rFonts w:hint="eastAsia" w:ascii="宋体" w:hAnsi="宋体" w:eastAsia="宋体" w:cs="宋体"/>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宋体" w:cs="宋体"/>
                <w:sz w:val="24"/>
                <w:lang w:eastAsia="zh-SG"/>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仿宋" w:hAnsi="仿宋" w:eastAsia="仿宋" w:cs="仿宋"/>
                <w:sz w:val="28"/>
                <w:szCs w:val="28"/>
                <w:lang w:eastAsia="zh-SG"/>
              </w:rPr>
              <w:t>授权代理人在本单位近三个月社保记录，（以加盖社会保险基金管理中心印章的《缴费历史明细表》或《社会保险参保人员证明》为准，</w:t>
            </w:r>
            <w:r>
              <w:rPr>
                <w:rFonts w:hint="eastAsia" w:ascii="仿宋" w:hAnsi="仿宋" w:eastAsia="仿宋" w:cs="仿宋"/>
                <w:sz w:val="28"/>
                <w:szCs w:val="28"/>
                <w:lang w:val="en-US" w:eastAsia="zh-CN"/>
              </w:rPr>
              <w:t>加</w:t>
            </w:r>
            <w:r>
              <w:rPr>
                <w:rFonts w:hint="eastAsia" w:ascii="仿宋" w:hAnsi="仿宋" w:eastAsia="仿宋" w:cs="仿宋"/>
                <w:sz w:val="28"/>
                <w:szCs w:val="28"/>
                <w:lang w:eastAsia="zh-SG"/>
              </w:rPr>
              <w:t>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440" w:lineRule="exact"/>
        <w:ind w:firstLine="859" w:firstLineChars="307"/>
        <w:rPr>
          <w:rFonts w:ascii="仿宋_GB2312" w:hAnsi="仿宋_GB2312" w:eastAsia="仿宋_GB2312" w:cs="仿宋_GB2312"/>
          <w:sz w:val="28"/>
          <w:szCs w:val="28"/>
        </w:rPr>
      </w:pP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日期：年 月 日</w:t>
      </w: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50"/>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44"/>
        <w:spacing w:line="400" w:lineRule="exact"/>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44"/>
        <w:ind w:firstLine="496"/>
        <w:rPr>
          <w:rFonts w:hint="eastAsia" w:ascii="仿宋" w:hAnsi="仿宋" w:eastAsia="仿宋" w:cs="仿宋"/>
          <w:u w:val="single"/>
        </w:rPr>
      </w:pPr>
      <w:r>
        <w:rPr>
          <w:rFonts w:hint="eastAsia" w:ascii="仿宋" w:hAnsi="仿宋" w:eastAsia="仿宋" w:cs="仿宋"/>
        </w:rPr>
        <w:t>承包意向人：(盖公章)</w:t>
      </w:r>
    </w:p>
    <w:p>
      <w:pPr>
        <w:pStyle w:val="44"/>
        <w:ind w:firstLine="496"/>
        <w:rPr>
          <w:rFonts w:hint="eastAsia" w:ascii="仿宋" w:hAnsi="仿宋" w:eastAsia="仿宋" w:cs="仿宋"/>
        </w:rPr>
      </w:pPr>
      <w:r>
        <w:rPr>
          <w:rFonts w:hint="eastAsia" w:ascii="仿宋" w:hAnsi="仿宋" w:eastAsia="仿宋" w:cs="仿宋"/>
        </w:rPr>
        <w:t>法定代表人（签名或盖</w:t>
      </w:r>
      <w:r>
        <w:rPr>
          <w:rFonts w:hint="eastAsia" w:ascii="仿宋" w:hAnsi="仿宋" w:eastAsia="仿宋" w:cs="仿宋"/>
          <w:lang w:val="en-US" w:eastAsia="zh-CN"/>
        </w:rPr>
        <w:t>私</w:t>
      </w:r>
      <w:r>
        <w:rPr>
          <w:rFonts w:hint="eastAsia" w:ascii="仿宋" w:hAnsi="仿宋" w:eastAsia="仿宋" w:cs="仿宋"/>
        </w:rPr>
        <w:t>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 w:hAnsi="仿宋" w:eastAsia="仿宋" w:cs="仿宋"/>
          <w:snapToGrid w:val="0"/>
          <w:spacing w:val="4"/>
          <w:kern w:val="0"/>
          <w:sz w:val="24"/>
        </w:rPr>
        <w:t>日    期：</w:t>
      </w:r>
      <w:r>
        <w:rPr>
          <w:rFonts w:hint="eastAsia" w:ascii="仿宋_GB2312" w:hAnsi="仿宋_GB2312" w:eastAsia="仿宋_GB2312" w:cs="仿宋_GB2312"/>
          <w:snapToGrid w:val="0"/>
          <w:spacing w:val="4"/>
          <w:kern w:val="0"/>
          <w:sz w:val="24"/>
        </w:rPr>
        <w:t xml:space="preserve">      </w:t>
      </w:r>
    </w:p>
    <w:p>
      <w:pPr>
        <w:pStyle w:val="4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right"/>
        <w:rPr>
          <w:rFonts w:ascii="仿宋_GB2312" w:hAnsi="仿宋_GB2312" w:eastAsia="仿宋_GB2312" w:cs="仿宋_GB2312"/>
          <w:b/>
          <w:sz w:val="28"/>
          <w:szCs w:val="28"/>
        </w:rPr>
      </w:pPr>
    </w:p>
    <w:p>
      <w:pPr>
        <w:wordWrap w:val="0"/>
        <w:adjustRightInd w:val="0"/>
        <w:snapToGrid w:val="0"/>
        <w:spacing w:line="300" w:lineRule="auto"/>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lang w:val="en-US" w:eastAsia="zh-CN"/>
        </w:rPr>
        <w:t xml:space="preserve">     </w:t>
      </w:r>
    </w:p>
    <w:p>
      <w:pPr>
        <w:wordWrap w:val="0"/>
        <w:adjustRightInd w:val="0"/>
        <w:snapToGrid w:val="0"/>
        <w:spacing w:line="300" w:lineRule="auto"/>
        <w:jc w:val="righ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lang w:val="en-US" w:eastAsia="zh-CN"/>
        </w:rPr>
        <w:t xml:space="preserve">     </w:t>
      </w:r>
    </w:p>
    <w:p>
      <w:pPr>
        <w:wordWrap w:val="0"/>
        <w:adjustRightInd w:val="0"/>
        <w:snapToGrid w:val="0"/>
        <w:spacing w:line="300" w:lineRule="auto"/>
        <w:jc w:val="right"/>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sz w:val="28"/>
          <w:szCs w:val="28"/>
        </w:rPr>
        <w:t>日期：年 月 日</w:t>
      </w:r>
      <w:r>
        <w:rPr>
          <w:rFonts w:hint="eastAsia" w:ascii="仿宋_GB2312" w:hAnsi="仿宋_GB2312" w:eastAsia="仿宋_GB2312" w:cs="仿宋_GB2312"/>
          <w:sz w:val="28"/>
          <w:szCs w:val="28"/>
          <w:lang w:val="en-US" w:eastAsia="zh-CN"/>
        </w:rPr>
        <w:t xml:space="preserve">       </w:t>
      </w:r>
    </w:p>
    <w:p>
      <w:pPr>
        <w:tabs>
          <w:tab w:val="left" w:pos="6320"/>
        </w:tabs>
        <w:jc w:val="left"/>
      </w:pPr>
    </w:p>
    <w:p>
      <w:pPr>
        <w:pStyle w:val="2"/>
        <w:ind w:firstLine="640"/>
        <w:rPr>
          <w:rFonts w:hint="default"/>
        </w:rPr>
      </w:pPr>
    </w:p>
    <w:p>
      <w:pPr>
        <w:pStyle w:val="2"/>
        <w:ind w:firstLine="640"/>
        <w:rPr>
          <w:rFonts w:hint="default"/>
        </w:rPr>
      </w:pPr>
    </w:p>
    <w:p>
      <w:pPr>
        <w:pStyle w:val="2"/>
        <w:ind w:firstLine="640"/>
        <w:rPr>
          <w:rFonts w:hint="default"/>
        </w:rPr>
      </w:pPr>
    </w:p>
    <w:p>
      <w:pPr>
        <w:pStyle w:val="2"/>
        <w:ind w:firstLine="640"/>
        <w:rPr>
          <w:rFonts w:hint="default"/>
        </w:rPr>
      </w:pPr>
    </w:p>
    <w:p>
      <w:r>
        <w:br w:type="page"/>
      </w:r>
    </w:p>
    <w:p>
      <w:pPr>
        <w:pStyle w:val="35"/>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5、偏离度</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拟采购的硬件</w:t>
      </w:r>
      <w:r>
        <w:rPr>
          <w:rFonts w:hint="eastAsia" w:ascii="仿宋_GB2312" w:hAnsi="仿宋_GB2312" w:eastAsia="仿宋_GB2312" w:cs="仿宋_GB2312"/>
          <w:sz w:val="28"/>
          <w:szCs w:val="28"/>
          <w:lang w:val="en-US" w:eastAsia="zh-CN"/>
        </w:rPr>
        <w:t>参数</w:t>
      </w:r>
      <w:r>
        <w:rPr>
          <w:rFonts w:hint="eastAsia" w:ascii="仿宋_GB2312" w:hAnsi="仿宋_GB2312" w:eastAsia="仿宋_GB2312" w:cs="仿宋_GB2312"/>
          <w:sz w:val="28"/>
          <w:szCs w:val="28"/>
        </w:rPr>
        <w:t>如下（以下指标若出现负偏离，则视无效报价处理）：</w:t>
      </w:r>
    </w:p>
    <w:tbl>
      <w:tblPr>
        <w:tblStyle w:val="28"/>
        <w:tblW w:w="8237" w:type="dxa"/>
        <w:jc w:val="center"/>
        <w:tblLayout w:type="fixed"/>
        <w:tblCellMar>
          <w:top w:w="0" w:type="dxa"/>
          <w:left w:w="108" w:type="dxa"/>
          <w:bottom w:w="0" w:type="dxa"/>
          <w:right w:w="108" w:type="dxa"/>
        </w:tblCellMar>
      </w:tblPr>
      <w:tblGrid>
        <w:gridCol w:w="723"/>
        <w:gridCol w:w="1149"/>
        <w:gridCol w:w="4680"/>
        <w:gridCol w:w="1685"/>
      </w:tblGrid>
      <w:tr>
        <w:tblPrEx>
          <w:tblCellMar>
            <w:top w:w="0" w:type="dxa"/>
            <w:left w:w="108" w:type="dxa"/>
            <w:bottom w:w="0" w:type="dxa"/>
            <w:right w:w="108" w:type="dxa"/>
          </w:tblCellMar>
        </w:tblPrEx>
        <w:trPr>
          <w:trHeight w:val="418"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序号</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bCs/>
              </w:rPr>
            </w:pPr>
            <w:r>
              <w:rPr>
                <w:rFonts w:hint="eastAsia" w:ascii="仿宋" w:hAnsi="仿宋" w:eastAsia="仿宋"/>
                <w:b/>
                <w:bCs/>
              </w:rPr>
              <w:t>产品名称</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rPr>
            </w:pPr>
            <w:r>
              <w:rPr>
                <w:rFonts w:hint="eastAsia" w:ascii="仿宋" w:hAnsi="仿宋" w:eastAsia="仿宋"/>
                <w:b/>
                <w:bCs/>
              </w:rPr>
              <w:t>技术参数要求</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 w:hAnsi="仿宋" w:eastAsia="仿宋"/>
                <w:b/>
                <w:bCs/>
                <w:lang w:val="en-US" w:eastAsia="zh-CN"/>
              </w:rPr>
            </w:pPr>
            <w:r>
              <w:rPr>
                <w:rFonts w:hint="eastAsia" w:ascii="仿宋" w:hAnsi="仿宋" w:eastAsia="仿宋"/>
                <w:b/>
                <w:bCs/>
                <w:lang w:val="en-US" w:eastAsia="zh-CN"/>
              </w:rPr>
              <w:t>偏离情况（正偏离、无偏离、负偏离）</w:t>
            </w:r>
          </w:p>
        </w:tc>
      </w:tr>
      <w:tr>
        <w:tblPrEx>
          <w:tblCellMar>
            <w:top w:w="0" w:type="dxa"/>
            <w:left w:w="108" w:type="dxa"/>
            <w:bottom w:w="0" w:type="dxa"/>
            <w:right w:w="108" w:type="dxa"/>
          </w:tblCellMar>
        </w:tblPrEx>
        <w:trPr>
          <w:trHeight w:val="2177" w:hRule="atLeast"/>
          <w:jc w:val="center"/>
        </w:trPr>
        <w:tc>
          <w:tcPr>
            <w:tcW w:w="723" w:type="dxa"/>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19"/>
                <w:szCs w:val="19"/>
              </w:rPr>
            </w:pPr>
            <w:r>
              <w:rPr>
                <w:rFonts w:hint="eastAsia" w:ascii="仿宋" w:hAnsi="仿宋" w:eastAsia="仿宋" w:cs="宋体"/>
                <w:color w:val="000000"/>
                <w:kern w:val="0"/>
                <w:sz w:val="19"/>
                <w:szCs w:val="19"/>
              </w:rPr>
              <w:t>1</w:t>
            </w:r>
          </w:p>
        </w:tc>
        <w:tc>
          <w:tcPr>
            <w:tcW w:w="1149" w:type="dxa"/>
            <w:vMerge w:val="restart"/>
            <w:tcBorders>
              <w:top w:val="nil"/>
              <w:left w:val="nil"/>
              <w:right w:val="single" w:color="auto" w:sz="4" w:space="0"/>
            </w:tcBorders>
            <w:shd w:val="clear" w:color="auto" w:fill="auto"/>
            <w:noWrap/>
            <w:vAlign w:val="center"/>
          </w:tcPr>
          <w:p>
            <w:pPr>
              <w:spacing w:line="360" w:lineRule="auto"/>
              <w:jc w:val="center"/>
              <w:rPr>
                <w:rFonts w:ascii="仿宋" w:hAnsi="仿宋" w:eastAsia="仿宋"/>
                <w:szCs w:val="21"/>
              </w:rPr>
            </w:pPr>
            <w:r>
              <w:rPr>
                <w:rFonts w:hint="eastAsia" w:ascii="仿宋" w:hAnsi="仿宋" w:eastAsia="仿宋"/>
                <w:szCs w:val="21"/>
              </w:rPr>
              <w:t>堡垒机</w:t>
            </w:r>
          </w:p>
        </w:tc>
        <w:tc>
          <w:tcPr>
            <w:tcW w:w="4680" w:type="dxa"/>
            <w:tcBorders>
              <w:top w:val="nil"/>
              <w:left w:val="nil"/>
              <w:bottom w:val="single" w:color="auto" w:sz="4" w:space="0"/>
              <w:right w:val="single" w:color="auto" w:sz="4" w:space="0"/>
            </w:tcBorders>
            <w:shd w:val="clear" w:color="auto" w:fill="auto"/>
            <w:vAlign w:val="center"/>
          </w:tcPr>
          <w:p>
            <w:pPr>
              <w:numPr>
                <w:ilvl w:val="0"/>
                <w:numId w:val="4"/>
              </w:numPr>
              <w:spacing w:line="360" w:lineRule="auto"/>
            </w:pPr>
            <w:r>
              <w:rPr>
                <w:rFonts w:hint="eastAsia" w:ascii="仿宋" w:hAnsi="仿宋" w:eastAsia="仿宋"/>
                <w:color w:val="000000" w:themeColor="text1"/>
                <w14:textFill>
                  <w14:solidFill>
                    <w14:schemeClr w14:val="tx1"/>
                  </w14:solidFill>
                </w14:textFill>
              </w:rPr>
              <w:t>要求配置6个千兆电口；支持扩展槽位；内置</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4TB硬盘；冗余电源；最大支持300路图形会话或800路字符会话并发；最大可选500授权许可。资产授权数量要求为</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200个，配套管理平台及软件。</w:t>
            </w:r>
          </w:p>
        </w:tc>
        <w:tc>
          <w:tcPr>
            <w:tcW w:w="1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1937"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19"/>
                <w:szCs w:val="19"/>
              </w:rPr>
            </w:pPr>
          </w:p>
        </w:tc>
        <w:tc>
          <w:tcPr>
            <w:tcW w:w="1149" w:type="dxa"/>
            <w:vMerge w:val="continue"/>
            <w:tcBorders>
              <w:left w:val="nil"/>
              <w:bottom w:val="single" w:color="auto" w:sz="4" w:space="0"/>
              <w:right w:val="single" w:color="auto" w:sz="4" w:space="0"/>
            </w:tcBorders>
            <w:shd w:val="clear" w:color="auto" w:fill="auto"/>
            <w:noWrap/>
            <w:vAlign w:val="center"/>
          </w:tcPr>
          <w:p>
            <w:pPr>
              <w:spacing w:line="360" w:lineRule="auto"/>
              <w:jc w:val="center"/>
              <w:rPr>
                <w:rFonts w:hint="eastAsia" w:ascii="仿宋" w:hAnsi="仿宋" w:eastAsia="仿宋"/>
                <w:szCs w:val="21"/>
              </w:rPr>
            </w:pPr>
          </w:p>
        </w:tc>
        <w:tc>
          <w:tcPr>
            <w:tcW w:w="46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2. 支持变更单管理功能，管理员可以基于使用人、资产、系统账号、到期时间，来上传、创建值班表模式的权限变更单，变更单无需审批，但可以自动生成时效性的访问权限。</w:t>
            </w:r>
          </w:p>
        </w:tc>
        <w:tc>
          <w:tcPr>
            <w:tcW w:w="1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2628"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19"/>
                <w:szCs w:val="19"/>
              </w:rPr>
            </w:pPr>
          </w:p>
        </w:tc>
        <w:tc>
          <w:tcPr>
            <w:tcW w:w="1149" w:type="dxa"/>
            <w:vMerge w:val="continue"/>
            <w:tcBorders>
              <w:left w:val="nil"/>
              <w:bottom w:val="single" w:color="auto" w:sz="4" w:space="0"/>
              <w:right w:val="single" w:color="auto" w:sz="4" w:space="0"/>
            </w:tcBorders>
            <w:shd w:val="clear" w:color="auto" w:fill="auto"/>
            <w:noWrap/>
            <w:vAlign w:val="center"/>
          </w:tcPr>
          <w:p>
            <w:pPr>
              <w:spacing w:line="360" w:lineRule="auto"/>
              <w:jc w:val="center"/>
              <w:rPr>
                <w:rFonts w:hint="eastAsia" w:ascii="仿宋" w:hAnsi="仿宋" w:eastAsia="仿宋"/>
                <w:szCs w:val="21"/>
              </w:rPr>
            </w:pPr>
          </w:p>
        </w:tc>
        <w:tc>
          <w:tcPr>
            <w:tcW w:w="46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3. 内置密码获取工单：申请人可根据需要填写包含目标资产名称、系统账号名称、使用时间段的密码工单；管理员对密码工单审批通过后，系统自动将密码获取链接发送给申请人；申请人打开链接后，可凭借登录密码+解密密码，获取对应的账号密码；工单过期后，系统自动对该账号进行改密操作。</w:t>
            </w:r>
          </w:p>
        </w:tc>
        <w:tc>
          <w:tcPr>
            <w:tcW w:w="1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1035"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19"/>
                <w:szCs w:val="19"/>
              </w:rPr>
            </w:pPr>
          </w:p>
        </w:tc>
        <w:tc>
          <w:tcPr>
            <w:tcW w:w="1149" w:type="dxa"/>
            <w:vMerge w:val="continue"/>
            <w:tcBorders>
              <w:left w:val="nil"/>
              <w:bottom w:val="single" w:color="auto" w:sz="4" w:space="0"/>
              <w:right w:val="single" w:color="auto" w:sz="4" w:space="0"/>
            </w:tcBorders>
            <w:shd w:val="clear" w:color="auto" w:fill="auto"/>
            <w:noWrap/>
            <w:vAlign w:val="center"/>
          </w:tcPr>
          <w:p>
            <w:pPr>
              <w:spacing w:line="360" w:lineRule="auto"/>
              <w:jc w:val="center"/>
              <w:rPr>
                <w:rFonts w:hint="eastAsia" w:ascii="仿宋" w:hAnsi="仿宋" w:eastAsia="仿宋"/>
                <w:szCs w:val="21"/>
              </w:rPr>
            </w:pPr>
          </w:p>
        </w:tc>
        <w:tc>
          <w:tcPr>
            <w:tcW w:w="46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4. 具备命令识别方面的先进性技术，可实现对命令行操作行为的100%记录；</w:t>
            </w:r>
          </w:p>
        </w:tc>
        <w:tc>
          <w:tcPr>
            <w:tcW w:w="1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2140"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19"/>
                <w:szCs w:val="19"/>
              </w:rPr>
            </w:pPr>
          </w:p>
        </w:tc>
        <w:tc>
          <w:tcPr>
            <w:tcW w:w="1149" w:type="dxa"/>
            <w:vMerge w:val="continue"/>
            <w:tcBorders>
              <w:left w:val="nil"/>
              <w:bottom w:val="single" w:color="auto" w:sz="4" w:space="0"/>
              <w:right w:val="single" w:color="auto" w:sz="4" w:space="0"/>
            </w:tcBorders>
            <w:shd w:val="clear" w:color="auto" w:fill="auto"/>
            <w:noWrap/>
            <w:vAlign w:val="center"/>
          </w:tcPr>
          <w:p>
            <w:pPr>
              <w:spacing w:line="360" w:lineRule="auto"/>
              <w:jc w:val="center"/>
              <w:rPr>
                <w:rFonts w:hint="eastAsia" w:ascii="仿宋" w:hAnsi="仿宋" w:eastAsia="仿宋"/>
                <w:szCs w:val="21"/>
              </w:rPr>
            </w:pPr>
          </w:p>
        </w:tc>
        <w:tc>
          <w:tcPr>
            <w:tcW w:w="46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5. 支持通过syslog方式发送告警事件，日志来源包括日志告警包括身份验证、资产访问、命令防火墙、会话复核、字符审计日志、系统负载告警、配置日志、图形审计日志、数据库审计日志、文件传输日志。</w:t>
            </w:r>
          </w:p>
        </w:tc>
        <w:tc>
          <w:tcPr>
            <w:tcW w:w="1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453"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19"/>
                <w:szCs w:val="19"/>
              </w:rPr>
            </w:pPr>
          </w:p>
        </w:tc>
        <w:tc>
          <w:tcPr>
            <w:tcW w:w="1149" w:type="dxa"/>
            <w:vMerge w:val="continue"/>
            <w:tcBorders>
              <w:left w:val="nil"/>
              <w:bottom w:val="single" w:color="auto" w:sz="4" w:space="0"/>
              <w:right w:val="single" w:color="auto" w:sz="4" w:space="0"/>
            </w:tcBorders>
            <w:shd w:val="clear" w:color="auto" w:fill="auto"/>
            <w:noWrap/>
            <w:vAlign w:val="center"/>
          </w:tcPr>
          <w:p>
            <w:pPr>
              <w:spacing w:line="360" w:lineRule="auto"/>
              <w:jc w:val="center"/>
              <w:rPr>
                <w:rFonts w:hint="eastAsia" w:ascii="仿宋" w:hAnsi="仿宋" w:eastAsia="仿宋"/>
                <w:szCs w:val="21"/>
              </w:rPr>
            </w:pPr>
          </w:p>
        </w:tc>
        <w:tc>
          <w:tcPr>
            <w:tcW w:w="46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6. 支持RDP快速访问功能，当操作人员以html5方式访问windows资产时，可在浏览器左侧导航树中选择批量启动或断开，并能在多个会话之间灵活切换。</w:t>
            </w:r>
          </w:p>
        </w:tc>
        <w:tc>
          <w:tcPr>
            <w:tcW w:w="1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4226" w:hRule="atLeast"/>
          <w:jc w:val="center"/>
        </w:trPr>
        <w:tc>
          <w:tcPr>
            <w:tcW w:w="723"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2</w:t>
            </w:r>
          </w:p>
        </w:tc>
        <w:tc>
          <w:tcPr>
            <w:tcW w:w="114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szCs w:val="21"/>
              </w:rPr>
            </w:pPr>
            <w:r>
              <w:rPr>
                <w:rFonts w:hint="eastAsia" w:ascii="仿宋" w:hAnsi="仿宋" w:eastAsia="仿宋"/>
                <w:szCs w:val="21"/>
              </w:rPr>
              <w:t>态势感知平台</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eastAsia="仿宋"/>
                <w:lang w:val="en-US" w:eastAsia="zh-CN"/>
              </w:rPr>
            </w:pPr>
            <w:r>
              <w:rPr>
                <w:rFonts w:ascii="仿宋" w:hAnsi="仿宋" w:eastAsia="仿宋"/>
                <w:color w:val="000000" w:themeColor="text1"/>
                <w14:textFill>
                  <w14:solidFill>
                    <w14:schemeClr w14:val="tx1"/>
                  </w14:solidFill>
                </w14:textFill>
              </w:rPr>
              <w:t>1.</w:t>
            </w:r>
            <w:r>
              <w:rPr>
                <w:rFonts w:hint="eastAsia" w:ascii="仿宋" w:hAnsi="仿宋" w:eastAsia="仿宋"/>
                <w:color w:val="000000" w:themeColor="text1"/>
                <w14:textFill>
                  <w14:solidFill>
                    <w14:schemeClr w14:val="tx1"/>
                  </w14:solidFill>
                </w14:textFill>
              </w:rPr>
              <w:t>2U设备（含滑轨），CPU:</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 xml:space="preserve"> 2颗12核；内存:</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 xml:space="preserve"> 256G ；硬盘总容量</w:t>
            </w:r>
            <w:r>
              <w:rPr>
                <w:rFonts w:hint="eastAsia" w:ascii="仿宋" w:hAnsi="仿宋" w:eastAsia="仿宋"/>
                <w:color w:val="000000" w:themeColor="text1"/>
                <w:lang w:val="en-US" w:eastAsia="zh-CN"/>
                <w14:textFill>
                  <w14:solidFill>
                    <w14:schemeClr w14:val="tx1"/>
                  </w14:solidFill>
                </w14:textFill>
              </w:rPr>
              <w:t>不低于</w:t>
            </w:r>
            <w:r>
              <w:rPr>
                <w:rFonts w:ascii="仿宋" w:hAnsi="仿宋" w:eastAsia="仿宋"/>
                <w:color w:val="000000" w:themeColor="text1"/>
                <w14:textFill>
                  <w14:solidFill>
                    <w14:schemeClr w14:val="tx1"/>
                  </w14:solidFill>
                </w14:textFill>
              </w:rPr>
              <w:t>48</w:t>
            </w:r>
            <w:r>
              <w:rPr>
                <w:rFonts w:hint="eastAsia" w:ascii="仿宋" w:hAnsi="仿宋" w:eastAsia="仿宋"/>
                <w:color w:val="000000" w:themeColor="text1"/>
                <w14:textFill>
                  <w14:solidFill>
                    <w14:schemeClr w14:val="tx1"/>
                  </w14:solidFill>
                </w14:textFill>
              </w:rPr>
              <w:t>T；电源：冗余电源 网口：</w:t>
            </w:r>
            <w:r>
              <w:rPr>
                <w:rFonts w:ascii="仿宋" w:hAnsi="仿宋" w:eastAsia="仿宋"/>
                <w:color w:val="000000" w:themeColor="text1"/>
                <w14:textFill>
                  <w14:solidFill>
                    <w14:schemeClr w14:val="tx1"/>
                  </w14:solidFill>
                </w14:textFill>
              </w:rPr>
              <w:t>4</w:t>
            </w:r>
            <w:r>
              <w:rPr>
                <w:rFonts w:hint="eastAsia" w:ascii="仿宋" w:hAnsi="仿宋" w:eastAsia="仿宋"/>
                <w:color w:val="000000" w:themeColor="text1"/>
                <w14:textFill>
                  <w14:solidFill>
                    <w14:schemeClr w14:val="tx1"/>
                  </w14:solidFill>
                </w14:textFill>
              </w:rPr>
              <w:t>*GE管理电口;2*SPF+插槽（含两个多模光模块）其他接口：3*USB3.0接口;1*DB9 Console接口。必须包含威胁检测、分析中心、响应中心、资产中心、统计报表、仪表板、系统管理、态势感知（综合安全态势、安全运营态势、外部威胁态势、内网威胁态势、威胁预警态势、攻击者态势、资产态势、资产风险态势、脆弱性态势）等功能。</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3260"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Cs w:val="21"/>
              </w:rPr>
            </w:pP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eastAsia="仿宋"/>
                <w:lang w:val="en-US" w:eastAsia="zh-CN"/>
              </w:rPr>
            </w:pPr>
            <w:r>
              <w:rPr>
                <w:rFonts w:ascii="仿宋" w:hAnsi="仿宋" w:eastAsia="仿宋"/>
                <w:color w:val="000000" w:themeColor="text1"/>
                <w14:textFill>
                  <w14:solidFill>
                    <w14:schemeClr w14:val="tx1"/>
                  </w14:solidFill>
                </w14:textFill>
              </w:rPr>
              <w:t xml:space="preserve">2. </w:t>
            </w:r>
            <w:r>
              <w:rPr>
                <w:rFonts w:hint="eastAsia" w:ascii="仿宋" w:hAnsi="仿宋" w:eastAsia="仿宋"/>
                <w:color w:val="000000" w:themeColor="text1"/>
                <w14:textFill>
                  <w14:solidFill>
                    <w14:schemeClr w14:val="tx1"/>
                  </w14:solidFill>
                </w14:textFill>
              </w:rPr>
              <w:t>支持接入各种类型数据包括但不限于：设备日志、网络流量、失陷类威胁情报数据、资产数据、漏洞数据等数据进行关联分析，支持对IPV6日志进行关联分析；支持图形化连线拖拽的交互配置方式灵活组合规则建模中的计算单元，计算单元至少包括关联分析、统计分析和序列分析等以应对不同威胁场景建模。</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1807"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Cs w:val="21"/>
              </w:rPr>
            </w:pP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eastAsia="仿宋"/>
                <w:lang w:val="en-US" w:eastAsia="zh-CN"/>
              </w:rPr>
            </w:pPr>
            <w:r>
              <w:rPr>
                <w:rFonts w:hint="eastAsia" w:ascii="仿宋" w:hAnsi="仿宋" w:eastAsia="仿宋"/>
                <w:color w:val="000000" w:themeColor="text1"/>
                <w14:textFill>
                  <w14:solidFill>
                    <w14:schemeClr w14:val="tx1"/>
                  </w14:solidFill>
                </w14:textFill>
              </w:rPr>
              <w:t>3</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 支持云端威胁情报查询，查询结果需包含：IP主机信息、IP位置信息、域名流行度、情报IOC详情、相关样本、可视化分析、域名解析记录、域名注册信息、关联域名、数字证书等信息。</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3256"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Cs w:val="21"/>
              </w:rPr>
            </w:pP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eastAsia="仿宋"/>
                <w:lang w:val="en-US" w:eastAsia="zh-CN"/>
              </w:rPr>
            </w:pPr>
            <w:r>
              <w:rPr>
                <w:rFonts w:ascii="仿宋" w:hAnsi="仿宋" w:eastAsia="仿宋"/>
                <w:color w:val="000000" w:themeColor="text1"/>
                <w14:textFill>
                  <w14:solidFill>
                    <w14:schemeClr w14:val="tx1"/>
                  </w14:solidFill>
                </w14:textFill>
              </w:rPr>
              <w:t>4.</w:t>
            </w:r>
            <w:r>
              <w:rPr>
                <w:rFonts w:hint="eastAsia" w:ascii="仿宋" w:hAnsi="仿宋" w:eastAsia="仿宋"/>
                <w:color w:val="000000" w:themeColor="text1"/>
                <w:lang w:eastAsia="zh-Hans"/>
                <w14:textFill>
                  <w14:solidFill>
                    <w14:schemeClr w14:val="tx1"/>
                  </w14:solidFill>
                </w14:textFill>
              </w:rPr>
              <w:t>具备风险场景分析</w:t>
            </w:r>
            <w:r>
              <w:rPr>
                <w:rFonts w:ascii="仿宋" w:hAnsi="仿宋" w:eastAsia="仿宋"/>
                <w:color w:val="000000" w:themeColor="text1"/>
                <w:lang w:eastAsia="zh-Hans"/>
                <w14:textFill>
                  <w14:solidFill>
                    <w14:schemeClr w14:val="tx1"/>
                  </w14:solidFill>
                </w14:textFill>
              </w:rPr>
              <w:t>：</w:t>
            </w:r>
            <w:r>
              <w:rPr>
                <w:rFonts w:ascii="仿宋" w:hAnsi="仿宋" w:eastAsia="仿宋"/>
                <w:color w:val="000000" w:themeColor="text1"/>
                <w14:textFill>
                  <w14:solidFill>
                    <w14:schemeClr w14:val="tx1"/>
                  </w14:solidFill>
                </w14:textFill>
              </w:rPr>
              <w:t>支</w:t>
            </w:r>
            <w:r>
              <w:rPr>
                <w:rFonts w:hint="eastAsia" w:ascii="仿宋" w:hAnsi="仿宋" w:eastAsia="仿宋"/>
                <w:color w:val="000000" w:themeColor="text1"/>
                <w14:textFill>
                  <w14:solidFill>
                    <w14:schemeClr w14:val="tx1"/>
                  </w14:solidFill>
                </w14:textFill>
              </w:rPr>
              <w:t>具备失陷情报分析、热点恶意软件分析、账号安全分析、邮件安全分析场景；账号安全分析场景应包含异地账号登陆、暴力破解、弱口令检测、明文密码泄露、VPN账号登录行为统计场景；邮件安全分析场景包含邮件威胁分析、敏感关键词邮件列表、敏感后缀邮件列表。</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2393"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Cs w:val="21"/>
              </w:rPr>
            </w:pP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eastAsia="仿宋"/>
                <w:lang w:val="en-US" w:eastAsia="zh-CN"/>
              </w:rPr>
            </w:pPr>
            <w:r>
              <w:rPr>
                <w:rFonts w:ascii="仿宋" w:hAnsi="仿宋" w:eastAsia="仿宋"/>
                <w:color w:val="000000" w:themeColor="text1"/>
                <w14:textFill>
                  <w14:solidFill>
                    <w14:schemeClr w14:val="tx1"/>
                  </w14:solidFill>
                </w14:textFill>
              </w:rPr>
              <w:t>5.</w:t>
            </w:r>
            <w:r>
              <w:rPr>
                <w:rFonts w:hint="eastAsia" w:ascii="仿宋" w:hAnsi="仿宋" w:eastAsia="仿宋"/>
                <w:color w:val="000000" w:themeColor="text1"/>
                <w14:textFill>
                  <w14:solidFill>
                    <w14:schemeClr w14:val="tx1"/>
                  </w14:solidFill>
                </w14:textFill>
              </w:rPr>
              <w:t>支持通过创建事件调查任务对威胁事件和可疑事件进行调查分析，调查任务中可添加的证据数据包括：日志、告警、漏洞、弱口令、配置核查、文本；支持对以攻击者和受害者情况视角对调查任务中的数据做统计分析；支持调查结果的图形化展示。</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5214"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Cs w:val="21"/>
              </w:rPr>
            </w:pP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eastAsia="仿宋"/>
                <w:lang w:val="en-US" w:eastAsia="zh-CN"/>
              </w:rPr>
            </w:pPr>
            <w:r>
              <w:rPr>
                <w:rFonts w:ascii="仿宋" w:hAnsi="仿宋" w:eastAsia="仿宋"/>
                <w:color w:val="000000" w:themeColor="text1"/>
                <w14:textFill>
                  <w14:solidFill>
                    <w14:schemeClr w14:val="tx1"/>
                  </w14:solidFill>
                </w14:textFill>
              </w:rPr>
              <w:t>6.</w:t>
            </w:r>
            <w:r>
              <w:rPr>
                <w:rFonts w:hint="eastAsia" w:ascii="仿宋" w:hAnsi="仿宋" w:eastAsia="仿宋"/>
                <w:color w:val="000000" w:themeColor="text1"/>
                <w14:textFill>
                  <w14:solidFill>
                    <w14:schemeClr w14:val="tx1"/>
                  </w14:solidFill>
                </w14:textFill>
              </w:rPr>
              <w:t xml:space="preserve"> 支持对重大网络安全事件（重大热点漏洞）进行威胁预警，通过厂商对重大网络安全事件的追踪生成预警包，通过预警包导入完成网络安全事件的影响面评估，并持续的跟进事态的发展，快速完成重大网络安全事件的预警及处置；针对此类风险支持统计潜在风险资产数、受攻击资产数、失陷资产数以支持对重大网络安全事件进行威胁预警。支持根据风险资产数量统计自定义关键点节点条件，比如大面积爆发、有效控制、威胁缓解等。支持事态扩散过程发展趋势图的展示及详细告警列表及告警信息展示。</w:t>
            </w:r>
            <w:r>
              <w:rPr>
                <w:rFonts w:ascii="仿宋" w:hAnsi="仿宋" w:eastAsia="仿宋"/>
                <w:color w:val="000000" w:themeColor="text1"/>
                <w14:textFill>
                  <w14:solidFill>
                    <w14:schemeClr w14:val="tx1"/>
                  </w14:solidFill>
                </w14:textFill>
              </w:rPr>
              <w:t xml:space="preserve"> </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412"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Cs w:val="21"/>
              </w:rPr>
            </w:pP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eastAsia="仿宋"/>
                <w:lang w:val="en-US" w:eastAsia="zh-CN"/>
              </w:rPr>
            </w:pPr>
            <w:r>
              <w:rPr>
                <w:rFonts w:ascii="仿宋" w:hAnsi="仿宋" w:eastAsia="仿宋"/>
                <w:color w:val="000000" w:themeColor="text1"/>
                <w14:textFill>
                  <w14:solidFill>
                    <w14:schemeClr w14:val="tx1"/>
                  </w14:solidFill>
                </w14:textFill>
              </w:rPr>
              <w:t>7.</w:t>
            </w:r>
            <w:r>
              <w:rPr>
                <w:rFonts w:hint="eastAsia" w:ascii="仿宋" w:hAnsi="仿宋" w:eastAsia="仿宋"/>
                <w:color w:val="000000" w:themeColor="text1"/>
                <w14:textFill>
                  <w14:solidFill>
                    <w14:schemeClr w14:val="tx1"/>
                  </w14:solidFill>
                </w14:textFill>
              </w:rPr>
              <w:t xml:space="preserve"> 支持与现有终端安全管理系统</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奇安信天擎</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联动</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实现日常威胁告警或突发安全事件的快速处置联动，批量处置多台终端设备的安全威胁，提升安全处置效率，降低安全风险影响，避免发生重大网络安全事件。现网终端安全管理联动命令需实现：全网终端隔离特定文件，特定终端隔离特定文件、隔离特定终端；支持对同一安全防护策略批量下发给多台联动设备。</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1909" w:hRule="atLeast"/>
          <w:jc w:val="center"/>
        </w:trPr>
        <w:tc>
          <w:tcPr>
            <w:tcW w:w="723"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3</w:t>
            </w:r>
          </w:p>
        </w:tc>
        <w:tc>
          <w:tcPr>
            <w:tcW w:w="1149"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态势感知平台配套探针1</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开启网络流量采集、威胁数据采集和日志上报功能情况下混合流，吞吐量</w:t>
            </w:r>
            <w:r>
              <w:rPr>
                <w:rFonts w:hint="eastAsia" w:ascii="仿宋" w:hAnsi="仿宋" w:eastAsia="仿宋"/>
                <w:color w:val="000000" w:themeColor="text1"/>
                <w:lang w:val="en-US" w:eastAsia="zh-CN"/>
                <w14:textFill>
                  <w14:solidFill>
                    <w14:schemeClr w14:val="tx1"/>
                  </w14:solidFill>
                </w14:textFill>
              </w:rPr>
              <w:t>不低于</w:t>
            </w:r>
            <w:r>
              <w:rPr>
                <w:rFonts w:hint="eastAsia" w:ascii="仿宋" w:hAnsi="仿宋" w:eastAsia="仿宋"/>
                <w:color w:val="000000" w:themeColor="text1"/>
                <w14:textFill>
                  <w14:solidFill>
                    <w14:schemeClr w14:val="tx1"/>
                  </w14:solidFill>
                </w14:textFill>
              </w:rPr>
              <w:t>3Gbps ，2U设备，标准配置6个10/100/1000M自适应千兆电口，接口扩展板卡插槽2个，1个Console口。</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1002"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ascii="仿宋" w:hAnsi="仿宋" w:eastAsia="仿宋"/>
                <w:lang w:eastAsia="zh-Hans"/>
              </w:rPr>
              <w:t>2</w:t>
            </w:r>
            <w:r>
              <w:rPr>
                <w:rFonts w:hint="eastAsia" w:ascii="仿宋" w:hAnsi="仿宋" w:eastAsia="仿宋"/>
                <w:lang w:eastAsia="zh-Hans"/>
              </w:rPr>
              <w:t>.</w:t>
            </w:r>
            <w:r>
              <w:rPr>
                <w:rFonts w:hint="eastAsia" w:ascii="仿宋" w:hAnsi="仿宋" w:eastAsia="仿宋"/>
              </w:rPr>
              <w:t>通信模式支持但不限于KAFKA、ZMQ、SYSLOG等协议，需支持多路外发，并支持外发多地址的负载均衡处理</w:t>
            </w:r>
            <w:r>
              <w:rPr>
                <w:rFonts w:hint="eastAsia" w:ascii="仿宋" w:hAnsi="仿宋" w:eastAsia="仿宋"/>
                <w:color w:val="000000" w:themeColor="text1"/>
                <w14:textFill>
                  <w14:solidFill>
                    <w14:schemeClr w14:val="tx1"/>
                  </w14:solidFill>
                </w14:textFill>
              </w:rPr>
              <w:t>。</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2363" w:hRule="atLeast"/>
          <w:jc w:val="center"/>
        </w:trPr>
        <w:tc>
          <w:tcPr>
            <w:tcW w:w="723"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4</w:t>
            </w:r>
          </w:p>
        </w:tc>
        <w:tc>
          <w:tcPr>
            <w:tcW w:w="1149" w:type="dxa"/>
            <w:vMerge w:val="restart"/>
            <w:tcBorders>
              <w:top w:val="single" w:color="auto" w:sz="4" w:space="0"/>
              <w:left w:val="nil"/>
              <w:right w:val="single" w:color="auto" w:sz="4" w:space="0"/>
            </w:tcBorders>
            <w:shd w:val="clear" w:color="auto" w:fill="auto"/>
            <w:noWrap/>
            <w:vAlign w:val="center"/>
          </w:tcPr>
          <w:p>
            <w:pPr>
              <w:widowControl/>
              <w:jc w:val="center"/>
              <w:rPr>
                <w:rFonts w:ascii="仿宋" w:hAnsi="仿宋" w:eastAsia="仿宋"/>
                <w:szCs w:val="21"/>
              </w:rPr>
            </w:pPr>
            <w:r>
              <w:rPr>
                <w:rFonts w:hint="eastAsia" w:ascii="仿宋" w:hAnsi="仿宋" w:eastAsia="仿宋"/>
                <w:szCs w:val="21"/>
              </w:rPr>
              <w:t>态势感知平台配套探针2</w:t>
            </w:r>
          </w:p>
        </w:tc>
        <w:tc>
          <w:tcPr>
            <w:tcW w:w="46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开启网络流量采集、威胁数据采集和日志上报功能情况下混合流，吞吐量</w:t>
            </w:r>
            <w:r>
              <w:rPr>
                <w:rFonts w:hint="eastAsia" w:ascii="仿宋" w:hAnsi="仿宋" w:eastAsia="仿宋"/>
                <w:color w:val="000000" w:themeColor="text1"/>
                <w:lang w:val="en-US" w:eastAsia="zh-CN"/>
                <w14:textFill>
                  <w14:solidFill>
                    <w14:schemeClr w14:val="tx1"/>
                  </w14:solidFill>
                </w14:textFill>
              </w:rPr>
              <w:t>不低于</w:t>
            </w:r>
            <w:r>
              <w:rPr>
                <w:rFonts w:ascii="仿宋" w:hAnsi="仿宋" w:eastAsia="仿宋"/>
                <w:color w:val="000000" w:themeColor="text1"/>
                <w14:textFill>
                  <w14:solidFill>
                    <w14:schemeClr w14:val="tx1"/>
                  </w14:solidFill>
                </w14:textFill>
              </w:rPr>
              <w:t>10</w:t>
            </w:r>
            <w:r>
              <w:rPr>
                <w:rFonts w:hint="eastAsia" w:ascii="仿宋" w:hAnsi="仿宋" w:eastAsia="仿宋"/>
                <w:color w:val="000000" w:themeColor="text1"/>
                <w14:textFill>
                  <w14:solidFill>
                    <w14:schemeClr w14:val="tx1"/>
                  </w14:solidFill>
                </w14:textFill>
              </w:rPr>
              <w:t>Gbps，</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U设备，冗余电源，10/100/1000M专用管理接口1个；Console口1个，10/100/1000M自适应千兆电口4个，万兆光口2个，接口扩展板卡插槽6个。</w:t>
            </w:r>
          </w:p>
        </w:tc>
        <w:tc>
          <w:tcPr>
            <w:tcW w:w="1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r>
        <w:tblPrEx>
          <w:tblCellMar>
            <w:top w:w="0" w:type="dxa"/>
            <w:left w:w="108" w:type="dxa"/>
            <w:bottom w:w="0" w:type="dxa"/>
            <w:right w:w="108" w:type="dxa"/>
          </w:tblCellMar>
        </w:tblPrEx>
        <w:trPr>
          <w:trHeight w:val="465" w:hRule="atLeast"/>
          <w:jc w:val="center"/>
        </w:trPr>
        <w:tc>
          <w:tcPr>
            <w:tcW w:w="72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1149"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c>
          <w:tcPr>
            <w:tcW w:w="46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仿宋" w:hAnsi="仿宋" w:eastAsia="仿宋"/>
                <w:color w:val="000000" w:themeColor="text1"/>
                <w14:textFill>
                  <w14:solidFill>
                    <w14:schemeClr w14:val="tx1"/>
                  </w14:solidFill>
                </w14:textFill>
              </w:rPr>
            </w:pPr>
            <w:r>
              <w:rPr>
                <w:rFonts w:ascii="仿宋" w:hAnsi="仿宋" w:eastAsia="仿宋"/>
                <w:lang w:eastAsia="zh-Hans"/>
              </w:rPr>
              <w:t>2</w:t>
            </w:r>
            <w:r>
              <w:rPr>
                <w:rFonts w:hint="eastAsia" w:ascii="仿宋" w:hAnsi="仿宋" w:eastAsia="仿宋"/>
                <w:lang w:eastAsia="zh-Hans"/>
              </w:rPr>
              <w:t>.</w:t>
            </w:r>
            <w:r>
              <w:rPr>
                <w:rFonts w:hint="eastAsia" w:ascii="仿宋" w:hAnsi="仿宋" w:eastAsia="仿宋"/>
              </w:rPr>
              <w:t>通信模式支持但不限于KAFKA、ZMQ、SYSLOG等协议，需支持多路外发，并支持外发多地址的负载均衡处理</w:t>
            </w:r>
            <w:r>
              <w:rPr>
                <w:rFonts w:hint="eastAsia" w:ascii="仿宋" w:hAnsi="仿宋" w:eastAsia="仿宋"/>
                <w:color w:val="000000" w:themeColor="text1"/>
                <w14:textFill>
                  <w14:solidFill>
                    <w14:schemeClr w14:val="tx1"/>
                  </w14:solidFill>
                </w14:textFill>
              </w:rPr>
              <w:t>。</w:t>
            </w:r>
          </w:p>
        </w:tc>
        <w:tc>
          <w:tcPr>
            <w:tcW w:w="1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szCs w:val="21"/>
              </w:rPr>
            </w:pPr>
          </w:p>
        </w:tc>
      </w:tr>
    </w:tbl>
    <w:p>
      <w:pPr>
        <w:pStyle w:val="2"/>
        <w:ind w:firstLine="0" w:firstLineChars="0"/>
        <w:rPr>
          <w:rFonts w:hint="default"/>
        </w:rPr>
      </w:pPr>
    </w:p>
    <w:p>
      <w:pPr>
        <w:pStyle w:val="27"/>
        <w:ind w:firstLine="210"/>
        <w:rPr>
          <w:rFonts w:ascii="仿宋_GB2312" w:eastAsia="仿宋_GB2312"/>
          <w:sz w:val="32"/>
          <w:szCs w:val="20"/>
        </w:rPr>
      </w:pPr>
      <w:r>
        <w:br w:type="page"/>
      </w:r>
    </w:p>
    <w:p>
      <w:pPr>
        <w:pStyle w:val="25"/>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 .商务</w:t>
      </w:r>
      <w:r>
        <w:rPr>
          <w:rFonts w:hint="eastAsia" w:ascii="仿宋_GB2312" w:hAnsi="仿宋_GB2312" w:eastAsia="仿宋_GB2312" w:cs="仿宋_GB2312"/>
          <w:sz w:val="28"/>
          <w:szCs w:val="28"/>
        </w:rPr>
        <w:t>与技术</w:t>
      </w:r>
      <w:r>
        <w:rPr>
          <w:rFonts w:hint="eastAsia" w:ascii="仿宋_GB2312" w:hAnsi="仿宋_GB2312" w:eastAsia="仿宋_GB2312" w:cs="仿宋_GB2312"/>
          <w:sz w:val="28"/>
          <w:szCs w:val="28"/>
          <w:lang w:val="zh-CN"/>
        </w:rPr>
        <w:t>要求</w:t>
      </w:r>
    </w:p>
    <w:p>
      <w:pPr>
        <w:spacing w:line="360" w:lineRule="auto"/>
        <w:rPr>
          <w:rFonts w:ascii="宋体" w:hAnsi="宋体"/>
          <w:b/>
          <w:bCs/>
          <w:sz w:val="24"/>
        </w:rPr>
      </w:pPr>
      <w:r>
        <w:rPr>
          <w:rFonts w:hint="eastAsia" w:ascii="宋体" w:hAnsi="宋体"/>
          <w:b/>
          <w:bCs/>
          <w:sz w:val="24"/>
        </w:rPr>
        <w:t>商务要求：</w:t>
      </w:r>
    </w:p>
    <w:p>
      <w:pPr>
        <w:spacing w:line="360" w:lineRule="auto"/>
        <w:rPr>
          <w:shd w:val="clear" w:color="FFFFFF" w:fill="D9D9D9"/>
          <w:lang w:val="zh-CN"/>
        </w:rPr>
      </w:pPr>
      <w:r>
        <w:rPr>
          <w:rFonts w:hint="eastAsia" w:ascii="宋体" w:hAnsi="宋体"/>
          <w:b/>
          <w:bCs/>
          <w:sz w:val="24"/>
          <w:shd w:val="clear" w:color="FFFFFF" w:fill="D9D9D9"/>
          <w:lang w:val="en-US" w:eastAsia="zh-CN"/>
        </w:rPr>
        <w:t>1</w:t>
      </w:r>
      <w:r>
        <w:rPr>
          <w:rFonts w:hint="eastAsia" w:ascii="宋体" w:hAnsi="宋体"/>
          <w:b/>
          <w:bCs/>
          <w:sz w:val="24"/>
          <w:shd w:val="clear" w:color="FFFFFF" w:fill="D9D9D9"/>
        </w:rPr>
        <w:t>.</w:t>
      </w:r>
      <w:r>
        <w:rPr>
          <w:rFonts w:hint="eastAsia"/>
        </w:rPr>
        <w:t xml:space="preserve"> </w:t>
      </w:r>
      <w:r>
        <w:rPr>
          <w:rFonts w:hint="eastAsia" w:ascii="宋体" w:hAnsi="宋体"/>
          <w:b/>
          <w:bCs/>
          <w:sz w:val="24"/>
          <w:shd w:val="clear" w:color="FFFFFF" w:fill="D9D9D9"/>
        </w:rPr>
        <w:t>CISP注册信息安全工程师证书（社保，证书证明复印件，加盖单位公章）：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608" w:type="dxa"/>
          </w:tcPr>
          <w:p>
            <w:pPr>
              <w:spacing w:line="360" w:lineRule="auto"/>
              <w:jc w:val="center"/>
              <w:rPr>
                <w:rFonts w:ascii="宋体" w:hAnsi="宋体" w:eastAsia="PMingLiU"/>
                <w:sz w:val="24"/>
                <w:shd w:val="clear" w:color="FFFFFF" w:fill="D9D9D9"/>
                <w:lang w:eastAsia="zh-SG"/>
              </w:rPr>
            </w:pPr>
            <w:r>
              <w:rPr>
                <w:rFonts w:hint="eastAsia" w:ascii="宋体" w:hAnsi="宋体" w:eastAsia="PMingLiU"/>
                <w:b/>
                <w:bCs/>
                <w:sz w:val="24"/>
                <w:shd w:val="clear" w:color="FFFFFF" w:fill="D9D9D9"/>
                <w:lang w:eastAsia="zh-SG"/>
              </w:rPr>
              <w:t>CISP注册信息安全工程师</w:t>
            </w:r>
            <w:r>
              <w:rPr>
                <w:rFonts w:hint="eastAsia" w:ascii="宋体" w:hAnsi="宋体" w:eastAsia="PMingLiU"/>
                <w:sz w:val="24"/>
                <w:shd w:val="clear" w:color="FFFFFF" w:fill="D9D9D9"/>
                <w:lang w:eastAsia="zh-SG"/>
              </w:rPr>
              <w:t>社保证明复印件（盖单位公章）</w:t>
            </w:r>
          </w:p>
          <w:p>
            <w:pPr>
              <w:spacing w:line="360" w:lineRule="auto"/>
              <w:jc w:val="left"/>
              <w:rPr>
                <w:rFonts w:ascii="宋体" w:hAnsi="宋体" w:eastAsia="PMingLiU"/>
                <w:sz w:val="24"/>
                <w:shd w:val="clear" w:color="FFFFFF" w:fill="D9D9D9"/>
                <w:lang w:eastAsia="zh-SG"/>
              </w:rPr>
            </w:pPr>
          </w:p>
          <w:p>
            <w:pPr>
              <w:spacing w:line="360" w:lineRule="auto"/>
              <w:jc w:val="left"/>
              <w:rPr>
                <w:rFonts w:ascii="宋体" w:hAnsi="宋体" w:eastAsia="PMingLiU"/>
                <w:sz w:val="24"/>
                <w:shd w:val="clear" w:color="FFFFFF" w:fill="D9D9D9"/>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ascii="宋体" w:hAnsi="宋体" w:eastAsia="PMingLiU"/>
                <w:sz w:val="24"/>
                <w:shd w:val="clear" w:color="FFFFFF" w:fill="D9D9D9"/>
                <w:lang w:eastAsia="zh-SG"/>
              </w:rPr>
            </w:pPr>
            <w:r>
              <w:rPr>
                <w:rFonts w:hint="eastAsia" w:ascii="宋体" w:hAnsi="宋体" w:eastAsia="PMingLiU"/>
                <w:b/>
                <w:bCs/>
                <w:sz w:val="24"/>
                <w:shd w:val="clear" w:color="FFFFFF" w:fill="D9D9D9"/>
                <w:lang w:eastAsia="zh-SG"/>
              </w:rPr>
              <w:t>CISP注册信息安全工程师</w:t>
            </w:r>
            <w:r>
              <w:rPr>
                <w:rFonts w:hint="eastAsia" w:ascii="宋体" w:hAnsi="宋体" w:eastAsia="PMingLiU"/>
                <w:sz w:val="24"/>
                <w:shd w:val="clear" w:color="FFFFFF" w:fill="D9D9D9"/>
                <w:lang w:eastAsia="zh-SG"/>
              </w:rPr>
              <w:t>证书证明复印件（盖单位公章）</w:t>
            </w:r>
          </w:p>
          <w:p>
            <w:pPr>
              <w:spacing w:line="360" w:lineRule="auto"/>
              <w:jc w:val="left"/>
              <w:rPr>
                <w:rFonts w:ascii="宋体" w:hAnsi="宋体" w:eastAsia="PMingLiU"/>
                <w:sz w:val="24"/>
                <w:shd w:val="clear" w:color="FFFFFF" w:fill="D9D9D9"/>
                <w:lang w:eastAsia="zh-SG"/>
              </w:rPr>
            </w:pPr>
          </w:p>
        </w:tc>
      </w:tr>
    </w:tbl>
    <w:p>
      <w:pPr>
        <w:spacing w:line="360" w:lineRule="auto"/>
        <w:rPr>
          <w:rFonts w:ascii="宋体" w:hAnsi="宋体"/>
          <w:b/>
          <w:bCs/>
          <w:sz w:val="24"/>
          <w:shd w:val="clear" w:color="FFFFFF" w:fill="D9D9D9"/>
        </w:rPr>
      </w:pPr>
      <w:r>
        <w:rPr>
          <w:rFonts w:hint="eastAsia" w:ascii="宋体" w:hAnsi="宋体"/>
          <w:b/>
          <w:bCs/>
          <w:sz w:val="24"/>
          <w:shd w:val="clear" w:color="FFFFFF" w:fill="D9D9D9"/>
          <w:lang w:val="en-US" w:eastAsia="zh-CN"/>
        </w:rPr>
        <w:t>2</w:t>
      </w:r>
      <w:r>
        <w:rPr>
          <w:rFonts w:hint="eastAsia" w:ascii="宋体" w:hAnsi="宋体"/>
          <w:b/>
          <w:bCs/>
          <w:sz w:val="24"/>
          <w:shd w:val="clear" w:color="FFFFFF" w:fill="D9D9D9"/>
        </w:rPr>
        <w:t>. 项目所涉及的网络安全设备的原厂授权函以及原厂售后服务承诺函（加盖原厂单位公章）：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ascii="宋体" w:hAnsi="宋体" w:eastAsia="PMingLiU"/>
                <w:sz w:val="24"/>
                <w:shd w:val="clear" w:color="FFFFFF" w:fill="D9D9D9"/>
                <w:lang w:eastAsia="zh-SG"/>
              </w:rPr>
            </w:pPr>
            <w:r>
              <w:rPr>
                <w:rFonts w:hint="eastAsia" w:asciiTheme="minorEastAsia" w:hAnsiTheme="minorEastAsia" w:eastAsiaTheme="minorEastAsia"/>
                <w:sz w:val="24"/>
                <w:shd w:val="clear" w:color="FFFFFF" w:fill="D9D9D9"/>
                <w:lang w:eastAsia="zh-SG"/>
              </w:rPr>
              <w:t>堡垒机的</w:t>
            </w:r>
            <w:r>
              <w:rPr>
                <w:rFonts w:hint="eastAsia" w:ascii="宋体" w:hAnsi="宋体" w:eastAsia="PMingLiU"/>
                <w:sz w:val="24"/>
                <w:shd w:val="clear" w:color="FFFFFF" w:fill="D9D9D9"/>
                <w:lang w:eastAsia="zh-SG"/>
              </w:rPr>
              <w:t>原厂授权函以及原厂售后服务承诺函（盖原厂单位公章）</w:t>
            </w:r>
          </w:p>
          <w:p>
            <w:pPr>
              <w:spacing w:line="360" w:lineRule="auto"/>
              <w:jc w:val="left"/>
              <w:rPr>
                <w:rFonts w:ascii="宋体" w:hAnsi="宋体" w:eastAsia="PMingLiU"/>
                <w:sz w:val="24"/>
                <w:shd w:val="clear" w:color="FFFFFF" w:fill="D9D9D9"/>
                <w:lang w:eastAsia="zh-SG"/>
              </w:rPr>
            </w:pPr>
          </w:p>
          <w:p>
            <w:pPr>
              <w:spacing w:line="360" w:lineRule="auto"/>
              <w:jc w:val="left"/>
              <w:rPr>
                <w:rFonts w:ascii="宋体" w:hAnsi="宋体" w:eastAsia="PMingLiU"/>
                <w:sz w:val="24"/>
                <w:shd w:val="clear" w:color="FFFFFF" w:fill="D9D9D9"/>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tcPr>
          <w:p>
            <w:pPr>
              <w:spacing w:line="360" w:lineRule="auto"/>
              <w:jc w:val="center"/>
              <w:rPr>
                <w:rFonts w:ascii="宋体" w:hAnsi="宋体" w:eastAsia="PMingLiU"/>
                <w:sz w:val="24"/>
                <w:shd w:val="clear" w:color="FFFFFF" w:fill="D9D9D9"/>
                <w:lang w:eastAsia="zh-SG"/>
              </w:rPr>
            </w:pPr>
            <w:r>
              <w:rPr>
                <w:rFonts w:hint="eastAsia" w:asciiTheme="minorEastAsia" w:hAnsiTheme="minorEastAsia" w:eastAsiaTheme="minorEastAsia"/>
                <w:sz w:val="24"/>
                <w:shd w:val="clear" w:color="FFFFFF" w:fill="D9D9D9"/>
                <w:lang w:eastAsia="zh-SG"/>
              </w:rPr>
              <w:t>态势感知平台、配套探针1、配套探针</w:t>
            </w:r>
            <w:r>
              <w:rPr>
                <w:rFonts w:asciiTheme="minorEastAsia" w:hAnsiTheme="minorEastAsia" w:eastAsiaTheme="minorEastAsia"/>
                <w:sz w:val="24"/>
                <w:shd w:val="clear" w:color="FFFFFF" w:fill="D9D9D9"/>
                <w:lang w:eastAsia="zh-SG"/>
              </w:rPr>
              <w:t>2</w:t>
            </w:r>
            <w:r>
              <w:rPr>
                <w:rFonts w:hint="eastAsia" w:asciiTheme="minorEastAsia" w:hAnsiTheme="minorEastAsia" w:eastAsiaTheme="minorEastAsia"/>
                <w:sz w:val="24"/>
                <w:shd w:val="clear" w:color="FFFFFF" w:fill="D9D9D9"/>
                <w:lang w:eastAsia="zh-SG"/>
              </w:rPr>
              <w:t>的原厂授权函以及原厂售后服务承诺函（盖原厂单位</w:t>
            </w:r>
            <w:r>
              <w:rPr>
                <w:rFonts w:hint="eastAsia" w:ascii="宋体" w:hAnsi="宋体" w:eastAsia="PMingLiU"/>
                <w:sz w:val="24"/>
                <w:shd w:val="clear" w:color="FFFFFF" w:fill="D9D9D9"/>
                <w:lang w:eastAsia="zh-SG"/>
              </w:rPr>
              <w:t>公章）</w:t>
            </w:r>
          </w:p>
          <w:p>
            <w:pPr>
              <w:spacing w:line="360" w:lineRule="auto"/>
              <w:jc w:val="center"/>
              <w:rPr>
                <w:rFonts w:ascii="宋体" w:hAnsi="宋体" w:eastAsia="PMingLiU"/>
                <w:sz w:val="24"/>
                <w:shd w:val="clear" w:color="FFFFFF" w:fill="D9D9D9"/>
                <w:lang w:eastAsia="zh-SG"/>
              </w:rPr>
            </w:pPr>
          </w:p>
          <w:p>
            <w:pPr>
              <w:spacing w:line="360" w:lineRule="auto"/>
              <w:jc w:val="left"/>
              <w:rPr>
                <w:rFonts w:ascii="宋体" w:hAnsi="宋体" w:eastAsia="PMingLiU"/>
                <w:sz w:val="24"/>
                <w:shd w:val="clear" w:color="FFFFFF" w:fill="D9D9D9"/>
                <w:lang w:eastAsia="zh-SG"/>
              </w:rPr>
            </w:pPr>
          </w:p>
        </w:tc>
      </w:tr>
    </w:tbl>
    <w:p>
      <w:pPr>
        <w:pStyle w:val="35"/>
        <w:jc w:val="both"/>
        <w:rPr>
          <w:rFonts w:hAnsi="宋体" w:eastAsia="宋体" w:cs="Times New Roman"/>
          <w:b/>
          <w:bCs/>
          <w:color w:val="auto"/>
          <w:kern w:val="2"/>
        </w:rPr>
      </w:pPr>
      <w:r>
        <w:rPr>
          <w:rFonts w:hint="eastAsia" w:hAnsi="宋体" w:eastAsia="宋体" w:cs="Times New Roman"/>
          <w:b/>
          <w:bCs/>
          <w:color w:val="auto"/>
          <w:kern w:val="2"/>
          <w:shd w:val="clear" w:color="FFFFFF" w:fill="D9D9D9"/>
        </w:rPr>
        <w:t>3.ISO体系认证（复印件加盖单位公章）</w:t>
      </w:r>
      <w:r>
        <w:rPr>
          <w:rFonts w:hint="eastAsia" w:hAnsi="宋体" w:eastAsia="宋体" w:cs="Times New Roman"/>
          <w:b/>
          <w:bCs/>
          <w:color w:val="auto"/>
          <w:kern w:val="2"/>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9608" w:type="dxa"/>
          </w:tcPr>
          <w:p>
            <w:pPr>
              <w:spacing w:line="360" w:lineRule="auto"/>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eastAsia="zh-SG"/>
              </w:rPr>
              <w:t>ISO 27001信息安全管理体系认证复印件（盖单位公章）。</w:t>
            </w:r>
          </w:p>
          <w:p>
            <w:pPr>
              <w:spacing w:line="360" w:lineRule="auto"/>
              <w:jc w:val="left"/>
              <w:rPr>
                <w:rFonts w:ascii="宋体" w:hAnsi="宋体" w:eastAsia="PMingLiU"/>
                <w:sz w:val="24"/>
                <w:lang w:eastAsia="zh-SG"/>
              </w:rPr>
            </w:pPr>
          </w:p>
        </w:tc>
      </w:tr>
    </w:tbl>
    <w:p>
      <w:pPr>
        <w:spacing w:line="360" w:lineRule="auto"/>
        <w:rPr>
          <w:rFonts w:ascii="宋体" w:hAnsi="宋体"/>
          <w:b/>
          <w:bCs/>
          <w:sz w:val="24"/>
        </w:rPr>
      </w:pPr>
      <w:r>
        <w:rPr>
          <w:rFonts w:hint="eastAsia" w:ascii="宋体" w:hAnsi="宋体"/>
          <w:b/>
          <w:bCs/>
          <w:sz w:val="24"/>
        </w:rPr>
        <w:t>技术要求</w:t>
      </w:r>
    </w:p>
    <w:p>
      <w:pPr>
        <w:pStyle w:val="35"/>
        <w:jc w:val="both"/>
        <w:rPr>
          <w:rFonts w:hint="eastAsia" w:hAnsi="宋体" w:eastAsia="宋体" w:cs="Times New Roman"/>
          <w:b/>
          <w:bCs/>
          <w:color w:val="auto"/>
          <w:kern w:val="2"/>
          <w:shd w:val="clear" w:color="FFFFFF" w:fill="D9D9D9"/>
        </w:rPr>
      </w:pPr>
      <w:r>
        <w:rPr>
          <w:rFonts w:hint="eastAsia" w:hAnsi="宋体" w:eastAsia="宋体" w:cs="Times New Roman"/>
          <w:b/>
          <w:bCs/>
          <w:color w:val="auto"/>
          <w:kern w:val="2"/>
          <w:shd w:val="clear" w:color="FFFFFF" w:fill="D9D9D9"/>
        </w:rPr>
        <w:t xml:space="preserve">1. </w:t>
      </w:r>
      <w:r>
        <w:rPr>
          <w:rFonts w:hint="eastAsia" w:ascii="宋体" w:hAnsi="宋体" w:eastAsia="宋体" w:cs="Times New Roman"/>
          <w:b/>
          <w:bCs/>
          <w:color w:val="auto"/>
          <w:kern w:val="2"/>
          <w:sz w:val="24"/>
          <w:szCs w:val="24"/>
          <w:shd w:val="clear" w:color="FFFFFF" w:fill="D9D9D9"/>
        </w:rPr>
        <w:t>报价单位须提供所涉及的网络安全设备的技术参数要求的原厂证明材料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tcPr>
          <w:p>
            <w:pPr>
              <w:spacing w:line="360" w:lineRule="auto"/>
              <w:rPr>
                <w:rFonts w:ascii="宋体" w:hAnsi="宋体" w:eastAsia="PMingLiU"/>
                <w:sz w:val="24"/>
                <w:shd w:val="clear" w:color="FFFFFF" w:fill="D9D9D9"/>
                <w:lang w:eastAsia="zh-SG"/>
              </w:rPr>
            </w:pPr>
          </w:p>
          <w:p>
            <w:pPr>
              <w:spacing w:line="360" w:lineRule="auto"/>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eastAsia="zh-SG"/>
              </w:rPr>
              <w:t>所涉及的网络安全设备的技术参数要求的原厂证明材料（提供功能截图，技术参数点对点参数响应证明，盖原厂单位公章）</w:t>
            </w:r>
          </w:p>
          <w:p>
            <w:pPr>
              <w:spacing w:line="360" w:lineRule="auto"/>
              <w:jc w:val="left"/>
              <w:rPr>
                <w:rFonts w:ascii="宋体" w:hAnsi="宋体" w:eastAsia="PMingLiU"/>
                <w:sz w:val="24"/>
                <w:shd w:val="clear" w:color="FFFFFF" w:fill="D9D9D9"/>
                <w:lang w:eastAsia="zh-SG"/>
              </w:rPr>
            </w:pPr>
          </w:p>
          <w:p>
            <w:pPr>
              <w:spacing w:line="360" w:lineRule="auto"/>
              <w:jc w:val="left"/>
              <w:rPr>
                <w:rFonts w:ascii="宋体" w:hAnsi="宋体" w:eastAsia="PMingLiU"/>
                <w:sz w:val="24"/>
                <w:shd w:val="clear" w:color="FFFFFF" w:fill="D9D9D9"/>
                <w:lang w:eastAsia="zh-SG"/>
              </w:rPr>
            </w:pPr>
          </w:p>
        </w:tc>
      </w:tr>
    </w:tbl>
    <w:p>
      <w:pPr>
        <w:pStyle w:val="35"/>
        <w:rPr>
          <w:rFonts w:hint="eastAsia" w:hAnsi="宋体" w:eastAsia="宋体" w:cs="Times New Roman"/>
          <w:b/>
          <w:bCs/>
          <w:color w:val="auto"/>
          <w:kern w:val="2"/>
          <w:shd w:val="clear" w:color="FFFFFF" w:fill="D9D9D9"/>
          <w:lang w:val="en-US" w:eastAsia="zh-CN"/>
        </w:rPr>
      </w:pPr>
      <w:r>
        <w:rPr>
          <w:rFonts w:hint="eastAsia" w:hAnsi="宋体" w:eastAsia="宋体" w:cs="Times New Roman"/>
          <w:b/>
          <w:bCs/>
          <w:color w:val="auto"/>
          <w:kern w:val="2"/>
          <w:shd w:val="clear" w:color="FFFFFF" w:fill="D9D9D9"/>
          <w:lang w:val="en-US" w:eastAsia="zh-CN"/>
        </w:rPr>
        <w:t>2.堡垒机</w:t>
      </w:r>
    </w:p>
    <w:p>
      <w:pPr>
        <w:pStyle w:val="35"/>
        <w:rPr>
          <w:rFonts w:hint="eastAsia" w:ascii="宋体" w:hAnsi="宋体" w:eastAsia="宋体" w:cs="Times New Roman"/>
          <w:b/>
          <w:bCs/>
          <w:color w:val="auto"/>
          <w:kern w:val="2"/>
          <w:shd w:val="clear" w:color="FFFFFF" w:fill="D9D9D9"/>
          <w:lang w:eastAsia="zh-CN"/>
        </w:rPr>
      </w:pPr>
      <w:r>
        <w:rPr>
          <w:rFonts w:hint="eastAsia" w:ascii="宋体" w:hAnsi="宋体" w:eastAsia="宋体" w:cs="Times New Roman"/>
          <w:b/>
          <w:bCs/>
          <w:color w:val="auto"/>
          <w:kern w:val="2"/>
          <w:shd w:val="clear" w:color="FFFFFF" w:fill="D9D9D9"/>
        </w:rPr>
        <w:t>国家知识产权局颁布的技术先进性证明材料提供证明材料复印件，加盖单位公章）</w:t>
      </w:r>
      <w:r>
        <w:rPr>
          <w:rFonts w:hint="eastAsia" w:hAnsi="宋体" w:eastAsia="宋体" w:cs="Times New Roman"/>
          <w:b/>
          <w:bCs/>
          <w:color w:val="auto"/>
          <w:kern w:val="2"/>
          <w:shd w:val="clear" w:color="FFFFFF" w:fill="D9D9D9"/>
          <w:lang w:eastAsia="zh-CN"/>
        </w:rPr>
        <w:tab/>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tcPr>
          <w:p>
            <w:pPr>
              <w:spacing w:line="360" w:lineRule="auto"/>
              <w:rPr>
                <w:rFonts w:ascii="宋体" w:hAnsi="宋体" w:eastAsia="PMingLiU"/>
                <w:sz w:val="24"/>
                <w:shd w:val="clear" w:color="FFFFFF" w:fill="D9D9D9"/>
                <w:lang w:eastAsia="zh-SG"/>
              </w:rPr>
            </w:pPr>
          </w:p>
          <w:p>
            <w:pPr>
              <w:spacing w:line="360" w:lineRule="auto"/>
              <w:ind w:firstLine="0" w:firstLineChars="0"/>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eastAsia="zh-SG"/>
              </w:rPr>
              <w:t>技术先进性证明材料（提供</w:t>
            </w:r>
            <w:r>
              <w:rPr>
                <w:rFonts w:hint="eastAsia" w:asciiTheme="minorEastAsia" w:hAnsiTheme="minorEastAsia" w:eastAsiaTheme="minorEastAsia"/>
                <w:sz w:val="24"/>
                <w:shd w:val="clear" w:color="FFFFFF" w:fill="D9D9D9"/>
                <w:lang w:val="en-US" w:eastAsia="zh-SG"/>
              </w:rPr>
              <w:t>证明材料复印件</w:t>
            </w:r>
            <w:r>
              <w:rPr>
                <w:rFonts w:hint="eastAsia" w:asciiTheme="minorEastAsia" w:hAnsiTheme="minorEastAsia" w:eastAsiaTheme="minorEastAsia"/>
                <w:sz w:val="24"/>
                <w:shd w:val="clear" w:color="FFFFFF" w:fill="D9D9D9"/>
                <w:lang w:eastAsia="zh-SG"/>
              </w:rPr>
              <w:t>，加盖单位公章）</w:t>
            </w:r>
          </w:p>
          <w:p>
            <w:pPr>
              <w:spacing w:line="360" w:lineRule="auto"/>
              <w:jc w:val="left"/>
              <w:rPr>
                <w:rFonts w:ascii="宋体" w:hAnsi="宋体" w:eastAsia="PMingLiU"/>
                <w:sz w:val="24"/>
                <w:shd w:val="clear" w:color="FFFFFF" w:fill="D9D9D9"/>
                <w:lang w:eastAsia="zh-SG"/>
              </w:rPr>
            </w:pPr>
          </w:p>
        </w:tc>
      </w:tr>
    </w:tbl>
    <w:p>
      <w:pPr>
        <w:pStyle w:val="35"/>
        <w:rPr>
          <w:rFonts w:hint="eastAsia" w:hAnsi="宋体" w:eastAsia="宋体" w:cs="Times New Roman"/>
          <w:b/>
          <w:bCs/>
          <w:color w:val="auto"/>
          <w:kern w:val="2"/>
          <w:shd w:val="clear" w:color="FFFFFF" w:fill="D9D9D9"/>
        </w:rPr>
      </w:pPr>
      <w:r>
        <w:rPr>
          <w:rFonts w:hint="eastAsia" w:hAnsi="宋体" w:eastAsia="宋体" w:cs="Times New Roman"/>
          <w:b/>
          <w:bCs/>
          <w:color w:val="auto"/>
          <w:kern w:val="2"/>
          <w:shd w:val="clear" w:color="FFFFFF" w:fill="D9D9D9"/>
        </w:rPr>
        <w:t>公安部出具的产品销售许可证（</w:t>
      </w:r>
      <w:r>
        <w:rPr>
          <w:rFonts w:hint="eastAsia" w:hAnsi="宋体" w:eastAsia="宋体" w:cs="Times New Roman"/>
          <w:b/>
          <w:bCs/>
          <w:color w:val="auto"/>
          <w:kern w:val="2"/>
          <w:shd w:val="clear" w:color="FFFFFF" w:fill="D9D9D9"/>
          <w:lang w:eastAsia="zh-CN"/>
        </w:rPr>
        <w:t>提供许可证复印件，加盖单位公章</w:t>
      </w:r>
      <w:r>
        <w:rPr>
          <w:rFonts w:hint="eastAsia" w:hAnsi="宋体" w:eastAsia="宋体" w:cs="Times New Roman"/>
          <w:b/>
          <w:bCs/>
          <w:color w:val="auto"/>
          <w:kern w:val="2"/>
          <w:shd w:val="clear" w:color="FFFFFF" w:fill="D9D9D9"/>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08" w:type="dxa"/>
          </w:tcPr>
          <w:p>
            <w:pPr>
              <w:spacing w:line="360" w:lineRule="auto"/>
              <w:rPr>
                <w:rFonts w:ascii="宋体" w:hAnsi="宋体" w:eastAsia="PMingLiU"/>
                <w:sz w:val="24"/>
                <w:shd w:val="clear" w:color="FFFFFF" w:fill="D9D9D9"/>
                <w:lang w:eastAsia="zh-SG"/>
              </w:rPr>
            </w:pPr>
          </w:p>
          <w:p>
            <w:pPr>
              <w:spacing w:line="360" w:lineRule="auto"/>
              <w:ind w:firstLine="0" w:firstLineChars="0"/>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eastAsia="zh-SG"/>
              </w:rPr>
              <w:t>公安部出具的产品销售许可证（提供许可证复印件，加盖单位公章）</w:t>
            </w:r>
          </w:p>
          <w:p>
            <w:pPr>
              <w:spacing w:line="360" w:lineRule="auto"/>
              <w:jc w:val="left"/>
              <w:rPr>
                <w:rFonts w:ascii="宋体" w:hAnsi="宋体" w:eastAsia="PMingLiU"/>
                <w:sz w:val="24"/>
                <w:shd w:val="clear" w:color="FFFFFF" w:fill="D9D9D9"/>
                <w:lang w:eastAsia="zh-SG"/>
              </w:rPr>
            </w:pPr>
          </w:p>
        </w:tc>
      </w:tr>
    </w:tbl>
    <w:p>
      <w:pPr>
        <w:pStyle w:val="35"/>
        <w:rPr>
          <w:rFonts w:hint="eastAsia" w:hAnsi="宋体" w:eastAsia="宋体" w:cs="Times New Roman"/>
          <w:b/>
          <w:bCs/>
          <w:color w:val="auto"/>
          <w:kern w:val="2"/>
          <w:shd w:val="clear" w:color="FFFFFF" w:fill="D9D9D9"/>
        </w:rPr>
      </w:pPr>
      <w:r>
        <w:rPr>
          <w:rFonts w:hint="eastAsia" w:hAnsi="宋体" w:eastAsia="宋体" w:cs="Times New Roman"/>
          <w:b/>
          <w:bCs/>
          <w:color w:val="auto"/>
          <w:kern w:val="2"/>
          <w:shd w:val="clear" w:color="FFFFFF" w:fill="D9D9D9"/>
        </w:rPr>
        <w:t>国家保密局涉密信息系统安全保密测评中心出具的《涉密信息系统产品检测证书》（</w:t>
      </w:r>
      <w:r>
        <w:rPr>
          <w:rFonts w:hint="eastAsia" w:hAnsi="宋体" w:eastAsia="宋体" w:cs="Times New Roman"/>
          <w:b/>
          <w:bCs/>
          <w:color w:val="auto"/>
          <w:kern w:val="2"/>
          <w:shd w:val="clear" w:color="FFFFFF" w:fill="D9D9D9"/>
          <w:lang w:eastAsia="zh-CN"/>
        </w:rPr>
        <w:t>提供</w:t>
      </w:r>
      <w:r>
        <w:rPr>
          <w:rFonts w:hint="eastAsia" w:hAnsi="宋体" w:eastAsia="宋体" w:cs="Times New Roman"/>
          <w:b/>
          <w:bCs/>
          <w:color w:val="auto"/>
          <w:kern w:val="2"/>
          <w:shd w:val="clear" w:color="FFFFFF" w:fill="D9D9D9"/>
          <w:lang w:val="en-US" w:eastAsia="zh-CN"/>
        </w:rPr>
        <w:t>证书</w:t>
      </w:r>
      <w:r>
        <w:rPr>
          <w:rFonts w:hint="eastAsia" w:hAnsi="宋体" w:eastAsia="宋体" w:cs="Times New Roman"/>
          <w:b/>
          <w:bCs/>
          <w:color w:val="auto"/>
          <w:kern w:val="2"/>
          <w:shd w:val="clear" w:color="FFFFFF" w:fill="D9D9D9"/>
          <w:lang w:eastAsia="zh-CN"/>
        </w:rPr>
        <w:t>复印件，加盖单位公章</w:t>
      </w:r>
      <w:r>
        <w:rPr>
          <w:rFonts w:hint="eastAsia" w:hAnsi="宋体" w:eastAsia="宋体" w:cs="Times New Roman"/>
          <w:b/>
          <w:bCs/>
          <w:color w:val="auto"/>
          <w:kern w:val="2"/>
          <w:shd w:val="clear" w:color="FFFFFF" w:fill="D9D9D9"/>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tcPr>
          <w:p>
            <w:pPr>
              <w:spacing w:line="360" w:lineRule="auto"/>
              <w:rPr>
                <w:rFonts w:ascii="宋体" w:hAnsi="宋体" w:eastAsia="PMingLiU"/>
                <w:sz w:val="24"/>
                <w:shd w:val="clear" w:color="FFFFFF" w:fill="D9D9D9"/>
                <w:lang w:eastAsia="zh-SG"/>
              </w:rPr>
            </w:pPr>
          </w:p>
          <w:p>
            <w:pPr>
              <w:spacing w:line="360" w:lineRule="auto"/>
              <w:ind w:firstLine="0" w:firstLineChars="0"/>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eastAsia="zh-SG"/>
              </w:rPr>
              <w:t>《涉密信息系统产品检测证书》（提供</w:t>
            </w:r>
            <w:r>
              <w:rPr>
                <w:rFonts w:hint="eastAsia" w:asciiTheme="minorEastAsia" w:hAnsiTheme="minorEastAsia" w:eastAsiaTheme="minorEastAsia"/>
                <w:sz w:val="24"/>
                <w:shd w:val="clear" w:color="FFFFFF" w:fill="D9D9D9"/>
                <w:lang w:val="en-US" w:eastAsia="zh-SG"/>
              </w:rPr>
              <w:t>证书</w:t>
            </w:r>
            <w:r>
              <w:rPr>
                <w:rFonts w:hint="eastAsia" w:asciiTheme="minorEastAsia" w:hAnsiTheme="minorEastAsia" w:eastAsiaTheme="minorEastAsia"/>
                <w:sz w:val="24"/>
                <w:shd w:val="clear" w:color="FFFFFF" w:fill="D9D9D9"/>
                <w:lang w:eastAsia="zh-SG"/>
              </w:rPr>
              <w:t>复印件，加盖单位公章）</w:t>
            </w:r>
          </w:p>
          <w:p>
            <w:pPr>
              <w:spacing w:line="360" w:lineRule="auto"/>
              <w:jc w:val="left"/>
              <w:rPr>
                <w:rFonts w:ascii="宋体" w:hAnsi="宋体" w:eastAsia="PMingLiU"/>
                <w:sz w:val="24"/>
                <w:shd w:val="clear" w:color="FFFFFF" w:fill="D9D9D9"/>
                <w:lang w:eastAsia="zh-SG"/>
              </w:rPr>
            </w:pPr>
          </w:p>
        </w:tc>
      </w:tr>
    </w:tbl>
    <w:p>
      <w:pPr>
        <w:pStyle w:val="35"/>
        <w:rPr>
          <w:rFonts w:hint="eastAsia" w:hAnsi="宋体" w:eastAsia="宋体" w:cs="Times New Roman"/>
          <w:b/>
          <w:bCs/>
          <w:color w:val="auto"/>
          <w:kern w:val="2"/>
          <w:shd w:val="clear" w:color="FFFFFF" w:fill="D9D9D9"/>
          <w:lang w:val="en-US" w:eastAsia="zh-CN"/>
        </w:rPr>
      </w:pPr>
      <w:r>
        <w:rPr>
          <w:rFonts w:hint="eastAsia" w:hAnsi="宋体" w:eastAsia="宋体" w:cs="Times New Roman"/>
          <w:b/>
          <w:bCs/>
          <w:color w:val="auto"/>
          <w:kern w:val="2"/>
          <w:shd w:val="clear" w:color="FFFFFF" w:fill="D9D9D9"/>
          <w:lang w:val="en-US" w:eastAsia="zh-CN"/>
        </w:rPr>
        <w:t>3态势感知平台.</w:t>
      </w:r>
    </w:p>
    <w:p>
      <w:pPr>
        <w:pStyle w:val="35"/>
        <w:rPr>
          <w:rFonts w:hint="eastAsia" w:ascii="宋体" w:hAnsi="宋体" w:eastAsia="宋体" w:cs="Times New Roman"/>
          <w:b/>
          <w:bCs/>
          <w:color w:val="auto"/>
          <w:kern w:val="2"/>
          <w:shd w:val="clear" w:color="FFFFFF" w:fill="D9D9D9"/>
          <w:lang w:eastAsia="zh-Hans"/>
        </w:rPr>
      </w:pPr>
      <w:r>
        <w:rPr>
          <w:rFonts w:hint="eastAsia" w:ascii="宋体" w:hAnsi="宋体" w:eastAsia="宋体" w:cs="Times New Roman"/>
          <w:b/>
          <w:bCs/>
          <w:color w:val="auto"/>
          <w:kern w:val="2"/>
          <w:shd w:val="clear" w:color="FFFFFF" w:fill="D9D9D9"/>
          <w:lang w:eastAsia="zh-Hans"/>
        </w:rPr>
        <w:t>近</w:t>
      </w:r>
      <w:r>
        <w:rPr>
          <w:rFonts w:hint="eastAsia" w:hAnsi="宋体" w:eastAsia="宋体" w:cs="Times New Roman"/>
          <w:b/>
          <w:bCs/>
          <w:color w:val="auto"/>
          <w:kern w:val="2"/>
          <w:shd w:val="clear" w:color="FFFFFF" w:fill="D9D9D9"/>
          <w:lang w:val="en-US" w:eastAsia="zh-CN"/>
        </w:rPr>
        <w:t>2</w:t>
      </w:r>
      <w:r>
        <w:rPr>
          <w:rFonts w:hint="eastAsia" w:ascii="宋体" w:hAnsi="宋体" w:eastAsia="宋体" w:cs="Times New Roman"/>
          <w:b/>
          <w:bCs/>
          <w:color w:val="auto"/>
          <w:kern w:val="2"/>
          <w:shd w:val="clear" w:color="FFFFFF" w:fill="D9D9D9"/>
          <w:lang w:eastAsia="zh-Hans"/>
        </w:rPr>
        <w:t>年IDC</w:t>
      </w:r>
      <w:r>
        <w:rPr>
          <w:rFonts w:hint="eastAsia" w:ascii="宋体" w:hAnsi="宋体" w:eastAsia="宋体" w:cs="Times New Roman"/>
          <w:b/>
          <w:bCs/>
          <w:color w:val="auto"/>
          <w:kern w:val="2"/>
          <w:shd w:val="clear" w:color="FFFFFF" w:fill="D9D9D9"/>
          <w:lang w:val="en-US" w:eastAsia="zh-CN"/>
        </w:rPr>
        <w:t>或</w:t>
      </w:r>
      <w:r>
        <w:rPr>
          <w:rFonts w:hint="eastAsia" w:ascii="宋体" w:hAnsi="宋体" w:eastAsia="宋体" w:cs="Times New Roman"/>
          <w:b/>
          <w:bCs/>
          <w:color w:val="auto"/>
          <w:kern w:val="2"/>
          <w:shd w:val="clear" w:color="FFFFFF" w:fill="D9D9D9"/>
          <w:lang w:eastAsia="zh-Hans"/>
        </w:rPr>
        <w:t>赛迪顾问（CCID）</w:t>
      </w:r>
      <w:r>
        <w:rPr>
          <w:rFonts w:hint="eastAsia" w:ascii="宋体" w:hAnsi="宋体" w:eastAsia="宋体" w:cs="Times New Roman"/>
          <w:b/>
          <w:bCs/>
          <w:color w:val="auto"/>
          <w:kern w:val="2"/>
          <w:shd w:val="clear" w:color="FFFFFF" w:fill="D9D9D9"/>
          <w:lang w:val="en-US" w:eastAsia="zh-CN"/>
        </w:rPr>
        <w:t>或</w:t>
      </w:r>
      <w:r>
        <w:rPr>
          <w:rFonts w:hint="eastAsia" w:ascii="宋体" w:hAnsi="宋体" w:eastAsia="宋体" w:cs="Times New Roman"/>
          <w:b/>
          <w:bCs/>
          <w:color w:val="auto"/>
          <w:kern w:val="2"/>
          <w:shd w:val="clear" w:color="FFFFFF" w:fill="D9D9D9"/>
          <w:lang w:eastAsia="zh-Hans"/>
        </w:rPr>
        <w:t>数世咨询三家大型咨询机构出具的产品市场排名前三或解决方案排名前三的证明报告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tcPr>
          <w:p>
            <w:pPr>
              <w:spacing w:line="360" w:lineRule="auto"/>
              <w:jc w:val="left"/>
              <w:rPr>
                <w:rFonts w:hint="default"/>
                <w:lang w:val="en-US" w:eastAsia="zh-CN"/>
              </w:rPr>
            </w:pPr>
          </w:p>
          <w:p>
            <w:pPr>
              <w:spacing w:line="360" w:lineRule="auto"/>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val="en-US" w:eastAsia="zh-SG"/>
              </w:rPr>
              <w:t>2020、2021年态势感知平台</w:t>
            </w:r>
            <w:r>
              <w:rPr>
                <w:rFonts w:hint="eastAsia" w:asciiTheme="minorEastAsia" w:hAnsiTheme="minorEastAsia" w:eastAsiaTheme="minorEastAsia"/>
                <w:sz w:val="24"/>
                <w:shd w:val="clear" w:color="FFFFFF" w:fill="D9D9D9"/>
                <w:lang w:eastAsia="zh-SG"/>
              </w:rPr>
              <w:t>产品市场排名前三</w:t>
            </w:r>
            <w:r>
              <w:rPr>
                <w:rFonts w:hint="eastAsia" w:asciiTheme="minorEastAsia" w:hAnsiTheme="minorEastAsia" w:eastAsiaTheme="minorEastAsia"/>
                <w:sz w:val="24"/>
                <w:shd w:val="clear" w:color="FFFFFF" w:fill="D9D9D9"/>
                <w:lang w:val="en-US" w:eastAsia="zh-SG"/>
              </w:rPr>
              <w:t>报告</w:t>
            </w:r>
            <w:r>
              <w:rPr>
                <w:rFonts w:hint="eastAsia" w:asciiTheme="minorEastAsia" w:hAnsiTheme="minorEastAsia" w:eastAsiaTheme="minorEastAsia"/>
                <w:sz w:val="24"/>
                <w:shd w:val="clear" w:color="FFFFFF" w:fill="D9D9D9"/>
                <w:lang w:eastAsia="zh-SG"/>
              </w:rPr>
              <w:t>证明材料（</w:t>
            </w:r>
            <w:r>
              <w:rPr>
                <w:rFonts w:hint="eastAsia" w:asciiTheme="minorEastAsia" w:hAnsiTheme="minorEastAsia" w:eastAsiaTheme="minorEastAsia"/>
                <w:sz w:val="24"/>
                <w:shd w:val="clear" w:color="FFFFFF" w:fill="D9D9D9"/>
                <w:lang w:val="en-US" w:eastAsia="zh-SG"/>
              </w:rPr>
              <w:t>加盖单位公章</w:t>
            </w:r>
            <w:r>
              <w:rPr>
                <w:rFonts w:hint="eastAsia" w:asciiTheme="minorEastAsia" w:hAnsiTheme="minorEastAsia" w:eastAsiaTheme="minorEastAsia"/>
                <w:sz w:val="24"/>
                <w:shd w:val="clear" w:color="FFFFFF" w:fill="D9D9D9"/>
                <w:lang w:eastAsia="zh-SG"/>
              </w:rPr>
              <w:t>）</w:t>
            </w:r>
          </w:p>
          <w:p>
            <w:pPr>
              <w:pStyle w:val="27"/>
              <w:rPr>
                <w:rFonts w:hint="eastAsia"/>
                <w:lang w:val="en-US" w:eastAsia="zh-CN"/>
              </w:rPr>
            </w:pPr>
          </w:p>
        </w:tc>
      </w:tr>
    </w:tbl>
    <w:p>
      <w:pPr>
        <w:pStyle w:val="35"/>
        <w:rPr>
          <w:rFonts w:hint="eastAsia" w:hAnsi="宋体" w:eastAsia="宋体" w:cs="Times New Roman"/>
          <w:b/>
          <w:bCs/>
          <w:color w:val="auto"/>
          <w:kern w:val="2"/>
          <w:shd w:val="clear" w:color="FFFFFF" w:fill="D9D9D9"/>
          <w:lang w:val="en-US" w:eastAsia="zh-Hans"/>
        </w:rPr>
      </w:pPr>
      <w:r>
        <w:rPr>
          <w:rFonts w:hint="eastAsia" w:ascii="宋体" w:hAnsi="宋体" w:eastAsia="宋体" w:cs="Times New Roman"/>
          <w:b/>
          <w:bCs/>
          <w:color w:val="auto"/>
          <w:kern w:val="2"/>
          <w:shd w:val="clear" w:color="FFFFFF" w:fill="D9D9D9"/>
          <w:lang w:val="en-US" w:eastAsia="zh-Hans"/>
        </w:rPr>
        <w:t>公安部颁发的《计算机信息系统安全专用产品销售许可证》（提供许可证复印件，加盖单位公章）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tcPr>
          <w:p>
            <w:pPr>
              <w:spacing w:line="360" w:lineRule="auto"/>
              <w:rPr>
                <w:rFonts w:ascii="宋体" w:hAnsi="宋体" w:eastAsia="PMingLiU"/>
                <w:sz w:val="24"/>
                <w:shd w:val="clear" w:color="FFFFFF" w:fill="D9D9D9"/>
                <w:lang w:eastAsia="zh-SG"/>
              </w:rPr>
            </w:pPr>
          </w:p>
          <w:p>
            <w:pPr>
              <w:spacing w:line="360" w:lineRule="auto"/>
              <w:ind w:firstLine="0" w:firstLineChars="0"/>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eastAsia="zh-SG"/>
              </w:rPr>
              <w:t>公安部出具的产品销售许可证（提供许可证复印件，加盖单位公章）</w:t>
            </w:r>
          </w:p>
          <w:p>
            <w:pPr>
              <w:spacing w:line="360" w:lineRule="auto"/>
              <w:jc w:val="left"/>
              <w:rPr>
                <w:rFonts w:ascii="宋体" w:hAnsi="宋体" w:eastAsia="PMingLiU"/>
                <w:sz w:val="24"/>
                <w:shd w:val="clear" w:color="FFFFFF" w:fill="D9D9D9"/>
                <w:lang w:eastAsia="zh-SG"/>
              </w:rPr>
            </w:pPr>
          </w:p>
        </w:tc>
      </w:tr>
    </w:tbl>
    <w:p>
      <w:pPr>
        <w:pStyle w:val="2"/>
        <w:ind w:firstLine="0" w:firstLineChars="0"/>
        <w:rPr>
          <w:rFonts w:hint="default"/>
        </w:rPr>
      </w:pPr>
    </w:p>
    <w:p>
      <w:pPr>
        <w:pStyle w:val="2"/>
        <w:ind w:firstLine="640"/>
        <w:rPr>
          <w:rFonts w:hint="default"/>
        </w:rPr>
      </w:pPr>
    </w:p>
    <w:p/>
    <w:p>
      <w:r>
        <w:br w:type="page"/>
      </w:r>
    </w:p>
    <w:p>
      <w:pPr>
        <w:pStyle w:val="2"/>
        <w:ind w:left="420" w:leftChars="200" w:firstLine="0" w:firstLineChars="0"/>
        <w:jc w:val="center"/>
        <w:rPr>
          <w:rFonts w:hint="eastAsia" w:ascii="仿宋" w:hAnsi="仿宋" w:eastAsia="仿宋" w:cs="仿宋"/>
          <w:sz w:val="30"/>
          <w:szCs w:val="30"/>
        </w:rPr>
      </w:pPr>
      <w:r>
        <w:rPr>
          <w:rFonts w:hint="eastAsia" w:ascii="仿宋" w:hAnsi="仿宋" w:eastAsia="仿宋" w:cs="仿宋"/>
          <w:b/>
          <w:bCs/>
          <w:sz w:val="30"/>
          <w:szCs w:val="30"/>
        </w:rPr>
        <w:t>7</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承诺书</w:t>
      </w: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rPr>
      </w:pPr>
    </w:p>
    <w:p>
      <w:pPr>
        <w:pStyle w:val="2"/>
        <w:ind w:firstLine="0" w:firstLineChars="0"/>
        <w:jc w:val="left"/>
        <w:rPr>
          <w:rFonts w:hint="eastAsia" w:ascii="仿宋" w:hAnsi="仿宋" w:eastAsia="仿宋" w:cs="仿宋"/>
          <w:sz w:val="30"/>
          <w:szCs w:val="30"/>
          <w:lang w:eastAsia="zh-CN"/>
        </w:rPr>
      </w:pPr>
      <w:r>
        <w:rPr>
          <w:rFonts w:hint="eastAsia" w:ascii="仿宋" w:hAnsi="仿宋" w:eastAsia="仿宋" w:cs="仿宋"/>
          <w:sz w:val="30"/>
          <w:szCs w:val="30"/>
        </w:rPr>
        <w:t>广州市净水有限公司</w:t>
      </w:r>
      <w:r>
        <w:rPr>
          <w:rFonts w:hint="eastAsia" w:ascii="仿宋" w:hAnsi="仿宋" w:eastAsia="仿宋" w:cs="仿宋"/>
          <w:sz w:val="30"/>
          <w:szCs w:val="30"/>
          <w:lang w:eastAsia="zh-CN"/>
        </w:rPr>
        <w:t>：</w:t>
      </w:r>
    </w:p>
    <w:p>
      <w:pPr>
        <w:pStyle w:val="2"/>
        <w:ind w:firstLine="640"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我方承诺，本项目提供的免费系统升级服务、硬件维修服务、服务支持不低于</w:t>
      </w: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年，同时针对本项目硬件部分提供</w:t>
      </w:r>
      <w:r>
        <w:rPr>
          <w:rFonts w:hint="eastAsia" w:ascii="仿宋" w:hAnsi="仿宋" w:eastAsia="仿宋" w:cs="仿宋"/>
          <w:sz w:val="30"/>
          <w:szCs w:val="30"/>
          <w:highlight w:val="none"/>
          <w:lang w:val="en-US" w:eastAsia="zh-CN"/>
        </w:rPr>
        <w:t>不低于一</w:t>
      </w:r>
      <w:r>
        <w:rPr>
          <w:rFonts w:hint="eastAsia" w:ascii="仿宋" w:hAnsi="仿宋" w:eastAsia="仿宋" w:cs="仿宋"/>
          <w:sz w:val="30"/>
          <w:szCs w:val="30"/>
          <w:highlight w:val="none"/>
        </w:rPr>
        <w:t>年售后技术服务。</w:t>
      </w:r>
    </w:p>
    <w:p>
      <w:pPr>
        <w:pStyle w:val="2"/>
        <w:ind w:firstLine="640" w:firstLineChars="0"/>
        <w:jc w:val="left"/>
        <w:rPr>
          <w:rFonts w:hint="eastAsia" w:ascii="仿宋" w:hAnsi="仿宋" w:eastAsia="仿宋" w:cs="仿宋"/>
          <w:sz w:val="30"/>
          <w:szCs w:val="30"/>
        </w:rPr>
      </w:pPr>
    </w:p>
    <w:p>
      <w:pPr>
        <w:pStyle w:val="2"/>
        <w:ind w:left="0" w:leftChars="0" w:firstLine="0" w:firstLineChars="0"/>
        <w:jc w:val="left"/>
        <w:rPr>
          <w:rFonts w:hint="eastAsia" w:ascii="仿宋" w:hAnsi="仿宋" w:eastAsia="仿宋" w:cs="仿宋"/>
          <w:sz w:val="30"/>
          <w:szCs w:val="30"/>
        </w:rPr>
      </w:pPr>
    </w:p>
    <w:p>
      <w:pPr>
        <w:pStyle w:val="2"/>
        <w:ind w:firstLine="640" w:firstLineChars="0"/>
        <w:jc w:val="left"/>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报价单位（盖章）：</w:t>
      </w:r>
    </w:p>
    <w:p>
      <w:pPr>
        <w:pStyle w:val="2"/>
        <w:ind w:firstLine="640" w:firstLineChars="0"/>
        <w:jc w:val="left"/>
        <w:rPr>
          <w:rFonts w:hint="default"/>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bookmarkStart w:id="32" w:name="_GoBack"/>
      <w:bookmarkEnd w:id="32"/>
      <w:r>
        <w:rPr>
          <w:rFonts w:hint="eastAsia" w:ascii="仿宋" w:hAnsi="仿宋" w:eastAsia="仿宋" w:cs="仿宋"/>
          <w:sz w:val="30"/>
          <w:szCs w:val="30"/>
        </w:rPr>
        <w:t>日期：</w:t>
      </w:r>
    </w:p>
    <w:p>
      <w:pPr>
        <w:pStyle w:val="2"/>
        <w:ind w:firstLine="0" w:firstLineChars="0"/>
        <w:jc w:val="center"/>
        <w:rPr>
          <w:rFonts w:hint="default"/>
        </w:rPr>
      </w:pPr>
    </w:p>
    <w:p>
      <w:pPr>
        <w:pStyle w:val="2"/>
        <w:ind w:left="420" w:leftChars="200" w:firstLine="0" w:firstLineChars="0"/>
        <w:rPr>
          <w:rFonts w:hint="default"/>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19</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22</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24B25"/>
    <w:multiLevelType w:val="singleLevel"/>
    <w:tmpl w:val="DA424B25"/>
    <w:lvl w:ilvl="0" w:tentative="0">
      <w:start w:val="1"/>
      <w:numFmt w:val="decimal"/>
      <w:suff w:val="space"/>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3C8F"/>
    <w:rsid w:val="00034617"/>
    <w:rsid w:val="000348AA"/>
    <w:rsid w:val="00035872"/>
    <w:rsid w:val="00036C9A"/>
    <w:rsid w:val="00037DB0"/>
    <w:rsid w:val="0004256A"/>
    <w:rsid w:val="00044641"/>
    <w:rsid w:val="0004473E"/>
    <w:rsid w:val="00046941"/>
    <w:rsid w:val="000508C5"/>
    <w:rsid w:val="00050D85"/>
    <w:rsid w:val="000511A5"/>
    <w:rsid w:val="000555B7"/>
    <w:rsid w:val="00057DD5"/>
    <w:rsid w:val="00057F70"/>
    <w:rsid w:val="000606F2"/>
    <w:rsid w:val="0006114F"/>
    <w:rsid w:val="0006509C"/>
    <w:rsid w:val="00067762"/>
    <w:rsid w:val="000724B0"/>
    <w:rsid w:val="00075258"/>
    <w:rsid w:val="00075DDA"/>
    <w:rsid w:val="00077066"/>
    <w:rsid w:val="000805A0"/>
    <w:rsid w:val="00085570"/>
    <w:rsid w:val="0008643E"/>
    <w:rsid w:val="00087118"/>
    <w:rsid w:val="00087558"/>
    <w:rsid w:val="00087EA5"/>
    <w:rsid w:val="00090862"/>
    <w:rsid w:val="00092896"/>
    <w:rsid w:val="0009625F"/>
    <w:rsid w:val="00096729"/>
    <w:rsid w:val="000969C0"/>
    <w:rsid w:val="00096D3E"/>
    <w:rsid w:val="00096F25"/>
    <w:rsid w:val="000A019F"/>
    <w:rsid w:val="000A19B0"/>
    <w:rsid w:val="000A1B21"/>
    <w:rsid w:val="000A25A4"/>
    <w:rsid w:val="000A6E66"/>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D6117"/>
    <w:rsid w:val="000E0F42"/>
    <w:rsid w:val="000E24AD"/>
    <w:rsid w:val="000E2A5A"/>
    <w:rsid w:val="000E44C5"/>
    <w:rsid w:val="000E4C97"/>
    <w:rsid w:val="000E5789"/>
    <w:rsid w:val="000E6C40"/>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3D3"/>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470"/>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507F"/>
    <w:rsid w:val="001D7069"/>
    <w:rsid w:val="001E0864"/>
    <w:rsid w:val="001E1618"/>
    <w:rsid w:val="001E1D7A"/>
    <w:rsid w:val="001E20EC"/>
    <w:rsid w:val="001E2CB0"/>
    <w:rsid w:val="001E62B5"/>
    <w:rsid w:val="001E694A"/>
    <w:rsid w:val="001F204F"/>
    <w:rsid w:val="001F4944"/>
    <w:rsid w:val="001F56B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24EB1"/>
    <w:rsid w:val="0023030A"/>
    <w:rsid w:val="002334D8"/>
    <w:rsid w:val="002356AB"/>
    <w:rsid w:val="002437D1"/>
    <w:rsid w:val="00246285"/>
    <w:rsid w:val="002469E4"/>
    <w:rsid w:val="0024705B"/>
    <w:rsid w:val="002539AB"/>
    <w:rsid w:val="00253C14"/>
    <w:rsid w:val="002546AB"/>
    <w:rsid w:val="00254CC3"/>
    <w:rsid w:val="00255E0C"/>
    <w:rsid w:val="0025616C"/>
    <w:rsid w:val="002566D4"/>
    <w:rsid w:val="00256F67"/>
    <w:rsid w:val="00260826"/>
    <w:rsid w:val="00262C5F"/>
    <w:rsid w:val="0026415F"/>
    <w:rsid w:val="00264C9F"/>
    <w:rsid w:val="002667C0"/>
    <w:rsid w:val="00270D0E"/>
    <w:rsid w:val="0027225B"/>
    <w:rsid w:val="00274D5D"/>
    <w:rsid w:val="002755CA"/>
    <w:rsid w:val="00275A71"/>
    <w:rsid w:val="00276CA9"/>
    <w:rsid w:val="00276D9B"/>
    <w:rsid w:val="0027755A"/>
    <w:rsid w:val="00281187"/>
    <w:rsid w:val="00281E9A"/>
    <w:rsid w:val="00282FFC"/>
    <w:rsid w:val="00283FCA"/>
    <w:rsid w:val="00286E7C"/>
    <w:rsid w:val="00287DB2"/>
    <w:rsid w:val="002910C5"/>
    <w:rsid w:val="002911C1"/>
    <w:rsid w:val="00292B87"/>
    <w:rsid w:val="002955A2"/>
    <w:rsid w:val="002A01E2"/>
    <w:rsid w:val="002A2142"/>
    <w:rsid w:val="002A2D2B"/>
    <w:rsid w:val="002A307B"/>
    <w:rsid w:val="002A34D7"/>
    <w:rsid w:val="002A6C9B"/>
    <w:rsid w:val="002A7F5D"/>
    <w:rsid w:val="002B0457"/>
    <w:rsid w:val="002B4F27"/>
    <w:rsid w:val="002B587C"/>
    <w:rsid w:val="002B7724"/>
    <w:rsid w:val="002B77EB"/>
    <w:rsid w:val="002C1B2F"/>
    <w:rsid w:val="002C2CDA"/>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4BB"/>
    <w:rsid w:val="00307EE1"/>
    <w:rsid w:val="0031038D"/>
    <w:rsid w:val="00310705"/>
    <w:rsid w:val="00311778"/>
    <w:rsid w:val="00317C6E"/>
    <w:rsid w:val="0032029B"/>
    <w:rsid w:val="00320458"/>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36894"/>
    <w:rsid w:val="00341A2E"/>
    <w:rsid w:val="00344982"/>
    <w:rsid w:val="00352F84"/>
    <w:rsid w:val="00353376"/>
    <w:rsid w:val="00354CAC"/>
    <w:rsid w:val="003558BF"/>
    <w:rsid w:val="00355F7C"/>
    <w:rsid w:val="00363F2C"/>
    <w:rsid w:val="00365A88"/>
    <w:rsid w:val="00371DFE"/>
    <w:rsid w:val="00371E5E"/>
    <w:rsid w:val="00374902"/>
    <w:rsid w:val="00375138"/>
    <w:rsid w:val="003774A5"/>
    <w:rsid w:val="00377A43"/>
    <w:rsid w:val="00377B20"/>
    <w:rsid w:val="003836D9"/>
    <w:rsid w:val="00383DFC"/>
    <w:rsid w:val="00385CBB"/>
    <w:rsid w:val="003879BC"/>
    <w:rsid w:val="003879F1"/>
    <w:rsid w:val="00393322"/>
    <w:rsid w:val="00394141"/>
    <w:rsid w:val="003950A1"/>
    <w:rsid w:val="0039583B"/>
    <w:rsid w:val="00396FC6"/>
    <w:rsid w:val="003A0EA4"/>
    <w:rsid w:val="003A157A"/>
    <w:rsid w:val="003A3233"/>
    <w:rsid w:val="003A34E1"/>
    <w:rsid w:val="003A420F"/>
    <w:rsid w:val="003A427D"/>
    <w:rsid w:val="003A4A8C"/>
    <w:rsid w:val="003A4AF8"/>
    <w:rsid w:val="003A75A0"/>
    <w:rsid w:val="003B0175"/>
    <w:rsid w:val="003B0554"/>
    <w:rsid w:val="003B0560"/>
    <w:rsid w:val="003B0B77"/>
    <w:rsid w:val="003B2A6B"/>
    <w:rsid w:val="003B3C76"/>
    <w:rsid w:val="003B42A8"/>
    <w:rsid w:val="003B4F6B"/>
    <w:rsid w:val="003C0276"/>
    <w:rsid w:val="003C0493"/>
    <w:rsid w:val="003C5EFB"/>
    <w:rsid w:val="003D0236"/>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2493"/>
    <w:rsid w:val="004035A8"/>
    <w:rsid w:val="00403898"/>
    <w:rsid w:val="00406EB2"/>
    <w:rsid w:val="004126E2"/>
    <w:rsid w:val="00412C26"/>
    <w:rsid w:val="004132D9"/>
    <w:rsid w:val="00413D25"/>
    <w:rsid w:val="004142A6"/>
    <w:rsid w:val="00414877"/>
    <w:rsid w:val="00414F17"/>
    <w:rsid w:val="004172D0"/>
    <w:rsid w:val="00417D5C"/>
    <w:rsid w:val="00421BEE"/>
    <w:rsid w:val="00421D59"/>
    <w:rsid w:val="00421DAD"/>
    <w:rsid w:val="0042351A"/>
    <w:rsid w:val="00426BC3"/>
    <w:rsid w:val="0043004A"/>
    <w:rsid w:val="00431C8B"/>
    <w:rsid w:val="00434CF3"/>
    <w:rsid w:val="00435440"/>
    <w:rsid w:val="00436ECE"/>
    <w:rsid w:val="00437C40"/>
    <w:rsid w:val="0044301D"/>
    <w:rsid w:val="00445CA6"/>
    <w:rsid w:val="0044625A"/>
    <w:rsid w:val="0045218E"/>
    <w:rsid w:val="00452B82"/>
    <w:rsid w:val="00453744"/>
    <w:rsid w:val="00453BE4"/>
    <w:rsid w:val="00453F9F"/>
    <w:rsid w:val="004549F1"/>
    <w:rsid w:val="004600FC"/>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6EE"/>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770"/>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2C49"/>
    <w:rsid w:val="005145AF"/>
    <w:rsid w:val="005147A7"/>
    <w:rsid w:val="00515F49"/>
    <w:rsid w:val="00516F6B"/>
    <w:rsid w:val="00517000"/>
    <w:rsid w:val="00521463"/>
    <w:rsid w:val="005215C9"/>
    <w:rsid w:val="005215EB"/>
    <w:rsid w:val="0052327F"/>
    <w:rsid w:val="00523916"/>
    <w:rsid w:val="00524E32"/>
    <w:rsid w:val="005261C7"/>
    <w:rsid w:val="00526AC8"/>
    <w:rsid w:val="00526BE0"/>
    <w:rsid w:val="00527227"/>
    <w:rsid w:val="00530871"/>
    <w:rsid w:val="00532D73"/>
    <w:rsid w:val="00534804"/>
    <w:rsid w:val="00535989"/>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4FBB"/>
    <w:rsid w:val="005867DA"/>
    <w:rsid w:val="00587CFD"/>
    <w:rsid w:val="00587E32"/>
    <w:rsid w:val="00591655"/>
    <w:rsid w:val="0059316E"/>
    <w:rsid w:val="0059491F"/>
    <w:rsid w:val="00594D3D"/>
    <w:rsid w:val="0059508B"/>
    <w:rsid w:val="00596796"/>
    <w:rsid w:val="00596A2A"/>
    <w:rsid w:val="005A3EE7"/>
    <w:rsid w:val="005A5B9C"/>
    <w:rsid w:val="005A7C92"/>
    <w:rsid w:val="005B13EE"/>
    <w:rsid w:val="005B34B8"/>
    <w:rsid w:val="005B5A1D"/>
    <w:rsid w:val="005C3219"/>
    <w:rsid w:val="005D1C8D"/>
    <w:rsid w:val="005D2969"/>
    <w:rsid w:val="005D346B"/>
    <w:rsid w:val="005D41E5"/>
    <w:rsid w:val="005D591D"/>
    <w:rsid w:val="005D70DA"/>
    <w:rsid w:val="005D7ADD"/>
    <w:rsid w:val="005D7CE5"/>
    <w:rsid w:val="005E0EE5"/>
    <w:rsid w:val="005E3813"/>
    <w:rsid w:val="005E6F9F"/>
    <w:rsid w:val="005F0880"/>
    <w:rsid w:val="005F23BD"/>
    <w:rsid w:val="005F6214"/>
    <w:rsid w:val="005F640C"/>
    <w:rsid w:val="00605D3D"/>
    <w:rsid w:val="006069BD"/>
    <w:rsid w:val="0061479F"/>
    <w:rsid w:val="00615114"/>
    <w:rsid w:val="00615AED"/>
    <w:rsid w:val="006177DE"/>
    <w:rsid w:val="00617F73"/>
    <w:rsid w:val="00617FAE"/>
    <w:rsid w:val="00621A08"/>
    <w:rsid w:val="00622139"/>
    <w:rsid w:val="00623F63"/>
    <w:rsid w:val="00624CFD"/>
    <w:rsid w:val="00630681"/>
    <w:rsid w:val="006313B8"/>
    <w:rsid w:val="00633915"/>
    <w:rsid w:val="006340FA"/>
    <w:rsid w:val="0063578F"/>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4C03"/>
    <w:rsid w:val="006A5A82"/>
    <w:rsid w:val="006B18EC"/>
    <w:rsid w:val="006B1AF8"/>
    <w:rsid w:val="006B25BB"/>
    <w:rsid w:val="006B25E6"/>
    <w:rsid w:val="006B3CB9"/>
    <w:rsid w:val="006B3DBF"/>
    <w:rsid w:val="006B4D53"/>
    <w:rsid w:val="006B5656"/>
    <w:rsid w:val="006B6368"/>
    <w:rsid w:val="006B6C42"/>
    <w:rsid w:val="006C1C85"/>
    <w:rsid w:val="006C3294"/>
    <w:rsid w:val="006C39D3"/>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57B2"/>
    <w:rsid w:val="007073E5"/>
    <w:rsid w:val="00713BCB"/>
    <w:rsid w:val="00715695"/>
    <w:rsid w:val="0071701D"/>
    <w:rsid w:val="007228ED"/>
    <w:rsid w:val="00723A63"/>
    <w:rsid w:val="00723C0E"/>
    <w:rsid w:val="00725224"/>
    <w:rsid w:val="00725559"/>
    <w:rsid w:val="00726D4F"/>
    <w:rsid w:val="00727890"/>
    <w:rsid w:val="00730465"/>
    <w:rsid w:val="00731995"/>
    <w:rsid w:val="00732A0E"/>
    <w:rsid w:val="00732DC5"/>
    <w:rsid w:val="00740AC0"/>
    <w:rsid w:val="00741D86"/>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87C9D"/>
    <w:rsid w:val="007934C4"/>
    <w:rsid w:val="0079388C"/>
    <w:rsid w:val="007940AA"/>
    <w:rsid w:val="00794D25"/>
    <w:rsid w:val="00795264"/>
    <w:rsid w:val="007952F6"/>
    <w:rsid w:val="00796ED4"/>
    <w:rsid w:val="007A113C"/>
    <w:rsid w:val="007A26D3"/>
    <w:rsid w:val="007A3144"/>
    <w:rsid w:val="007A51D9"/>
    <w:rsid w:val="007A719A"/>
    <w:rsid w:val="007B1896"/>
    <w:rsid w:val="007B1D9C"/>
    <w:rsid w:val="007B3BFE"/>
    <w:rsid w:val="007B439B"/>
    <w:rsid w:val="007B4B54"/>
    <w:rsid w:val="007B5200"/>
    <w:rsid w:val="007B5D80"/>
    <w:rsid w:val="007B5F36"/>
    <w:rsid w:val="007B6C33"/>
    <w:rsid w:val="007B7272"/>
    <w:rsid w:val="007C3CE2"/>
    <w:rsid w:val="007C4DC5"/>
    <w:rsid w:val="007C55C1"/>
    <w:rsid w:val="007C6EB0"/>
    <w:rsid w:val="007C79DF"/>
    <w:rsid w:val="007C7B94"/>
    <w:rsid w:val="007D03F4"/>
    <w:rsid w:val="007D1552"/>
    <w:rsid w:val="007D1612"/>
    <w:rsid w:val="007D1796"/>
    <w:rsid w:val="007D4630"/>
    <w:rsid w:val="007D4967"/>
    <w:rsid w:val="007D67DB"/>
    <w:rsid w:val="007D752D"/>
    <w:rsid w:val="007E1096"/>
    <w:rsid w:val="007E178E"/>
    <w:rsid w:val="007E28B1"/>
    <w:rsid w:val="007E483A"/>
    <w:rsid w:val="007E488B"/>
    <w:rsid w:val="007E5291"/>
    <w:rsid w:val="007E64C2"/>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57AC9"/>
    <w:rsid w:val="008602A3"/>
    <w:rsid w:val="0086042D"/>
    <w:rsid w:val="008623C1"/>
    <w:rsid w:val="0086307F"/>
    <w:rsid w:val="008632AE"/>
    <w:rsid w:val="00864937"/>
    <w:rsid w:val="008658E8"/>
    <w:rsid w:val="0086711A"/>
    <w:rsid w:val="00867DD2"/>
    <w:rsid w:val="00872854"/>
    <w:rsid w:val="00873502"/>
    <w:rsid w:val="008740FF"/>
    <w:rsid w:val="0087549E"/>
    <w:rsid w:val="00875D2E"/>
    <w:rsid w:val="00876851"/>
    <w:rsid w:val="008809B1"/>
    <w:rsid w:val="00880A79"/>
    <w:rsid w:val="00881F44"/>
    <w:rsid w:val="008835A9"/>
    <w:rsid w:val="00884363"/>
    <w:rsid w:val="00884434"/>
    <w:rsid w:val="0088523D"/>
    <w:rsid w:val="00885BEF"/>
    <w:rsid w:val="00886395"/>
    <w:rsid w:val="00887C84"/>
    <w:rsid w:val="0089042B"/>
    <w:rsid w:val="008915AF"/>
    <w:rsid w:val="00892673"/>
    <w:rsid w:val="00892A56"/>
    <w:rsid w:val="00896390"/>
    <w:rsid w:val="008A1044"/>
    <w:rsid w:val="008A479F"/>
    <w:rsid w:val="008A50EB"/>
    <w:rsid w:val="008A7B69"/>
    <w:rsid w:val="008B2A03"/>
    <w:rsid w:val="008B2CB2"/>
    <w:rsid w:val="008B3794"/>
    <w:rsid w:val="008B492C"/>
    <w:rsid w:val="008B615A"/>
    <w:rsid w:val="008B6B6A"/>
    <w:rsid w:val="008B6C32"/>
    <w:rsid w:val="008B786F"/>
    <w:rsid w:val="008C037F"/>
    <w:rsid w:val="008C0F61"/>
    <w:rsid w:val="008C54FD"/>
    <w:rsid w:val="008C568F"/>
    <w:rsid w:val="008D3084"/>
    <w:rsid w:val="008D4F22"/>
    <w:rsid w:val="008E00B7"/>
    <w:rsid w:val="008E26CA"/>
    <w:rsid w:val="008E7804"/>
    <w:rsid w:val="008F0E53"/>
    <w:rsid w:val="008F1495"/>
    <w:rsid w:val="008F1CA0"/>
    <w:rsid w:val="008F53B0"/>
    <w:rsid w:val="008F76EE"/>
    <w:rsid w:val="00900A12"/>
    <w:rsid w:val="009033A4"/>
    <w:rsid w:val="00904553"/>
    <w:rsid w:val="00904D24"/>
    <w:rsid w:val="0090519E"/>
    <w:rsid w:val="009115D1"/>
    <w:rsid w:val="00914D5F"/>
    <w:rsid w:val="00914D72"/>
    <w:rsid w:val="009151BF"/>
    <w:rsid w:val="0091596F"/>
    <w:rsid w:val="00916460"/>
    <w:rsid w:val="00923BFF"/>
    <w:rsid w:val="00925136"/>
    <w:rsid w:val="009254B4"/>
    <w:rsid w:val="00927322"/>
    <w:rsid w:val="00927C7D"/>
    <w:rsid w:val="00931031"/>
    <w:rsid w:val="00933847"/>
    <w:rsid w:val="0093672C"/>
    <w:rsid w:val="009375F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0DE6"/>
    <w:rsid w:val="00991FA3"/>
    <w:rsid w:val="00992B71"/>
    <w:rsid w:val="00993007"/>
    <w:rsid w:val="0099657A"/>
    <w:rsid w:val="00996930"/>
    <w:rsid w:val="00996DA8"/>
    <w:rsid w:val="009A17EB"/>
    <w:rsid w:val="009A261A"/>
    <w:rsid w:val="009A38FC"/>
    <w:rsid w:val="009B0B41"/>
    <w:rsid w:val="009B1E9C"/>
    <w:rsid w:val="009B4B72"/>
    <w:rsid w:val="009C0E9D"/>
    <w:rsid w:val="009C1417"/>
    <w:rsid w:val="009C1C05"/>
    <w:rsid w:val="009C20EF"/>
    <w:rsid w:val="009C2688"/>
    <w:rsid w:val="009C294B"/>
    <w:rsid w:val="009C4C88"/>
    <w:rsid w:val="009C5D1D"/>
    <w:rsid w:val="009C609B"/>
    <w:rsid w:val="009D2245"/>
    <w:rsid w:val="009D2C4A"/>
    <w:rsid w:val="009D39B4"/>
    <w:rsid w:val="009D555A"/>
    <w:rsid w:val="009D634F"/>
    <w:rsid w:val="009E28B2"/>
    <w:rsid w:val="009E2967"/>
    <w:rsid w:val="009E324D"/>
    <w:rsid w:val="009E5E61"/>
    <w:rsid w:val="009E6C20"/>
    <w:rsid w:val="009F04E7"/>
    <w:rsid w:val="009F0EA3"/>
    <w:rsid w:val="009F20D8"/>
    <w:rsid w:val="009F239C"/>
    <w:rsid w:val="009F401A"/>
    <w:rsid w:val="009F51B5"/>
    <w:rsid w:val="009F6BA2"/>
    <w:rsid w:val="00A00562"/>
    <w:rsid w:val="00A0063C"/>
    <w:rsid w:val="00A01F84"/>
    <w:rsid w:val="00A11115"/>
    <w:rsid w:val="00A119AE"/>
    <w:rsid w:val="00A14A99"/>
    <w:rsid w:val="00A20D86"/>
    <w:rsid w:val="00A214BB"/>
    <w:rsid w:val="00A21F7F"/>
    <w:rsid w:val="00A237A7"/>
    <w:rsid w:val="00A24CDC"/>
    <w:rsid w:val="00A25698"/>
    <w:rsid w:val="00A3006C"/>
    <w:rsid w:val="00A306A5"/>
    <w:rsid w:val="00A338C2"/>
    <w:rsid w:val="00A347F4"/>
    <w:rsid w:val="00A3486C"/>
    <w:rsid w:val="00A35404"/>
    <w:rsid w:val="00A43533"/>
    <w:rsid w:val="00A44B65"/>
    <w:rsid w:val="00A45C2B"/>
    <w:rsid w:val="00A4715D"/>
    <w:rsid w:val="00A50F34"/>
    <w:rsid w:val="00A52773"/>
    <w:rsid w:val="00A5459F"/>
    <w:rsid w:val="00A55045"/>
    <w:rsid w:val="00A61A20"/>
    <w:rsid w:val="00A62490"/>
    <w:rsid w:val="00A629FF"/>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23BB"/>
    <w:rsid w:val="00AA557A"/>
    <w:rsid w:val="00AA65D8"/>
    <w:rsid w:val="00AB083C"/>
    <w:rsid w:val="00AB36AF"/>
    <w:rsid w:val="00AB55A2"/>
    <w:rsid w:val="00AB671C"/>
    <w:rsid w:val="00AC1157"/>
    <w:rsid w:val="00AC2E86"/>
    <w:rsid w:val="00AC4C2A"/>
    <w:rsid w:val="00AC66EE"/>
    <w:rsid w:val="00AC765F"/>
    <w:rsid w:val="00AC7F65"/>
    <w:rsid w:val="00AD082C"/>
    <w:rsid w:val="00AD0C61"/>
    <w:rsid w:val="00AD19FD"/>
    <w:rsid w:val="00AD2FBA"/>
    <w:rsid w:val="00AD39FE"/>
    <w:rsid w:val="00AD69A4"/>
    <w:rsid w:val="00AE06EB"/>
    <w:rsid w:val="00AE3CC6"/>
    <w:rsid w:val="00AE3D27"/>
    <w:rsid w:val="00AE4BC4"/>
    <w:rsid w:val="00AE5AC6"/>
    <w:rsid w:val="00AE73E2"/>
    <w:rsid w:val="00AE75CE"/>
    <w:rsid w:val="00AE781F"/>
    <w:rsid w:val="00AF271E"/>
    <w:rsid w:val="00AF2BFB"/>
    <w:rsid w:val="00AF4C62"/>
    <w:rsid w:val="00AF5F75"/>
    <w:rsid w:val="00AF76B0"/>
    <w:rsid w:val="00B00473"/>
    <w:rsid w:val="00B00851"/>
    <w:rsid w:val="00B03881"/>
    <w:rsid w:val="00B0528C"/>
    <w:rsid w:val="00B05C03"/>
    <w:rsid w:val="00B100F3"/>
    <w:rsid w:val="00B12AFE"/>
    <w:rsid w:val="00B134B5"/>
    <w:rsid w:val="00B203F0"/>
    <w:rsid w:val="00B2139B"/>
    <w:rsid w:val="00B22795"/>
    <w:rsid w:val="00B24F36"/>
    <w:rsid w:val="00B301AD"/>
    <w:rsid w:val="00B3060A"/>
    <w:rsid w:val="00B3093A"/>
    <w:rsid w:val="00B309ED"/>
    <w:rsid w:val="00B34FDF"/>
    <w:rsid w:val="00B368D2"/>
    <w:rsid w:val="00B37704"/>
    <w:rsid w:val="00B405E5"/>
    <w:rsid w:val="00B41C68"/>
    <w:rsid w:val="00B472AD"/>
    <w:rsid w:val="00B47751"/>
    <w:rsid w:val="00B50D9D"/>
    <w:rsid w:val="00B5116E"/>
    <w:rsid w:val="00B52890"/>
    <w:rsid w:val="00B52A12"/>
    <w:rsid w:val="00B557D4"/>
    <w:rsid w:val="00B64E41"/>
    <w:rsid w:val="00B65495"/>
    <w:rsid w:val="00B656B2"/>
    <w:rsid w:val="00B6753D"/>
    <w:rsid w:val="00B7429E"/>
    <w:rsid w:val="00B80B6C"/>
    <w:rsid w:val="00B82862"/>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A65BC"/>
    <w:rsid w:val="00BB26C1"/>
    <w:rsid w:val="00BB44D9"/>
    <w:rsid w:val="00BC06F3"/>
    <w:rsid w:val="00BC0E92"/>
    <w:rsid w:val="00BC36BD"/>
    <w:rsid w:val="00BC3A69"/>
    <w:rsid w:val="00BC6CEB"/>
    <w:rsid w:val="00BD10E4"/>
    <w:rsid w:val="00BD19EB"/>
    <w:rsid w:val="00BD2427"/>
    <w:rsid w:val="00BD2C77"/>
    <w:rsid w:val="00BD371F"/>
    <w:rsid w:val="00BD5057"/>
    <w:rsid w:val="00BD662F"/>
    <w:rsid w:val="00BD686F"/>
    <w:rsid w:val="00BE158B"/>
    <w:rsid w:val="00BE1736"/>
    <w:rsid w:val="00BE17C5"/>
    <w:rsid w:val="00BF057C"/>
    <w:rsid w:val="00BF1C1E"/>
    <w:rsid w:val="00BF3E00"/>
    <w:rsid w:val="00BF464E"/>
    <w:rsid w:val="00BF79D8"/>
    <w:rsid w:val="00C0167A"/>
    <w:rsid w:val="00C016A5"/>
    <w:rsid w:val="00C02F8C"/>
    <w:rsid w:val="00C042F8"/>
    <w:rsid w:val="00C044C4"/>
    <w:rsid w:val="00C05921"/>
    <w:rsid w:val="00C077B6"/>
    <w:rsid w:val="00C114C2"/>
    <w:rsid w:val="00C123C1"/>
    <w:rsid w:val="00C13641"/>
    <w:rsid w:val="00C136A8"/>
    <w:rsid w:val="00C136F6"/>
    <w:rsid w:val="00C13C9F"/>
    <w:rsid w:val="00C13DFB"/>
    <w:rsid w:val="00C14B5B"/>
    <w:rsid w:val="00C228A1"/>
    <w:rsid w:val="00C24826"/>
    <w:rsid w:val="00C278A2"/>
    <w:rsid w:val="00C30957"/>
    <w:rsid w:val="00C3152F"/>
    <w:rsid w:val="00C32A64"/>
    <w:rsid w:val="00C43D51"/>
    <w:rsid w:val="00C44A63"/>
    <w:rsid w:val="00C450C3"/>
    <w:rsid w:val="00C45D1F"/>
    <w:rsid w:val="00C45DB1"/>
    <w:rsid w:val="00C46759"/>
    <w:rsid w:val="00C46C16"/>
    <w:rsid w:val="00C46D54"/>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77F97"/>
    <w:rsid w:val="00C80C6E"/>
    <w:rsid w:val="00C81896"/>
    <w:rsid w:val="00C84D97"/>
    <w:rsid w:val="00C85B97"/>
    <w:rsid w:val="00C85E88"/>
    <w:rsid w:val="00C8733D"/>
    <w:rsid w:val="00C9288A"/>
    <w:rsid w:val="00C945C0"/>
    <w:rsid w:val="00C9480C"/>
    <w:rsid w:val="00CA2743"/>
    <w:rsid w:val="00CA276D"/>
    <w:rsid w:val="00CA4447"/>
    <w:rsid w:val="00CA47E4"/>
    <w:rsid w:val="00CB3859"/>
    <w:rsid w:val="00CB66BF"/>
    <w:rsid w:val="00CB7E36"/>
    <w:rsid w:val="00CB7F4A"/>
    <w:rsid w:val="00CC159C"/>
    <w:rsid w:val="00CC2276"/>
    <w:rsid w:val="00CC2C87"/>
    <w:rsid w:val="00CC38F5"/>
    <w:rsid w:val="00CC497A"/>
    <w:rsid w:val="00CC552E"/>
    <w:rsid w:val="00CC5E98"/>
    <w:rsid w:val="00CC6468"/>
    <w:rsid w:val="00CC693E"/>
    <w:rsid w:val="00CC6AC0"/>
    <w:rsid w:val="00CD374B"/>
    <w:rsid w:val="00CD5117"/>
    <w:rsid w:val="00CD7399"/>
    <w:rsid w:val="00CE02EA"/>
    <w:rsid w:val="00CE0CC4"/>
    <w:rsid w:val="00CE3F1E"/>
    <w:rsid w:val="00CE4522"/>
    <w:rsid w:val="00CE5435"/>
    <w:rsid w:val="00CE5B19"/>
    <w:rsid w:val="00CE6FF6"/>
    <w:rsid w:val="00CE7B60"/>
    <w:rsid w:val="00CE7D68"/>
    <w:rsid w:val="00CF2FAE"/>
    <w:rsid w:val="00CF3E43"/>
    <w:rsid w:val="00CF49AF"/>
    <w:rsid w:val="00CF4DEC"/>
    <w:rsid w:val="00CF5127"/>
    <w:rsid w:val="00D00A3B"/>
    <w:rsid w:val="00D026E0"/>
    <w:rsid w:val="00D03811"/>
    <w:rsid w:val="00D047F1"/>
    <w:rsid w:val="00D04C12"/>
    <w:rsid w:val="00D07159"/>
    <w:rsid w:val="00D07279"/>
    <w:rsid w:val="00D07701"/>
    <w:rsid w:val="00D07B1A"/>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14F3"/>
    <w:rsid w:val="00D5220F"/>
    <w:rsid w:val="00D530C6"/>
    <w:rsid w:val="00D53C66"/>
    <w:rsid w:val="00D54E63"/>
    <w:rsid w:val="00D556D5"/>
    <w:rsid w:val="00D575C0"/>
    <w:rsid w:val="00D57E83"/>
    <w:rsid w:val="00D60204"/>
    <w:rsid w:val="00D60B36"/>
    <w:rsid w:val="00D62600"/>
    <w:rsid w:val="00D65246"/>
    <w:rsid w:val="00D65267"/>
    <w:rsid w:val="00D6680B"/>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B6766"/>
    <w:rsid w:val="00DC2B63"/>
    <w:rsid w:val="00DC5130"/>
    <w:rsid w:val="00DC55ED"/>
    <w:rsid w:val="00DC6658"/>
    <w:rsid w:val="00DD10DE"/>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465"/>
    <w:rsid w:val="00E1065D"/>
    <w:rsid w:val="00E10D34"/>
    <w:rsid w:val="00E113CA"/>
    <w:rsid w:val="00E14C64"/>
    <w:rsid w:val="00E154BD"/>
    <w:rsid w:val="00E15D2B"/>
    <w:rsid w:val="00E17EC1"/>
    <w:rsid w:val="00E20040"/>
    <w:rsid w:val="00E2034A"/>
    <w:rsid w:val="00E24310"/>
    <w:rsid w:val="00E24B1A"/>
    <w:rsid w:val="00E251B7"/>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0132"/>
    <w:rsid w:val="00E6235A"/>
    <w:rsid w:val="00E6241E"/>
    <w:rsid w:val="00E62EC3"/>
    <w:rsid w:val="00E63AE0"/>
    <w:rsid w:val="00E66AE3"/>
    <w:rsid w:val="00E70B26"/>
    <w:rsid w:val="00E718CE"/>
    <w:rsid w:val="00E742BB"/>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1DD"/>
    <w:rsid w:val="00EB7E5B"/>
    <w:rsid w:val="00EC1C3F"/>
    <w:rsid w:val="00EC3DA2"/>
    <w:rsid w:val="00EC4C23"/>
    <w:rsid w:val="00EC5286"/>
    <w:rsid w:val="00EC6810"/>
    <w:rsid w:val="00ED02FD"/>
    <w:rsid w:val="00ED100C"/>
    <w:rsid w:val="00ED1060"/>
    <w:rsid w:val="00ED1D40"/>
    <w:rsid w:val="00ED32EF"/>
    <w:rsid w:val="00ED4F67"/>
    <w:rsid w:val="00ED684A"/>
    <w:rsid w:val="00ED6DA6"/>
    <w:rsid w:val="00EE10BF"/>
    <w:rsid w:val="00EE1103"/>
    <w:rsid w:val="00EE5785"/>
    <w:rsid w:val="00EE7EAE"/>
    <w:rsid w:val="00EF0A86"/>
    <w:rsid w:val="00EF27FC"/>
    <w:rsid w:val="00EF2BE6"/>
    <w:rsid w:val="00EF384D"/>
    <w:rsid w:val="00EF3C3B"/>
    <w:rsid w:val="00EF3EAD"/>
    <w:rsid w:val="00F008FD"/>
    <w:rsid w:val="00F066D7"/>
    <w:rsid w:val="00F075A8"/>
    <w:rsid w:val="00F1018D"/>
    <w:rsid w:val="00F1250E"/>
    <w:rsid w:val="00F14666"/>
    <w:rsid w:val="00F14EB5"/>
    <w:rsid w:val="00F1667C"/>
    <w:rsid w:val="00F200D1"/>
    <w:rsid w:val="00F212A4"/>
    <w:rsid w:val="00F233AA"/>
    <w:rsid w:val="00F23969"/>
    <w:rsid w:val="00F25CB0"/>
    <w:rsid w:val="00F30B95"/>
    <w:rsid w:val="00F33B85"/>
    <w:rsid w:val="00F33DBF"/>
    <w:rsid w:val="00F35C06"/>
    <w:rsid w:val="00F43086"/>
    <w:rsid w:val="00F435D2"/>
    <w:rsid w:val="00F43B6B"/>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161"/>
    <w:rsid w:val="00F8254D"/>
    <w:rsid w:val="00F833C7"/>
    <w:rsid w:val="00F83F35"/>
    <w:rsid w:val="00F84B6C"/>
    <w:rsid w:val="00F85543"/>
    <w:rsid w:val="00F86739"/>
    <w:rsid w:val="00F907A5"/>
    <w:rsid w:val="00F9185E"/>
    <w:rsid w:val="00F93B39"/>
    <w:rsid w:val="00F95837"/>
    <w:rsid w:val="00F97FF5"/>
    <w:rsid w:val="00FA0340"/>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4779"/>
    <w:rsid w:val="00FD7A49"/>
    <w:rsid w:val="00FD7F01"/>
    <w:rsid w:val="00FE1A19"/>
    <w:rsid w:val="00FE3A30"/>
    <w:rsid w:val="00FE3BEE"/>
    <w:rsid w:val="00FE645E"/>
    <w:rsid w:val="00FF0238"/>
    <w:rsid w:val="00FF0452"/>
    <w:rsid w:val="00FF20B3"/>
    <w:rsid w:val="00FF23D8"/>
    <w:rsid w:val="00FF2DC2"/>
    <w:rsid w:val="00FF3589"/>
    <w:rsid w:val="01530391"/>
    <w:rsid w:val="015E5407"/>
    <w:rsid w:val="015E7C7F"/>
    <w:rsid w:val="016A0791"/>
    <w:rsid w:val="016B281D"/>
    <w:rsid w:val="016C1D1F"/>
    <w:rsid w:val="017922D3"/>
    <w:rsid w:val="01F10C3B"/>
    <w:rsid w:val="0217190F"/>
    <w:rsid w:val="022B1BDC"/>
    <w:rsid w:val="025A6FB4"/>
    <w:rsid w:val="02C8492C"/>
    <w:rsid w:val="03260300"/>
    <w:rsid w:val="044253C7"/>
    <w:rsid w:val="046D644F"/>
    <w:rsid w:val="052E61C8"/>
    <w:rsid w:val="05C34514"/>
    <w:rsid w:val="0611352E"/>
    <w:rsid w:val="0659649F"/>
    <w:rsid w:val="065F3760"/>
    <w:rsid w:val="06E75A48"/>
    <w:rsid w:val="06F21464"/>
    <w:rsid w:val="07351BC0"/>
    <w:rsid w:val="078867E3"/>
    <w:rsid w:val="08277D2A"/>
    <w:rsid w:val="0883100C"/>
    <w:rsid w:val="09400ADC"/>
    <w:rsid w:val="094967DB"/>
    <w:rsid w:val="0AB53C5C"/>
    <w:rsid w:val="0B1E6F92"/>
    <w:rsid w:val="0B874E51"/>
    <w:rsid w:val="0B8D50DB"/>
    <w:rsid w:val="0B9A7140"/>
    <w:rsid w:val="0C2E0580"/>
    <w:rsid w:val="0C384B50"/>
    <w:rsid w:val="0C746AFD"/>
    <w:rsid w:val="0C8900E9"/>
    <w:rsid w:val="0D154B39"/>
    <w:rsid w:val="0D435A86"/>
    <w:rsid w:val="0DB373B0"/>
    <w:rsid w:val="0E841009"/>
    <w:rsid w:val="0E8D2170"/>
    <w:rsid w:val="0EB052EF"/>
    <w:rsid w:val="0EF0292E"/>
    <w:rsid w:val="0EF27047"/>
    <w:rsid w:val="0F4E6CF0"/>
    <w:rsid w:val="0F6F72B2"/>
    <w:rsid w:val="0FD152C5"/>
    <w:rsid w:val="10582016"/>
    <w:rsid w:val="106C779F"/>
    <w:rsid w:val="10FE2C1F"/>
    <w:rsid w:val="12342711"/>
    <w:rsid w:val="124F2E58"/>
    <w:rsid w:val="13C87D2A"/>
    <w:rsid w:val="141A35BB"/>
    <w:rsid w:val="144E506F"/>
    <w:rsid w:val="158113EE"/>
    <w:rsid w:val="15F0229C"/>
    <w:rsid w:val="15F9198D"/>
    <w:rsid w:val="162F5E4D"/>
    <w:rsid w:val="16362668"/>
    <w:rsid w:val="16441AC5"/>
    <w:rsid w:val="168925A2"/>
    <w:rsid w:val="16AE2B9E"/>
    <w:rsid w:val="18172D39"/>
    <w:rsid w:val="1888023E"/>
    <w:rsid w:val="18952369"/>
    <w:rsid w:val="18AA2C30"/>
    <w:rsid w:val="194D3966"/>
    <w:rsid w:val="19685BE0"/>
    <w:rsid w:val="19A01CDC"/>
    <w:rsid w:val="19E632CC"/>
    <w:rsid w:val="19EE3E86"/>
    <w:rsid w:val="1A00300F"/>
    <w:rsid w:val="1A542705"/>
    <w:rsid w:val="1A5A27AD"/>
    <w:rsid w:val="1B0F26D0"/>
    <w:rsid w:val="1CA26936"/>
    <w:rsid w:val="1CDF1844"/>
    <w:rsid w:val="1D0E23A0"/>
    <w:rsid w:val="1D1213D2"/>
    <w:rsid w:val="1D2C5876"/>
    <w:rsid w:val="1D73580C"/>
    <w:rsid w:val="1EE764E6"/>
    <w:rsid w:val="1F0D48FC"/>
    <w:rsid w:val="1F2B21F1"/>
    <w:rsid w:val="1F2D6A9C"/>
    <w:rsid w:val="1F8B1378"/>
    <w:rsid w:val="1FBA648C"/>
    <w:rsid w:val="1FD07C46"/>
    <w:rsid w:val="214C531C"/>
    <w:rsid w:val="21652F14"/>
    <w:rsid w:val="21BC7F1B"/>
    <w:rsid w:val="21D34434"/>
    <w:rsid w:val="2206387A"/>
    <w:rsid w:val="22D37791"/>
    <w:rsid w:val="22E46F2F"/>
    <w:rsid w:val="22EB5AB9"/>
    <w:rsid w:val="23396436"/>
    <w:rsid w:val="23571876"/>
    <w:rsid w:val="236C373B"/>
    <w:rsid w:val="237D4EB1"/>
    <w:rsid w:val="23A816ED"/>
    <w:rsid w:val="23F72B70"/>
    <w:rsid w:val="24264B11"/>
    <w:rsid w:val="24FE265F"/>
    <w:rsid w:val="252A7EE8"/>
    <w:rsid w:val="25564CC3"/>
    <w:rsid w:val="25636B6B"/>
    <w:rsid w:val="25A4000D"/>
    <w:rsid w:val="25A4553E"/>
    <w:rsid w:val="25C37987"/>
    <w:rsid w:val="26384A4C"/>
    <w:rsid w:val="26BD7B07"/>
    <w:rsid w:val="270441C1"/>
    <w:rsid w:val="27985978"/>
    <w:rsid w:val="27C30286"/>
    <w:rsid w:val="27D4599A"/>
    <w:rsid w:val="27F10BFD"/>
    <w:rsid w:val="27FE053A"/>
    <w:rsid w:val="28246879"/>
    <w:rsid w:val="285F49DA"/>
    <w:rsid w:val="28FF64D7"/>
    <w:rsid w:val="290B1D60"/>
    <w:rsid w:val="29697C95"/>
    <w:rsid w:val="29AD4E31"/>
    <w:rsid w:val="2A126D7C"/>
    <w:rsid w:val="2A57646C"/>
    <w:rsid w:val="2A6C6E62"/>
    <w:rsid w:val="2AD30F1F"/>
    <w:rsid w:val="2B0E57DE"/>
    <w:rsid w:val="2B1827EA"/>
    <w:rsid w:val="2B37333E"/>
    <w:rsid w:val="2B392BD9"/>
    <w:rsid w:val="2B4474F0"/>
    <w:rsid w:val="2B6925D3"/>
    <w:rsid w:val="2BA8111D"/>
    <w:rsid w:val="2C155F99"/>
    <w:rsid w:val="2C646A3F"/>
    <w:rsid w:val="2CA152A5"/>
    <w:rsid w:val="2CA424AF"/>
    <w:rsid w:val="2CE369E9"/>
    <w:rsid w:val="2CEC34A4"/>
    <w:rsid w:val="2D4D195C"/>
    <w:rsid w:val="2EFE6AC6"/>
    <w:rsid w:val="2F044C01"/>
    <w:rsid w:val="2F2A64E1"/>
    <w:rsid w:val="2F2D0B67"/>
    <w:rsid w:val="2F51371A"/>
    <w:rsid w:val="2F7979DF"/>
    <w:rsid w:val="301A52B0"/>
    <w:rsid w:val="304621CC"/>
    <w:rsid w:val="30782B12"/>
    <w:rsid w:val="30A4044C"/>
    <w:rsid w:val="30F77A47"/>
    <w:rsid w:val="31724B48"/>
    <w:rsid w:val="31B0147C"/>
    <w:rsid w:val="31BF461E"/>
    <w:rsid w:val="31D05C8E"/>
    <w:rsid w:val="31DE4FC4"/>
    <w:rsid w:val="320C2BF7"/>
    <w:rsid w:val="32E528BA"/>
    <w:rsid w:val="33615B78"/>
    <w:rsid w:val="336D5015"/>
    <w:rsid w:val="339B4D1D"/>
    <w:rsid w:val="34CA5FEB"/>
    <w:rsid w:val="350B03BB"/>
    <w:rsid w:val="351870D9"/>
    <w:rsid w:val="35312AE1"/>
    <w:rsid w:val="36E41B01"/>
    <w:rsid w:val="370234E8"/>
    <w:rsid w:val="371F7B4F"/>
    <w:rsid w:val="3761178E"/>
    <w:rsid w:val="37B65C23"/>
    <w:rsid w:val="38C153AA"/>
    <w:rsid w:val="39000068"/>
    <w:rsid w:val="39402C6A"/>
    <w:rsid w:val="3A515CCE"/>
    <w:rsid w:val="3AC12620"/>
    <w:rsid w:val="3B643CED"/>
    <w:rsid w:val="3B8D106C"/>
    <w:rsid w:val="3BCC7085"/>
    <w:rsid w:val="3BE647B9"/>
    <w:rsid w:val="3BE72EB7"/>
    <w:rsid w:val="3C057FB6"/>
    <w:rsid w:val="3CB42E76"/>
    <w:rsid w:val="3D8A2798"/>
    <w:rsid w:val="3DB54DD9"/>
    <w:rsid w:val="3E6737B6"/>
    <w:rsid w:val="3E8B0789"/>
    <w:rsid w:val="3F0E559C"/>
    <w:rsid w:val="3FA7090B"/>
    <w:rsid w:val="400C274D"/>
    <w:rsid w:val="40140438"/>
    <w:rsid w:val="402B4CD2"/>
    <w:rsid w:val="409657CA"/>
    <w:rsid w:val="409C2A4E"/>
    <w:rsid w:val="40EE6BE5"/>
    <w:rsid w:val="41B831C8"/>
    <w:rsid w:val="41C844A1"/>
    <w:rsid w:val="41EA3C48"/>
    <w:rsid w:val="4211708D"/>
    <w:rsid w:val="427B2BCF"/>
    <w:rsid w:val="42A86D34"/>
    <w:rsid w:val="43A54E67"/>
    <w:rsid w:val="43B90F04"/>
    <w:rsid w:val="44956EDF"/>
    <w:rsid w:val="453A3AF7"/>
    <w:rsid w:val="4541787F"/>
    <w:rsid w:val="45DB2942"/>
    <w:rsid w:val="46116C7C"/>
    <w:rsid w:val="461A04EA"/>
    <w:rsid w:val="46344980"/>
    <w:rsid w:val="4634511C"/>
    <w:rsid w:val="46415EDC"/>
    <w:rsid w:val="470E6D2F"/>
    <w:rsid w:val="471449F7"/>
    <w:rsid w:val="47390AF0"/>
    <w:rsid w:val="47B66506"/>
    <w:rsid w:val="47BF6440"/>
    <w:rsid w:val="480C1B69"/>
    <w:rsid w:val="48164C67"/>
    <w:rsid w:val="48456235"/>
    <w:rsid w:val="48944A68"/>
    <w:rsid w:val="4A190936"/>
    <w:rsid w:val="4A534D14"/>
    <w:rsid w:val="4A7D4EAD"/>
    <w:rsid w:val="4AA764E5"/>
    <w:rsid w:val="4AB52ADA"/>
    <w:rsid w:val="4AB81165"/>
    <w:rsid w:val="4B1137D1"/>
    <w:rsid w:val="4BB711DB"/>
    <w:rsid w:val="4C486859"/>
    <w:rsid w:val="4C4A587B"/>
    <w:rsid w:val="4C81736F"/>
    <w:rsid w:val="4DD54B3C"/>
    <w:rsid w:val="4DF818DB"/>
    <w:rsid w:val="4F9710BE"/>
    <w:rsid w:val="4FDB381B"/>
    <w:rsid w:val="503903EC"/>
    <w:rsid w:val="506771C5"/>
    <w:rsid w:val="50CE1E9C"/>
    <w:rsid w:val="50D90018"/>
    <w:rsid w:val="5129538E"/>
    <w:rsid w:val="51486421"/>
    <w:rsid w:val="515E0CC2"/>
    <w:rsid w:val="518F43FA"/>
    <w:rsid w:val="521164FF"/>
    <w:rsid w:val="522279DC"/>
    <w:rsid w:val="52DB4573"/>
    <w:rsid w:val="53107B89"/>
    <w:rsid w:val="532055E7"/>
    <w:rsid w:val="532062C3"/>
    <w:rsid w:val="53C8361D"/>
    <w:rsid w:val="53E716DD"/>
    <w:rsid w:val="547140A0"/>
    <w:rsid w:val="54A311C4"/>
    <w:rsid w:val="54CF3AD1"/>
    <w:rsid w:val="54D04CDA"/>
    <w:rsid w:val="55207924"/>
    <w:rsid w:val="55D531A1"/>
    <w:rsid w:val="56287305"/>
    <w:rsid w:val="56344925"/>
    <w:rsid w:val="56E167E1"/>
    <w:rsid w:val="57814FA2"/>
    <w:rsid w:val="57892C7F"/>
    <w:rsid w:val="579F624B"/>
    <w:rsid w:val="57B852D2"/>
    <w:rsid w:val="58A01EF7"/>
    <w:rsid w:val="595326AE"/>
    <w:rsid w:val="595B5672"/>
    <w:rsid w:val="595D418A"/>
    <w:rsid w:val="5A067F0D"/>
    <w:rsid w:val="5A146BAD"/>
    <w:rsid w:val="5A94304A"/>
    <w:rsid w:val="5A9C6CED"/>
    <w:rsid w:val="5ACD2F89"/>
    <w:rsid w:val="5AF92F8F"/>
    <w:rsid w:val="5C050529"/>
    <w:rsid w:val="5C38288B"/>
    <w:rsid w:val="5C4B6554"/>
    <w:rsid w:val="5C863097"/>
    <w:rsid w:val="5CA85943"/>
    <w:rsid w:val="5D240BC6"/>
    <w:rsid w:val="5DBA5568"/>
    <w:rsid w:val="5DCE1D4E"/>
    <w:rsid w:val="5E605775"/>
    <w:rsid w:val="5E626183"/>
    <w:rsid w:val="5EAD6F02"/>
    <w:rsid w:val="5F1E3804"/>
    <w:rsid w:val="5F2710AC"/>
    <w:rsid w:val="5FDE1DA3"/>
    <w:rsid w:val="60057C1C"/>
    <w:rsid w:val="605937E9"/>
    <w:rsid w:val="60597830"/>
    <w:rsid w:val="60BC7332"/>
    <w:rsid w:val="60FB46D7"/>
    <w:rsid w:val="61645D15"/>
    <w:rsid w:val="62955D61"/>
    <w:rsid w:val="62D81687"/>
    <w:rsid w:val="6305658B"/>
    <w:rsid w:val="634D6118"/>
    <w:rsid w:val="63914A7B"/>
    <w:rsid w:val="63A03689"/>
    <w:rsid w:val="63AE4E9D"/>
    <w:rsid w:val="63D83F1F"/>
    <w:rsid w:val="63EA056D"/>
    <w:rsid w:val="63FD43C0"/>
    <w:rsid w:val="64300170"/>
    <w:rsid w:val="64824ED9"/>
    <w:rsid w:val="64FF5233"/>
    <w:rsid w:val="65436320"/>
    <w:rsid w:val="65592770"/>
    <w:rsid w:val="655C4431"/>
    <w:rsid w:val="65AC1D23"/>
    <w:rsid w:val="66381321"/>
    <w:rsid w:val="664E14A8"/>
    <w:rsid w:val="66676B28"/>
    <w:rsid w:val="66CE715A"/>
    <w:rsid w:val="671456E8"/>
    <w:rsid w:val="671B708A"/>
    <w:rsid w:val="672E483D"/>
    <w:rsid w:val="677A15F0"/>
    <w:rsid w:val="67C439D9"/>
    <w:rsid w:val="684A100D"/>
    <w:rsid w:val="68A647C0"/>
    <w:rsid w:val="68EF0851"/>
    <w:rsid w:val="692A41B3"/>
    <w:rsid w:val="6A6C6E11"/>
    <w:rsid w:val="6AD7234F"/>
    <w:rsid w:val="6AED484C"/>
    <w:rsid w:val="6B256D10"/>
    <w:rsid w:val="6B2931F4"/>
    <w:rsid w:val="6B371D55"/>
    <w:rsid w:val="6B4D4BDE"/>
    <w:rsid w:val="6B72112F"/>
    <w:rsid w:val="6B764870"/>
    <w:rsid w:val="6B9F1DED"/>
    <w:rsid w:val="6BE50F57"/>
    <w:rsid w:val="6BEE543F"/>
    <w:rsid w:val="6BF71767"/>
    <w:rsid w:val="6D981992"/>
    <w:rsid w:val="6E38518E"/>
    <w:rsid w:val="6E571992"/>
    <w:rsid w:val="6E953A27"/>
    <w:rsid w:val="6F3518C8"/>
    <w:rsid w:val="6F55124C"/>
    <w:rsid w:val="6FA341CE"/>
    <w:rsid w:val="6FBB1C1E"/>
    <w:rsid w:val="706B6C80"/>
    <w:rsid w:val="7085237B"/>
    <w:rsid w:val="70A23FC8"/>
    <w:rsid w:val="70D271DB"/>
    <w:rsid w:val="70F877A5"/>
    <w:rsid w:val="71C25240"/>
    <w:rsid w:val="72AD436F"/>
    <w:rsid w:val="73430AE6"/>
    <w:rsid w:val="7457430D"/>
    <w:rsid w:val="74B43990"/>
    <w:rsid w:val="752D4671"/>
    <w:rsid w:val="757670B2"/>
    <w:rsid w:val="75D4302F"/>
    <w:rsid w:val="75DF3A0D"/>
    <w:rsid w:val="760B02B2"/>
    <w:rsid w:val="773879DF"/>
    <w:rsid w:val="77EB3AC8"/>
    <w:rsid w:val="785E0ACB"/>
    <w:rsid w:val="78A021DD"/>
    <w:rsid w:val="78B237CB"/>
    <w:rsid w:val="78B647E8"/>
    <w:rsid w:val="78BF76F8"/>
    <w:rsid w:val="79227145"/>
    <w:rsid w:val="798A1EDC"/>
    <w:rsid w:val="799469FD"/>
    <w:rsid w:val="7A672B47"/>
    <w:rsid w:val="7AEA2AFF"/>
    <w:rsid w:val="7C072769"/>
    <w:rsid w:val="7C233FC2"/>
    <w:rsid w:val="7C7E5277"/>
    <w:rsid w:val="7CC3305A"/>
    <w:rsid w:val="7D222708"/>
    <w:rsid w:val="7D3711DF"/>
    <w:rsid w:val="7DF574E2"/>
    <w:rsid w:val="7E474E38"/>
    <w:rsid w:val="7EE55FE7"/>
    <w:rsid w:val="7EF526E2"/>
    <w:rsid w:val="7F255047"/>
    <w:rsid w:val="7FBC6D24"/>
    <w:rsid w:val="7FD35E95"/>
    <w:rsid w:val="7FE6164E"/>
    <w:rsid w:val="7FE67608"/>
    <w:rsid w:val="7FE97C72"/>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9"/>
    <w:qFormat/>
    <w:uiPriority w:val="0"/>
    <w:rPr>
      <w:rFonts w:ascii="宋体"/>
      <w:sz w:val="18"/>
      <w:szCs w:val="18"/>
    </w:rPr>
  </w:style>
  <w:style w:type="paragraph" w:styleId="12">
    <w:name w:val="annotation text"/>
    <w:basedOn w:val="1"/>
    <w:link w:val="40"/>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next w:val="15"/>
    <w:link w:val="60"/>
    <w:semiHidden/>
    <w:unhideWhenUsed/>
    <w:qFormat/>
    <w:uiPriority w:val="0"/>
    <w:pPr>
      <w:spacing w:after="120"/>
    </w:pPr>
  </w:style>
  <w:style w:type="paragraph" w:styleId="15">
    <w:name w:val="Body Text 2"/>
    <w:basedOn w:val="1"/>
    <w:unhideWhenUsed/>
    <w:qFormat/>
    <w:uiPriority w:val="99"/>
    <w:pPr>
      <w:spacing w:after="120" w:line="480" w:lineRule="auto"/>
    </w:pPr>
  </w:style>
  <w:style w:type="paragraph" w:styleId="16">
    <w:name w:val="Plain Text"/>
    <w:basedOn w:val="1"/>
    <w:link w:val="58"/>
    <w:qFormat/>
    <w:uiPriority w:val="0"/>
    <w:rPr>
      <w:rFonts w:ascii="宋体" w:hAnsi="Courier New" w:cs="Courier New"/>
      <w:szCs w:val="21"/>
    </w:rPr>
  </w:style>
  <w:style w:type="paragraph" w:styleId="17">
    <w:name w:val="Body Text Indent 2"/>
    <w:basedOn w:val="1"/>
    <w:qFormat/>
    <w:uiPriority w:val="0"/>
    <w:pPr>
      <w:adjustRightInd w:val="0"/>
      <w:spacing w:after="120" w:line="480" w:lineRule="auto"/>
      <w:ind w:left="420"/>
      <w:textAlignment w:val="baseline"/>
    </w:pPr>
    <w:rPr>
      <w:kern w:val="0"/>
      <w:szCs w:val="20"/>
    </w:rPr>
  </w:style>
  <w:style w:type="paragraph" w:styleId="18">
    <w:name w:val="Balloon Text"/>
    <w:basedOn w:val="1"/>
    <w:link w:val="36"/>
    <w:qFormat/>
    <w:uiPriority w:val="0"/>
    <w:rPr>
      <w:sz w:val="18"/>
      <w:szCs w:val="18"/>
    </w:rPr>
  </w:style>
  <w:style w:type="paragraph" w:styleId="19">
    <w:name w:val="footer"/>
    <w:basedOn w:val="1"/>
    <w:link w:val="65"/>
    <w:qFormat/>
    <w:uiPriority w:val="99"/>
    <w:pPr>
      <w:tabs>
        <w:tab w:val="center" w:pos="4153"/>
        <w:tab w:val="right" w:pos="8306"/>
      </w:tabs>
      <w:snapToGrid w:val="0"/>
      <w:jc w:val="left"/>
    </w:pPr>
    <w:rPr>
      <w:sz w:val="18"/>
    </w:rPr>
  </w:style>
  <w:style w:type="paragraph" w:styleId="20">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style>
  <w:style w:type="paragraph" w:styleId="22">
    <w:name w:val="Body Text Indent 3"/>
    <w:basedOn w:val="1"/>
    <w:qFormat/>
    <w:uiPriority w:val="0"/>
    <w:pPr>
      <w:adjustRightInd w:val="0"/>
      <w:spacing w:after="120" w:line="312" w:lineRule="atLeast"/>
      <w:ind w:left="420"/>
      <w:textAlignment w:val="baseline"/>
    </w:pPr>
    <w:rPr>
      <w:kern w:val="0"/>
      <w:sz w:val="16"/>
      <w:szCs w:val="16"/>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Title"/>
    <w:basedOn w:val="1"/>
    <w:next w:val="1"/>
    <w:link w:val="38"/>
    <w:qFormat/>
    <w:uiPriority w:val="0"/>
    <w:pPr>
      <w:spacing w:before="240" w:after="60"/>
      <w:jc w:val="center"/>
      <w:outlineLvl w:val="0"/>
    </w:pPr>
    <w:rPr>
      <w:rFonts w:ascii="Cambria" w:hAnsi="Cambria"/>
      <w:b/>
      <w:bCs/>
      <w:sz w:val="32"/>
      <w:szCs w:val="32"/>
    </w:rPr>
  </w:style>
  <w:style w:type="paragraph" w:styleId="26">
    <w:name w:val="annotation subject"/>
    <w:basedOn w:val="12"/>
    <w:next w:val="12"/>
    <w:link w:val="41"/>
    <w:qFormat/>
    <w:uiPriority w:val="0"/>
    <w:rPr>
      <w:b/>
      <w:bCs/>
    </w:rPr>
  </w:style>
  <w:style w:type="paragraph" w:styleId="27">
    <w:name w:val="Body Text First Indent"/>
    <w:basedOn w:val="14"/>
    <w:link w:val="61"/>
    <w:qFormat/>
    <w:uiPriority w:val="0"/>
    <w:pPr>
      <w:ind w:firstLine="420" w:firstLineChars="100"/>
    </w:p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Table Elegant"/>
    <w:basedOn w:val="28"/>
    <w:qFormat/>
    <w:uiPriority w:val="0"/>
    <w:pPr>
      <w:widowControl w:val="0"/>
      <w:spacing w:after="120" w:line="360" w:lineRule="auto"/>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2">
    <w:name w:val="Strong"/>
    <w:qFormat/>
    <w:uiPriority w:val="22"/>
    <w:rPr>
      <w:rFonts w:eastAsia="宋体"/>
      <w:b/>
      <w:bCs/>
      <w:kern w:val="2"/>
      <w:sz w:val="24"/>
      <w:szCs w:val="24"/>
      <w:lang w:val="en-US" w:eastAsia="zh-CN" w:bidi="ar-SA"/>
    </w:rPr>
  </w:style>
  <w:style w:type="character" w:styleId="33">
    <w:name w:val="page number"/>
    <w:basedOn w:val="31"/>
    <w:qFormat/>
    <w:uiPriority w:val="0"/>
  </w:style>
  <w:style w:type="character" w:styleId="34">
    <w:name w:val="annotation reference"/>
    <w:basedOn w:val="31"/>
    <w:qFormat/>
    <w:uiPriority w:val="0"/>
    <w:rPr>
      <w:rFonts w:eastAsia="宋体"/>
      <w:kern w:val="2"/>
      <w:sz w:val="21"/>
      <w:szCs w:val="21"/>
      <w:lang w:val="en-US" w:eastAsia="zh-CN" w:bidi="ar-SA"/>
    </w:rPr>
  </w:style>
  <w:style w:type="paragraph" w:customStyle="1" w:styleId="3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6">
    <w:name w:val="批注框文本 字符"/>
    <w:link w:val="18"/>
    <w:qFormat/>
    <w:uiPriority w:val="0"/>
    <w:rPr>
      <w:kern w:val="2"/>
      <w:sz w:val="18"/>
      <w:szCs w:val="18"/>
    </w:rPr>
  </w:style>
  <w:style w:type="character" w:customStyle="1" w:styleId="37">
    <w:name w:val="标题 1 字符"/>
    <w:link w:val="4"/>
    <w:qFormat/>
    <w:uiPriority w:val="9"/>
    <w:rPr>
      <w:rFonts w:ascii="Calibri" w:hAnsi="Calibri" w:eastAsia="宋体" w:cs="Times New Roman"/>
      <w:b/>
      <w:bCs/>
      <w:kern w:val="44"/>
      <w:sz w:val="44"/>
      <w:szCs w:val="44"/>
    </w:rPr>
  </w:style>
  <w:style w:type="character" w:customStyle="1" w:styleId="38">
    <w:name w:val="标题 字符"/>
    <w:link w:val="25"/>
    <w:qFormat/>
    <w:uiPriority w:val="0"/>
    <w:rPr>
      <w:rFonts w:ascii="Cambria" w:hAnsi="Cambria" w:cs="Times New Roman"/>
      <w:b/>
      <w:bCs/>
      <w:kern w:val="2"/>
      <w:sz w:val="32"/>
      <w:szCs w:val="32"/>
    </w:rPr>
  </w:style>
  <w:style w:type="character" w:customStyle="1" w:styleId="39">
    <w:name w:val="文档结构图 字符"/>
    <w:link w:val="11"/>
    <w:qFormat/>
    <w:uiPriority w:val="0"/>
    <w:rPr>
      <w:rFonts w:ascii="宋体"/>
      <w:kern w:val="2"/>
      <w:sz w:val="18"/>
      <w:szCs w:val="18"/>
    </w:rPr>
  </w:style>
  <w:style w:type="character" w:customStyle="1" w:styleId="40">
    <w:name w:val="批注文字 字符"/>
    <w:link w:val="12"/>
    <w:qFormat/>
    <w:uiPriority w:val="0"/>
    <w:rPr>
      <w:kern w:val="2"/>
      <w:sz w:val="21"/>
      <w:szCs w:val="24"/>
    </w:rPr>
  </w:style>
  <w:style w:type="character" w:customStyle="1" w:styleId="41">
    <w:name w:val="批注主题 字符"/>
    <w:link w:val="26"/>
    <w:qFormat/>
    <w:uiPriority w:val="0"/>
    <w:rPr>
      <w:b/>
      <w:bCs/>
      <w:kern w:val="2"/>
      <w:sz w:val="21"/>
      <w:szCs w:val="24"/>
    </w:rPr>
  </w:style>
  <w:style w:type="paragraph" w:customStyle="1" w:styleId="42">
    <w:name w:val="_Style 2"/>
    <w:basedOn w:val="1"/>
    <w:qFormat/>
    <w:uiPriority w:val="34"/>
    <w:pPr>
      <w:ind w:firstLine="420" w:firstLineChars="200"/>
    </w:pPr>
    <w:rPr>
      <w:rFonts w:ascii="Calibri" w:hAnsi="Calibri"/>
      <w:szCs w:val="22"/>
    </w:rPr>
  </w:style>
  <w:style w:type="paragraph" w:customStyle="1" w:styleId="43">
    <w:name w:val="Char Char2 Char"/>
    <w:basedOn w:val="1"/>
    <w:qFormat/>
    <w:uiPriority w:val="0"/>
  </w:style>
  <w:style w:type="paragraph" w:customStyle="1" w:styleId="4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5">
    <w:name w:val="z-窗体顶端1"/>
    <w:basedOn w:val="1"/>
    <w:qFormat/>
    <w:uiPriority w:val="34"/>
    <w:pPr>
      <w:ind w:firstLine="420" w:firstLineChars="200"/>
    </w:pPr>
    <w:rPr>
      <w:rFonts w:ascii="Calibri" w:hAnsi="Calibri"/>
      <w:szCs w:val="22"/>
    </w:rPr>
  </w:style>
  <w:style w:type="paragraph" w:customStyle="1" w:styleId="46">
    <w:name w:val="题注4"/>
    <w:basedOn w:val="1"/>
    <w:next w:val="10"/>
    <w:qFormat/>
    <w:uiPriority w:val="0"/>
    <w:pPr>
      <w:ind w:left="-132" w:leftChars="-64" w:right="-105" w:rightChars="-50" w:hanging="2"/>
      <w:jc w:val="center"/>
    </w:pPr>
    <w:rPr>
      <w:b/>
      <w:color w:val="FF0000"/>
      <w:szCs w:val="21"/>
      <w:lang w:val="en-GB"/>
    </w:rPr>
  </w:style>
  <w:style w:type="paragraph" w:customStyle="1" w:styleId="47">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8">
    <w:name w:val="List Paragraph"/>
    <w:basedOn w:val="1"/>
    <w:link w:val="69"/>
    <w:qFormat/>
    <w:uiPriority w:val="99"/>
    <w:pPr>
      <w:ind w:firstLine="420" w:firstLineChars="200"/>
    </w:pPr>
    <w:rPr>
      <w:rFonts w:ascii="Calibri" w:hAnsi="Calibri"/>
      <w:szCs w:val="22"/>
    </w:rPr>
  </w:style>
  <w:style w:type="paragraph" w:customStyle="1" w:styleId="4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1">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Char"/>
    <w:basedOn w:val="1"/>
    <w:qFormat/>
    <w:uiPriority w:val="0"/>
    <w:pPr>
      <w:spacing w:line="480" w:lineRule="exact"/>
    </w:pPr>
    <w:rPr>
      <w:sz w:val="24"/>
    </w:rPr>
  </w:style>
  <w:style w:type="paragraph" w:customStyle="1" w:styleId="55">
    <w:name w:val="表格文字"/>
    <w:basedOn w:val="1"/>
    <w:qFormat/>
    <w:uiPriority w:val="0"/>
    <w:pPr>
      <w:spacing w:before="25" w:after="25"/>
      <w:jc w:val="left"/>
    </w:pPr>
    <w:rPr>
      <w:bCs/>
      <w:spacing w:val="10"/>
      <w:kern w:val="0"/>
      <w:sz w:val="24"/>
      <w:szCs w:val="20"/>
    </w:rPr>
  </w:style>
  <w:style w:type="paragraph" w:customStyle="1" w:styleId="56">
    <w:name w:val="_Style 1"/>
    <w:basedOn w:val="1"/>
    <w:qFormat/>
    <w:uiPriority w:val="34"/>
    <w:pPr>
      <w:ind w:firstLine="420" w:firstLineChars="200"/>
    </w:pPr>
    <w:rPr>
      <w:rFonts w:ascii="Calibri" w:hAnsi="Calibri"/>
      <w:szCs w:val="22"/>
    </w:rPr>
  </w:style>
  <w:style w:type="paragraph" w:customStyle="1" w:styleId="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8">
    <w:name w:val="纯文本 字符"/>
    <w:link w:val="16"/>
    <w:qFormat/>
    <w:uiPriority w:val="0"/>
    <w:rPr>
      <w:rFonts w:ascii="宋体" w:hAnsi="Courier New" w:cs="Courier New"/>
      <w:kern w:val="2"/>
      <w:sz w:val="21"/>
      <w:szCs w:val="21"/>
    </w:rPr>
  </w:style>
  <w:style w:type="character" w:customStyle="1" w:styleId="59">
    <w:name w:val="页眉 字符"/>
    <w:link w:val="20"/>
    <w:qFormat/>
    <w:uiPriority w:val="99"/>
    <w:rPr>
      <w:kern w:val="2"/>
      <w:sz w:val="18"/>
      <w:szCs w:val="24"/>
    </w:rPr>
  </w:style>
  <w:style w:type="character" w:customStyle="1" w:styleId="60">
    <w:name w:val="正文文本 字符"/>
    <w:basedOn w:val="31"/>
    <w:link w:val="14"/>
    <w:semiHidden/>
    <w:qFormat/>
    <w:uiPriority w:val="0"/>
    <w:rPr>
      <w:kern w:val="2"/>
      <w:sz w:val="21"/>
      <w:szCs w:val="24"/>
    </w:rPr>
  </w:style>
  <w:style w:type="character" w:customStyle="1" w:styleId="61">
    <w:name w:val="正文文本首行缩进 字符"/>
    <w:basedOn w:val="60"/>
    <w:link w:val="27"/>
    <w:qFormat/>
    <w:uiPriority w:val="0"/>
    <w:rPr>
      <w:kern w:val="2"/>
      <w:sz w:val="21"/>
      <w:szCs w:val="24"/>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z-窗体顶端2"/>
    <w:basedOn w:val="1"/>
    <w:link w:val="64"/>
    <w:qFormat/>
    <w:uiPriority w:val="34"/>
    <w:pPr>
      <w:ind w:firstLine="420" w:firstLineChars="200"/>
    </w:pPr>
    <w:rPr>
      <w:rFonts w:ascii="Calibri" w:hAnsi="Calibri"/>
      <w:szCs w:val="22"/>
    </w:rPr>
  </w:style>
  <w:style w:type="character" w:customStyle="1" w:styleId="64">
    <w:name w:val="z-窗体顶端 字符"/>
    <w:basedOn w:val="31"/>
    <w:link w:val="63"/>
    <w:qFormat/>
    <w:uiPriority w:val="34"/>
    <w:rPr>
      <w:rFonts w:ascii="Calibri" w:hAnsi="Calibri"/>
      <w:kern w:val="2"/>
      <w:sz w:val="21"/>
      <w:szCs w:val="22"/>
    </w:rPr>
  </w:style>
  <w:style w:type="character" w:customStyle="1" w:styleId="65">
    <w:name w:val="页脚 字符"/>
    <w:basedOn w:val="31"/>
    <w:link w:val="19"/>
    <w:qFormat/>
    <w:uiPriority w:val="99"/>
    <w:rPr>
      <w:rFonts w:ascii="Times New Roman" w:hAnsi="Times New Roman"/>
      <w:kern w:val="2"/>
      <w:sz w:val="18"/>
      <w:szCs w:val="24"/>
    </w:rPr>
  </w:style>
  <w:style w:type="paragraph" w:customStyle="1" w:styleId="66">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7">
    <w:name w:val="列出段落3"/>
    <w:basedOn w:val="1"/>
    <w:qFormat/>
    <w:uiPriority w:val="0"/>
    <w:pPr>
      <w:ind w:firstLine="420" w:firstLineChars="200"/>
    </w:pPr>
    <w:rPr>
      <w:rFonts w:ascii="Calibri" w:hAnsi="Calibri"/>
      <w:szCs w:val="22"/>
    </w:rPr>
  </w:style>
  <w:style w:type="paragraph" w:customStyle="1" w:styleId="68">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69">
    <w:name w:val="列表段落 字符"/>
    <w:link w:val="48"/>
    <w:qFormat/>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6138</Words>
  <Characters>34993</Characters>
  <Lines>291</Lines>
  <Paragraphs>82</Paragraphs>
  <TotalTime>6</TotalTime>
  <ScaleCrop>false</ScaleCrop>
  <LinksUpToDate>false</LinksUpToDate>
  <CharactersWithSpaces>41049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Administrator</dc:creator>
  <cp:lastModifiedBy>林煜韩</cp:lastModifiedBy>
  <cp:lastPrinted>2022-03-04T02:44:00Z</cp:lastPrinted>
  <dcterms:modified xsi:type="dcterms:W3CDTF">2022-03-25T07:52:23Z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8C7CBCC3108F4FC3A3C9B59D8E8D7D76</vt:lpwstr>
  </property>
</Properties>
</file>