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hint="eastAsia" w:ascii="仿宋" w:hAnsi="仿宋" w:eastAsia="仿宋" w:cs="仿宋"/>
          <w:color w:val="000000" w:themeColor="text1"/>
          <w:sz w:val="72"/>
          <w14:textFill>
            <w14:solidFill>
              <w14:schemeClr w14:val="tx1"/>
            </w14:solidFill>
          </w14:textFill>
        </w:rPr>
      </w:pPr>
      <w:r>
        <w:rPr>
          <w:rFonts w:hint="eastAsia" w:ascii="仿宋" w:hAnsi="仿宋" w:eastAsia="仿宋" w:cs="仿宋"/>
          <w:b/>
          <w:bCs/>
          <w:color w:val="000000" w:themeColor="text1"/>
          <w:sz w:val="72"/>
          <w14:textFill>
            <w14:solidFill>
              <w14:schemeClr w14:val="tx1"/>
            </w14:solidFill>
          </w14:textFill>
        </w:rPr>
        <w:t>询价文件</w:t>
      </w:r>
    </w:p>
    <w:p>
      <w:pPr>
        <w:spacing w:line="500" w:lineRule="exact"/>
        <w:jc w:val="center"/>
        <w:rPr>
          <w:rFonts w:hint="eastAsia" w:ascii="仿宋" w:hAnsi="仿宋" w:eastAsia="仿宋" w:cs="仿宋"/>
          <w:bCs/>
          <w:color w:val="000000" w:themeColor="text1"/>
          <w14:textFill>
            <w14:solidFill>
              <w14:schemeClr w14:val="tx1"/>
            </w14:solidFill>
          </w14:textFill>
        </w:rPr>
      </w:pPr>
    </w:p>
    <w:p>
      <w:pPr>
        <w:spacing w:line="500" w:lineRule="exact"/>
        <w:jc w:val="left"/>
        <w:rPr>
          <w:rFonts w:hint="eastAsia" w:ascii="仿宋" w:hAnsi="仿宋" w:eastAsia="仿宋" w:cs="仿宋"/>
          <w:b/>
          <w:bCs/>
          <w:color w:val="000000" w:themeColor="text1"/>
          <w:sz w:val="32"/>
          <w:szCs w:val="32"/>
          <w14:textFill>
            <w14:solidFill>
              <w14:schemeClr w14:val="tx1"/>
            </w14:solidFill>
          </w14:textFill>
        </w:rPr>
      </w:pPr>
    </w:p>
    <w:p>
      <w:pPr>
        <w:spacing w:line="500" w:lineRule="exact"/>
        <w:jc w:val="left"/>
        <w:rPr>
          <w:rFonts w:hint="eastAsia" w:ascii="仿宋" w:hAnsi="仿宋" w:eastAsia="仿宋" w:cs="仿宋"/>
          <w:b/>
          <w:bCs/>
          <w:color w:val="000000" w:themeColor="text1"/>
          <w:sz w:val="32"/>
          <w:szCs w:val="32"/>
          <w14:textFill>
            <w14:solidFill>
              <w14:schemeClr w14:val="tx1"/>
            </w14:solidFill>
          </w14:textFill>
        </w:rPr>
      </w:pPr>
    </w:p>
    <w:p>
      <w:pPr>
        <w:spacing w:line="500" w:lineRule="exact"/>
        <w:jc w:val="left"/>
        <w:rPr>
          <w:rFonts w:hint="default"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项目编号：</w:t>
      </w:r>
      <w:r>
        <w:rPr>
          <w:rFonts w:hint="eastAsia" w:ascii="仿宋" w:hAnsi="仿宋" w:eastAsia="仿宋" w:cs="仿宋"/>
          <w:b/>
          <w:bCs/>
          <w:color w:val="000000" w:themeColor="text1"/>
          <w:sz w:val="32"/>
          <w:szCs w:val="32"/>
          <w:lang w:val="en-US" w:eastAsia="zh-CN"/>
          <w14:textFill>
            <w14:solidFill>
              <w14:schemeClr w14:val="tx1"/>
            </w14:solidFill>
          </w14:textFill>
        </w:rPr>
        <w:t>XJ-20220310-1</w:t>
      </w:r>
    </w:p>
    <w:p>
      <w:pPr>
        <w:spacing w:line="500" w:lineRule="exact"/>
        <w:jc w:val="left"/>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项目名称：广州市净水有限公司猎德土地评估项目</w:t>
      </w:r>
    </w:p>
    <w:p>
      <w:pPr>
        <w:spacing w:line="500" w:lineRule="exact"/>
        <w:jc w:val="center"/>
        <w:rPr>
          <w:rFonts w:hint="eastAsia" w:ascii="仿宋" w:hAnsi="仿宋" w:eastAsia="仿宋" w:cs="仿宋"/>
          <w:b/>
          <w:bCs/>
          <w:color w:val="000000" w:themeColor="text1"/>
          <w14:textFill>
            <w14:solidFill>
              <w14:schemeClr w14:val="tx1"/>
            </w14:solidFill>
          </w14:textFill>
        </w:rPr>
      </w:pPr>
    </w:p>
    <w:p>
      <w:pPr>
        <w:spacing w:line="500" w:lineRule="exact"/>
        <w:jc w:val="center"/>
        <w:rPr>
          <w:rFonts w:hint="eastAsia" w:ascii="仿宋" w:hAnsi="仿宋" w:eastAsia="仿宋" w:cs="仿宋"/>
          <w:b/>
          <w:bCs/>
          <w:color w:val="000000" w:themeColor="text1"/>
          <w:sz w:val="72"/>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bCs/>
          <w:color w:val="000000" w:themeColor="text1"/>
          <w:sz w:val="28"/>
          <w14:textFill>
            <w14:solidFill>
              <w14:schemeClr w14:val="tx1"/>
            </w14:solidFill>
          </w14:textFill>
        </w:rPr>
      </w:pPr>
    </w:p>
    <w:p>
      <w:pPr>
        <w:spacing w:line="360" w:lineRule="auto"/>
        <w:jc w:val="center"/>
        <w:rPr>
          <w:rFonts w:hint="eastAsia" w:ascii="仿宋" w:hAnsi="仿宋" w:eastAsia="仿宋" w:cs="仿宋"/>
          <w:b/>
          <w:bCs/>
          <w:color w:val="000000" w:themeColor="text1"/>
          <w:sz w:val="36"/>
          <w14:textFill>
            <w14:solidFill>
              <w14:schemeClr w14:val="tx1"/>
            </w14:solidFill>
          </w14:textFill>
        </w:rPr>
      </w:pPr>
      <w:r>
        <w:rPr>
          <w:rFonts w:hint="eastAsia" w:ascii="仿宋" w:hAnsi="仿宋" w:eastAsia="仿宋" w:cs="仿宋"/>
          <w:b/>
          <w:bCs/>
          <w:color w:val="000000" w:themeColor="text1"/>
          <w:sz w:val="36"/>
          <w14:textFill>
            <w14:solidFill>
              <w14:schemeClr w14:val="tx1"/>
            </w14:solidFill>
          </w14:textFill>
        </w:rPr>
        <w:t>广州市净水有限公司 编制</w:t>
      </w:r>
    </w:p>
    <w:p>
      <w:pPr>
        <w:spacing w:line="360" w:lineRule="auto"/>
        <w:jc w:val="center"/>
        <w:rPr>
          <w:rFonts w:hint="eastAsia" w:ascii="仿宋" w:hAnsi="仿宋" w:eastAsia="仿宋" w:cs="仿宋"/>
          <w:color w:val="000000" w:themeColor="text1"/>
          <w:sz w:val="28"/>
          <w:szCs w:val="28"/>
          <w14:textFill>
            <w14:solidFill>
              <w14:schemeClr w14:val="tx1"/>
            </w14:solidFill>
          </w14:textFill>
        </w:rPr>
      </w:pPr>
    </w:p>
    <w:p>
      <w:pPr>
        <w:spacing w:line="360" w:lineRule="auto"/>
        <w:jc w:val="center"/>
        <w:rPr>
          <w:rFonts w:hint="eastAsia" w:ascii="仿宋" w:hAnsi="仿宋" w:eastAsia="仿宋" w:cs="仿宋"/>
          <w:b/>
          <w:bCs/>
          <w:color w:val="000000" w:themeColor="text1"/>
          <w:sz w:val="28"/>
          <w14:textFill>
            <w14:solidFill>
              <w14:schemeClr w14:val="tx1"/>
            </w14:solidFill>
          </w14:textFill>
        </w:rPr>
      </w:pPr>
      <w:r>
        <w:rPr>
          <w:rFonts w:hint="eastAsia" w:ascii="仿宋" w:hAnsi="仿宋" w:eastAsia="仿宋" w:cs="仿宋"/>
          <w:b/>
          <w:bCs/>
          <w:color w:val="000000" w:themeColor="text1"/>
          <w:sz w:val="28"/>
          <w14:textFill>
            <w14:solidFill>
              <w14:schemeClr w14:val="tx1"/>
            </w14:solidFill>
          </w14:textFill>
        </w:rPr>
        <w:t>发布日期：</w:t>
      </w:r>
      <w:r>
        <w:rPr>
          <w:rFonts w:hint="eastAsia" w:ascii="仿宋" w:hAnsi="仿宋" w:eastAsia="仿宋" w:cs="仿宋"/>
          <w:b/>
          <w:bCs/>
          <w:color w:val="000000" w:themeColor="text1"/>
          <w:sz w:val="28"/>
          <w:highlight w:val="none"/>
          <w14:textFill>
            <w14:solidFill>
              <w14:schemeClr w14:val="tx1"/>
            </w14:solidFill>
          </w14:textFill>
        </w:rPr>
        <w:t>2022年</w:t>
      </w:r>
      <w:r>
        <w:rPr>
          <w:rFonts w:hint="eastAsia" w:ascii="仿宋" w:hAnsi="仿宋" w:eastAsia="仿宋" w:cs="仿宋"/>
          <w:b/>
          <w:bCs/>
          <w:color w:val="000000" w:themeColor="text1"/>
          <w:sz w:val="28"/>
          <w:highlight w:val="none"/>
          <w:lang w:val="en-US" w:eastAsia="zh-CN"/>
          <w14:textFill>
            <w14:solidFill>
              <w14:schemeClr w14:val="tx1"/>
            </w14:solidFill>
          </w14:textFill>
        </w:rPr>
        <w:t>3</w:t>
      </w:r>
      <w:r>
        <w:rPr>
          <w:rFonts w:hint="eastAsia" w:ascii="仿宋" w:hAnsi="仿宋" w:eastAsia="仿宋" w:cs="仿宋"/>
          <w:b/>
          <w:bCs/>
          <w:color w:val="000000" w:themeColor="text1"/>
          <w:sz w:val="28"/>
          <w:highlight w:val="none"/>
          <w14:textFill>
            <w14:solidFill>
              <w14:schemeClr w14:val="tx1"/>
            </w14:solidFill>
          </w14:textFill>
        </w:rPr>
        <w:t>月</w:t>
      </w:r>
      <w:r>
        <w:rPr>
          <w:rFonts w:hint="eastAsia" w:ascii="仿宋" w:hAnsi="仿宋" w:eastAsia="仿宋" w:cs="仿宋"/>
          <w:b/>
          <w:bCs/>
          <w:color w:val="000000" w:themeColor="text1"/>
          <w:sz w:val="28"/>
          <w:highlight w:val="none"/>
          <w:lang w:val="en-US" w:eastAsia="zh-CN"/>
          <w14:textFill>
            <w14:solidFill>
              <w14:schemeClr w14:val="tx1"/>
            </w14:solidFill>
          </w14:textFill>
        </w:rPr>
        <w:t>10</w:t>
      </w:r>
      <w:r>
        <w:rPr>
          <w:rFonts w:hint="eastAsia" w:ascii="仿宋" w:hAnsi="仿宋" w:eastAsia="仿宋" w:cs="仿宋"/>
          <w:b/>
          <w:bCs/>
          <w:color w:val="000000" w:themeColor="text1"/>
          <w:sz w:val="28"/>
          <w:highlight w:val="none"/>
          <w14:textFill>
            <w14:solidFill>
              <w14:schemeClr w14:val="tx1"/>
            </w14:solidFill>
          </w14:textFill>
        </w:rPr>
        <w:t>日</w:t>
      </w: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b/>
          <w:color w:val="000000" w:themeColor="text1"/>
          <w:sz w:val="28"/>
          <w:szCs w:val="28"/>
          <w14:textFill>
            <w14:solidFill>
              <w14:schemeClr w14:val="tx1"/>
            </w14:solidFill>
          </w14:textFill>
        </w:rPr>
      </w:pPr>
    </w:p>
    <w:p>
      <w:pPr>
        <w:rPr>
          <w:rFonts w:hint="eastAsia" w:ascii="仿宋" w:hAnsi="仿宋" w:eastAsia="仿宋" w:cs="仿宋"/>
          <w:b/>
          <w:color w:val="000000" w:themeColor="text1"/>
          <w:sz w:val="28"/>
          <w:szCs w:val="28"/>
          <w14:textFill>
            <w14:solidFill>
              <w14:schemeClr w14:val="tx1"/>
            </w14:solidFill>
          </w14:textFill>
        </w:rPr>
      </w:pPr>
    </w:p>
    <w:p>
      <w:pPr>
        <w:pageBreakBefore/>
        <w:jc w:val="center"/>
        <w:rPr>
          <w:rFonts w:hint="eastAsia" w:ascii="仿宋" w:hAnsi="仿宋" w:eastAsia="仿宋" w:cs="仿宋"/>
          <w:b/>
          <w:bCs/>
          <w:cap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目录</w:t>
      </w:r>
    </w:p>
    <w:p>
      <w:pPr>
        <w:pStyle w:val="10"/>
        <w:rPr>
          <w:rFonts w:hint="eastAsia" w:ascii="仿宋" w:hAnsi="仿宋" w:eastAsia="仿宋" w:cs="仿宋"/>
        </w:rPr>
      </w:pPr>
    </w:p>
    <w:p>
      <w:pPr>
        <w:pStyle w:val="28"/>
        <w:rPr>
          <w:rFonts w:hint="eastAsia" w:ascii="仿宋" w:hAnsi="仿宋" w:eastAsia="仿宋" w:cs="仿宋"/>
        </w:rPr>
      </w:pPr>
    </w:p>
    <w:p>
      <w:pPr>
        <w:pStyle w:val="17"/>
        <w:tabs>
          <w:tab w:val="right" w:leader="dot" w:pos="9174"/>
        </w:tabs>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第一部分报价邀请函</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第二部分项目内容</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第三部分报价须知</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第四部分合同书格式</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kern w:val="0"/>
          <w:sz w:val="28"/>
          <w:szCs w:val="28"/>
          <w14:textFill>
            <w14:solidFill>
              <w14:schemeClr w14:val="tx1"/>
            </w14:solidFill>
          </w14:textFill>
        </w:rPr>
      </w:pPr>
    </w:p>
    <w:p>
      <w:pPr>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第一部分报价邀请函</w:t>
      </w:r>
    </w:p>
    <w:p>
      <w:pPr>
        <w:rPr>
          <w:rFonts w:ascii="仿宋" w:hAnsi="仿宋" w:eastAsia="仿宋" w:cs="仿宋"/>
          <w:color w:val="000000" w:themeColor="text1"/>
          <w:kern w:val="0"/>
          <w:sz w:val="28"/>
          <w:szCs w:val="28"/>
          <w14:textFill>
            <w14:solidFill>
              <w14:schemeClr w14:val="tx1"/>
            </w14:solidFill>
          </w14:textFill>
        </w:rPr>
      </w:pPr>
    </w:p>
    <w:p>
      <w:pP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各报价单位:</w:t>
      </w:r>
    </w:p>
    <w:p>
      <w:pPr>
        <w:ind w:firstLine="560" w:firstLineChars="200"/>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现我公司对</w:t>
      </w:r>
      <w:r>
        <w:rPr>
          <w:rFonts w:hint="eastAsia" w:ascii="仿宋" w:hAnsi="仿宋" w:eastAsia="仿宋" w:cs="仿宋"/>
          <w:color w:val="000000" w:themeColor="text1"/>
          <w:sz w:val="28"/>
          <w:szCs w:val="28"/>
          <w:u w:val="single"/>
          <w14:textFill>
            <w14:solidFill>
              <w14:schemeClr w14:val="tx1"/>
            </w14:solidFill>
          </w14:textFill>
        </w:rPr>
        <w:t>猎德土地评估项目</w:t>
      </w:r>
      <w:r>
        <w:rPr>
          <w:rFonts w:hint="eastAsia" w:ascii="仿宋" w:hAnsi="仿宋" w:eastAsia="仿宋" w:cs="仿宋"/>
          <w:color w:val="000000" w:themeColor="text1"/>
          <w:sz w:val="28"/>
          <w:szCs w:val="28"/>
          <w14:textFill>
            <w14:solidFill>
              <w14:schemeClr w14:val="tx1"/>
            </w14:solidFill>
          </w14:textFill>
        </w:rPr>
        <w:t>进行询价，</w:t>
      </w:r>
      <w:r>
        <w:rPr>
          <w:rFonts w:hint="eastAsia" w:ascii="仿宋" w:hAnsi="仿宋" w:eastAsia="仿宋" w:cs="仿宋"/>
          <w:color w:val="000000" w:themeColor="text1"/>
          <w:sz w:val="28"/>
          <w:szCs w:val="28"/>
          <w:lang w:val="zh-CN"/>
          <w14:textFill>
            <w14:solidFill>
              <w14:schemeClr w14:val="tx1"/>
            </w14:solidFill>
          </w14:textFill>
        </w:rPr>
        <w:t>欢迎符合资格条件</w:t>
      </w:r>
      <w:r>
        <w:rPr>
          <w:rFonts w:hint="eastAsia" w:ascii="仿宋" w:hAnsi="仿宋" w:eastAsia="仿宋" w:cs="仿宋"/>
          <w:color w:val="000000" w:themeColor="text1"/>
          <w:sz w:val="28"/>
          <w:szCs w:val="28"/>
          <w14:textFill>
            <w14:solidFill>
              <w14:schemeClr w14:val="tx1"/>
            </w14:solidFill>
          </w14:textFill>
        </w:rPr>
        <w:t>的报价单位参加。</w:t>
      </w:r>
    </w:p>
    <w:p>
      <w:pPr>
        <w:autoSpaceDE w:val="0"/>
        <w:autoSpaceDN w:val="0"/>
        <w:ind w:firstLine="560" w:firstLineChars="200"/>
        <w:rPr>
          <w:rFonts w:ascii="仿宋" w:hAnsi="仿宋" w:eastAsia="仿宋" w:cs="仿宋"/>
          <w:color w:val="000000" w:themeColor="text1"/>
          <w:sz w:val="28"/>
          <w:szCs w:val="28"/>
          <w:highlight w:val="yellow"/>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一、资金计划：</w:t>
      </w:r>
      <w:r>
        <w:rPr>
          <w:rFonts w:hint="eastAsia" w:ascii="仿宋" w:hAnsi="仿宋" w:eastAsia="仿宋" w:cs="仿宋"/>
          <w:color w:val="000000" w:themeColor="text1"/>
          <w:sz w:val="28"/>
          <w:szCs w:val="28"/>
          <w14:textFill>
            <w14:solidFill>
              <w14:schemeClr w14:val="tx1"/>
            </w14:solidFill>
          </w14:textFill>
        </w:rPr>
        <w:t>自有资金</w:t>
      </w:r>
    </w:p>
    <w:p>
      <w:pPr>
        <w:autoSpaceDE w:val="0"/>
        <w:autoSpaceDN w:val="0"/>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w:t>
      </w:r>
      <w:r>
        <w:rPr>
          <w:rFonts w:hint="eastAsia" w:ascii="仿宋" w:hAnsi="仿宋" w:eastAsia="仿宋" w:cs="仿宋"/>
          <w:color w:val="000000" w:themeColor="text1"/>
          <w:sz w:val="28"/>
          <w:szCs w:val="28"/>
          <w:lang w:val="zh-CN"/>
          <w14:textFill>
            <w14:solidFill>
              <w14:schemeClr w14:val="tx1"/>
            </w14:solidFill>
          </w14:textFill>
        </w:rPr>
        <w:t>、项目编号：</w:t>
      </w:r>
      <w:r>
        <w:rPr>
          <w:rFonts w:hint="eastAsia" w:ascii="仿宋" w:hAnsi="仿宋" w:eastAsia="仿宋" w:cs="仿宋"/>
          <w:color w:val="000000" w:themeColor="text1"/>
          <w:sz w:val="28"/>
          <w:szCs w:val="28"/>
          <w:lang w:val="en-US" w:eastAsia="zh-CN"/>
          <w14:textFill>
            <w14:solidFill>
              <w14:schemeClr w14:val="tx1"/>
            </w14:solidFill>
          </w14:textFill>
        </w:rPr>
        <w:t>XJ-20220310-1</w:t>
      </w:r>
    </w:p>
    <w:p>
      <w:pPr>
        <w:autoSpaceDE w:val="0"/>
        <w:autoSpaceDN w:val="0"/>
        <w:ind w:firstLine="560" w:firstLineChars="200"/>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u w:val="single"/>
          <w14:textFill>
            <w14:solidFill>
              <w14:schemeClr w14:val="tx1"/>
            </w14:solidFill>
          </w14:textFill>
        </w:rPr>
        <w:t>广州市净水有限公司猎德土地评估项目</w:t>
      </w:r>
    </w:p>
    <w:p>
      <w:pPr>
        <w:autoSpaceDE w:val="0"/>
        <w:autoSpaceDN w:val="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四、最高限价</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highlight w:val="none"/>
          <w:u w:val="single"/>
          <w14:textFill>
            <w14:solidFill>
              <w14:schemeClr w14:val="tx1"/>
            </w14:solidFill>
          </w14:textFill>
        </w:rPr>
        <w:t>3万</w:t>
      </w:r>
      <w:r>
        <w:rPr>
          <w:rFonts w:hint="eastAsia" w:ascii="仿宋" w:hAnsi="仿宋" w:eastAsia="仿宋" w:cs="仿宋"/>
          <w:color w:val="000000" w:themeColor="text1"/>
          <w:sz w:val="28"/>
          <w:szCs w:val="28"/>
          <w:highlight w:val="none"/>
          <w:u w:val="single"/>
          <w:lang w:val="zh-CN"/>
          <w14:textFill>
            <w14:solidFill>
              <w14:schemeClr w14:val="tx1"/>
            </w14:solidFill>
          </w14:textFill>
        </w:rPr>
        <w:t>元</w:t>
      </w:r>
    </w:p>
    <w:p>
      <w:pPr>
        <w:ind w:firstLine="602" w:firstLineChars="215"/>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项目内容及需求：本次项目为对拟公开招租的猎德净水厂地块土地租金市场价值进行评估，并出具一份资产评估报告，评估对象具体如下：</w:t>
      </w:r>
    </w:p>
    <w:tbl>
      <w:tblPr>
        <w:tblStyle w:val="22"/>
        <w:tblW w:w="8510" w:type="dxa"/>
        <w:jc w:val="center"/>
        <w:tblLayout w:type="fixed"/>
        <w:tblCellMar>
          <w:top w:w="0" w:type="dxa"/>
          <w:left w:w="0" w:type="dxa"/>
          <w:bottom w:w="0" w:type="dxa"/>
          <w:right w:w="0" w:type="dxa"/>
        </w:tblCellMar>
      </w:tblPr>
      <w:tblGrid>
        <w:gridCol w:w="1594"/>
        <w:gridCol w:w="1217"/>
        <w:gridCol w:w="2167"/>
        <w:gridCol w:w="3532"/>
      </w:tblGrid>
      <w:tr>
        <w:tblPrEx>
          <w:tblCellMar>
            <w:top w:w="0" w:type="dxa"/>
            <w:left w:w="0" w:type="dxa"/>
            <w:bottom w:w="0" w:type="dxa"/>
            <w:right w:w="0" w:type="dxa"/>
          </w:tblCellMar>
        </w:tblPrEx>
        <w:trPr>
          <w:trHeight w:val="716" w:hRule="atLeast"/>
          <w:jc w:val="center"/>
        </w:trPr>
        <w:tc>
          <w:tcPr>
            <w:tcW w:w="159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sz w:val="24"/>
              </w:rPr>
              <w:t>地块名称</w:t>
            </w:r>
          </w:p>
        </w:tc>
        <w:tc>
          <w:tcPr>
            <w:tcW w:w="121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sz w:val="24"/>
              </w:rPr>
              <w:t>土地面积</w:t>
            </w:r>
          </w:p>
        </w:tc>
        <w:tc>
          <w:tcPr>
            <w:tcW w:w="216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sz w:val="24"/>
              </w:rPr>
              <w:t>土地性质</w:t>
            </w:r>
          </w:p>
        </w:tc>
        <w:tc>
          <w:tcPr>
            <w:tcW w:w="353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临时经营范围</w:t>
            </w:r>
          </w:p>
        </w:tc>
      </w:tr>
      <w:tr>
        <w:tblPrEx>
          <w:tblCellMar>
            <w:top w:w="0" w:type="dxa"/>
            <w:left w:w="0" w:type="dxa"/>
            <w:bottom w:w="0" w:type="dxa"/>
            <w:right w:w="0" w:type="dxa"/>
          </w:tblCellMar>
        </w:tblPrEx>
        <w:trPr>
          <w:trHeight w:val="691" w:hRule="atLeast"/>
          <w:jc w:val="center"/>
        </w:trPr>
        <w:tc>
          <w:tcPr>
            <w:tcW w:w="15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猎德净水厂</w:t>
            </w:r>
          </w:p>
        </w:tc>
        <w:tc>
          <w:tcPr>
            <w:tcW w:w="121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0.3公顷</w:t>
            </w:r>
          </w:p>
        </w:tc>
        <w:tc>
          <w:tcPr>
            <w:tcW w:w="21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环境设施用地U2</w:t>
            </w:r>
          </w:p>
        </w:tc>
        <w:tc>
          <w:tcPr>
            <w:tcW w:w="35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智能充电站、停车场等</w:t>
            </w:r>
          </w:p>
        </w:tc>
      </w:tr>
    </w:tbl>
    <w:p>
      <w:pPr>
        <w:autoSpaceDE w:val="0"/>
        <w:autoSpaceDN w:val="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六、报价单位资格要求：</w:t>
      </w:r>
    </w:p>
    <w:p>
      <w:pPr>
        <w:autoSpaceDE w:val="0"/>
        <w:autoSpaceDN w:val="0"/>
        <w:ind w:firstLine="560" w:firstLineChars="2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１.报价单位须是在中华人民共和国境内注册的法人或者其他组织，具有独立法人资格，持有工商行政管理部门核发的法人营业执照</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且能开具增值税专用发票</w:t>
      </w:r>
      <w:r>
        <w:rPr>
          <w:rFonts w:hint="eastAsia" w:ascii="仿宋" w:hAnsi="仿宋" w:eastAsia="仿宋" w:cs="仿宋"/>
          <w:color w:val="auto"/>
          <w:sz w:val="28"/>
          <w:szCs w:val="28"/>
          <w:highlight w:val="none"/>
          <w:u w:val="single"/>
          <w:lang w:val="en-US" w:eastAsia="zh-CN"/>
        </w:rPr>
        <w:t>（提供一般纳税人证明或近一年2-3张已开据的增值税专用发票）。</w:t>
      </w:r>
    </w:p>
    <w:p>
      <w:pPr>
        <w:pStyle w:val="10"/>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2.报价单位须</w:t>
      </w:r>
      <w:r>
        <w:rPr>
          <w:rFonts w:hint="eastAsia" w:ascii="仿宋" w:hAnsi="仿宋" w:eastAsia="仿宋" w:cs="仿宋"/>
          <w:color w:val="auto"/>
          <w:sz w:val="28"/>
          <w:szCs w:val="28"/>
          <w:highlight w:val="none"/>
          <w:u w:val="single"/>
          <w:lang w:val="en-US" w:eastAsia="zh-CN"/>
        </w:rPr>
        <w:t>同时</w:t>
      </w:r>
      <w:r>
        <w:rPr>
          <w:rFonts w:hint="eastAsia" w:ascii="仿宋" w:hAnsi="仿宋" w:eastAsia="仿宋" w:cs="仿宋"/>
          <w:color w:val="auto"/>
          <w:sz w:val="28"/>
          <w:szCs w:val="28"/>
          <w:highlight w:val="none"/>
          <w:u w:val="single"/>
        </w:rPr>
        <w:t>具有以下资格：①</w:t>
      </w:r>
      <w:r>
        <w:rPr>
          <w:rFonts w:hint="eastAsia" w:ascii="仿宋" w:hAnsi="仿宋" w:eastAsia="仿宋" w:cs="仿宋"/>
          <w:color w:val="auto"/>
          <w:sz w:val="28"/>
          <w:szCs w:val="28"/>
          <w:highlight w:val="none"/>
          <w:u w:val="single"/>
          <w:lang w:val="en-US" w:eastAsia="zh-CN"/>
        </w:rPr>
        <w:t>具备</w:t>
      </w:r>
      <w:r>
        <w:rPr>
          <w:rFonts w:hint="eastAsia" w:ascii="仿宋" w:hAnsi="仿宋" w:eastAsia="仿宋" w:cs="仿宋"/>
          <w:color w:val="auto"/>
          <w:sz w:val="28"/>
          <w:szCs w:val="28"/>
          <w:highlight w:val="none"/>
          <w:u w:val="single"/>
        </w:rPr>
        <w:t>有效的土地估价机构备案证明；②具有资产评估资格证书（或备案证明）。</w:t>
      </w:r>
    </w:p>
    <w:p>
      <w:pPr>
        <w:pStyle w:val="10"/>
        <w:ind w:firstLine="560" w:firstLineChars="200"/>
        <w:rPr>
          <w:color w:val="auto"/>
          <w:highlight w:val="none"/>
        </w:rPr>
      </w:pP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u w:val="single"/>
        </w:rPr>
        <w:t>.拟委派的项目负责人须至少持有一种以下证书：资产评估师资格证书、土地估价师</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房地产估价师证书</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并提供在本单位近三个月社保记录，以加盖社会保险基金管理中心印章的《缴费历史明细表》或《社会保险参保人员证明》为准，加盖单位公章。</w:t>
      </w:r>
    </w:p>
    <w:p>
      <w:pPr>
        <w:pStyle w:val="10"/>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19</w:t>
      </w:r>
      <w:r>
        <w:rPr>
          <w:rFonts w:hint="eastAsia" w:ascii="仿宋" w:hAnsi="仿宋" w:eastAsia="仿宋" w:cs="仿宋"/>
          <w:color w:val="auto"/>
          <w:sz w:val="28"/>
          <w:szCs w:val="28"/>
          <w:highlight w:val="none"/>
          <w:u w:val="single"/>
        </w:rPr>
        <w:t>年1月1日至今，至少完成一项</w:t>
      </w:r>
      <w:r>
        <w:rPr>
          <w:rFonts w:hint="eastAsia" w:ascii="仿宋" w:hAnsi="仿宋" w:eastAsia="仿宋" w:cs="仿宋"/>
          <w:color w:val="auto"/>
          <w:sz w:val="28"/>
          <w:szCs w:val="28"/>
          <w:highlight w:val="none"/>
          <w:u w:val="single"/>
          <w:lang w:val="en-US" w:eastAsia="zh-CN"/>
        </w:rPr>
        <w:t>土地/房地产/</w:t>
      </w:r>
      <w:r>
        <w:rPr>
          <w:rFonts w:hint="eastAsia" w:ascii="仿宋" w:hAnsi="仿宋" w:eastAsia="仿宋" w:cs="仿宋"/>
          <w:color w:val="auto"/>
          <w:sz w:val="28"/>
          <w:szCs w:val="28"/>
          <w:highlight w:val="none"/>
          <w:u w:val="single"/>
        </w:rPr>
        <w:t>资产评估业绩（提供合同复印件证明，包括但不限于项目名称、金额及实施内容、合同双方签字盖章、签订日期，并加盖单位公章）。</w:t>
      </w:r>
    </w:p>
    <w:p>
      <w:pPr>
        <w:ind w:firstLine="560" w:firstLineChars="200"/>
        <w:rPr>
          <w:rFonts w:hint="eastAsia" w:ascii="仿宋" w:hAnsi="仿宋" w:eastAsia="仿宋" w:cs="仿宋"/>
          <w:b/>
          <w:color w:val="auto"/>
          <w:kern w:val="2"/>
          <w:sz w:val="24"/>
          <w:highlight w:val="none"/>
          <w:lang w:val="en-US" w:eastAsia="zh-CN" w:bidi="ar-SA"/>
        </w:rPr>
      </w:pP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lang w:val="zh-CN" w:eastAsia="zh-CN"/>
        </w:rPr>
        <w:t>报价</w:t>
      </w:r>
      <w:r>
        <w:rPr>
          <w:rFonts w:hint="eastAsia" w:ascii="仿宋" w:hAnsi="仿宋" w:eastAsia="仿宋" w:cs="仿宋"/>
          <w:color w:val="auto"/>
          <w:sz w:val="28"/>
          <w:szCs w:val="28"/>
          <w:highlight w:val="none"/>
          <w:u w:val="single"/>
          <w:lang w:val="zh-CN"/>
        </w:rPr>
        <w:t>人没有被纳入本项目</w:t>
      </w:r>
      <w:r>
        <w:rPr>
          <w:rFonts w:hint="eastAsia" w:ascii="仿宋" w:hAnsi="仿宋" w:eastAsia="仿宋" w:cs="仿宋"/>
          <w:color w:val="auto"/>
          <w:sz w:val="28"/>
          <w:szCs w:val="28"/>
          <w:highlight w:val="none"/>
          <w:u w:val="single"/>
          <w:lang w:val="zh-CN" w:eastAsia="zh-CN"/>
        </w:rPr>
        <w:t>询价</w:t>
      </w:r>
      <w:r>
        <w:rPr>
          <w:rFonts w:hint="eastAsia" w:ascii="仿宋" w:hAnsi="仿宋" w:eastAsia="仿宋" w:cs="仿宋"/>
          <w:color w:val="auto"/>
          <w:sz w:val="28"/>
          <w:szCs w:val="28"/>
          <w:highlight w:val="none"/>
          <w:u w:val="single"/>
          <w:lang w:val="zh-CN"/>
        </w:rPr>
        <w:t>人（包括市水投集团及其属下子公司）书面限制投标的企业名单。（名单详见附件）</w:t>
      </w:r>
    </w:p>
    <w:p>
      <w:pPr>
        <w:pStyle w:val="21"/>
        <w:ind w:firstLine="0"/>
        <w:rPr>
          <w:rFonts w:hint="eastAsia" w:ascii="仿宋" w:hAnsi="仿宋" w:eastAsia="仿宋" w:cs="仿宋"/>
          <w:b/>
          <w:color w:val="auto"/>
          <w:kern w:val="2"/>
          <w:sz w:val="24"/>
          <w:highlight w:val="none"/>
          <w:lang w:val="en-US" w:eastAsia="zh-CN" w:bidi="ar-SA"/>
        </w:rPr>
      </w:pPr>
      <w:r>
        <w:rPr>
          <w:rFonts w:hint="eastAsia" w:ascii="仿宋" w:hAnsi="仿宋" w:eastAsia="仿宋" w:cs="仿宋"/>
          <w:b/>
          <w:color w:val="auto"/>
          <w:kern w:val="2"/>
          <w:sz w:val="24"/>
          <w:highlight w:val="none"/>
          <w:lang w:val="en-US" w:eastAsia="zh-CN" w:bidi="ar-SA"/>
        </w:rPr>
        <w:t>附件：</w:t>
      </w: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被纳入本项目</w:t>
      </w:r>
      <w:r>
        <w:rPr>
          <w:rFonts w:hint="eastAsia" w:ascii="仿宋" w:hAnsi="仿宋" w:eastAsia="仿宋" w:cs="仿宋"/>
          <w:b/>
          <w:color w:val="auto"/>
          <w:sz w:val="24"/>
          <w:highlight w:val="none"/>
          <w:lang w:val="en-US" w:eastAsia="zh-CN"/>
        </w:rPr>
        <w:t>询价</w:t>
      </w:r>
      <w:r>
        <w:rPr>
          <w:rFonts w:hint="eastAsia" w:ascii="仿宋" w:hAnsi="仿宋" w:eastAsia="仿宋" w:cs="仿宋"/>
          <w:b/>
          <w:color w:val="auto"/>
          <w:sz w:val="24"/>
          <w:highlight w:val="none"/>
        </w:rPr>
        <w:t>人（包括市水投集团及其属下子公司）书面限制投标的企业名单</w:t>
      </w:r>
    </w:p>
    <w:tbl>
      <w:tblPr>
        <w:tblStyle w:val="22"/>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2022年1月1日至2022年12月31日</w:t>
            </w:r>
          </w:p>
        </w:tc>
      </w:tr>
    </w:tbl>
    <w:p>
      <w:pPr>
        <w:pStyle w:val="31"/>
        <w:autoSpaceDE w:val="0"/>
        <w:autoSpaceDN w:val="0"/>
        <w:ind w:firstLine="56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七、现场踏勘(答疑会)时间地点（也可由报价单位自行踏勘现场）：/</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八、询价文件的获取：在2022年</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日10时00分前，在广州市净水有限公司门户网站免费下载。</w:t>
      </w:r>
    </w:p>
    <w:p>
      <w:pPr>
        <w:spacing w:line="54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九、询价响应文件递交时间：2022年</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日9时30分至10时00分；询价响应文件递交截止时间：2022年</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日10时00分。递交响应文件时须提供授权委托人身份证原件备查。</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十、响应文件送达地点：广州市天河区临江大道501号广州市净水有限公司。（</w:t>
      </w:r>
      <w:r>
        <w:rPr>
          <w:rFonts w:hint="eastAsia" w:ascii="仿宋" w:hAnsi="仿宋" w:eastAsia="仿宋" w:cs="仿宋"/>
          <w:color w:val="auto"/>
          <w:sz w:val="28"/>
          <w:szCs w:val="28"/>
          <w:highlight w:val="none"/>
          <w:lang w:val="zh-CN"/>
        </w:rPr>
        <w:t>基于疫情防控形势，授权委托人须通过“广州净水公司”微信公众号（提前）预约，填写访客预约信息（包括：1.三天内的核酸检测证明截图；2.穗康码为绿码的截图；3.行程14天内未有中高风险区域记录的行程截图）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color w:val="auto"/>
          <w:sz w:val="28"/>
          <w:szCs w:val="28"/>
          <w:highlight w:val="none"/>
        </w:rPr>
        <w:t>）</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十一、评审时间：2022年</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日1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时00分</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十二、评审地点：广州市净水有限公司六楼招标办</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十三、询价人的联系方式</w:t>
      </w:r>
    </w:p>
    <w:p>
      <w:pPr>
        <w:snapToGrid w:val="0"/>
        <w:spacing w:line="540" w:lineRule="exact"/>
        <w:ind w:firstLine="630" w:firstLineChars="22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询价人：广州市净水有限公司</w:t>
      </w:r>
    </w:p>
    <w:p>
      <w:pPr>
        <w:snapToGrid w:val="0"/>
        <w:spacing w:line="54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联系地址：广州市天河区临江大道501号</w:t>
      </w:r>
    </w:p>
    <w:p>
      <w:pPr>
        <w:snapToGrid w:val="0"/>
        <w:spacing w:line="540" w:lineRule="exact"/>
        <w:ind w:firstLine="700" w:firstLineChars="25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黄</w:t>
      </w:r>
      <w:r>
        <w:rPr>
          <w:rFonts w:hint="eastAsia" w:ascii="仿宋" w:hAnsi="仿宋" w:eastAsia="仿宋" w:cs="仿宋"/>
          <w:color w:val="auto"/>
          <w:sz w:val="28"/>
          <w:szCs w:val="28"/>
          <w:highlight w:val="none"/>
        </w:rPr>
        <w:t>工                   联系方式：020-</w:t>
      </w:r>
      <w:r>
        <w:rPr>
          <w:rFonts w:hint="eastAsia" w:ascii="仿宋" w:hAnsi="仿宋" w:eastAsia="仿宋" w:cs="仿宋"/>
          <w:color w:val="auto"/>
          <w:sz w:val="28"/>
          <w:szCs w:val="28"/>
          <w:highlight w:val="none"/>
          <w:lang w:val="en-US" w:eastAsia="zh-CN"/>
        </w:rPr>
        <w:t>62315524</w:t>
      </w:r>
    </w:p>
    <w:p>
      <w:pPr>
        <w:wordWrap w:val="0"/>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广州市净水有限公司</w:t>
      </w:r>
    </w:p>
    <w:p>
      <w:pPr>
        <w:wordWrap w:val="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highlight w:val="none"/>
        </w:rPr>
        <w:t xml:space="preserve">                                               </w:t>
      </w:r>
      <w:r>
        <w:rPr>
          <w:rFonts w:ascii="仿宋" w:hAnsi="仿宋" w:eastAsia="仿宋" w:cs="仿宋"/>
          <w:color w:val="auto"/>
          <w:sz w:val="28"/>
          <w:szCs w:val="28"/>
          <w:highlight w:val="none"/>
        </w:rPr>
        <w:t>202</w:t>
      </w:r>
      <w:r>
        <w:rPr>
          <w:rFonts w:hint="eastAsia" w:ascii="仿宋" w:hAnsi="仿宋" w:eastAsia="仿宋" w:cs="仿宋"/>
          <w:color w:val="auto"/>
          <w:sz w:val="28"/>
          <w:szCs w:val="28"/>
          <w:highlight w:val="none"/>
        </w:rPr>
        <w:t>2</w:t>
      </w:r>
      <w:r>
        <w:rPr>
          <w:rFonts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3</w:t>
      </w:r>
      <w:r>
        <w:rPr>
          <w:rFonts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10</w:t>
      </w:r>
      <w:r>
        <w:rPr>
          <w:rFonts w:ascii="仿宋" w:hAnsi="仿宋" w:eastAsia="仿宋" w:cs="仿宋"/>
          <w:color w:val="auto"/>
          <w:sz w:val="28"/>
          <w:szCs w:val="28"/>
          <w:highlight w:val="none"/>
        </w:rPr>
        <w:t>日</w:t>
      </w:r>
    </w:p>
    <w:p>
      <w:pPr>
        <w:rPr>
          <w:rFonts w:ascii="仿宋" w:hAnsi="仿宋" w:eastAsia="仿宋" w:cs="仿宋"/>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300" w:lineRule="auto"/>
        <w:jc w:val="center"/>
        <w:rPr>
          <w:rFonts w:ascii="仿宋" w:hAnsi="仿宋" w:eastAsia="仿宋" w:cs="仿宋"/>
          <w:b/>
          <w:sz w:val="28"/>
          <w:szCs w:val="28"/>
        </w:rPr>
      </w:pPr>
      <w:r>
        <w:rPr>
          <w:rFonts w:hint="eastAsia" w:ascii="仿宋" w:hAnsi="仿宋" w:eastAsia="仿宋" w:cs="仿宋"/>
          <w:b/>
          <w:sz w:val="28"/>
          <w:szCs w:val="28"/>
        </w:rPr>
        <w:t>第二部分项目内容</w:t>
      </w:r>
    </w:p>
    <w:p>
      <w:pPr>
        <w:pStyle w:val="12"/>
        <w:adjustRightInd w:val="0"/>
        <w:snapToGrid w:val="0"/>
        <w:spacing w:line="500" w:lineRule="exact"/>
        <w:ind w:firstLine="560" w:firstLineChars="200"/>
        <w:rPr>
          <w:rFonts w:ascii="仿宋" w:hAnsi="仿宋" w:eastAsia="仿宋" w:cs="仿宋"/>
          <w:bCs/>
          <w:sz w:val="28"/>
          <w:szCs w:val="28"/>
          <w:lang w:val="zh-CN"/>
        </w:rPr>
      </w:pPr>
    </w:p>
    <w:p>
      <w:pPr>
        <w:adjustRightInd w:val="0"/>
        <w:snapToGrid w:val="0"/>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报价单位须对本项目为单位的服务进行整体响应，任何只对其中一部分内容进行的响应都被视为无效响应。 </w:t>
      </w:r>
    </w:p>
    <w:p>
      <w:pPr>
        <w:spacing w:line="300" w:lineRule="auto"/>
        <w:ind w:firstLine="560" w:firstLineChars="200"/>
        <w:rPr>
          <w:rFonts w:ascii="宋体" w:hAnsi="宋体" w:eastAsia="宋体" w:cs="宋体"/>
          <w:sz w:val="24"/>
          <w:szCs w:val="24"/>
        </w:rPr>
      </w:pPr>
      <w:r>
        <w:rPr>
          <w:rFonts w:hint="eastAsia" w:ascii="仿宋" w:hAnsi="仿宋" w:eastAsia="仿宋" w:cs="仿宋"/>
          <w:sz w:val="28"/>
          <w:szCs w:val="28"/>
        </w:rPr>
        <w:t>询价文件中所有要求均为实质性响应条款，供应商如有任何一条负偏离则导致响应文件无效。</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sz w:val="28"/>
          <w:szCs w:val="28"/>
        </w:rPr>
        <w:t>一、</w:t>
      </w:r>
      <w:r>
        <w:rPr>
          <w:rFonts w:hint="eastAsia" w:ascii="仿宋" w:hAnsi="仿宋" w:eastAsia="仿宋" w:cs="仿宋"/>
          <w:b/>
          <w:bCs/>
          <w:sz w:val="28"/>
          <w:szCs w:val="28"/>
        </w:rPr>
        <w:t>项目概况</w:t>
      </w:r>
    </w:p>
    <w:p>
      <w:pPr>
        <w:spacing w:line="360" w:lineRule="auto"/>
        <w:ind w:firstLine="560" w:firstLineChars="200"/>
        <w:rPr>
          <w:rFonts w:ascii="仿宋" w:hAnsi="仿宋" w:eastAsia="仿宋" w:cs="仿宋"/>
          <w:sz w:val="28"/>
          <w:szCs w:val="28"/>
        </w:rPr>
      </w:pPr>
      <w:bookmarkStart w:id="0" w:name="_Hlk83911574"/>
      <w:r>
        <w:rPr>
          <w:rFonts w:hint="eastAsia" w:ascii="仿宋" w:hAnsi="仿宋" w:eastAsia="仿宋" w:cs="仿宋"/>
          <w:sz w:val="28"/>
          <w:szCs w:val="28"/>
        </w:rPr>
        <w:t>根据近年来市委、市府相关会议精神，要求广州市净水有限公司积极探索推进地埋式净水厂上盖地块综合开发利用，充分盘活存量土地资源，发展多元化产业，创新新的盈利增长点。为有效盘活国有资产物业，落实《广州市国资委关于积极盘活物业支持市属国企高质量发展的通知》的要求，广州市净水有限公司通过地块临时出租经营，提高国有土地使用效率。</w:t>
      </w:r>
      <w:bookmarkEnd w:id="0"/>
      <w:r>
        <w:rPr>
          <w:rFonts w:hint="eastAsia" w:ascii="仿宋" w:hAnsi="仿宋" w:eastAsia="仿宋" w:cs="仿宋"/>
          <w:sz w:val="28"/>
          <w:szCs w:val="28"/>
        </w:rPr>
        <w:t>本次拟出租的地块具体情况如下：</w:t>
      </w:r>
    </w:p>
    <w:tbl>
      <w:tblPr>
        <w:tblStyle w:val="22"/>
        <w:tblW w:w="8510" w:type="dxa"/>
        <w:jc w:val="center"/>
        <w:tblLayout w:type="fixed"/>
        <w:tblCellMar>
          <w:top w:w="0" w:type="dxa"/>
          <w:left w:w="0" w:type="dxa"/>
          <w:bottom w:w="0" w:type="dxa"/>
          <w:right w:w="0" w:type="dxa"/>
        </w:tblCellMar>
      </w:tblPr>
      <w:tblGrid>
        <w:gridCol w:w="1594"/>
        <w:gridCol w:w="1217"/>
        <w:gridCol w:w="2167"/>
        <w:gridCol w:w="3532"/>
      </w:tblGrid>
      <w:tr>
        <w:tblPrEx>
          <w:tblCellMar>
            <w:top w:w="0" w:type="dxa"/>
            <w:left w:w="0" w:type="dxa"/>
            <w:bottom w:w="0" w:type="dxa"/>
            <w:right w:w="0" w:type="dxa"/>
          </w:tblCellMar>
        </w:tblPrEx>
        <w:trPr>
          <w:trHeight w:val="716" w:hRule="atLeast"/>
          <w:jc w:val="center"/>
        </w:trPr>
        <w:tc>
          <w:tcPr>
            <w:tcW w:w="159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sz w:val="24"/>
              </w:rPr>
              <w:t>地块名称</w:t>
            </w:r>
          </w:p>
        </w:tc>
        <w:tc>
          <w:tcPr>
            <w:tcW w:w="121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sz w:val="24"/>
              </w:rPr>
              <w:t>土地面积</w:t>
            </w:r>
          </w:p>
        </w:tc>
        <w:tc>
          <w:tcPr>
            <w:tcW w:w="216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sz w:val="24"/>
              </w:rPr>
              <w:t>土地性质</w:t>
            </w:r>
          </w:p>
        </w:tc>
        <w:tc>
          <w:tcPr>
            <w:tcW w:w="353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临时经营范围</w:t>
            </w:r>
          </w:p>
        </w:tc>
      </w:tr>
      <w:tr>
        <w:tblPrEx>
          <w:tblCellMar>
            <w:top w:w="0" w:type="dxa"/>
            <w:left w:w="0" w:type="dxa"/>
            <w:bottom w:w="0" w:type="dxa"/>
            <w:right w:w="0" w:type="dxa"/>
          </w:tblCellMar>
        </w:tblPrEx>
        <w:trPr>
          <w:trHeight w:val="691" w:hRule="atLeast"/>
          <w:jc w:val="center"/>
        </w:trPr>
        <w:tc>
          <w:tcPr>
            <w:tcW w:w="15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猎德净水厂</w:t>
            </w:r>
          </w:p>
        </w:tc>
        <w:tc>
          <w:tcPr>
            <w:tcW w:w="121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0.3公顷</w:t>
            </w:r>
          </w:p>
        </w:tc>
        <w:tc>
          <w:tcPr>
            <w:tcW w:w="21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环境设施用地U2</w:t>
            </w:r>
          </w:p>
        </w:tc>
        <w:tc>
          <w:tcPr>
            <w:tcW w:w="35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智能充电站、停车场等</w:t>
            </w:r>
          </w:p>
        </w:tc>
      </w:tr>
    </w:tbl>
    <w:p>
      <w:pPr>
        <w:spacing w:line="300" w:lineRule="auto"/>
        <w:ind w:firstLine="562" w:firstLineChars="200"/>
        <w:rPr>
          <w:rFonts w:ascii="仿宋" w:hAnsi="仿宋" w:eastAsia="仿宋" w:cs="仿宋"/>
          <w:b/>
          <w:sz w:val="28"/>
          <w:szCs w:val="28"/>
        </w:rPr>
      </w:pPr>
      <w:r>
        <w:rPr>
          <w:rFonts w:hint="eastAsia" w:ascii="仿宋" w:hAnsi="仿宋" w:eastAsia="仿宋" w:cs="仿宋"/>
          <w:b/>
          <w:sz w:val="28"/>
          <w:szCs w:val="28"/>
        </w:rPr>
        <w:t>二、项目技术要求</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1.报价单位应按照国家、省、市各级政府颁布的有关法律、法规的规定，结合本项目的实际情况对土地采取合理方式进行现场勘察、价值测算，并最终出具资产评估报告,保证评估结果的客观、公正、公平性；</w:t>
      </w:r>
    </w:p>
    <w:p>
      <w:pPr>
        <w:pStyle w:val="10"/>
        <w:spacing w:line="360" w:lineRule="auto"/>
        <w:ind w:firstLine="560" w:firstLineChars="200"/>
        <w:rPr>
          <w:rFonts w:ascii="仿宋" w:hAnsi="仿宋" w:eastAsia="仿宋" w:cs="仿宋"/>
          <w:szCs w:val="28"/>
          <w:highlight w:val="none"/>
        </w:rPr>
      </w:pPr>
      <w:r>
        <w:rPr>
          <w:rFonts w:hint="eastAsia" w:ascii="仿宋" w:hAnsi="仿宋" w:eastAsia="仿宋" w:cs="仿宋"/>
          <w:sz w:val="28"/>
          <w:szCs w:val="28"/>
          <w:highlight w:val="none"/>
        </w:rPr>
        <w:t>2.资产评估报告须加盖评估单位公章，并需有两名资产评估师签章；</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3.资产评估报告必须符合《中华人民共和国资产评估法》《中华人民共和国民法典》等有关国家和地方的法律、法规、规章、标准和技术要求。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none"/>
        </w:rPr>
        <w:t>4.需出具资产评估报告。</w:t>
      </w:r>
    </w:p>
    <w:p>
      <w:pPr>
        <w:spacing w:line="300" w:lineRule="auto"/>
        <w:ind w:firstLine="562" w:firstLineChars="200"/>
        <w:rPr>
          <w:rFonts w:ascii="仿宋" w:hAnsi="仿宋" w:eastAsia="仿宋" w:cs="仿宋"/>
          <w:b/>
          <w:sz w:val="28"/>
          <w:szCs w:val="28"/>
        </w:rPr>
      </w:pPr>
      <w:r>
        <w:rPr>
          <w:rFonts w:hint="eastAsia" w:ascii="仿宋" w:hAnsi="仿宋" w:eastAsia="仿宋" w:cs="仿宋"/>
          <w:b/>
          <w:sz w:val="28"/>
          <w:szCs w:val="28"/>
        </w:rPr>
        <w:t>三、项目商务要求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1.工期及成果：见合同书格式。</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2.质量要求：通过相关行政主管部门或单位的评审和审批。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3.付款方式：见合同书格式。</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4.承包方式：总价包干。</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本合同采用总价包干，工作内容包括完成本合同项下的所有工作。整个项目主要工作内容包括：</w:t>
      </w:r>
    </w:p>
    <w:p>
      <w:pPr>
        <w:snapToGrid w:val="0"/>
        <w:spacing w:line="360" w:lineRule="auto"/>
        <w:ind w:firstLine="560" w:firstLineChars="200"/>
        <w:rPr>
          <w:rFonts w:ascii="仿宋" w:hAnsi="仿宋" w:eastAsia="仿宋" w:cs="仿宋"/>
          <w:kern w:val="24"/>
          <w:sz w:val="28"/>
          <w:szCs w:val="28"/>
        </w:rPr>
      </w:pPr>
      <w:r>
        <w:rPr>
          <w:rFonts w:hint="eastAsia" w:ascii="仿宋" w:hAnsi="仿宋" w:eastAsia="仿宋" w:cs="仿宋"/>
          <w:kern w:val="24"/>
          <w:sz w:val="28"/>
          <w:szCs w:val="28"/>
        </w:rPr>
        <w:t>（一）明确业务基本事项：在接到委托方发出的委托通知后，第一时间响应委托人需求，派出具有丰富资产评估经验的评估师作为项目负责人，与委托人进行评估基本事项明确。</w:t>
      </w:r>
    </w:p>
    <w:p>
      <w:pPr>
        <w:snapToGrid w:val="0"/>
        <w:spacing w:line="360" w:lineRule="auto"/>
        <w:ind w:firstLine="560" w:firstLineChars="200"/>
        <w:rPr>
          <w:rFonts w:ascii="仿宋" w:hAnsi="仿宋" w:eastAsia="仿宋" w:cs="仿宋"/>
          <w:kern w:val="24"/>
          <w:sz w:val="28"/>
          <w:szCs w:val="28"/>
        </w:rPr>
      </w:pPr>
      <w:r>
        <w:rPr>
          <w:rFonts w:hint="eastAsia" w:ascii="仿宋" w:hAnsi="仿宋" w:eastAsia="仿宋" w:cs="仿宋"/>
          <w:kern w:val="24"/>
          <w:sz w:val="28"/>
          <w:szCs w:val="28"/>
        </w:rPr>
        <w:t>（二）订立业务委托合同：与委托人订立资产评估委托合同，明确评估报告提交期限和方式等。</w:t>
      </w:r>
    </w:p>
    <w:p>
      <w:pPr>
        <w:snapToGrid w:val="0"/>
        <w:spacing w:line="360" w:lineRule="auto"/>
        <w:ind w:firstLine="560" w:firstLineChars="200"/>
        <w:rPr>
          <w:rFonts w:ascii="仿宋" w:hAnsi="仿宋" w:eastAsia="仿宋" w:cs="仿宋"/>
          <w:kern w:val="24"/>
          <w:sz w:val="28"/>
          <w:szCs w:val="28"/>
        </w:rPr>
      </w:pPr>
      <w:r>
        <w:rPr>
          <w:rFonts w:hint="eastAsia" w:ascii="仿宋" w:hAnsi="仿宋" w:eastAsia="仿宋" w:cs="仿宋"/>
          <w:kern w:val="24"/>
          <w:sz w:val="28"/>
          <w:szCs w:val="28"/>
        </w:rPr>
        <w:t>（三）资料收集、编制评估计划与现场查勘：收集整理委托地块的基础资料，根据了解到的项目基本情况，与委托人沟通后，对项目的工作量、人员及时间安排、评估技术路线等评估各阶段的工作内容及注意事项等做出统一安排；到地块现场进行实地勘察，并对土地的四至、现状、周边状况，限制情况进行核查。</w:t>
      </w:r>
    </w:p>
    <w:p>
      <w:pPr>
        <w:snapToGrid w:val="0"/>
        <w:spacing w:line="360" w:lineRule="auto"/>
        <w:ind w:firstLine="560" w:firstLineChars="200"/>
        <w:rPr>
          <w:rFonts w:ascii="仿宋" w:hAnsi="仿宋" w:eastAsia="仿宋" w:cs="仿宋"/>
          <w:kern w:val="24"/>
          <w:sz w:val="28"/>
          <w:szCs w:val="28"/>
        </w:rPr>
      </w:pPr>
      <w:r>
        <w:rPr>
          <w:rFonts w:hint="eastAsia" w:ascii="仿宋" w:hAnsi="仿宋" w:eastAsia="仿宋" w:cs="仿宋"/>
          <w:kern w:val="24"/>
          <w:sz w:val="28"/>
          <w:szCs w:val="28"/>
        </w:rPr>
        <w:t>（四）市场调研：根据收集的资料及现场查勘情况的分析，查询收集市场上的可比案例。</w:t>
      </w:r>
    </w:p>
    <w:p>
      <w:pPr>
        <w:snapToGrid w:val="0"/>
        <w:spacing w:line="360" w:lineRule="auto"/>
        <w:ind w:firstLine="560" w:firstLineChars="200"/>
        <w:rPr>
          <w:rFonts w:ascii="仿宋" w:hAnsi="仿宋" w:eastAsia="仿宋" w:cs="仿宋"/>
          <w:kern w:val="24"/>
          <w:sz w:val="28"/>
          <w:szCs w:val="28"/>
        </w:rPr>
      </w:pPr>
      <w:r>
        <w:rPr>
          <w:rFonts w:hint="eastAsia" w:ascii="仿宋" w:hAnsi="仿宋" w:eastAsia="仿宋" w:cs="仿宋"/>
          <w:kern w:val="24"/>
          <w:sz w:val="28"/>
          <w:szCs w:val="28"/>
        </w:rPr>
        <w:t>（五）评估测算：根据资产评估相关规范，选取合适的评估方法，进行量化分析测算，评估测算委估地块租金评估值。</w:t>
      </w:r>
    </w:p>
    <w:p>
      <w:pPr>
        <w:snapToGrid w:val="0"/>
        <w:spacing w:line="360" w:lineRule="auto"/>
        <w:ind w:firstLine="560" w:firstLineChars="200"/>
        <w:rPr>
          <w:rFonts w:ascii="仿宋" w:hAnsi="仿宋" w:eastAsia="仿宋" w:cs="仿宋"/>
          <w:kern w:val="24"/>
          <w:sz w:val="28"/>
          <w:szCs w:val="28"/>
        </w:rPr>
      </w:pPr>
      <w:r>
        <w:rPr>
          <w:rFonts w:hint="eastAsia" w:ascii="仿宋" w:hAnsi="仿宋" w:eastAsia="仿宋" w:cs="仿宋"/>
          <w:kern w:val="24"/>
          <w:sz w:val="28"/>
          <w:szCs w:val="28"/>
        </w:rPr>
        <w:t>（六）编制评估报告：测算出初步评估值后，与委托人沟通，经委托人相关的疑问进行解答沟通，双方无误后，编制提交评估报告初稿。</w:t>
      </w:r>
    </w:p>
    <w:p>
      <w:pPr>
        <w:snapToGrid w:val="0"/>
        <w:spacing w:line="360" w:lineRule="auto"/>
        <w:ind w:firstLine="560" w:firstLineChars="200"/>
        <w:rPr>
          <w:rFonts w:ascii="仿宋" w:hAnsi="仿宋" w:eastAsia="仿宋" w:cs="仿宋"/>
          <w:kern w:val="24"/>
          <w:sz w:val="28"/>
          <w:szCs w:val="28"/>
        </w:rPr>
      </w:pPr>
      <w:r>
        <w:rPr>
          <w:rFonts w:hint="eastAsia" w:ascii="仿宋" w:hAnsi="仿宋" w:eastAsia="仿宋" w:cs="仿宋"/>
          <w:kern w:val="24"/>
          <w:sz w:val="28"/>
          <w:szCs w:val="28"/>
        </w:rPr>
        <w:t>（七）评审阶段：当业务流程需要时，配合委托方召开评审会，并根据评审意见对报告进行调整或对评审意见进行答复，最终</w:t>
      </w:r>
      <w:r>
        <w:rPr>
          <w:rFonts w:hint="eastAsia" w:ascii="仿宋" w:hAnsi="仿宋" w:eastAsia="仿宋" w:cs="仿宋"/>
          <w:sz w:val="28"/>
          <w:szCs w:val="28"/>
        </w:rPr>
        <w:t>通过相关行政主管部门或单位的评审和审批</w:t>
      </w:r>
      <w:r>
        <w:rPr>
          <w:rFonts w:hint="eastAsia" w:ascii="仿宋" w:hAnsi="仿宋" w:eastAsia="仿宋" w:cs="仿宋"/>
          <w:kern w:val="24"/>
          <w:sz w:val="28"/>
          <w:szCs w:val="28"/>
        </w:rPr>
        <w:t>。</w:t>
      </w:r>
    </w:p>
    <w:p>
      <w:pPr>
        <w:snapToGrid w:val="0"/>
        <w:spacing w:line="360" w:lineRule="auto"/>
        <w:ind w:firstLine="560" w:firstLineChars="200"/>
        <w:rPr>
          <w:rFonts w:ascii="仿宋" w:hAnsi="仿宋" w:eastAsia="仿宋" w:cs="仿宋"/>
          <w:kern w:val="24"/>
          <w:sz w:val="28"/>
          <w:szCs w:val="28"/>
        </w:rPr>
      </w:pPr>
      <w:r>
        <w:rPr>
          <w:rFonts w:hint="eastAsia" w:ascii="仿宋" w:hAnsi="仿宋" w:eastAsia="仿宋" w:cs="仿宋"/>
          <w:kern w:val="24"/>
          <w:sz w:val="28"/>
          <w:szCs w:val="28"/>
        </w:rPr>
        <w:t>（八）出具正式评估报告：经双方协商无误后，出具正式评估报告。</w:t>
      </w:r>
    </w:p>
    <w:p>
      <w:pPr>
        <w:pStyle w:val="11"/>
      </w:pPr>
    </w:p>
    <w:p>
      <w:pPr>
        <w:pStyle w:val="11"/>
        <w:sectPr>
          <w:footerReference r:id="rId6" w:type="default"/>
          <w:pgSz w:w="11910" w:h="16840"/>
          <w:pgMar w:top="1480" w:right="1440" w:bottom="1220" w:left="1580" w:header="0" w:footer="1024" w:gutter="0"/>
          <w:cols w:space="720" w:num="1"/>
        </w:sectPr>
      </w:pPr>
    </w:p>
    <w:p>
      <w:pPr>
        <w:pStyle w:val="12"/>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报价须知</w:t>
      </w:r>
    </w:p>
    <w:p>
      <w:pPr>
        <w:pStyle w:val="12"/>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12"/>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12"/>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12"/>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７.3询价文件的修改或澄清将以书面形式通知所有获取询价文件的报价单位，并对其具有约束力。</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7.4询价人可以视询价具体情况，延长递交询价响应文件截止时间，并将变更时间以书面形式通知所有询价文件收受人。</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7.5 书面形式包括但不限于以纸质、电子邮件、门户网站信息公告等形式。</w:t>
      </w:r>
    </w:p>
    <w:p>
      <w:pPr>
        <w:pStyle w:val="12"/>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12"/>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2"/>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（1）与询价人存在利害关系且可能影响询价公正性；</w:t>
      </w:r>
    </w:p>
    <w:p>
      <w:pPr>
        <w:pStyle w:val="12"/>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（2）法定代表人或单位负责人为同一个人或者存在控股、管理关系的不同单位,同时参加同一项目或同一子项目；</w:t>
      </w:r>
    </w:p>
    <w:p>
      <w:pPr>
        <w:pStyle w:val="12"/>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（3）为本询价项目提供过设计、编制技术规范和其他文件的咨询服务；</w:t>
      </w:r>
    </w:p>
    <w:p>
      <w:pPr>
        <w:pStyle w:val="12"/>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（4）</w:t>
      </w:r>
      <w:r>
        <w:rPr>
          <w:rFonts w:hint="eastAsia" w:ascii="仿宋" w:hAnsi="仿宋" w:eastAsia="仿宋" w:cs="仿宋_GB2312"/>
          <w:sz w:val="28"/>
          <w:szCs w:val="28"/>
        </w:rPr>
        <w:t>被依法暂停或者</w:t>
      </w:r>
      <w:r>
        <w:rPr>
          <w:rFonts w:hint="eastAsia" w:ascii="仿宋" w:hAnsi="仿宋" w:eastAsia="仿宋" w:cs="仿宋_GB2312"/>
          <w:kern w:val="0"/>
          <w:sz w:val="28"/>
          <w:szCs w:val="28"/>
        </w:rPr>
        <w:t>取消投标资格；</w:t>
      </w:r>
    </w:p>
    <w:p>
      <w:pPr>
        <w:pStyle w:val="12"/>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（5）被责令停产停业、暂扣或者吊销许可证、暂扣或者吊销执照；</w:t>
      </w:r>
    </w:p>
    <w:p>
      <w:pPr>
        <w:pStyle w:val="12"/>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（6）进入清算程序，或被宣告破产，或其他丧失履约能力的情形；</w:t>
      </w:r>
    </w:p>
    <w:p>
      <w:pPr>
        <w:pStyle w:val="12"/>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（7）在参加本项目前3年内在存在重大违法记录；</w:t>
      </w:r>
    </w:p>
    <w:p>
      <w:pPr>
        <w:pStyle w:val="12"/>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（8）被“全国企业信用信息公示系统”（网址：http://www.gsxt.gov.cn/）列入经营异常名录和严重违法失信企业名单；</w:t>
      </w:r>
    </w:p>
    <w:p>
      <w:pPr>
        <w:pStyle w:val="12"/>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（9）被《信用中国》网站（www.creditchina.gov.cn）公示存在失信惩戒记录；</w:t>
      </w:r>
    </w:p>
    <w:p>
      <w:pPr>
        <w:pStyle w:val="12"/>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 xml:space="preserve">（10）本项目截止时间前的半年中，在询价人组织的招标、询价活动中被查实弄虚作假、相互串通投标的。 </w:t>
      </w:r>
    </w:p>
    <w:p>
      <w:pPr>
        <w:pStyle w:val="12"/>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12"/>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w:t>
      </w:r>
      <w:r>
        <w:rPr>
          <w:rFonts w:hint="eastAsia" w:ascii="仿宋" w:hAnsi="仿宋" w:eastAsia="仿宋" w:cs="仿宋_GB2312"/>
          <w:kern w:val="0"/>
          <w:sz w:val="28"/>
          <w:szCs w:val="28"/>
          <w:u w:val="single"/>
        </w:rPr>
        <w:t>不接受</w:t>
      </w:r>
      <w:r>
        <w:rPr>
          <w:rFonts w:hint="eastAsia" w:ascii="仿宋" w:hAnsi="仿宋" w:eastAsia="仿宋" w:cs="仿宋_GB2312"/>
          <w:kern w:val="0"/>
          <w:sz w:val="28"/>
          <w:szCs w:val="28"/>
        </w:rPr>
        <w:t>联合体参加报价。</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15.1询价响应文件应在询价会之日起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报价单位应编制询价响应文件一式二份，其中正本一份和副本一份，询价响应文件的副本可采用正本的复印件。每套询价响应文件须清楚地标明“正本”、“副本”。若副本与正本不符，以正本为准。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12"/>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12"/>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12"/>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12"/>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pStyle w:val="28"/>
        <w:rPr>
          <w:rFonts w:ascii="仿宋" w:hAnsi="仿宋" w:eastAsia="仿宋" w:cs="仿宋_GB2312"/>
          <w:color w:val="auto"/>
          <w:sz w:val="28"/>
          <w:szCs w:val="28"/>
        </w:rPr>
      </w:pPr>
      <w:r>
        <w:rPr>
          <w:rFonts w:hint="eastAsia" w:ascii="仿宋" w:hAnsi="仿宋" w:eastAsia="仿宋" w:cs="仿宋_GB2312"/>
          <w:color w:val="auto"/>
          <w:sz w:val="28"/>
          <w:szCs w:val="28"/>
        </w:rPr>
        <w:t>20.4拆封询价响应文件时，出现下列情形之一的，不参与评审：</w:t>
      </w:r>
    </w:p>
    <w:p>
      <w:pPr>
        <w:pStyle w:val="28"/>
        <w:rPr>
          <w:rFonts w:ascii="仿宋" w:hAnsi="仿宋" w:eastAsia="仿宋" w:cs="仿宋_GB2312"/>
          <w:color w:val="auto"/>
          <w:sz w:val="28"/>
          <w:szCs w:val="28"/>
        </w:rPr>
      </w:pPr>
      <w:r>
        <w:rPr>
          <w:rFonts w:hint="eastAsia" w:ascii="仿宋" w:hAnsi="仿宋" w:eastAsia="仿宋" w:cs="仿宋_GB2312"/>
          <w:color w:val="auto"/>
          <w:sz w:val="28"/>
          <w:szCs w:val="28"/>
        </w:rPr>
        <w:t>（1）响应文件没密封完整的，或封面未注明报价单位名称、项目名称、日期等项目信息的；</w:t>
      </w:r>
    </w:p>
    <w:p>
      <w:pPr>
        <w:pStyle w:val="28"/>
        <w:rPr>
          <w:rFonts w:ascii="仿宋" w:hAnsi="仿宋" w:eastAsia="仿宋" w:cs="仿宋_GB2312"/>
          <w:color w:val="auto"/>
          <w:sz w:val="28"/>
          <w:szCs w:val="28"/>
        </w:rPr>
      </w:pPr>
      <w:r>
        <w:rPr>
          <w:rFonts w:hint="eastAsia" w:ascii="仿宋" w:hAnsi="仿宋" w:eastAsia="仿宋" w:cs="仿宋_GB2312"/>
          <w:color w:val="auto"/>
          <w:sz w:val="28"/>
          <w:szCs w:val="28"/>
        </w:rPr>
        <w:t>（2）响应文件中的法定代表人或授权代理人与报价响应文件登记表的信息不一致的。</w:t>
      </w:r>
    </w:p>
    <w:p>
      <w:pPr>
        <w:pStyle w:val="28"/>
        <w:rPr>
          <w:rFonts w:ascii="仿宋" w:hAnsi="仿宋" w:eastAsia="仿宋" w:cs="仿宋_GB2312"/>
          <w:color w:val="auto"/>
          <w:sz w:val="28"/>
          <w:szCs w:val="28"/>
        </w:rPr>
      </w:pPr>
      <w:r>
        <w:rPr>
          <w:rFonts w:hint="eastAsia" w:ascii="仿宋" w:hAnsi="仿宋" w:eastAsia="仿宋" w:cs="仿宋_GB2312"/>
          <w:color w:val="auto"/>
          <w:sz w:val="28"/>
          <w:szCs w:val="28"/>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rPr>
      </w:pPr>
      <w:r>
        <w:rPr>
          <w:rFonts w:hint="eastAsia" w:ascii="仿宋" w:hAnsi="仿宋" w:eastAsia="仿宋" w:cs="仿宋_GB2312"/>
          <w:kern w:val="0"/>
          <w:sz w:val="28"/>
          <w:szCs w:val="28"/>
        </w:rPr>
        <w:t>21.4 询价小组进行综合评议。对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1"/>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12"/>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因承包人原因导致未按规定时限签订合同的，发包人有权视为其自动放弃该项目承包资格。</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w:t>
      </w:r>
      <w:r>
        <w:rPr>
          <w:rFonts w:ascii="仿宋" w:hAnsi="仿宋" w:eastAsia="仿宋" w:cs="仿宋_GB2312"/>
          <w:kern w:val="0"/>
          <w:sz w:val="28"/>
          <w:szCs w:val="28"/>
        </w:rPr>
        <w:t xml:space="preserve"> </w:t>
      </w:r>
      <w:r>
        <w:rPr>
          <w:rFonts w:ascii="仿宋" w:hAnsi="仿宋" w:eastAsia="仿宋" w:cs="仿宋_GB2312"/>
          <w:kern w:val="0"/>
          <w:sz w:val="28"/>
          <w:szCs w:val="28"/>
        </w:rPr>
        <w:tab/>
      </w:r>
      <w:r>
        <w:rPr>
          <w:rFonts w:hint="eastAsia" w:ascii="仿宋" w:hAnsi="仿宋" w:eastAsia="仿宋" w:cs="仿宋_GB2312"/>
          <w:kern w:val="0"/>
          <w:sz w:val="28"/>
          <w:szCs w:val="28"/>
        </w:rPr>
        <w:t>承包合同订立后，合同各方不得擅自变更、中止或者终止合同。承包合同需要变更的，询价人应将有关合同变更内容，以书面形式报我公司招标办备案；因特殊情况需要中止或终止合同的，询价人应将中止或终止合同的理由以及相应措施，以书面形式报我公司招标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pStyle w:val="28"/>
        <w:spacing w:line="300" w:lineRule="auto"/>
        <w:rPr>
          <w:rFonts w:ascii="仿宋" w:hAnsi="仿宋" w:eastAsia="仿宋" w:cs="仿宋_GB2312"/>
          <w:color w:val="auto"/>
          <w:sz w:val="28"/>
          <w:szCs w:val="28"/>
        </w:rPr>
      </w:pPr>
      <w:r>
        <w:rPr>
          <w:rFonts w:hint="eastAsia" w:ascii="仿宋" w:hAnsi="仿宋" w:eastAsia="仿宋" w:cs="仿宋_GB2312"/>
          <w:sz w:val="28"/>
          <w:szCs w:val="28"/>
        </w:rPr>
        <w:t xml:space="preserve">26. </w:t>
      </w:r>
      <w:r>
        <w:rPr>
          <w:rFonts w:hint="eastAsia" w:ascii="仿宋" w:hAnsi="仿宋" w:eastAsia="仿宋" w:cs="仿宋_GB2312"/>
          <w:color w:val="auto"/>
          <w:sz w:val="28"/>
          <w:szCs w:val="28"/>
        </w:rPr>
        <w:t>如果报价人认为询价文件或询价过程或询价结果使其权益受到损害的，</w:t>
      </w:r>
    </w:p>
    <w:p>
      <w:pPr>
        <w:autoSpaceDE w:val="0"/>
        <w:autoSpaceDN w:val="0"/>
        <w:adjustRightInd w:val="0"/>
        <w:snapToGrid w:val="0"/>
        <w:spacing w:line="300" w:lineRule="auto"/>
        <w:ind w:left="420" w:right="32" w:hanging="420"/>
        <w:rPr>
          <w:rFonts w:ascii="仿宋" w:hAnsi="仿宋" w:eastAsia="仿宋" w:cs="仿宋_GB2312"/>
          <w:kern w:val="0"/>
          <w:sz w:val="28"/>
          <w:szCs w:val="28"/>
        </w:rPr>
      </w:pPr>
      <w:r>
        <w:rPr>
          <w:rFonts w:hint="eastAsia" w:ascii="仿宋" w:hAnsi="仿宋" w:eastAsia="仿宋" w:cs="仿宋_GB2312"/>
          <w:kern w:val="0"/>
          <w:sz w:val="28"/>
          <w:szCs w:val="28"/>
        </w:rPr>
        <w:t>可向询价人提出书面质疑。询价人应在规定时间内给与答复。</w:t>
      </w:r>
    </w:p>
    <w:p>
      <w:pPr>
        <w:widowControl/>
        <w:jc w:val="left"/>
        <w:rPr>
          <w:sz w:val="28"/>
          <w:szCs w:val="28"/>
        </w:rPr>
      </w:pPr>
      <w:r>
        <w:rPr>
          <w:sz w:val="28"/>
          <w:szCs w:val="28"/>
        </w:rPr>
        <w:br w:type="page"/>
      </w:r>
    </w:p>
    <w:p>
      <w:pPr>
        <w:pStyle w:val="4"/>
      </w:pPr>
      <w:bookmarkStart w:id="1" w:name="_Toc371433002"/>
      <w:bookmarkStart w:id="2" w:name="_Toc144974548"/>
      <w:bookmarkStart w:id="3" w:name="_Toc152045581"/>
      <w:bookmarkStart w:id="4" w:name="_Toc247085739"/>
      <w:bookmarkStart w:id="5" w:name="_Toc179632599"/>
      <w:bookmarkStart w:id="6" w:name="_Toc152042358"/>
      <w:r>
        <w:rPr>
          <w:rFonts w:hint="eastAsia"/>
        </w:rPr>
        <w:t>附件一报价记录表</w:t>
      </w:r>
      <w:bookmarkEnd w:id="1"/>
      <w:bookmarkEnd w:id="2"/>
      <w:bookmarkEnd w:id="3"/>
      <w:bookmarkEnd w:id="4"/>
      <w:bookmarkEnd w:id="5"/>
      <w:bookmarkEnd w:id="6"/>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广州市净水有限公司猎德土地评估项目</w:t>
      </w:r>
      <w:r>
        <w:rPr>
          <w:rFonts w:hint="eastAsia" w:ascii="仿宋" w:hAnsi="仿宋" w:eastAsia="仿宋" w:cs="仿宋_GB2312"/>
          <w:color w:val="000000"/>
          <w:sz w:val="28"/>
          <w:szCs w:val="28"/>
        </w:rPr>
        <w:t>报价记录表</w:t>
      </w:r>
    </w:p>
    <w:p>
      <w:pPr>
        <w:spacing w:line="500" w:lineRule="exact"/>
        <w:ind w:firstLine="210" w:firstLineChars="100"/>
        <w:jc w:val="left"/>
        <w:rPr>
          <w:rFonts w:ascii="仿宋" w:hAnsi="仿宋" w:eastAsia="仿宋" w:cs="仿宋_GB2312"/>
          <w:color w:val="000000"/>
        </w:rPr>
      </w:pPr>
      <w:r>
        <w:rPr>
          <w:rFonts w:hint="eastAsia" w:ascii="仿宋" w:hAnsi="仿宋" w:eastAsia="仿宋" w:cs="仿宋_GB2312"/>
          <w:color w:val="000000"/>
          <w:szCs w:val="21"/>
        </w:rPr>
        <w:t xml:space="preserve">报价文件开启时间： </w:t>
      </w:r>
      <w:r>
        <w:rPr>
          <w:rFonts w:ascii="仿宋" w:hAnsi="仿宋" w:eastAsia="仿宋" w:cs="仿宋_GB2312"/>
          <w:color w:val="000000"/>
          <w:szCs w:val="21"/>
        </w:rPr>
        <w:t xml:space="preserve"> </w:t>
      </w:r>
      <w:r>
        <w:rPr>
          <w:rFonts w:hint="eastAsia" w:ascii="仿宋" w:hAnsi="仿宋" w:eastAsia="仿宋" w:cs="仿宋_GB2312"/>
          <w:color w:val="000000"/>
          <w:szCs w:val="21"/>
        </w:rPr>
        <w:t xml:space="preserve">年 </w:t>
      </w:r>
      <w:r>
        <w:rPr>
          <w:rFonts w:ascii="仿宋" w:hAnsi="仿宋" w:eastAsia="仿宋" w:cs="仿宋_GB2312"/>
          <w:color w:val="000000"/>
          <w:szCs w:val="21"/>
        </w:rPr>
        <w:t xml:space="preserve"> </w:t>
      </w:r>
      <w:r>
        <w:rPr>
          <w:rFonts w:hint="eastAsia" w:ascii="仿宋" w:hAnsi="仿宋" w:eastAsia="仿宋" w:cs="仿宋_GB2312"/>
          <w:color w:val="000000"/>
          <w:szCs w:val="21"/>
        </w:rPr>
        <w:t xml:space="preserve">月 </w:t>
      </w:r>
      <w:r>
        <w:rPr>
          <w:rFonts w:ascii="仿宋" w:hAnsi="仿宋" w:eastAsia="仿宋" w:cs="仿宋_GB2312"/>
          <w:color w:val="000000"/>
          <w:szCs w:val="21"/>
        </w:rPr>
        <w:t xml:space="preserve"> </w:t>
      </w:r>
      <w:r>
        <w:rPr>
          <w:rFonts w:hint="eastAsia" w:ascii="仿宋" w:hAnsi="仿宋" w:eastAsia="仿宋" w:cs="仿宋_GB2312"/>
          <w:color w:val="000000"/>
          <w:szCs w:val="21"/>
        </w:rPr>
        <w:t xml:space="preserve">日 </w:t>
      </w:r>
      <w:r>
        <w:rPr>
          <w:rFonts w:ascii="仿宋" w:hAnsi="仿宋" w:eastAsia="仿宋" w:cs="仿宋_GB2312"/>
          <w:color w:val="000000"/>
          <w:szCs w:val="21"/>
        </w:rPr>
        <w:t xml:space="preserve"> </w:t>
      </w:r>
      <w:r>
        <w:rPr>
          <w:rFonts w:hint="eastAsia" w:ascii="仿宋" w:hAnsi="仿宋" w:eastAsia="仿宋" w:cs="仿宋_GB2312"/>
          <w:color w:val="000000"/>
          <w:szCs w:val="21"/>
        </w:rPr>
        <w:t xml:space="preserve">时 </w:t>
      </w:r>
      <w:r>
        <w:rPr>
          <w:rFonts w:ascii="仿宋" w:hAnsi="仿宋" w:eastAsia="仿宋" w:cs="仿宋_GB2312"/>
          <w:color w:val="000000"/>
          <w:szCs w:val="21"/>
        </w:rPr>
        <w:t xml:space="preserve"> </w:t>
      </w:r>
      <w:r>
        <w:rPr>
          <w:rFonts w:hint="eastAsia" w:ascii="仿宋" w:hAnsi="仿宋" w:eastAsia="仿宋" w:cs="仿宋_GB2312"/>
          <w:color w:val="000000"/>
          <w:szCs w:val="21"/>
        </w:rPr>
        <w:t>分</w:t>
      </w:r>
    </w:p>
    <w:tbl>
      <w:tblPr>
        <w:tblStyle w:val="22"/>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w:t>
      </w:r>
      <w:r>
        <w:rPr>
          <w:rFonts w:ascii="仿宋" w:hAnsi="仿宋" w:eastAsia="仿宋" w:cs="仿宋_GB2312"/>
          <w:color w:val="000000"/>
        </w:rPr>
        <w:t xml:space="preserve">                                        </w:t>
      </w:r>
      <w:r>
        <w:rPr>
          <w:rFonts w:hint="eastAsia" w:ascii="仿宋" w:hAnsi="仿宋" w:eastAsia="仿宋" w:cs="仿宋_GB2312"/>
          <w:color w:val="000000"/>
        </w:rPr>
        <w:t>记录人：</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hanging="1200" w:hangingChars="500"/>
        <w:rPr>
          <w:rFonts w:ascii="仿宋" w:hAnsi="仿宋" w:eastAsia="仿宋"/>
          <w:color w:val="000000"/>
          <w:sz w:val="24"/>
        </w:rPr>
      </w:pPr>
      <w:r>
        <w:rPr>
          <w:rFonts w:hint="eastAsia" w:ascii="仿宋" w:hAnsi="仿宋" w:eastAsia="仿宋"/>
          <w:color w:val="000000"/>
          <w:sz w:val="24"/>
        </w:rPr>
        <w:t>项目名称:广州市净水有限公司猎德土地评估项目</w:t>
      </w:r>
    </w:p>
    <w:tbl>
      <w:tblPr>
        <w:tblStyle w:val="22"/>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2"/>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ascii="仿宋" w:hAnsi="仿宋" w:eastAsia="仿宋" w:cs="STSong-Light"/>
          <w:b/>
          <w:color w:val="000000" w:themeColor="text1"/>
          <w:kern w:val="0"/>
          <w:sz w:val="32"/>
          <w:szCs w:val="32"/>
          <w:highlight w:val="none"/>
          <w14:textFill>
            <w14:solidFill>
              <w14:schemeClr w14:val="tx1"/>
            </w14:solidFill>
          </w14:textFill>
        </w:rPr>
        <w:t>（询价文件号）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ind w:firstLine="640" w:firstLineChars="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经询价小组评审推荐，确定你单位为</w:t>
      </w:r>
      <w:r>
        <w:rPr>
          <w:rFonts w:hint="eastAsia" w:ascii="仿宋" w:hAnsi="仿宋" w:eastAsia="仿宋" w:cs="STSong-Light"/>
          <w:color w:val="000000" w:themeColor="text1"/>
          <w:kern w:val="0"/>
          <w:sz w:val="32"/>
          <w:szCs w:val="32"/>
          <w14:textFill>
            <w14:solidFill>
              <w14:schemeClr w14:val="tx1"/>
            </w14:solidFill>
          </w14:textFill>
        </w:rPr>
        <w:t>广州市净水有限公司猎德土地评估项目的承包单位，承包内容为询价文件所规定的发包内容，报价为人民币×拾×万×仟×佰元（￥元）。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ind w:firstLine="640" w:firstLineChars="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项目负责人姓名：</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ind w:firstLine="6400" w:firstLineChars="20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年</w:t>
      </w:r>
      <w:r>
        <w:rPr>
          <w:rFonts w:hint="eastAsia" w:ascii="仿宋" w:hAnsi="仿宋" w:eastAsia="仿宋" w:cs="STSong-Light"/>
          <w:color w:val="000000" w:themeColor="text1"/>
          <w:kern w:val="0"/>
          <w:sz w:val="32"/>
          <w:szCs w:val="32"/>
          <w14:textFill>
            <w14:solidFill>
              <w14:schemeClr w14:val="tx1"/>
            </w14:solidFill>
          </w14:textFill>
        </w:rPr>
        <w:t xml:space="preserve"> </w:t>
      </w:r>
      <w:r>
        <w:rPr>
          <w:rFonts w:ascii="仿宋" w:hAnsi="仿宋" w:eastAsia="仿宋" w:cs="STSong-Light"/>
          <w:color w:val="000000" w:themeColor="text1"/>
          <w:kern w:val="0"/>
          <w:sz w:val="32"/>
          <w:szCs w:val="32"/>
          <w14:textFill>
            <w14:solidFill>
              <w14:schemeClr w14:val="tx1"/>
            </w14:solidFill>
          </w14:textFill>
        </w:rPr>
        <w:t xml:space="preserve"> 月</w:t>
      </w:r>
      <w:r>
        <w:rPr>
          <w:rFonts w:hint="eastAsia" w:ascii="仿宋" w:hAnsi="仿宋" w:eastAsia="仿宋" w:cs="STSong-Light"/>
          <w:color w:val="000000" w:themeColor="text1"/>
          <w:kern w:val="0"/>
          <w:sz w:val="32"/>
          <w:szCs w:val="32"/>
          <w14:textFill>
            <w14:solidFill>
              <w14:schemeClr w14:val="tx1"/>
            </w14:solidFill>
          </w14:textFill>
        </w:rPr>
        <w:t xml:space="preserve"> </w:t>
      </w:r>
      <w:r>
        <w:rPr>
          <w:rFonts w:ascii="仿宋" w:hAnsi="仿宋" w:eastAsia="仿宋" w:cs="STSong-Light"/>
          <w:color w:val="000000" w:themeColor="text1"/>
          <w:kern w:val="0"/>
          <w:sz w:val="32"/>
          <w:szCs w:val="32"/>
          <w14:textFill>
            <w14:solidFill>
              <w14:schemeClr w14:val="tx1"/>
            </w14:solidFill>
          </w14:textFill>
        </w:rPr>
        <w:t xml:space="preserve">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20"/>
      </w:pPr>
      <w:r>
        <w:rPr>
          <w:rFonts w:hint="eastAsia"/>
        </w:rPr>
        <w:t>第四部分合同书格式</w:t>
      </w:r>
    </w:p>
    <w:p>
      <w:pPr>
        <w:pStyle w:val="4"/>
        <w:spacing w:before="0" w:after="0" w:line="415" w:lineRule="auto"/>
        <w:jc w:val="center"/>
      </w:pPr>
    </w:p>
    <w:p>
      <w:pPr>
        <w:pStyle w:val="4"/>
        <w:spacing w:before="0" w:after="0" w:line="415" w:lineRule="auto"/>
        <w:jc w:val="center"/>
      </w:pPr>
      <w:r>
        <w:rPr>
          <w:rFonts w:hint="eastAsia"/>
        </w:rPr>
        <w:t>广州市净水有限公司</w:t>
      </w:r>
    </w:p>
    <w:p>
      <w:pPr>
        <w:pStyle w:val="4"/>
        <w:spacing w:before="0" w:after="0" w:line="415" w:lineRule="auto"/>
        <w:jc w:val="center"/>
        <w:rPr>
          <w:rFonts w:ascii="仿宋_GB2312" w:hAnsi="仿宋_GB2312" w:eastAsia="仿宋_GB2312" w:cs="仿宋_GB2312"/>
          <w:sz w:val="28"/>
          <w:szCs w:val="28"/>
        </w:rPr>
      </w:pPr>
      <w:r>
        <w:rPr>
          <w:rFonts w:hint="eastAsia"/>
        </w:rPr>
        <w:t>猎德土地评估项目技术服务合同</w:t>
      </w:r>
    </w:p>
    <w:p>
      <w:pPr>
        <w:adjustRightInd w:val="0"/>
        <w:spacing w:line="360" w:lineRule="auto"/>
        <w:ind w:firstLine="480" w:firstLineChars="200"/>
        <w:jc w:val="left"/>
        <w:textAlignment w:val="baseline"/>
        <w:rPr>
          <w:rFonts w:ascii="宋体" w:hAnsi="宋体" w:cs="宋体"/>
          <w:color w:val="000000"/>
          <w:sz w:val="24"/>
          <w:szCs w:val="24"/>
        </w:rPr>
      </w:pP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甲方（发包人） ：广州市</w:t>
      </w:r>
      <w:r>
        <w:rPr>
          <w:rFonts w:hint="eastAsia" w:ascii="宋体" w:hAnsi="宋体" w:cs="宋体"/>
          <w:bCs/>
          <w:color w:val="000000"/>
          <w:sz w:val="24"/>
          <w:szCs w:val="24"/>
        </w:rPr>
        <w:t>净水有限公司</w:t>
      </w: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乙方（承包人） ：</w:t>
      </w:r>
    </w:p>
    <w:p>
      <w:pPr>
        <w:adjustRightInd w:val="0"/>
        <w:spacing w:line="360" w:lineRule="auto"/>
        <w:ind w:firstLine="228" w:firstLineChars="95"/>
        <w:jc w:val="left"/>
        <w:textAlignment w:val="baseline"/>
        <w:rPr>
          <w:rFonts w:ascii="宋体" w:hAnsi="宋体" w:cs="宋体"/>
          <w:color w:val="000000"/>
          <w:sz w:val="24"/>
          <w:szCs w:val="24"/>
          <w:u w:val="single"/>
        </w:rPr>
      </w:pPr>
    </w:p>
    <w:p>
      <w:pPr>
        <w:pStyle w:val="12"/>
        <w:spacing w:line="360" w:lineRule="auto"/>
        <w:ind w:firstLine="480" w:firstLineChars="200"/>
        <w:rPr>
          <w:rFonts w:hAnsi="宋体" w:cs="宋体"/>
          <w:color w:val="000000"/>
          <w:sz w:val="24"/>
          <w:szCs w:val="24"/>
        </w:rPr>
      </w:pPr>
      <w:r>
        <w:rPr>
          <w:rFonts w:hint="eastAsia" w:hAnsi="宋体" w:cs="宋体"/>
          <w:color w:val="000000"/>
          <w:sz w:val="24"/>
          <w:szCs w:val="24"/>
        </w:rPr>
        <w:t>根据《中华人民共和国民法典》、《中华人民共和国资产评估法》等有关法律、法规的规定，经甲乙双方充分协商，就甲方委托乙方运用资产评估技术和自主研发的技术系统（包括但不限于评估业务委托管理系统、评估外业数据采集系统、大数据评估系统等）对申报资产进行评估事宜达成以下条款：</w:t>
      </w:r>
    </w:p>
    <w:p>
      <w:pPr>
        <w:adjustRightInd w:val="0"/>
        <w:spacing w:line="360" w:lineRule="auto"/>
        <w:jc w:val="left"/>
        <w:textAlignment w:val="baseline"/>
        <w:rPr>
          <w:rFonts w:ascii="宋体" w:hAnsi="宋体" w:cs="宋体"/>
          <w:b/>
          <w:color w:val="000000"/>
          <w:sz w:val="24"/>
          <w:szCs w:val="24"/>
        </w:rPr>
      </w:pPr>
      <w:r>
        <w:rPr>
          <w:rFonts w:hint="eastAsia" w:ascii="宋体" w:hAnsi="宋体" w:cs="宋体"/>
          <w:b/>
          <w:bCs/>
          <w:color w:val="000000"/>
          <w:sz w:val="24"/>
          <w:szCs w:val="24"/>
        </w:rPr>
        <w:t>第一条</w:t>
      </w:r>
      <w:r>
        <w:rPr>
          <w:rFonts w:hint="eastAsia" w:ascii="宋体" w:hAnsi="宋体" w:cs="宋体"/>
          <w:b/>
          <w:color w:val="000000"/>
          <w:sz w:val="24"/>
          <w:szCs w:val="24"/>
        </w:rPr>
        <w:t xml:space="preserve">  签订依据 </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1.1《中华人民共和国民法典》、《中华人民共和国土地管理法》、《中华人民共和国资产评估法》。</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1.2 国家及地方有关资产评估的其他法规和规章。</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sz w:val="24"/>
          <w:szCs w:val="24"/>
        </w:rPr>
        <w:t>1.3 资产评估准则。</w:t>
      </w: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第二条  编制依据</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2.1甲方给乙方的委托通知书</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2.2甲方提交的基础资料</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 xml:space="preserve">2.3 乙方采用的主要评估准则包括但不限于： </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《资产评估准则—基本准则》（财资〔2017〕43号）；</w:t>
      </w:r>
    </w:p>
    <w:p>
      <w:pPr>
        <w:adjustRightInd w:val="0"/>
        <w:spacing w:line="360" w:lineRule="auto"/>
        <w:ind w:firstLine="480" w:firstLineChars="200"/>
        <w:jc w:val="left"/>
        <w:textAlignment w:val="baseline"/>
        <w:rPr>
          <w:rFonts w:ascii="宋体" w:hAnsi="宋体" w:cs="宋体"/>
          <w:color w:val="000000"/>
          <w:sz w:val="24"/>
          <w:szCs w:val="24"/>
        </w:rPr>
      </w:pPr>
      <w:r>
        <w:rPr>
          <w:rFonts w:ascii="Times New Roman" w:hAnsi="Times New Roman"/>
          <w:sz w:val="24"/>
          <w:szCs w:val="24"/>
        </w:rPr>
        <w:t>《资产评估执业准则——资产评估委托合同》（中评协〔2017〕33号）</w:t>
      </w:r>
      <w:r>
        <w:rPr>
          <w:rFonts w:hint="eastAsia" w:ascii="宋体" w:hAnsi="宋体" w:cs="宋体"/>
          <w:color w:val="000000"/>
          <w:sz w:val="24"/>
          <w:szCs w:val="24"/>
        </w:rPr>
        <w:t>；</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《资产评估执业准则——不动产》（中评协〔2017〕38号）；</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《城镇土地估价规程》（GB/T18508-2014）；</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《房地产估价规范》（GB/T50291-2015）。</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上述规范如有更新的，以最新版本为准。</w:t>
      </w: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第三条  合同文件的优先次序</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构成本合同的文件可视为是能互相说明的，如果合同文件存在歧义或不一致，则根据如下优先次序来判断其效力：</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3.1合同书</w:t>
      </w:r>
    </w:p>
    <w:p>
      <w:pPr>
        <w:adjustRightInd w:val="0"/>
        <w:spacing w:line="360" w:lineRule="auto"/>
        <w:ind w:firstLine="480" w:firstLineChars="200"/>
        <w:jc w:val="left"/>
        <w:textAlignment w:val="baseline"/>
        <w:rPr>
          <w:rFonts w:ascii="宋体" w:hAnsi="宋体" w:cs="宋体"/>
          <w:color w:val="000000"/>
          <w:sz w:val="24"/>
          <w:szCs w:val="24"/>
          <w:shd w:val="pct10" w:color="auto" w:fill="FFFFFF"/>
        </w:rPr>
      </w:pPr>
      <w:r>
        <w:rPr>
          <w:rFonts w:hint="eastAsia" w:ascii="宋体" w:hAnsi="宋体" w:cs="宋体"/>
          <w:color w:val="000000"/>
          <w:sz w:val="24"/>
          <w:szCs w:val="24"/>
        </w:rPr>
        <w:t>3.2发包通知书</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 xml:space="preserve">3.3 甲方的要求 </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3.4技术规范</w:t>
      </w: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第四条  项目概况</w:t>
      </w:r>
    </w:p>
    <w:p>
      <w:pPr>
        <w:adjustRightInd w:val="0"/>
        <w:spacing w:line="360" w:lineRule="auto"/>
        <w:ind w:left="1" w:firstLine="480" w:firstLineChars="200"/>
        <w:jc w:val="left"/>
        <w:textAlignment w:val="baseline"/>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广州市净水有限公司猎德土地评估项目</w:t>
      </w:r>
      <w:r>
        <w:rPr>
          <w:rFonts w:hint="eastAsia" w:ascii="宋体" w:hAnsi="宋体" w:cs="宋体"/>
          <w:sz w:val="24"/>
          <w:szCs w:val="24"/>
        </w:rPr>
        <w:t>。</w:t>
      </w:r>
    </w:p>
    <w:p>
      <w:pPr>
        <w:adjustRightInd w:val="0"/>
        <w:spacing w:line="360" w:lineRule="auto"/>
        <w:ind w:left="1" w:firstLine="480" w:firstLineChars="200"/>
        <w:jc w:val="left"/>
        <w:textAlignment w:val="baseline"/>
        <w:rPr>
          <w:rFonts w:asciiTheme="minorEastAsia" w:hAnsiTheme="minorEastAsia" w:cstheme="minorEastAsia"/>
          <w:sz w:val="24"/>
          <w:szCs w:val="24"/>
          <w:highlight w:val="yellow"/>
        </w:rPr>
      </w:pPr>
      <w:r>
        <w:rPr>
          <w:rFonts w:hint="eastAsia" w:asciiTheme="minorEastAsia" w:hAnsiTheme="minorEastAsia" w:cstheme="minorEastAsia"/>
          <w:sz w:val="24"/>
          <w:szCs w:val="24"/>
        </w:rPr>
        <w:t>项目地点：</w:t>
      </w:r>
      <w:r>
        <w:rPr>
          <w:rFonts w:asciiTheme="minorEastAsia" w:hAnsiTheme="minorEastAsia" w:cstheme="minorEastAsia"/>
          <w:sz w:val="24"/>
          <w:szCs w:val="24"/>
          <w:u w:val="single"/>
        </w:rPr>
        <w:t xml:space="preserve"> </w:t>
      </w:r>
      <w:r>
        <w:rPr>
          <w:rFonts w:hint="eastAsia" w:asciiTheme="minorEastAsia" w:hAnsiTheme="minorEastAsia" w:cstheme="minorEastAsia"/>
          <w:sz w:val="24"/>
          <w:szCs w:val="24"/>
          <w:u w:val="single"/>
        </w:rPr>
        <w:t>广州市范围。</w:t>
      </w:r>
    </w:p>
    <w:p>
      <w:pPr>
        <w:adjustRightInd w:val="0"/>
        <w:spacing w:line="360" w:lineRule="auto"/>
        <w:ind w:left="1" w:firstLine="480" w:firstLineChars="200"/>
        <w:jc w:val="left"/>
        <w:textAlignment w:val="baseline"/>
        <w:rPr>
          <w:rFonts w:asciiTheme="minorEastAsia" w:hAnsiTheme="minorEastAsia" w:cstheme="minorEastAsia"/>
          <w:sz w:val="24"/>
          <w:szCs w:val="24"/>
          <w:u w:val="single"/>
        </w:rPr>
      </w:pPr>
      <w:r>
        <w:rPr>
          <w:rFonts w:hint="eastAsia" w:asciiTheme="minorEastAsia" w:hAnsiTheme="minorEastAsia" w:cstheme="minorEastAsia"/>
          <w:sz w:val="24"/>
          <w:szCs w:val="24"/>
        </w:rPr>
        <w:t>用地面积：</w:t>
      </w:r>
      <w:r>
        <w:rPr>
          <w:rFonts w:hint="eastAsia" w:asciiTheme="minorEastAsia" w:hAnsiTheme="minorEastAsia" w:cstheme="minorEastAsia"/>
          <w:sz w:val="24"/>
          <w:szCs w:val="24"/>
          <w:u w:val="single"/>
        </w:rPr>
        <w:t xml:space="preserve">  本项目涉及土地面积约</w:t>
      </w:r>
      <w:r>
        <w:rPr>
          <w:rFonts w:asciiTheme="minorEastAsia" w:hAnsiTheme="minorEastAsia" w:cstheme="minorEastAsia"/>
          <w:sz w:val="24"/>
          <w:szCs w:val="24"/>
          <w:u w:val="single"/>
        </w:rPr>
        <w:t>3,000</w:t>
      </w:r>
      <w:r>
        <w:rPr>
          <w:rFonts w:hint="eastAsia" w:asciiTheme="minorEastAsia" w:hAnsiTheme="minorEastAsia" w:cstheme="minorEastAsia"/>
          <w:sz w:val="24"/>
          <w:szCs w:val="24"/>
          <w:u w:val="single"/>
        </w:rPr>
        <w:t>平方米。</w:t>
      </w:r>
    </w:p>
    <w:p>
      <w:pPr>
        <w:adjustRightInd w:val="0"/>
        <w:spacing w:line="360" w:lineRule="auto"/>
        <w:ind w:firstLine="482" w:firstLineChars="200"/>
        <w:jc w:val="left"/>
        <w:textAlignment w:val="baseline"/>
        <w:rPr>
          <w:rFonts w:ascii="宋体" w:hAnsi="宋体" w:cs="宋体"/>
          <w:b/>
          <w:color w:val="000000"/>
          <w:sz w:val="24"/>
          <w:szCs w:val="24"/>
        </w:rPr>
      </w:pPr>
      <w:r>
        <w:rPr>
          <w:rFonts w:hint="eastAsia" w:ascii="宋体" w:hAnsi="宋体" w:cs="宋体"/>
          <w:b/>
          <w:color w:val="000000"/>
          <w:sz w:val="24"/>
          <w:szCs w:val="24"/>
        </w:rPr>
        <w:t xml:space="preserve">（一）评估目的 </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甲方拟公开招租涉及猎德净水厂地块首年月租金市场价值，本次评估为该经济行为提供价值参考。</w:t>
      </w:r>
    </w:p>
    <w:p>
      <w:pPr>
        <w:adjustRightInd w:val="0"/>
        <w:spacing w:line="360" w:lineRule="auto"/>
        <w:ind w:firstLine="482" w:firstLineChars="200"/>
        <w:jc w:val="left"/>
        <w:textAlignment w:val="baseline"/>
        <w:rPr>
          <w:rFonts w:ascii="宋体" w:hAnsi="宋体" w:cs="宋体"/>
          <w:b/>
          <w:bCs/>
          <w:color w:val="000000"/>
          <w:sz w:val="24"/>
          <w:szCs w:val="24"/>
        </w:rPr>
      </w:pPr>
      <w:r>
        <w:rPr>
          <w:rFonts w:hint="eastAsia" w:ascii="宋体" w:hAnsi="宋体" w:cs="宋体"/>
          <w:b/>
          <w:bCs/>
          <w:color w:val="000000"/>
          <w:sz w:val="24"/>
          <w:szCs w:val="24"/>
        </w:rPr>
        <w:t>（二）评估对象和范围</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本次评估对象为广州市净水有限公司拟公开招租涉及猎德净水厂地块（土地面积</w:t>
      </w:r>
      <w:r>
        <w:rPr>
          <w:rFonts w:hint="eastAsia" w:asciiTheme="minorEastAsia" w:hAnsiTheme="minorEastAsia" w:cstheme="minorEastAsia"/>
          <w:sz w:val="24"/>
          <w:szCs w:val="24"/>
        </w:rPr>
        <w:t>约</w:t>
      </w:r>
      <w:r>
        <w:rPr>
          <w:rFonts w:ascii="宋体" w:hAnsi="宋体" w:cs="宋体"/>
          <w:color w:val="000000"/>
          <w:sz w:val="24"/>
          <w:szCs w:val="24"/>
        </w:rPr>
        <w:t>3</w:t>
      </w:r>
      <w:r>
        <w:rPr>
          <w:rFonts w:hint="eastAsia" w:ascii="宋体" w:hAnsi="宋体" w:cs="宋体"/>
          <w:color w:val="000000"/>
          <w:sz w:val="24"/>
          <w:szCs w:val="24"/>
        </w:rPr>
        <w:t>,</w:t>
      </w:r>
      <w:r>
        <w:rPr>
          <w:rFonts w:ascii="宋体" w:hAnsi="宋体" w:cs="宋体"/>
          <w:color w:val="000000"/>
          <w:sz w:val="24"/>
          <w:szCs w:val="24"/>
        </w:rPr>
        <w:t>0</w:t>
      </w:r>
      <w:r>
        <w:rPr>
          <w:rFonts w:hint="eastAsia" w:ascii="宋体" w:hAnsi="宋体" w:cs="宋体"/>
          <w:color w:val="000000"/>
          <w:sz w:val="24"/>
          <w:szCs w:val="24"/>
        </w:rPr>
        <w:t>00㎡）首年月租金市场价值。</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评估范围：广州市净水有限公司指定的拟出租地块，位于猎德净水厂（土地面积</w:t>
      </w:r>
      <w:r>
        <w:rPr>
          <w:rFonts w:hint="eastAsia" w:asciiTheme="minorEastAsia" w:hAnsiTheme="minorEastAsia" w:cstheme="minorEastAsia"/>
          <w:sz w:val="24"/>
          <w:szCs w:val="24"/>
        </w:rPr>
        <w:t>约</w:t>
      </w:r>
      <w:r>
        <w:rPr>
          <w:rFonts w:ascii="宋体" w:hAnsi="宋体" w:cs="宋体"/>
          <w:color w:val="000000"/>
          <w:sz w:val="24"/>
          <w:szCs w:val="24"/>
        </w:rPr>
        <w:t>3</w:t>
      </w:r>
      <w:r>
        <w:rPr>
          <w:rFonts w:hint="eastAsia" w:ascii="宋体" w:hAnsi="宋体" w:cs="宋体"/>
          <w:color w:val="000000"/>
          <w:sz w:val="24"/>
          <w:szCs w:val="24"/>
        </w:rPr>
        <w:t>,</w:t>
      </w:r>
      <w:r>
        <w:rPr>
          <w:rFonts w:ascii="宋体" w:hAnsi="宋体" w:cs="宋体"/>
          <w:color w:val="000000"/>
          <w:sz w:val="24"/>
          <w:szCs w:val="24"/>
        </w:rPr>
        <w:t>000</w:t>
      </w:r>
      <w:r>
        <w:rPr>
          <w:rFonts w:hint="eastAsia" w:ascii="宋体" w:hAnsi="宋体" w:cs="宋体"/>
          <w:color w:val="000000"/>
          <w:sz w:val="24"/>
          <w:szCs w:val="24"/>
        </w:rPr>
        <w:t>㎡），具体清单详见甲方提交给乙方的《资产评估申报明细表》。</w:t>
      </w:r>
    </w:p>
    <w:p>
      <w:pPr>
        <w:adjustRightInd w:val="0"/>
        <w:spacing w:line="360" w:lineRule="auto"/>
        <w:ind w:firstLine="482" w:firstLineChars="200"/>
        <w:jc w:val="left"/>
        <w:textAlignment w:val="baseline"/>
        <w:rPr>
          <w:rFonts w:ascii="宋体" w:hAnsi="宋体" w:cs="宋体"/>
          <w:b/>
          <w:bCs/>
          <w:color w:val="000000"/>
          <w:sz w:val="24"/>
          <w:szCs w:val="24"/>
        </w:rPr>
      </w:pPr>
      <w:r>
        <w:rPr>
          <w:rFonts w:hint="eastAsia" w:ascii="宋体" w:hAnsi="宋体" w:cs="宋体"/>
          <w:b/>
          <w:bCs/>
          <w:color w:val="000000"/>
          <w:sz w:val="24"/>
          <w:szCs w:val="24"/>
        </w:rPr>
        <w:t>（三）评估基准日</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评估基准日由委托人确定为 202</w:t>
      </w:r>
      <w:r>
        <w:rPr>
          <w:rFonts w:ascii="宋体" w:hAnsi="宋体" w:cs="宋体"/>
          <w:color w:val="000000"/>
          <w:sz w:val="24"/>
          <w:szCs w:val="24"/>
        </w:rPr>
        <w:t>2</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pPr>
        <w:adjustRightInd w:val="0"/>
        <w:spacing w:line="360" w:lineRule="auto"/>
        <w:ind w:firstLine="482" w:firstLineChars="200"/>
        <w:jc w:val="left"/>
        <w:textAlignment w:val="baseline"/>
        <w:rPr>
          <w:rFonts w:ascii="宋体" w:hAnsi="宋体" w:cs="宋体"/>
          <w:b/>
          <w:bCs/>
          <w:color w:val="000000"/>
          <w:sz w:val="24"/>
          <w:szCs w:val="24"/>
        </w:rPr>
      </w:pPr>
      <w:r>
        <w:rPr>
          <w:rFonts w:hint="eastAsia" w:ascii="宋体" w:hAnsi="宋体" w:cs="宋体"/>
          <w:b/>
          <w:bCs/>
          <w:color w:val="000000"/>
          <w:sz w:val="24"/>
          <w:szCs w:val="24"/>
        </w:rPr>
        <w:t>（四）评估价值类型</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本次评估采用</w:t>
      </w:r>
      <w:r>
        <w:rPr>
          <w:rFonts w:hint="eastAsia" w:ascii="宋体" w:hAnsi="宋体" w:cs="宋体"/>
          <w:sz w:val="24"/>
          <w:szCs w:val="24"/>
          <w:u w:val="single"/>
        </w:rPr>
        <w:t xml:space="preserve"> 市场价值 </w:t>
      </w:r>
      <w:r>
        <w:rPr>
          <w:rFonts w:hint="eastAsia" w:ascii="宋体" w:hAnsi="宋体" w:cs="宋体"/>
          <w:sz w:val="24"/>
          <w:szCs w:val="24"/>
        </w:rPr>
        <w:t>类型。</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第五条 乙方向甲方交付资料及文件</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5.1在甲方充分配合的基础上，乙方必须保证组织足够的评估力量按照甲方的进度安排在合理的工作时间内完成评估技术服务工作，提交资产评估报告。</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5.2在甲方提供齐备有关评估资料并协助乙方勘查现场后，乙方应在评估基准日起</w:t>
      </w:r>
      <w:r>
        <w:rPr>
          <w:rFonts w:hint="eastAsia" w:ascii="宋体" w:hAnsi="宋体" w:cs="宋体"/>
          <w:sz w:val="24"/>
          <w:szCs w:val="24"/>
          <w:u w:val="single"/>
        </w:rPr>
        <w:t xml:space="preserve"> </w:t>
      </w:r>
      <w:r>
        <w:rPr>
          <w:rFonts w:ascii="宋体" w:hAnsi="宋体" w:cs="宋体"/>
          <w:sz w:val="24"/>
          <w:szCs w:val="24"/>
          <w:u w:val="single"/>
        </w:rPr>
        <w:t>5</w:t>
      </w:r>
      <w:r>
        <w:rPr>
          <w:rFonts w:hint="eastAsia" w:ascii="宋体" w:hAnsi="宋体" w:cs="宋体"/>
          <w:sz w:val="24"/>
          <w:szCs w:val="24"/>
        </w:rPr>
        <w:t>个工作日内出具初评结论交予委托人，在委托人对初评结论无异议后</w:t>
      </w:r>
      <w:r>
        <w:rPr>
          <w:rFonts w:hint="eastAsia" w:ascii="宋体" w:hAnsi="宋体" w:cs="宋体"/>
          <w:sz w:val="24"/>
          <w:szCs w:val="24"/>
          <w:lang w:eastAsia="zh-CN"/>
        </w:rPr>
        <w:t>，</w:t>
      </w:r>
      <w:r>
        <w:rPr>
          <w:rFonts w:hint="eastAsia" w:ascii="宋体" w:hAnsi="宋体" w:cs="宋体"/>
          <w:color w:val="auto"/>
          <w:sz w:val="24"/>
          <w:szCs w:val="24"/>
        </w:rPr>
        <w:t>乙方</w:t>
      </w:r>
      <w:r>
        <w:rPr>
          <w:rFonts w:hint="eastAsia" w:ascii="宋体" w:hAnsi="宋体" w:cs="宋体"/>
          <w:color w:val="auto"/>
          <w:sz w:val="24"/>
          <w:szCs w:val="24"/>
          <w:lang w:val="en-US" w:eastAsia="zh-CN"/>
        </w:rPr>
        <w:t>应按照市国资委的物业及土地出租规定组织专家评审，并承担评审费用，</w:t>
      </w:r>
      <w:r>
        <w:rPr>
          <w:rFonts w:hint="eastAsia" w:ascii="宋体" w:hAnsi="宋体" w:cs="宋体"/>
          <w:sz w:val="24"/>
          <w:szCs w:val="24"/>
          <w:lang w:val="en-US" w:eastAsia="zh-CN"/>
        </w:rPr>
        <w:t>通过评审后</w:t>
      </w:r>
      <w:r>
        <w:rPr>
          <w:rFonts w:ascii="宋体" w:hAnsi="宋体" w:cs="宋体"/>
          <w:sz w:val="24"/>
          <w:szCs w:val="24"/>
          <w:u w:val="single"/>
        </w:rPr>
        <w:t>5</w:t>
      </w:r>
      <w:r>
        <w:rPr>
          <w:rFonts w:hint="eastAsia" w:ascii="宋体" w:hAnsi="宋体" w:cs="宋体"/>
          <w:sz w:val="24"/>
          <w:szCs w:val="24"/>
        </w:rPr>
        <w:t>个工作日内向委托人提交正式资产评估报告纸质版。</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w:t>
      </w:r>
      <w:r>
        <w:rPr>
          <w:rFonts w:ascii="宋体" w:hAnsi="宋体" w:cs="宋体"/>
          <w:sz w:val="24"/>
          <w:szCs w:val="24"/>
        </w:rPr>
        <w:t>3</w:t>
      </w:r>
      <w:r>
        <w:rPr>
          <w:rFonts w:hint="eastAsia" w:ascii="宋体" w:hAnsi="宋体" w:cs="宋体"/>
          <w:sz w:val="24"/>
          <w:szCs w:val="24"/>
        </w:rPr>
        <w:t>资产评估报告纸质打印一式</w:t>
      </w:r>
      <w:r>
        <w:rPr>
          <w:rFonts w:hint="eastAsia" w:ascii="宋体" w:hAnsi="宋体" w:cs="宋体"/>
          <w:sz w:val="24"/>
          <w:szCs w:val="24"/>
          <w:u w:val="single"/>
        </w:rPr>
        <w:t xml:space="preserve">  四 </w:t>
      </w:r>
      <w:r>
        <w:rPr>
          <w:rFonts w:hint="eastAsia" w:ascii="宋体" w:hAnsi="宋体" w:cs="宋体"/>
          <w:sz w:val="24"/>
          <w:szCs w:val="24"/>
        </w:rPr>
        <w:t>份，电子档一份（未加密且可编辑格式），具体以甲方通知为准。</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w:t>
      </w:r>
      <w:r>
        <w:rPr>
          <w:rFonts w:ascii="宋体" w:hAnsi="宋体" w:cs="宋体"/>
          <w:sz w:val="24"/>
          <w:szCs w:val="24"/>
        </w:rPr>
        <w:t>4</w:t>
      </w:r>
      <w:r>
        <w:rPr>
          <w:rFonts w:hint="eastAsia" w:ascii="宋体" w:hAnsi="宋体" w:cs="宋体"/>
          <w:sz w:val="24"/>
          <w:szCs w:val="24"/>
        </w:rPr>
        <w:t>如有必要提供上述第5.</w:t>
      </w:r>
      <w:r>
        <w:rPr>
          <w:rFonts w:ascii="宋体" w:hAnsi="宋体" w:cs="宋体"/>
          <w:sz w:val="24"/>
          <w:szCs w:val="24"/>
        </w:rPr>
        <w:t>2</w:t>
      </w:r>
      <w:r>
        <w:rPr>
          <w:rFonts w:hint="eastAsia" w:ascii="宋体" w:hAnsi="宋体" w:cs="宋体"/>
          <w:sz w:val="24"/>
          <w:szCs w:val="24"/>
        </w:rPr>
        <w:t>条以外的成果时，超出份数成果的制作成本费由甲方另行支付。成本费具体数额根据当时市场行情由甲方和乙方协商确定。</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5.5乙方应配合甲方开展结算工作并提交结算的相关资料,若乙方在接到甲方通知后逾期超过30天未提交完整的结算资料和结算报告等，甲方有权单方自行结算，由此产生的一切责任由乙方承担。</w:t>
      </w:r>
    </w:p>
    <w:p>
      <w:pPr>
        <w:pStyle w:val="21"/>
      </w:pP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 xml:space="preserve">第六条 费用 </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6.1本合同总价包干，暂定金额为人民币</w:t>
      </w:r>
      <w:r>
        <w:rPr>
          <w:rFonts w:hint="eastAsia" w:ascii="宋体" w:hAnsi="宋体" w:cs="宋体"/>
          <w:sz w:val="24"/>
          <w:szCs w:val="24"/>
          <w:u w:val="single"/>
        </w:rPr>
        <w:t>XX万元（大写：人民币XXX）</w:t>
      </w:r>
      <w:r>
        <w:rPr>
          <w:rFonts w:hint="eastAsia" w:ascii="宋体" w:hAnsi="宋体" w:cs="宋体"/>
          <w:sz w:val="24"/>
          <w:szCs w:val="24"/>
        </w:rPr>
        <w:t>，含税率。</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6.2本合同采用总价包干，工作内容包括完成本合同项下的所有工作（包含但不限于报告编制和报审等）。</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第七条 支付方式</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7.1.1 支付办法：本合同生效后，甲方收到乙方提交的等额增值税发票后，向乙方支付合同费用。</w:t>
      </w:r>
    </w:p>
    <w:p>
      <w:pPr>
        <w:pStyle w:val="28"/>
        <w:spacing w:line="360" w:lineRule="auto"/>
        <w:ind w:firstLine="480" w:firstLineChars="200"/>
        <w:rPr>
          <w:rFonts w:asciiTheme="minorEastAsia" w:hAnsiTheme="minorEastAsia" w:eastAsiaTheme="minorEastAsia" w:cstheme="minorEastAsia"/>
        </w:rPr>
      </w:pPr>
      <w:r>
        <w:rPr>
          <w:rFonts w:hint="eastAsia" w:hAnsi="宋体"/>
        </w:rPr>
        <w:t xml:space="preserve">7.1.2 </w:t>
      </w:r>
      <w:r>
        <w:rPr>
          <w:rFonts w:hint="eastAsia" w:asciiTheme="minorEastAsia" w:hAnsiTheme="minorEastAsia" w:eastAsiaTheme="minorEastAsia" w:cstheme="minorEastAsia"/>
        </w:rPr>
        <w:t>乙方收款账号资料</w:t>
      </w:r>
    </w:p>
    <w:p>
      <w:pPr>
        <w:spacing w:line="360" w:lineRule="auto"/>
        <w:ind w:firstLine="720" w:firstLineChars="300"/>
        <w:rPr>
          <w:rFonts w:ascii="宋体" w:hAnsi="宋体" w:cs="宋体"/>
          <w:sz w:val="24"/>
        </w:rPr>
      </w:pPr>
      <w:r>
        <w:rPr>
          <w:rFonts w:hint="eastAsia" w:ascii="宋体" w:hAnsi="宋体" w:cs="宋体"/>
          <w:sz w:val="24"/>
        </w:rPr>
        <w:t>乙方收款账户：；</w:t>
      </w:r>
    </w:p>
    <w:p>
      <w:pPr>
        <w:spacing w:line="360" w:lineRule="auto"/>
        <w:ind w:firstLine="840" w:firstLineChars="350"/>
        <w:rPr>
          <w:rFonts w:ascii="宋体" w:hAnsi="宋体" w:cs="宋体"/>
          <w:sz w:val="24"/>
        </w:rPr>
      </w:pPr>
      <w:r>
        <w:rPr>
          <w:rFonts w:hint="eastAsia" w:ascii="宋体" w:hAnsi="宋体" w:cs="宋体"/>
          <w:sz w:val="24"/>
        </w:rPr>
        <w:t>收款账号：；</w:t>
      </w:r>
    </w:p>
    <w:p>
      <w:pPr>
        <w:spacing w:line="360" w:lineRule="auto"/>
        <w:ind w:firstLine="840" w:firstLineChars="350"/>
        <w:rPr>
          <w:rFonts w:ascii="宋体" w:hAnsi="宋体" w:cs="宋体"/>
          <w:sz w:val="24"/>
        </w:rPr>
      </w:pPr>
      <w:r>
        <w:rPr>
          <w:rFonts w:hint="eastAsia" w:ascii="宋体" w:hAnsi="宋体" w:cs="宋体"/>
          <w:sz w:val="24"/>
        </w:rPr>
        <w:t>开户行：；</w:t>
      </w:r>
    </w:p>
    <w:p>
      <w:pPr>
        <w:spacing w:line="360" w:lineRule="auto"/>
        <w:ind w:firstLine="720" w:firstLineChars="300"/>
        <w:rPr>
          <w:rFonts w:ascii="宋体" w:hAnsi="宋体" w:cs="宋体"/>
          <w:sz w:val="24"/>
        </w:rPr>
      </w:pPr>
      <w:r>
        <w:rPr>
          <w:rFonts w:hint="eastAsia" w:ascii="宋体" w:hAnsi="宋体" w:cs="宋体"/>
          <w:sz w:val="24"/>
        </w:rPr>
        <w:t>甲方增值税专用发票信息：</w:t>
      </w:r>
    </w:p>
    <w:p>
      <w:pPr>
        <w:spacing w:line="360" w:lineRule="auto"/>
        <w:ind w:firstLine="960" w:firstLineChars="400"/>
        <w:rPr>
          <w:rFonts w:ascii="宋体" w:hAnsi="宋体" w:cs="宋体"/>
          <w:sz w:val="24"/>
        </w:rPr>
      </w:pPr>
      <w:r>
        <w:rPr>
          <w:rFonts w:hint="eastAsia" w:ascii="宋体" w:hAnsi="宋体" w:cs="宋体"/>
          <w:sz w:val="24"/>
        </w:rPr>
        <w:t>名称：广州市净水有限公司</w:t>
      </w:r>
    </w:p>
    <w:p>
      <w:pPr>
        <w:spacing w:line="360" w:lineRule="auto"/>
        <w:ind w:firstLine="960" w:firstLineChars="400"/>
        <w:rPr>
          <w:rFonts w:ascii="宋体" w:hAnsi="宋体" w:cs="宋体"/>
          <w:sz w:val="24"/>
        </w:rPr>
      </w:pPr>
      <w:r>
        <w:rPr>
          <w:rFonts w:hint="eastAsia" w:ascii="宋体" w:hAnsi="宋体" w:cs="宋体"/>
          <w:sz w:val="24"/>
        </w:rPr>
        <w:t>税号：</w:t>
      </w:r>
    </w:p>
    <w:p>
      <w:pPr>
        <w:pStyle w:val="28"/>
        <w:spacing w:line="360" w:lineRule="auto"/>
        <w:ind w:firstLine="960" w:firstLineChars="400"/>
        <w:rPr>
          <w:rFonts w:asciiTheme="minorEastAsia" w:hAnsiTheme="minorEastAsia" w:eastAsiaTheme="minorEastAsia" w:cstheme="minorEastAsia"/>
        </w:rPr>
      </w:pPr>
      <w:r>
        <w:rPr>
          <w:rFonts w:hint="eastAsia" w:asciiTheme="minorEastAsia" w:hAnsiTheme="minorEastAsia" w:eastAsiaTheme="minorEastAsia" w:cstheme="minorEastAsia"/>
        </w:rPr>
        <w:t>地址：</w:t>
      </w:r>
    </w:p>
    <w:p>
      <w:pPr>
        <w:spacing w:line="360" w:lineRule="auto"/>
        <w:ind w:firstLine="480" w:firstLineChars="20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7</w:t>
      </w:r>
      <w:r>
        <w:rPr>
          <w:rFonts w:hint="eastAsia" w:ascii="宋体" w:hAnsi="宋体" w:cs="宋体"/>
          <w:color w:val="auto"/>
          <w:sz w:val="24"/>
          <w:highlight w:val="none"/>
          <w:shd w:val="clear" w:color="auto" w:fill="auto"/>
        </w:rPr>
        <w:t>.1.3付款方式：</w:t>
      </w:r>
      <w:r>
        <w:rPr>
          <w:rFonts w:hint="eastAsia" w:ascii="宋体" w:hAnsi="宋体" w:cs="宋体"/>
          <w:color w:val="auto"/>
          <w:sz w:val="24"/>
          <w:highlight w:val="none"/>
          <w:shd w:val="clear" w:color="auto" w:fill="auto"/>
        </w:rPr>
        <w:sym w:font="Wingdings" w:char="00A8"/>
      </w:r>
      <w:r>
        <w:rPr>
          <w:rFonts w:hint="eastAsia" w:ascii="宋体" w:hAnsi="宋体" w:cs="宋体"/>
          <w:color w:val="auto"/>
          <w:sz w:val="24"/>
          <w:highlight w:val="none"/>
          <w:shd w:val="clear" w:color="auto" w:fill="auto"/>
        </w:rPr>
        <w:t>网银支付；</w:t>
      </w:r>
      <w:r>
        <w:rPr>
          <w:rFonts w:hint="eastAsia" w:ascii="宋体" w:hAnsi="宋体" w:cs="宋体"/>
          <w:color w:val="auto"/>
          <w:sz w:val="24"/>
          <w:highlight w:val="none"/>
          <w:shd w:val="clear" w:color="auto" w:fill="auto"/>
        </w:rPr>
        <w:sym w:font="Wingdings" w:char="00A8"/>
      </w:r>
      <w:r>
        <w:rPr>
          <w:rFonts w:hint="eastAsia" w:ascii="宋体" w:hAnsi="宋体" w:cs="宋体"/>
          <w:color w:val="auto"/>
          <w:sz w:val="24"/>
          <w:highlight w:val="none"/>
          <w:shd w:val="clear" w:color="auto" w:fill="auto"/>
        </w:rPr>
        <w:t>支票；</w:t>
      </w:r>
      <w:r>
        <w:rPr>
          <w:rFonts w:hint="eastAsia" w:ascii="宋体" w:hAnsi="宋体" w:cs="宋体"/>
          <w:color w:val="auto"/>
          <w:sz w:val="24"/>
          <w:highlight w:val="none"/>
          <w:shd w:val="clear" w:color="auto" w:fill="auto"/>
        </w:rPr>
        <w:sym w:font="Wingdings" w:char="00A8"/>
      </w:r>
      <w:r>
        <w:rPr>
          <w:rFonts w:hint="eastAsia" w:ascii="宋体" w:hAnsi="宋体" w:cs="宋体"/>
          <w:color w:val="auto"/>
          <w:sz w:val="24"/>
          <w:highlight w:val="none"/>
          <w:shd w:val="clear" w:color="auto" w:fill="auto"/>
        </w:rPr>
        <w:t>其他：/</w:t>
      </w:r>
    </w:p>
    <w:p>
      <w:pPr>
        <w:adjustRightInd w:val="0"/>
        <w:spacing w:line="360" w:lineRule="auto"/>
        <w:ind w:firstLine="480" w:firstLineChars="200"/>
        <w:jc w:val="left"/>
        <w:textAlignment w:val="baseline"/>
        <w:rPr>
          <w:rFonts w:hint="eastAsia" w:ascii="宋体" w:hAnsi="宋体" w:cs="宋体" w:eastAsiaTheme="minorEastAsia"/>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7.2 乙方提交资产评估报告初稿，</w:t>
      </w:r>
      <w:r>
        <w:rPr>
          <w:rFonts w:hint="eastAsia" w:ascii="宋体" w:hAnsi="宋体" w:cs="宋体"/>
          <w:color w:val="auto"/>
          <w:sz w:val="24"/>
          <w:szCs w:val="24"/>
          <w:highlight w:val="none"/>
          <w:shd w:val="clear" w:color="auto" w:fill="auto"/>
          <w:lang w:val="en-US" w:eastAsia="zh-CN"/>
        </w:rPr>
        <w:t>经甲方确认并通过专家评审后，甲方</w:t>
      </w:r>
      <w:r>
        <w:rPr>
          <w:rFonts w:ascii="宋体" w:hAnsi="宋体" w:cs="宋体"/>
          <w:color w:val="auto"/>
          <w:kern w:val="0"/>
          <w:sz w:val="24"/>
          <w:szCs w:val="24"/>
          <w:highlight w:val="none"/>
          <w:shd w:val="clear" w:color="auto" w:fill="auto"/>
        </w:rPr>
        <w:t>向乙方支付</w:t>
      </w:r>
      <w:r>
        <w:rPr>
          <w:rFonts w:hint="eastAsia" w:ascii="宋体" w:hAnsi="宋体" w:cs="宋体"/>
          <w:color w:val="auto"/>
          <w:kern w:val="0"/>
          <w:sz w:val="24"/>
          <w:szCs w:val="24"/>
          <w:highlight w:val="none"/>
          <w:shd w:val="clear" w:color="auto" w:fill="auto"/>
        </w:rPr>
        <w:t>合同</w:t>
      </w:r>
      <w:r>
        <w:rPr>
          <w:rFonts w:hint="eastAsia" w:ascii="宋体" w:hAnsi="宋体" w:cs="宋体"/>
          <w:color w:val="auto"/>
          <w:sz w:val="24"/>
          <w:szCs w:val="24"/>
          <w:highlight w:val="none"/>
          <w:shd w:val="clear" w:color="auto" w:fill="auto"/>
        </w:rPr>
        <w:t>暂定金额的</w:t>
      </w:r>
      <w:r>
        <w:rPr>
          <w:rFonts w:ascii="宋体" w:hAnsi="宋体" w:cs="宋体"/>
          <w:color w:val="auto"/>
          <w:sz w:val="24"/>
          <w:szCs w:val="24"/>
          <w:highlight w:val="none"/>
          <w:shd w:val="clear" w:color="auto" w:fill="auto"/>
        </w:rPr>
        <w:t>80</w:t>
      </w:r>
      <w:r>
        <w:rPr>
          <w:rFonts w:hint="eastAsia" w:ascii="宋体" w:hAnsi="宋体" w:cs="宋体"/>
          <w:color w:val="auto"/>
          <w:sz w:val="24"/>
          <w:szCs w:val="24"/>
          <w:highlight w:val="none"/>
          <w:shd w:val="clear" w:color="auto" w:fill="auto"/>
        </w:rPr>
        <w:t>％，计</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万元（大写： </w:t>
      </w:r>
      <w:r>
        <w:rPr>
          <w:rFonts w:ascii="宋体" w:hAnsi="宋体" w:cs="宋体"/>
          <w:color w:val="auto"/>
          <w:sz w:val="24"/>
          <w:szCs w:val="24"/>
          <w:highlight w:val="none"/>
          <w:shd w:val="clear" w:color="auto" w:fill="auto"/>
        </w:rPr>
        <w:t xml:space="preserve">       </w:t>
      </w: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eastAsia="zh-CN"/>
        </w:rPr>
        <w:t>。</w:t>
      </w:r>
    </w:p>
    <w:p>
      <w:pPr>
        <w:overflowPunct w:val="0"/>
        <w:adjustRightInd w:val="0"/>
        <w:spacing w:line="360" w:lineRule="auto"/>
        <w:ind w:firstLine="480" w:firstLineChars="200"/>
        <w:jc w:val="left"/>
        <w:textAlignment w:val="baseline"/>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7.</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乙方提交7.</w:t>
      </w: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条所述正式资产评估报告纸质版，</w:t>
      </w:r>
      <w:r>
        <w:rPr>
          <w:rFonts w:hint="eastAsia" w:ascii="宋体" w:hAnsi="宋体"/>
          <w:color w:val="auto"/>
          <w:sz w:val="24"/>
          <w:szCs w:val="24"/>
          <w:highlight w:val="none"/>
          <w:shd w:val="clear" w:color="auto" w:fill="auto"/>
        </w:rPr>
        <w:t xml:space="preserve">待相关部门终审结算，甲方对该评估报告无异议后，支付至合同结算价的100% </w:t>
      </w:r>
      <w:r>
        <w:rPr>
          <w:rFonts w:hint="eastAsia" w:ascii="宋体" w:hAnsi="宋体" w:cs="宋体"/>
          <w:color w:val="auto"/>
          <w:sz w:val="24"/>
          <w:szCs w:val="24"/>
          <w:highlight w:val="none"/>
          <w:shd w:val="clear" w:color="auto" w:fill="auto"/>
        </w:rPr>
        <w:t>。</w:t>
      </w:r>
    </w:p>
    <w:p>
      <w:pPr>
        <w:adjustRightInd w:val="0"/>
        <w:spacing w:line="360" w:lineRule="auto"/>
        <w:ind w:firstLine="480" w:firstLineChars="200"/>
        <w:jc w:val="left"/>
        <w:textAlignment w:val="baseline"/>
        <w:rPr>
          <w:color w:val="FF0000"/>
        </w:rPr>
      </w:pPr>
      <w:r>
        <w:rPr>
          <w:rFonts w:hint="eastAsia" w:ascii="宋体" w:hAnsi="宋体" w:cs="宋体"/>
          <w:color w:val="auto"/>
          <w:sz w:val="24"/>
          <w:szCs w:val="24"/>
          <w:highlight w:val="none"/>
          <w:shd w:val="clear" w:color="auto" w:fill="auto"/>
        </w:rPr>
        <w:t>7.</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乙方</w:t>
      </w:r>
      <w:r>
        <w:rPr>
          <w:rFonts w:hint="eastAsia" w:ascii="宋体" w:hAnsi="宋体"/>
          <w:color w:val="auto"/>
          <w:sz w:val="24"/>
          <w:szCs w:val="24"/>
          <w:highlight w:val="none"/>
          <w:shd w:val="clear" w:color="auto" w:fill="auto"/>
        </w:rPr>
        <w:t>在收取每一笔合同费用前，需向甲方提供等额有效的增值税专用发票。</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第八条 双方责任</w:t>
      </w:r>
    </w:p>
    <w:p>
      <w:pPr>
        <w:spacing w:line="360" w:lineRule="auto"/>
        <w:ind w:firstLine="482" w:firstLineChars="200"/>
        <w:rPr>
          <w:rFonts w:ascii="宋体" w:hAnsi="宋体" w:cs="宋体"/>
          <w:sz w:val="24"/>
          <w:szCs w:val="24"/>
        </w:rPr>
      </w:pPr>
      <w:r>
        <w:rPr>
          <w:rFonts w:hint="eastAsia" w:ascii="宋体" w:hAnsi="宋体" w:cs="宋体"/>
          <w:b/>
          <w:bCs/>
          <w:sz w:val="24"/>
          <w:szCs w:val="24"/>
        </w:rPr>
        <w:t>8.1甲方责任</w:t>
      </w:r>
      <w:r>
        <w:rPr>
          <w:rFonts w:hint="eastAsia" w:ascii="宋体" w:hAnsi="宋体" w:cs="宋体"/>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8.1.1在合同履行期间，已开始编制工作，非乙方原因甲方要求终止或解除合同的，甲方根据乙方已进行的实际工作量按实进行结算，最高支付至合同暂定金额的</w:t>
      </w:r>
      <w:r>
        <w:rPr>
          <w:rFonts w:ascii="宋体" w:hAnsi="宋体" w:cs="宋体"/>
          <w:sz w:val="24"/>
          <w:szCs w:val="24"/>
        </w:rPr>
        <w:t>8</w:t>
      </w:r>
      <w:r>
        <w:rPr>
          <w:rFonts w:hint="eastAsia" w:ascii="宋体" w:hAnsi="宋体" w:cs="宋体"/>
          <w:sz w:val="24"/>
          <w:szCs w:val="24"/>
        </w:rPr>
        <w:t>0%。</w:t>
      </w:r>
    </w:p>
    <w:p>
      <w:pPr>
        <w:spacing w:line="360" w:lineRule="auto"/>
        <w:ind w:firstLine="360" w:firstLineChars="150"/>
        <w:rPr>
          <w:rFonts w:ascii="宋体" w:hAnsi="宋体" w:cs="宋体"/>
          <w:sz w:val="24"/>
          <w:szCs w:val="24"/>
        </w:rPr>
      </w:pPr>
      <w:r>
        <w:rPr>
          <w:rFonts w:hint="eastAsia" w:ascii="宋体" w:hAnsi="宋体" w:cs="宋体"/>
          <w:sz w:val="24"/>
          <w:szCs w:val="24"/>
        </w:rPr>
        <w:t xml:space="preserve"> 8.1.</w:t>
      </w:r>
      <w:r>
        <w:rPr>
          <w:rFonts w:ascii="宋体" w:hAnsi="宋体" w:cs="宋体"/>
          <w:sz w:val="24"/>
          <w:szCs w:val="24"/>
        </w:rPr>
        <w:t>2</w:t>
      </w:r>
      <w:r>
        <w:rPr>
          <w:rFonts w:hint="eastAsia" w:ascii="宋体" w:hAnsi="宋体" w:cs="宋体"/>
          <w:sz w:val="24"/>
          <w:szCs w:val="24"/>
        </w:rPr>
        <w:t>甲方要求乙方比合同规定时间提前交付编制文件时，需提前通知乙方，且征得乙方同意，不得严重背离合理编制周期。</w:t>
      </w:r>
    </w:p>
    <w:p>
      <w:pPr>
        <w:pStyle w:val="10"/>
        <w:spacing w:line="360" w:lineRule="auto"/>
        <w:ind w:firstLine="480" w:firstLineChars="200"/>
      </w:pPr>
      <w:r>
        <w:rPr>
          <w:rFonts w:hint="eastAsia"/>
        </w:rPr>
        <w:t>8.1.3对评估目的所涉及相关经济行为的合法性、可行性负责。</w:t>
      </w:r>
    </w:p>
    <w:p>
      <w:pPr>
        <w:pStyle w:val="10"/>
        <w:spacing w:line="360" w:lineRule="auto"/>
        <w:ind w:firstLine="480" w:firstLineChars="200"/>
      </w:pPr>
      <w:r>
        <w:rPr>
          <w:rFonts w:hint="eastAsia"/>
        </w:rPr>
        <w:t>8.1.4提供评估对象法律权属等资料，并对所提供评估对象法律权属资料的真实性、合法性和完整性承担责任。</w:t>
      </w:r>
    </w:p>
    <w:p>
      <w:pPr>
        <w:pStyle w:val="10"/>
        <w:spacing w:line="360" w:lineRule="auto"/>
        <w:ind w:firstLine="480" w:firstLineChars="200"/>
      </w:pPr>
      <w:r>
        <w:rPr>
          <w:rFonts w:hint="eastAsia"/>
        </w:rPr>
        <w:t>8.1.5协助提供评估必要的资料，并对提供给乙方的会计账册、评估明细表、资产清查及使用情况等评估数据、资料和其他有关文件、材料的真实性、合法性、完整性负责。</w:t>
      </w:r>
    </w:p>
    <w:p>
      <w:pPr>
        <w:pStyle w:val="10"/>
        <w:spacing w:line="360" w:lineRule="auto"/>
        <w:ind w:firstLine="480" w:firstLineChars="200"/>
      </w:pPr>
      <w:r>
        <w:rPr>
          <w:rFonts w:hint="eastAsia"/>
        </w:rPr>
        <w:t>8.1.6根据评估目的对应经济行为的需要恰当地使用评估报告。</w:t>
      </w:r>
    </w:p>
    <w:p>
      <w:pPr>
        <w:spacing w:line="360" w:lineRule="auto"/>
        <w:ind w:firstLine="480" w:firstLineChars="200"/>
        <w:rPr>
          <w:rFonts w:ascii="宋体" w:hAnsi="宋体" w:cs="宋体"/>
          <w:sz w:val="24"/>
          <w:szCs w:val="24"/>
        </w:rPr>
      </w:pPr>
      <w:r>
        <w:rPr>
          <w:rFonts w:hint="eastAsia" w:ascii="宋体" w:hAnsi="宋体" w:cs="宋体"/>
          <w:sz w:val="24"/>
          <w:szCs w:val="24"/>
        </w:rPr>
        <w:t>8.2乙方责任</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8.2.1乙方按合同约定时间向甲方提交有关工作成果，</w:t>
      </w:r>
      <w:r>
        <w:rPr>
          <w:rFonts w:hint="eastAsia" w:ascii="宋体" w:hAnsi="宋体" w:cs="宋体"/>
          <w:color w:val="auto"/>
          <w:sz w:val="24"/>
          <w:szCs w:val="24"/>
          <w:lang w:val="en-US" w:eastAsia="zh-CN"/>
        </w:rPr>
        <w:t>该成果应按照市国资委的物业及土地出租规定组织专家评审，并承担评审费用；</w:t>
      </w:r>
      <w:r>
        <w:rPr>
          <w:rFonts w:hint="eastAsia" w:ascii="宋体" w:hAnsi="宋体" w:cs="宋体"/>
          <w:color w:val="auto"/>
          <w:sz w:val="24"/>
          <w:szCs w:val="24"/>
        </w:rPr>
        <w:t>乙方保证具备相应的资质并对提交的文件、报告及所出的结论负责。</w:t>
      </w:r>
    </w:p>
    <w:p>
      <w:pPr>
        <w:spacing w:line="360" w:lineRule="auto"/>
        <w:ind w:firstLine="480" w:firstLineChars="200"/>
        <w:rPr>
          <w:rFonts w:ascii="宋体" w:hAnsi="宋体" w:cs="宋体"/>
          <w:sz w:val="24"/>
          <w:szCs w:val="24"/>
        </w:rPr>
      </w:pPr>
      <w:r>
        <w:rPr>
          <w:rFonts w:hint="eastAsia" w:ascii="宋体" w:hAnsi="宋体" w:cs="宋体"/>
          <w:sz w:val="24"/>
          <w:szCs w:val="24"/>
        </w:rPr>
        <w:t>8.2.2因文件质量问题引起返工，除由乙方继续完善外，并视造成损失大小，减收直至免收编制费。</w:t>
      </w:r>
    </w:p>
    <w:p>
      <w:pPr>
        <w:spacing w:line="360" w:lineRule="auto"/>
        <w:ind w:firstLine="480" w:firstLineChars="200"/>
        <w:rPr>
          <w:rFonts w:ascii="宋体" w:hAnsi="宋体" w:cs="宋体"/>
          <w:sz w:val="24"/>
          <w:szCs w:val="24"/>
        </w:rPr>
      </w:pPr>
      <w:r>
        <w:rPr>
          <w:rFonts w:hint="eastAsia" w:ascii="宋体" w:hAnsi="宋体" w:cs="宋体"/>
          <w:sz w:val="24"/>
          <w:szCs w:val="24"/>
        </w:rPr>
        <w:t>8.2.3乙方提交的文件不符合合同约定，经修改后仍未达到要求的，甲方有权解除合同，要求乙方赔偿损失并返还已收到的全部合同价款，如逾期未返还，应按同期银行贷款利率支付相应利息。</w:t>
      </w:r>
    </w:p>
    <w:p>
      <w:pPr>
        <w:spacing w:line="360" w:lineRule="auto"/>
        <w:ind w:firstLine="480" w:firstLineChars="200"/>
        <w:rPr>
          <w:rFonts w:ascii="宋体" w:hAnsi="宋体" w:cs="宋体"/>
          <w:sz w:val="24"/>
          <w:szCs w:val="24"/>
        </w:rPr>
      </w:pPr>
      <w:r>
        <w:rPr>
          <w:rFonts w:hint="eastAsia" w:ascii="宋体" w:hAnsi="宋体" w:cs="宋体"/>
          <w:sz w:val="24"/>
          <w:szCs w:val="24"/>
        </w:rPr>
        <w:t>8.2.4由于乙方自身原因，延误了按本合同第五条规定的成果交付时间，每延误一天应减收该项目合同价的2‰，逾期超过30天，甲方有权解除合同。由此给甲方造成损失的，乙方应承担赔偿责任。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8.2.5乙方有责任对甲方提供的资料保密，未经许可，不得提供给与本项目无关的单位和人员使用。乙方未尽保密义务，给甲方造成损失的，应承担赔偿责任，并向甲方一次性支付合同价款1%的违约金。不论何种情况下保密内容泄密的，乙方应当及时采取救济措施。若乙方怠于救济导致甲方损失扩大的，乙方对扩大部分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8.2.6若标准或计划变更，经甲方同意，乙方可顺延期限。</w:t>
      </w:r>
    </w:p>
    <w:p>
      <w:pPr>
        <w:spacing w:line="360" w:lineRule="auto"/>
        <w:ind w:firstLine="480" w:firstLineChars="200"/>
        <w:rPr>
          <w:rFonts w:ascii="宋体" w:hAnsi="宋体" w:cs="宋体"/>
          <w:sz w:val="24"/>
          <w:szCs w:val="24"/>
        </w:rPr>
      </w:pPr>
      <w:r>
        <w:rPr>
          <w:rFonts w:hint="eastAsia" w:ascii="宋体" w:hAnsi="宋体" w:cs="宋体"/>
          <w:sz w:val="24"/>
          <w:szCs w:val="24"/>
        </w:rPr>
        <w:t>8.2.7合同生效后，非甲方原因乙方要求解除合同的，应赔偿甲方的损失。</w:t>
      </w:r>
    </w:p>
    <w:p>
      <w:pPr>
        <w:pStyle w:val="28"/>
        <w:spacing w:line="360" w:lineRule="auto"/>
        <w:ind w:firstLine="480"/>
        <w:rPr>
          <w:rFonts w:hAnsi="宋体" w:eastAsiaTheme="minorEastAsia"/>
          <w:color w:val="auto"/>
          <w:kern w:val="2"/>
        </w:rPr>
      </w:pPr>
      <w:r>
        <w:rPr>
          <w:rFonts w:hAnsi="宋体" w:eastAsiaTheme="minorEastAsia"/>
          <w:color w:val="auto"/>
          <w:kern w:val="2"/>
        </w:rPr>
        <w:t>8.2.8</w:t>
      </w:r>
      <w:r>
        <w:rPr>
          <w:rFonts w:hint="eastAsia" w:hAnsi="宋体" w:eastAsiaTheme="minorEastAsia"/>
          <w:color w:val="auto"/>
          <w:kern w:val="2"/>
        </w:rPr>
        <w:t>在合同有效期内，若乙方发生不诚信行为情形的，乙方自愿接受甲方按《广州市净水有限公司经营建设项目参建企业不诚信行为管理办法》处理。</w:t>
      </w:r>
    </w:p>
    <w:p>
      <w:pPr>
        <w:pStyle w:val="28"/>
        <w:spacing w:line="360" w:lineRule="auto"/>
        <w:ind w:firstLine="480"/>
        <w:rPr>
          <w:rFonts w:hAnsi="宋体" w:eastAsiaTheme="minorEastAsia"/>
          <w:color w:val="auto"/>
          <w:kern w:val="2"/>
        </w:rPr>
      </w:pPr>
      <w:r>
        <w:rPr>
          <w:rFonts w:hint="eastAsia" w:hAnsi="宋体" w:eastAsiaTheme="minorEastAsia"/>
          <w:color w:val="auto"/>
          <w:kern w:val="2"/>
        </w:rPr>
        <w:t>8.2.9遵守国家有关法律、法规和资产评估准则要求，对评估对象在评估基准日特定目的下的价值进行分析、估算并发表专业意见。</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第九条  知识产权</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双方均应保护对方的知识产权，未经对方同意，任何一方均不得对对方的资料及文件擅自修改、复制或向第三人转让。如发生以上情况，违约方承担一切由此引起的后果并承担赔偿责任。</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第十条  争议解决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本合同履行过程中发生争议，由双方当事人协商解决。协商不成的按下列第（二）种方式解决。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（一）提交广州仲裁委员会仲裁；</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（二）依法向甲方所在地的人民法院起诉。</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第十一条  合同生效及其他</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11.1合同生效的条件：合同签订盖章。</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11.2甲方委托乙方承担本合同内容以外的工作服务，需另行签订协议并支付费用。</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11.3当项目的建设业主变更时，甲方应书面通知乙方并协商合同终止或变更事宜。</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11.4由于不可抗力因素致使合同无法履行时，双方应及时协商解决。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11.5本合同正本一式</w:t>
      </w:r>
      <w:r>
        <w:rPr>
          <w:rFonts w:hint="eastAsia" w:ascii="宋体" w:hAnsi="宋体" w:cs="宋体"/>
          <w:sz w:val="24"/>
          <w:szCs w:val="24"/>
          <w:u w:val="single"/>
        </w:rPr>
        <w:t xml:space="preserve"> 贰 </w:t>
      </w:r>
      <w:r>
        <w:rPr>
          <w:rFonts w:hint="eastAsia" w:ascii="宋体" w:hAnsi="宋体" w:cs="宋体"/>
          <w:sz w:val="24"/>
          <w:szCs w:val="24"/>
        </w:rPr>
        <w:t>份，甲方执</w:t>
      </w:r>
      <w:r>
        <w:rPr>
          <w:rFonts w:hint="eastAsia" w:ascii="宋体" w:hAnsi="宋体" w:cs="宋体"/>
          <w:sz w:val="24"/>
          <w:szCs w:val="24"/>
          <w:u w:val="single"/>
        </w:rPr>
        <w:t xml:space="preserve"> 壹 </w:t>
      </w:r>
      <w:r>
        <w:rPr>
          <w:rFonts w:hint="eastAsia" w:ascii="宋体" w:hAnsi="宋体" w:cs="宋体"/>
          <w:sz w:val="24"/>
          <w:szCs w:val="24"/>
        </w:rPr>
        <w:t>份，乙方执</w:t>
      </w:r>
      <w:r>
        <w:rPr>
          <w:rFonts w:hint="eastAsia" w:ascii="宋体" w:hAnsi="宋体" w:cs="宋体"/>
          <w:sz w:val="24"/>
          <w:szCs w:val="24"/>
          <w:u w:val="single"/>
        </w:rPr>
        <w:t xml:space="preserve"> 壹 </w:t>
      </w:r>
      <w:r>
        <w:rPr>
          <w:rFonts w:hint="eastAsia" w:ascii="宋体" w:hAnsi="宋体" w:cs="宋体"/>
          <w:sz w:val="24"/>
          <w:szCs w:val="24"/>
        </w:rPr>
        <w:t>份；副本一式</w:t>
      </w:r>
      <w:r>
        <w:rPr>
          <w:rFonts w:hint="eastAsia" w:ascii="宋体" w:hAnsi="宋体" w:cs="宋体"/>
          <w:sz w:val="24"/>
          <w:szCs w:val="24"/>
          <w:u w:val="single"/>
        </w:rPr>
        <w:t xml:space="preserve"> 捌 </w:t>
      </w:r>
      <w:r>
        <w:rPr>
          <w:rFonts w:hint="eastAsia" w:ascii="宋体" w:hAnsi="宋体" w:cs="宋体"/>
          <w:sz w:val="24"/>
          <w:szCs w:val="24"/>
        </w:rPr>
        <w:t>份，甲方执</w:t>
      </w:r>
      <w:r>
        <w:rPr>
          <w:rFonts w:hint="eastAsia" w:ascii="宋体" w:hAnsi="宋体" w:cs="宋体"/>
          <w:sz w:val="24"/>
          <w:szCs w:val="24"/>
          <w:u w:val="single"/>
        </w:rPr>
        <w:t>伍</w:t>
      </w:r>
      <w:r>
        <w:rPr>
          <w:rFonts w:hint="eastAsia" w:ascii="宋体" w:hAnsi="宋体" w:cs="宋体"/>
          <w:sz w:val="24"/>
          <w:szCs w:val="24"/>
        </w:rPr>
        <w:t>份，乙方执</w:t>
      </w:r>
      <w:r>
        <w:rPr>
          <w:rFonts w:hint="eastAsia" w:ascii="宋体" w:hAnsi="宋体" w:cs="宋体"/>
          <w:sz w:val="24"/>
          <w:szCs w:val="24"/>
          <w:u w:val="single"/>
        </w:rPr>
        <w:t xml:space="preserve"> 叁 </w:t>
      </w:r>
      <w:r>
        <w:rPr>
          <w:rFonts w:hint="eastAsia" w:ascii="宋体" w:hAnsi="宋体" w:cs="宋体"/>
          <w:sz w:val="24"/>
          <w:szCs w:val="24"/>
        </w:rPr>
        <w:t>份，双方所执合同具同等法律效力。</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11.6双方履行完合同规定的义务后，本合同即行终止。</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11.7双方认可的来往传真、会议纪要等，均为合同的组成部分，与本合同具有同等法律效力。</w:t>
      </w:r>
    </w:p>
    <w:p>
      <w:pPr>
        <w:spacing w:line="360" w:lineRule="auto"/>
        <w:ind w:firstLine="480" w:firstLineChars="200"/>
        <w:rPr>
          <w:rFonts w:ascii="宋体" w:hAnsi="宋体" w:cs="宋体"/>
          <w:color w:val="000000"/>
          <w:sz w:val="24"/>
          <w:szCs w:val="24"/>
        </w:rPr>
      </w:pPr>
      <w:r>
        <w:rPr>
          <w:rFonts w:hint="eastAsia" w:ascii="宋体" w:hAnsi="宋体" w:cs="宋体"/>
          <w:sz w:val="24"/>
          <w:szCs w:val="24"/>
        </w:rPr>
        <w:t>11.8未尽事宜，双方协商一致，</w:t>
      </w:r>
      <w:r>
        <w:rPr>
          <w:rFonts w:hint="eastAsia" w:ascii="宋体" w:hAnsi="宋体" w:cs="宋体"/>
          <w:color w:val="000000"/>
          <w:sz w:val="24"/>
          <w:szCs w:val="24"/>
        </w:rPr>
        <w:t>可签订补充协议，补充协议与本合同具有同等效力。</w:t>
      </w:r>
    </w:p>
    <w:p>
      <w:pPr>
        <w:pStyle w:val="13"/>
        <w:spacing w:line="360" w:lineRule="auto"/>
        <w:ind w:left="465" w:leftChars="50" w:hanging="360" w:hangingChars="150"/>
        <w:jc w:val="center"/>
        <w:rPr>
          <w:rFonts w:ascii="宋体" w:hAnsi="宋体" w:cs="宋体"/>
          <w:color w:val="000000"/>
          <w:sz w:val="24"/>
          <w:szCs w:val="24"/>
        </w:rPr>
      </w:pPr>
      <w:r>
        <w:rPr>
          <w:rFonts w:hint="eastAsia" w:ascii="宋体" w:hAnsi="宋体" w:cs="宋体"/>
          <w:color w:val="000000"/>
          <w:sz w:val="24"/>
          <w:szCs w:val="24"/>
        </w:rPr>
        <w:t>11.9本合同附件是合同不可分割的一部分，具有相同的法律效力，具体附件如下：</w:t>
      </w:r>
    </w:p>
    <w:p>
      <w:pPr>
        <w:pStyle w:val="13"/>
        <w:spacing w:line="360" w:lineRule="auto"/>
        <w:ind w:left="584" w:leftChars="278" w:firstLine="105" w:firstLineChars="50"/>
        <w:rPr>
          <w:rFonts w:ascii="宋体" w:hAnsi="宋体" w:cs="宋体"/>
          <w:szCs w:val="21"/>
        </w:rPr>
      </w:pPr>
      <w:r>
        <w:rPr>
          <w:rFonts w:hint="eastAsia" w:ascii="宋体" w:hAnsi="宋体" w:cs="宋体"/>
          <w:szCs w:val="21"/>
        </w:rPr>
        <w:t xml:space="preserve">附件1：发包通知书 </w:t>
      </w:r>
    </w:p>
    <w:p>
      <w:pPr>
        <w:pStyle w:val="13"/>
        <w:spacing w:line="360" w:lineRule="auto"/>
        <w:ind w:left="584" w:leftChars="278" w:firstLine="105" w:firstLineChars="50"/>
        <w:rPr>
          <w:rFonts w:ascii="宋体" w:hAnsi="宋体" w:cs="宋体"/>
          <w:szCs w:val="21"/>
        </w:rPr>
      </w:pPr>
      <w:r>
        <w:rPr>
          <w:rFonts w:hint="eastAsia" w:ascii="宋体" w:hAnsi="宋体" w:cs="宋体"/>
          <w:szCs w:val="21"/>
        </w:rPr>
        <w:t>附件2：廉洁协议</w:t>
      </w:r>
    </w:p>
    <w:p>
      <w:pPr>
        <w:pStyle w:val="13"/>
        <w:spacing w:line="360" w:lineRule="auto"/>
        <w:ind w:left="584" w:leftChars="278" w:firstLine="105" w:firstLineChars="50"/>
        <w:rPr>
          <w:rFonts w:ascii="宋体" w:hAnsi="宋体" w:cs="宋体"/>
          <w:szCs w:val="21"/>
        </w:rPr>
      </w:pPr>
      <w:r>
        <w:rPr>
          <w:rFonts w:hint="eastAsia" w:ascii="宋体" w:hAnsi="宋体" w:cs="宋体"/>
          <w:szCs w:val="21"/>
        </w:rPr>
        <w:t>附件</w:t>
      </w:r>
      <w:r>
        <w:rPr>
          <w:rFonts w:ascii="宋体" w:hAnsi="宋体" w:cs="宋体"/>
          <w:szCs w:val="21"/>
        </w:rPr>
        <w:t>3</w:t>
      </w:r>
      <w:r>
        <w:rPr>
          <w:rFonts w:hint="eastAsia" w:ascii="宋体" w:hAnsi="宋体" w:cs="宋体"/>
          <w:szCs w:val="21"/>
        </w:rPr>
        <w:t>：不诚信行为的情形及相应被暂停参与投标活动的处理标准</w:t>
      </w:r>
    </w:p>
    <w:p>
      <w:pPr>
        <w:pStyle w:val="13"/>
        <w:spacing w:line="360" w:lineRule="auto"/>
        <w:ind w:left="584" w:leftChars="278" w:firstLine="105" w:firstLineChars="50"/>
        <w:rPr>
          <w:rFonts w:ascii="宋体" w:hAnsi="宋体" w:cs="宋体"/>
          <w:szCs w:val="21"/>
        </w:rPr>
      </w:pPr>
      <w:r>
        <w:rPr>
          <w:rFonts w:hint="eastAsia" w:ascii="宋体" w:hAnsi="宋体" w:cs="宋体"/>
          <w:szCs w:val="21"/>
        </w:rPr>
        <w:t>附件</w:t>
      </w:r>
      <w:r>
        <w:rPr>
          <w:rFonts w:ascii="宋体" w:hAnsi="宋体" w:cs="宋体"/>
          <w:szCs w:val="21"/>
        </w:rPr>
        <w:t>4</w:t>
      </w:r>
      <w:r>
        <w:rPr>
          <w:rFonts w:hint="eastAsia" w:ascii="宋体" w:hAnsi="宋体" w:cs="宋体"/>
          <w:szCs w:val="21"/>
        </w:rPr>
        <w:t>：防疫管理协议书</w:t>
      </w:r>
    </w:p>
    <w:p>
      <w:pPr>
        <w:pStyle w:val="13"/>
        <w:spacing w:line="360" w:lineRule="auto"/>
        <w:ind w:left="584" w:leftChars="278" w:firstLine="105" w:firstLineChars="50"/>
        <w:rPr>
          <w:rFonts w:ascii="宋体" w:hAnsi="宋体" w:cs="宋体"/>
          <w:szCs w:val="21"/>
        </w:rPr>
      </w:pPr>
    </w:p>
    <w:p>
      <w:pPr>
        <w:pStyle w:val="13"/>
        <w:spacing w:line="360" w:lineRule="auto"/>
        <w:ind w:left="584" w:leftChars="278" w:firstLine="105" w:firstLineChars="50"/>
        <w:rPr>
          <w:rFonts w:ascii="宋体" w:hAnsi="宋体" w:cs="宋体"/>
          <w:szCs w:val="21"/>
        </w:rPr>
      </w:pPr>
      <w:r>
        <w:rPr>
          <w:rFonts w:hint="eastAsia" w:ascii="宋体" w:hAnsi="宋体" w:cs="宋体"/>
          <w:szCs w:val="21"/>
        </w:rPr>
        <w:t>（本页以下无正文）</w:t>
      </w:r>
    </w:p>
    <w:p>
      <w:pPr>
        <w:pStyle w:val="13"/>
        <w:spacing w:line="360" w:lineRule="auto"/>
        <w:ind w:left="584" w:leftChars="278" w:firstLine="105" w:firstLineChars="50"/>
        <w:rPr>
          <w:rFonts w:ascii="宋体" w:hAnsi="宋体" w:cs="宋体"/>
          <w:szCs w:val="21"/>
        </w:rPr>
      </w:pPr>
    </w:p>
    <w:p>
      <w:pPr>
        <w:pStyle w:val="13"/>
        <w:spacing w:line="360" w:lineRule="auto"/>
        <w:ind w:left="584" w:leftChars="278" w:firstLine="120" w:firstLineChars="50"/>
        <w:rPr>
          <w:rFonts w:ascii="宋体" w:hAnsi="宋体" w:cs="宋体"/>
          <w:color w:val="000000"/>
          <w:sz w:val="24"/>
          <w:szCs w:val="24"/>
        </w:rPr>
        <w:sectPr>
          <w:pgSz w:w="11906" w:h="16838"/>
          <w:pgMar w:top="1089" w:right="1469" w:bottom="1089" w:left="1077" w:header="851" w:footer="992" w:gutter="0"/>
          <w:cols w:space="720" w:num="1"/>
          <w:docGrid w:linePitch="312" w:charSpace="0"/>
        </w:sectPr>
      </w:pPr>
    </w:p>
    <w:p>
      <w:pPr>
        <w:pStyle w:val="13"/>
        <w:spacing w:line="360" w:lineRule="auto"/>
        <w:ind w:left="584" w:leftChars="278" w:firstLine="120" w:firstLineChars="50"/>
        <w:rPr>
          <w:rFonts w:ascii="宋体" w:hAnsi="宋体" w:cs="宋体"/>
          <w:color w:val="000000"/>
          <w:sz w:val="24"/>
          <w:szCs w:val="24"/>
        </w:rPr>
      </w:pPr>
      <w:r>
        <w:rPr>
          <w:rFonts w:hint="eastAsia" w:ascii="宋体" w:hAnsi="宋体" w:cs="宋体"/>
          <w:color w:val="000000"/>
          <w:sz w:val="24"/>
          <w:szCs w:val="24"/>
        </w:rPr>
        <w:t>（本页为签字盖章页）</w:t>
      </w:r>
    </w:p>
    <w:tbl>
      <w:tblPr>
        <w:tblStyle w:val="22"/>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ascii="宋体" w:hAnsi="宋体" w:cs="宋体"/>
                <w:sz w:val="24"/>
                <w:szCs w:val="24"/>
              </w:rPr>
            </w:pPr>
            <w:r>
              <w:rPr>
                <w:rFonts w:hint="eastAsia" w:ascii="宋体" w:hAnsi="宋体" w:cs="宋体"/>
                <w:color w:val="000000"/>
                <w:sz w:val="24"/>
                <w:szCs w:val="24"/>
              </w:rPr>
              <w:t>甲方：广州市净水有限公司</w:t>
            </w:r>
          </w:p>
        </w:tc>
        <w:tc>
          <w:tcPr>
            <w:tcW w:w="562" w:type="dxa"/>
            <w:vAlign w:val="center"/>
          </w:tcPr>
          <w:p>
            <w:pPr>
              <w:spacing w:line="360" w:lineRule="auto"/>
              <w:rPr>
                <w:rFonts w:ascii="宋体" w:hAnsi="宋体" w:cs="宋体"/>
                <w:color w:val="000000"/>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rPr>
            </w:pPr>
            <w:r>
              <w:rPr>
                <w:rFonts w:hint="eastAsia" w:ascii="宋体" w:hAnsi="宋体" w:cs="宋体"/>
                <w:color w:val="000000"/>
                <w:sz w:val="24"/>
                <w:szCs w:val="24"/>
              </w:rPr>
              <w:t>(盖章)</w:t>
            </w:r>
          </w:p>
          <w:p>
            <w:pPr>
              <w:spacing w:line="360" w:lineRule="auto"/>
              <w:rPr>
                <w:rFonts w:ascii="宋体" w:hAnsi="宋体" w:cs="宋体"/>
                <w:color w:val="000000"/>
                <w:sz w:val="24"/>
                <w:szCs w:val="24"/>
              </w:rPr>
            </w:pPr>
          </w:p>
        </w:tc>
        <w:tc>
          <w:tcPr>
            <w:tcW w:w="562" w:type="dxa"/>
          </w:tcPr>
          <w:p>
            <w:pPr>
              <w:spacing w:line="360" w:lineRule="auto"/>
              <w:rPr>
                <w:rFonts w:ascii="宋体" w:hAnsi="宋体" w:cs="宋体"/>
                <w:color w:val="000000"/>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rPr>
            </w:pPr>
            <w:r>
              <w:rPr>
                <w:rFonts w:hint="eastAsia" w:ascii="宋体" w:hAnsi="宋体" w:cs="宋体"/>
                <w:color w:val="000000"/>
                <w:sz w:val="24"/>
                <w:szCs w:val="24"/>
              </w:rPr>
              <w:t>法定代表人/授权代理人：</w:t>
            </w:r>
          </w:p>
          <w:p>
            <w:pPr>
              <w:spacing w:line="360" w:lineRule="auto"/>
              <w:rPr>
                <w:rFonts w:ascii="宋体" w:hAnsi="宋体" w:cs="宋体"/>
                <w:color w:val="000000"/>
                <w:sz w:val="24"/>
                <w:szCs w:val="24"/>
              </w:rPr>
            </w:pP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联系人：</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ind w:right="-19" w:rightChars="-9"/>
              <w:rPr>
                <w:rFonts w:ascii="宋体" w:hAnsi="宋体" w:cs="宋体"/>
                <w:color w:val="000000"/>
                <w:sz w:val="24"/>
                <w:szCs w:val="24"/>
              </w:rPr>
            </w:pPr>
            <w:r>
              <w:rPr>
                <w:rFonts w:hint="eastAsia" w:ascii="宋体" w:hAnsi="宋体" w:cs="宋体"/>
                <w:color w:val="000000"/>
                <w:sz w:val="24"/>
                <w:szCs w:val="24"/>
              </w:rPr>
              <w:t>联系人：</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sz w:val="24"/>
                <w:szCs w:val="24"/>
              </w:rPr>
            </w:pPr>
            <w:r>
              <w:rPr>
                <w:rFonts w:hint="eastAsia" w:ascii="宋体" w:hAnsi="宋体" w:cs="宋体"/>
                <w:color w:val="000000"/>
                <w:sz w:val="24"/>
                <w:szCs w:val="24"/>
              </w:rPr>
              <w:t>地址：广州市天河区临江大道501号</w:t>
            </w: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sz w:val="24"/>
                <w:szCs w:val="24"/>
              </w:rPr>
            </w:pPr>
            <w:r>
              <w:rPr>
                <w:rFonts w:hint="eastAsia" w:ascii="宋体" w:hAnsi="宋体" w:cs="宋体"/>
                <w:color w:val="000000"/>
                <w:sz w:val="24"/>
                <w:szCs w:val="24"/>
              </w:rPr>
              <w:t>邮政编码：510655</w:t>
            </w:r>
            <w:r>
              <w:rPr>
                <w:rFonts w:hint="eastAsia" w:ascii="宋体" w:hAnsi="宋体" w:cs="宋体"/>
                <w:sz w:val="24"/>
                <w:szCs w:val="24"/>
              </w:rPr>
              <w:tab/>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电话：</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传真：</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传真：</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rPr>
            </w:pP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银行帐户：</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rPr>
            </w:pP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银行帐号：</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sz w:val="24"/>
                <w:szCs w:val="24"/>
              </w:rPr>
            </w:pPr>
            <w:r>
              <w:rPr>
                <w:rFonts w:hint="eastAsia" w:ascii="宋体" w:hAnsi="宋体" w:cs="宋体"/>
                <w:sz w:val="24"/>
                <w:szCs w:val="24"/>
              </w:rPr>
              <w:t>签约日期：202</w:t>
            </w:r>
            <w:r>
              <w:rPr>
                <w:rFonts w:ascii="宋体" w:hAnsi="宋体" w:cs="宋体"/>
                <w:sz w:val="24"/>
                <w:szCs w:val="24"/>
              </w:rPr>
              <w:t>2</w:t>
            </w:r>
            <w:r>
              <w:rPr>
                <w:rFonts w:hint="eastAsia" w:ascii="宋体" w:hAnsi="宋体" w:cs="宋体"/>
                <w:sz w:val="24"/>
                <w:szCs w:val="24"/>
              </w:rPr>
              <w:t>年月日</w:t>
            </w:r>
          </w:p>
        </w:tc>
        <w:tc>
          <w:tcPr>
            <w:tcW w:w="562" w:type="dxa"/>
            <w:vAlign w:val="center"/>
          </w:tcPr>
          <w:p>
            <w:pPr>
              <w:rPr>
                <w:rFonts w:ascii="宋体" w:hAnsi="宋体" w:cs="宋体"/>
                <w:sz w:val="24"/>
                <w:szCs w:val="24"/>
              </w:rPr>
            </w:pPr>
          </w:p>
        </w:tc>
        <w:tc>
          <w:tcPr>
            <w:tcW w:w="4007" w:type="dxa"/>
            <w:vAlign w:val="center"/>
          </w:tcPr>
          <w:p>
            <w:pPr>
              <w:rPr>
                <w:rFonts w:ascii="宋体" w:hAnsi="宋体" w:cs="宋体"/>
                <w:sz w:val="24"/>
                <w:szCs w:val="24"/>
              </w:rPr>
            </w:pPr>
            <w:r>
              <w:rPr>
                <w:rFonts w:hint="eastAsia" w:ascii="宋体" w:hAnsi="宋体" w:cs="宋体"/>
                <w:sz w:val="24"/>
                <w:szCs w:val="24"/>
              </w:rPr>
              <w:t>签约日期：202</w:t>
            </w:r>
            <w:r>
              <w:rPr>
                <w:rFonts w:ascii="宋体" w:hAnsi="宋体" w:cs="宋体"/>
                <w:sz w:val="24"/>
                <w:szCs w:val="24"/>
              </w:rPr>
              <w:t>2</w:t>
            </w:r>
            <w:r>
              <w:rPr>
                <w:rFonts w:hint="eastAsia" w:ascii="宋体" w:hAnsi="宋体" w:cs="宋体"/>
                <w:sz w:val="24"/>
                <w:szCs w:val="24"/>
              </w:rPr>
              <w:t>年月日</w:t>
            </w:r>
          </w:p>
        </w:tc>
      </w:tr>
    </w:tbl>
    <w:p>
      <w:pPr>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p>
    <w:p>
      <w:pPr>
        <w:pStyle w:val="28"/>
        <w:rPr>
          <w:rFonts w:hAnsi="宋体" w:eastAsiaTheme="minorEastAsia"/>
          <w:b/>
          <w:bCs/>
          <w:color w:val="auto"/>
          <w:kern w:val="2"/>
          <w:sz w:val="21"/>
          <w:szCs w:val="21"/>
        </w:rPr>
      </w:pPr>
      <w:r>
        <w:rPr>
          <w:rFonts w:hint="eastAsia" w:hAnsi="宋体" w:eastAsiaTheme="minorEastAsia"/>
          <w:b/>
          <w:bCs/>
          <w:color w:val="auto"/>
          <w:kern w:val="2"/>
          <w:sz w:val="21"/>
          <w:szCs w:val="21"/>
        </w:rPr>
        <w:t>附件1 发包通知书</w:t>
      </w:r>
    </w:p>
    <w:p>
      <w:pPr>
        <w:pStyle w:val="28"/>
        <w:rPr>
          <w:rFonts w:hAnsi="宋体" w:eastAsiaTheme="minorEastAsia"/>
          <w:b/>
          <w:bCs/>
          <w:color w:val="auto"/>
          <w:kern w:val="2"/>
          <w:sz w:val="21"/>
          <w:szCs w:val="21"/>
        </w:rPr>
      </w:pPr>
      <w:r>
        <w:rPr>
          <w:rFonts w:hint="eastAsia" w:hAnsi="宋体" w:eastAsiaTheme="minorEastAsia"/>
          <w:b/>
          <w:bCs/>
          <w:color w:val="auto"/>
          <w:kern w:val="2"/>
          <w:sz w:val="21"/>
          <w:szCs w:val="21"/>
        </w:rPr>
        <w:t>附件</w:t>
      </w:r>
      <w:r>
        <w:rPr>
          <w:rFonts w:hAnsi="宋体" w:eastAsiaTheme="minorEastAsia"/>
          <w:b/>
          <w:bCs/>
          <w:color w:val="auto"/>
          <w:kern w:val="2"/>
          <w:sz w:val="21"/>
          <w:szCs w:val="21"/>
        </w:rPr>
        <w:t>2</w:t>
      </w:r>
      <w:r>
        <w:rPr>
          <w:rFonts w:hint="eastAsia" w:hAnsi="宋体" w:eastAsiaTheme="minorEastAsia"/>
          <w:b/>
          <w:bCs/>
          <w:color w:val="auto"/>
          <w:kern w:val="2"/>
          <w:sz w:val="21"/>
          <w:szCs w:val="21"/>
        </w:rPr>
        <w:t xml:space="preserve"> 廉洁协议</w:t>
      </w:r>
    </w:p>
    <w:p>
      <w:pPr>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2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w:t>
      </w:r>
      <w:r>
        <w:rPr>
          <w:rFonts w:hint="eastAsia" w:ascii="仿宋_GB2312" w:hAnsi="仿宋_GB2312" w:eastAsia="仿宋_GB2312" w:cs="仿宋_GB2312"/>
          <w:bCs/>
          <w:sz w:val="28"/>
          <w:szCs w:val="28"/>
          <w:u w:val="single"/>
        </w:rPr>
        <w:t xml:space="preserve"> </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(以下称乙方)，特此订立本协议共同遵照执行。</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广州市净水有限公司猎德土地评估项目技术服务合同</w:t>
      </w:r>
      <w:r>
        <w:rPr>
          <w:rFonts w:hint="eastAsia" w:ascii="仿宋_GB2312" w:hAnsi="仿宋_GB2312" w:eastAsia="仿宋_GB2312" w:cs="仿宋_GB2312"/>
          <w:bCs/>
          <w:sz w:val="28"/>
          <w:szCs w:val="28"/>
        </w:rPr>
        <w:t>（以下简称：主合同），自觉履行合同约定的相关义务。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spacing w:line="52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19"/>
        <w:widowControl/>
        <w:spacing w:beforeAutospacing="0"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9"/>
        <w:widowControl/>
        <w:spacing w:before="0" w:beforeAutospacing="0" w:after="0" w:afterAutospacing="0"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pStyle w:val="19"/>
        <w:widowControl/>
        <w:spacing w:before="0" w:beforeAutospacing="0" w:after="0" w:afterAutospacing="0"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pStyle w:val="19"/>
        <w:widowControl/>
        <w:spacing w:before="0" w:beforeAutospacing="0" w:after="0" w:afterAutospacing="0"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pStyle w:val="19"/>
        <w:widowControl/>
        <w:spacing w:before="0" w:beforeAutospacing="0" w:after="0" w:afterAutospacing="0"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pStyle w:val="19"/>
        <w:widowControl/>
        <w:spacing w:before="0" w:beforeAutospacing="0" w:after="0" w:afterAutospacing="0"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pStyle w:val="19"/>
        <w:widowControl/>
        <w:spacing w:before="0" w:beforeAutospacing="0" w:after="0" w:afterAutospacing="0"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pStyle w:val="19"/>
        <w:widowControl/>
        <w:spacing w:before="0" w:beforeAutospacing="0" w:after="0" w:afterAutospacing="0"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360" w:lineRule="auto"/>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广州市净水公司旧厂区消防安全评估项目合同（穗净水合[20]    号）</w:t>
      </w:r>
      <w:r>
        <w:rPr>
          <w:rFonts w:hint="eastAsia" w:ascii="仿宋_GB2312" w:hAnsi="仿宋_GB2312" w:eastAsia="仿宋_GB2312" w:cs="仿宋_GB2312"/>
          <w:bCs/>
          <w:sz w:val="28"/>
          <w:szCs w:val="28"/>
        </w:rPr>
        <w:t>的附件，并具有同等的法律效力，本协议自双方签字盖章之日起生效，与主合同同时终止。</w:t>
      </w: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36"/>
        <w:tabs>
          <w:tab w:val="left" w:pos="5100"/>
        </w:tabs>
        <w:spacing w:line="520" w:lineRule="exact"/>
        <w:ind w:left="7200" w:firstLine="0" w:firstLineChars="0"/>
        <w:jc w:val="left"/>
        <w:rPr>
          <w:rFonts w:ascii="仿宋_GB2312" w:hAnsi="仿宋_GB2312" w:eastAsia="仿宋_GB2312" w:cs="仿宋_GB2312"/>
          <w:bCs/>
          <w:sz w:val="28"/>
          <w:szCs w:val="28"/>
        </w:rPr>
      </w:pPr>
    </w:p>
    <w:p>
      <w:pPr>
        <w:tabs>
          <w:tab w:val="left" w:pos="5100"/>
        </w:tabs>
        <w:spacing w:line="52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日期:20年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 xml:space="preserve">     日期：20年  月  日</w:t>
      </w:r>
    </w:p>
    <w:p>
      <w:pPr>
        <w:widowControl/>
        <w:rPr>
          <w:rFonts w:ascii="Cambria" w:hAnsi="Cambria"/>
          <w:b/>
          <w:bCs/>
          <w:sz w:val="32"/>
          <w:szCs w:val="32"/>
        </w:rPr>
      </w:pPr>
      <w:r>
        <w:rPr>
          <w:rFonts w:ascii="Cambria" w:hAnsi="Cambria"/>
          <w:b/>
          <w:bCs/>
          <w:sz w:val="32"/>
          <w:szCs w:val="32"/>
        </w:rPr>
        <w:br w:type="page"/>
      </w:r>
    </w:p>
    <w:p>
      <w:pPr>
        <w:spacing w:line="560" w:lineRule="exact"/>
        <w:jc w:val="left"/>
        <w:rPr>
          <w:rFonts w:ascii="宋体" w:hAnsi="宋体" w:cs="宋体"/>
          <w:b/>
          <w:bCs/>
          <w:szCs w:val="21"/>
        </w:rPr>
      </w:pPr>
      <w:r>
        <w:rPr>
          <w:rFonts w:hint="eastAsia" w:ascii="宋体" w:hAnsi="宋体" w:cs="宋体"/>
          <w:b/>
          <w:bCs/>
          <w:szCs w:val="21"/>
        </w:rPr>
        <w:t>附件</w:t>
      </w:r>
      <w:r>
        <w:rPr>
          <w:rFonts w:ascii="宋体" w:hAnsi="宋体" w:cs="宋体"/>
          <w:b/>
          <w:bCs/>
          <w:szCs w:val="21"/>
        </w:rPr>
        <w:t>3</w:t>
      </w:r>
      <w:r>
        <w:rPr>
          <w:rFonts w:hint="eastAsia" w:ascii="宋体" w:hAnsi="宋体" w:cs="宋体"/>
          <w:b/>
          <w:bCs/>
          <w:szCs w:val="21"/>
        </w:rPr>
        <w:t>：</w:t>
      </w:r>
    </w:p>
    <w:p>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bl>
    <w:p>
      <w:pPr>
        <w:contextualSpacing/>
        <w:jc w:val="left"/>
        <w:rPr>
          <w:rFonts w:ascii="仿宋_GB2312" w:hAnsi="仿宋_GB2312" w:eastAsia="仿宋_GB2312" w:cs="仿宋_GB2312"/>
          <w:sz w:val="24"/>
        </w:rPr>
      </w:pPr>
      <w:r>
        <w:rPr>
          <w:rFonts w:hint="eastAsia" w:ascii="仿宋_GB2312" w:hAnsi="仿宋_GB2312" w:eastAsia="仿宋_GB2312" w:cs="仿宋_GB2312"/>
          <w:sz w:val="24"/>
        </w:rPr>
        <w:t>备注：本处理标准出自《广州市净水有限公司经营建设项目参建企业不诚信行为管理办法》。</w:t>
      </w:r>
    </w:p>
    <w:p>
      <w:pPr>
        <w:rPr>
          <w:rFonts w:ascii="仿宋_GB2312" w:eastAsia="仿宋_GB2312"/>
          <w:b/>
          <w:sz w:val="28"/>
          <w:szCs w:val="28"/>
        </w:rPr>
      </w:pPr>
      <w:r>
        <w:rPr>
          <w:rFonts w:ascii="宋体" w:hAnsi="宋体" w:cs="宋体"/>
          <w:bCs/>
          <w:sz w:val="24"/>
        </w:rPr>
        <w:br w:type="page"/>
      </w:r>
      <w:r>
        <w:rPr>
          <w:rFonts w:hint="eastAsia" w:ascii="宋体" w:hAnsi="宋体" w:cs="宋体"/>
          <w:b/>
          <w:bCs/>
          <w:szCs w:val="21"/>
        </w:rPr>
        <w:t>附件</w:t>
      </w:r>
      <w:r>
        <w:rPr>
          <w:rFonts w:ascii="宋体" w:hAnsi="宋体" w:cs="宋体"/>
          <w:b/>
          <w:bCs/>
          <w:szCs w:val="21"/>
        </w:rPr>
        <w:t>4</w:t>
      </w:r>
      <w:r>
        <w:rPr>
          <w:rFonts w:hint="eastAsia" w:ascii="宋体" w:hAnsi="宋体" w:cs="宋体"/>
          <w:b/>
          <w:bCs/>
          <w:szCs w:val="21"/>
        </w:rPr>
        <w:t>：防疫管理协议书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rPr>
        <w:t>防疫管理协议书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甲方：</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5"/>
          <w:rFonts w:ascii="仿宋" w:hAnsi="仿宋" w:eastAsia="仿宋" w:cs="仿宋"/>
          <w:b w:val="0"/>
          <w:u w:val="single"/>
        </w:rPr>
      </w:pPr>
      <w:bookmarkStart w:id="7" w:name="_Toc21391"/>
      <w:r>
        <w:rPr>
          <w:rFonts w:hint="eastAsia" w:ascii="仿宋" w:hAnsi="仿宋" w:eastAsia="仿宋" w:cs="仿宋"/>
          <w:sz w:val="24"/>
        </w:rPr>
        <w:t xml:space="preserve">乙方: </w:t>
      </w:r>
    </w:p>
    <w:bookmarkEnd w:id="7"/>
    <w:p>
      <w:pPr>
        <w:spacing w:line="440" w:lineRule="exact"/>
        <w:ind w:firstLine="540" w:firstLineChars="225"/>
        <w:rPr>
          <w:rFonts w:ascii="仿宋" w:hAnsi="仿宋" w:eastAsia="仿宋" w:cs="仿宋"/>
          <w:sz w:val="24"/>
        </w:rPr>
      </w:pPr>
      <w:r>
        <w:rPr>
          <w:rFonts w:hint="eastAsia" w:ascii="仿宋" w:hAnsi="仿宋" w:eastAsia="仿宋" w:cs="仿宋"/>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一、本协议与主协议的关系</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广州市净水有限公司猎德土地评估项目技术服务合同</w:t>
      </w:r>
      <w:r>
        <w:rPr>
          <w:rFonts w:hint="eastAsia" w:ascii="仿宋" w:hAnsi="仿宋" w:eastAsia="仿宋" w:cs="仿宋"/>
          <w:sz w:val="24"/>
        </w:rPr>
        <w:t>的组成部分，与主合同具有同等法律</w:t>
      </w:r>
    </w:p>
    <w:p>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二、甲方的义务</w:t>
      </w:r>
    </w:p>
    <w:p>
      <w:pPr>
        <w:adjustRightInd w:val="0"/>
        <w:snapToGrid w:val="0"/>
        <w:spacing w:line="440" w:lineRule="exact"/>
        <w:ind w:firstLine="480"/>
        <w:jc w:val="left"/>
        <w:rPr>
          <w:rFonts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rPr>
        <w:t>与建设主管部门和属地疫情防控指挥部门形成联防联控机制，建立快速有效的处置工作流程。</w:t>
      </w:r>
    </w:p>
    <w:p>
      <w:pPr>
        <w:pStyle w:val="8"/>
        <w:spacing w:line="440" w:lineRule="exact"/>
        <w:ind w:firstLine="480" w:firstLineChars="0"/>
        <w:jc w:val="left"/>
        <w:rPr>
          <w:rFonts w:ascii="仿宋" w:hAnsi="仿宋" w:eastAsia="仿宋" w:cs="仿宋"/>
          <w:sz w:val="24"/>
          <w:szCs w:val="24"/>
        </w:rPr>
      </w:pPr>
      <w:r>
        <w:rPr>
          <w:rFonts w:hint="eastAsia" w:ascii="仿宋" w:hAnsi="仿宋" w:eastAsia="仿宋" w:cs="仿宋"/>
          <w:sz w:val="24"/>
          <w:szCs w:val="24"/>
        </w:rPr>
        <w:t>（二）对乙方防控工作的落实情况进行监督。</w:t>
      </w:r>
    </w:p>
    <w:p>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三、乙方的义务</w:t>
      </w:r>
    </w:p>
    <w:p>
      <w:pPr>
        <w:pStyle w:val="8"/>
        <w:spacing w:line="440" w:lineRule="exact"/>
        <w:ind w:firstLine="480"/>
        <w:rPr>
          <w:rFonts w:ascii="仿宋" w:hAnsi="仿宋" w:eastAsia="仿宋" w:cs="仿宋"/>
          <w:sz w:val="24"/>
          <w:szCs w:val="24"/>
        </w:rPr>
      </w:pPr>
      <w:r>
        <w:rPr>
          <w:rFonts w:hint="eastAsia" w:ascii="仿宋" w:hAnsi="仿宋" w:eastAsia="仿宋" w:cs="仿宋"/>
          <w:sz w:val="24"/>
          <w:szCs w:val="24"/>
        </w:rPr>
        <w:t>（一）开展疫情防控宣传教育，提高</w:t>
      </w:r>
      <w:r>
        <w:rPr>
          <w:rFonts w:hint="eastAsia" w:ascii="仿宋" w:hAnsi="仿宋" w:eastAsia="仿宋" w:cs="仿宋"/>
          <w:sz w:val="24"/>
        </w:rPr>
        <w:t>乙方</w:t>
      </w:r>
      <w:r>
        <w:rPr>
          <w:rFonts w:hint="eastAsia" w:ascii="仿宋" w:hAnsi="仿宋" w:eastAsia="仿宋" w:cs="仿宋"/>
          <w:sz w:val="24"/>
          <w:szCs w:val="24"/>
        </w:rPr>
        <w:t>人员自我防护意识，最大限度减少人员暴露和感染的风险。</w:t>
      </w:r>
    </w:p>
    <w:p>
      <w:pPr>
        <w:pStyle w:val="8"/>
        <w:spacing w:line="440" w:lineRule="exact"/>
        <w:ind w:firstLine="480"/>
        <w:rPr>
          <w:rFonts w:ascii="仿宋" w:hAnsi="仿宋" w:eastAsia="仿宋" w:cs="仿宋"/>
          <w:sz w:val="24"/>
        </w:rPr>
      </w:pPr>
      <w:r>
        <w:rPr>
          <w:rFonts w:hint="eastAsia" w:ascii="仿宋" w:hAnsi="仿宋" w:eastAsia="仿宋" w:cs="仿宋"/>
          <w:sz w:val="24"/>
          <w:szCs w:val="24"/>
        </w:rPr>
        <w:t>（二）</w:t>
      </w:r>
      <w:r>
        <w:rPr>
          <w:rFonts w:hint="eastAsia" w:ascii="仿宋" w:hAnsi="仿宋" w:eastAsia="仿宋" w:cs="仿宋"/>
          <w:sz w:val="24"/>
        </w:rPr>
        <w:t>做好乙方人员防控工作管理，及时提交防疫资料，落实疫情防控备案，必要时需</w:t>
      </w:r>
      <w:r>
        <w:rPr>
          <w:rFonts w:hint="eastAsia" w:ascii="仿宋" w:hAnsi="仿宋" w:eastAsia="仿宋" w:cs="仿宋"/>
          <w:sz w:val="24"/>
          <w:szCs w:val="24"/>
        </w:rPr>
        <w:t>编制防控管理工作方案</w:t>
      </w:r>
      <w:r>
        <w:rPr>
          <w:rFonts w:hint="eastAsia" w:ascii="仿宋" w:hAnsi="仿宋" w:eastAsia="仿宋" w:cs="仿宋"/>
          <w:sz w:val="32"/>
          <w:szCs w:val="32"/>
        </w:rPr>
        <w:t>。</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 xml:space="preserve">    （三）乙方人员须按照</w:t>
      </w:r>
      <w:r>
        <w:rPr>
          <w:rFonts w:hint="eastAsia" w:ascii="仿宋" w:hAnsi="仿宋" w:eastAsia="仿宋" w:cs="仿宋"/>
          <w:sz w:val="24"/>
          <w:szCs w:val="24"/>
        </w:rPr>
        <w:t>甲方各厂区进厂门岗防控要求</w:t>
      </w:r>
      <w:r>
        <w:rPr>
          <w:rFonts w:hint="eastAsia" w:ascii="仿宋" w:hAnsi="仿宋" w:eastAsia="仿宋" w:cs="仿宋"/>
          <w:sz w:val="24"/>
        </w:rPr>
        <w:t>进行疫苗接种及核酸检测，未满足相关要求的人员甲方有权限制进入厂区。</w:t>
      </w:r>
    </w:p>
    <w:p>
      <w:pPr>
        <w:pStyle w:val="8"/>
        <w:spacing w:line="440" w:lineRule="exact"/>
        <w:ind w:firstLine="480"/>
        <w:rPr>
          <w:rFonts w:ascii="仿宋" w:hAnsi="仿宋" w:eastAsia="仿宋" w:cs="仿宋"/>
          <w:sz w:val="24"/>
          <w:szCs w:val="24"/>
        </w:rPr>
      </w:pPr>
      <w:r>
        <w:rPr>
          <w:rFonts w:hint="eastAsia" w:ascii="仿宋" w:hAnsi="仿宋" w:eastAsia="仿宋" w:cs="仿宋"/>
          <w:sz w:val="24"/>
          <w:szCs w:val="24"/>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仿宋" w:hAnsi="仿宋" w:eastAsia="仿宋" w:cs="仿宋"/>
        </w:rPr>
      </w:pPr>
      <w:r>
        <w:rPr>
          <w:rFonts w:hint="eastAsia" w:ascii="仿宋" w:hAnsi="仿宋" w:eastAsia="仿宋" w:cs="仿宋"/>
          <w:sz w:val="24"/>
          <w:szCs w:val="24"/>
        </w:rPr>
        <w:t>（五）各级政府、有关部门及甲方的其他</w:t>
      </w:r>
      <w:r>
        <w:rPr>
          <w:rFonts w:hint="eastAsia" w:ascii="仿宋" w:hAnsi="仿宋" w:eastAsia="仿宋" w:cs="仿宋"/>
          <w:sz w:val="24"/>
        </w:rPr>
        <w:t>防控要求</w:t>
      </w:r>
      <w:r>
        <w:rPr>
          <w:rFonts w:hint="eastAsia" w:ascii="仿宋" w:hAnsi="仿宋" w:eastAsia="仿宋" w:cs="仿宋"/>
          <w:sz w:val="24"/>
          <w:szCs w:val="24"/>
        </w:rPr>
        <w:t>。</w:t>
      </w:r>
    </w:p>
    <w:p>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四、违约责任</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乙方需按照甲方服务要求执行，未达到疫情防控要求的，需按下列条款执行：</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ascii="仿宋" w:hAnsi="仿宋" w:eastAsia="仿宋" w:cs="仿宋"/>
          <w:sz w:val="24"/>
        </w:rPr>
      </w:pPr>
    </w:p>
    <w:p>
      <w:pPr>
        <w:pStyle w:val="48"/>
        <w:spacing w:line="440" w:lineRule="exact"/>
        <w:rPr>
          <w:rFonts w:ascii="仿宋" w:hAnsi="仿宋" w:eastAsia="仿宋" w:cs="仿宋"/>
          <w:sz w:val="24"/>
        </w:rPr>
      </w:pPr>
      <w:r>
        <w:rPr>
          <w:rFonts w:hint="eastAsia" w:ascii="仿宋" w:hAnsi="仿宋" w:eastAsia="仿宋" w:cs="仿宋"/>
          <w:sz w:val="24"/>
        </w:rPr>
        <w:t>五、补充条款：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六、附则</w:t>
      </w:r>
    </w:p>
    <w:p>
      <w:pPr>
        <w:adjustRightInd w:val="0"/>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本协议与合同同时签订、同时终止、同时生效，具有相同的法律效力。合同由甲乙双方签字、盖章生效，甲乙双方各份。</w:t>
      </w:r>
    </w:p>
    <w:p>
      <w:pPr>
        <w:adjustRightInd w:val="0"/>
        <w:snapToGrid w:val="0"/>
        <w:spacing w:line="440" w:lineRule="exact"/>
        <w:rPr>
          <w:rFonts w:ascii="仿宋" w:hAnsi="仿宋" w:eastAsia="仿宋" w:cs="仿宋"/>
          <w:sz w:val="24"/>
        </w:rPr>
      </w:pPr>
    </w:p>
    <w:p>
      <w:pPr>
        <w:adjustRightInd w:val="0"/>
        <w:snapToGrid w:val="0"/>
        <w:spacing w:line="440" w:lineRule="exact"/>
        <w:ind w:left="1330" w:leftChars="5" w:hanging="1320" w:hangingChars="550"/>
        <w:rPr>
          <w:rFonts w:ascii="仿宋" w:hAnsi="仿宋" w:eastAsia="仿宋" w:cs="仿宋"/>
          <w:sz w:val="24"/>
        </w:rPr>
      </w:pPr>
      <w:r>
        <w:rPr>
          <w:rFonts w:hint="eastAsia" w:ascii="仿宋" w:hAnsi="仿宋" w:eastAsia="仿宋" w:cs="仿宋"/>
          <w:sz w:val="24"/>
        </w:rPr>
        <w:t>甲方代表 （章）：                             乙方代表（章）：                                                           　　              　　　　　　　</w:t>
      </w:r>
    </w:p>
    <w:p>
      <w:pPr>
        <w:adjustRightInd w:val="0"/>
        <w:snapToGrid w:val="0"/>
        <w:spacing w:line="440" w:lineRule="exact"/>
        <w:rPr>
          <w:rFonts w:ascii="仿宋" w:hAnsi="仿宋" w:eastAsia="仿宋" w:cs="仿宋"/>
          <w:sz w:val="24"/>
        </w:rPr>
      </w:pPr>
      <w:r>
        <w:rPr>
          <w:rFonts w:hint="eastAsia" w:ascii="仿宋" w:hAnsi="仿宋" w:eastAsia="仿宋" w:cs="仿宋"/>
          <w:sz w:val="24"/>
        </w:rPr>
        <w:t xml:space="preserve">      年 　月　  日　　　　　                 年   月  　日</w:t>
      </w:r>
    </w:p>
    <w:p/>
    <w:p>
      <w:pPr>
        <w:pStyle w:val="28"/>
      </w:pPr>
    </w:p>
    <w:p>
      <w:pPr>
        <w:widowControl/>
        <w:jc w:val="left"/>
        <w:rPr>
          <w:sz w:val="24"/>
          <w:szCs w:val="24"/>
        </w:rPr>
      </w:pPr>
      <w:r>
        <w:rPr>
          <w:sz w:val="24"/>
          <w:szCs w:val="24"/>
        </w:rPr>
        <w:br w:type="page"/>
      </w:r>
    </w:p>
    <w:p>
      <w:pPr>
        <w:pStyle w:val="28"/>
      </w:pPr>
    </w:p>
    <w:p>
      <w:pPr>
        <w:pStyle w:val="5"/>
        <w:spacing w:line="360" w:lineRule="auto"/>
        <w:ind w:firstLine="560"/>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12"/>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2"/>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2"/>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2"/>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2"/>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12"/>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12"/>
        <w:jc w:val="center"/>
        <w:rPr>
          <w:rFonts w:ascii="仿宋" w:hAnsi="仿宋" w:eastAsia="仿宋" w:cs="仿宋_GB2312"/>
          <w:b/>
          <w:color w:val="000000" w:themeColor="text1"/>
          <w:sz w:val="24"/>
          <w:szCs w:val="24"/>
          <w14:textFill>
            <w14:solidFill>
              <w14:schemeClr w14:val="tx1"/>
            </w14:solidFill>
          </w14:textFill>
        </w:rPr>
      </w:pPr>
    </w:p>
    <w:p>
      <w:pPr>
        <w:pStyle w:val="12"/>
        <w:jc w:val="center"/>
        <w:rPr>
          <w:rFonts w:ascii="仿宋" w:hAnsi="仿宋" w:eastAsia="仿宋" w:cs="仿宋_GB2312"/>
          <w:b/>
          <w:color w:val="000000" w:themeColor="text1"/>
          <w:sz w:val="24"/>
          <w:szCs w:val="24"/>
          <w14:textFill>
            <w14:solidFill>
              <w14:schemeClr w14:val="tx1"/>
            </w14:solidFill>
          </w14:textFill>
        </w:rPr>
      </w:pPr>
    </w:p>
    <w:p>
      <w:pPr>
        <w:pStyle w:val="12"/>
        <w:jc w:val="center"/>
        <w:rPr>
          <w:rFonts w:ascii="仿宋" w:hAnsi="仿宋" w:eastAsia="仿宋" w:cs="仿宋_GB2312"/>
          <w:b/>
          <w:color w:val="000000" w:themeColor="text1"/>
          <w:sz w:val="24"/>
          <w:szCs w:val="24"/>
          <w14:textFill>
            <w14:solidFill>
              <w14:schemeClr w14:val="tx1"/>
            </w14:solidFill>
          </w14:textFill>
        </w:rPr>
      </w:pPr>
    </w:p>
    <w:p>
      <w:pPr>
        <w:pStyle w:val="12"/>
        <w:jc w:val="center"/>
        <w:rPr>
          <w:rFonts w:ascii="仿宋" w:hAnsi="仿宋" w:eastAsia="仿宋" w:cs="仿宋_GB2312"/>
          <w:b/>
          <w:color w:val="000000" w:themeColor="text1"/>
          <w:sz w:val="24"/>
          <w:szCs w:val="24"/>
          <w14:textFill>
            <w14:solidFill>
              <w14:schemeClr w14:val="tx1"/>
            </w14:solidFill>
          </w14:textFill>
        </w:rPr>
      </w:pPr>
    </w:p>
    <w:p>
      <w:pPr>
        <w:pStyle w:val="12"/>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12"/>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sz w:val="28"/>
          <w:szCs w:val="28"/>
          <w14:textFill>
            <w14:solidFill>
              <w14:schemeClr w14:val="tx1"/>
            </w14:solidFill>
          </w14:textFill>
        </w:rPr>
      </w:pPr>
    </w:p>
    <w:p>
      <w:pPr>
        <w:pStyle w:val="12"/>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3"/>
        <w:spacing w:line="360" w:lineRule="auto"/>
        <w:ind w:firstLine="560" w:firstLineChars="200"/>
        <w:rPr>
          <w:rFonts w:ascii="仿宋" w:hAnsi="仿宋" w:eastAsia="仿宋" w:cs="仿宋"/>
          <w:b/>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项目名称：广州市净水有限公司猎德土地评估项目</w:t>
      </w: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spacing w:line="360" w:lineRule="auto"/>
        <w:ind w:firstLine="560" w:firstLineChars="200"/>
        <w:rPr>
          <w:rFonts w:ascii="仿宋" w:hAnsi="仿宋" w:eastAsia="仿宋" w:cs="仿宋_GB2312"/>
          <w:bCs/>
          <w:color w:val="000000" w:themeColor="text1"/>
          <w:sz w:val="28"/>
          <w:szCs w:val="28"/>
          <w:u w:val="single"/>
          <w14:textFill>
            <w14:solidFill>
              <w14:schemeClr w14:val="tx1"/>
            </w14:solidFill>
          </w14:textFill>
        </w:rPr>
      </w:pPr>
      <w:r>
        <w:rPr>
          <w:rFonts w:hint="eastAsia" w:ascii="仿宋" w:hAnsi="仿宋" w:eastAsia="仿宋" w:cs="仿宋_GB2312"/>
          <w:bCs/>
          <w:color w:val="000000" w:themeColor="text1"/>
          <w:sz w:val="28"/>
          <w:szCs w:val="28"/>
          <w14:textFill>
            <w14:solidFill>
              <w14:schemeClr w14:val="tx1"/>
            </w14:solidFill>
          </w14:textFill>
        </w:rPr>
        <w:t>报价单位名称：</w:t>
      </w:r>
    </w:p>
    <w:p>
      <w:pPr>
        <w:autoSpaceDE w:val="0"/>
        <w:autoSpaceDN w:val="0"/>
        <w:spacing w:line="240" w:lineRule="atLeast"/>
        <w:ind w:firstLine="560" w:firstLineChars="200"/>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Cs/>
          <w:color w:val="000000" w:themeColor="text1"/>
          <w:sz w:val="28"/>
          <w:szCs w:val="28"/>
          <w14:textFill>
            <w14:solidFill>
              <w14:schemeClr w14:val="tx1"/>
            </w14:solidFill>
          </w14:textFill>
        </w:rPr>
        <w:t>日期： 年 月 日</w:t>
      </w:r>
    </w:p>
    <w:p>
      <w:pPr>
        <w:widowControl/>
        <w:jc w:val="left"/>
        <w:rPr>
          <w:rFonts w:ascii="宋体" w:hAnsi="宋体" w:cs="宋体"/>
          <w:bCs/>
          <w:sz w:val="24"/>
        </w:rPr>
      </w:pPr>
      <w:r>
        <w:rPr>
          <w:rFonts w:ascii="宋体" w:hAnsi="宋体" w:cs="宋体"/>
          <w:bCs/>
          <w:sz w:val="24"/>
        </w:rPr>
        <w:br w:type="page"/>
      </w:r>
    </w:p>
    <w:p>
      <w:pPr>
        <w:pStyle w:val="5"/>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w:t>
      </w:r>
      <w:r>
        <w:rPr>
          <w:rFonts w:hint="eastAsia" w:ascii="仿宋" w:hAnsi="仿宋" w:eastAsia="仿宋" w:cs="仿宋_GB2312"/>
          <w:color w:val="000000" w:themeColor="text1"/>
          <w:sz w:val="28"/>
          <w:szCs w:val="28"/>
          <w:lang w:val="en-US" w:eastAsia="zh-CN"/>
          <w14:textFill>
            <w14:solidFill>
              <w14:schemeClr w14:val="tx1"/>
            </w14:solidFill>
          </w14:textFill>
        </w:rPr>
        <w:t>加</w:t>
      </w:r>
      <w:r>
        <w:rPr>
          <w:rFonts w:hint="eastAsia" w:ascii="仿宋" w:hAnsi="仿宋" w:eastAsia="仿宋" w:cs="仿宋_GB2312"/>
          <w:color w:val="000000" w:themeColor="text1"/>
          <w:sz w:val="28"/>
          <w:szCs w:val="28"/>
          <w14:textFill>
            <w14:solidFill>
              <w14:schemeClr w14:val="tx1"/>
            </w14:solidFill>
          </w14:textFill>
        </w:rPr>
        <w:t>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cs="Times New Roman"/>
          <w:sz w:val="24"/>
          <w:szCs w:val="24"/>
        </w:rPr>
      </w:pPr>
      <w:r>
        <w:rPr>
          <w:rFonts w:hint="eastAsia" w:ascii="宋体" w:hAnsi="宋体" w:eastAsia="宋体" w:cs="Times New Roman"/>
          <w:sz w:val="24"/>
          <w:szCs w:val="24"/>
        </w:rPr>
        <w:t>法定代表人</w:t>
      </w:r>
      <w:r>
        <w:rPr>
          <w:rFonts w:hint="eastAsia" w:ascii="宋体" w:hAnsi="宋体"/>
          <w:sz w:val="24"/>
          <w:szCs w:val="24"/>
        </w:rPr>
        <w:t>身份证复印件：（加盖单位公章）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sz w:val="24"/>
                <w:szCs w:val="24"/>
              </w:rPr>
            </w:pPr>
            <w:r>
              <w:rPr>
                <w:rFonts w:hint="eastAsia" w:ascii="宋体" w:hAnsi="宋体" w:eastAsia="宋体" w:cs="Times New Roman"/>
                <w:sz w:val="24"/>
                <w:szCs w:val="24"/>
              </w:rPr>
              <w:t>人像面</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rPr>
                <w:rFonts w:ascii="仿宋" w:hAnsi="仿宋" w:eastAsia="仿宋" w:cs="仿宋_GB2312"/>
                <w:color w:val="000000" w:themeColor="text1"/>
                <w:sz w:val="24"/>
                <w:szCs w:val="24"/>
                <w14:textFill>
                  <w14:solidFill>
                    <w14:schemeClr w14:val="tx1"/>
                  </w14:solidFill>
                </w14:textFill>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sz w:val="24"/>
                <w:szCs w:val="24"/>
              </w:rPr>
            </w:pPr>
            <w:r>
              <w:rPr>
                <w:rFonts w:hint="eastAsia" w:ascii="宋体" w:hAnsi="宋体" w:eastAsia="宋体" w:cs="Times New Roman"/>
                <w:sz w:val="24"/>
                <w:szCs w:val="24"/>
              </w:rPr>
              <w:t>国徽面</w:t>
            </w:r>
          </w:p>
          <w:p>
            <w:pPr>
              <w:pStyle w:val="28"/>
            </w:pPr>
          </w:p>
          <w:p>
            <w:pPr>
              <w:spacing w:line="360" w:lineRule="auto"/>
              <w:jc w:val="left"/>
              <w:rPr>
                <w:rFonts w:ascii="宋体" w:hAnsi="宋体"/>
                <w:sz w:val="24"/>
                <w:szCs w:val="24"/>
              </w:rPr>
            </w:pPr>
          </w:p>
        </w:tc>
      </w:tr>
    </w:tbl>
    <w:p>
      <w:pPr>
        <w:spacing w:line="440" w:lineRule="exact"/>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宋体" w:hAnsi="宋体" w:eastAsia="宋体" w:cs="Times New Roman"/>
          <w:sz w:val="24"/>
          <w:szCs w:val="24"/>
        </w:rPr>
      </w:pPr>
    </w:p>
    <w:p>
      <w:pPr>
        <w:rPr>
          <w:rFonts w:ascii="仿宋" w:hAnsi="仿宋" w:eastAsia="仿宋" w:cs="仿宋_GB2312"/>
          <w:color w:val="000000" w:themeColor="text1"/>
          <w:sz w:val="28"/>
          <w:szCs w:val="28"/>
          <w14:textFill>
            <w14:solidFill>
              <w14:schemeClr w14:val="tx1"/>
            </w14:solidFill>
          </w14:textFill>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本人</w:t>
      </w:r>
      <w:r>
        <w:rPr>
          <w:rFonts w:hint="eastAsia" w:ascii="仿宋" w:hAnsi="仿宋" w:eastAsia="仿宋" w:cs="仿宋_GB2312"/>
          <w:color w:val="000000"/>
          <w:sz w:val="28"/>
          <w:szCs w:val="28"/>
          <w:u w:val="single"/>
        </w:rPr>
        <w:t>（法人姓名）（法人签字或盖私章）</w:t>
      </w:r>
      <w:r>
        <w:rPr>
          <w:rFonts w:hint="eastAsia" w:ascii="仿宋" w:hAnsi="仿宋" w:eastAsia="仿宋" w:cs="仿宋_GB2312"/>
          <w:color w:val="000000"/>
          <w:sz w:val="28"/>
          <w:szCs w:val="28"/>
        </w:rPr>
        <w:t>系</w:t>
      </w:r>
      <w:r>
        <w:rPr>
          <w:rFonts w:hint="eastAsia" w:ascii="仿宋" w:hAnsi="仿宋" w:eastAsia="仿宋" w:cs="仿宋_GB2312"/>
          <w:color w:val="000000"/>
          <w:sz w:val="28"/>
          <w:szCs w:val="28"/>
          <w:u w:val="single"/>
        </w:rPr>
        <w:t>（供应商名称）（</w:t>
      </w:r>
      <w:r>
        <w:rPr>
          <w:rFonts w:hint="eastAsia" w:ascii="仿宋" w:hAnsi="仿宋" w:eastAsia="仿宋" w:cs="仿宋_GB2312"/>
          <w:color w:val="000000"/>
          <w:sz w:val="28"/>
          <w:szCs w:val="28"/>
          <w:u w:val="single"/>
          <w:lang w:val="en-US" w:eastAsia="zh-CN"/>
        </w:rPr>
        <w:t>加</w:t>
      </w:r>
      <w:r>
        <w:rPr>
          <w:rFonts w:hint="eastAsia" w:ascii="仿宋" w:hAnsi="仿宋" w:eastAsia="仿宋" w:cs="仿宋_GB2312"/>
          <w:color w:val="000000"/>
          <w:sz w:val="28"/>
          <w:szCs w:val="28"/>
          <w:u w:val="single"/>
        </w:rPr>
        <w:t>盖单位公章）</w:t>
      </w:r>
      <w:r>
        <w:rPr>
          <w:rFonts w:hint="eastAsia" w:ascii="仿宋" w:hAnsi="仿宋" w:eastAsia="仿宋" w:cs="仿宋_GB2312"/>
          <w:color w:val="000000"/>
          <w:sz w:val="28"/>
          <w:szCs w:val="28"/>
        </w:rPr>
        <w:t>法定代表人，现授权</w:t>
      </w:r>
      <w:r>
        <w:rPr>
          <w:rFonts w:hint="eastAsia" w:ascii="仿宋" w:hAnsi="仿宋" w:eastAsia="仿宋" w:cs="仿宋_GB2312"/>
          <w:color w:val="000000"/>
          <w:sz w:val="28"/>
          <w:szCs w:val="28"/>
          <w:u w:val="single"/>
        </w:rPr>
        <w:t>（委托代理人姓名）</w:t>
      </w:r>
      <w:r>
        <w:rPr>
          <w:rFonts w:hint="eastAsia" w:ascii="仿宋" w:hAnsi="仿宋" w:eastAsia="仿宋" w:cs="仿宋_GB2312"/>
          <w:color w:val="000000"/>
          <w:sz w:val="28"/>
          <w:szCs w:val="28"/>
        </w:rPr>
        <w:t>为我方合法委托代理人，参加项目(项目编号：)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附：签发日期：   年 月 日       有效期限：</w:t>
      </w:r>
    </w:p>
    <w:p>
      <w:pPr>
        <w:spacing w:line="48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代理人性别：     年龄：     职务：</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身份证号码：</w:t>
      </w:r>
    </w:p>
    <w:p>
      <w:pPr>
        <w:spacing w:line="480" w:lineRule="exact"/>
        <w:ind w:firstLine="280" w:firstLineChars="100"/>
        <w:rPr>
          <w:rFonts w:ascii="仿宋_GB2312" w:hAnsi="仿宋_GB2312" w:eastAsia="仿宋_GB2312" w:cs="仿宋_GB2312"/>
          <w:sz w:val="28"/>
          <w:szCs w:val="28"/>
        </w:rPr>
      </w:pPr>
      <w:r>
        <w:rPr>
          <w:rFonts w:hint="eastAsia" w:ascii="仿宋" w:hAnsi="仿宋" w:eastAsia="仿宋" w:cs="仿宋_GB2312"/>
          <w:color w:val="000000"/>
          <w:sz w:val="28"/>
          <w:szCs w:val="28"/>
        </w:rPr>
        <w:t>　　联系电话：</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 w:hAnsi="仿宋" w:eastAsia="仿宋" w:cs="仿宋_GB2312"/>
          <w:color w:val="000000"/>
          <w:sz w:val="24"/>
          <w:szCs w:val="24"/>
        </w:rPr>
      </w:pPr>
      <w:r>
        <w:rPr>
          <w:rFonts w:hint="eastAsia" w:ascii="仿宋_GB2312" w:hAnsi="仿宋_GB2312" w:eastAsia="仿宋_GB2312" w:cs="仿宋_GB2312"/>
          <w:color w:val="000000"/>
          <w:sz w:val="24"/>
          <w:szCs w:val="24"/>
        </w:rPr>
        <w:t>说明：</w:t>
      </w:r>
      <w:r>
        <w:rPr>
          <w:rFonts w:ascii="仿宋" w:hAnsi="仿宋" w:eastAsia="仿宋" w:cs="仿宋_GB2312"/>
          <w:color w:val="000000"/>
          <w:sz w:val="24"/>
          <w:szCs w:val="24"/>
        </w:rPr>
        <w:t>1.法定代表人为企业事业单位、国家机关、社会团体的主要行政负责人。</w:t>
      </w:r>
    </w:p>
    <w:p>
      <w:pPr>
        <w:spacing w:line="480" w:lineRule="exact"/>
        <w:rPr>
          <w:rFonts w:ascii="仿宋" w:hAnsi="仿宋" w:eastAsia="仿宋" w:cs="仿宋_GB2312"/>
          <w:color w:val="000000"/>
          <w:sz w:val="24"/>
          <w:szCs w:val="24"/>
        </w:rPr>
      </w:pPr>
      <w:r>
        <w:rPr>
          <w:rFonts w:ascii="仿宋" w:hAnsi="仿宋" w:eastAsia="仿宋" w:cs="仿宋_GB2312"/>
          <w:color w:val="000000"/>
          <w:sz w:val="24"/>
          <w:szCs w:val="24"/>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rPr>
      </w:pPr>
      <w:r>
        <w:rPr>
          <w:rFonts w:ascii="仿宋" w:hAnsi="仿宋" w:eastAsia="仿宋" w:cs="仿宋_GB2312"/>
          <w:color w:val="000000"/>
          <w:sz w:val="24"/>
          <w:szCs w:val="24"/>
        </w:rPr>
        <w:t>3.将此证明书提交对方作为合同附件</w:t>
      </w:r>
      <w:r>
        <w:rPr>
          <w:rFonts w:hint="eastAsia" w:ascii="仿宋" w:hAnsi="仿宋" w:eastAsia="仿宋" w:cs="仿宋_GB2312"/>
          <w:b/>
          <w:color w:val="000000"/>
          <w:sz w:val="24"/>
          <w:szCs w:val="24"/>
        </w:rPr>
        <w:t>。</w:t>
      </w:r>
    </w:p>
    <w:p>
      <w:pPr>
        <w:spacing w:line="480" w:lineRule="exact"/>
        <w:ind w:firstLine="720" w:firstLineChars="300"/>
        <w:rPr>
          <w:rFonts w:ascii="仿宋" w:hAnsi="仿宋" w:eastAsia="仿宋" w:cs="仿宋_GB2312"/>
          <w:color w:val="000000"/>
          <w:sz w:val="24"/>
          <w:szCs w:val="24"/>
        </w:rPr>
      </w:pPr>
      <w:r>
        <w:rPr>
          <w:rFonts w:ascii="仿宋" w:hAnsi="仿宋" w:eastAsia="仿宋" w:cs="仿宋_GB2312"/>
          <w:color w:val="000000"/>
          <w:sz w:val="24"/>
          <w:szCs w:val="24"/>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rPr>
      </w:pPr>
      <w:r>
        <w:rPr>
          <w:rFonts w:ascii="仿宋" w:hAnsi="仿宋" w:eastAsia="仿宋" w:cs="仿宋_GB2312"/>
          <w:color w:val="000000"/>
          <w:sz w:val="24"/>
          <w:szCs w:val="24"/>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rPr>
      </w:pPr>
      <w:r>
        <w:rPr>
          <w:rFonts w:ascii="仿宋" w:hAnsi="仿宋" w:eastAsia="仿宋" w:cs="仿宋_GB2312"/>
          <w:color w:val="000000"/>
          <w:sz w:val="24"/>
          <w:szCs w:val="24"/>
        </w:rPr>
        <w:t>6.谈判签字代表为法定代表人，则本表不适用。</w:t>
      </w:r>
    </w:p>
    <w:p>
      <w:pPr>
        <w:spacing w:line="440" w:lineRule="exact"/>
        <w:ind w:firstLine="736" w:firstLineChars="307"/>
        <w:rPr>
          <w:rFonts w:ascii="仿宋_GB2312" w:hAnsi="仿宋_GB2312" w:eastAsia="仿宋_GB2312" w:cs="仿宋_GB2312"/>
          <w:sz w:val="28"/>
          <w:szCs w:val="28"/>
        </w:rPr>
      </w:pPr>
      <w:r>
        <w:rPr>
          <w:rFonts w:ascii="仿宋" w:hAnsi="仿宋" w:eastAsia="仿宋" w:cs="仿宋_GB2312"/>
          <w:color w:val="000000"/>
          <w:sz w:val="24"/>
          <w:szCs w:val="24"/>
        </w:rPr>
        <w:t>7.提供授权委托人在本单位近三个月社保记录（以加盖社会保险基金管理中心印章的《缴费历史明细表》或《社会保险参保人员证明》为准），否则为无效代理人，询价响应文件无效。</w:t>
      </w: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pStyle w:val="28"/>
      </w:pPr>
    </w:p>
    <w:p>
      <w:pPr>
        <w:spacing w:line="440" w:lineRule="exact"/>
        <w:rPr>
          <w:rFonts w:ascii="宋体" w:hAnsi="宋体" w:eastAsia="宋体" w:cs="Times New Roman"/>
          <w:sz w:val="24"/>
          <w:szCs w:val="24"/>
        </w:rPr>
      </w:pPr>
    </w:p>
    <w:p>
      <w:pPr>
        <w:spacing w:line="440" w:lineRule="exact"/>
        <w:rPr>
          <w:rFonts w:hint="eastAsia" w:ascii="宋体" w:hAnsi="宋体" w:eastAsia="宋体" w:cs="宋体"/>
          <w:sz w:val="24"/>
          <w:szCs w:val="24"/>
        </w:rPr>
      </w:pPr>
      <w:r>
        <w:rPr>
          <w:rFonts w:hint="eastAsia" w:ascii="宋体" w:hAnsi="宋体" w:eastAsia="宋体" w:cs="宋体"/>
          <w:sz w:val="24"/>
          <w:szCs w:val="24"/>
        </w:rPr>
        <w:t>授权代理人身份证复印件：（加盖单位公章）</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人像面</w:t>
            </w:r>
          </w:p>
          <w:p>
            <w:pPr>
              <w:spacing w:line="360" w:lineRule="auto"/>
              <w:jc w:val="center"/>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tc>
        <w:tc>
          <w:tcPr>
            <w:tcW w:w="4814" w:type="dxa"/>
          </w:tcPr>
          <w:p>
            <w:pPr>
              <w:spacing w:line="360" w:lineRule="auto"/>
              <w:jc w:val="center"/>
              <w:rPr>
                <w:rFonts w:hint="eastAsia" w:ascii="宋体" w:hAnsi="宋体" w:eastAsia="宋体" w:cs="宋体"/>
                <w:color w:val="000000"/>
                <w:sz w:val="24"/>
                <w:szCs w:val="24"/>
              </w:rPr>
            </w:pPr>
          </w:p>
          <w:p>
            <w:pPr>
              <w:spacing w:line="360" w:lineRule="auto"/>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国徽面</w:t>
            </w:r>
          </w:p>
        </w:tc>
      </w:tr>
    </w:tbl>
    <w:p>
      <w:pPr>
        <w:spacing w:line="480" w:lineRule="exact"/>
        <w:ind w:firstLine="843" w:firstLineChars="300"/>
        <w:rPr>
          <w:rFonts w:hint="eastAsia" w:ascii="宋体" w:hAnsi="宋体" w:eastAsia="宋体" w:cs="宋体"/>
          <w:b/>
          <w:color w:val="000000"/>
          <w:sz w:val="28"/>
          <w:szCs w:val="28"/>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授权代理人在本单位近三个月社保记录，（以加盖社会保险基金管理中心印章的《缴费历史明细表》或《社会保险参保人员证明》为准，加盖单位公章</w:t>
            </w:r>
          </w:p>
          <w:p>
            <w:pPr>
              <w:spacing w:line="360" w:lineRule="auto"/>
              <w:jc w:val="center"/>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tc>
      </w:tr>
    </w:tbl>
    <w:p>
      <w:pPr>
        <w:pStyle w:val="28"/>
        <w:spacing w:line="480" w:lineRule="exact"/>
        <w:ind w:firstLine="720" w:firstLineChars="300"/>
        <w:rPr>
          <w:rFonts w:ascii="仿宋" w:hAnsi="仿宋" w:eastAsia="仿宋" w:cs="仿宋_GB2312"/>
          <w:color w:val="000000" w:themeColor="text1"/>
          <w:kern w:val="2"/>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10"/>
      </w:pPr>
    </w:p>
    <w:p>
      <w:pPr>
        <w:widowControl/>
        <w:jc w:val="left"/>
        <w:rPr>
          <w:rFonts w:ascii="仿宋_GB2312" w:hAnsi="仿宋_GB2312" w:eastAsia="仿宋_GB2312" w:cs="仿宋_GB2312"/>
          <w:b/>
          <w:sz w:val="28"/>
          <w:szCs w:val="28"/>
        </w:rPr>
      </w:pPr>
    </w:p>
    <w:p>
      <w:pPr>
        <w:pStyle w:val="5"/>
        <w:ind w:firstLine="562"/>
        <w:jc w:val="center"/>
        <w:rPr>
          <w:rFonts w:hint="eastAsia" w:ascii="仿宋" w:hAnsi="仿宋" w:eastAsia="仿宋" w:cs="仿宋"/>
          <w:b w:val="0"/>
          <w:bCs w:val="0"/>
        </w:rPr>
      </w:pPr>
      <w:r>
        <w:rPr>
          <w:rFonts w:hint="eastAsia" w:ascii="仿宋" w:hAnsi="仿宋" w:eastAsia="仿宋" w:cs="仿宋"/>
          <w:bCs w:val="0"/>
        </w:rPr>
        <w:t>2资格证明文件</w:t>
      </w:r>
    </w:p>
    <w:p>
      <w:pPr>
        <w:rPr>
          <w:rFonts w:hint="eastAsia" w:ascii="仿宋" w:hAnsi="仿宋" w:eastAsia="仿宋" w:cs="仿宋"/>
        </w:rPr>
      </w:pP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关于资格的声明函</w:t>
      </w:r>
    </w:p>
    <w:p>
      <w:pPr>
        <w:spacing w:line="480" w:lineRule="exact"/>
        <w:rPr>
          <w:rFonts w:hint="eastAsia" w:ascii="仿宋" w:hAnsi="仿宋" w:eastAsia="仿宋" w:cs="仿宋"/>
          <w:sz w:val="28"/>
          <w:szCs w:val="28"/>
        </w:rPr>
      </w:pPr>
      <w:r>
        <w:rPr>
          <w:rFonts w:hint="eastAsia" w:ascii="仿宋" w:hAnsi="仿宋" w:eastAsia="仿宋" w:cs="仿宋"/>
          <w:sz w:val="28"/>
          <w:szCs w:val="28"/>
        </w:rPr>
        <w:t>致：（项目实施单位）</w:t>
      </w:r>
    </w:p>
    <w:p>
      <w:pPr>
        <w:spacing w:line="480" w:lineRule="exact"/>
        <w:rPr>
          <w:rFonts w:hint="eastAsia" w:ascii="仿宋" w:hAnsi="仿宋" w:eastAsia="仿宋" w:cs="仿宋"/>
          <w:sz w:val="28"/>
          <w:szCs w:val="28"/>
        </w:rPr>
      </w:pPr>
      <w:r>
        <w:rPr>
          <w:rFonts w:hint="eastAsia" w:ascii="仿宋" w:hAnsi="仿宋" w:eastAsia="仿宋" w:cs="仿宋"/>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1. </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2. </w:t>
      </w:r>
    </w:p>
    <w:p>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（相关证明文件附后）</w:t>
      </w: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p>
    <w:p>
      <w:pPr>
        <w:adjustRightInd w:val="0"/>
        <w:snapToGrid w:val="0"/>
        <w:spacing w:line="300" w:lineRule="auto"/>
        <w:ind w:firstLine="560" w:firstLineChars="200"/>
        <w:rPr>
          <w:rFonts w:hint="eastAsia" w:ascii="仿宋" w:hAnsi="仿宋" w:eastAsia="仿宋" w:cs="仿宋"/>
          <w:sz w:val="28"/>
          <w:szCs w:val="28"/>
        </w:rPr>
      </w:pP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 w:hAnsi="仿宋" w:eastAsia="仿宋" w:cs="仿宋"/>
          <w:sz w:val="28"/>
          <w:szCs w:val="28"/>
        </w:rPr>
        <w:t>日期：年 月 日</w:t>
      </w:r>
    </w:p>
    <w:p>
      <w:pPr>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3报价意向承诺及声明函</w:t>
      </w:r>
    </w:p>
    <w:p>
      <w:pPr>
        <w:jc w:val="center"/>
        <w:rPr>
          <w:rFonts w:hint="eastAsia" w:ascii="仿宋" w:hAnsi="仿宋" w:eastAsia="仿宋" w:cs="仿宋"/>
          <w:b/>
          <w:color w:val="000000" w:themeColor="text1"/>
          <w:sz w:val="28"/>
          <w:szCs w:val="28"/>
          <w14:textFill>
            <w14:solidFill>
              <w14:schemeClr w14:val="tx1"/>
            </w14:solidFill>
          </w14:textFill>
        </w:rPr>
      </w:pPr>
    </w:p>
    <w:p>
      <w:pPr>
        <w:pStyle w:val="44"/>
        <w:adjustRightInd w:val="0"/>
        <w:ind w:firstLine="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2.现我方承诺：</w:t>
      </w:r>
      <w:r>
        <w:rPr>
          <w:rFonts w:hint="eastAsia" w:ascii="仿宋" w:hAnsi="仿宋" w:eastAsia="仿宋" w:cs="仿宋"/>
          <w:color w:val="000000" w:themeColor="text1"/>
          <w:kern w:val="0"/>
          <w:sz w:val="24"/>
          <w14:textFill>
            <w14:solidFill>
              <w14:schemeClr w14:val="tx1"/>
            </w14:solidFill>
          </w14:textFill>
        </w:rPr>
        <w:t>愿以人民币[单价]元,（小写：￥元）;[总价]元,（小写：￥元）的报价，承包本次交易所包含的所有工作，并承担任何质量缺陷责任。</w:t>
      </w:r>
    </w:p>
    <w:p>
      <w:pPr>
        <w:autoSpaceDE w:val="0"/>
        <w:autoSpaceDN w:val="0"/>
        <w:adjustRightInd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第二部分项目内容的技术、商务要求完成本项目。</w:t>
      </w:r>
      <w:bookmarkStart w:id="8" w:name="_GoBack"/>
      <w:bookmarkEnd w:id="8"/>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4.我方同意承包意向在询价文件规定的交易有效期</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5.如果我方获得承包资格，我方保证将</w:t>
      </w:r>
      <w:r>
        <w:rPr>
          <w:rFonts w:hint="eastAsia" w:ascii="仿宋" w:hAnsi="仿宋" w:eastAsia="仿宋" w:cs="仿宋"/>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6.如果我方获得承包资格，我方将实行项目经理负责制，我方拟委派的项目负责人为（证书编号为：    ），并按询价人要求配备项目管理班子。如未经询价人同意更换项目班子成员，询价人有权取消我公司的承包资格或单方面终止合同，由此造成的违约责任由我公司承担。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⑷本公司及其有隶属关系的机构没有参加本项目的前期工作编写工作。</w:t>
      </w:r>
    </w:p>
    <w:p>
      <w:pPr>
        <w:pStyle w:val="43"/>
        <w:ind w:firstLine="496"/>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43"/>
        <w:ind w:firstLine="496"/>
        <w:rPr>
          <w:rFonts w:hint="eastAsia"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承包意向人：(盖公章)</w:t>
      </w:r>
    </w:p>
    <w:p>
      <w:pPr>
        <w:pStyle w:val="43"/>
        <w:ind w:firstLine="496"/>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法定代表人（签名或盖私章）：</w:t>
      </w:r>
    </w:p>
    <w:p>
      <w:pPr>
        <w:pStyle w:val="43"/>
        <w:ind w:firstLine="496"/>
        <w:rPr>
          <w:rFonts w:ascii="仿宋_GB2312" w:hAnsi="仿宋_GB2312" w:eastAsia="仿宋_GB2312" w:cs="仿宋_GB2312"/>
        </w:rPr>
      </w:pPr>
      <w:r>
        <w:rPr>
          <w:rFonts w:hint="eastAsia" w:ascii="仿宋" w:hAnsi="仿宋" w:eastAsia="仿宋" w:cs="仿宋"/>
          <w:color w:val="000000" w:themeColor="text1"/>
          <w14:textFill>
            <w14:solidFill>
              <w14:schemeClr w14:val="tx1"/>
            </w14:solidFill>
          </w14:textFill>
        </w:rPr>
        <w:t>日期：年月日</w:t>
      </w:r>
    </w:p>
    <w:p>
      <w:pPr>
        <w:pStyle w:val="43"/>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4</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pStyle w:val="10"/>
      </w:pPr>
    </w:p>
    <w:p>
      <w:pPr>
        <w:widowControl/>
        <w:tabs>
          <w:tab w:val="left" w:pos="851"/>
        </w:tabs>
        <w:adjustRightInd w:val="0"/>
        <w:snapToGrid w:val="0"/>
        <w:spacing w:line="384" w:lineRule="auto"/>
        <w:jc w:val="center"/>
        <w:rPr>
          <w:rFonts w:ascii="仿宋" w:hAnsi="仿宋" w:eastAsia="仿宋" w:cs="仿宋_GB2312"/>
          <w:b/>
          <w:color w:val="000000"/>
          <w:sz w:val="28"/>
          <w:szCs w:val="28"/>
        </w:rPr>
      </w:pPr>
      <w:r>
        <w:rPr>
          <w:rFonts w:ascii="仿宋" w:hAnsi="仿宋" w:eastAsia="仿宋" w:cs="仿宋_GB2312"/>
          <w:b/>
          <w:color w:val="000000"/>
          <w:sz w:val="28"/>
          <w:szCs w:val="28"/>
        </w:rPr>
        <w:t>5</w:t>
      </w:r>
      <w:r>
        <w:rPr>
          <w:rFonts w:hint="eastAsia" w:ascii="仿宋" w:hAnsi="仿宋" w:eastAsia="仿宋" w:cs="仿宋_GB2312"/>
          <w:b/>
          <w:color w:val="000000"/>
          <w:sz w:val="28"/>
          <w:szCs w:val="28"/>
        </w:rPr>
        <w:t xml:space="preserve"> </w:t>
      </w:r>
      <w:r>
        <w:rPr>
          <w:rFonts w:hint="eastAsia" w:ascii="仿宋" w:hAnsi="仿宋" w:eastAsia="仿宋" w:cs="仿宋_GB2312"/>
          <w:b/>
          <w:bCs/>
          <w:color w:val="000000" w:themeColor="text1"/>
          <w:sz w:val="28"/>
          <w:szCs w:val="28"/>
          <w14:textFill>
            <w14:solidFill>
              <w14:schemeClr w14:val="tx1"/>
            </w14:solidFill>
          </w14:textFill>
        </w:rPr>
        <w:t>项目单位、人员资格情况</w:t>
      </w:r>
    </w:p>
    <w:p>
      <w:pPr>
        <w:jc w:val="center"/>
        <w:rPr>
          <w:rFonts w:ascii="仿宋" w:hAnsi="仿宋" w:eastAsia="仿宋" w:cs="仿宋_GB2312"/>
          <w:b/>
          <w:color w:val="000000"/>
          <w:sz w:val="28"/>
          <w:szCs w:val="28"/>
          <w:highlight w:val="yellow"/>
        </w:rPr>
      </w:pPr>
    </w:p>
    <w:p>
      <w:pPr>
        <w:widowControl/>
        <w:jc w:val="left"/>
        <w:rPr>
          <w:rFonts w:ascii="宋体" w:hAnsi="宋体" w:cs="宋体"/>
          <w:bCs/>
          <w:sz w:val="24"/>
        </w:rPr>
      </w:pPr>
    </w:p>
    <w:p>
      <w:pPr>
        <w:widowControl/>
        <w:tabs>
          <w:tab w:val="left" w:pos="851"/>
        </w:tabs>
        <w:adjustRightInd w:val="0"/>
        <w:snapToGrid w:val="0"/>
        <w:spacing w:line="384" w:lineRule="auto"/>
        <w:jc w:val="center"/>
        <w:rPr>
          <w:rFonts w:ascii="宋体" w:hAnsi="宋体" w:cs="宋体"/>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4PZp6jcCAABgBAAADgAAAAAAAAABACAAAAAgAQAAZHJzL2Uyb0RvYy54&#10;bWxQSwUGAAAAAAYABgBZAQAAy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23</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3688080</wp:posOffset>
              </wp:positionH>
              <wp:positionV relativeFrom="page">
                <wp:posOffset>9901555</wp:posOffset>
              </wp:positionV>
              <wp:extent cx="184785" cy="1727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4785" cy="172720"/>
                      </a:xfrm>
                      <a:prstGeom prst="rect">
                        <a:avLst/>
                      </a:prstGeom>
                      <a:noFill/>
                      <a:ln>
                        <a:noFill/>
                      </a:ln>
                      <a:effectLst/>
                    </wps:spPr>
                    <wps:txbx>
                      <w:txbxContent>
                        <w:p>
                          <w:pPr>
                            <w:spacing w:before="10"/>
                            <w:ind w:left="40"/>
                            <w:jc w:val="left"/>
                            <w:rPr>
                              <w:rFonts w:ascii="Times New Roman"/>
                            </w:rPr>
                          </w:pPr>
                          <w:r>
                            <w:fldChar w:fldCharType="begin"/>
                          </w:r>
                          <w:r>
                            <w:rPr>
                              <w:rFonts w:ascii="Times New Roman"/>
                            </w:rPr>
                            <w:instrText xml:space="preserve"> PAGE </w:instrText>
                          </w:r>
                          <w:r>
                            <w:fldChar w:fldCharType="separate"/>
                          </w:r>
                          <w:r>
                            <w:rPr>
                              <w:rFonts w:ascii="Times New Roman"/>
                            </w:rPr>
                            <w:t>9</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0.4pt;margin-top:779.65pt;height:13.6pt;width:14.55pt;mso-position-horizontal-relative:page;mso-position-vertical-relative:page;z-index:-251657216;mso-width-relative:page;mso-height-relative:page;" filled="f" stroked="f" coordsize="21600,21600" o:gfxdata="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w9BkjaAAAADQEAAA8AAAAAAAAAAQAgAAAAIgAAAGRycy9kb3ducmV2Lnht&#10;bFBLAQIUABQAAAAIAIdO4kCOqyf9vgEAAH8DAAAOAAAAAAAAAAEAIAAAACkBAABkcnMvZTJvRG9j&#10;LnhtbFBLBQYAAAAABgAGAFkBAABZBQAAAAA=&#10;">
              <v:fill on="f" focussize="0,0"/>
              <v:stroke on="f"/>
              <v:imagedata o:title=""/>
              <o:lock v:ext="edit" aspectratio="f"/>
              <v:textbox inset="0mm,0mm,0mm,0mm">
                <w:txbxContent>
                  <w:p>
                    <w:pPr>
                      <w:spacing w:before="10"/>
                      <w:ind w:left="40"/>
                      <w:jc w:val="left"/>
                      <w:rPr>
                        <w:rFonts w:ascii="Times New Roman"/>
                      </w:rPr>
                    </w:pPr>
                    <w:r>
                      <w:fldChar w:fldCharType="begin"/>
                    </w:r>
                    <w:r>
                      <w:rPr>
                        <w:rFonts w:ascii="Times New Roman"/>
                      </w:rPr>
                      <w:instrText xml:space="preserve"> PAGE </w:instrText>
                    </w:r>
                    <w:r>
                      <w:fldChar w:fldCharType="separate"/>
                    </w:r>
                    <w:r>
                      <w:rPr>
                        <w:rFonts w:ascii="Times New Roman"/>
                      </w:rP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9FA"/>
    <w:rsid w:val="00006243"/>
    <w:rsid w:val="00041463"/>
    <w:rsid w:val="000644E6"/>
    <w:rsid w:val="000657B9"/>
    <w:rsid w:val="000A513D"/>
    <w:rsid w:val="000B2E59"/>
    <w:rsid w:val="000B7273"/>
    <w:rsid w:val="000D652B"/>
    <w:rsid w:val="000E45BC"/>
    <w:rsid w:val="000F0E33"/>
    <w:rsid w:val="00112127"/>
    <w:rsid w:val="00113A79"/>
    <w:rsid w:val="001467CA"/>
    <w:rsid w:val="00163A61"/>
    <w:rsid w:val="00175C22"/>
    <w:rsid w:val="00194425"/>
    <w:rsid w:val="00196351"/>
    <w:rsid w:val="001968D3"/>
    <w:rsid w:val="001F46A9"/>
    <w:rsid w:val="001F5CC8"/>
    <w:rsid w:val="00204AB7"/>
    <w:rsid w:val="002144D7"/>
    <w:rsid w:val="00230C77"/>
    <w:rsid w:val="00235700"/>
    <w:rsid w:val="00243240"/>
    <w:rsid w:val="00250256"/>
    <w:rsid w:val="00285EFB"/>
    <w:rsid w:val="002A21F8"/>
    <w:rsid w:val="002A568F"/>
    <w:rsid w:val="002F588A"/>
    <w:rsid w:val="00320FA9"/>
    <w:rsid w:val="00335D77"/>
    <w:rsid w:val="00352134"/>
    <w:rsid w:val="00356EFB"/>
    <w:rsid w:val="003638FA"/>
    <w:rsid w:val="003A0C70"/>
    <w:rsid w:val="003A30A6"/>
    <w:rsid w:val="003B107E"/>
    <w:rsid w:val="003D205C"/>
    <w:rsid w:val="003D66E3"/>
    <w:rsid w:val="003E3A96"/>
    <w:rsid w:val="004273C1"/>
    <w:rsid w:val="00467549"/>
    <w:rsid w:val="0046764A"/>
    <w:rsid w:val="00477301"/>
    <w:rsid w:val="00481194"/>
    <w:rsid w:val="004814F2"/>
    <w:rsid w:val="004E1354"/>
    <w:rsid w:val="0050227A"/>
    <w:rsid w:val="00503E14"/>
    <w:rsid w:val="00504917"/>
    <w:rsid w:val="00525D06"/>
    <w:rsid w:val="00527A1E"/>
    <w:rsid w:val="005328FE"/>
    <w:rsid w:val="00536854"/>
    <w:rsid w:val="00554823"/>
    <w:rsid w:val="00570096"/>
    <w:rsid w:val="00570D85"/>
    <w:rsid w:val="00576C8D"/>
    <w:rsid w:val="005840C1"/>
    <w:rsid w:val="005A4EA8"/>
    <w:rsid w:val="005F336B"/>
    <w:rsid w:val="006077E7"/>
    <w:rsid w:val="00613B10"/>
    <w:rsid w:val="00615083"/>
    <w:rsid w:val="0062799E"/>
    <w:rsid w:val="00653163"/>
    <w:rsid w:val="006545F1"/>
    <w:rsid w:val="006840DB"/>
    <w:rsid w:val="00690C7B"/>
    <w:rsid w:val="006E0C83"/>
    <w:rsid w:val="006F100F"/>
    <w:rsid w:val="00703691"/>
    <w:rsid w:val="00716FBA"/>
    <w:rsid w:val="00724C42"/>
    <w:rsid w:val="007263F2"/>
    <w:rsid w:val="007331F2"/>
    <w:rsid w:val="00747A49"/>
    <w:rsid w:val="007550D7"/>
    <w:rsid w:val="00786097"/>
    <w:rsid w:val="007957B4"/>
    <w:rsid w:val="0079655F"/>
    <w:rsid w:val="007A6F35"/>
    <w:rsid w:val="007B6895"/>
    <w:rsid w:val="007D172A"/>
    <w:rsid w:val="007E615E"/>
    <w:rsid w:val="007F6D48"/>
    <w:rsid w:val="007F7F8F"/>
    <w:rsid w:val="008077D6"/>
    <w:rsid w:val="0083305F"/>
    <w:rsid w:val="00833F4E"/>
    <w:rsid w:val="0083463C"/>
    <w:rsid w:val="008410FC"/>
    <w:rsid w:val="00850945"/>
    <w:rsid w:val="00854ED4"/>
    <w:rsid w:val="00876F4F"/>
    <w:rsid w:val="008A3A31"/>
    <w:rsid w:val="008B03F8"/>
    <w:rsid w:val="008D2905"/>
    <w:rsid w:val="008E4F0E"/>
    <w:rsid w:val="00933EEF"/>
    <w:rsid w:val="00940686"/>
    <w:rsid w:val="0095329C"/>
    <w:rsid w:val="00974494"/>
    <w:rsid w:val="0098076A"/>
    <w:rsid w:val="009A0228"/>
    <w:rsid w:val="009B1F7B"/>
    <w:rsid w:val="009C7F95"/>
    <w:rsid w:val="00A042A5"/>
    <w:rsid w:val="00A07297"/>
    <w:rsid w:val="00A10754"/>
    <w:rsid w:val="00A3129D"/>
    <w:rsid w:val="00A37654"/>
    <w:rsid w:val="00A55510"/>
    <w:rsid w:val="00A66265"/>
    <w:rsid w:val="00A9730C"/>
    <w:rsid w:val="00AC7CE3"/>
    <w:rsid w:val="00AE2741"/>
    <w:rsid w:val="00AF5C08"/>
    <w:rsid w:val="00B057D6"/>
    <w:rsid w:val="00B132B8"/>
    <w:rsid w:val="00B322B9"/>
    <w:rsid w:val="00B41AF6"/>
    <w:rsid w:val="00B76342"/>
    <w:rsid w:val="00B83C9F"/>
    <w:rsid w:val="00B908B9"/>
    <w:rsid w:val="00B936D7"/>
    <w:rsid w:val="00BA63CA"/>
    <w:rsid w:val="00BC5308"/>
    <w:rsid w:val="00BC63F4"/>
    <w:rsid w:val="00BD0A61"/>
    <w:rsid w:val="00BD2540"/>
    <w:rsid w:val="00BD6CB0"/>
    <w:rsid w:val="00BF29CD"/>
    <w:rsid w:val="00C00DEE"/>
    <w:rsid w:val="00C2525F"/>
    <w:rsid w:val="00C351CD"/>
    <w:rsid w:val="00C40D7A"/>
    <w:rsid w:val="00C562FC"/>
    <w:rsid w:val="00C63361"/>
    <w:rsid w:val="00C669FA"/>
    <w:rsid w:val="00CA61FE"/>
    <w:rsid w:val="00CC428A"/>
    <w:rsid w:val="00CD7539"/>
    <w:rsid w:val="00D0201F"/>
    <w:rsid w:val="00D06119"/>
    <w:rsid w:val="00D141CE"/>
    <w:rsid w:val="00D30450"/>
    <w:rsid w:val="00D32BCA"/>
    <w:rsid w:val="00D61CC7"/>
    <w:rsid w:val="00D61E8F"/>
    <w:rsid w:val="00D70B32"/>
    <w:rsid w:val="00DB0C60"/>
    <w:rsid w:val="00DC06EB"/>
    <w:rsid w:val="00E135A3"/>
    <w:rsid w:val="00E55A1B"/>
    <w:rsid w:val="00EA67EB"/>
    <w:rsid w:val="00EB7847"/>
    <w:rsid w:val="00EE09EB"/>
    <w:rsid w:val="00EE5DF6"/>
    <w:rsid w:val="00F056F1"/>
    <w:rsid w:val="00F222B0"/>
    <w:rsid w:val="00F35C04"/>
    <w:rsid w:val="00F44C25"/>
    <w:rsid w:val="00F72BF8"/>
    <w:rsid w:val="00F81A4F"/>
    <w:rsid w:val="00FC38AC"/>
    <w:rsid w:val="00FC4531"/>
    <w:rsid w:val="00FD2A30"/>
    <w:rsid w:val="0230556B"/>
    <w:rsid w:val="02343436"/>
    <w:rsid w:val="027C51E7"/>
    <w:rsid w:val="02C45024"/>
    <w:rsid w:val="02DD3998"/>
    <w:rsid w:val="02DE0B86"/>
    <w:rsid w:val="03037CF8"/>
    <w:rsid w:val="035F0B77"/>
    <w:rsid w:val="03DB1883"/>
    <w:rsid w:val="045421B6"/>
    <w:rsid w:val="04DE6D1E"/>
    <w:rsid w:val="04FF3508"/>
    <w:rsid w:val="05095E75"/>
    <w:rsid w:val="05174B77"/>
    <w:rsid w:val="052054B8"/>
    <w:rsid w:val="06243476"/>
    <w:rsid w:val="06355894"/>
    <w:rsid w:val="06BA0F24"/>
    <w:rsid w:val="06C54929"/>
    <w:rsid w:val="078E406D"/>
    <w:rsid w:val="07966214"/>
    <w:rsid w:val="07D22350"/>
    <w:rsid w:val="09A31FD9"/>
    <w:rsid w:val="09C22631"/>
    <w:rsid w:val="09CC34BD"/>
    <w:rsid w:val="09D62F87"/>
    <w:rsid w:val="0A130BDB"/>
    <w:rsid w:val="0A310C5B"/>
    <w:rsid w:val="0A810BB7"/>
    <w:rsid w:val="0BCC12D4"/>
    <w:rsid w:val="0BDB0AB2"/>
    <w:rsid w:val="0BDD185B"/>
    <w:rsid w:val="0C2C1C4E"/>
    <w:rsid w:val="0C6531BD"/>
    <w:rsid w:val="0C9D4947"/>
    <w:rsid w:val="0CD71487"/>
    <w:rsid w:val="0CED7B7E"/>
    <w:rsid w:val="0D3F4D57"/>
    <w:rsid w:val="0D6152C6"/>
    <w:rsid w:val="0DBF1D0E"/>
    <w:rsid w:val="0E1D291D"/>
    <w:rsid w:val="0E1D472A"/>
    <w:rsid w:val="0EE9157F"/>
    <w:rsid w:val="10370330"/>
    <w:rsid w:val="10896337"/>
    <w:rsid w:val="10D9654E"/>
    <w:rsid w:val="10EE560A"/>
    <w:rsid w:val="11795574"/>
    <w:rsid w:val="118C396D"/>
    <w:rsid w:val="120339C7"/>
    <w:rsid w:val="12B5724A"/>
    <w:rsid w:val="13AD53B6"/>
    <w:rsid w:val="13B331D6"/>
    <w:rsid w:val="14347FA8"/>
    <w:rsid w:val="144D02B6"/>
    <w:rsid w:val="14BA2BF8"/>
    <w:rsid w:val="15AA76A1"/>
    <w:rsid w:val="16821D00"/>
    <w:rsid w:val="16DD47BB"/>
    <w:rsid w:val="17374AFE"/>
    <w:rsid w:val="17C47445"/>
    <w:rsid w:val="180E3909"/>
    <w:rsid w:val="181668B9"/>
    <w:rsid w:val="18832F1A"/>
    <w:rsid w:val="196F7096"/>
    <w:rsid w:val="19824D9A"/>
    <w:rsid w:val="198533A4"/>
    <w:rsid w:val="19EE3322"/>
    <w:rsid w:val="19FC795C"/>
    <w:rsid w:val="1A4E22BB"/>
    <w:rsid w:val="1A596716"/>
    <w:rsid w:val="1B0273E9"/>
    <w:rsid w:val="1C3C20F0"/>
    <w:rsid w:val="1CD74E98"/>
    <w:rsid w:val="1D055DF6"/>
    <w:rsid w:val="1D331CEE"/>
    <w:rsid w:val="1DDC2BB3"/>
    <w:rsid w:val="1EE51FB9"/>
    <w:rsid w:val="1F1B4A01"/>
    <w:rsid w:val="1F366DE3"/>
    <w:rsid w:val="1F8174D8"/>
    <w:rsid w:val="1FAC1212"/>
    <w:rsid w:val="1FC72481"/>
    <w:rsid w:val="1FD24E5F"/>
    <w:rsid w:val="201607F8"/>
    <w:rsid w:val="201C0EBB"/>
    <w:rsid w:val="20AC391D"/>
    <w:rsid w:val="20DA7D04"/>
    <w:rsid w:val="211A4E6B"/>
    <w:rsid w:val="21DA2129"/>
    <w:rsid w:val="21FC5CA1"/>
    <w:rsid w:val="22387F89"/>
    <w:rsid w:val="22532BAA"/>
    <w:rsid w:val="22C943A4"/>
    <w:rsid w:val="231A245D"/>
    <w:rsid w:val="2344568D"/>
    <w:rsid w:val="23B40BAD"/>
    <w:rsid w:val="24497AFE"/>
    <w:rsid w:val="24B62D0B"/>
    <w:rsid w:val="24D34CC3"/>
    <w:rsid w:val="24E76AE1"/>
    <w:rsid w:val="25286E15"/>
    <w:rsid w:val="25471DC0"/>
    <w:rsid w:val="25522FCB"/>
    <w:rsid w:val="257874B1"/>
    <w:rsid w:val="25972AF3"/>
    <w:rsid w:val="27E84EF3"/>
    <w:rsid w:val="27EF76F4"/>
    <w:rsid w:val="283B16A2"/>
    <w:rsid w:val="28B67AA9"/>
    <w:rsid w:val="28F033EC"/>
    <w:rsid w:val="2A203634"/>
    <w:rsid w:val="2AFA2A43"/>
    <w:rsid w:val="2BCB53FF"/>
    <w:rsid w:val="2BDF3E0B"/>
    <w:rsid w:val="2BF02967"/>
    <w:rsid w:val="2C7D57F3"/>
    <w:rsid w:val="2CF27BFD"/>
    <w:rsid w:val="2CFF2AC4"/>
    <w:rsid w:val="2DAB1D7F"/>
    <w:rsid w:val="2E1C0350"/>
    <w:rsid w:val="2E9A7907"/>
    <w:rsid w:val="2EBB01E8"/>
    <w:rsid w:val="2ED44369"/>
    <w:rsid w:val="2EF5442D"/>
    <w:rsid w:val="2F384E2C"/>
    <w:rsid w:val="2F3C67E8"/>
    <w:rsid w:val="2FF148BC"/>
    <w:rsid w:val="30D47D69"/>
    <w:rsid w:val="324754BF"/>
    <w:rsid w:val="33577F1A"/>
    <w:rsid w:val="335D4DF8"/>
    <w:rsid w:val="33E05741"/>
    <w:rsid w:val="34313EA1"/>
    <w:rsid w:val="349C0065"/>
    <w:rsid w:val="34C66597"/>
    <w:rsid w:val="355911F2"/>
    <w:rsid w:val="35971342"/>
    <w:rsid w:val="35A51965"/>
    <w:rsid w:val="35BC3E9B"/>
    <w:rsid w:val="35CA051A"/>
    <w:rsid w:val="35F30600"/>
    <w:rsid w:val="368927B7"/>
    <w:rsid w:val="368A751D"/>
    <w:rsid w:val="368C3284"/>
    <w:rsid w:val="36B366E9"/>
    <w:rsid w:val="36E128E3"/>
    <w:rsid w:val="36F605F6"/>
    <w:rsid w:val="3702227D"/>
    <w:rsid w:val="37942F37"/>
    <w:rsid w:val="37D12C4F"/>
    <w:rsid w:val="37F746B3"/>
    <w:rsid w:val="38527913"/>
    <w:rsid w:val="38E32DF0"/>
    <w:rsid w:val="38F70FAB"/>
    <w:rsid w:val="3BF06E58"/>
    <w:rsid w:val="3C1B2FB1"/>
    <w:rsid w:val="3CC13F04"/>
    <w:rsid w:val="3D204756"/>
    <w:rsid w:val="3D3B66A0"/>
    <w:rsid w:val="3D6D7DB5"/>
    <w:rsid w:val="3E1C262E"/>
    <w:rsid w:val="3EB863C2"/>
    <w:rsid w:val="3EC8123A"/>
    <w:rsid w:val="3EEE5D0B"/>
    <w:rsid w:val="4033011A"/>
    <w:rsid w:val="40385B1B"/>
    <w:rsid w:val="4053122F"/>
    <w:rsid w:val="41120516"/>
    <w:rsid w:val="416D3C2F"/>
    <w:rsid w:val="418A72E9"/>
    <w:rsid w:val="41E946A4"/>
    <w:rsid w:val="42093E84"/>
    <w:rsid w:val="4262402A"/>
    <w:rsid w:val="42640D5D"/>
    <w:rsid w:val="42BF01C5"/>
    <w:rsid w:val="43BD4763"/>
    <w:rsid w:val="440F37B8"/>
    <w:rsid w:val="44FD12C2"/>
    <w:rsid w:val="454C315F"/>
    <w:rsid w:val="454E7DE8"/>
    <w:rsid w:val="45594965"/>
    <w:rsid w:val="45757F91"/>
    <w:rsid w:val="45A963CC"/>
    <w:rsid w:val="45D61028"/>
    <w:rsid w:val="463254C2"/>
    <w:rsid w:val="46C66A03"/>
    <w:rsid w:val="46E2787C"/>
    <w:rsid w:val="47846DD6"/>
    <w:rsid w:val="47977170"/>
    <w:rsid w:val="480139C4"/>
    <w:rsid w:val="486C199F"/>
    <w:rsid w:val="48DB21ED"/>
    <w:rsid w:val="48F4528B"/>
    <w:rsid w:val="48F93512"/>
    <w:rsid w:val="49581783"/>
    <w:rsid w:val="49B179A8"/>
    <w:rsid w:val="4AB117FB"/>
    <w:rsid w:val="4AC9251A"/>
    <w:rsid w:val="4AD538F4"/>
    <w:rsid w:val="4B383EDB"/>
    <w:rsid w:val="4BEF3113"/>
    <w:rsid w:val="4C7F7DEE"/>
    <w:rsid w:val="4CDF39B5"/>
    <w:rsid w:val="4D284C9B"/>
    <w:rsid w:val="4D2E7271"/>
    <w:rsid w:val="4DE72AAB"/>
    <w:rsid w:val="4DEE54CD"/>
    <w:rsid w:val="4F1E452A"/>
    <w:rsid w:val="4FBF1539"/>
    <w:rsid w:val="4FD5327D"/>
    <w:rsid w:val="506F14E1"/>
    <w:rsid w:val="50D93CDE"/>
    <w:rsid w:val="515837D3"/>
    <w:rsid w:val="51751E8D"/>
    <w:rsid w:val="51A926EA"/>
    <w:rsid w:val="523A3295"/>
    <w:rsid w:val="52EA01BF"/>
    <w:rsid w:val="537F7BFD"/>
    <w:rsid w:val="53C94685"/>
    <w:rsid w:val="544B68D5"/>
    <w:rsid w:val="551B04BA"/>
    <w:rsid w:val="55461FCB"/>
    <w:rsid w:val="556570FC"/>
    <w:rsid w:val="55FC31A6"/>
    <w:rsid w:val="568F3541"/>
    <w:rsid w:val="56A0149E"/>
    <w:rsid w:val="57D87868"/>
    <w:rsid w:val="57F21B3E"/>
    <w:rsid w:val="58142685"/>
    <w:rsid w:val="584222D3"/>
    <w:rsid w:val="59BC3ADE"/>
    <w:rsid w:val="5A237243"/>
    <w:rsid w:val="5A272374"/>
    <w:rsid w:val="5A4B4D99"/>
    <w:rsid w:val="5AA73649"/>
    <w:rsid w:val="5AE17FEC"/>
    <w:rsid w:val="5B1E4FDA"/>
    <w:rsid w:val="5BDE5DC4"/>
    <w:rsid w:val="5C31230A"/>
    <w:rsid w:val="5C955D81"/>
    <w:rsid w:val="5C9D13DD"/>
    <w:rsid w:val="5CE372E9"/>
    <w:rsid w:val="5D13722C"/>
    <w:rsid w:val="5D22107F"/>
    <w:rsid w:val="5D2B2BF7"/>
    <w:rsid w:val="5D600D50"/>
    <w:rsid w:val="5DD0123C"/>
    <w:rsid w:val="5E923752"/>
    <w:rsid w:val="5E9E5336"/>
    <w:rsid w:val="5EC57A5D"/>
    <w:rsid w:val="5F317AD2"/>
    <w:rsid w:val="6006486E"/>
    <w:rsid w:val="60F44D12"/>
    <w:rsid w:val="610E61C3"/>
    <w:rsid w:val="61D15218"/>
    <w:rsid w:val="61FD598A"/>
    <w:rsid w:val="625A7148"/>
    <w:rsid w:val="6282221F"/>
    <w:rsid w:val="62FA1F3F"/>
    <w:rsid w:val="63210181"/>
    <w:rsid w:val="6331176E"/>
    <w:rsid w:val="633B6BC7"/>
    <w:rsid w:val="63526B3A"/>
    <w:rsid w:val="635B2FCA"/>
    <w:rsid w:val="641E22E7"/>
    <w:rsid w:val="64645106"/>
    <w:rsid w:val="64F91503"/>
    <w:rsid w:val="650F4020"/>
    <w:rsid w:val="656D5914"/>
    <w:rsid w:val="656D64FA"/>
    <w:rsid w:val="65B7025E"/>
    <w:rsid w:val="65C14B96"/>
    <w:rsid w:val="65E70AB6"/>
    <w:rsid w:val="65FE44F9"/>
    <w:rsid w:val="66183A6E"/>
    <w:rsid w:val="6621278F"/>
    <w:rsid w:val="662C5896"/>
    <w:rsid w:val="663E29E6"/>
    <w:rsid w:val="66CC4DB8"/>
    <w:rsid w:val="66D9513A"/>
    <w:rsid w:val="670D5B84"/>
    <w:rsid w:val="670D7173"/>
    <w:rsid w:val="67346786"/>
    <w:rsid w:val="681869FD"/>
    <w:rsid w:val="68B04B65"/>
    <w:rsid w:val="68CA488E"/>
    <w:rsid w:val="68D7023B"/>
    <w:rsid w:val="690B2C05"/>
    <w:rsid w:val="690F46FD"/>
    <w:rsid w:val="691B4A51"/>
    <w:rsid w:val="6A013CC7"/>
    <w:rsid w:val="6A222E05"/>
    <w:rsid w:val="6A3320AF"/>
    <w:rsid w:val="6ABB5727"/>
    <w:rsid w:val="6AD14050"/>
    <w:rsid w:val="6C225202"/>
    <w:rsid w:val="6C3E2890"/>
    <w:rsid w:val="6D0324C8"/>
    <w:rsid w:val="6DB81DC1"/>
    <w:rsid w:val="6E2D4357"/>
    <w:rsid w:val="6E493685"/>
    <w:rsid w:val="6E82663E"/>
    <w:rsid w:val="6EC407B0"/>
    <w:rsid w:val="6F1C436F"/>
    <w:rsid w:val="70387A35"/>
    <w:rsid w:val="704240EF"/>
    <w:rsid w:val="70B3009D"/>
    <w:rsid w:val="70DF7C78"/>
    <w:rsid w:val="71CE6C6C"/>
    <w:rsid w:val="7204047E"/>
    <w:rsid w:val="726817EF"/>
    <w:rsid w:val="72903204"/>
    <w:rsid w:val="72D4751D"/>
    <w:rsid w:val="72F1363F"/>
    <w:rsid w:val="73AB6820"/>
    <w:rsid w:val="73B40DD1"/>
    <w:rsid w:val="7565703A"/>
    <w:rsid w:val="762C6AC8"/>
    <w:rsid w:val="765F78EC"/>
    <w:rsid w:val="76672E12"/>
    <w:rsid w:val="76DA1F5D"/>
    <w:rsid w:val="7746449A"/>
    <w:rsid w:val="7806536B"/>
    <w:rsid w:val="7817601A"/>
    <w:rsid w:val="78621568"/>
    <w:rsid w:val="791131DC"/>
    <w:rsid w:val="79333058"/>
    <w:rsid w:val="7945241B"/>
    <w:rsid w:val="7955561B"/>
    <w:rsid w:val="796A6B6B"/>
    <w:rsid w:val="79DB4EE3"/>
    <w:rsid w:val="7ABA05C2"/>
    <w:rsid w:val="7B0A0912"/>
    <w:rsid w:val="7B28685D"/>
    <w:rsid w:val="7BAF663E"/>
    <w:rsid w:val="7C8C4D0F"/>
    <w:rsid w:val="7CD86862"/>
    <w:rsid w:val="7EE37B56"/>
    <w:rsid w:val="7F0B2A41"/>
    <w:rsid w:val="7F4B65E7"/>
    <w:rsid w:val="7FD039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semiHidden="0"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1"/>
    <w:semiHidden/>
    <w:unhideWhenUsed/>
    <w:qFormat/>
    <w:uiPriority w:val="9"/>
    <w:pPr>
      <w:keepNext/>
      <w:keepLines/>
      <w:spacing w:before="260" w:after="260" w:line="416" w:lineRule="auto"/>
      <w:outlineLvl w:val="2"/>
    </w:pPr>
    <w:rPr>
      <w:b/>
      <w:bCs/>
      <w:sz w:val="32"/>
      <w:szCs w:val="32"/>
    </w:rPr>
  </w:style>
  <w:style w:type="paragraph" w:styleId="6">
    <w:name w:val="heading 5"/>
    <w:basedOn w:val="1"/>
    <w:next w:val="1"/>
    <w:link w:val="33"/>
    <w:unhideWhenUsed/>
    <w:qFormat/>
    <w:uiPriority w:val="9"/>
    <w:pPr>
      <w:keepNext/>
      <w:keepLines/>
      <w:widowControl/>
      <w:spacing w:before="40" w:line="259" w:lineRule="auto"/>
      <w:jc w:val="left"/>
      <w:outlineLvl w:val="4"/>
    </w:pPr>
    <w:rPr>
      <w:rFonts w:asciiTheme="majorHAnsi" w:hAnsiTheme="majorHAnsi" w:eastAsiaTheme="majorEastAsia" w:cstheme="majorBidi"/>
      <w:color w:val="376092" w:themeColor="accent1" w:themeShade="BF"/>
      <w:kern w:val="0"/>
      <w:sz w:val="22"/>
    </w:rPr>
  </w:style>
  <w:style w:type="paragraph" w:styleId="7">
    <w:name w:val="heading 7"/>
    <w:basedOn w:val="1"/>
    <w:next w:val="1"/>
    <w:qFormat/>
    <w:uiPriority w:val="1"/>
    <w:pPr>
      <w:spacing w:before="115"/>
      <w:jc w:val="center"/>
      <w:outlineLvl w:val="6"/>
    </w:pPr>
    <w:rPr>
      <w:rFonts w:ascii="宋体" w:hAnsi="宋体" w:eastAsia="宋体" w:cs="宋体"/>
      <w:b/>
      <w:bCs/>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71" w:firstLineChars="200"/>
    </w:pPr>
    <w:rPr>
      <w:rFonts w:hint="eastAsia" w:hAnsi="Times New Roman"/>
    </w:rPr>
  </w:style>
  <w:style w:type="paragraph" w:styleId="3">
    <w:name w:val="Body Text Indent"/>
    <w:basedOn w:val="1"/>
    <w:link w:val="42"/>
    <w:semiHidden/>
    <w:unhideWhenUsed/>
    <w:qFormat/>
    <w:uiPriority w:val="99"/>
    <w:pPr>
      <w:spacing w:after="120"/>
      <w:ind w:left="420" w:leftChars="200"/>
    </w:pPr>
  </w:style>
  <w:style w:type="paragraph" w:styleId="8">
    <w:name w:val="Normal Indent"/>
    <w:basedOn w:val="1"/>
    <w:qFormat/>
    <w:uiPriority w:val="0"/>
    <w:pPr>
      <w:ind w:firstLine="420" w:firstLineChars="200"/>
    </w:pPr>
  </w:style>
  <w:style w:type="paragraph" w:styleId="9">
    <w:name w:val="annotation text"/>
    <w:basedOn w:val="1"/>
    <w:link w:val="40"/>
    <w:qFormat/>
    <w:uiPriority w:val="0"/>
    <w:pPr>
      <w:jc w:val="left"/>
    </w:pPr>
    <w:rPr>
      <w:rFonts w:ascii="Times New Roman" w:hAnsi="Times New Roman" w:eastAsia="宋体" w:cs="Times New Roman"/>
      <w:szCs w:val="24"/>
    </w:rPr>
  </w:style>
  <w:style w:type="paragraph" w:styleId="10">
    <w:name w:val="Body Text"/>
    <w:basedOn w:val="1"/>
    <w:next w:val="11"/>
    <w:qFormat/>
    <w:uiPriority w:val="1"/>
    <w:rPr>
      <w:rFonts w:ascii="宋体" w:hAnsi="宋体" w:eastAsia="宋体" w:cs="宋体"/>
      <w:sz w:val="24"/>
      <w:szCs w:val="24"/>
    </w:rPr>
  </w:style>
  <w:style w:type="paragraph" w:styleId="11">
    <w:name w:val="Body Text 2"/>
    <w:basedOn w:val="1"/>
    <w:unhideWhenUsed/>
    <w:qFormat/>
    <w:uiPriority w:val="99"/>
    <w:pPr>
      <w:spacing w:after="120" w:line="480" w:lineRule="auto"/>
    </w:pPr>
  </w:style>
  <w:style w:type="paragraph" w:styleId="12">
    <w:name w:val="Plain Text"/>
    <w:basedOn w:val="1"/>
    <w:link w:val="37"/>
    <w:qFormat/>
    <w:uiPriority w:val="0"/>
    <w:rPr>
      <w:rFonts w:ascii="宋体" w:hAnsi="Courier New" w:eastAsia="宋体" w:cs="Courier New"/>
      <w:szCs w:val="21"/>
    </w:rPr>
  </w:style>
  <w:style w:type="paragraph" w:styleId="13">
    <w:name w:val="Body Text Indent 2"/>
    <w:basedOn w:val="1"/>
    <w:qFormat/>
    <w:uiPriority w:val="0"/>
    <w:pPr>
      <w:spacing w:after="120" w:line="480" w:lineRule="auto"/>
      <w:ind w:left="420" w:leftChars="200"/>
    </w:pPr>
  </w:style>
  <w:style w:type="paragraph" w:styleId="14">
    <w:name w:val="Balloon Text"/>
    <w:basedOn w:val="1"/>
    <w:link w:val="46"/>
    <w:semiHidden/>
    <w:unhideWhenUsed/>
    <w:qFormat/>
    <w:uiPriority w:val="99"/>
    <w:rPr>
      <w:sz w:val="18"/>
      <w:szCs w:val="18"/>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rPr>
      <w:rFonts w:ascii="Times New Roman" w:hAnsi="Times New Roman" w:eastAsia="宋体" w:cs="Times New Roman"/>
      <w:szCs w:val="24"/>
    </w:rPr>
  </w:style>
  <w:style w:type="paragraph" w:styleId="18">
    <w:name w:val="Body Text Indent 3"/>
    <w:basedOn w:val="1"/>
    <w:link w:val="35"/>
    <w:qFormat/>
    <w:uiPriority w:val="99"/>
    <w:pPr>
      <w:widowControl/>
      <w:spacing w:after="120" w:line="259" w:lineRule="auto"/>
      <w:ind w:left="420" w:leftChars="200"/>
      <w:jc w:val="left"/>
    </w:pPr>
    <w:rPr>
      <w:kern w:val="0"/>
      <w:sz w:val="16"/>
      <w:szCs w:val="16"/>
    </w:rPr>
  </w:style>
  <w:style w:type="paragraph" w:styleId="19">
    <w:name w:val="Normal (Web)"/>
    <w:basedOn w:val="1"/>
    <w:unhideWhenUsed/>
    <w:qFormat/>
    <w:uiPriority w:val="99"/>
    <w:pPr>
      <w:spacing w:before="100" w:beforeAutospacing="1" w:after="100" w:afterAutospacing="1"/>
      <w:jc w:val="left"/>
    </w:pPr>
    <w:rPr>
      <w:rFonts w:cs="Times New Roman"/>
      <w:kern w:val="0"/>
      <w:sz w:val="24"/>
    </w:rPr>
  </w:style>
  <w:style w:type="paragraph" w:styleId="20">
    <w:name w:val="Title"/>
    <w:basedOn w:val="1"/>
    <w:next w:val="1"/>
    <w:link w:val="39"/>
    <w:qFormat/>
    <w:uiPriority w:val="0"/>
    <w:pPr>
      <w:spacing w:before="240" w:after="60"/>
      <w:jc w:val="center"/>
      <w:outlineLvl w:val="0"/>
    </w:pPr>
    <w:rPr>
      <w:rFonts w:ascii="Cambria" w:hAnsi="Cambria" w:eastAsia="宋体" w:cs="Times New Roman"/>
      <w:b/>
      <w:bCs/>
      <w:sz w:val="32"/>
      <w:szCs w:val="32"/>
    </w:rPr>
  </w:style>
  <w:style w:type="paragraph" w:styleId="21">
    <w:name w:val="Body Text First Indent"/>
    <w:basedOn w:val="10"/>
    <w:qFormat/>
    <w:uiPriority w:val="0"/>
    <w:pPr>
      <w:tabs>
        <w:tab w:val="left" w:pos="720"/>
      </w:tabs>
      <w:snapToGrid w:val="0"/>
      <w:spacing w:after="120"/>
      <w:ind w:firstLine="420"/>
    </w:pPr>
    <w:rPr>
      <w:rFonts w:ascii="Times New Roman"/>
    </w:rPr>
  </w:style>
  <w:style w:type="table" w:styleId="23">
    <w:name w:val="Table Grid"/>
    <w:basedOn w:val="2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annotation reference"/>
    <w:basedOn w:val="24"/>
    <w:qFormat/>
    <w:uiPriority w:val="0"/>
    <w:rPr>
      <w:sz w:val="21"/>
      <w:szCs w:val="21"/>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字符"/>
    <w:basedOn w:val="24"/>
    <w:link w:val="16"/>
    <w:qFormat/>
    <w:uiPriority w:val="99"/>
    <w:rPr>
      <w:sz w:val="18"/>
      <w:szCs w:val="18"/>
    </w:rPr>
  </w:style>
  <w:style w:type="character" w:customStyle="1" w:styleId="30">
    <w:name w:val="页脚 字符"/>
    <w:basedOn w:val="24"/>
    <w:link w:val="15"/>
    <w:qFormat/>
    <w:uiPriority w:val="99"/>
    <w:rPr>
      <w:sz w:val="18"/>
      <w:szCs w:val="18"/>
    </w:rPr>
  </w:style>
  <w:style w:type="paragraph" w:customStyle="1" w:styleId="31">
    <w:name w:val="列出段落1"/>
    <w:basedOn w:val="1"/>
    <w:qFormat/>
    <w:uiPriority w:val="34"/>
    <w:pPr>
      <w:ind w:firstLine="420" w:firstLineChars="200"/>
    </w:pPr>
    <w:rPr>
      <w:rFonts w:ascii="Calibri" w:hAnsi="Calibri" w:eastAsia="宋体" w:cs="Times New Roman"/>
    </w:rPr>
  </w:style>
  <w:style w:type="character" w:customStyle="1" w:styleId="32">
    <w:name w:val="标题 5 Char"/>
    <w:basedOn w:val="24"/>
    <w:semiHidden/>
    <w:qFormat/>
    <w:uiPriority w:val="9"/>
    <w:rPr>
      <w:b/>
      <w:bCs/>
      <w:sz w:val="28"/>
      <w:szCs w:val="28"/>
    </w:rPr>
  </w:style>
  <w:style w:type="character" w:customStyle="1" w:styleId="33">
    <w:name w:val="标题 5 字符"/>
    <w:basedOn w:val="24"/>
    <w:link w:val="6"/>
    <w:qFormat/>
    <w:uiPriority w:val="9"/>
    <w:rPr>
      <w:rFonts w:asciiTheme="majorHAnsi" w:hAnsiTheme="majorHAnsi" w:eastAsiaTheme="majorEastAsia" w:cstheme="majorBidi"/>
      <w:color w:val="376092" w:themeColor="accent1" w:themeShade="BF"/>
      <w:kern w:val="0"/>
      <w:sz w:val="22"/>
    </w:rPr>
  </w:style>
  <w:style w:type="character" w:customStyle="1" w:styleId="34">
    <w:name w:val="正文文本缩进 3 Char"/>
    <w:basedOn w:val="24"/>
    <w:semiHidden/>
    <w:qFormat/>
    <w:uiPriority w:val="99"/>
    <w:rPr>
      <w:sz w:val="16"/>
      <w:szCs w:val="16"/>
    </w:rPr>
  </w:style>
  <w:style w:type="character" w:customStyle="1" w:styleId="35">
    <w:name w:val="正文文本缩进 3 字符"/>
    <w:basedOn w:val="24"/>
    <w:link w:val="18"/>
    <w:qFormat/>
    <w:uiPriority w:val="99"/>
    <w:rPr>
      <w:kern w:val="0"/>
      <w:sz w:val="16"/>
      <w:szCs w:val="16"/>
    </w:rPr>
  </w:style>
  <w:style w:type="paragraph" w:styleId="36">
    <w:name w:val="List Paragraph"/>
    <w:basedOn w:val="1"/>
    <w:qFormat/>
    <w:uiPriority w:val="99"/>
    <w:pPr>
      <w:ind w:firstLine="420" w:firstLineChars="200"/>
    </w:pPr>
  </w:style>
  <w:style w:type="character" w:customStyle="1" w:styleId="37">
    <w:name w:val="纯文本 字符"/>
    <w:basedOn w:val="24"/>
    <w:link w:val="12"/>
    <w:qFormat/>
    <w:uiPriority w:val="0"/>
    <w:rPr>
      <w:rFonts w:ascii="宋体" w:hAnsi="Courier New" w:eastAsia="宋体" w:cs="Courier New"/>
      <w:szCs w:val="21"/>
    </w:rPr>
  </w:style>
  <w:style w:type="character" w:customStyle="1" w:styleId="38">
    <w:name w:val="标题 2 字符"/>
    <w:basedOn w:val="24"/>
    <w:link w:val="4"/>
    <w:semiHidden/>
    <w:qFormat/>
    <w:uiPriority w:val="9"/>
    <w:rPr>
      <w:rFonts w:asciiTheme="majorHAnsi" w:hAnsiTheme="majorHAnsi" w:eastAsiaTheme="majorEastAsia" w:cstheme="majorBidi"/>
      <w:b/>
      <w:bCs/>
      <w:sz w:val="32"/>
      <w:szCs w:val="32"/>
    </w:rPr>
  </w:style>
  <w:style w:type="character" w:customStyle="1" w:styleId="39">
    <w:name w:val="标题 字符"/>
    <w:basedOn w:val="24"/>
    <w:link w:val="20"/>
    <w:qFormat/>
    <w:uiPriority w:val="0"/>
    <w:rPr>
      <w:rFonts w:ascii="Cambria" w:hAnsi="Cambria" w:eastAsia="宋体" w:cs="Times New Roman"/>
      <w:b/>
      <w:bCs/>
      <w:sz w:val="32"/>
      <w:szCs w:val="32"/>
    </w:rPr>
  </w:style>
  <w:style w:type="character" w:customStyle="1" w:styleId="40">
    <w:name w:val="批注文字 字符"/>
    <w:basedOn w:val="24"/>
    <w:link w:val="9"/>
    <w:qFormat/>
    <w:uiPriority w:val="0"/>
    <w:rPr>
      <w:rFonts w:ascii="Times New Roman" w:hAnsi="Times New Roman" w:eastAsia="宋体" w:cs="Times New Roman"/>
      <w:szCs w:val="24"/>
    </w:rPr>
  </w:style>
  <w:style w:type="character" w:customStyle="1" w:styleId="41">
    <w:name w:val="标题 3 字符"/>
    <w:basedOn w:val="24"/>
    <w:link w:val="5"/>
    <w:semiHidden/>
    <w:qFormat/>
    <w:uiPriority w:val="9"/>
    <w:rPr>
      <w:b/>
      <w:bCs/>
      <w:sz w:val="32"/>
      <w:szCs w:val="32"/>
    </w:rPr>
  </w:style>
  <w:style w:type="character" w:customStyle="1" w:styleId="42">
    <w:name w:val="正文文本缩进 字符"/>
    <w:basedOn w:val="24"/>
    <w:link w:val="3"/>
    <w:semiHidden/>
    <w:qFormat/>
    <w:uiPriority w:val="99"/>
  </w:style>
  <w:style w:type="paragraph" w:customStyle="1" w:styleId="43">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4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5">
    <w:name w:val="apple-converted-space"/>
    <w:basedOn w:val="24"/>
    <w:qFormat/>
    <w:uiPriority w:val="0"/>
  </w:style>
  <w:style w:type="character" w:customStyle="1" w:styleId="46">
    <w:name w:val="批注框文本 字符"/>
    <w:basedOn w:val="24"/>
    <w:link w:val="14"/>
    <w:semiHidden/>
    <w:qFormat/>
    <w:uiPriority w:val="99"/>
    <w:rPr>
      <w:kern w:val="2"/>
      <w:sz w:val="18"/>
      <w:szCs w:val="18"/>
    </w:rPr>
  </w:style>
  <w:style w:type="paragraph" w:customStyle="1" w:styleId="47">
    <w:name w:val="表格文字"/>
    <w:basedOn w:val="1"/>
    <w:next w:val="12"/>
    <w:qFormat/>
    <w:uiPriority w:val="0"/>
    <w:pPr>
      <w:spacing w:before="25" w:after="25"/>
      <w:jc w:val="left"/>
    </w:pPr>
    <w:rPr>
      <w:bCs/>
      <w:spacing w:val="10"/>
      <w:kern w:val="0"/>
      <w:sz w:val="24"/>
      <w:szCs w:val="20"/>
    </w:rPr>
  </w:style>
  <w:style w:type="paragraph" w:styleId="4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444BC3-878F-43AD-A33F-145B370841C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2734</Words>
  <Characters>15587</Characters>
  <Lines>129</Lines>
  <Paragraphs>36</Paragraphs>
  <TotalTime>0</TotalTime>
  <ScaleCrop>false</ScaleCrop>
  <LinksUpToDate>false</LinksUpToDate>
  <CharactersWithSpaces>18285</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2022-02-24T07:17:00Z</dcterms:created>
  <dc:creator>李嘉雯</dc:creator>
  <cp:lastModifiedBy>林煜韩</cp:lastModifiedBy>
  <cp:lastPrinted>2022-03-03T09:09:00Z</cp:lastPrinted>
  <dcterms:modified xsi:type="dcterms:W3CDTF">2022-03-10T06:51:59Z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5CCD330DDF55407980BB442369682064</vt:lpwstr>
  </property>
</Properties>
</file>